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3BEE" w14:textId="6D8BDBB2" w:rsidR="005633D6" w:rsidRPr="00533EAC" w:rsidRDefault="005633D6" w:rsidP="00C05A32">
      <w:pPr>
        <w:spacing w:after="0" w:line="360" w:lineRule="auto"/>
        <w:jc w:val="both"/>
        <w:rPr>
          <w:rFonts w:ascii="Arial" w:eastAsia="Calibri" w:hAnsi="Arial" w:cs="Arial"/>
          <w:b/>
          <w:i/>
          <w:color w:val="000000" w:themeColor="text1"/>
          <w:lang w:val="en-ZA"/>
        </w:rPr>
      </w:pPr>
      <w:r w:rsidRPr="00533EAC">
        <w:rPr>
          <w:rFonts w:ascii="Arial" w:eastAsia="Calibri" w:hAnsi="Arial" w:cs="Arial"/>
          <w:b/>
          <w:color w:val="000000" w:themeColor="text1"/>
          <w:sz w:val="28"/>
          <w:szCs w:val="28"/>
          <w:lang w:val="en-ZA"/>
        </w:rPr>
        <w:t xml:space="preserve">Development of genetic tools for </w:t>
      </w:r>
      <w:r w:rsidR="00C519A4" w:rsidRPr="00533EAC">
        <w:rPr>
          <w:rFonts w:ascii="Arial" w:eastAsia="Calibri" w:hAnsi="Arial" w:cs="Arial"/>
          <w:b/>
          <w:color w:val="000000" w:themeColor="text1"/>
          <w:sz w:val="28"/>
          <w:szCs w:val="28"/>
          <w:lang w:val="en-ZA"/>
        </w:rPr>
        <w:t xml:space="preserve">important African bioengineers: </w:t>
      </w:r>
      <w:r w:rsidRPr="00533EAC">
        <w:rPr>
          <w:rFonts w:ascii="Arial" w:eastAsia="Calibri" w:hAnsi="Arial" w:cs="Arial"/>
          <w:b/>
          <w:color w:val="000000" w:themeColor="text1"/>
          <w:sz w:val="28"/>
          <w:szCs w:val="28"/>
          <w:lang w:val="en-ZA"/>
        </w:rPr>
        <w:t xml:space="preserve">the </w:t>
      </w:r>
      <w:r w:rsidR="00C519A4" w:rsidRPr="00533EAC">
        <w:rPr>
          <w:rFonts w:ascii="Arial" w:eastAsia="Calibri" w:hAnsi="Arial" w:cs="Arial"/>
          <w:b/>
          <w:color w:val="000000" w:themeColor="text1"/>
          <w:sz w:val="28"/>
          <w:szCs w:val="28"/>
          <w:lang w:val="en-ZA"/>
        </w:rPr>
        <w:t xml:space="preserve">case of the </w:t>
      </w:r>
      <w:r w:rsidRPr="00533EAC">
        <w:rPr>
          <w:rFonts w:ascii="Arial" w:eastAsia="Calibri" w:hAnsi="Arial" w:cs="Arial"/>
          <w:b/>
          <w:color w:val="000000" w:themeColor="text1"/>
          <w:sz w:val="28"/>
          <w:szCs w:val="28"/>
          <w:lang w:val="en-ZA"/>
        </w:rPr>
        <w:t xml:space="preserve">redbait species </w:t>
      </w:r>
      <w:r w:rsidRPr="00533EAC">
        <w:rPr>
          <w:rFonts w:ascii="Arial" w:eastAsia="Calibri" w:hAnsi="Arial" w:cs="Arial"/>
          <w:b/>
          <w:i/>
          <w:color w:val="000000" w:themeColor="text1"/>
          <w:sz w:val="28"/>
          <w:szCs w:val="28"/>
          <w:lang w:val="en-ZA"/>
        </w:rPr>
        <w:t xml:space="preserve">Pyura </w:t>
      </w:r>
      <w:proofErr w:type="spellStart"/>
      <w:r w:rsidRPr="00533EAC">
        <w:rPr>
          <w:rFonts w:ascii="Arial" w:eastAsia="Calibri" w:hAnsi="Arial" w:cs="Arial"/>
          <w:b/>
          <w:i/>
          <w:color w:val="000000" w:themeColor="text1"/>
          <w:sz w:val="28"/>
          <w:szCs w:val="28"/>
          <w:lang w:val="en-ZA"/>
        </w:rPr>
        <w:t>herdmani</w:t>
      </w:r>
      <w:proofErr w:type="spellEnd"/>
      <w:r w:rsidRPr="00533EAC">
        <w:rPr>
          <w:rFonts w:ascii="Arial" w:eastAsia="Calibri" w:hAnsi="Arial" w:cs="Arial"/>
          <w:b/>
          <w:color w:val="000000" w:themeColor="text1"/>
          <w:sz w:val="28"/>
          <w:szCs w:val="28"/>
          <w:lang w:val="en-ZA"/>
        </w:rPr>
        <w:t xml:space="preserve"> and</w:t>
      </w:r>
      <w:r w:rsidRPr="00533EAC">
        <w:rPr>
          <w:rFonts w:ascii="Arial" w:eastAsia="Calibri" w:hAnsi="Arial" w:cs="Arial"/>
          <w:b/>
          <w:i/>
          <w:color w:val="000000" w:themeColor="text1"/>
          <w:sz w:val="28"/>
          <w:szCs w:val="28"/>
          <w:lang w:val="en-ZA"/>
        </w:rPr>
        <w:t xml:space="preserve"> P</w:t>
      </w:r>
      <w:r w:rsidR="00533EAC">
        <w:rPr>
          <w:rFonts w:ascii="Arial" w:eastAsia="Calibri" w:hAnsi="Arial" w:cs="Arial"/>
          <w:b/>
          <w:i/>
          <w:color w:val="000000" w:themeColor="text1"/>
          <w:sz w:val="28"/>
          <w:szCs w:val="28"/>
          <w:lang w:val="en-ZA"/>
        </w:rPr>
        <w:t>.</w:t>
      </w:r>
      <w:commentRangeStart w:id="0"/>
      <w:r w:rsidRPr="00533EAC">
        <w:rPr>
          <w:rFonts w:ascii="Arial" w:eastAsia="Calibri" w:hAnsi="Arial" w:cs="Arial"/>
          <w:b/>
          <w:i/>
          <w:color w:val="000000" w:themeColor="text1"/>
          <w:sz w:val="28"/>
          <w:szCs w:val="28"/>
          <w:lang w:val="en-ZA"/>
        </w:rPr>
        <w:t xml:space="preserve"> stolonifera</w:t>
      </w:r>
      <w:r w:rsidRPr="00533EAC">
        <w:rPr>
          <w:rFonts w:ascii="Arial" w:eastAsia="Calibri" w:hAnsi="Arial" w:cs="Arial"/>
          <w:b/>
          <w:color w:val="000000" w:themeColor="text1"/>
          <w:sz w:val="28"/>
          <w:szCs w:val="28"/>
          <w:lang w:val="en-ZA"/>
        </w:rPr>
        <w:t xml:space="preserve"> coastline</w:t>
      </w:r>
      <w:r w:rsidR="004D7887" w:rsidRPr="00533EAC">
        <w:rPr>
          <w:rFonts w:ascii="Arial" w:eastAsia="Calibri" w:hAnsi="Arial" w:cs="Arial"/>
          <w:b/>
          <w:color w:val="000000" w:themeColor="text1"/>
          <w:sz w:val="28"/>
          <w:szCs w:val="28"/>
          <w:lang w:val="en-ZA"/>
        </w:rPr>
        <w:t>s</w:t>
      </w:r>
    </w:p>
    <w:p w14:paraId="149EE91D" w14:textId="77777777" w:rsidR="005633D6" w:rsidRPr="00533EAC" w:rsidRDefault="005633D6" w:rsidP="00C05A32">
      <w:pPr>
        <w:spacing w:after="0" w:line="360" w:lineRule="auto"/>
        <w:jc w:val="both"/>
        <w:rPr>
          <w:rFonts w:ascii="Arial" w:eastAsia="Calibri" w:hAnsi="Arial" w:cs="Arial"/>
          <w:i/>
          <w:color w:val="000000" w:themeColor="text1"/>
          <w:lang w:val="en-ZA"/>
        </w:rPr>
      </w:pPr>
    </w:p>
    <w:p w14:paraId="2F61B43C" w14:textId="55CE8E8B" w:rsidR="005633D6" w:rsidRPr="00533EAC" w:rsidRDefault="005633D6" w:rsidP="00C05A32">
      <w:pPr>
        <w:spacing w:after="0" w:line="360" w:lineRule="auto"/>
        <w:jc w:val="both"/>
        <w:rPr>
          <w:rFonts w:ascii="Arial" w:eastAsia="Calibri" w:hAnsi="Arial" w:cs="Arial"/>
          <w:b/>
          <w:color w:val="000000" w:themeColor="text1"/>
          <w:lang w:val="en-ZA"/>
        </w:rPr>
      </w:pPr>
      <w:r w:rsidRPr="00533EAC">
        <w:rPr>
          <w:rFonts w:ascii="Arial" w:eastAsia="Calibri" w:hAnsi="Arial" w:cs="Arial"/>
          <w:b/>
          <w:color w:val="000000" w:themeColor="text1"/>
          <w:lang w:val="en-ZA"/>
        </w:rPr>
        <w:t>A Dinoi</w:t>
      </w:r>
      <w:r w:rsidRPr="00533EAC">
        <w:rPr>
          <w:rFonts w:ascii="Arial" w:eastAsia="Calibri" w:hAnsi="Arial" w:cs="Arial"/>
          <w:b/>
          <w:color w:val="000000" w:themeColor="text1"/>
          <w:vertAlign w:val="superscript"/>
          <w:lang w:val="en-ZA"/>
        </w:rPr>
        <w:t>1</w:t>
      </w:r>
      <w:r w:rsidRPr="00533EAC">
        <w:rPr>
          <w:rFonts w:ascii="Arial" w:eastAsia="Calibri" w:hAnsi="Arial" w:cs="Arial"/>
          <w:b/>
          <w:color w:val="000000" w:themeColor="text1"/>
          <w:lang w:val="en-ZA"/>
        </w:rPr>
        <w:t>, M Rius</w:t>
      </w:r>
      <w:r w:rsidRPr="00533EAC">
        <w:rPr>
          <w:rFonts w:ascii="Arial" w:eastAsia="Calibri" w:hAnsi="Arial" w:cs="Arial"/>
          <w:b/>
          <w:color w:val="000000" w:themeColor="text1"/>
          <w:vertAlign w:val="superscript"/>
          <w:lang w:val="en-ZA"/>
        </w:rPr>
        <w:t>1,2</w:t>
      </w:r>
      <w:r w:rsidRPr="00533EAC">
        <w:rPr>
          <w:rFonts w:ascii="Arial" w:eastAsia="Calibri" w:hAnsi="Arial" w:cs="Arial"/>
          <w:b/>
          <w:color w:val="000000" w:themeColor="text1"/>
          <w:lang w:val="en-ZA"/>
        </w:rPr>
        <w:t>, M Tine</w:t>
      </w:r>
      <w:r w:rsidRPr="00533EAC">
        <w:rPr>
          <w:rFonts w:ascii="Arial" w:eastAsia="Calibri" w:hAnsi="Arial" w:cs="Arial"/>
          <w:b/>
          <w:color w:val="000000" w:themeColor="text1"/>
          <w:vertAlign w:val="superscript"/>
          <w:lang w:val="en-ZA"/>
        </w:rPr>
        <w:t>1</w:t>
      </w:r>
      <w:r w:rsidR="00EB5E94" w:rsidRPr="00533EAC">
        <w:rPr>
          <w:rFonts w:ascii="Arial" w:eastAsia="Calibri" w:hAnsi="Arial" w:cs="Arial"/>
          <w:b/>
          <w:color w:val="000000" w:themeColor="text1"/>
          <w:lang w:val="en-ZA"/>
        </w:rPr>
        <w:t xml:space="preserve"> and </w:t>
      </w:r>
      <w:r w:rsidRPr="00533EAC">
        <w:rPr>
          <w:rFonts w:ascii="Arial" w:eastAsia="Calibri" w:hAnsi="Arial" w:cs="Arial"/>
          <w:b/>
          <w:color w:val="000000" w:themeColor="text1"/>
          <w:lang w:val="en-ZA"/>
        </w:rPr>
        <w:t>PR Teske</w:t>
      </w:r>
      <w:r w:rsidRPr="00533EAC">
        <w:rPr>
          <w:rFonts w:ascii="Arial" w:eastAsia="Calibri" w:hAnsi="Arial" w:cs="Arial"/>
          <w:b/>
          <w:color w:val="000000" w:themeColor="text1"/>
          <w:vertAlign w:val="superscript"/>
          <w:lang w:val="en-ZA"/>
        </w:rPr>
        <w:t>1</w:t>
      </w:r>
      <w:r w:rsidR="00EB5E94" w:rsidRPr="00533EAC">
        <w:rPr>
          <w:rFonts w:ascii="Arial" w:eastAsia="Calibri" w:hAnsi="Arial" w:cs="Arial"/>
          <w:b/>
          <w:color w:val="000000" w:themeColor="text1"/>
          <w:lang w:val="en-ZA"/>
        </w:rPr>
        <w:t>*</w:t>
      </w:r>
    </w:p>
    <w:p w14:paraId="5F5B1229" w14:textId="77777777" w:rsidR="00F35A97" w:rsidRPr="00533EAC" w:rsidRDefault="00F35A97" w:rsidP="00C05A32">
      <w:pPr>
        <w:spacing w:after="0" w:line="360" w:lineRule="auto"/>
        <w:jc w:val="both"/>
        <w:rPr>
          <w:rFonts w:ascii="Arial" w:eastAsia="Calibri" w:hAnsi="Arial" w:cs="Arial"/>
          <w:color w:val="000000" w:themeColor="text1"/>
          <w:lang w:val="en-ZA"/>
        </w:rPr>
      </w:pPr>
    </w:p>
    <w:p w14:paraId="524C2C33" w14:textId="703F5438" w:rsidR="005633D6" w:rsidRPr="00533EAC" w:rsidRDefault="005633D6" w:rsidP="00C05A32">
      <w:pPr>
        <w:spacing w:after="0" w:line="360" w:lineRule="auto"/>
        <w:jc w:val="both"/>
        <w:rPr>
          <w:rFonts w:ascii="Arial" w:eastAsia="Times New Roman" w:hAnsi="Arial" w:cs="Arial"/>
          <w:i/>
          <w:color w:val="000000" w:themeColor="text1"/>
          <w:lang w:val="en-ZA"/>
        </w:rPr>
      </w:pPr>
      <w:r w:rsidRPr="00533EAC">
        <w:rPr>
          <w:rFonts w:ascii="Arial" w:eastAsia="Calibri" w:hAnsi="Arial" w:cs="Arial"/>
          <w:i/>
          <w:color w:val="000000" w:themeColor="text1"/>
          <w:vertAlign w:val="superscript"/>
          <w:lang w:val="en-ZA"/>
        </w:rPr>
        <w:t>1</w:t>
      </w:r>
      <w:r w:rsidR="008C5E3C" w:rsidRPr="00533EAC">
        <w:rPr>
          <w:rFonts w:ascii="Arial" w:eastAsia="Calibri" w:hAnsi="Arial" w:cs="Arial"/>
          <w:i/>
          <w:color w:val="000000" w:themeColor="text1"/>
          <w:lang w:val="en-ZA"/>
        </w:rPr>
        <w:t xml:space="preserve"> </w:t>
      </w:r>
      <w:r w:rsidRPr="00533EAC">
        <w:rPr>
          <w:rFonts w:ascii="Arial" w:eastAsia="Times New Roman" w:hAnsi="Arial" w:cs="Arial"/>
          <w:i/>
          <w:color w:val="000000" w:themeColor="text1"/>
          <w:lang w:val="en-ZA"/>
        </w:rPr>
        <w:t xml:space="preserve">Centre for Ecological Genomics and Wildlife Conservation, Department of Zoology, University of Johannesburg, </w:t>
      </w:r>
      <w:r w:rsidR="00EB5E94" w:rsidRPr="00533EAC">
        <w:rPr>
          <w:rFonts w:ascii="Arial" w:eastAsia="Times New Roman" w:hAnsi="Arial" w:cs="Arial"/>
          <w:i/>
          <w:color w:val="000000" w:themeColor="text1"/>
          <w:lang w:val="en-ZA"/>
        </w:rPr>
        <w:t>Johannesburg</w:t>
      </w:r>
      <w:r w:rsidRPr="00533EAC">
        <w:rPr>
          <w:rFonts w:ascii="Arial" w:eastAsia="Times New Roman" w:hAnsi="Arial" w:cs="Arial"/>
          <w:i/>
          <w:color w:val="000000" w:themeColor="text1"/>
          <w:lang w:val="en-ZA"/>
        </w:rPr>
        <w:t>, South Africa</w:t>
      </w:r>
    </w:p>
    <w:p w14:paraId="4F488887" w14:textId="37CC4FD4" w:rsidR="005633D6" w:rsidRPr="00533EAC" w:rsidRDefault="005633D6" w:rsidP="00C05A32">
      <w:pPr>
        <w:spacing w:after="0" w:line="360" w:lineRule="auto"/>
        <w:jc w:val="both"/>
        <w:rPr>
          <w:rFonts w:ascii="Arial" w:eastAsia="Times New Roman" w:hAnsi="Arial" w:cs="Arial"/>
          <w:i/>
          <w:color w:val="000000" w:themeColor="text1"/>
          <w:lang w:val="en-ZA"/>
        </w:rPr>
      </w:pPr>
      <w:r w:rsidRPr="00533EAC">
        <w:rPr>
          <w:rFonts w:ascii="Arial" w:eastAsia="Calibri" w:hAnsi="Arial" w:cs="Arial"/>
          <w:i/>
          <w:color w:val="000000" w:themeColor="text1"/>
          <w:vertAlign w:val="superscript"/>
          <w:lang w:val="en-ZA"/>
        </w:rPr>
        <w:t>2</w:t>
      </w:r>
      <w:r w:rsidR="008C5E3C" w:rsidRPr="00533EAC">
        <w:rPr>
          <w:rFonts w:ascii="Arial" w:eastAsia="Calibri" w:hAnsi="Arial" w:cs="Arial"/>
          <w:i/>
          <w:color w:val="000000" w:themeColor="text1"/>
          <w:lang w:val="en-ZA"/>
        </w:rPr>
        <w:t xml:space="preserve"> </w:t>
      </w:r>
      <w:r w:rsidR="00A56983" w:rsidRPr="00533EAC">
        <w:rPr>
          <w:rFonts w:ascii="Arial" w:eastAsia="Calibri" w:hAnsi="Arial" w:cs="Arial"/>
          <w:i/>
          <w:color w:val="000000" w:themeColor="text1"/>
          <w:lang w:val="en-ZA"/>
        </w:rPr>
        <w:t xml:space="preserve">School of </w:t>
      </w:r>
      <w:r w:rsidRPr="00533EAC">
        <w:rPr>
          <w:rFonts w:ascii="Arial" w:eastAsia="Times New Roman" w:hAnsi="Arial" w:cs="Arial"/>
          <w:i/>
          <w:color w:val="000000" w:themeColor="text1"/>
          <w:lang w:val="en-ZA"/>
        </w:rPr>
        <w:t>Ocean and Earth Science, National Oceanography Centr</w:t>
      </w:r>
      <w:r w:rsidR="008C5E3C" w:rsidRPr="00533EAC">
        <w:rPr>
          <w:rFonts w:ascii="Arial" w:eastAsia="Times New Roman" w:hAnsi="Arial" w:cs="Arial"/>
          <w:i/>
          <w:color w:val="000000" w:themeColor="text1"/>
          <w:lang w:val="en-ZA"/>
        </w:rPr>
        <w:t>e</w:t>
      </w:r>
      <w:r w:rsidRPr="00533EAC">
        <w:rPr>
          <w:rFonts w:ascii="Arial" w:eastAsia="Times New Roman" w:hAnsi="Arial" w:cs="Arial"/>
          <w:i/>
          <w:color w:val="000000" w:themeColor="text1"/>
          <w:lang w:val="en-ZA"/>
        </w:rPr>
        <w:t xml:space="preserve"> Southampton, University of Southampton, </w:t>
      </w:r>
      <w:r w:rsidR="00EB5E94" w:rsidRPr="00533EAC">
        <w:rPr>
          <w:rFonts w:ascii="Arial" w:eastAsia="Times New Roman" w:hAnsi="Arial" w:cs="Arial"/>
          <w:i/>
          <w:color w:val="000000" w:themeColor="text1"/>
          <w:lang w:val="en-ZA"/>
        </w:rPr>
        <w:t xml:space="preserve">Southampton, </w:t>
      </w:r>
      <w:r w:rsidRPr="00533EAC">
        <w:rPr>
          <w:rFonts w:ascii="Arial" w:eastAsia="Times New Roman" w:hAnsi="Arial" w:cs="Arial"/>
          <w:i/>
          <w:color w:val="000000" w:themeColor="text1"/>
          <w:lang w:val="en-ZA"/>
        </w:rPr>
        <w:t>United Kingdom</w:t>
      </w:r>
    </w:p>
    <w:p w14:paraId="333B082E" w14:textId="367B32F4" w:rsidR="005633D6" w:rsidRPr="00533EAC" w:rsidRDefault="005633D6" w:rsidP="00C05A32">
      <w:pPr>
        <w:spacing w:after="0" w:line="360" w:lineRule="auto"/>
        <w:jc w:val="both"/>
        <w:rPr>
          <w:rFonts w:ascii="Arial" w:eastAsia="Times New Roman" w:hAnsi="Arial" w:cs="Arial"/>
          <w:color w:val="000000" w:themeColor="text1"/>
          <w:shd w:val="clear" w:color="auto" w:fill="FFFFFF"/>
          <w:lang w:val="en-ZA" w:eastAsia="en-GB"/>
        </w:rPr>
      </w:pPr>
      <w:r w:rsidRPr="00533EAC">
        <w:rPr>
          <w:rFonts w:ascii="Arial" w:eastAsia="Times New Roman" w:hAnsi="Arial" w:cs="Arial"/>
          <w:i/>
          <w:color w:val="000000" w:themeColor="text1"/>
          <w:lang w:val="en-ZA"/>
        </w:rPr>
        <w:t>*</w:t>
      </w:r>
      <w:r w:rsidR="008C5E3C" w:rsidRPr="00533EAC">
        <w:rPr>
          <w:rFonts w:ascii="Arial" w:eastAsia="Calibri" w:hAnsi="Arial" w:cs="Arial"/>
          <w:i/>
          <w:color w:val="000000" w:themeColor="text1"/>
          <w:lang w:val="en-ZA"/>
        </w:rPr>
        <w:t xml:space="preserve"> </w:t>
      </w:r>
      <w:r w:rsidR="00EB5E94" w:rsidRPr="00533EAC">
        <w:rPr>
          <w:rFonts w:ascii="Arial" w:eastAsia="Times New Roman" w:hAnsi="Arial" w:cs="Arial"/>
          <w:i/>
          <w:color w:val="000000" w:themeColor="text1"/>
          <w:lang w:val="en-ZA"/>
        </w:rPr>
        <w:t>C</w:t>
      </w:r>
      <w:r w:rsidRPr="00533EAC">
        <w:rPr>
          <w:rFonts w:ascii="Arial" w:eastAsia="Times New Roman" w:hAnsi="Arial" w:cs="Arial"/>
          <w:i/>
          <w:color w:val="000000" w:themeColor="text1"/>
          <w:lang w:val="en-ZA"/>
        </w:rPr>
        <w:t>orrespond</w:t>
      </w:r>
      <w:r w:rsidR="00EB5E94" w:rsidRPr="00533EAC">
        <w:rPr>
          <w:rFonts w:ascii="Arial" w:eastAsia="Times New Roman" w:hAnsi="Arial" w:cs="Arial"/>
          <w:i/>
          <w:color w:val="000000" w:themeColor="text1"/>
          <w:lang w:val="en-ZA"/>
        </w:rPr>
        <w:t>ing author, email</w:t>
      </w:r>
      <w:r w:rsidRPr="00533EAC">
        <w:rPr>
          <w:rFonts w:ascii="Arial" w:eastAsia="Times New Roman" w:hAnsi="Arial" w:cs="Arial"/>
          <w:i/>
          <w:color w:val="000000" w:themeColor="text1"/>
          <w:lang w:val="en-ZA"/>
        </w:rPr>
        <w:t xml:space="preserve">: </w:t>
      </w:r>
      <w:r w:rsidRPr="00533EAC">
        <w:rPr>
          <w:rFonts w:ascii="Arial" w:eastAsia="Times New Roman" w:hAnsi="Arial" w:cs="Arial"/>
          <w:i/>
          <w:color w:val="000000" w:themeColor="text1"/>
          <w:shd w:val="clear" w:color="auto" w:fill="FFFFFF"/>
          <w:lang w:val="en-ZA" w:eastAsia="en-GB"/>
        </w:rPr>
        <w:t>pteske101@gmail.com</w:t>
      </w:r>
    </w:p>
    <w:p w14:paraId="7AB5AB58" w14:textId="42531BC4" w:rsidR="005633D6" w:rsidRPr="00533EAC" w:rsidRDefault="005633D6" w:rsidP="00C05A32">
      <w:pPr>
        <w:spacing w:after="0" w:line="360" w:lineRule="auto"/>
        <w:jc w:val="both"/>
        <w:rPr>
          <w:rFonts w:ascii="Arial" w:eastAsia="Times New Roman" w:hAnsi="Arial" w:cs="Arial"/>
          <w:color w:val="000000" w:themeColor="text1"/>
          <w:lang w:val="en-ZA"/>
        </w:rPr>
      </w:pPr>
    </w:p>
    <w:p w14:paraId="60E2F25E" w14:textId="2E6B9A10" w:rsidR="00F35A97" w:rsidRPr="00533EAC" w:rsidRDefault="00F35A97" w:rsidP="00C05A32">
      <w:pPr>
        <w:spacing w:after="0" w:line="360" w:lineRule="auto"/>
        <w:jc w:val="both"/>
        <w:rPr>
          <w:rFonts w:ascii="Arial" w:eastAsia="Times New Roman" w:hAnsi="Arial" w:cs="Arial"/>
          <w:color w:val="000000" w:themeColor="text1"/>
          <w:lang w:val="en-ZA"/>
        </w:rPr>
      </w:pPr>
      <w:r w:rsidRPr="00533EAC">
        <w:rPr>
          <w:rFonts w:ascii="Arial" w:eastAsia="Times New Roman" w:hAnsi="Arial" w:cs="Arial"/>
          <w:color w:val="000000" w:themeColor="text1"/>
          <w:lang w:val="en-ZA"/>
        </w:rPr>
        <w:t xml:space="preserve">Manuscript received </w:t>
      </w:r>
      <w:r w:rsidR="00EB5E94" w:rsidRPr="00533EAC">
        <w:rPr>
          <w:rFonts w:ascii="Arial" w:eastAsia="Times New Roman" w:hAnsi="Arial" w:cs="Arial"/>
          <w:color w:val="000000" w:themeColor="text1"/>
          <w:lang w:val="en-ZA"/>
        </w:rPr>
        <w:t>July 2020</w:t>
      </w:r>
      <w:r w:rsidRPr="00533EAC">
        <w:rPr>
          <w:rFonts w:ascii="Arial" w:eastAsia="Times New Roman" w:hAnsi="Arial" w:cs="Arial"/>
          <w:color w:val="000000" w:themeColor="text1"/>
          <w:lang w:val="en-ZA"/>
        </w:rPr>
        <w:t xml:space="preserve"> received </w:t>
      </w:r>
      <w:r w:rsidR="00EB5E94" w:rsidRPr="00533EAC">
        <w:rPr>
          <w:rFonts w:ascii="Arial" w:eastAsia="Times New Roman" w:hAnsi="Arial" w:cs="Arial"/>
          <w:color w:val="000000" w:themeColor="text1"/>
          <w:lang w:val="en-ZA"/>
        </w:rPr>
        <w:t>September 2020</w:t>
      </w:r>
      <w:r w:rsidRPr="00533EAC">
        <w:rPr>
          <w:rFonts w:ascii="Arial" w:eastAsia="Times New Roman" w:hAnsi="Arial" w:cs="Arial"/>
          <w:color w:val="000000" w:themeColor="text1"/>
          <w:lang w:val="en-ZA"/>
        </w:rPr>
        <w:t>; accepted</w:t>
      </w:r>
      <w:r w:rsidR="00EB5E94" w:rsidRPr="00533EAC">
        <w:rPr>
          <w:rFonts w:ascii="Arial" w:eastAsia="Times New Roman" w:hAnsi="Arial" w:cs="Arial"/>
          <w:color w:val="000000" w:themeColor="text1"/>
          <w:lang w:val="en-ZA"/>
        </w:rPr>
        <w:t xml:space="preserve"> December 2020</w:t>
      </w:r>
    </w:p>
    <w:p w14:paraId="68103141" w14:textId="77777777" w:rsidR="00F35A97" w:rsidRPr="00533EAC" w:rsidRDefault="00F35A97" w:rsidP="00C05A32">
      <w:pPr>
        <w:spacing w:after="0" w:line="360" w:lineRule="auto"/>
        <w:jc w:val="both"/>
        <w:rPr>
          <w:rFonts w:ascii="Arial" w:eastAsia="Times New Roman" w:hAnsi="Arial" w:cs="Arial"/>
          <w:color w:val="000000" w:themeColor="text1"/>
          <w:lang w:val="en-ZA"/>
        </w:rPr>
      </w:pPr>
    </w:p>
    <w:p w14:paraId="7ED60BF4" w14:textId="14D45920"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The development of new genomic resources is key </w:t>
      </w:r>
      <w:r w:rsidR="00D51A2E" w:rsidRPr="00533EAC">
        <w:rPr>
          <w:rFonts w:ascii="Arial" w:eastAsia="Calibri" w:hAnsi="Arial" w:cs="Arial"/>
          <w:color w:val="000000" w:themeColor="text1"/>
          <w:lang w:val="en-ZA"/>
        </w:rPr>
        <w:t xml:space="preserve">for </w:t>
      </w:r>
      <w:r w:rsidR="00ED2D64" w:rsidRPr="00533EAC">
        <w:rPr>
          <w:rFonts w:ascii="Arial" w:eastAsia="Calibri" w:hAnsi="Arial" w:cs="Arial"/>
          <w:color w:val="000000" w:themeColor="text1"/>
          <w:lang w:val="en-ZA"/>
        </w:rPr>
        <w:t xml:space="preserve">biological </w:t>
      </w:r>
      <w:r w:rsidR="00D51A2E" w:rsidRPr="00533EAC">
        <w:rPr>
          <w:rFonts w:ascii="Arial" w:eastAsia="Calibri" w:hAnsi="Arial" w:cs="Arial"/>
          <w:color w:val="000000" w:themeColor="text1"/>
          <w:lang w:val="en-ZA"/>
        </w:rPr>
        <w:t>conserv</w:t>
      </w:r>
      <w:r w:rsidR="00ED2D64" w:rsidRPr="00533EAC">
        <w:rPr>
          <w:rFonts w:ascii="Arial" w:eastAsia="Calibri" w:hAnsi="Arial" w:cs="Arial"/>
          <w:color w:val="000000" w:themeColor="text1"/>
          <w:lang w:val="en-ZA"/>
        </w:rPr>
        <w:t>ation</w:t>
      </w:r>
      <w:r w:rsidRPr="00533EAC">
        <w:rPr>
          <w:rFonts w:ascii="Arial" w:eastAsia="Calibri" w:hAnsi="Arial" w:cs="Arial"/>
          <w:color w:val="000000" w:themeColor="text1"/>
          <w:lang w:val="en-ZA"/>
        </w:rPr>
        <w:t xml:space="preserve"> in </w:t>
      </w:r>
      <w:r w:rsidR="00DF711A" w:rsidRPr="00533EAC">
        <w:rPr>
          <w:rFonts w:ascii="Arial" w:eastAsia="Calibri" w:hAnsi="Arial" w:cs="Arial"/>
          <w:color w:val="000000" w:themeColor="text1"/>
          <w:lang w:val="en-ZA"/>
        </w:rPr>
        <w:t xml:space="preserve">an </w:t>
      </w:r>
      <w:r w:rsidRPr="00533EAC">
        <w:rPr>
          <w:rFonts w:ascii="Arial" w:eastAsia="Calibri" w:hAnsi="Arial" w:cs="Arial"/>
          <w:color w:val="000000" w:themeColor="text1"/>
          <w:lang w:val="en-ZA"/>
        </w:rPr>
        <w:t xml:space="preserve">era </w:t>
      </w:r>
      <w:r w:rsidR="004D7887" w:rsidRPr="00533EAC">
        <w:rPr>
          <w:rFonts w:ascii="Arial" w:eastAsia="Calibri" w:hAnsi="Arial" w:cs="Arial"/>
          <w:color w:val="000000" w:themeColor="text1"/>
          <w:lang w:val="en-ZA"/>
        </w:rPr>
        <w:t xml:space="preserve">when </w:t>
      </w:r>
      <w:r w:rsidRPr="00533EAC">
        <w:rPr>
          <w:rFonts w:ascii="Arial" w:eastAsia="Calibri" w:hAnsi="Arial" w:cs="Arial"/>
          <w:color w:val="000000" w:themeColor="text1"/>
          <w:lang w:val="en-ZA"/>
        </w:rPr>
        <w:t>the preservation of biodiversity is crucial. Here, we develop</w:t>
      </w:r>
      <w:r w:rsidR="00ED2D64" w:rsidRPr="00533EAC">
        <w:rPr>
          <w:rFonts w:ascii="Arial" w:eastAsia="Calibri" w:hAnsi="Arial" w:cs="Arial"/>
          <w:color w:val="000000" w:themeColor="text1"/>
          <w:lang w:val="en-ZA"/>
        </w:rPr>
        <w:t>ed</w:t>
      </w:r>
      <w:r w:rsidRPr="00533EAC">
        <w:rPr>
          <w:rFonts w:ascii="Arial" w:eastAsia="Calibri" w:hAnsi="Arial" w:cs="Arial"/>
          <w:color w:val="000000" w:themeColor="text1"/>
          <w:lang w:val="en-ZA"/>
        </w:rPr>
        <w:t xml:space="preserve"> microsatellites and mitochondrial markers for the redbait species,</w:t>
      </w:r>
      <w:r w:rsidR="00EB5E94" w:rsidRPr="00533EAC">
        <w:rPr>
          <w:rFonts w:ascii="Arial" w:eastAsia="Calibri" w:hAnsi="Arial" w:cs="Arial"/>
          <w:color w:val="000000" w:themeColor="text1"/>
          <w:lang w:val="en-ZA"/>
        </w:rPr>
        <w:t xml:space="preserve"> </w:t>
      </w:r>
      <w:r w:rsidRPr="00533EAC">
        <w:rPr>
          <w:rFonts w:ascii="Arial" w:eastAsia="Calibri" w:hAnsi="Arial" w:cs="Arial"/>
          <w:i/>
          <w:color w:val="000000" w:themeColor="text1"/>
          <w:lang w:val="en-ZA"/>
        </w:rPr>
        <w:t xml:space="preserve">Pyura </w:t>
      </w:r>
      <w:proofErr w:type="spellStart"/>
      <w:r w:rsidR="00707AEB" w:rsidRPr="00533EAC">
        <w:rPr>
          <w:rFonts w:ascii="Arial" w:eastAsia="Calibri" w:hAnsi="Arial" w:cs="Arial"/>
          <w:i/>
          <w:color w:val="000000" w:themeColor="text1"/>
          <w:lang w:val="en-ZA"/>
        </w:rPr>
        <w:t>herdmani</w:t>
      </w:r>
      <w:proofErr w:type="spellEnd"/>
      <w:r w:rsidR="00707AEB"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 xml:space="preserve">and </w:t>
      </w:r>
      <w:r w:rsidRPr="00533EAC">
        <w:rPr>
          <w:rFonts w:ascii="Arial" w:eastAsia="Calibri" w:hAnsi="Arial" w:cs="Arial"/>
          <w:i/>
          <w:color w:val="000000" w:themeColor="text1"/>
          <w:lang w:val="en-ZA"/>
        </w:rPr>
        <w:t>P</w:t>
      </w:r>
      <w:r w:rsidR="00D51A2E" w:rsidRPr="00533EAC">
        <w:rPr>
          <w:rFonts w:ascii="Arial" w:eastAsia="Calibri" w:hAnsi="Arial" w:cs="Arial"/>
          <w:i/>
          <w:color w:val="000000" w:themeColor="text1"/>
          <w:lang w:val="en-ZA"/>
        </w:rPr>
        <w:t xml:space="preserve">. </w:t>
      </w:r>
      <w:r w:rsidR="00707AEB" w:rsidRPr="00533EAC">
        <w:rPr>
          <w:rFonts w:ascii="Arial" w:eastAsia="Calibri" w:hAnsi="Arial" w:cs="Arial"/>
          <w:i/>
          <w:color w:val="000000" w:themeColor="text1"/>
          <w:lang w:val="en-ZA"/>
        </w:rPr>
        <w:t>stolonifera</w:t>
      </w:r>
      <w:r w:rsidR="00D51A2E" w:rsidRPr="00533EAC">
        <w:rPr>
          <w:rFonts w:ascii="Arial" w:eastAsia="Calibri" w:hAnsi="Arial" w:cs="Arial"/>
          <w:i/>
          <w:color w:val="000000" w:themeColor="text1"/>
          <w:lang w:val="en-ZA"/>
        </w:rPr>
        <w:t xml:space="preserve">, </w:t>
      </w:r>
      <w:r w:rsidR="00D51A2E" w:rsidRPr="00533EAC">
        <w:rPr>
          <w:rFonts w:ascii="Arial" w:eastAsia="Calibri" w:hAnsi="Arial" w:cs="Arial"/>
          <w:iCs/>
          <w:color w:val="000000" w:themeColor="text1"/>
          <w:lang w:val="en-ZA"/>
        </w:rPr>
        <w:t>both</w:t>
      </w:r>
      <w:r w:rsidR="00D51A2E"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important bioengineers along African coastline</w:t>
      </w:r>
      <w:r w:rsidR="004D7887" w:rsidRPr="00533EAC">
        <w:rPr>
          <w:rFonts w:ascii="Arial" w:eastAsia="Calibri" w:hAnsi="Arial" w:cs="Arial"/>
          <w:color w:val="000000" w:themeColor="text1"/>
          <w:lang w:val="en-ZA"/>
        </w:rPr>
        <w:t>s. Specifically, we identified</w:t>
      </w:r>
      <w:r w:rsidRPr="00533EAC">
        <w:rPr>
          <w:rFonts w:ascii="Arial" w:eastAsia="Calibri" w:hAnsi="Arial" w:cs="Arial"/>
          <w:color w:val="000000" w:themeColor="text1"/>
          <w:lang w:val="en-ZA"/>
        </w:rPr>
        <w:t xml:space="preserve"> microsatellite</w:t>
      </w:r>
      <w:r w:rsidR="004D7887"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 by means of pyrosequencing, and variable regions in the mitochondrial genome </w:t>
      </w:r>
      <w:r w:rsidR="004D7887" w:rsidRPr="00533EAC">
        <w:rPr>
          <w:rFonts w:ascii="Arial" w:eastAsia="Calibri" w:hAnsi="Arial" w:cs="Arial"/>
          <w:color w:val="000000" w:themeColor="text1"/>
          <w:lang w:val="en-ZA"/>
        </w:rPr>
        <w:t>using</w:t>
      </w:r>
      <w:r w:rsidR="000A3487" w:rsidRPr="00533EAC">
        <w:rPr>
          <w:rFonts w:ascii="Arial" w:eastAsia="Calibri" w:hAnsi="Arial" w:cs="Arial"/>
          <w:color w:val="000000" w:themeColor="text1"/>
          <w:lang w:val="en-ZA"/>
        </w:rPr>
        <w:t xml:space="preserve"> RAD-</w:t>
      </w:r>
      <w:proofErr w:type="spellStart"/>
      <w:r w:rsidR="000A3487" w:rsidRPr="00533EAC">
        <w:rPr>
          <w:rFonts w:ascii="Arial" w:eastAsia="Calibri" w:hAnsi="Arial" w:cs="Arial"/>
          <w:color w:val="000000" w:themeColor="text1"/>
          <w:lang w:val="en-ZA"/>
        </w:rPr>
        <w:t>seq</w:t>
      </w:r>
      <w:proofErr w:type="spellEnd"/>
      <w:r w:rsidR="000A3487" w:rsidRPr="00533EAC">
        <w:rPr>
          <w:rFonts w:ascii="Arial" w:eastAsia="Calibri" w:hAnsi="Arial" w:cs="Arial"/>
          <w:color w:val="000000" w:themeColor="text1"/>
          <w:lang w:val="en-ZA"/>
        </w:rPr>
        <w:t xml:space="preserve"> libraries that were generated </w:t>
      </w:r>
      <w:r w:rsidR="00090809" w:rsidRPr="00533EAC">
        <w:rPr>
          <w:rFonts w:ascii="Arial" w:eastAsia="Calibri" w:hAnsi="Arial" w:cs="Arial"/>
          <w:color w:val="000000" w:themeColor="text1"/>
          <w:lang w:val="en-ZA"/>
        </w:rPr>
        <w:t>with</w:t>
      </w:r>
      <w:r w:rsidRPr="00533EAC">
        <w:rPr>
          <w:rFonts w:ascii="Arial" w:eastAsia="Calibri" w:hAnsi="Arial" w:cs="Arial"/>
          <w:color w:val="000000" w:themeColor="text1"/>
          <w:lang w:val="en-ZA"/>
        </w:rPr>
        <w:t xml:space="preserve"> Illumina sequencing. </w:t>
      </w:r>
      <w:r w:rsidR="00486F49" w:rsidRPr="00533EAC">
        <w:rPr>
          <w:rFonts w:ascii="Arial" w:eastAsia="Calibri" w:hAnsi="Arial" w:cs="Arial"/>
          <w:color w:val="000000" w:themeColor="text1"/>
          <w:lang w:val="en-ZA"/>
        </w:rPr>
        <w:t xml:space="preserve">A total of 4 </w:t>
      </w:r>
      <w:r w:rsidRPr="00533EAC">
        <w:rPr>
          <w:rFonts w:ascii="Arial" w:eastAsia="Calibri" w:hAnsi="Arial" w:cs="Arial"/>
          <w:color w:val="000000" w:themeColor="text1"/>
          <w:lang w:val="en-ZA"/>
        </w:rPr>
        <w:t>339 putative microsatellites were found, of which 32 were tested on 52 individuals</w:t>
      </w:r>
      <w:r w:rsidR="000D5130" w:rsidRPr="00533EAC">
        <w:rPr>
          <w:rFonts w:ascii="Arial" w:eastAsia="Calibri" w:hAnsi="Arial" w:cs="Arial"/>
          <w:color w:val="000000" w:themeColor="text1"/>
          <w:lang w:val="en-ZA"/>
        </w:rPr>
        <w:t xml:space="preserve"> collected </w:t>
      </w:r>
      <w:r w:rsidR="00EA73D8" w:rsidRPr="00533EAC">
        <w:rPr>
          <w:rFonts w:ascii="Arial" w:eastAsia="Calibri" w:hAnsi="Arial" w:cs="Arial"/>
          <w:color w:val="000000" w:themeColor="text1"/>
          <w:lang w:val="en-ZA"/>
        </w:rPr>
        <w:t>along the south-east coast of</w:t>
      </w:r>
      <w:r w:rsidR="000D5130" w:rsidRPr="00533EAC">
        <w:rPr>
          <w:rFonts w:ascii="Arial" w:eastAsia="Calibri" w:hAnsi="Arial" w:cs="Arial"/>
          <w:color w:val="000000" w:themeColor="text1"/>
          <w:lang w:val="en-ZA"/>
        </w:rPr>
        <w:t xml:space="preserve"> South Africa</w:t>
      </w:r>
      <w:r w:rsidRPr="00533EAC">
        <w:rPr>
          <w:rFonts w:ascii="Arial" w:eastAsia="Calibri" w:hAnsi="Arial" w:cs="Arial"/>
          <w:color w:val="000000" w:themeColor="text1"/>
          <w:lang w:val="en-ZA"/>
        </w:rPr>
        <w:t xml:space="preserve">. </w:t>
      </w:r>
      <w:r w:rsidR="004D7887" w:rsidRPr="00533EAC">
        <w:rPr>
          <w:rFonts w:ascii="Arial" w:eastAsia="Calibri" w:hAnsi="Arial" w:cs="Arial"/>
          <w:color w:val="000000" w:themeColor="text1"/>
          <w:lang w:val="en-ZA"/>
        </w:rPr>
        <w:t xml:space="preserve">Of those, </w:t>
      </w:r>
      <w:r w:rsidRPr="00533EAC">
        <w:rPr>
          <w:rFonts w:ascii="Arial" w:eastAsia="Calibri" w:hAnsi="Arial" w:cs="Arial"/>
          <w:color w:val="000000" w:themeColor="text1"/>
          <w:lang w:val="en-ZA"/>
        </w:rPr>
        <w:t xml:space="preserve">five microsatellites cross-amplified </w:t>
      </w:r>
      <w:r w:rsidR="004D7887" w:rsidRPr="00533EAC">
        <w:rPr>
          <w:rFonts w:ascii="Arial" w:eastAsia="Calibri" w:hAnsi="Arial" w:cs="Arial"/>
          <w:color w:val="000000" w:themeColor="text1"/>
          <w:lang w:val="en-ZA"/>
        </w:rPr>
        <w:t xml:space="preserve">consistently </w:t>
      </w:r>
      <w:r w:rsidRPr="00533EAC">
        <w:rPr>
          <w:rFonts w:ascii="Arial" w:eastAsia="Calibri" w:hAnsi="Arial" w:cs="Arial"/>
          <w:color w:val="000000" w:themeColor="text1"/>
          <w:lang w:val="en-ZA"/>
        </w:rPr>
        <w:t>in both species</w:t>
      </w:r>
      <w:r w:rsidR="004D7887" w:rsidRPr="00533EAC">
        <w:rPr>
          <w:rFonts w:ascii="Arial" w:eastAsia="Calibri" w:hAnsi="Arial" w:cs="Arial"/>
          <w:color w:val="000000" w:themeColor="text1"/>
          <w:lang w:val="en-ZA"/>
        </w:rPr>
        <w:t>, and these were</w:t>
      </w:r>
      <w:r w:rsidRPr="00533EAC">
        <w:rPr>
          <w:rFonts w:ascii="Arial" w:eastAsia="Calibri" w:hAnsi="Arial" w:cs="Arial"/>
          <w:color w:val="000000" w:themeColor="text1"/>
          <w:lang w:val="en-ZA"/>
        </w:rPr>
        <w:t xml:space="preserve"> tested on a total of 260 </w:t>
      </w:r>
      <w:r w:rsidR="007943D0" w:rsidRPr="00533EAC">
        <w:rPr>
          <w:rFonts w:ascii="Arial" w:eastAsia="Calibri" w:hAnsi="Arial" w:cs="Arial"/>
          <w:color w:val="000000" w:themeColor="text1"/>
          <w:lang w:val="en-ZA"/>
        </w:rPr>
        <w:t>samples</w:t>
      </w:r>
      <w:r w:rsidRPr="00533EAC">
        <w:rPr>
          <w:rFonts w:ascii="Arial" w:eastAsia="Calibri" w:hAnsi="Arial" w:cs="Arial"/>
          <w:color w:val="000000" w:themeColor="text1"/>
          <w:lang w:val="en-ZA"/>
        </w:rPr>
        <w:t xml:space="preserve">. Additionally, we mapped the partial mitochondrial genome of </w:t>
      </w:r>
      <w:r w:rsidR="009723D3" w:rsidRPr="00533EAC">
        <w:rPr>
          <w:rFonts w:ascii="Arial" w:eastAsia="Calibri" w:hAnsi="Arial" w:cs="Arial"/>
          <w:color w:val="000000" w:themeColor="text1"/>
          <w:lang w:val="en-ZA"/>
        </w:rPr>
        <w:t>both</w:t>
      </w:r>
      <w:r w:rsidR="000D5130" w:rsidRPr="00533EAC">
        <w:rPr>
          <w:rFonts w:ascii="Arial" w:eastAsia="Calibri" w:hAnsi="Arial" w:cs="Arial"/>
          <w:color w:val="000000" w:themeColor="text1"/>
          <w:lang w:val="en-ZA"/>
        </w:rPr>
        <w:t xml:space="preserve"> species</w:t>
      </w:r>
      <w:r w:rsidRPr="00533EAC">
        <w:rPr>
          <w:rFonts w:ascii="Arial" w:eastAsia="Calibri" w:hAnsi="Arial" w:cs="Arial"/>
          <w:color w:val="000000" w:themeColor="text1"/>
          <w:lang w:val="en-ZA"/>
        </w:rPr>
        <w:t xml:space="preserve"> and identified the most variable regions</w:t>
      </w:r>
      <w:r w:rsidR="009723D3" w:rsidRPr="00533EAC">
        <w:rPr>
          <w:rFonts w:ascii="Arial" w:eastAsia="Calibri" w:hAnsi="Arial" w:cs="Arial"/>
          <w:color w:val="000000" w:themeColor="text1"/>
          <w:lang w:val="en-ZA"/>
        </w:rPr>
        <w:t xml:space="preserve"> by comparing individuals from all regions where they have been recorded (including western South Africa and northwest Africa)</w:t>
      </w:r>
      <w:r w:rsidRPr="00533EAC">
        <w:rPr>
          <w:rFonts w:ascii="Arial" w:eastAsia="Calibri" w:hAnsi="Arial" w:cs="Arial"/>
          <w:color w:val="000000" w:themeColor="text1"/>
          <w:lang w:val="en-ZA"/>
        </w:rPr>
        <w:t xml:space="preserve">. The </w:t>
      </w:r>
      <w:r w:rsidR="004D7887" w:rsidRPr="00533EAC">
        <w:rPr>
          <w:rFonts w:ascii="Arial" w:eastAsia="Calibri" w:hAnsi="Arial" w:cs="Arial"/>
          <w:color w:val="000000" w:themeColor="text1"/>
          <w:lang w:val="en-ZA"/>
        </w:rPr>
        <w:t xml:space="preserve">genetic markers developed here can </w:t>
      </w:r>
      <w:r w:rsidR="00DA22B5" w:rsidRPr="00533EAC">
        <w:rPr>
          <w:rFonts w:ascii="Arial" w:eastAsia="Calibri" w:hAnsi="Arial" w:cs="Arial"/>
          <w:color w:val="000000" w:themeColor="text1"/>
          <w:lang w:val="en-ZA"/>
        </w:rPr>
        <w:t xml:space="preserve">be </w:t>
      </w:r>
      <w:r w:rsidR="004D7887" w:rsidRPr="00533EAC">
        <w:rPr>
          <w:rFonts w:ascii="Arial" w:eastAsia="Calibri" w:hAnsi="Arial" w:cs="Arial"/>
          <w:color w:val="000000" w:themeColor="text1"/>
          <w:lang w:val="en-ZA"/>
        </w:rPr>
        <w:t xml:space="preserve">used </w:t>
      </w:r>
      <w:r w:rsidR="009723D3" w:rsidRPr="00533EAC">
        <w:rPr>
          <w:rFonts w:ascii="Arial" w:eastAsia="Calibri" w:hAnsi="Arial" w:cs="Arial"/>
          <w:color w:val="000000" w:themeColor="text1"/>
          <w:lang w:val="en-ZA"/>
        </w:rPr>
        <w:t xml:space="preserve">to conduct </w:t>
      </w:r>
      <w:r w:rsidR="004D7887" w:rsidRPr="00533EAC">
        <w:rPr>
          <w:rFonts w:ascii="Arial" w:eastAsia="Calibri" w:hAnsi="Arial" w:cs="Arial"/>
          <w:color w:val="000000" w:themeColor="text1"/>
          <w:lang w:val="en-ZA"/>
        </w:rPr>
        <w:t>population genetic studies</w:t>
      </w:r>
      <w:r w:rsidR="00523BAE" w:rsidRPr="00533EAC">
        <w:rPr>
          <w:rFonts w:ascii="Arial" w:eastAsia="Calibri" w:hAnsi="Arial" w:cs="Arial"/>
          <w:color w:val="000000" w:themeColor="text1"/>
          <w:lang w:val="en-ZA"/>
        </w:rPr>
        <w:t>,</w:t>
      </w:r>
      <w:r w:rsidR="004C739D" w:rsidRPr="00533EAC">
        <w:rPr>
          <w:rFonts w:ascii="Arial" w:eastAsia="Calibri" w:hAnsi="Arial" w:cs="Arial"/>
          <w:color w:val="000000" w:themeColor="text1"/>
          <w:lang w:val="en-ZA"/>
        </w:rPr>
        <w:t xml:space="preserve"> t</w:t>
      </w:r>
      <w:r w:rsidR="00592DD5" w:rsidRPr="00533EAC">
        <w:rPr>
          <w:rFonts w:ascii="Arial" w:eastAsia="Calibri" w:hAnsi="Arial" w:cs="Arial"/>
          <w:color w:val="000000" w:themeColor="text1"/>
          <w:lang w:val="en-ZA"/>
        </w:rPr>
        <w:t>o</w:t>
      </w:r>
      <w:r w:rsidR="004C739D" w:rsidRPr="00533EAC">
        <w:rPr>
          <w:rFonts w:ascii="Arial" w:eastAsia="Calibri" w:hAnsi="Arial" w:cs="Arial"/>
          <w:color w:val="000000" w:themeColor="text1"/>
          <w:lang w:val="en-ZA"/>
        </w:rPr>
        <w:t xml:space="preserve"> monitor range shifts </w:t>
      </w:r>
      <w:r w:rsidR="00592DD5" w:rsidRPr="00533EAC">
        <w:rPr>
          <w:rFonts w:ascii="Arial" w:eastAsia="Calibri" w:hAnsi="Arial" w:cs="Arial"/>
          <w:color w:val="000000" w:themeColor="text1"/>
          <w:lang w:val="en-ZA"/>
        </w:rPr>
        <w:t>under</w:t>
      </w:r>
      <w:r w:rsidR="004C739D" w:rsidRPr="00533EAC">
        <w:rPr>
          <w:rFonts w:ascii="Arial" w:eastAsia="Calibri" w:hAnsi="Arial" w:cs="Arial"/>
          <w:color w:val="000000" w:themeColor="text1"/>
          <w:lang w:val="en-ZA"/>
        </w:rPr>
        <w:t xml:space="preserve"> contemporary climate change, and </w:t>
      </w:r>
      <w:r w:rsidR="00523BAE" w:rsidRPr="00533EAC">
        <w:rPr>
          <w:rFonts w:ascii="Arial" w:eastAsia="Calibri" w:hAnsi="Arial" w:cs="Arial"/>
          <w:color w:val="000000" w:themeColor="text1"/>
          <w:lang w:val="en-ZA"/>
        </w:rPr>
        <w:t xml:space="preserve">to </w:t>
      </w:r>
      <w:r w:rsidR="004C739D" w:rsidRPr="00533EAC">
        <w:rPr>
          <w:rFonts w:ascii="Arial" w:eastAsia="Calibri" w:hAnsi="Arial" w:cs="Arial"/>
          <w:color w:val="000000" w:themeColor="text1"/>
          <w:lang w:val="en-ZA"/>
        </w:rPr>
        <w:t>help</w:t>
      </w:r>
      <w:r w:rsidR="000D5130" w:rsidRPr="00533EAC">
        <w:rPr>
          <w:rFonts w:ascii="Arial" w:eastAsia="Calibri" w:hAnsi="Arial" w:cs="Arial"/>
          <w:color w:val="000000" w:themeColor="text1"/>
          <w:lang w:val="en-ZA"/>
        </w:rPr>
        <w:t xml:space="preserve"> </w:t>
      </w:r>
      <w:r w:rsidR="004C739D" w:rsidRPr="00533EAC">
        <w:rPr>
          <w:rFonts w:ascii="Arial" w:eastAsia="Calibri" w:hAnsi="Arial" w:cs="Arial"/>
          <w:color w:val="000000" w:themeColor="text1"/>
          <w:lang w:val="en-ZA"/>
        </w:rPr>
        <w:t>preserv</w:t>
      </w:r>
      <w:r w:rsidR="00365263" w:rsidRPr="00533EAC">
        <w:rPr>
          <w:rFonts w:ascii="Arial" w:eastAsia="Calibri" w:hAnsi="Arial" w:cs="Arial"/>
          <w:color w:val="000000" w:themeColor="text1"/>
          <w:lang w:val="en-ZA"/>
        </w:rPr>
        <w:t>ing</w:t>
      </w:r>
      <w:r w:rsidR="004C739D" w:rsidRPr="00533EAC">
        <w:rPr>
          <w:rFonts w:ascii="Arial" w:eastAsia="Calibri" w:hAnsi="Arial" w:cs="Arial"/>
          <w:color w:val="000000" w:themeColor="text1"/>
          <w:lang w:val="en-ZA"/>
        </w:rPr>
        <w:t xml:space="preserve"> ecosystem functioning along African coastlines.</w:t>
      </w:r>
    </w:p>
    <w:p w14:paraId="749594A3" w14:textId="77777777" w:rsidR="005633D6" w:rsidRPr="00533EAC" w:rsidRDefault="005633D6" w:rsidP="00C05A32">
      <w:pPr>
        <w:spacing w:after="0" w:line="360" w:lineRule="auto"/>
        <w:jc w:val="both"/>
        <w:rPr>
          <w:rFonts w:ascii="Arial" w:eastAsia="Calibri" w:hAnsi="Arial" w:cs="Arial"/>
          <w:color w:val="000000" w:themeColor="text1"/>
          <w:lang w:val="en-ZA"/>
        </w:rPr>
      </w:pPr>
    </w:p>
    <w:p w14:paraId="29741AF1" w14:textId="77192D24"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b/>
          <w:color w:val="000000" w:themeColor="text1"/>
          <w:lang w:val="en-ZA"/>
        </w:rPr>
        <w:t>Keywords:</w:t>
      </w:r>
      <w:r w:rsidRPr="00533EAC">
        <w:rPr>
          <w:rFonts w:ascii="Arial" w:eastAsia="Calibri" w:hAnsi="Arial" w:cs="Arial"/>
          <w:color w:val="000000" w:themeColor="text1"/>
          <w:lang w:val="en-ZA"/>
        </w:rPr>
        <w:t xml:space="preserve"> ascidians</w:t>
      </w:r>
      <w:r w:rsidR="00C12A5A"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Illumina sequencing</w:t>
      </w:r>
      <w:r w:rsidR="00C12A5A"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RAD-</w:t>
      </w:r>
      <w:proofErr w:type="spellStart"/>
      <w:r w:rsidRPr="00533EAC">
        <w:rPr>
          <w:rFonts w:ascii="Arial" w:eastAsia="Calibri" w:hAnsi="Arial" w:cs="Arial"/>
          <w:color w:val="000000" w:themeColor="text1"/>
          <w:lang w:val="en-ZA"/>
        </w:rPr>
        <w:t>seq</w:t>
      </w:r>
      <w:proofErr w:type="spellEnd"/>
      <w:r w:rsidR="00C12A5A"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microsatellites</w:t>
      </w:r>
      <w:r w:rsidR="00C12A5A"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mitogenome</w:t>
      </w:r>
      <w:r w:rsidR="00C12A5A" w:rsidRPr="00533EAC">
        <w:rPr>
          <w:rFonts w:ascii="Arial" w:eastAsia="Calibri" w:hAnsi="Arial" w:cs="Arial"/>
          <w:color w:val="000000" w:themeColor="text1"/>
          <w:lang w:val="en-ZA"/>
        </w:rPr>
        <w:t>, STRs</w:t>
      </w:r>
      <w:r w:rsidR="00365263" w:rsidRPr="00533EAC">
        <w:rPr>
          <w:rFonts w:ascii="Arial" w:eastAsia="Calibri" w:hAnsi="Arial" w:cs="Arial"/>
          <w:color w:val="000000" w:themeColor="text1"/>
          <w:lang w:val="en-ZA"/>
        </w:rPr>
        <w:t>.</w:t>
      </w:r>
    </w:p>
    <w:p w14:paraId="663A4E6A" w14:textId="77777777" w:rsidR="005633D6" w:rsidRPr="00533EAC" w:rsidRDefault="005633D6" w:rsidP="00C05A32">
      <w:pPr>
        <w:spacing w:after="0" w:line="360" w:lineRule="auto"/>
        <w:jc w:val="both"/>
        <w:rPr>
          <w:rFonts w:ascii="Arial" w:eastAsia="Calibri" w:hAnsi="Arial" w:cs="Arial"/>
          <w:color w:val="000000" w:themeColor="text1"/>
          <w:lang w:val="en-ZA"/>
        </w:rPr>
      </w:pPr>
    </w:p>
    <w:p w14:paraId="0AA30BB6" w14:textId="77777777" w:rsidR="00365263" w:rsidRPr="00533EAC" w:rsidRDefault="00365263">
      <w:pPr>
        <w:rPr>
          <w:rFonts w:ascii="Arial" w:eastAsia="Calibri" w:hAnsi="Arial" w:cs="Arial"/>
          <w:b/>
          <w:color w:val="000000" w:themeColor="text1"/>
          <w:lang w:val="en-ZA"/>
        </w:rPr>
      </w:pPr>
      <w:r w:rsidRPr="00533EAC">
        <w:rPr>
          <w:rFonts w:ascii="Arial" w:eastAsia="Calibri" w:hAnsi="Arial" w:cs="Arial"/>
          <w:b/>
          <w:color w:val="000000" w:themeColor="text1"/>
          <w:lang w:val="en-ZA"/>
        </w:rPr>
        <w:br w:type="page"/>
      </w:r>
    </w:p>
    <w:p w14:paraId="3C1737C0" w14:textId="5B4F41FA" w:rsidR="005633D6" w:rsidRPr="00533EAC" w:rsidRDefault="005633D6" w:rsidP="00C05A32">
      <w:pPr>
        <w:spacing w:after="0" w:line="360" w:lineRule="auto"/>
        <w:jc w:val="both"/>
        <w:rPr>
          <w:rFonts w:ascii="Arial" w:eastAsia="Calibri" w:hAnsi="Arial" w:cs="Arial"/>
          <w:b/>
          <w:color w:val="000000" w:themeColor="text1"/>
          <w:lang w:val="en-ZA"/>
        </w:rPr>
      </w:pPr>
      <w:r w:rsidRPr="00533EAC">
        <w:rPr>
          <w:rFonts w:ascii="Arial" w:eastAsia="Calibri" w:hAnsi="Arial" w:cs="Arial"/>
          <w:b/>
          <w:color w:val="000000" w:themeColor="text1"/>
          <w:lang w:val="en-ZA"/>
        </w:rPr>
        <w:lastRenderedPageBreak/>
        <w:t>Introduction</w:t>
      </w:r>
    </w:p>
    <w:p w14:paraId="0F0DE61D" w14:textId="77777777" w:rsidR="008815A6" w:rsidRPr="00533EAC" w:rsidRDefault="008815A6" w:rsidP="00C05A32">
      <w:pPr>
        <w:spacing w:after="0" w:line="360" w:lineRule="auto"/>
        <w:jc w:val="both"/>
        <w:rPr>
          <w:rFonts w:ascii="Arial" w:eastAsia="Calibri" w:hAnsi="Arial" w:cs="Arial"/>
          <w:color w:val="000000" w:themeColor="text1"/>
          <w:lang w:val="en-ZA"/>
        </w:rPr>
      </w:pPr>
    </w:p>
    <w:p w14:paraId="61C2A18E" w14:textId="316BE573"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It</w:t>
      </w:r>
      <w:r w:rsidR="005F6CAB" w:rsidRPr="00533EAC">
        <w:rPr>
          <w:rFonts w:ascii="Arial" w:eastAsia="Calibri" w:hAnsi="Arial" w:cs="Arial"/>
          <w:color w:val="000000" w:themeColor="text1"/>
          <w:lang w:val="en-ZA"/>
        </w:rPr>
        <w:t xml:space="preserve"> is widely accepted that</w:t>
      </w:r>
      <w:r w:rsidRPr="00533EAC">
        <w:rPr>
          <w:rFonts w:ascii="Arial" w:eastAsia="Calibri" w:hAnsi="Arial" w:cs="Arial"/>
          <w:color w:val="000000" w:themeColor="text1"/>
          <w:lang w:val="en-ZA"/>
        </w:rPr>
        <w:t xml:space="preserve"> the development of new </w:t>
      </w:r>
      <w:r w:rsidR="0019763E" w:rsidRPr="00533EAC">
        <w:rPr>
          <w:rFonts w:ascii="Arial" w:eastAsia="Calibri" w:hAnsi="Arial" w:cs="Arial"/>
          <w:color w:val="000000" w:themeColor="text1"/>
          <w:lang w:val="en-ZA"/>
        </w:rPr>
        <w:t>molecular tools</w:t>
      </w:r>
      <w:r w:rsidRPr="00533EAC">
        <w:rPr>
          <w:rFonts w:ascii="Arial" w:eastAsia="Calibri" w:hAnsi="Arial" w:cs="Arial"/>
          <w:color w:val="000000" w:themeColor="text1"/>
          <w:lang w:val="en-ZA"/>
        </w:rPr>
        <w:t xml:space="preserve"> to investigate population genetics and phylogenetics can </w:t>
      </w:r>
      <w:r w:rsidR="00F64A62" w:rsidRPr="00533EAC">
        <w:rPr>
          <w:rFonts w:ascii="Arial" w:eastAsia="Calibri" w:hAnsi="Arial" w:cs="Arial"/>
          <w:color w:val="000000" w:themeColor="text1"/>
          <w:lang w:val="en-ZA"/>
        </w:rPr>
        <w:t xml:space="preserve">support </w:t>
      </w:r>
      <w:r w:rsidRPr="00533EAC">
        <w:rPr>
          <w:rFonts w:ascii="Arial" w:eastAsia="Calibri" w:hAnsi="Arial" w:cs="Arial"/>
          <w:color w:val="000000" w:themeColor="text1"/>
          <w:lang w:val="en-ZA"/>
        </w:rPr>
        <w:t xml:space="preserve">biodiversity </w:t>
      </w:r>
      <w:r w:rsidR="007F47C4" w:rsidRPr="00533EAC">
        <w:rPr>
          <w:rFonts w:ascii="Arial" w:eastAsia="Calibri" w:hAnsi="Arial" w:cs="Arial"/>
          <w:color w:val="000000" w:themeColor="text1"/>
          <w:lang w:val="en-ZA"/>
        </w:rPr>
        <w:t xml:space="preserve">conservation actions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{"citationItems":[{"id":"ITEM-1","itemData":{"DOI":"10.3389/fmars.2017.00107","ISSN":"22967745","abstract":"Many ocean policies mandate integrated, ecosystem-based approaches to marine monitoring, driving a global need for efficient, low-cost bioindicators of marine ecological quality. Most traditional methods to assess biological quality rely on specialized expertise to provide visual identification of a limited set of specific taxonomic groups, a time-consuming process that can provide a narrow view of ecological status. In addition, microbial assemblages drive food webs but are not amenable to visual inspection and thus are largely excluded from detailed inventory. Molecular-based assessments of biodiversity and ecosystem function offer advantages over traditional methods and are increasingly being generated for a suite of taxa using a \"microbes to mammals\" or \"barcodes to biomes\" approach. Progress in these efforts coupled with continued improvements in high-throughput sequencing and bioinformatics pave the way for sequence data to be employed in formal integrated ecosystem evaluation, including food web assessments, as called for in the European Union Marine Strategy Framework Directive. DNA sequencing of bioindicators, both traditional (e.g., benthic macroinvertebrates, ichthyoplankton) and emerging (e.g., microbial assemblages, fish via eDNA), promises to improve assessment of marine biological quality by increasing the breadth, depth, and throughput of information and by reducing costs and reliance on specialized taxonomic expertise.","author":[{"dropping-particle":"","family":"Goodwin","given":"Kelly D","non-dropping-particle":"","parse-names":false,"suffix":""},{"dropping-particle":"","family":"Thompson","given":"Luke R","non-dropping-particle":"","parse-names":false,"suffix":""},{"dropping-particle":"","family":"Duarte","given":"Bernardo","non-dropping-particle":"","parse-names":false,"suffix":""},{"dropping-particle":"","family":"Kahlke","given":"Tim","non-dropping-particle":"","parse-names":false,"suffix":""},{"dropping-particle":"","family":"Thompson","given":"Andrew R","non-dropping-particle":"","parse-names":false,"suffix":""},{"dropping-particle":"","family":"Marques","given":"João C","non-dropping-particle":"","parse-names":false,"suffix":""},{"dropping-particle":"","family":"Caçador","given":"Isabel","non-dropping-particle":"","parse-names":false,"suffix":""}],"container-title":"Frontiers in Marine Science","id":"ITEM-1","issue":"MAY","issued":{"date-parts":[["2017"]]},"page":"107","title":"DNA sequencing as a tool to monitor marine ecological status","type":"article","volume":"4"},"uris":["http://www.mendeley.com/documents/?uuid=819e5e8f-f5dc-3bac-b562-16edd328c046"]}],"mendeley":{"formattedCitation":"(Goodwin et al. 2017)","plainTextFormattedCitation":"(Goodwin et al. 2017)","previouslyFormattedCitation":"(Goodwin et al. 2017)"},"properties":{"noteIndex":0},"schema":"https://github.com/citation-style-language/schema/raw/master/csl-citation.json"}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(Goodwin et al. 2017)</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t>
      </w:r>
      <w:r w:rsidR="004C739D" w:rsidRPr="00533EAC">
        <w:rPr>
          <w:rFonts w:ascii="Arial" w:eastAsia="Calibri" w:hAnsi="Arial" w:cs="Arial"/>
          <w:color w:val="000000" w:themeColor="text1"/>
          <w:lang w:val="en-ZA"/>
        </w:rPr>
        <w:t xml:space="preserve">This is particularly true in cases where </w:t>
      </w:r>
      <w:r w:rsidR="009B688B" w:rsidRPr="00533EAC">
        <w:rPr>
          <w:rFonts w:ascii="Arial" w:eastAsia="Calibri" w:hAnsi="Arial" w:cs="Arial"/>
          <w:color w:val="000000" w:themeColor="text1"/>
          <w:lang w:val="en-ZA"/>
        </w:rPr>
        <w:t>non-molecular</w:t>
      </w:r>
      <w:r w:rsidR="004C739D" w:rsidRPr="00533EAC">
        <w:rPr>
          <w:rFonts w:ascii="Arial" w:eastAsia="Calibri" w:hAnsi="Arial" w:cs="Arial"/>
          <w:color w:val="000000" w:themeColor="text1"/>
          <w:lang w:val="en-ZA"/>
        </w:rPr>
        <w:t xml:space="preserve"> methods </w:t>
      </w:r>
      <w:r w:rsidR="007F47C4" w:rsidRPr="00533EAC">
        <w:rPr>
          <w:rFonts w:ascii="Arial" w:eastAsia="Calibri" w:hAnsi="Arial" w:cs="Arial"/>
          <w:color w:val="000000" w:themeColor="text1"/>
          <w:lang w:val="en-ZA"/>
        </w:rPr>
        <w:t xml:space="preserve">alone </w:t>
      </w:r>
      <w:r w:rsidR="004C739D" w:rsidRPr="00533EAC">
        <w:rPr>
          <w:rFonts w:ascii="Arial" w:eastAsia="Calibri" w:hAnsi="Arial" w:cs="Arial"/>
          <w:color w:val="000000" w:themeColor="text1"/>
          <w:lang w:val="en-ZA"/>
        </w:rPr>
        <w:t xml:space="preserve">are insufficient to readily distinguish between closely related </w:t>
      </w:r>
      <w:r w:rsidR="00F42826" w:rsidRPr="00533EAC">
        <w:rPr>
          <w:rFonts w:ascii="Arial" w:eastAsia="Calibri" w:hAnsi="Arial" w:cs="Arial"/>
          <w:color w:val="000000" w:themeColor="text1"/>
          <w:lang w:val="en-ZA"/>
        </w:rPr>
        <w:t xml:space="preserve">species </w:t>
      </w:r>
      <w:r w:rsidR="004C739D" w:rsidRPr="00533EAC">
        <w:rPr>
          <w:rFonts w:ascii="Arial" w:eastAsia="Calibri" w:hAnsi="Arial" w:cs="Arial"/>
          <w:color w:val="000000" w:themeColor="text1"/>
          <w:lang w:val="en-ZA"/>
        </w:rPr>
        <w:t>and</w:t>
      </w:r>
      <w:r w:rsidR="00F42826" w:rsidRPr="00533EAC">
        <w:rPr>
          <w:rFonts w:ascii="Arial" w:eastAsia="Calibri" w:hAnsi="Arial" w:cs="Arial"/>
          <w:color w:val="000000" w:themeColor="text1"/>
          <w:lang w:val="en-ZA"/>
        </w:rPr>
        <w:t>/or</w:t>
      </w:r>
      <w:r w:rsidR="004C739D" w:rsidRPr="00533EAC">
        <w:rPr>
          <w:rFonts w:ascii="Arial" w:eastAsia="Calibri" w:hAnsi="Arial" w:cs="Arial"/>
          <w:color w:val="000000" w:themeColor="text1"/>
          <w:lang w:val="en-ZA"/>
        </w:rPr>
        <w:t xml:space="preserve"> morphologically conserved species, or </w:t>
      </w:r>
      <w:r w:rsidR="00F42826" w:rsidRPr="00533EAC">
        <w:rPr>
          <w:rFonts w:ascii="Arial" w:eastAsia="Calibri" w:hAnsi="Arial" w:cs="Arial"/>
          <w:color w:val="000000" w:themeColor="text1"/>
          <w:lang w:val="en-ZA"/>
        </w:rPr>
        <w:t>to detect</w:t>
      </w:r>
      <w:r w:rsidR="004C739D" w:rsidRPr="00533EAC">
        <w:rPr>
          <w:rFonts w:ascii="Arial" w:eastAsia="Calibri" w:hAnsi="Arial" w:cs="Arial"/>
          <w:color w:val="000000" w:themeColor="text1"/>
          <w:lang w:val="en-ZA"/>
        </w:rPr>
        <w:t xml:space="preserve"> range shifts </w:t>
      </w:r>
      <w:r w:rsidR="00F42826" w:rsidRPr="00533EAC">
        <w:rPr>
          <w:rFonts w:ascii="Arial" w:eastAsia="Calibri" w:hAnsi="Arial" w:cs="Arial"/>
          <w:color w:val="000000" w:themeColor="text1"/>
          <w:lang w:val="en-ZA"/>
        </w:rPr>
        <w:t>and</w:t>
      </w:r>
      <w:r w:rsidR="004C739D" w:rsidRPr="00533EAC">
        <w:rPr>
          <w:rFonts w:ascii="Arial" w:eastAsia="Calibri" w:hAnsi="Arial" w:cs="Arial"/>
          <w:color w:val="000000" w:themeColor="text1"/>
          <w:lang w:val="en-ZA"/>
        </w:rPr>
        <w:t xml:space="preserve"> hybridisation</w:t>
      </w:r>
      <w:r w:rsidR="00181FAC" w:rsidRPr="00533EAC">
        <w:rPr>
          <w:rFonts w:ascii="Arial" w:eastAsia="Calibri" w:hAnsi="Arial" w:cs="Arial"/>
          <w:color w:val="000000" w:themeColor="text1"/>
          <w:lang w:val="en-ZA"/>
        </w:rPr>
        <w:t xml:space="preserve"> rates</w:t>
      </w:r>
      <w:r w:rsidR="00B358AA" w:rsidRPr="00533EAC">
        <w:rPr>
          <w:rFonts w:ascii="Arial" w:eastAsia="Calibri" w:hAnsi="Arial" w:cs="Arial"/>
          <w:color w:val="000000" w:themeColor="text1"/>
          <w:lang w:val="en-ZA"/>
        </w:rPr>
        <w:t xml:space="preserve"> </w:t>
      </w:r>
      <w:r w:rsidR="00B358AA" w:rsidRPr="00533EAC">
        <w:rPr>
          <w:rFonts w:ascii="Arial" w:eastAsia="Calibri" w:hAnsi="Arial" w:cs="Arial"/>
          <w:color w:val="000000" w:themeColor="text1"/>
          <w:lang w:val="en-ZA"/>
        </w:rPr>
        <w:fldChar w:fldCharType="begin" w:fldLock="1"/>
      </w:r>
      <w:r w:rsidR="00774474" w:rsidRPr="00533EAC">
        <w:rPr>
          <w:rFonts w:ascii="Arial" w:eastAsia="Calibri" w:hAnsi="Arial" w:cs="Arial"/>
          <w:color w:val="000000" w:themeColor="text1"/>
          <w:lang w:val="en-ZA"/>
        </w:rPr>
        <w:instrText>ADDIN CSL_CITATION {"citationItems":[{"id":"ITEM-1","itemData":{"DOI":"10.1111/j.1755-0998.2009.02534.x","ISBN":"1755-098X","ISSN":"1755098X","PMID":"21564741","abstract":"We describe polymerase chain reaction primers that amplify the low-copy nuclear adenine nucleotide transporter gene in decapod crustaceans. These were tested on 35 species from 14 decapod families, and a single polymerase chain reaction product amplified in 32 species. Of 49 sequences generated, only two did not contain an intron, and the longest intron identified was more than 834 nucleotides in length. The amplified fragment is likely to be useful at various taxonomic levels. While the intron is suitable for phylogeographical/population genetic studies and to identify cryptic speciation, the second exon region is sufficiently long to provide signal at both the phylogeographical and phylogenetic levels.","author":[{"dropping-particle":"","family":"Teske","given":"Peter R.","non-dropping-particle":"","parse-names":false,"suffix":""},{"dropping-particle":"","family":"Beheregaray","given":"Luciano B.","non-dropping-particle":"","parse-names":false,"suffix":""}],"container-title":"Molecular Ecology Resources","id":"ITEM-1","issue":"3","issued":{"date-parts":[["2009"]]},"page":"774-776","title":"Intron-spanning primers for the amplification of the nuclear ANT gene in decapod crustaceans","type":"article-journal","volume":"9"},"uris":["http://www.mendeley.com/documents/?uuid=7a79bbfc-b7d8-34ed-98e1-dbefd6235f31"]}],"mendeley":{"formattedCitation":"(Teske and Beheregaray 2009)","plainTextFormattedCitation":"(Teske and Beheregaray 2009)","previouslyFormattedCitation":"(Teske and Beheregaray 2009)"},"properties":{"noteIndex":0},"schema":"https://github.com/citation-style-language/schema/raw/master/csl-citation.json"}</w:instrText>
      </w:r>
      <w:r w:rsidR="00B358AA" w:rsidRPr="00533EAC">
        <w:rPr>
          <w:rFonts w:ascii="Arial" w:eastAsia="Calibri" w:hAnsi="Arial" w:cs="Arial"/>
          <w:color w:val="000000" w:themeColor="text1"/>
          <w:lang w:val="en-ZA"/>
        </w:rPr>
        <w:fldChar w:fldCharType="separate"/>
      </w:r>
      <w:r w:rsidR="00B358AA" w:rsidRPr="00533EAC">
        <w:rPr>
          <w:rFonts w:ascii="Arial" w:eastAsia="Calibri" w:hAnsi="Arial" w:cs="Arial"/>
          <w:noProof/>
          <w:color w:val="000000" w:themeColor="text1"/>
          <w:lang w:val="en-ZA"/>
        </w:rPr>
        <w:t>(Teske and Beheregaray 2009)</w:t>
      </w:r>
      <w:r w:rsidR="00B358AA" w:rsidRPr="00533EAC">
        <w:rPr>
          <w:rFonts w:ascii="Arial" w:eastAsia="Calibri" w:hAnsi="Arial" w:cs="Arial"/>
          <w:color w:val="000000" w:themeColor="text1"/>
          <w:lang w:val="en-ZA"/>
        </w:rPr>
        <w:fldChar w:fldCharType="end"/>
      </w:r>
      <w:r w:rsidR="004C739D" w:rsidRPr="00533EAC">
        <w:rPr>
          <w:rFonts w:ascii="Arial" w:eastAsia="Calibri" w:hAnsi="Arial" w:cs="Arial"/>
          <w:color w:val="000000" w:themeColor="text1"/>
          <w:lang w:val="en-ZA"/>
        </w:rPr>
        <w:t>.</w:t>
      </w:r>
      <w:commentRangeStart w:id="1"/>
      <w:commentRangeEnd w:id="1"/>
    </w:p>
    <w:p w14:paraId="1D74CC3E" w14:textId="77777777" w:rsidR="00827176" w:rsidRPr="00533EAC" w:rsidRDefault="00827176" w:rsidP="00C05A32">
      <w:pPr>
        <w:spacing w:after="0" w:line="360" w:lineRule="auto"/>
        <w:jc w:val="both"/>
        <w:rPr>
          <w:rFonts w:ascii="Arial" w:eastAsia="Calibri" w:hAnsi="Arial" w:cs="Arial"/>
          <w:color w:val="000000" w:themeColor="text1"/>
          <w:lang w:val="en-ZA"/>
        </w:rPr>
      </w:pPr>
    </w:p>
    <w:p w14:paraId="02BCB881" w14:textId="1B526D99" w:rsidR="005633D6" w:rsidRPr="00533EAC" w:rsidRDefault="007F47C4"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A widely used genetic marker for biodiversity conservation is the so-called m</w:t>
      </w:r>
      <w:r w:rsidR="005633D6" w:rsidRPr="00533EAC">
        <w:rPr>
          <w:rFonts w:ascii="Arial" w:eastAsia="Calibri" w:hAnsi="Arial" w:cs="Arial"/>
          <w:color w:val="000000" w:themeColor="text1"/>
          <w:lang w:val="en-ZA"/>
        </w:rPr>
        <w:t>icrosatellites</w:t>
      </w:r>
      <w:r w:rsidRPr="00533EAC">
        <w:rPr>
          <w:rFonts w:ascii="Arial" w:eastAsia="Calibri" w:hAnsi="Arial" w:cs="Arial"/>
          <w:color w:val="000000" w:themeColor="text1"/>
          <w:lang w:val="en-ZA"/>
        </w:rPr>
        <w:t xml:space="preserve"> or</w:t>
      </w:r>
      <w:r w:rsidR="005633D6" w:rsidRPr="00533EAC">
        <w:rPr>
          <w:rFonts w:ascii="Arial" w:eastAsia="Calibri" w:hAnsi="Arial" w:cs="Arial"/>
          <w:color w:val="000000" w:themeColor="text1"/>
          <w:lang w:val="en-ZA"/>
        </w:rPr>
        <w:t xml:space="preserve"> </w:t>
      </w:r>
      <w:r w:rsidR="00827176" w:rsidRPr="00533EAC">
        <w:rPr>
          <w:rFonts w:ascii="Arial" w:eastAsia="Calibri" w:hAnsi="Arial" w:cs="Arial"/>
          <w:color w:val="000000" w:themeColor="text1"/>
          <w:lang w:val="en-ZA"/>
        </w:rPr>
        <w:t>short tandem repeats</w:t>
      </w:r>
      <w:r w:rsidRPr="00533EAC">
        <w:rPr>
          <w:rFonts w:ascii="Arial" w:eastAsia="Calibri" w:hAnsi="Arial" w:cs="Arial"/>
          <w:color w:val="000000" w:themeColor="text1"/>
          <w:lang w:val="en-ZA"/>
        </w:rPr>
        <w:t xml:space="preserve"> </w:t>
      </w:r>
      <w:r w:rsidR="002051CB"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STRs</w:t>
      </w:r>
      <w:r w:rsidR="005633D6" w:rsidRPr="00533EAC">
        <w:rPr>
          <w:rFonts w:ascii="Arial" w:eastAsia="Calibri" w:hAnsi="Arial" w:cs="Arial"/>
          <w:color w:val="000000" w:themeColor="text1"/>
          <w:lang w:val="en-ZA"/>
        </w:rPr>
        <w:t xml:space="preserve">), </w:t>
      </w:r>
      <w:r w:rsidR="002051CB" w:rsidRPr="00533EAC">
        <w:rPr>
          <w:rFonts w:ascii="Arial" w:eastAsia="Calibri" w:hAnsi="Arial" w:cs="Arial"/>
          <w:color w:val="000000" w:themeColor="text1"/>
          <w:lang w:val="en-ZA"/>
        </w:rPr>
        <w:t xml:space="preserve">which </w:t>
      </w:r>
      <w:r w:rsidR="005633D6" w:rsidRPr="00533EAC">
        <w:rPr>
          <w:rFonts w:ascii="Arial" w:eastAsia="Calibri" w:hAnsi="Arial" w:cs="Arial"/>
          <w:color w:val="000000" w:themeColor="text1"/>
          <w:lang w:val="en-ZA"/>
        </w:rPr>
        <w:t xml:space="preserve">are </w:t>
      </w:r>
      <w:proofErr w:type="spellStart"/>
      <w:r w:rsidR="0019763E" w:rsidRPr="00533EAC">
        <w:rPr>
          <w:rFonts w:ascii="Arial" w:eastAsia="Calibri" w:hAnsi="Arial" w:cs="Arial"/>
          <w:color w:val="000000" w:themeColor="text1"/>
          <w:lang w:val="en-ZA"/>
        </w:rPr>
        <w:t>codominant</w:t>
      </w:r>
      <w:r w:rsidR="00CA17EB" w:rsidRPr="00533EAC">
        <w:rPr>
          <w:rFonts w:ascii="Arial" w:eastAsia="Calibri" w:hAnsi="Arial" w:cs="Arial"/>
          <w:color w:val="000000" w:themeColor="text1"/>
          <w:lang w:val="en-ZA"/>
        </w:rPr>
        <w:t>ly</w:t>
      </w:r>
      <w:proofErr w:type="spellEnd"/>
      <w:r w:rsidR="0019763E" w:rsidRPr="00533EAC">
        <w:rPr>
          <w:rFonts w:ascii="Arial" w:eastAsia="Calibri" w:hAnsi="Arial" w:cs="Arial"/>
          <w:color w:val="000000" w:themeColor="text1"/>
          <w:lang w:val="en-ZA"/>
        </w:rPr>
        <w:t xml:space="preserve"> inherited </w:t>
      </w:r>
      <w:r w:rsidR="005633D6" w:rsidRPr="00533EAC">
        <w:rPr>
          <w:rFonts w:ascii="Arial" w:eastAsia="Calibri" w:hAnsi="Arial" w:cs="Arial"/>
          <w:color w:val="000000" w:themeColor="text1"/>
          <w:lang w:val="en-ZA"/>
        </w:rPr>
        <w:t>markers that are</w:t>
      </w:r>
      <w:r w:rsidR="0019763E" w:rsidRPr="00533EAC">
        <w:rPr>
          <w:rFonts w:ascii="Arial" w:eastAsia="Calibri" w:hAnsi="Arial" w:cs="Arial"/>
          <w:color w:val="000000" w:themeColor="text1"/>
          <w:lang w:val="en-ZA"/>
        </w:rPr>
        <w:t xml:space="preserve"> highly polymorphic</w:t>
      </w:r>
      <w:r w:rsidR="005633D6"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{"citationItems":[{"id":"ITEM-1","itemData":{"DOI":"10.1093/hmg/2.8.1123","ISSN":"09646906","abstract":"A total of 20,000 parent-offspring transfers of alleles were examined through the genotyping within 40 CEPH reference families of 28 short tandem repeat polymorphisms (STRPs) located on chromosome 19. Forty-seven initial mutation events were detected in the STRPs using DNA from transformed lymphoblastoid cell lines, but less than half (39%) could be verified using DNA from untransformed cells. None of the cases where three alleles were observed In a single Individual could be verified using DNA from untransformed cells. The average mutation rate for the chromosome 19 STRPs after correction for events which would not be detectable as Mendelian errors was 1.2 × 10-3 per locus per gamete per generation. This rate may have been Inflated by somatic as opposed to germline events. Observed mutation rates for individual STRPs ranged from 0 to 8 × 10-3. The average mutation rate for tetranucleotide STRPs was nearly four times higher than the average rate for dinucleotide STRPs. For determination of the mode of mutation, events Involving STRPs on other chromosomes were also examined. Of the events which were verified using DNA from untransformed lymphocytes or which were likely among those for which DNA from untransformed cells was not available: none were located at the sites of melotic recombination, 91% Involved the gain or loss of a single repeat unit, and 15 occurred In the male germline compared to 4 in the female germline (p = 0.01). © 1993 Oxford University Press.","author":[{"dropping-particle":"","family":"Weber","given":"James L","non-dropping-particle":"","parse-names":false,"suffix":""},{"dropping-particle":"","family":"Wong","given":"Carmen","non-dropping-particle":"","parse-names":false,"suffix":""}],"container-title":"Human Molecular Genetics","id":"ITEM-1","issue":"8","issued":{"date-parts":[["1993"]]},"page":"1123-1128","title":"Mutation of human short tandem repeats","type":"article-journal","volume":"2"},"uris":["http://www.mendeley.com/documents/?uuid=63b2545b-2f9d-3253-a01e-08fa002f55be"]}],"mendeley":{"formattedCitation":"(Weber and Wong 1993)","plainTextFormattedCitation":"(Weber and Wong 1993)","previouslyFormattedCitation":"(Weber and Wong 1993)"},"properties":{"noteIndex":0},"schema":"https://github.com/citation-style-language/schema/raw/master/csl-citation.json"}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(Weber and Wong 1993)</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They provide a tool to investigate small-scale resolution of demographic events and fine-scale population structure at a recent time-scale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 xml:space="preserve">ADDIN CSL_CITATION {"citationItems":[{"id":"ITEM-1","itemData":{"DOI":"10.1007/s12526-017-0672-9","ISSN":"18671624","abstract":"© 2017 Senckenberg Gesellschaft für Naturforschung and Springer-Verlag Berlin Heidelberg Studying the geographic scale of gene flow and population structure in marine populations can be a powerful tool with which to infer patterns of larval dispersal averaged across generations. Here, we describe the development of ten novel polymorphic microsatellite markers for an important endemic ascidian, Pyura chilensis, of the southeastern Pacific, and we report the results from fine-scale genetic structure analysis of 151 P. chilensis individuals sampled from five sites constituting </w:instrText>
      </w:r>
      <w:r w:rsidR="0097798B" w:rsidRPr="00533EAC">
        <w:rPr>
          <w:rFonts w:ascii="Cambria Math" w:eastAsia="Calibri" w:hAnsi="Cambria Math" w:cs="Cambria Math"/>
          <w:color w:val="000000" w:themeColor="text1"/>
          <w:lang w:val="en-ZA"/>
        </w:rPr>
        <w:instrText>∼</w:instrText>
      </w:r>
      <w:r w:rsidR="0097798B" w:rsidRPr="00533EAC">
        <w:rPr>
          <w:rFonts w:ascii="Arial" w:eastAsia="Calibri" w:hAnsi="Arial" w:cs="Arial"/>
          <w:color w:val="000000" w:themeColor="text1"/>
          <w:lang w:val="en-ZA"/>
        </w:rPr>
        <w:instrText>80 km of coastline in southern Chile. All microsatellite markers were highly polymorphic (number of alleles ranged from 12 to 36). Our results revealed significant deviations from Hardy–Weinberg equilibrium (HWE) for most loci, suggesting the presence of either null alleles or deviations from random mating within sampled sites. However, we found a significantly higher spatial autocorrelation and higher mean pairwise relatedness among individuals sampled from the same sites than would be expected if samples were randomly distributed across all sites; this suggests that spatial configuration and reproduction might not be random within sites. Our results indicate the presence of a weak but significant genetic structure between sites (overall F ST = 0.015, p &lt; 0.001). Despite the short pelagic larval duration of this species, geographic distance does not appear to correlate with genetic distances between sites. From the results gathered here, it seems possible that genetic structure at this spatial scale is driven to some extent by local population dynamics (deviations from random mating and/or a large proportion of larvae settling in proximity of relatives), yet infrequent long-distance dispersal events might also be responsible for the relatively weak spatial heterogeneity between sites. Overall, our results both highlight the utility of this new marker set for population genetic studies of this species and provide new evidence regarding the complexity of the small-scale population structure of this species.","author":[{"dropping-particle":"","family":"Giles","given":"E. C.","non-dropping-particle":"","parse-names":false,"suffix":""},{"dropping-particle":"","family":"Petersen-Zúñiga","given":"C.","non-dropping-particle":"","parse-names":false,"suffix":""},{"dropping-particle":"","family":"Morales-González","given":"S.","non-dropping-particle":"","parse-names":false,"suffix":""},{"dropping-particle":"","family":"Quesada-Calderón","given":"S.","non-dropping-particle":"","parse-names":false,"suffix":""},{"dropping-particle":"","family":"Saenz-Agudelo","given":"Pablo","non-dropping-particle":"","parse-names":false,"suffix":""}],"container-title":"Marine Biodiversity","id":"ITEM-1","issue":"4","issued":{"date-parts":[["2018","12","14"]]},"page":"1777-1786","title":"Novel microsatellite markers for &lt;i&gt;Pyura chilensis&lt;/i&gt; reveal fine-scale genetic structure along the southern coast of Chile","type":"article-journal","volume":"48"},"uris":["http://www.mendeley.com/documents/?uuid=530e7aff-27db-361d-917e-d6434f50c030"]}],"mendeley":{"formattedCitation":"(Giles et al. 2018)","plainTextFormattedCitation":"(Giles et al. 2018)","previouslyFormattedCitation":"(Giles et al. 2018)"},"properties":{"noteIndex":0},"schema":"https://github.com/citation-style-language/schema/raw/master/csl-citation.json"}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(Giles et al. 2018)</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r w:rsidR="002051CB" w:rsidRPr="00533EAC">
        <w:rPr>
          <w:rFonts w:ascii="Arial" w:eastAsia="Calibri" w:hAnsi="Arial" w:cs="Arial"/>
          <w:color w:val="000000" w:themeColor="text1"/>
          <w:lang w:val="en-ZA"/>
        </w:rPr>
        <w:t>Another invaluable genetic markers is the m</w:t>
      </w:r>
      <w:r w:rsidR="005633D6" w:rsidRPr="00533EAC">
        <w:rPr>
          <w:rFonts w:ascii="Arial" w:eastAsia="Calibri" w:hAnsi="Arial" w:cs="Arial"/>
          <w:color w:val="000000" w:themeColor="text1"/>
          <w:lang w:val="en-ZA"/>
        </w:rPr>
        <w:t>itochondrial DNA (</w:t>
      </w:r>
      <w:proofErr w:type="spellStart"/>
      <w:r w:rsidR="005633D6" w:rsidRPr="00533EAC">
        <w:rPr>
          <w:rFonts w:ascii="Arial" w:eastAsia="Calibri" w:hAnsi="Arial" w:cs="Arial"/>
          <w:color w:val="000000" w:themeColor="text1"/>
          <w:lang w:val="en-ZA"/>
        </w:rPr>
        <w:t>mtDNA</w:t>
      </w:r>
      <w:proofErr w:type="spellEnd"/>
      <w:r w:rsidR="005633D6" w:rsidRPr="00533EAC">
        <w:rPr>
          <w:rFonts w:ascii="Arial" w:eastAsia="Calibri" w:hAnsi="Arial" w:cs="Arial"/>
          <w:color w:val="000000" w:themeColor="text1"/>
          <w:lang w:val="en-ZA"/>
        </w:rPr>
        <w:t xml:space="preserve">), </w:t>
      </w:r>
      <w:r w:rsidR="002051CB" w:rsidRPr="00533EAC">
        <w:rPr>
          <w:rFonts w:ascii="Arial" w:eastAsia="Calibri" w:hAnsi="Arial" w:cs="Arial"/>
          <w:color w:val="000000" w:themeColor="text1"/>
          <w:lang w:val="en-ZA"/>
        </w:rPr>
        <w:t>which is generally used to</w:t>
      </w:r>
      <w:r w:rsidR="005633D6" w:rsidRPr="00533EAC">
        <w:rPr>
          <w:rFonts w:ascii="Arial" w:eastAsia="Calibri" w:hAnsi="Arial" w:cs="Arial"/>
          <w:color w:val="000000" w:themeColor="text1"/>
          <w:lang w:val="en-ZA"/>
        </w:rPr>
        <w:t xml:space="preserve"> study the distribution of </w:t>
      </w:r>
      <w:r w:rsidR="008F5104" w:rsidRPr="00533EAC">
        <w:rPr>
          <w:rFonts w:ascii="Arial" w:eastAsia="Calibri" w:hAnsi="Arial" w:cs="Arial"/>
          <w:color w:val="000000" w:themeColor="text1"/>
          <w:lang w:val="en-ZA"/>
        </w:rPr>
        <w:t xml:space="preserve">genetic variation across </w:t>
      </w:r>
      <w:r w:rsidR="0019123D" w:rsidRPr="00533EAC">
        <w:rPr>
          <w:rFonts w:ascii="Arial" w:eastAsia="Calibri" w:hAnsi="Arial" w:cs="Arial"/>
          <w:color w:val="000000" w:themeColor="text1"/>
          <w:lang w:val="en-ZA"/>
        </w:rPr>
        <w:t>populations</w:t>
      </w:r>
      <w:r w:rsidR="00CA17EB" w:rsidRPr="00533EAC">
        <w:rPr>
          <w:rFonts w:ascii="Arial" w:eastAsia="Calibri" w:hAnsi="Arial" w:cs="Arial"/>
          <w:color w:val="000000" w:themeColor="text1"/>
          <w:lang w:val="en-ZA"/>
        </w:rPr>
        <w:t xml:space="preserve">, and as a tool for </w:t>
      </w:r>
      <w:r w:rsidR="00827176" w:rsidRPr="00533EAC">
        <w:rPr>
          <w:rFonts w:ascii="Arial" w:eastAsia="Calibri" w:hAnsi="Arial" w:cs="Arial"/>
          <w:color w:val="000000" w:themeColor="text1"/>
          <w:lang w:val="en-ZA"/>
        </w:rPr>
        <w:t>reconstructin</w:t>
      </w:r>
      <w:r w:rsidR="008F5104" w:rsidRPr="00533EAC">
        <w:rPr>
          <w:rFonts w:ascii="Arial" w:eastAsia="Calibri" w:hAnsi="Arial" w:cs="Arial"/>
          <w:color w:val="000000" w:themeColor="text1"/>
          <w:lang w:val="en-ZA"/>
        </w:rPr>
        <w:t>g</w:t>
      </w:r>
      <w:r w:rsidR="00827176" w:rsidRPr="00533EAC">
        <w:rPr>
          <w:rFonts w:ascii="Arial" w:eastAsia="Calibri" w:hAnsi="Arial" w:cs="Arial"/>
          <w:color w:val="000000" w:themeColor="text1"/>
          <w:lang w:val="en-ZA"/>
        </w:rPr>
        <w:t xml:space="preserve"> </w:t>
      </w:r>
      <w:r w:rsidR="0019123D" w:rsidRPr="00533EAC">
        <w:rPr>
          <w:rFonts w:ascii="Arial" w:eastAsia="Calibri" w:hAnsi="Arial" w:cs="Arial"/>
          <w:color w:val="000000" w:themeColor="text1"/>
          <w:lang w:val="en-ZA"/>
        </w:rPr>
        <w:t>phylogenetic relationships between</w:t>
      </w:r>
      <w:r w:rsidR="005633D6" w:rsidRPr="00533EAC">
        <w:rPr>
          <w:rFonts w:ascii="Arial" w:eastAsia="Calibri" w:hAnsi="Arial" w:cs="Arial"/>
          <w:color w:val="000000" w:themeColor="text1"/>
          <w:lang w:val="en-ZA"/>
        </w:rPr>
        <w:t xml:space="preserve"> species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{"citationItems":[{"id":"ITEM-1","itemData":{"DOI":"10.1093/gbe/evu041","ISBN":"1759-6653 (Electronic)\\r1759-6653 (Linking)","ISSN":"1759-6653","PMID":"24572017","abstract":"Ascidians are a fascinating group of filter-feeding marine chordates characterized by rapid evolution of both sequences and structure of their nuclear and mitochondrial genomes. Moreover, they include several model organisms used to investigate complex biological processes in chordates. To study the evolutionary dynamics of ascidians at short phylogenetic distances, we sequenced 13 new mitogenomes and analyzed them, together with 15 other available mitogenomes, using a novel approach involving detailed whole mitogenome comparisons of conspecific and congeneric pairs. The evolutionary rate was quite homogeneous at both intraspecific and congeneric level, and the lowest congeneric rates were found in cryptic (morphologically undistinguishable) and inmorphologically very similar species pairs. Moreover, congeneric nonsynonymous rates (dN) were up to two orders of magnitude higher than in intraspecies pairs. Overall, a clear-cut gap sets apart conspecific from congeneric pairs. These evolutionary peculiarities allowed easily identifying an extraordinary intraspecific variability in the model ascidian Botryllus schlosseri, where most pairs show a dN value between that observed at intraspecies and congeneric level, yet consistently lower than that of the Ciona intestinalis cryptic species pair. These data suggest ongoing speciation events producing genetically distinct B. schlosseri entities. Remarkably, these ongoing speciation events were undetectable by the cox1 barcode fragment, demonstrating that, at low phylogenetic distances, the whole mitogenomehas a higher resolving power than cox1. Our study shows that whole-mito genome comparative analyses, performedon a suitable sample of congeneric and intraspecies pairs, may allow detecting not only cryptic species but also ongoing speciation events. © The Author(s) 2014.","author":[{"dropping-particle":"","family":"Griggio","given":"Francesca","non-dropping-particle":"","parse-names":false,"suffix":""},{"dropping-particle":"","family":"Voskoboynik","given":"Ayelet","non-dropping-particle":"","parse-names":false,"suffix":""},{"dropping-particle":"","family":"Iannelli","given":"Fabio","non-dropping-particle":"","parse-names":false,"suffix":""},{"dropping-particle":"","family":"Justy","given":"Fabienne","non-dropping-particle":"","parse-names":false,"suffix":""},{"dropping-particle":"","family":"Tilak","given":"Marie-Ka","non-dropping-particle":"","parse-names":false,"suffix":""},{"dropping-particle":"","family":"Xavier","given":"Turon","non-dropping-particle":"","parse-names":false,"suffix":""},{"dropping-particle":"","family":"Pesole","given":"Graziano","non-dropping-particle":"","parse-names":false,"suffix":""},{"dropping-particle":"","family":"Douzery","given":"Emmanuel J.P.","non-dropping-particle":"","parse-names":false,"suffix":""},{"dropping-particle":"","family":"Mastrototaro","given":"Francesco","non-dropping-particle":"","parse-names":false,"suffix":""},{"dropping-particle":"","family":"Gissi","given":"Carmela","non-dropping-particle":"","parse-names":false,"suffix":""}],"container-title":"Genome Biology and Evolution","id":"ITEM-1","issue":"3","issued":{"date-parts":[["2014","3"]]},"page":"591-605","title":"Ascidian mitogenomics: comparison of evolutionary rates in closely related taxa provides evidence of ongoing speciation events","type":"article-journal","volume":"6"},"uris":["http://www.mendeley.com/documents/?uuid=a5e4df40-20fb-3fed-a2ad-35e9ff5cf10e"]}],"mendeley":{"formattedCitation":"(Griggio et al. 2014)","plainTextFormattedCitation":"(Griggio et al. 2014)","previouslyFormattedCitation":"(Griggio et al. 2014)"},"properties":{"noteIndex":0},"schema":"https://github.com/citation-style-language/schema/raw/master/csl-citation.json"}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(Griggio et al. 2014)</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r w:rsidR="008D5121" w:rsidRPr="00533EAC">
        <w:rPr>
          <w:rFonts w:ascii="Arial" w:eastAsia="Calibri" w:hAnsi="Arial" w:cs="Arial"/>
          <w:color w:val="000000" w:themeColor="text1"/>
          <w:lang w:val="en-ZA"/>
        </w:rPr>
        <w:t xml:space="preserve">However, its maternal inheritance creates a bias towards female-mediated processes </w:t>
      </w:r>
      <w:r w:rsidR="008D5121" w:rsidRPr="00533EAC">
        <w:rPr>
          <w:rFonts w:ascii="Arial" w:eastAsia="Calibri" w:hAnsi="Arial" w:cs="Arial"/>
          <w:color w:val="000000" w:themeColor="text1"/>
          <w:lang w:val="en-ZA"/>
        </w:rPr>
        <w:fldChar w:fldCharType="begin" w:fldLock="1"/>
      </w:r>
      <w:r w:rsidR="008D5121" w:rsidRPr="00533EAC">
        <w:rPr>
          <w:rFonts w:ascii="Arial" w:eastAsia="Calibri" w:hAnsi="Arial" w:cs="Arial"/>
          <w:color w:val="000000" w:themeColor="text1"/>
          <w:lang w:val="en-ZA"/>
        </w:rPr>
        <w:instrText>ADDIN CSL_CITATION {"citationItems":[{"id":"ITEM-1","itemData":{"author":[{"dropping-particle":"","family":"Avise","given":"John C","non-dropping-particle":"","parse-names":false,"suffix":""}],"container-title":"-","id":"ITEM-1","issued":{"date-parts":[["1994"]]},"page":"-","title":"Molecular markers, natural history and evolution. Chapter 5. Chapman and Hall, New York, USA","type":"article-journal","volume":"-"},"uris":["http://www.mendeley.com/documents/?uuid=5787e320-9320-3e5c-ab78-4bbb88eb3b5d"]},{"id":"ITEM-2","itemData":{"DOI":"10.1111/j.1365-294X.1996.tb00358.x","ISSN":"09621083","abstract":"The yellow-footed rock-wallaby Petrogale xanthopus is considered to be potentially vulnerable to extinction. This wallaby inhabits naturally disjunct rocky outcrops which could restrict dispersal between populations, but the extent to which that occurs is unknown. Genetic differences between populations were assessed using mitochondrial DNA (control region) sequencing and analysis of variation at four microsatellite loci among three geographically close sites in south-west Queensland (P. x. celeris) and, for mtDNA only, samples from South Australia (P. x. xanthopus) as well. Populations from South Australia and Queensland had phylogenetically distinct mtDNA, supporting the present classification of these two groups as evolutionarily distinct entities. Within Queensland, populations separated by 70 km of unsuitable habitat differed significantly for mtDNA and at microsatellite loci. Populations separated by 10 km of apparently suitable habitat had statistically homogeneous mtDNA, but a significant difference in allele frequency at one microsatellite locus. Tests for Hardy-Weinberg equilibrium and microgeographical variation at microsatellite loci did not detect any substructuring between two wallaby aggregations within a colony encircling a single rock outcrop. Although the present study was limited by small sample sizes at two of the three Queensland locations examined, the genetic results suggest that dispersal between colonies is limited, consistent with an ecological study of dispersal at one of the sites. Considering both the genetic and ecological data, we suggest that management of yellow-footed rock-wallabies should treat each colony as an independent unit and that conservation of the Queensland and South Australian populations as separate entities is warranted.","author":[{"dropping-particle":"","family":"Pope","given":"L. C.","non-dropping-particle":"","parse-names":false,"suffix":""},{"dropping-particle":"","family":"Sharp","given":"A.","non-dropping-particle":"","parse-names":false,"suffix":""},{"dropping-particle":"","family":"Moritz","given":"C.","non-dropping-particle":"","parse-names":false,"suffix":""}],"container-title":"Molecular Ecology","id":"ITEM-2","issue":"5","issued":{"date-parts":[["1996","10","1"]]},"note":"doi: 10.1111/j.1365-294X.1996.tb00358.x","page":"629-640","publisher":"John Wiley &amp; Sons, Ltd","title":"Population structure of the yellow-footed rock-wallaby &lt;i&gt;Petrogale xanthopus&lt;/i&gt; (Gray, 1854) inferred from mtDNA sequences and microsatellite loci","type":"article-journal","volume":"5"},"uris":["http://www.mendeley.com/documents/?uuid=61ed676f-eae6-3fa1-b4ae-8cf5e050a51d"]},{"id":"ITEM-3","itemData":{"DOI":"10.1046/j.1365-294X.2003.01773.x","ISSN":"09621083","PMID":"12675814","abstract":"Population-genetic studies have been remarkably productive and successful in the last decade following the invention of PCR technology and the introduction of mitochondrial and microsatellite DNA markers. While mitochondrial DNA has proven powerful for genealogical and evolutionary studies of animal populations, and microsatellite sequences are the most revealing DNA markers available so far for inferring population structure and dynamics, they both have important and unavoidable limitations. To obtain a fuller picture of the history and evolutionary potential of populations, genealogical data from nuclear loci are essential, and the inclusion of other nuclear markers, i.e. single copy nuclear polymorphic (scnp) sequences, is clearly needed. Four major uncertainties for nuclear DNA analyses of populations have been facing us, i.e. the availability of scnp markers for carrying out such analysis, technical laboratory hurdles for resolving haplotypes, difficulty in data analysis because of recombination, low divergence levels and intraspecific multifurcation evolution, and the utility of scnp markers for addressing population-genetic questions. In this review, we discuss the availability of highly polymorphic single copy DNA in the nuclear genome, describe patterns and rate of evolution of nuclear sequences, summarize past empirical and theoretical efforts to recover and analyse data from scnp markers, and examine the difficulties, challenges and opportunities faced in such studies. We show that although challenges still exist, the above-mentioned obstacles are now being removed. Recent advances in technology and increases in statistical power provide the prospect of nuclear DNA analyses becoming routine practice, allowing allele-discriminating characterization of scnp loci and microsatellite loci. This certainly will increase our ability to address more complex questions, and thereby the sophistication of genetic analyses of populations.","author":[{"dropping-particle":"","family":"Zhang","given":"De Xing","non-dropping-particle":"","parse-names":false,"suffix":""},{"dropping-particle":"","family":"Hewitt","given":"Godfrey M","non-dropping-particle":"","parse-names":false,"suffix":""}],"container-title":"Molecular Ecology","id":"ITEM-3","issue":"3","issued":{"date-parts":[["2003","3","1"]]},"note":"doi: 10.1046/j.1365-294X.2003.01773.x","page":"563-584","publisher":"John Wiley &amp; Sons, Ltd","title":"Nuclear DNA analyses in genetic studies of populations: Practice, problems and prospects","type":"article","volume":"12"},"uris":["http://www.mendeley.com/documents/?uuid=178a748c-f18b-3010-bed5-1ea0d3c582a3"]}],"mendeley":{"formattedCitation":"(Avise 1994; Pope et al. 1996; Zhang and Hewitt 2003)","plainTextFormattedCitation":"(Avise 1994; Pope et al. 1996; Zhang and Hewitt 2003)","previouslyFormattedCitation":"(Avise 1994; Pope et al. 1996; Zhang and Hewitt 2003)"},"properties":{"noteIndex":0},"schema":"https://github.com/citation-style-language/schema/raw/master/csl-citation.json"}</w:instrText>
      </w:r>
      <w:r w:rsidR="008D5121" w:rsidRPr="00533EAC">
        <w:rPr>
          <w:rFonts w:ascii="Arial" w:eastAsia="Calibri" w:hAnsi="Arial" w:cs="Arial"/>
          <w:color w:val="000000" w:themeColor="text1"/>
          <w:lang w:val="en-ZA"/>
        </w:rPr>
        <w:fldChar w:fldCharType="separate"/>
      </w:r>
      <w:r w:rsidR="008D5121" w:rsidRPr="00533EAC">
        <w:rPr>
          <w:rFonts w:ascii="Arial" w:eastAsia="Calibri" w:hAnsi="Arial" w:cs="Arial"/>
          <w:noProof/>
          <w:color w:val="000000" w:themeColor="text1"/>
          <w:lang w:val="en-ZA"/>
        </w:rPr>
        <w:t>(Avise 1994; Pope et al. 1996; Zhang and Hewitt 2003)</w:t>
      </w:r>
      <w:r w:rsidR="008D5121" w:rsidRPr="00533EAC">
        <w:rPr>
          <w:rFonts w:ascii="Arial" w:eastAsia="Calibri" w:hAnsi="Arial" w:cs="Arial"/>
          <w:color w:val="000000" w:themeColor="text1"/>
          <w:lang w:val="en-ZA"/>
        </w:rPr>
        <w:fldChar w:fldCharType="end"/>
      </w:r>
      <w:r w:rsidR="008D5121"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The</w:t>
      </w:r>
      <w:r w:rsidR="008F5104" w:rsidRPr="00533EAC">
        <w:rPr>
          <w:rFonts w:ascii="Arial" w:eastAsia="Calibri" w:hAnsi="Arial" w:cs="Arial"/>
          <w:color w:val="000000" w:themeColor="text1"/>
          <w:lang w:val="en-ZA"/>
        </w:rPr>
        <w:t>refore, the</w:t>
      </w:r>
      <w:r w:rsidR="005633D6" w:rsidRPr="00533EAC">
        <w:rPr>
          <w:rFonts w:ascii="Arial" w:eastAsia="Calibri" w:hAnsi="Arial" w:cs="Arial"/>
          <w:color w:val="000000" w:themeColor="text1"/>
          <w:lang w:val="en-ZA"/>
        </w:rPr>
        <w:t xml:space="preserve"> employment </w:t>
      </w:r>
      <w:r w:rsidR="0019123D" w:rsidRPr="00533EAC">
        <w:rPr>
          <w:rFonts w:ascii="Arial" w:eastAsia="Calibri" w:hAnsi="Arial" w:cs="Arial"/>
          <w:color w:val="000000" w:themeColor="text1"/>
          <w:lang w:val="en-ZA"/>
        </w:rPr>
        <w:t xml:space="preserve">of </w:t>
      </w:r>
      <w:r w:rsidR="00402FBF" w:rsidRPr="00533EAC">
        <w:rPr>
          <w:rFonts w:ascii="Arial" w:eastAsia="Calibri" w:hAnsi="Arial" w:cs="Arial"/>
          <w:color w:val="000000" w:themeColor="text1"/>
          <w:lang w:val="en-ZA"/>
        </w:rPr>
        <w:t xml:space="preserve">both </w:t>
      </w:r>
      <w:r w:rsidR="005633D6" w:rsidRPr="00533EAC">
        <w:rPr>
          <w:rFonts w:ascii="Arial" w:eastAsia="Calibri" w:hAnsi="Arial" w:cs="Arial"/>
          <w:color w:val="000000" w:themeColor="text1"/>
          <w:lang w:val="en-ZA"/>
        </w:rPr>
        <w:t xml:space="preserve">microsatellites and </w:t>
      </w:r>
      <w:proofErr w:type="spellStart"/>
      <w:r w:rsidR="005633D6" w:rsidRPr="00533EAC">
        <w:rPr>
          <w:rFonts w:ascii="Arial" w:eastAsia="Calibri" w:hAnsi="Arial" w:cs="Arial"/>
          <w:color w:val="000000" w:themeColor="text1"/>
          <w:lang w:val="en-ZA"/>
        </w:rPr>
        <w:t>mtDNA</w:t>
      </w:r>
      <w:proofErr w:type="spellEnd"/>
      <w:r w:rsidR="005633D6" w:rsidRPr="00533EAC">
        <w:rPr>
          <w:rFonts w:ascii="Arial" w:eastAsia="Calibri" w:hAnsi="Arial" w:cs="Arial"/>
          <w:color w:val="000000" w:themeColor="text1"/>
          <w:lang w:val="en-ZA"/>
        </w:rPr>
        <w:t xml:space="preserve"> markers allows </w:t>
      </w:r>
      <w:r w:rsidR="00B7678E" w:rsidRPr="00533EAC">
        <w:rPr>
          <w:rFonts w:ascii="Arial" w:eastAsia="Calibri" w:hAnsi="Arial" w:cs="Arial"/>
          <w:color w:val="000000" w:themeColor="text1"/>
          <w:lang w:val="en-ZA"/>
        </w:rPr>
        <w:t xml:space="preserve">for </w:t>
      </w:r>
      <w:r w:rsidR="005633D6" w:rsidRPr="00533EAC">
        <w:rPr>
          <w:rFonts w:ascii="Arial" w:eastAsia="Calibri" w:hAnsi="Arial" w:cs="Arial"/>
          <w:color w:val="000000" w:themeColor="text1"/>
          <w:lang w:val="en-ZA"/>
        </w:rPr>
        <w:t>a robust understanding of population structure</w:t>
      </w:r>
      <w:r w:rsidR="00254744" w:rsidRPr="00533EAC">
        <w:rPr>
          <w:rFonts w:ascii="Arial" w:eastAsia="Calibri" w:hAnsi="Arial" w:cs="Arial"/>
          <w:color w:val="000000" w:themeColor="text1"/>
          <w:lang w:val="en-ZA"/>
        </w:rPr>
        <w:t xml:space="preserve"> </w:t>
      </w:r>
      <w:r w:rsidR="00774474" w:rsidRPr="00533EAC">
        <w:rPr>
          <w:rFonts w:ascii="Arial" w:eastAsia="Calibri" w:hAnsi="Arial" w:cs="Arial"/>
          <w:color w:val="000000" w:themeColor="text1"/>
          <w:lang w:val="en-ZA"/>
        </w:rPr>
        <w:fldChar w:fldCharType="begin" w:fldLock="1"/>
      </w:r>
      <w:r w:rsidR="00774474" w:rsidRPr="00533EAC">
        <w:rPr>
          <w:rFonts w:ascii="Arial" w:eastAsia="Calibri" w:hAnsi="Arial" w:cs="Arial"/>
          <w:color w:val="000000" w:themeColor="text1"/>
          <w:lang w:val="en-ZA"/>
        </w:rPr>
        <w:instrText>ADDIN CSL_CITATION {"citationItems":[{"id":"ITEM-1","itemData":{"DOI":"10.1002/ece3.5597","ISSN":"20457758","abstract":"Knowledge of population structure, connectivity, and effective population size remains limited for many marine apex predators, including the bull shark Carcharhinus leucas. This large-bodied coastal shark is distributed worldwide in warm temperate and tropical waters, and uses estuaries and rivers as nurseries. As an apex predator, the bull shark likely plays a vital ecological role within marine food webs, but is at risk due to inshore habitat degradation and various fishing pressures. We investigated the bull shark's global population structure and demographic history by analyzing the genetic diversity of 370 individuals from 11 different locations using 25 microsatellite loci and three mitochondrial genes (CR, nd4, and cytb). Both types of markers revealed clustering between sharks from the Western Atlantic and those from the Western Pacific and the Western Indian Ocean, with no contemporary gene flow. Microsatellite data suggested low differentiation between the Western Indian Ocean and the Western Pacific, but substantial differentiation was found using mitochondrial DNA. Integrating information from both types of markers and using Bayesian computation with a random forest procedure (ABC-RF), this discordance was found to be due to a complete lack of contemporary gene flow. High genetic connectivity was found both within the Western Indian Ocean and within the Western Pacific. In conclusion, these results suggest important structuring of bull shark populations globally with important gene flow occurring along coastlines, highlighting the need for management and conservation plans on regional scales rather than oceanic basin scale.","author":[{"dropping-particle":"","family":"Pirog","given":"Agathe","non-dropping-particle":"","parse-names":false,"suffix":""},{"dropping-particle":"","family":"Ravigné","given":"Virginie","non-dropping-particle":"","parse-names":false,"suffix":""},{"dropping-particle":"","family":"Fontaine","given":"Michaël C","non-dropping-particle":"","parse-names":false,"suffix":""},{"dropping-particle":"","family":"Rieux","given":"Adrien","non-dropping-particle":"","parse-names":false,"suffix":""},{"dropping-particle":"","family":"Gilabert","given":"Aude","non-dropping-particle":"","parse-names":false,"suffix":""},{"dropping-particle":"","family":"Cliff","given":"Geremy","non-dropping-particle":"","parse-names":false,"suffix":""},{"dropping-particle":"","family":"Clua","given":"Eric","non-dropping-particle":"","parse-names":false,"suffix":""},{"dropping-particle":"","family":"Daly","given":"Ryan","non-dropping-particle":"","parse-names":false,"suffix":""},{"dropping-particle":"","family":"Heithaus","given":"Michael R","non-dropping-particle":"","parse-names":false,"suffix":""},{"dropping-particle":"","family":"Kiszka","given":"Jeremy J","non-dropping-particle":"","parse-names":false,"suffix":""},{"dropping-particle":"","family":"Matich","given":"Philip","non-dropping-particle":"","parse-names":false,"suffix":""},{"dropping-particle":"","family":"Nevill","given":"John E.G.","non-dropping-particle":"","parse-names":false,"suffix":""},{"dropping-particle":"","family":"Smoothey","given":"Amy F","non-dropping-particle":"","parse-names":false,"suffix":""},{"dropping-particle":"","family":"Temple","given":"Andrew J","non-dropping-particle":"","parse-names":false,"suffix":""},{"dropping-particle":"","family":"Berggren","given":"Per","non-dropping-particle":"","parse-names":false,"suffix":""},{"dropping-particle":"","family":"Jaquemet","given":"Sébastien","non-dropping-particle":"","parse-names":false,"suffix":""},{"dropping-particle":"","family":"Magalon","given":"Hélène","non-dropping-particle":"","parse-names":false,"suffix":""}],"container-title":"Ecology and Evolution","id":"ITEM-1","issue":"23","issued":{"date-parts":[["2019"]]},"page":"12980-13000","title":"Population structure, connectivity, and demographic history of an apex marine predator, the bull shark Carcharhinus leucas","type":"article-journal","volume":"9"},"uris":["http://www.mendeley.com/documents/?uuid=59c0c0fb-b772-3a7d-84c7-13bff3fe9e80"]},{"id":"ITEM-2","itemData":{"DOI":"10.1111/maec.12389","ISSN":"14390485","abstract":"Mitochondrial DNA (mtDNA) is a single, usually non-recombining locus, and often uniparentally inherited. Therefore, its ability to reveal recent gene flow among populations is usually questioned. In this study, the genetic population structure of 16 populations of Tridacna crocea (n = 366) from the Indo-Malay Archipelago (IMA) was examined with 10 microsatellite markers and compared to previous studies using mtDNA, in order to test if the revealed population structure was congruent between the two marker systems. The results showed that the genetic population structure revealed by the two marker systems was mostly congruent, with a high correlation between cytochrome c oxidase subunit I (COI) and microsatellites. The studied populations could be divided by both marker systems as follows: (i) Eastern Indian Ocean, (ii) Central IMA, and (iii) Western Pacific. Populations in the Central IMA showed high gene flow. However, populations in the Java Sea (Karimunjava, Pulau Seribu) were grouped into a separate cluster by mtDNA analysis, while this grouping was not detected by microsatellites. It was also noteworthy that there is obvious heterozygosity deficiency in most of the populations, which may be caused by null alleles, inbreeding or population expansion. Overall, these results indicate that the mitochondrial COI gene is applicable for population genetic analysis and precise recovery of connectivity patterns of giant clams. Therefore, the combination of mtDNA and nuclear DNA markers can lead to a more complete understanding of population genetics. Moreover, this study is expected to facilitate fully displaying the population genetic structure of giant clams combining with other researchers' results.","author":[{"dropping-particle":"","family":"Hui","given":"Min","non-dropping-particle":"","parse-names":false,"suffix":""},{"dropping-particle":"","family":"Nuryanto","given":"Agus","non-dropping-particle":"","parse-names":false,"suffix":""},{"dropping-particle":"","family":"Kochzius","given":"Marc","non-dropping-particle":"","parse-names":false,"suffix":""}],"container-title":"Marine Ecology","id":"ITEM-2","issue":"1","issued":{"date-parts":[["2017"]]},"page":"e12389","title":"Concordance of microsatellite and mitochondrial DNA markers in detecting genetic population structure in the boring giant clam Tridacna crocea across the Indo-Malay Archipelago","type":"article-journal","volume":"38"},"uris":["http://www.mendeley.com/documents/?uuid=bece93f5-8296-36cf-8e5b-2e23ee6a45c9"]}],"mendeley":{"formattedCitation":"(Hui et al. 2017; Pirog et al. 2019)","plainTextFormattedCitation":"(Hui et al. 2017; Pirog et al. 2019)"},"properties":{"noteIndex":0},"schema":"https://github.com/citation-style-language/schema/raw/master/csl-citation.json"}</w:instrText>
      </w:r>
      <w:r w:rsidR="00774474" w:rsidRPr="00533EAC">
        <w:rPr>
          <w:rFonts w:ascii="Arial" w:eastAsia="Calibri" w:hAnsi="Arial" w:cs="Arial"/>
          <w:color w:val="000000" w:themeColor="text1"/>
          <w:lang w:val="en-ZA"/>
        </w:rPr>
        <w:fldChar w:fldCharType="separate"/>
      </w:r>
      <w:r w:rsidR="00774474" w:rsidRPr="00533EAC">
        <w:rPr>
          <w:rFonts w:ascii="Arial" w:eastAsia="Calibri" w:hAnsi="Arial" w:cs="Arial"/>
          <w:noProof/>
          <w:color w:val="000000" w:themeColor="text1"/>
          <w:lang w:val="en-ZA"/>
        </w:rPr>
        <w:t>(Hui et al. 2017; Pirog et al. 2019)</w:t>
      </w:r>
      <w:r w:rsidR="00774474"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p>
    <w:p w14:paraId="196B20C0" w14:textId="77777777" w:rsidR="00094D89" w:rsidRPr="00533EAC" w:rsidRDefault="00094D89" w:rsidP="00C05A32">
      <w:pPr>
        <w:spacing w:after="0" w:line="360" w:lineRule="auto"/>
        <w:jc w:val="both"/>
        <w:rPr>
          <w:rFonts w:ascii="Arial" w:eastAsia="Calibri" w:hAnsi="Arial" w:cs="Arial"/>
          <w:color w:val="000000" w:themeColor="text1"/>
          <w:lang w:val="en-ZA"/>
        </w:rPr>
      </w:pPr>
    </w:p>
    <w:p w14:paraId="1CFEE044" w14:textId="0CCCD528" w:rsidR="005633D6" w:rsidRPr="00533EAC" w:rsidRDefault="004768E9"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The class Ascidiacea (Tunicata, </w:t>
      </w:r>
      <w:r w:rsidR="00D13884" w:rsidRPr="00533EAC">
        <w:rPr>
          <w:rFonts w:ascii="Arial" w:eastAsia="Calibri" w:hAnsi="Arial" w:cs="Arial"/>
          <w:color w:val="000000" w:themeColor="text1"/>
          <w:lang w:val="en-ZA"/>
        </w:rPr>
        <w:t>Chordata</w:t>
      </w:r>
      <w:r w:rsidRPr="00533EAC">
        <w:rPr>
          <w:rFonts w:ascii="Arial" w:eastAsia="Calibri" w:hAnsi="Arial" w:cs="Arial"/>
          <w:color w:val="000000" w:themeColor="text1"/>
          <w:lang w:val="en-ZA"/>
        </w:rPr>
        <w:t>)</w:t>
      </w:r>
      <w:r w:rsidR="000E31FF" w:rsidRPr="00533EAC">
        <w:rPr>
          <w:rFonts w:ascii="Arial" w:eastAsia="Calibri" w:hAnsi="Arial" w:cs="Arial"/>
          <w:color w:val="000000" w:themeColor="text1"/>
          <w:lang w:val="en-ZA"/>
        </w:rPr>
        <w:t xml:space="preserve"> is</w:t>
      </w:r>
      <w:r w:rsidR="005633D6" w:rsidRPr="00533EAC">
        <w:rPr>
          <w:rFonts w:ascii="Arial" w:eastAsia="Calibri" w:hAnsi="Arial" w:cs="Arial"/>
          <w:color w:val="000000" w:themeColor="text1"/>
          <w:lang w:val="en-ZA"/>
        </w:rPr>
        <w:t xml:space="preserve"> ubiquitous in most marine ecosystems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{"citationItems":[{"id":"ITEM-1","itemData":{"DOI":"10.1371/journal.pone.0020657","ISSN":"19326203","PMID":"21701684","abstract":"The class Ascidiacea presents fundamental opportunities for research in the fields of development, evolution, ecology, natural products and more. This review provides a comprehensive overview of the current knowledge regarding the global biodiversity of the class Ascidiacea, focusing in their taxonomy, main regions of biodiversity, and distribution patterns. Based on analysis of the literature and the species registered in the online World Register of Marine Species, we assembled a list of 2815 described species. The highest number of species and families is found in the order Aplousobranchia. Didemnidae and Styelidae families have the highest number of species with more than 500 within each group. Sixty percent of described species are colonial. Species richness is highest in tropical regions, where colonial species predominate. In higher latitudes solitary species gradually contribute more to the total species richness. We emphasize the strong association between species richness and sampling efforts, and discuss the risks of invasive species. Our inventory is certainly incomplete as the ascidian fauna in many areas around the world is relatively poorly known, and many new species continue to be discovered and described each year. © 2011 Shenkar, Swalla.","author":[{"dropping-particle":"","family":"Shenkar","given":"Noa","non-dropping-particle":"","parse-names":false,"suffix":""},{"dropping-particle":"","family":"Swalla","given":"Billie J","non-dropping-particle":"","parse-names":false,"suffix":""}],"container-title":"PLoS ONE","edition":"2011/06/20","id":"ITEM-1","issue":"6","issued":{"date-parts":[["2011"]]},"language":"eng","page":"e20657-e20657","publisher":"Public Library of Science","title":"Global diversity of Ascidiacea","type":"article","volume":"6"},"uris":["http://www.mendeley.com/documents/?uuid=21d9b813-9c69-307e-96bb-056b22b3fc97"]}],"mendeley":{"formattedCitation":"(Shenkar and Swalla 2011)","plainTextFormattedCitation":"(Shenkar and Swalla 2011)","previouslyFormattedCitation":"(Shenkar and Swalla 2011)"},"properties":{"noteIndex":0},"schema":"https://github.com/citation-style-language/schema/raw/master/csl-citation.json"}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(Shenkar and Swalla 2011)</w:t>
      </w:r>
      <w:r w:rsidR="005633D6" w:rsidRPr="00533EAC">
        <w:rPr>
          <w:rFonts w:ascii="Arial" w:eastAsia="Calibri" w:hAnsi="Arial" w:cs="Arial"/>
          <w:color w:val="000000" w:themeColor="text1"/>
          <w:lang w:val="en-ZA"/>
        </w:rPr>
        <w:fldChar w:fldCharType="end"/>
      </w:r>
      <w:r w:rsidR="00F64A62" w:rsidRPr="00533EAC">
        <w:rPr>
          <w:rFonts w:ascii="Arial" w:eastAsia="Calibri" w:hAnsi="Arial" w:cs="Arial"/>
          <w:color w:val="000000" w:themeColor="text1"/>
          <w:lang w:val="en-ZA"/>
        </w:rPr>
        <w:t>, and many of its species</w:t>
      </w:r>
      <w:r w:rsidR="004C739D" w:rsidRPr="00533EAC">
        <w:rPr>
          <w:rFonts w:ascii="Arial" w:eastAsia="Calibri" w:hAnsi="Arial" w:cs="Arial"/>
          <w:color w:val="000000" w:themeColor="text1"/>
          <w:lang w:val="en-ZA"/>
        </w:rPr>
        <w:t xml:space="preserve"> play</w:t>
      </w:r>
      <w:r w:rsidR="0058572A" w:rsidRPr="00533EAC">
        <w:rPr>
          <w:rFonts w:ascii="Arial" w:eastAsia="Calibri" w:hAnsi="Arial" w:cs="Arial"/>
          <w:color w:val="000000" w:themeColor="text1"/>
          <w:lang w:val="en-ZA"/>
        </w:rPr>
        <w:t xml:space="preserve"> a</w:t>
      </w:r>
      <w:r w:rsidR="004C739D" w:rsidRPr="00533EAC">
        <w:rPr>
          <w:rFonts w:ascii="Arial" w:eastAsia="Calibri" w:hAnsi="Arial" w:cs="Arial"/>
          <w:color w:val="000000" w:themeColor="text1"/>
          <w:lang w:val="en-ZA"/>
        </w:rPr>
        <w:t xml:space="preserve"> critical role in ecosystem functioning</w:t>
      </w:r>
      <w:r w:rsidR="000E31FF" w:rsidRPr="00533EAC">
        <w:rPr>
          <w:rFonts w:ascii="Arial" w:eastAsia="Calibri" w:hAnsi="Arial" w:cs="Arial"/>
          <w:color w:val="000000" w:themeColor="text1"/>
          <w:lang w:val="en-ZA"/>
        </w:rPr>
        <w:t xml:space="preserve"> </w:t>
      </w:r>
      <w:r w:rsidR="000E31FF" w:rsidRPr="00533EAC">
        <w:rPr>
          <w:rFonts w:ascii="Arial" w:eastAsia="Calibri" w:hAnsi="Arial" w:cs="Arial"/>
          <w:color w:val="000000" w:themeColor="text1"/>
          <w:lang w:val="en-ZA"/>
        </w:rPr>
        <w:fldChar w:fldCharType="begin" w:fldLock="1"/>
      </w:r>
      <w:r w:rsidR="000E31FF" w:rsidRPr="00533EAC">
        <w:rPr>
          <w:rFonts w:ascii="Arial" w:eastAsia="Calibri" w:hAnsi="Arial" w:cs="Arial"/>
          <w:color w:val="000000" w:themeColor="text1"/>
          <w:lang w:val="en-ZA"/>
        </w:rPr>
        <w:instrText>ADDIN CSL_CITATION {"citationItems":[{"id":"ITEM-1","itemData":{"DOI":"10.1016/S1385-1101(96)90747-9","ISSN":"13851101","abstract":"The pelagic primary production and the secondary production of four species of benthic suspension feeders were frequently measured over a period of approximately one year in four different habitats. Simplified energy budgets over one-year periods are presented including ingestion, absorption, faeces production, respiration and secondary production. The production of a Mytilus edulis culture exceeded primary production by about 6.25 times, whereas semi-exposed shallow-water populations of Cerastoderma edule and Mya arenaria had a production roughly equal to primary production. In an exposed area, the latter species had a secondary production:primary production ratio of 0.15:1, whereas for a deeper-living (40 m) Amphiura filiformis population this relation was 0.0034:1. M. edulis followed by C. edule and M. arenaria in the semi-exposed habitat had the comparatively lowest Respiration: Absorption ratios and the highest Production:Absorption ratios. This study emphasizes the ecological importance of horizontal advective processes for energy transfer from the pelagic to the benthic system.","author":[{"dropping-particle":"","family":"Loo","given":"Lars-Ove","non-dropping-particle":"","parse-names":false,"suffix":""},{"dropping-particle":"","family":"Rosenberg","given":"Rutger","non-dropping-particle":"","parse-names":false,"suffix":""}],"container-title":"Journal of Sea Research","id":"ITEM-1","issue":"1-3","issued":{"date-parts":[["1996","2"]]},"page":"199-207","title":"Production and energy budget in marine suspension feeding populations: &lt;i&gt;Mytilus edulis&lt;/i&gt;, &lt;i&gt;Cerastoderma edule&lt;/i&gt;, &lt;i&gt;Mya arenaria&lt;/i&gt; and &lt;i&gt;Amphiura filiformis&lt;/i&gt;","type":"article-journal","volume":"35"},"uris":["http://www.mendeley.com/documents/?uuid=c230cc78-17d4-396a-84d5-1ffe8228eaf7"]},{"id":"ITEM-2","itemData":{"DOI":"10.3354/meps022153","ISBN":"30.88387.251","ISSN":"0171-8630","abstract":"The influence of physical factors on the trophic structure of rocky intertidal communities in the Cape of Good Hope was investigated by examining species composition and biomass on shores subject to different conditions of substratum, sea temperature and wave exposure. Biomass of herbivores on shores with an unstable substratum was particularly high while the sessile filter-feeders and algae were impoverished, but actual rock type did not affect trophic structure. Sea temperature influenced species composition but not trophic structure which was most strongly affected by the degree of wave exposure. Exposure influenced both vertical distribution of biomass and trophic composition of total biomass. Total biomass showed a simple decrease upshore on sheltered shores but the pattern was more complex with greater exposure. Filter-feeders, carnivores and omnivores all exhibited significantly higher biornass under exposed conditions. Consequently the balance between consumers and primary producers shifted, implying alterations in the net balance between importation and exportation of production between these communities and the inshore marine system. The addition of huge filter-feeder components to the intertidal system resulted in significantly higher total biomass under exposed conditions. This allows the importation of production from the water column to a community in which consumers exhibit considerably higher standing crops than primary producers. Benthic carnivores exhibited a positive correlation with filter-feeder biomass. It is therefore suggested that domination of exposed shores by sessile filter-feeders and of sheltered shores by algae and mobile herbivores may explain divergent views in the literature on the relative importance of competition and disturbance/predation to community structure on rocky shores.","author":[{"dropping-particle":"","family":"McQuaid","given":"CD","non-dropping-particle":"","parse-names":false,"suffix":""},{"dropping-particle":"","family":"Branch","given":"GM","non-dropping-particle":"","parse-names":false,"suffix":""}],"container-title":"Marine Ecology Progress Series","id":"ITEM-2","issued":{"date-parts":[["1985"]]},"page":"153-161","title":"Trophic structure of rocky intertidal communities response to wave action and implications for energy flow","type":"article-journal","volume":"22"},"uris":["http://www.mendeley.com/documents/?uuid=824aecd9-ce4a-31d6-b1b1-6039aa72c89b"]},{"id":"ITEM-3","itemData":{"DOI":"10.1016/S0169-5347(98)01365-2","ISSN":"01695347","abstract":"In recent years, particular attention has been paid to coupling and energy transfer between benthos and plankton. Because of their abundance, certain benthic suspension feeders have been shown to have a major impact in marine ecosystems. They capture large quantities of particles and might directly regulate primary production and indirectly regulate secondary production in littoral food chains. Suspension feeders develop dense, three- dimensional communities whose structural complexity depends on flow speed. It has been postulated that these communities can self-organize to enhance food capture and thus establish boundary systems capable of successfully exploiting a less structured system, namely, the plankton.","author":[{"dropping-particle":"","family":"Gili","given":"Josep Maria","non-dropping-particle":"","parse-names":false,"suffix":""},{"dropping-particle":"","family":"Coma","given":"Rafel","non-dropping-particle":"","parse-names":false,"suffix":""}],"container-title":"Trends in Ecology and Evolution","id":"ITEM-3","issue":"8","issued":{"date-parts":[["1998"]]},"page":"316-321","title":"Benthic suspension feeders: Their paramount role in littoral marine food webs","type":"article","volume":"13"},"uris":["http://www.mendeley.com/documents/?uuid=ee4d8fcf-01fc-3efc-b452-41092d282103"]}],"mendeley":{"formattedCitation":"(Gili and Coma 1998; Loo and Rosenberg 1996; McQuaid and Branch 1985)","plainTextFormattedCitation":"(Gili and Coma 1998; Loo and Rosenberg 1996; McQuaid and Branch 1985)","previouslyFormattedCitation":"(Gili and Coma 1998; Loo and Rosenberg 1996; McQuaid and Branch 1985)"},"properties":{"noteIndex":0},"schema":"https://github.com/citation-style-language/schema/raw/master/csl-citation.json"}</w:instrText>
      </w:r>
      <w:r w:rsidR="000E31FF" w:rsidRPr="00533EAC">
        <w:rPr>
          <w:rFonts w:ascii="Arial" w:eastAsia="Calibri" w:hAnsi="Arial" w:cs="Arial"/>
          <w:color w:val="000000" w:themeColor="text1"/>
          <w:lang w:val="en-ZA"/>
        </w:rPr>
        <w:fldChar w:fldCharType="separate"/>
      </w:r>
      <w:r w:rsidR="000E31FF" w:rsidRPr="00533EAC">
        <w:rPr>
          <w:rFonts w:ascii="Arial" w:eastAsia="Calibri" w:hAnsi="Arial" w:cs="Arial"/>
          <w:noProof/>
          <w:color w:val="000000" w:themeColor="text1"/>
          <w:lang w:val="en-ZA"/>
        </w:rPr>
        <w:t>(Gili and Coma 1998; Loo and Rosenberg 1996; McQuaid and Branch 1985)</w:t>
      </w:r>
      <w:r w:rsidR="000E31FF" w:rsidRPr="00533EAC">
        <w:rPr>
          <w:rFonts w:ascii="Arial" w:eastAsia="Calibri" w:hAnsi="Arial" w:cs="Arial"/>
          <w:color w:val="000000" w:themeColor="text1"/>
          <w:lang w:val="en-ZA"/>
        </w:rPr>
        <w:fldChar w:fldCharType="end"/>
      </w:r>
      <w:r w:rsidR="000E31FF" w:rsidRPr="00533EAC">
        <w:rPr>
          <w:rFonts w:ascii="Arial" w:eastAsia="Calibri" w:hAnsi="Arial" w:cs="Arial"/>
          <w:color w:val="000000" w:themeColor="text1"/>
          <w:lang w:val="en-ZA"/>
        </w:rPr>
        <w:t xml:space="preserve">. </w:t>
      </w:r>
      <w:r w:rsidR="00B7678E" w:rsidRPr="00533EAC">
        <w:rPr>
          <w:rFonts w:ascii="Arial" w:eastAsia="Calibri" w:hAnsi="Arial" w:cs="Arial"/>
          <w:color w:val="000000" w:themeColor="text1"/>
          <w:lang w:val="en-ZA"/>
        </w:rPr>
        <w:t>T</w:t>
      </w:r>
      <w:r w:rsidR="005633D6" w:rsidRPr="00533EAC">
        <w:rPr>
          <w:rFonts w:ascii="Arial" w:eastAsia="Calibri" w:hAnsi="Arial" w:cs="Arial"/>
          <w:color w:val="000000" w:themeColor="text1"/>
          <w:lang w:val="en-ZA"/>
        </w:rPr>
        <w:t xml:space="preserve">he </w:t>
      </w:r>
      <w:r w:rsidR="00B7678E" w:rsidRPr="00533EAC">
        <w:rPr>
          <w:rFonts w:ascii="Arial" w:eastAsia="Calibri" w:hAnsi="Arial" w:cs="Arial"/>
          <w:color w:val="000000" w:themeColor="text1"/>
          <w:lang w:val="en-ZA"/>
        </w:rPr>
        <w:t xml:space="preserve">Ascidiacea </w:t>
      </w:r>
      <w:r w:rsidR="005633D6" w:rsidRPr="00533EAC">
        <w:rPr>
          <w:rFonts w:ascii="Arial" w:eastAsia="Calibri" w:hAnsi="Arial" w:cs="Arial"/>
          <w:color w:val="000000" w:themeColor="text1"/>
          <w:lang w:val="en-ZA"/>
        </w:rPr>
        <w:t xml:space="preserve">species </w:t>
      </w:r>
      <w:r w:rsidR="005633D6" w:rsidRPr="00533EAC">
        <w:rPr>
          <w:rFonts w:ascii="Arial" w:eastAsia="Calibri" w:hAnsi="Arial" w:cs="Arial"/>
          <w:i/>
          <w:color w:val="000000" w:themeColor="text1"/>
          <w:lang w:val="en-ZA"/>
        </w:rPr>
        <w:t xml:space="preserve">Pyura </w:t>
      </w:r>
      <w:proofErr w:type="spellStart"/>
      <w:r w:rsidR="00D13884" w:rsidRPr="00533EAC">
        <w:rPr>
          <w:rFonts w:ascii="Arial" w:eastAsia="Calibri" w:hAnsi="Arial" w:cs="Arial"/>
          <w:i/>
          <w:color w:val="000000" w:themeColor="text1"/>
          <w:lang w:val="en-ZA"/>
        </w:rPr>
        <w:t>herdmani</w:t>
      </w:r>
      <w:proofErr w:type="spellEnd"/>
      <w:r w:rsidR="00D13884" w:rsidRPr="00533EAC">
        <w:rPr>
          <w:rFonts w:ascii="Arial" w:eastAsia="Calibri" w:hAnsi="Arial" w:cs="Arial"/>
          <w:i/>
          <w:color w:val="000000" w:themeColor="text1"/>
          <w:lang w:val="en-ZA"/>
        </w:rPr>
        <w:t xml:space="preserve"> and P</w:t>
      </w:r>
      <w:r w:rsidR="00B7678E" w:rsidRPr="00533EAC">
        <w:rPr>
          <w:rFonts w:ascii="Arial" w:eastAsia="Calibri" w:hAnsi="Arial" w:cs="Arial"/>
          <w:i/>
          <w:color w:val="000000" w:themeColor="text1"/>
          <w:lang w:val="en-ZA"/>
        </w:rPr>
        <w:t xml:space="preserve">yura </w:t>
      </w:r>
      <w:r w:rsidR="005633D6" w:rsidRPr="00533EAC">
        <w:rPr>
          <w:rFonts w:ascii="Arial" w:eastAsia="Calibri" w:hAnsi="Arial" w:cs="Arial"/>
          <w:i/>
          <w:color w:val="000000" w:themeColor="text1"/>
          <w:lang w:val="en-ZA"/>
        </w:rPr>
        <w:t>stolonifera</w:t>
      </w:r>
      <w:r w:rsidR="005633D6" w:rsidRPr="00533EAC">
        <w:rPr>
          <w:rFonts w:ascii="Arial" w:eastAsia="Calibri" w:hAnsi="Arial" w:cs="Arial"/>
          <w:color w:val="000000" w:themeColor="text1"/>
          <w:lang w:val="en-ZA"/>
        </w:rPr>
        <w:t xml:space="preserve"> are </w:t>
      </w:r>
      <w:r w:rsidR="0058572A" w:rsidRPr="00533EAC">
        <w:rPr>
          <w:rFonts w:ascii="Arial" w:eastAsia="Calibri" w:hAnsi="Arial" w:cs="Arial"/>
          <w:color w:val="000000" w:themeColor="text1"/>
          <w:lang w:val="en-ZA"/>
        </w:rPr>
        <w:t xml:space="preserve">collectively </w:t>
      </w:r>
      <w:r w:rsidR="005633D6" w:rsidRPr="00533EAC">
        <w:rPr>
          <w:rFonts w:ascii="Arial" w:eastAsia="Calibri" w:hAnsi="Arial" w:cs="Arial"/>
          <w:color w:val="000000" w:themeColor="text1"/>
          <w:lang w:val="en-ZA"/>
        </w:rPr>
        <w:t>known as redbait</w:t>
      </w:r>
      <w:r w:rsidR="00B7678E" w:rsidRPr="00533EAC">
        <w:rPr>
          <w:rFonts w:ascii="Arial" w:eastAsia="Calibri" w:hAnsi="Arial" w:cs="Arial"/>
          <w:color w:val="000000" w:themeColor="text1"/>
          <w:lang w:val="en-ZA"/>
        </w:rPr>
        <w:t xml:space="preserve"> in South Africa</w:t>
      </w:r>
      <w:r w:rsidR="00254744" w:rsidRPr="00533EAC">
        <w:rPr>
          <w:rFonts w:ascii="Arial" w:eastAsia="Calibri" w:hAnsi="Arial" w:cs="Arial"/>
          <w:color w:val="000000" w:themeColor="text1"/>
          <w:lang w:val="en-ZA"/>
        </w:rPr>
        <w:t xml:space="preserve">. </w:t>
      </w:r>
      <w:r w:rsidR="00254744" w:rsidRPr="00533EAC">
        <w:rPr>
          <w:rFonts w:ascii="Arial" w:eastAsia="Calibri" w:hAnsi="Arial" w:cs="Arial"/>
          <w:i/>
          <w:iCs/>
          <w:color w:val="000000" w:themeColor="text1"/>
          <w:lang w:val="en-ZA"/>
        </w:rPr>
        <w:t xml:space="preserve">Pyura </w:t>
      </w:r>
      <w:proofErr w:type="spellStart"/>
      <w:r w:rsidR="00254744" w:rsidRPr="00533EAC">
        <w:rPr>
          <w:rFonts w:ascii="Arial" w:eastAsia="Calibri" w:hAnsi="Arial" w:cs="Arial"/>
          <w:i/>
          <w:iCs/>
          <w:color w:val="000000" w:themeColor="text1"/>
          <w:lang w:val="en-ZA"/>
        </w:rPr>
        <w:t>herdmani</w:t>
      </w:r>
      <w:proofErr w:type="spellEnd"/>
      <w:r w:rsidR="00254744" w:rsidRPr="00533EAC">
        <w:rPr>
          <w:rFonts w:ascii="Arial" w:eastAsia="Calibri" w:hAnsi="Arial" w:cs="Arial"/>
          <w:color w:val="000000" w:themeColor="text1"/>
          <w:lang w:val="en-ZA"/>
        </w:rPr>
        <w:t xml:space="preserve"> is also present in northwest Africa </w:t>
      </w:r>
      <w:r w:rsidR="00475C54" w:rsidRPr="00533EAC">
        <w:rPr>
          <w:rFonts w:ascii="Arial" w:eastAsia="Calibri" w:hAnsi="Arial" w:cs="Arial"/>
          <w:color w:val="000000" w:themeColor="text1"/>
          <w:lang w:val="en-ZA"/>
        </w:rPr>
        <w:fldChar w:fldCharType="begin" w:fldLock="1"/>
      </w:r>
      <w:r w:rsidR="00475C54" w:rsidRPr="00533EAC">
        <w:rPr>
          <w:rFonts w:ascii="Arial" w:eastAsia="Calibri" w:hAnsi="Arial" w:cs="Arial"/>
          <w:color w:val="000000" w:themeColor="text1"/>
          <w:lang w:val="en-ZA"/>
        </w:rPr>
        <w:instrText>ADDIN CSL_CITATION {"citationItems":[{"id":"ITEM-1","itemData":{"DOI":"10.1111/zoj.12036","abstract":"Cryptic diversity represents a major challenge to the accurate\\nassessment of biodiversity, but the combined use of genetic and\\nmorphological analyses has proven to be a powerful approach to detect\\nit. This is especially important for groups for which genetic\\ninformation is not yet available. Here, we studied the highly\\nconspicuous habitat-forming Pyura stolonifera species complex\\n(Tunicata), which, as has recently been revealed, shows surprising\\nlevels of cryptic diversity, but whose systematics and biogeographical\\npatterns in Australasia nonetheless remain poorly understood. We first\\npresent detailed taxonomic information of all the species associated\\nwith the P.stolonifera species complex. We then proceed to describe the\\nresults of an exhaustive survey that included south-east Australia,\\nTasmania, and New Zealand. Subsequently, we present morphological and\\nmitonuclear genetic analysis of two unresolved lineages that comprise\\nthe species Pyura praeputialis and a species that is formally described\\nhere (Pyura doppelgangerasp. nov.). Although the ranges of these two\\nspecies overlap on mainland Australia, we found no sites at which both\\nspecies live in sympatry, and there was no morphological or genetic\\nevidence of hybridization. Taken together, the present study illustrates\\nthe usefulness of a combined morphogenetic approach in unravelling\\noverlooked marine diversity in a relatively well-studied region.(c) 2013\\nThe Linnean Society of London","author":[{"dropping-particle":"","family":"Rius","given":"Marc","non-dropping-particle":"","parse-names":false,"suffix":""},{"dropping-particle":"","family":"Teske","given":"Peter R.","non-dropping-particle":"","parse-names":false,"suffix":""}],"container-title":"Zoological Journal of the Linnean Society","id":"ITEM-1","issue":"3","issued":{"date-parts":[["2013","7"]]},"page":"597-611","title":"Cryptic diversity in coastal Australasia: a morphological and mitonuclear genetic analysis of habitat-forming sibling species","type":"article-journal","volume":"168"},"uris":["http://www.mendeley.com/documents/?uuid=65ee8069-da84-3e71-aef1-dccc1909aa2c"]},{"id":"ITEM-2","itemData":{"ISSN":"11755334","abstract":"Pyura stolonifera is a large solitary ascidian found in Africa, Australasia and South America. The taxonomic status of different populations of this species is disputed, especially since there is evidence for several distinct morphological and genetic units that point towards the existence of multiple cryptic species. While some researchers still recognize P. stolonifera as a single species, others treat the different populations as distinct species. Here, we present a revision of the P. stolonifera species complex based on the examination of samples from all regions where there are reliable reports of this taxon. We recognize four species that are both morphologically and genetically distinct, one of which is new to science and is formally described here. This species is morphologically distinct from the other three members of the species complex in terms of the colour and texture of the tunic, the arrangement of the gonads within the gut and the shape of the dorsal tubercle, among other characters. We name the new species Pyura dalbyi after Dr. J.E. Dalby Jr., whose research on its ecology and distribution provided the incentive for examining this species more closely.","author":[{"dropping-particle":"","family":"Rius","given":"Marc","non-dropping-particle":"","parse-names":false,"suffix":""},{"dropping-particle":"","family":"Teske","given":"Peter R","non-dropping-particle":"","parse-names":false,"suffix":""}],"container-title":"Zootaxa","id":"ITEM-2","issue":"2754","issued":{"date-parts":[["2011"]]},"page":"27-40","title":"A revision of the &lt;i&gt;Pyura stolonifera&lt;/i&gt; species complex (Tunicata, Ascidiacea), with a description of a new species from Australia","type":"article-journal","volume":"2754"},"uris":["http://www.mendeley.com/documents/?uuid=2fb396ad-7091-30f4-aa5e-4ff7ab8e4fd8"]},{"id":"ITEM-3","itemData":{"DOI":"10.1186/1471-2148-11-176","ISBN":"1471-2148","ISSN":"1471-2148","PMID":"21693014","abstract":"Ecosystem engineers facilitate habitat formation and enhance biodiversity, but when they become invasive, they present a critical threat to native communities because they can drastically alter the receiving habitat. Management of such species thus needs to be a priority, but the poorly resolved taxonomy of many ecosystem engineers represents a major obstacle to correctly identifying them as being either native or introduced. We address this dilemma by studying the sea squirt Pyura stolonifera, an important ecosystem engineer that dominates coastal communities particularly in the southern hemisphere. Using DNA sequence data from four independently evolving loci, we aimed to determine levels of cryptic diversity, the invasive or native status of each regional population, and the most appropriate sampling design for identifying the geographic ranges of each evolutionary unit.","author":[{"dropping-particle":"","family":"Teske","given":"Peter R.","non-dropping-particle":"","parse-names":false,"suffix":""},{"dropping-particle":"","family":"Rius","given":"Marc","non-dropping-particle":"","parse-names":false,"suffix":""},{"dropping-particle":"","family":"McQuaid","given":"Christopher D.","non-dropping-particle":"","parse-names":false,"suffix":""},{"dropping-particle":"","family":"Styan","given":"Craig A.","non-dropping-particle":"","parse-names":false,"suffix":""},{"dropping-particle":"","family":"Piggott","given":"Maxine P.","non-dropping-particle":"","parse-names":false,"suffix":""},{"dropping-particle":"","family":"Benhissoune","given":"Saïd","non-dropping-particle":"","parse-names":false,"suffix":""},{"dropping-particle":"","family":"Fuentes-Grünewald","given":"Claudio","non-dropping-particle":"","parse-names":false,"suffix":""},{"dropping-particle":"","family":"Walls","given":"Kathy","non-dropping-particle":"","parse-names":false,"suffix":""},{"dropping-particle":"","family":"Page","given":"Mike","non-dropping-particle":"","parse-names":false,"suffix":""},{"dropping-particle":"","family":"Attard","given":"Catherine R.M.","non-dropping-particle":"","parse-names":false,"suffix":""},{"dropping-particle":"","family":"Cooke","given":"Georgina M.","non-dropping-particle":"","parse-names":false,"suffix":""},{"dropping-particle":"","family":"McClusky","given":"Claire F.","non-dropping-particle":"","parse-names":false,"suffix":""},{"dropping-particle":"","family":"Banks","given":"Sam C.","non-dropping-particle":"","parse-names":false,"suffix":""},{"dropping-particle":"","family":"Barker","given":"Nigel P.","non-dropping-particle":"","parse-names":false,"suffix":""},{"dropping-particle":"","family":"Beheregaray","given":"Luciano B.","non-dropping-particle":"","parse-names":false,"suffix":""}],"container-title":"BMC Evolutionary Biology","id":"ITEM-3","issue":"1","issued":{"date-parts":[["2011","12","21"]]},"page":"176","title":"\"Nested\" cryptic diversity in a widespread marine ecosystem engineer: a challenge for detecting biological invasions","type":"article-journal","volume":"11"},"uris":["http://www.mendeley.com/documents/?uuid=33defdbe-1589-366a-9be1-3e615968068d"]},{"id":"ITEM-4","itemData":{"abstract":"Various molecular dynamics simulations have been performed in order to clarify friction and wear mechanism in their transition region at an atomic level. The specimen and the slider are assumed to consist of monocrystalline copper and rigid diamond, respectively, and the Morse potential is postulated between a pair of atoms. The atomic behaviors in a plane corresponding to the (111) plane of the copper are simulated dealing with a plane strain problem. In the simulations, the influence of the indentation depth on friction-and-wear phenomena was investigated. As a result, the friction-and-wear process of copper by the hard particle were classified into four regions as follows: (1) friction process by atomic-scale stick-slip phenomenon, (2) friction process with elastic deformation, (3) wear process with ploughing due to removal of atoms, and (4) wear process with ploughing due to plastic deformation. Each feature was clarified. © 2004 by Allerton Press, Inc.","author":[{"dropping-particle":"","family":"Lafargue","given":"F.","non-dropping-particle":"","parse-names":false,"suffix":""},{"dropping-particle":"","family":"Wahl","given":"M.","non-dropping-particle":"","parse-names":false,"suffix":""}],"container-title":"Bulletin de l'Institut français d'Afrique noire","id":"ITEM-4","issue":"3-4","issued":{"date-parts":[["1986"]]},"page":"385-402","title":"Contribution to the knowledge of littoral ascidians (Ascidiacea, Tunicata) of the Senegalese coast","type":"article-journal","volume":"46A"},"uris":["http://www.mendeley.com/documents/?uuid=ca4aa90d-9930-3654-8ae6-192837d51a92"]},{"id":"ITEM-5","itemData":{"DOI":"10.1007/s13398-014-0173-7.2","ISBN":"9780874216561","ISSN":"13514180","PMID":"15991970","author":[{"dropping-particle":"","family":"Monniot","given":"Claude","non-dropping-particle":"","parse-names":false,"suffix":""},{"dropping-particle":"","family":"Bitar","given":"Ghazi","non-dropping-particle":"","parse-names":false,"suffix":""}],"container-title":"Bulletin de l'Institut Scientifique,","id":"ITEM-5","issue":"Rabat","issued":{"date-parts":[["1983"]]},"page":"83-91","title":"Sur la presence de Pyura stolonifera (Tunicata, Ascidiacea) a ras achaccar (cot Nord Atlantique Marocaine). Comparaison anatomique distinctive avec Pyura praeputialis","type":"article-journal","volume":"7"},"uris":["http://www.mendeley.com/documents/?uuid=4c1d6594-b561-3c01-9dfb-52719ec14ca8"]}],"mendeley":{"formattedCitation":"(Lafargue and Wahl 1986; Monniot and Bitar 1983; Rius and Teske 2011, 2013; Teske et al. 2011)","plainTextFormattedCitation":"(Lafargue and Wahl 1986; Monniot and Bitar 1983; Rius and Teske 2011, 2013; Teske et al. 2011)","previouslyFormattedCitation":"(Lafargue and Wahl 1986; Monniot and Bitar 1983; Rius and Teske 2011, 2013; Teske et al. 2011)"},"properties":{"noteIndex":0},"schema":"https://github.com/citation-style-language/schema/raw/master/csl-citation.json"}</w:instrText>
      </w:r>
      <w:r w:rsidR="00475C54" w:rsidRPr="00533EAC">
        <w:rPr>
          <w:rFonts w:ascii="Arial" w:eastAsia="Calibri" w:hAnsi="Arial" w:cs="Arial"/>
          <w:color w:val="000000" w:themeColor="text1"/>
          <w:lang w:val="en-ZA"/>
        </w:rPr>
        <w:fldChar w:fldCharType="separate"/>
      </w:r>
      <w:r w:rsidR="00475C54" w:rsidRPr="00533EAC">
        <w:rPr>
          <w:rFonts w:ascii="Arial" w:eastAsia="Calibri" w:hAnsi="Arial" w:cs="Arial"/>
          <w:noProof/>
          <w:color w:val="000000" w:themeColor="text1"/>
          <w:lang w:val="en-ZA"/>
        </w:rPr>
        <w:t>(Lafargue and Wahl 1986; Monniot and Bitar 1983; Rius and Teske 2011, 2013; Teske et al. 2011)</w:t>
      </w:r>
      <w:r w:rsidR="00475C54" w:rsidRPr="00533EAC">
        <w:rPr>
          <w:rFonts w:ascii="Arial" w:eastAsia="Calibri" w:hAnsi="Arial" w:cs="Arial"/>
          <w:color w:val="000000" w:themeColor="text1"/>
          <w:lang w:val="en-ZA"/>
        </w:rPr>
        <w:fldChar w:fldCharType="end"/>
      </w:r>
      <w:r w:rsidR="00475C54"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These</w:t>
      </w:r>
      <w:r w:rsidR="00094D89" w:rsidRPr="00533EAC">
        <w:rPr>
          <w:rFonts w:ascii="Arial" w:eastAsia="Calibri" w:hAnsi="Arial" w:cs="Arial"/>
          <w:color w:val="000000" w:themeColor="text1"/>
          <w:lang w:val="en-ZA"/>
        </w:rPr>
        <w:t xml:space="preserve"> filter-feeding</w:t>
      </w:r>
      <w:r w:rsidR="005633D6" w:rsidRPr="00533EAC">
        <w:rPr>
          <w:rFonts w:ascii="Arial" w:eastAsia="Calibri" w:hAnsi="Arial" w:cs="Arial"/>
          <w:color w:val="000000" w:themeColor="text1"/>
          <w:lang w:val="en-ZA"/>
        </w:rPr>
        <w:t xml:space="preserve"> sessile species live in intertidal </w:t>
      </w:r>
      <w:r w:rsidR="000E31FF" w:rsidRPr="00533EAC">
        <w:rPr>
          <w:rFonts w:ascii="Arial" w:eastAsia="Calibri" w:hAnsi="Arial" w:cs="Arial"/>
          <w:color w:val="000000" w:themeColor="text1"/>
          <w:lang w:val="en-ZA"/>
        </w:rPr>
        <w:t xml:space="preserve">and subtidal </w:t>
      </w:r>
      <w:r w:rsidR="005633D6" w:rsidRPr="00533EAC">
        <w:rPr>
          <w:rFonts w:ascii="Arial" w:eastAsia="Calibri" w:hAnsi="Arial" w:cs="Arial"/>
          <w:color w:val="000000" w:themeColor="text1"/>
          <w:lang w:val="en-ZA"/>
        </w:rPr>
        <w:t>habitats where</w:t>
      </w:r>
      <w:r w:rsidR="00402FBF" w:rsidRPr="00533EAC">
        <w:rPr>
          <w:rFonts w:ascii="Arial" w:eastAsia="Calibri" w:hAnsi="Arial" w:cs="Arial"/>
          <w:b/>
          <w:color w:val="000000" w:themeColor="text1"/>
          <w:lang w:val="en-ZA"/>
        </w:rPr>
        <w:t xml:space="preserve"> </w:t>
      </w:r>
      <w:r w:rsidR="005633D6" w:rsidRPr="00533EAC">
        <w:rPr>
          <w:rFonts w:ascii="Arial" w:eastAsia="Calibri" w:hAnsi="Arial" w:cs="Arial"/>
          <w:color w:val="000000" w:themeColor="text1"/>
          <w:lang w:val="en-ZA"/>
        </w:rPr>
        <w:t xml:space="preserve">they </w:t>
      </w:r>
      <w:r w:rsidR="000E31FF" w:rsidRPr="00533EAC">
        <w:rPr>
          <w:rFonts w:ascii="Arial" w:eastAsia="Calibri" w:hAnsi="Arial" w:cs="Arial"/>
          <w:color w:val="000000" w:themeColor="text1"/>
          <w:lang w:val="en-ZA"/>
        </w:rPr>
        <w:t>often form</w:t>
      </w:r>
      <w:r w:rsidR="005633D6" w:rsidRPr="00533EAC">
        <w:rPr>
          <w:rFonts w:ascii="Arial" w:eastAsia="Calibri" w:hAnsi="Arial" w:cs="Arial"/>
          <w:color w:val="000000" w:themeColor="text1"/>
          <w:lang w:val="en-ZA"/>
        </w:rPr>
        <w:t xml:space="preserve"> vast </w:t>
      </w:r>
      <w:r w:rsidR="000E31FF" w:rsidRPr="00533EAC">
        <w:rPr>
          <w:rFonts w:ascii="Arial" w:eastAsia="Calibri" w:hAnsi="Arial" w:cs="Arial"/>
          <w:color w:val="000000" w:themeColor="text1"/>
          <w:lang w:val="en-ZA"/>
        </w:rPr>
        <w:t>aggregations of densely spaced individuals</w:t>
      </w:r>
      <w:r w:rsidR="005633D6"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fldChar w:fldCharType="begin" w:fldLock="1"/>
      </w:r>
      <w:r w:rsidR="00450022" w:rsidRPr="00533EAC">
        <w:rPr>
          <w:rFonts w:ascii="Arial" w:eastAsia="Calibri" w:hAnsi="Arial" w:cs="Arial"/>
          <w:color w:val="000000" w:themeColor="text1"/>
          <w:lang w:val="en-ZA"/>
        </w:rPr>
        <w:instrText>ADDIN CSL_CITATION {"citationItems":[{"id":"ITEM-1","itemData":{"DOI":"10.1016/S0022-0981(02)00020-5","ISSN":"00220981","abstract":"Beds of the ascidian Pyura stolonifera on rocky shores around Sydney, Australia, provide an important habitat for many organisms, such as algae, chitons, limpets and snails. Fishermen collect Pyura for bait, which can change the structure of those beds. This may, in turn, cause changes in their associated biota. To predict the effects of such disturbances, it is necessary to understand the relationship between the structure of the habitat provided by beds of Pyura and their associated assemblages. Beds of Pyura can provide two types of habitat: Clumped, with &gt; 50% cover of closely packed individuals or Sparse, with &lt; 50% cover, where individuals are mostly isolated from contact with others. The spaces amongst the Pyura can be bare rock or rock covered by numerous species of algae and sessile animals. Nineteen algal species and 45 species of animals were identified in the field in Clumped and Sparse habitats. Assemblages differed significantly between patches of Clumped and Sparse habitat and much of the difference was attributable to relatively few species. In addition, a number of species of algae and animals live on the surface of the Pyura themselves. Eighty-four taxa were found at the scale of individual Pyura, many of which were relatively small and cryptic. Organisms on Pyura differed between individual ascidians that were isolated from other Pyura (i.e. a more common situation in Sparse habitat) and those that were surrounded by and in contact with other Pyura (i.e. more common in Clumped habitat). These differences were mostly attributed to a few families of small molluscs. It appears that changes in the structure of beds of Pyura have the potential to make significant alterations to intertidal assemblages at the scale of individual Pyura and at the scale of the habitats formed by beds of Pyura. © 2002 Elsevier Science B.V. All rights reserved.","author":[{"dropping-particle":"","family":"Monteiro","given":"S M","non-dropping-particle":"","parse-names":false,"suffix":""},{"dropping-particle":"","family":"Chapman","given":"M G","non-dropping-particle":"","parse-names":false,"suffix":""},{"dropping-particle":"","family":"Underwood","given":"A J","non-dropping-particle":"","parse-names":false,"suffix":""}],"container-title":"Journal of Experimental Marine Biology and Ecology","id":"ITEM-1","issue":"2","issued":{"date-parts":[["2002"]]},"page":"171-189","title":"Patches of the ascidian Pyura stolonifera (Heller, 1878): Structure of habitat and associated intertidal assemblages","type":"article-journal","volume":"270"},"uris":["http://www.mendeley.com/documents/?uuid=697e4537-6c73-3cbf-b497-fbd64cb8eda7"]},{"id":"ITEM-2","itemData":{"author":[{"dropping-particle":"","family":"Castilla","given":"J. C.","non-dropping-particle":"","parse-names":false,"suffix":""},{"dropping-particle":"","family":"Lagos","given":"Nelson A.","non-dropping-particle":"","parse-names":false,"suffix":""},{"dropping-particle":"","family":"Cerda","given":"Mauricio","non-dropping-particle":"","parse-names":false,"suffix":""}],"container-title":"Marine Ecology Progress Series","id":"ITEM-2","issued":{"date-parts":[["2004"]]},"page":"119-130","title":"Marine ecosystem engineering by the alien ascidian &lt;i&gt;Pyura praeputialis&lt;/i&gt; on a mid-intertidal rocky shore","type":"article-journal","volume":"268"},"uris":["http://www.mendeley.com/documents/?uuid=8eddc66c-1955-3cde-808b-d15c21124840"]}],"mendeley":{"formattedCitation":"(Castilla et al. 2004; Monteiro et al. 2002)","plainTextFormattedCitation":"(Castilla et al. 2004; Monteiro et al. 2002)","previouslyFormattedCitation":"(Castilla et al. 2004; Monteiro et al. 2002)"},"properties":{"noteIndex":0},"schema":"https://github.com/citation-style-language/schema/raw/master/csl-citation.json"}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2E2E55" w:rsidRPr="00533EAC">
        <w:rPr>
          <w:rFonts w:ascii="Arial" w:eastAsia="Calibri" w:hAnsi="Arial" w:cs="Arial"/>
          <w:noProof/>
          <w:color w:val="000000" w:themeColor="text1"/>
          <w:lang w:val="en-ZA"/>
        </w:rPr>
        <w:t>(Castilla et al. 2004; Monteiro et al. 2002)</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r w:rsidR="000E31FF" w:rsidRPr="00533EAC">
        <w:rPr>
          <w:rFonts w:ascii="Arial" w:eastAsia="Calibri" w:hAnsi="Arial" w:cs="Arial"/>
          <w:color w:val="000000" w:themeColor="text1"/>
          <w:lang w:val="en-ZA"/>
        </w:rPr>
        <w:t>They</w:t>
      </w:r>
      <w:r w:rsidR="008E084B" w:rsidRPr="00533EAC">
        <w:rPr>
          <w:rFonts w:ascii="Arial" w:eastAsia="Calibri" w:hAnsi="Arial" w:cs="Arial"/>
          <w:color w:val="000000" w:themeColor="text1"/>
          <w:lang w:val="en-ZA"/>
        </w:rPr>
        <w:t xml:space="preserve"> </w:t>
      </w:r>
      <w:r w:rsidR="000E31FF" w:rsidRPr="00533EAC">
        <w:rPr>
          <w:rFonts w:ascii="Arial" w:eastAsia="Calibri" w:hAnsi="Arial" w:cs="Arial"/>
          <w:color w:val="000000" w:themeColor="text1"/>
          <w:lang w:val="en-ZA"/>
        </w:rPr>
        <w:t>are among the most important</w:t>
      </w:r>
      <w:r w:rsidR="005633D6" w:rsidRPr="00533EAC">
        <w:rPr>
          <w:rFonts w:ascii="Arial" w:eastAsia="Calibri" w:hAnsi="Arial" w:cs="Arial"/>
          <w:color w:val="000000" w:themeColor="text1"/>
          <w:lang w:val="en-ZA"/>
        </w:rPr>
        <w:t xml:space="preserve"> bioengineers on rocky shores along </w:t>
      </w:r>
      <w:r w:rsidR="0058572A" w:rsidRPr="00533EAC">
        <w:rPr>
          <w:rFonts w:ascii="Arial" w:eastAsia="Calibri" w:hAnsi="Arial" w:cs="Arial"/>
          <w:color w:val="000000" w:themeColor="text1"/>
          <w:lang w:val="en-ZA"/>
        </w:rPr>
        <w:t>southern and north-western</w:t>
      </w:r>
      <w:r w:rsidR="005633D6" w:rsidRPr="00533EAC">
        <w:rPr>
          <w:rFonts w:ascii="Arial" w:eastAsia="Calibri" w:hAnsi="Arial" w:cs="Arial"/>
          <w:color w:val="000000" w:themeColor="text1"/>
          <w:lang w:val="en-ZA"/>
        </w:rPr>
        <w:t xml:space="preserve"> African coastline</w:t>
      </w:r>
      <w:r w:rsidR="0058572A" w:rsidRPr="00533EAC">
        <w:rPr>
          <w:rFonts w:ascii="Arial" w:eastAsia="Calibri" w:hAnsi="Arial" w:cs="Arial"/>
          <w:color w:val="000000" w:themeColor="text1"/>
          <w:lang w:val="en-ZA"/>
        </w:rPr>
        <w:t>s</w:t>
      </w:r>
      <w:r w:rsidR="005633D6"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{"citationItems":[{"id":"ITEM-1","itemData":{"DOI":"10.1186/1471-2148-11-176","ISBN":"1471-2148","ISSN":"1471-2148","PMID":"21693014","abstract":"Ecosystem engineers facilitate habitat formation and enhance biodiversity, but when they become invasive, they present a critical threat to native communities because they can drastically alter the receiving habitat. Management of such species thus needs to be a priority, but the poorly resolved taxonomy of many ecosystem engineers represents a major obstacle to correctly identifying them as being either native or introduced. We address this dilemma by studying the sea squirt Pyura stolonifera, an important ecosystem engineer that dominates coastal communities particularly in the southern hemisphere. Using DNA sequence data from four independently evolving loci, we aimed to determine levels of cryptic diversity, the invasive or native status of each regional population, and the most appropriate sampling design for identifying the geographic ranges of each evolutionary unit.","author":[{"dropping-particle":"","family":"Teske","given":"Peter R.","non-dropping-particle":"","parse-names":false,"suffix":""},{"dropping-particle":"","family":"Rius","given":"Marc","non-dropping-particle":"","parse-names":false,"suffix":""},{"dropping-particle":"","family":"McQuaid","given":"Christopher D.","non-dropping-particle":"","parse-names":false,"suffix":""},{"dropping-particle":"","family":"Styan","given":"Craig A.","non-dropping-particle":"","parse-names":false,"suffix":""},{"dropping-particle":"","family":"Piggott","given":"Maxine P.","non-dropping-particle":"","parse-names":false,"suffix":""},{"dropping-particle":"","family":"Benhissoune","given":"Saïd","non-dropping-particle":"","parse-names":false,"suffix":""},{"dropping-particle":"","family":"Fuentes-Grünewald","given":"Claudio","non-dropping-particle":"","parse-names":false,"suffix":""},{"dropping-particle":"","family":"Walls","given":"Kathy","non-dropping-particle":"","parse-names":false,"suffix":""},{"dropping-particle":"","family":"Page","given":"Mike","non-dropping-particle":"","parse-names":false,"suffix":""},{"dropping-particle":"","family":"Attard","given":"Catherine R.M.","non-dropping-particle":"","parse-names":false,"suffix":""},{"dropping-particle":"","family":"Cooke","given":"Georgina M.","non-dropping-particle":"","parse-names":false,"suffix":""},{"dropping-particle":"","family":"McClusky","given":"Claire F.","non-dropping-particle":"","parse-names":false,"suffix":""},{"dropping-particle":"","family":"Banks","given":"Sam C.","non-dropping-particle":"","parse-names":false,"suffix":""},{"dropping-particle":"","family":"Barker","given":"Nigel P.","non-dropping-particle":"","parse-names":false,"suffix":""},{"dropping-particle":"","family":"Beheregaray","given":"Luciano B.","non-dropping-particle":"","parse-names":false,"suffix":""}],"container-title":"BMC Evolutionary Biology","id":"ITEM-1","issue":"1","issued":{"date-parts":[["2011","12","21"]]},"page":"176","title":"\"Nested\" cryptic diversity in a widespread marine ecosystem engineer: a challenge for detecting biological invasions","type":"article-journal","volume":"11"},"uris":["http://www.mendeley.com/documents/?uuid=33defdbe-1589-366a-9be1-3e615968068d"]}],"mendeley":{"formattedCitation":"(Teske et al. 2011)","plainTextFormattedCitation":"(Teske et al. 2011)","previouslyFormattedCitation":"(Teske et al. 2011)"},"properties":{"noteIndex":0},"schema":"https://github.com/citation-style-language/schema/raw/master/csl-citation.json"}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(Teske et al. 2011)</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Being a dominant component of benthic communities</w:t>
      </w:r>
      <w:bookmarkStart w:id="2" w:name="_GoBack"/>
      <w:bookmarkEnd w:id="2"/>
      <w:r w:rsidR="005633D6" w:rsidRPr="00533EAC">
        <w:rPr>
          <w:rFonts w:ascii="Arial" w:eastAsia="Calibri" w:hAnsi="Arial" w:cs="Arial"/>
          <w:color w:val="000000" w:themeColor="text1"/>
          <w:lang w:val="en-ZA"/>
        </w:rPr>
        <w:t xml:space="preserve">, they act as bioengineers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{"citationItems":[{"id":"ITEM-1","itemData":{"DOI":"10.1007/978-1-4615-1773-3_14","ISBN":"978-1-4615-1773-3","abstract":"Ecosystem engineers are organisms that directly or indirectly modulate the availability of resources to other species, by causing physical state changes in biotic or abiotic materials. In so doing they modify, maintain, and create habitats. Autogenic engineers (e.g corals, trees) change the environment via their own physical structures. Allogenic engineers (woodpeckers, beavers) change their environment by transforming living or non-living materials from one physical state to another, mechanically or otherwise.","author":[{"dropping-particle":"","family":"Lawton","given":"John H.","non-dropping-particle":"","parse-names":false,"suffix":""},{"dropping-particle":"","family":"Jones","given":"Clive G.","non-dropping-particle":"","parse-names":false,"suffix":""}],"container-title":"Linking Species &amp; Ecosystems","editor":[{"dropping-particle":"","family":"Jones Clive G.","given":"","non-dropping-particle":"","parse-names":false,"suffix":""},{"dropping-particle":"","family":"and Lawton","given":"John H","non-dropping-particle":"","parse-names":false,"suffix":""}],"id":"ITEM-1","issued":{"date-parts":[["1995"]]},"page":"141-150","publisher":"Springer US","publisher-place":"Boston, MA","title":"Linking Species and Ecosystems: Organisms as Ecosystem Engineers","type":"chapter"},"uris":["http://www.mendeley.com/documents/?uuid=e34023d0-4d53-3487-9d43-b04f4d4096b4"]}],"mendeley":{"formattedCitation":"(Lawton and Jones 1995)","plainTextFormattedCitation":"(Lawton and Jones 1995)","previouslyFormattedCitation":"(Lawton and Jones 1995)"},"properties":{"noteIndex":0},"schema":"https://github.com/citation-style-language/schema/raw/master/csl-citation.json"}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(Lawton and Jones 1995)</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occupying </w:t>
      </w:r>
      <w:r w:rsidR="000E31FF" w:rsidRPr="00533EAC">
        <w:rPr>
          <w:rFonts w:ascii="Arial" w:eastAsia="Calibri" w:hAnsi="Arial" w:cs="Arial"/>
          <w:color w:val="000000" w:themeColor="text1"/>
          <w:lang w:val="en-ZA"/>
        </w:rPr>
        <w:t xml:space="preserve">much of the </w:t>
      </w:r>
      <w:r w:rsidR="005633D6" w:rsidRPr="00533EAC">
        <w:rPr>
          <w:rFonts w:ascii="Arial" w:eastAsia="Calibri" w:hAnsi="Arial" w:cs="Arial"/>
          <w:color w:val="000000" w:themeColor="text1"/>
          <w:lang w:val="en-ZA"/>
        </w:rPr>
        <w:t xml:space="preserve">available space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{"citationItems":[{"id":"ITEM-1","itemData":{"author":[{"dropping-particle":"","family":"Castilla","given":"J. C.","non-dropping-particle":"","parse-names":false,"suffix":""},{"dropping-particle":"","family":"Lagos","given":"Nelson A.","non-dropping-particle":"","parse-names":false,"suffix":""},{"dropping-particle":"","family":"Cerda","given":"Mauricio","non-dropping-particle":"","parse-names":false,"suffix":""}],"container-title":"Marine Ecology Progress Series","id":"ITEM-1","issued":{"date-parts":[["2004"]]},"page":"119-130","title":"Marine ecosystem engineering by the alien ascidian &lt;i&gt;Pyura praeputialis&lt;/i&gt; on a mid-intertidal rocky shore","type":"article-journal","volume":"268"},"uris":["http://www.mendeley.com/documents/?uuid=8eddc66c-1955-3cde-808b-d15c21124840"]}],"mendeley":{"formattedCitation":"(Castilla et al. 2004)","plainTextFormattedCitation":"(Castilla et al. 2004)","previouslyFormattedCitation":"(Castilla et al. 2004)"},"properties":{"noteIndex":0},"schema":"https://github.com/citation-style-language/schema/raw/master/csl-citation.json"}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(Castilla et al. 2004)</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increasing architectural complexity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{"citationItems":[{"id":"ITEM-1","itemData":{"DOI":"10.1890/0012-9658(2001)082[2331:AATMOS]2.0.CO;2","ISSN":"00129658","abstract":"A tridimensional allometric model of self-thinning was tested in a tunicate population of Pyura praeputialis in the Antofagasta Bay, northern Chile. The theory tested follows the bidimensionzil allometric theory of Osawa and Allen for the self-thinning rule proposed for plants, except that in addition to mean individual mass we included three new concepts: the number of layers (an equivalent of the leaf area index, [LAI] used in plants), the effective unit area, and the density per unit effective area. We assumed constant tunicate mass per effective unit area and allometry for mean dimensions of the population: The tridimensional model can be reduced to a bidimensional one if density is expressed as the density per unit effective area, which corresponds to the number of individuals relative to the effective area occupied by individuals when they conform a monolayer. The model allows for random sampling and rules out the selection for samples or stands at maximum crowding. The self-thinning of P. praeputialis through a tridimensional model showed an exponent of -1.518 (95% CI, -1.635 to -1.401) for mean tunicate visceral mass, and an exponent of -1.489 (95% CI, -1.588 to -1.390) for the corrected bidimensional model. The two exponents were identical to those predicted from tridimensional allometric theory. The results of this new approach increase the variance explained in comparison to that of classical bidimensional models.","author":[{"dropping-particle":"","family":"Guiñez","given":"Ricardo","non-dropping-particle":"","parse-names":false,"suffix":""},{"dropping-particle":"","family":"Castilla","given":"Juan Carlos","non-dropping-particle":"","parse-names":false,"suffix":""}],"container-title":"Ecology","id":"ITEM-1","issue":"8","issued":{"date-parts":[["2001","8","1"]]},"note":"doi: 10.1890/0012-9658(2001)082[2331:AATMOS]2.0.CO;2","page":"2331-2341","publisher":"John Wiley &amp; Sons, Ltd","title":"An allometric tridimensional model of self-thinning for a gregarious tunicate","type":"article-journal","volume":"82"},"uris":["http://www.mendeley.com/documents/?uuid=0e3749d7-8c7f-311f-9e62-db3027d1749a"]}],"mendeley":{"formattedCitation":"(Guiñez and Castilla 2001)","plainTextFormattedCitation":"(Guiñez and Castilla 2001)","previouslyFormattedCitation":"(Guiñez and Castilla 2001)"},"properties":{"noteIndex":0},"schema":"https://github.com/citation-style-language/schema/raw/master/csl-citation.json"}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(Guiñez and Castilla 2001)</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and enhancing species richness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{"citationItems":[{"id":"ITEM-1","itemData":{"DOI":"10.1890/09-2152.1","ISSN":"00129658","abstract":"Temperature and primary production (often linked to nutrient supply) are two of the few factors influencing species diversity and abundances across mesoscale gradients, while at smaller scales the habitat complexity offered by bioengineers is important. Previous studies have illustrated effects of upwelling and biogeography on intertidal bioengineers, but it is not known if these processes influence assemblages associated with those bioengineers in a similar way. We examined the habitat structure offered by two species of mussels and their associated fauna in five regions across 3000 km and three biogeographic provinces of the South African coast, replicating upwelling and non-upwelling areas within each region. Upwelling and region influenced the structure of mussel beds (the density and size of mussels). In contrast, upwelling did not influence mesoscale differences in composition, abundance, and numbers of species of crustaceans, mollusks, or polychaetes in mussel beds. Regardless of trophic level or mode of reproduction, mussel bed fauna were influenced only by region. Regional differences were strongly influenced by biogeography. The associated fauna was, however, also strongly correlated with the structure of the habitats created by mussels. Our results support the importance of upwelling to a critical ecosystem engineer, but show that these effects do not extend directly to the assemblages of associated fauna, which are more influenced by regional-scale effects and biogeography. We suggest that mesoscale patterns in the associated fauna of this bioengineered habitat are driven by the direct effects of biogeography, combined with the influence of biogeography and upwelling on mussel bed structure. © 2010 by the Ecological Society of America.","author":[{"dropping-particle":"","family":"Cole","given":"Victoria J","non-dropping-particle":"","parse-names":false,"suffix":""},{"dropping-particle":"","family":"McQuaid","given":"Christopher D.","non-dropping-particle":"","parse-names":false,"suffix":""}],"container-title":"Ecology","id":"ITEM-1","issue":"12","issued":{"date-parts":[["2010","12","1"]]},"note":"doi: 10.1890/09-2152.1","page":"3549-3562","publisher":"John Wiley &amp; Sons, Ltd","title":"Bioengineers and their associated fauna respond differently to the effects of biogeography and upwelling","type":"article-journal","volume":"91"},"uris":["http://www.mendeley.com/documents/?uuid=88ecb397-f899-397b-91d2-16dec6abaa2c"]}],"mendeley":{"formattedCitation":"(Cole and McQuaid 2010)","plainTextFormattedCitation":"(Cole and McQuaid 2010)","previouslyFormattedCitation":"(Cole and McQuaid 2010)"},"properties":{"noteIndex":0},"schema":"https://github.com/citation-style-language/schema/raw/master/csl-citation.json"}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(Cole and McQuaid 2010)</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The monitoring of </w:t>
      </w:r>
      <w:r w:rsidR="00B5647E" w:rsidRPr="00533EAC">
        <w:rPr>
          <w:rFonts w:ascii="Arial" w:eastAsia="Calibri" w:hAnsi="Arial" w:cs="Arial"/>
          <w:color w:val="000000" w:themeColor="text1"/>
          <w:lang w:val="en-ZA"/>
        </w:rPr>
        <w:t xml:space="preserve">population dynamics </w:t>
      </w:r>
      <w:r w:rsidR="005633D6" w:rsidRPr="00533EAC">
        <w:rPr>
          <w:rFonts w:ascii="Arial" w:eastAsia="Calibri" w:hAnsi="Arial" w:cs="Arial"/>
          <w:color w:val="000000" w:themeColor="text1"/>
          <w:lang w:val="en-ZA"/>
        </w:rPr>
        <w:t>of the</w:t>
      </w:r>
      <w:r w:rsidR="008E084B" w:rsidRPr="00533EAC">
        <w:rPr>
          <w:rFonts w:ascii="Arial" w:eastAsia="Calibri" w:hAnsi="Arial" w:cs="Arial"/>
          <w:color w:val="000000" w:themeColor="text1"/>
          <w:lang w:val="en-ZA"/>
        </w:rPr>
        <w:t>se</w:t>
      </w:r>
      <w:r w:rsidR="005633D6" w:rsidRPr="00533EAC">
        <w:rPr>
          <w:rFonts w:ascii="Arial" w:eastAsia="Calibri" w:hAnsi="Arial" w:cs="Arial"/>
          <w:color w:val="000000" w:themeColor="text1"/>
          <w:lang w:val="en-ZA"/>
        </w:rPr>
        <w:t xml:space="preserve"> dominant species is important to assess the status of rocky shore ecosystem, which </w:t>
      </w:r>
      <w:r w:rsidR="00B664BA" w:rsidRPr="00533EAC">
        <w:rPr>
          <w:rFonts w:ascii="Arial" w:eastAsia="Calibri" w:hAnsi="Arial" w:cs="Arial"/>
          <w:color w:val="000000" w:themeColor="text1"/>
          <w:lang w:val="en-ZA"/>
        </w:rPr>
        <w:t xml:space="preserve">can </w:t>
      </w:r>
      <w:r w:rsidR="005633D6" w:rsidRPr="00533EAC">
        <w:rPr>
          <w:rFonts w:ascii="Arial" w:eastAsia="Calibri" w:hAnsi="Arial" w:cs="Arial"/>
          <w:color w:val="000000" w:themeColor="text1"/>
          <w:lang w:val="en-ZA"/>
        </w:rPr>
        <w:t xml:space="preserve">be affected by a variety of stressors and diseases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{"citationItems":[{"id":"ITEM-1","itemData":{"DOI":"10.2989/025776199784125953","ISSN":"02577615","abstract":"A mass mortality of the ascidian Pyura stolonifera (red-bait) was recorded along the Tsitsikamma coast of South Africa in May 1991, following the infection of a large proportion of the population with a white microbial growth. At nine subtidal red-bait beds, reductions in percentage cover of red-bait were greatest on the crests of reefs (42 ± 17%:1SD) and lowest on the landward edges (17 ± 8%). The test of P. stolonifera appeared to be the main site of the microbial infection. Scanning electron and epifluorescent microscopy revealed much higher numbers of bacteria on the tests of infected individuals (64.3 ± 5.5 x 106·mm-2) compared to healthy ones (5.1 ± 0.1 x 106·mm-2). Fat, curved rod bacteria and thick chains, which accounted for more than 45% of the bacteria on infected red-bait tests, were absent from the tests of healthy red-bait. Standard characterization techniques, coupled with API tests, showed that the isolates from infected red-bait tests belonged exclusively to the genus Vibrio, whereas isolates from healthy tests included the genera Vibrio, Pseudomonas, Aeromonas and Flavobacterium/Cytophaga. The mass mortality therefore appeared to be associated with the proliferation of large curved rod bacteria of the genus Vibrio. Recolonization by P. stolonifera into areas naturally denuded of red-bait was significantly faster than for experimental plots cleared of all organisms during the mid 1980s. A mean cover of 33 ± 4% was recorded for P. stolonifera after 38 months following natural mortality, whereas it took 71 months to achieve a comparable recovery of 35 ± 20% in experimental plots. Possible reasons for this difference (viz. substratum, recruitment and predation) are explored.","author":[{"dropping-particle":"","family":"Hanekom","given":"N.","non-dropping-particle":"","parse-names":false,"suffix":""},{"dropping-particle":"","family":"Harris","given":"J. M.","non-dropping-particle":"","parse-names":false,"suffix":""},{"dropping-particle":"","family":"Branch","given":"G. M.","non-dropping-particle":"","parse-names":false,"suffix":""},{"dropping-particle":"","family":"Allen","given":"J. C.","non-dropping-particle":"","parse-names":false,"suffix":""}],"container-title":"South African Journal of Marine Science","id":"ITEM-1","issue":"21","issued":{"date-parts":[["1999"]]},"page":"117-133","title":"Mass mortality and recolonization of&lt;i&gt; Pyura stolonifera&lt;/i&gt; (Heller) on the South Coast of South Africa","type":"article-journal"},"uris":["http://www.mendeley.com/documents/?uuid=e15e3deb-6be5-3c69-ae4b-d6cab3b398bf"]}],"mendeley":{"formattedCitation":"(Hanekom et al. 1999)","plainTextFormattedCitation":"(Hanekom et al. 1999)","previouslyFormattedCitation":"(Hanekom et al. 1999)"},"properties":{"noteIndex":0},"schema":"https://github.com/citation-style-language/schema/raw/master/csl-citation.json"}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(Hanekom et al. 1999)</w:t>
      </w:r>
      <w:r w:rsidR="005633D6" w:rsidRPr="00533EAC">
        <w:rPr>
          <w:rFonts w:ascii="Arial" w:eastAsia="Calibri" w:hAnsi="Arial" w:cs="Arial"/>
          <w:color w:val="000000" w:themeColor="text1"/>
          <w:lang w:val="en-ZA"/>
        </w:rPr>
        <w:fldChar w:fldCharType="end"/>
      </w:r>
      <w:r w:rsidR="00B5647E" w:rsidRPr="00533EAC">
        <w:rPr>
          <w:rFonts w:ascii="Arial" w:eastAsia="Calibri" w:hAnsi="Arial" w:cs="Arial"/>
          <w:color w:val="000000" w:themeColor="text1"/>
          <w:lang w:val="en-ZA"/>
        </w:rPr>
        <w:t xml:space="preserve"> and thus</w:t>
      </w:r>
      <w:r w:rsidR="005633D6" w:rsidRPr="00533EAC">
        <w:rPr>
          <w:rFonts w:ascii="Arial" w:eastAsia="Calibri" w:hAnsi="Arial" w:cs="Arial"/>
          <w:color w:val="000000" w:themeColor="text1"/>
          <w:lang w:val="en-ZA"/>
        </w:rPr>
        <w:t xml:space="preserve"> impact ecosystem services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{"citationItems":[{"id":"ITEM-1","itemData":{"DOI":"10.1111/aec.12359","ISSN":"14429993","abstract":"In northern Chile, Pyura praeputialis is an invasive species inhabiting rocky intertidal and subtidal habitats restricted exclusively to the Bay of Antofagasta where it forms extensive aggregations. The negative impact of Pyura gathering on mid-intertidal abundances of this species has recently been reported at the south-eastern end of this bay. In the present study we have increased sampling sites to cover the entire bay toward the north-western end and the northern section, where a coastal marine reserve for the scallop fishery partially restricts shellfish gathering. Therefore, the sampling sites were chosen to represent different levels of shellfish gathering access along the northern shore of the bay. Long-term monitoring (1999–2014) of changes in tunicate cover and the abundances of larvae and recruits at seven sites are reported. The opening of a remodelled artificial and recreational beach in 2012, on the central-eastern shore of the bay, has increased accessibility to rocky intertidal platforms that started to be massively visited by Pyura gatherers from the summer of 2013. This allowed for the implementation of an intensive short-term monitoring program of changes in tunicate cover and the abundances of their larvae and recruits. When gathering access was present the reduction in intertidal cover was generalized to the entire bay and followed by reductions in larvae and recruits. However, these reductions were not found in sites with more restricted gathering access. We conclude that continuous extraction by Pyura gatherers followed by reductions of conspecific larvae and recruits are the main drivers behind the reduced abundance of P. praeputialis in the entire bay of Antofagasta. Thus, if gathering is not stopped important ecosystem services provided by this tunicate in the bay may be threatened. Similar consequences may be expected if other massive and irreversible reductions in other species of the Pyura complex, that inhabit other coasts in the southern hemisphere, occur. The controversy concerning the impacts of invasive species and whether they cause negative, positive or neutral impacts to original ecosystems and fisheries is discussed.","author":[{"dropping-particle":"","family":"Manríquez","given":"Patricio H","non-dropping-particle":"","parse-names":false,"suffix":""},{"dropping-particle":"","family":"Castilla","given":"Juan Carlos","non-dropping-particle":"","parse-names":false,"suffix":""},{"dropping-particle":"","family":"Ortiz","given":"Verónica","non-dropping-particle":"","parse-names":false,"suffix":""},{"dropping-particle":"","family":"Jara","given":"María Elisa","non-dropping-particle":"","parse-names":false,"suffix":""}],"container-title":"Austral Ecology","id":"ITEM-1","issue":"6","issued":{"date-parts":[["2016","9","1"]]},"note":"doi: 10.1111/aec.12359","page":"701-714","publisher":"John Wiley &amp; Sons, Ltd (10.1111)","title":"Empirical evidence for large-scale human impact on intertidal aggregations, larval supply and recruitment of &lt;i&gt;Pyura praeputialis&lt;/i&gt; around the Bay of Antofagasta, Chile","type":"article-journal","volume":"41"},"uris":["http://www.mendeley.com/documents/?uuid=0ccbe641-196a-37d4-b83e-85b41e39b09d"]}],"mendeley":{"formattedCitation":"(Manríquez et al. 2016)","plainTextFormattedCitation":"(Manríquez et al. 2016)","previouslyFormattedCitation":"(Manríquez et al. 2016)"},"properties":{"noteIndex":0},"schema":"https://github.com/citation-style-language/schema/raw/master/csl-citation.json"}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(Manríquez et al. 2016)</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r w:rsidR="00F91FC6" w:rsidRPr="00533EAC">
        <w:rPr>
          <w:rFonts w:ascii="Arial" w:eastAsia="Calibri" w:hAnsi="Arial" w:cs="Arial"/>
          <w:color w:val="000000" w:themeColor="text1"/>
          <w:lang w:val="en-ZA"/>
        </w:rPr>
        <w:t>In addition,</w:t>
      </w:r>
      <w:r w:rsidR="005633D6" w:rsidRPr="00533EAC">
        <w:rPr>
          <w:rFonts w:ascii="Arial" w:eastAsia="Calibri" w:hAnsi="Arial" w:cs="Arial"/>
          <w:color w:val="000000" w:themeColor="text1"/>
          <w:lang w:val="en-ZA"/>
        </w:rPr>
        <w:t xml:space="preserve"> disturbance</w:t>
      </w:r>
      <w:r w:rsidR="000D5130" w:rsidRPr="00533EAC">
        <w:rPr>
          <w:rFonts w:ascii="Arial" w:eastAsia="Calibri" w:hAnsi="Arial" w:cs="Arial"/>
          <w:color w:val="000000" w:themeColor="text1"/>
          <w:lang w:val="en-ZA"/>
        </w:rPr>
        <w:t xml:space="preserve">s such as </w:t>
      </w:r>
      <w:r w:rsidR="00F91FC6" w:rsidRPr="00533EAC">
        <w:rPr>
          <w:rFonts w:ascii="Arial" w:eastAsia="Calibri" w:hAnsi="Arial" w:cs="Arial"/>
          <w:color w:val="000000" w:themeColor="text1"/>
          <w:lang w:val="en-ZA"/>
        </w:rPr>
        <w:t xml:space="preserve"> human </w:t>
      </w:r>
      <w:r w:rsidR="00F91FC6" w:rsidRPr="00533EAC">
        <w:rPr>
          <w:rFonts w:ascii="Arial" w:eastAsia="Calibri" w:hAnsi="Arial" w:cs="Arial"/>
          <w:color w:val="000000" w:themeColor="text1"/>
          <w:lang w:val="en-ZA"/>
        </w:rPr>
        <w:lastRenderedPageBreak/>
        <w:t>harvesting</w:t>
      </w:r>
      <w:r w:rsidR="005633D6" w:rsidRPr="00533EAC">
        <w:rPr>
          <w:rFonts w:ascii="Arial" w:eastAsia="Calibri" w:hAnsi="Arial" w:cs="Arial"/>
          <w:color w:val="000000" w:themeColor="text1"/>
          <w:lang w:val="en-ZA"/>
        </w:rPr>
        <w:t xml:space="preserve"> </w:t>
      </w:r>
      <w:r w:rsidR="00F91FC6" w:rsidRPr="00533EAC">
        <w:rPr>
          <w:rFonts w:ascii="Arial" w:eastAsia="Calibri" w:hAnsi="Arial" w:cs="Arial"/>
          <w:color w:val="000000" w:themeColor="text1"/>
          <w:lang w:val="en-ZA"/>
        </w:rPr>
        <w:t>may</w:t>
      </w:r>
      <w:r w:rsidR="005633D6" w:rsidRPr="00533EAC">
        <w:rPr>
          <w:rFonts w:ascii="Arial" w:eastAsia="Calibri" w:hAnsi="Arial" w:cs="Arial"/>
          <w:color w:val="000000" w:themeColor="text1"/>
          <w:lang w:val="en-ZA"/>
        </w:rPr>
        <w:t xml:space="preserve"> affect the complexity of community assembl</w:t>
      </w:r>
      <w:r w:rsidR="008E084B" w:rsidRPr="00533EAC">
        <w:rPr>
          <w:rFonts w:ascii="Arial" w:eastAsia="Calibri" w:hAnsi="Arial" w:cs="Arial"/>
          <w:color w:val="000000" w:themeColor="text1"/>
          <w:lang w:val="en-ZA"/>
        </w:rPr>
        <w:t>ies</w:t>
      </w:r>
      <w:r w:rsidR="005633D6" w:rsidRPr="00533EAC">
        <w:rPr>
          <w:rFonts w:ascii="Arial" w:eastAsia="Calibri" w:hAnsi="Arial" w:cs="Arial"/>
          <w:color w:val="000000" w:themeColor="text1"/>
          <w:lang w:val="en-ZA"/>
        </w:rPr>
        <w:t xml:space="preserve"> in intertidal </w:t>
      </w:r>
      <w:r w:rsidR="00365987" w:rsidRPr="00533EAC">
        <w:rPr>
          <w:rFonts w:ascii="Arial" w:eastAsia="Calibri" w:hAnsi="Arial" w:cs="Arial"/>
          <w:color w:val="000000" w:themeColor="text1"/>
          <w:lang w:val="en-ZA"/>
        </w:rPr>
        <w:t xml:space="preserve">and subtidal </w:t>
      </w:r>
      <w:r w:rsidR="005633D6" w:rsidRPr="00533EAC">
        <w:rPr>
          <w:rFonts w:ascii="Arial" w:eastAsia="Calibri" w:hAnsi="Arial" w:cs="Arial"/>
          <w:color w:val="000000" w:themeColor="text1"/>
          <w:lang w:val="en-ZA"/>
        </w:rPr>
        <w:t xml:space="preserve">areas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{"citationItems":[{"id":"ITEM-1","itemData":{"DOI":"10.1201/b21944","ISBN":"9781351987592","abstract":"The role of dominant species is of central importance in ecology. Such species play a key role in ecosystem structure, stability and function, regulating resource allocation across trophic levels and overall ecosystem productivity. Although ecological interactions between dominant and subordinate species are often considered to influence the latter negatively, the presence of dominant species can also be beneficial. These species commonly act as ecosystem engineers and enhance biodiversity by creating habitat for other species. Along rocky coastlines, dominant species are often sessile suspension-feeding organisms that can monopolize all available substrata. This is particularly noticeable in intertidal and shallow subtidal habitats where the number of species that achieve ecological dominance is limited. Here, we review the ecological and evolutionary mechanisms that facilitate dominance along rocky coastlines. We then focus on a prominent example, the members of the Pyura stolonifera species complex (Tunicata), which are an emerging model system for studying ecological dominance. These ascidians achieve the highest biomass levels ever reported in rocky intertidal habitats and, when invasive, can fundamentally transform entire ecosystems. Finally, we discuss conservation implications and conclude with directions for future research.","author":[{"dropping-particle":"","family":"Rius","given":"Marc","non-dropping-particle":"","parse-names":false,"suffix":""},{"dropping-particle":"","family":"Teske","given":"Peter R.","non-dropping-particle":"","parse-names":false,"suffix":""},{"dropping-particle":"","family":"Manríquez","given":"Patricio H.","non-dropping-particle":"","parse-names":false,"suffix":""},{"dropping-particle":"","family":"Suárez-Jiménez","given":"Rocío","non-dropping-particle":"","parse-names":false,"suffix":""},{"dropping-particle":"","family":"McQuaid","given":"Christopher D.","non-dropping-particle":"","parse-names":false,"suffix":""},{"dropping-particle":"","family":"Castilla","given":"Juan Carlos","non-dropping-particle":"","parse-names":false,"suffix":""}],"container-title":"Oceanography and Marine Biology: An Annual Review","id":"ITEM-1","issued":{"date-parts":[["2017"]]},"title":"Ecological dominance along rocky shores, with a focus on intertidal ascidians","type":"chapter"},"uris":["http://www.mendeley.com/documents/?uuid=bfe8a740-6e5e-39d4-bac1-617f755bb054"]}],"mendeley":{"formattedCitation":"(Rius et al. 2017)","plainTextFormattedCitation":"(Rius et al. 2017)","previouslyFormattedCitation":"(Rius et al. 2017)"},"properties":{"noteIndex":0},"schema":"https://github.com/citation-style-language/schema/raw/master/csl-citation.json"}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(Rius et al. 2017)</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p>
    <w:p w14:paraId="1D1C24DA" w14:textId="77777777" w:rsidR="000D5130" w:rsidRPr="00533EAC" w:rsidRDefault="000D5130" w:rsidP="00C05A32">
      <w:pPr>
        <w:spacing w:after="0" w:line="360" w:lineRule="auto"/>
        <w:jc w:val="both"/>
        <w:rPr>
          <w:rFonts w:ascii="Arial" w:eastAsia="Calibri" w:hAnsi="Arial" w:cs="Arial"/>
          <w:color w:val="000000" w:themeColor="text1"/>
          <w:lang w:val="en-ZA"/>
        </w:rPr>
      </w:pPr>
    </w:p>
    <w:p w14:paraId="0246BD79" w14:textId="3C7F5A11"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Here, we describe the development of microsatellites and mitochondrial genetic markers </w:t>
      </w:r>
      <w:r w:rsidR="0058572A" w:rsidRPr="00533EAC">
        <w:rPr>
          <w:rFonts w:ascii="Arial" w:eastAsia="Calibri" w:hAnsi="Arial" w:cs="Arial"/>
          <w:color w:val="000000" w:themeColor="text1"/>
          <w:lang w:val="en-ZA"/>
        </w:rPr>
        <w:t xml:space="preserve">for </w:t>
      </w:r>
      <w:r w:rsidR="00BB6CB5" w:rsidRPr="00533EAC">
        <w:rPr>
          <w:rFonts w:ascii="Arial" w:eastAsia="Calibri" w:hAnsi="Arial" w:cs="Arial"/>
          <w:i/>
          <w:color w:val="000000" w:themeColor="text1"/>
          <w:lang w:val="en-ZA"/>
        </w:rPr>
        <w:t>P.</w:t>
      </w:r>
      <w:r w:rsidR="00255582" w:rsidRPr="00533EAC">
        <w:rPr>
          <w:rFonts w:ascii="Arial" w:eastAsia="Calibri" w:hAnsi="Arial" w:cs="Arial"/>
          <w:i/>
          <w:color w:val="000000" w:themeColor="text1"/>
          <w:lang w:val="en-ZA"/>
        </w:rPr>
        <w:t xml:space="preserve"> herdmani</w:t>
      </w:r>
      <w:r w:rsidR="00BB6CB5" w:rsidRPr="00533EAC">
        <w:rPr>
          <w:rFonts w:ascii="Arial" w:eastAsia="Calibri" w:hAnsi="Arial" w:cs="Arial"/>
          <w:i/>
          <w:color w:val="000000" w:themeColor="text1"/>
          <w:lang w:val="en-ZA"/>
        </w:rPr>
        <w:t xml:space="preserve"> </w:t>
      </w:r>
      <w:r w:rsidR="00BB6CB5" w:rsidRPr="00533EAC">
        <w:rPr>
          <w:rFonts w:ascii="Arial" w:eastAsia="Calibri" w:hAnsi="Arial" w:cs="Arial"/>
          <w:color w:val="000000" w:themeColor="text1"/>
          <w:lang w:val="en-ZA"/>
        </w:rPr>
        <w:t>and</w:t>
      </w:r>
      <w:r w:rsidR="00BB6CB5" w:rsidRPr="00533EAC">
        <w:rPr>
          <w:rFonts w:ascii="Arial" w:eastAsia="Calibri" w:hAnsi="Arial" w:cs="Arial"/>
          <w:i/>
          <w:color w:val="000000" w:themeColor="text1"/>
          <w:lang w:val="en-ZA"/>
        </w:rPr>
        <w:t xml:space="preserve"> P. </w:t>
      </w:r>
      <w:r w:rsidR="00255582" w:rsidRPr="00533EAC">
        <w:rPr>
          <w:rFonts w:ascii="Arial" w:eastAsia="Calibri" w:hAnsi="Arial" w:cs="Arial"/>
          <w:i/>
          <w:color w:val="000000" w:themeColor="text1"/>
          <w:lang w:val="en-ZA"/>
        </w:rPr>
        <w:t>stolonifera</w:t>
      </w:r>
      <w:r w:rsidR="0058572A" w:rsidRPr="00533EAC">
        <w:rPr>
          <w:rFonts w:ascii="Arial" w:eastAsia="Calibri" w:hAnsi="Arial" w:cs="Arial"/>
          <w:color w:val="000000" w:themeColor="text1"/>
          <w:lang w:val="en-ZA"/>
        </w:rPr>
        <w:t xml:space="preserve">. </w:t>
      </w:r>
      <w:r w:rsidR="00EA6713" w:rsidRPr="00533EAC">
        <w:rPr>
          <w:rFonts w:ascii="Arial" w:eastAsia="Calibri" w:hAnsi="Arial" w:cs="Arial"/>
          <w:color w:val="000000" w:themeColor="text1"/>
          <w:lang w:val="en-ZA"/>
        </w:rPr>
        <w:t>The microsatellite data were tested on a large number of samples from South Africa’s south-eastern coastline</w:t>
      </w:r>
      <w:r w:rsidR="007943D0" w:rsidRPr="00533EAC">
        <w:rPr>
          <w:rFonts w:ascii="Arial" w:eastAsia="Calibri" w:hAnsi="Arial" w:cs="Arial"/>
          <w:color w:val="000000" w:themeColor="text1"/>
          <w:lang w:val="en-ZA"/>
        </w:rPr>
        <w:t xml:space="preserve">, </w:t>
      </w:r>
      <w:r w:rsidR="008C4B69" w:rsidRPr="00533EAC">
        <w:rPr>
          <w:rFonts w:ascii="Arial" w:eastAsia="Calibri" w:hAnsi="Arial" w:cs="Arial"/>
          <w:color w:val="000000" w:themeColor="text1"/>
          <w:lang w:val="en-ZA"/>
        </w:rPr>
        <w:t>whereas</w:t>
      </w:r>
      <w:r w:rsidR="00EA6713" w:rsidRPr="00533EAC">
        <w:rPr>
          <w:rFonts w:ascii="Arial" w:eastAsia="Calibri" w:hAnsi="Arial" w:cs="Arial"/>
          <w:color w:val="000000" w:themeColor="text1"/>
          <w:lang w:val="en-ZA"/>
        </w:rPr>
        <w:t xml:space="preserve"> the mitochondrial markers were developed using a small number of individuals </w:t>
      </w:r>
      <w:r w:rsidR="009E432E" w:rsidRPr="00533EAC">
        <w:rPr>
          <w:rFonts w:ascii="Arial" w:eastAsia="Calibri" w:hAnsi="Arial" w:cs="Arial"/>
          <w:color w:val="000000" w:themeColor="text1"/>
          <w:lang w:val="en-ZA"/>
        </w:rPr>
        <w:t>across their range</w:t>
      </w:r>
      <w:r w:rsidR="00EA6713" w:rsidRPr="00533EAC">
        <w:rPr>
          <w:rFonts w:ascii="Arial" w:eastAsia="Calibri" w:hAnsi="Arial" w:cs="Arial"/>
          <w:color w:val="000000" w:themeColor="text1"/>
          <w:lang w:val="en-ZA"/>
        </w:rPr>
        <w:t xml:space="preserve">, including </w:t>
      </w:r>
      <w:r w:rsidR="00EA6713" w:rsidRPr="00533EAC">
        <w:rPr>
          <w:rFonts w:ascii="Arial" w:eastAsia="Calibri" w:hAnsi="Arial" w:cs="Arial"/>
          <w:i/>
          <w:iCs/>
          <w:color w:val="000000" w:themeColor="text1"/>
          <w:lang w:val="en-ZA"/>
        </w:rPr>
        <w:t>P. herdmani</w:t>
      </w:r>
      <w:r w:rsidR="00EA6713" w:rsidRPr="00533EAC">
        <w:rPr>
          <w:rFonts w:ascii="Arial" w:eastAsia="Calibri" w:hAnsi="Arial" w:cs="Arial"/>
          <w:color w:val="000000" w:themeColor="text1"/>
          <w:lang w:val="en-ZA"/>
        </w:rPr>
        <w:t xml:space="preserve"> from </w:t>
      </w:r>
      <w:r w:rsidR="008C4B69" w:rsidRPr="00533EAC">
        <w:rPr>
          <w:rFonts w:ascii="Arial" w:eastAsia="Calibri" w:hAnsi="Arial" w:cs="Arial"/>
          <w:color w:val="000000" w:themeColor="text1"/>
          <w:lang w:val="en-ZA"/>
        </w:rPr>
        <w:t>northwest Africa</w:t>
      </w:r>
      <w:r w:rsidR="00EA6713"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These genetic resources can</w:t>
      </w:r>
      <w:r w:rsidR="00D6720C" w:rsidRPr="00533EAC">
        <w:rPr>
          <w:rFonts w:ascii="Arial" w:eastAsia="Calibri" w:hAnsi="Arial" w:cs="Arial"/>
          <w:color w:val="000000" w:themeColor="text1"/>
          <w:lang w:val="en-ZA"/>
        </w:rPr>
        <w:t xml:space="preserve"> be used to</w:t>
      </w:r>
      <w:r w:rsidRPr="00533EAC">
        <w:rPr>
          <w:rFonts w:ascii="Arial" w:eastAsia="Calibri" w:hAnsi="Arial" w:cs="Arial"/>
          <w:color w:val="000000" w:themeColor="text1"/>
          <w:lang w:val="en-ZA"/>
        </w:rPr>
        <w:t xml:space="preserve"> characteri</w:t>
      </w:r>
      <w:r w:rsidR="00D6720C"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e genetic diversity, demographic history, and spatial structure of </w:t>
      </w:r>
      <w:r w:rsidR="00A158F7" w:rsidRPr="00533EAC">
        <w:rPr>
          <w:rFonts w:ascii="Arial" w:eastAsia="Calibri" w:hAnsi="Arial" w:cs="Arial"/>
          <w:color w:val="000000" w:themeColor="text1"/>
          <w:lang w:val="en-ZA"/>
        </w:rPr>
        <w:t>both</w:t>
      </w:r>
      <w:r w:rsidRPr="00533EAC">
        <w:rPr>
          <w:rFonts w:ascii="Arial" w:eastAsia="Calibri" w:hAnsi="Arial" w:cs="Arial"/>
          <w:color w:val="000000" w:themeColor="text1"/>
          <w:lang w:val="en-ZA"/>
        </w:rPr>
        <w:t>.</w:t>
      </w:r>
    </w:p>
    <w:p w14:paraId="6EDF7BBC" w14:textId="30575312" w:rsidR="005633D6" w:rsidRPr="00533EAC" w:rsidRDefault="005633D6" w:rsidP="00C05A32">
      <w:pPr>
        <w:spacing w:after="0" w:line="360" w:lineRule="auto"/>
        <w:jc w:val="both"/>
        <w:rPr>
          <w:rFonts w:ascii="Arial" w:eastAsia="Calibri" w:hAnsi="Arial" w:cs="Arial"/>
          <w:color w:val="000000" w:themeColor="text1"/>
          <w:lang w:val="en-ZA"/>
        </w:rPr>
      </w:pPr>
    </w:p>
    <w:p w14:paraId="0E9ABEA8" w14:textId="7E371603" w:rsidR="005633D6" w:rsidRPr="00533EAC" w:rsidRDefault="005633D6" w:rsidP="00C05A32">
      <w:pPr>
        <w:spacing w:after="0" w:line="360" w:lineRule="auto"/>
        <w:jc w:val="both"/>
        <w:rPr>
          <w:rFonts w:ascii="Arial" w:eastAsia="Calibri" w:hAnsi="Arial" w:cs="Arial"/>
          <w:b/>
          <w:color w:val="000000" w:themeColor="text1"/>
          <w:lang w:val="en-ZA"/>
        </w:rPr>
      </w:pPr>
      <w:r w:rsidRPr="00533EAC">
        <w:rPr>
          <w:rFonts w:ascii="Arial" w:eastAsia="Calibri" w:hAnsi="Arial" w:cs="Arial"/>
          <w:b/>
          <w:color w:val="000000" w:themeColor="text1"/>
          <w:lang w:val="en-ZA"/>
        </w:rPr>
        <w:t>Material and methods</w:t>
      </w:r>
    </w:p>
    <w:p w14:paraId="6190F80A" w14:textId="211AA60B" w:rsidR="005633D6" w:rsidRPr="00533EAC" w:rsidRDefault="005633D6" w:rsidP="00C05A32">
      <w:pPr>
        <w:spacing w:after="0" w:line="360" w:lineRule="auto"/>
        <w:jc w:val="both"/>
        <w:rPr>
          <w:rFonts w:ascii="Arial" w:eastAsia="Calibri" w:hAnsi="Arial" w:cs="Arial"/>
          <w:b/>
          <w:i/>
          <w:iCs/>
          <w:color w:val="000000" w:themeColor="text1"/>
          <w:lang w:val="en-ZA"/>
        </w:rPr>
      </w:pPr>
      <w:r w:rsidRPr="00533EAC">
        <w:rPr>
          <w:rFonts w:ascii="Arial" w:eastAsia="Calibri" w:hAnsi="Arial" w:cs="Arial"/>
          <w:b/>
          <w:i/>
          <w:iCs/>
          <w:color w:val="000000" w:themeColor="text1"/>
          <w:lang w:val="en-ZA"/>
        </w:rPr>
        <w:t>Sampl</w:t>
      </w:r>
      <w:r w:rsidR="002D38CF" w:rsidRPr="00533EAC">
        <w:rPr>
          <w:rFonts w:ascii="Arial" w:eastAsia="Calibri" w:hAnsi="Arial" w:cs="Arial"/>
          <w:b/>
          <w:i/>
          <w:iCs/>
          <w:color w:val="000000" w:themeColor="text1"/>
          <w:lang w:val="en-ZA"/>
        </w:rPr>
        <w:t>e</w:t>
      </w:r>
      <w:r w:rsidRPr="00533EAC">
        <w:rPr>
          <w:rFonts w:ascii="Arial" w:eastAsia="Calibri" w:hAnsi="Arial" w:cs="Arial"/>
          <w:b/>
          <w:i/>
          <w:iCs/>
          <w:color w:val="000000" w:themeColor="text1"/>
          <w:lang w:val="en-ZA"/>
        </w:rPr>
        <w:t xml:space="preserve"> acquisition and DNA extraction</w:t>
      </w:r>
    </w:p>
    <w:p w14:paraId="51468C9E" w14:textId="0F4B12BE" w:rsidR="0058572A" w:rsidRPr="00533EAC" w:rsidRDefault="008E031E"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Samples</w:t>
      </w:r>
      <w:r w:rsidR="005633D6" w:rsidRPr="00533EAC">
        <w:rPr>
          <w:rFonts w:ascii="Arial" w:eastAsia="Calibri" w:hAnsi="Arial" w:cs="Arial"/>
          <w:color w:val="000000" w:themeColor="text1"/>
          <w:lang w:val="en-ZA"/>
        </w:rPr>
        <w:t xml:space="preserve"> </w:t>
      </w:r>
      <w:r w:rsidR="00A800A8" w:rsidRPr="00533EAC">
        <w:rPr>
          <w:rFonts w:ascii="Arial" w:eastAsia="Calibri" w:hAnsi="Arial" w:cs="Arial"/>
          <w:color w:val="000000" w:themeColor="text1"/>
          <w:lang w:val="en-ZA"/>
        </w:rPr>
        <w:t xml:space="preserve">for microsatellite development </w:t>
      </w:r>
      <w:r w:rsidR="005633D6" w:rsidRPr="00533EAC">
        <w:rPr>
          <w:rFonts w:ascii="Arial" w:eastAsia="Calibri" w:hAnsi="Arial" w:cs="Arial"/>
          <w:color w:val="000000" w:themeColor="text1"/>
          <w:lang w:val="en-ZA"/>
        </w:rPr>
        <w:t xml:space="preserve">were </w:t>
      </w:r>
      <w:r w:rsidR="009119F5" w:rsidRPr="00533EAC">
        <w:rPr>
          <w:rFonts w:ascii="Arial" w:eastAsia="Calibri" w:hAnsi="Arial" w:cs="Arial"/>
          <w:color w:val="000000" w:themeColor="text1"/>
          <w:lang w:val="en-ZA"/>
        </w:rPr>
        <w:t>co</w:t>
      </w:r>
      <w:r w:rsidRPr="00533EAC">
        <w:rPr>
          <w:rFonts w:ascii="Arial" w:eastAsia="Calibri" w:hAnsi="Arial" w:cs="Arial"/>
          <w:color w:val="000000" w:themeColor="text1"/>
          <w:lang w:val="en-ZA"/>
        </w:rPr>
        <w:t>llected</w:t>
      </w:r>
      <w:r w:rsidR="00A800A8"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 xml:space="preserve">in September and November </w:t>
      </w:r>
      <w:r w:rsidRPr="00533EAC">
        <w:rPr>
          <w:rFonts w:ascii="Arial" w:eastAsia="Calibri" w:hAnsi="Arial" w:cs="Arial"/>
          <w:color w:val="000000" w:themeColor="text1"/>
          <w:lang w:val="en-ZA"/>
        </w:rPr>
        <w:t xml:space="preserve">2016 </w:t>
      </w:r>
      <w:r w:rsidR="005633D6" w:rsidRPr="00533EAC">
        <w:rPr>
          <w:rFonts w:ascii="Arial" w:eastAsia="Calibri" w:hAnsi="Arial" w:cs="Arial"/>
          <w:color w:val="000000" w:themeColor="text1"/>
          <w:lang w:val="en-ZA"/>
        </w:rPr>
        <w:t>along the</w:t>
      </w:r>
      <w:r w:rsidR="002D38CF" w:rsidRPr="00533EAC">
        <w:rPr>
          <w:rFonts w:ascii="Arial" w:eastAsia="Calibri" w:hAnsi="Arial" w:cs="Arial"/>
          <w:color w:val="000000" w:themeColor="text1"/>
          <w:lang w:val="en-ZA"/>
        </w:rPr>
        <w:t xml:space="preserve"> </w:t>
      </w:r>
      <w:r w:rsidR="00DF40B1" w:rsidRPr="00533EAC">
        <w:rPr>
          <w:rFonts w:ascii="Arial" w:eastAsia="Calibri" w:hAnsi="Arial" w:cs="Arial"/>
          <w:color w:val="000000" w:themeColor="text1"/>
          <w:lang w:val="en-ZA"/>
        </w:rPr>
        <w:t>south-eastern coastline of</w:t>
      </w:r>
      <w:r w:rsidR="005633D6" w:rsidRPr="00533EAC">
        <w:rPr>
          <w:rFonts w:ascii="Arial" w:eastAsia="Calibri" w:hAnsi="Arial" w:cs="Arial"/>
          <w:color w:val="000000" w:themeColor="text1"/>
          <w:lang w:val="en-ZA"/>
        </w:rPr>
        <w:t xml:space="preserve"> South Africa</w:t>
      </w:r>
      <w:r w:rsidR="002D38CF" w:rsidRPr="00533EAC">
        <w:rPr>
          <w:rFonts w:ascii="Arial" w:eastAsia="Calibri" w:hAnsi="Arial" w:cs="Arial"/>
          <w:color w:val="000000" w:themeColor="text1"/>
          <w:lang w:val="en-ZA"/>
        </w:rPr>
        <w:t>, with a focus on the Wild Coast</w:t>
      </w:r>
      <w:r w:rsidR="005633D6" w:rsidRPr="00533EAC">
        <w:rPr>
          <w:rFonts w:ascii="Arial" w:eastAsia="Calibri" w:hAnsi="Arial" w:cs="Arial"/>
          <w:color w:val="000000" w:themeColor="text1"/>
          <w:lang w:val="en-ZA"/>
        </w:rPr>
        <w:t xml:space="preserve">. </w:t>
      </w:r>
      <w:r w:rsidR="0058572A" w:rsidRPr="00533EAC">
        <w:rPr>
          <w:rFonts w:ascii="Arial" w:eastAsia="Calibri" w:hAnsi="Arial" w:cs="Arial"/>
          <w:color w:val="000000" w:themeColor="text1"/>
          <w:lang w:val="en-ZA"/>
        </w:rPr>
        <w:t xml:space="preserve">This region is located in a transitional zone between the subtropical and warm-temperate coastal bioregions </w:t>
      </w:r>
      <w:r w:rsidR="0058572A" w:rsidRPr="00533EAC">
        <w:rPr>
          <w:rFonts w:ascii="Arial" w:eastAsia="Calibri" w:hAnsi="Arial" w:cs="Arial"/>
          <w:color w:val="000000" w:themeColor="text1"/>
          <w:lang w:val="en-ZA"/>
        </w:rPr>
        <w:fldChar w:fldCharType="begin" w:fldLock="1"/>
      </w:r>
      <w:r w:rsidR="0058572A" w:rsidRPr="00533EAC">
        <w:rPr>
          <w:rFonts w:ascii="Arial" w:eastAsia="Calibri" w:hAnsi="Arial" w:cs="Arial"/>
          <w:color w:val="000000" w:themeColor="text1"/>
          <w:lang w:val="en-ZA"/>
        </w:rPr>
        <w:instrText>ADDIN CSL_CITATION {"citationItems":[{"id":"ITEM-1","itemData":{"DOI":"10.1016/S0006-3207(99)00063-4","ISSN":"00063207","abstract":"Prioritisation of areas for biodiversity conservation has been debated largely in the terrestrial realm. In response to the increasing need for conservation efforts in the marine environment, this study compiles and analyses available data on species distributions and compares different approaches to the selection of marine protected area sites for the conservation of South Africa's coastal fish diversity. Species richness decreases from Mozambique southwards to the Cape, due mainly to a subtropical subtraction effect, and is uniformly low along the west coast. The number of species endemic to southern Africa is also higher in the east than the west, and peaks in the region of Port Elizabeth. Hotspot analysis does not provide a useful site-selection tool in a linear (coastal) analysis, at least in the absence of abundance data. Cluster analysis shows that coastal fishes conform to the same three biogeographical provinces as other marine taxa, although the zonal boundaries vary between groups and are particularly difficult to determine for fishes. Multidimensional scaling better illustrates the fairly even rate of species turnover east of Cape Point. The selection of sites at the centre and boundaries of vaguely-defined biogeographical zones is thus relatively difficult, and excludes several localised endemics. These problems can be resolved by using complementarity analysis. In the absence of abundance data, to avoid 'reserving' species at the periphery of their ranges, a pragmatic approach is developed, in which data are refined to include species' core distributions only. The roles of existing marine protected areas are also considered in assessing future conservation needs.","author":[{"dropping-particle":"","family":"Turpie","given":"Jane K.","non-dropping-particle":"","parse-names":false,"suffix":""},{"dropping-particle":"","family":"Beckley","given":"Lynnath E.","non-dropping-particle":"","parse-names":false,"suffix":""},{"dropping-particle":"","family":"Katua","given":"Stephen M.","non-dropping-particle":"","parse-names":false,"suffix":""}],"container-title":"Biological Conservation","id":"ITEM-1","issue":"1","issued":{"date-parts":[["2000","1"]]},"page":"59-72","title":"Biogeography and the selection of priority areas for conservation of South African coastal fishes","type":"article-journal","volume":"92"},"uris":["http://www.mendeley.com/documents/?uuid=1e36c492-eb05-324f-a5c7-8c61b8f4a430"]},{"id":"ITEM-2","itemData":{"DOI":"10.2989/02577619209504710","ISSN":"02577615","abstract":"Three objective criteria for assessing sites being considered as marine nature reserves are developed and applied to a region of the west coast of South Africa, between the Groen and the Spoeg rivers, that has been mooted as a possible nature reserve. On a national and regional macroscale, zoogeographic analyses of 2 000 species of invertebrates were used to reappraise accepted marine biogeographic provinces. On a mesoscale and local scale, the intertidal community composition of rocky shores was examined and related to the physiographic habitat diversity. Five major zoogeographic regions are identified around the southern African coast, including a distinct Namaqua province. The Groen-Spoeg area, which receives no adequate conservation, is representative of both the major zoogeographic province that it falls in and the Northern Namaqua sub-province. A long period of limited human access as a result of diamond-mining has kept the shore near-pristine. On a global scale, the region is unique in the extent to which the system is dominated by dense assemblages of limpets. The species-composition of intertidal rocky-shore communities varies greatly according to the degree of wave exposure, and this small-scale variation, reflecting physiographic heterogeneity of the shore, can exceed large-scale zoogeographic variations. Therefore, in order to be representative, a reserve will need to incorporate small-scale variations in physical conditions and biotic composition, as well as large-scale geographic representativeness. The approaches used demonstrate that the Groen-Spoeg has a high priority for conservation; they are also generally applicable to the objective assessment of potential reserves, although they need to be coupled with other criteria, including socio-economic issues. © 1992 Taylor &amp; Francis Group, LLC.","author":[{"dropping-particle":"","family":"Emanuel","given":"B. P.","non-dropping-particle":"","parse-names":false,"suffix":""},{"dropping-particle":"","family":"Bustamante","given":"R. H.","non-dropping-particle":"","parse-names":false,"suffix":""},{"dropping-particle":"","family":"Branch","given":"G. M.","non-dropping-particle":"","parse-names":false,"suffix":""},{"dropping-particle":"","family":"Eekhout","given":"S.","non-dropping-particle":"","parse-names":false,"suffix":""},{"dropping-particle":"","family":"Odendaal","given":"F. J.","non-dropping-particle":"","parse-names":false,"suffix":""}],"container-title":"South African Journal of Marine Science","id":"ITEM-2","issue":"1","issued":{"date-parts":[["1992"]]},"page":"341-354","title":"A zoogeographic and functional approach to the selection of marine reserves on the west coast of South Africa","type":"article-journal","volume":"12"},"uris":["http://www.mendeley.com/documents/?uuid=73247447-9282-32d9-bb67-37012eab8909"]}],"mendeley":{"formattedCitation":"(Emanuel et al. 1992; Turpie et al. 2000)","plainTextFormattedCitation":"(Emanuel et al. 1992; Turpie et al. 2000)","previouslyFormattedCitation":"(Emanuel et al. 1992; Turpie et al. 2000)"},"properties":{"noteIndex":0},"schema":"https://github.com/citation-style-language/schema/raw/master/csl-citation.json"}</w:instrText>
      </w:r>
      <w:r w:rsidR="0058572A" w:rsidRPr="00533EAC">
        <w:rPr>
          <w:rFonts w:ascii="Arial" w:eastAsia="Calibri" w:hAnsi="Arial" w:cs="Arial"/>
          <w:color w:val="000000" w:themeColor="text1"/>
          <w:lang w:val="en-ZA"/>
        </w:rPr>
        <w:fldChar w:fldCharType="separate"/>
      </w:r>
      <w:r w:rsidR="0058572A" w:rsidRPr="00533EAC">
        <w:rPr>
          <w:rFonts w:ascii="Arial" w:eastAsia="Calibri" w:hAnsi="Arial" w:cs="Arial"/>
          <w:noProof/>
          <w:color w:val="000000" w:themeColor="text1"/>
          <w:lang w:val="en-ZA"/>
        </w:rPr>
        <w:t>(Emanuel et al. 1992; Turpie et al. 2000)</w:t>
      </w:r>
      <w:r w:rsidR="0058572A" w:rsidRPr="00533EAC">
        <w:rPr>
          <w:rFonts w:ascii="Arial" w:eastAsia="Calibri" w:hAnsi="Arial" w:cs="Arial"/>
          <w:color w:val="000000" w:themeColor="text1"/>
          <w:lang w:val="en-ZA"/>
        </w:rPr>
        <w:fldChar w:fldCharType="end"/>
      </w:r>
      <w:r w:rsidR="00D41B3C" w:rsidRPr="00533EAC">
        <w:rPr>
          <w:rFonts w:ascii="Arial" w:eastAsia="Calibri" w:hAnsi="Arial" w:cs="Arial"/>
          <w:color w:val="000000" w:themeColor="text1"/>
          <w:lang w:val="en-ZA"/>
        </w:rPr>
        <w:t xml:space="preserve"> and may represent a distinct bioregion rather than merely </w:t>
      </w:r>
      <w:r w:rsidR="00DF40B1" w:rsidRPr="00533EAC">
        <w:rPr>
          <w:rFonts w:ascii="Arial" w:eastAsia="Calibri" w:hAnsi="Arial" w:cs="Arial"/>
          <w:color w:val="000000" w:themeColor="text1"/>
          <w:lang w:val="en-ZA"/>
        </w:rPr>
        <w:t>an area of faunal overlap</w:t>
      </w:r>
      <w:r w:rsidR="00D41B3C" w:rsidRPr="00533EAC">
        <w:rPr>
          <w:rFonts w:ascii="Arial" w:eastAsia="Calibri" w:hAnsi="Arial" w:cs="Arial"/>
          <w:color w:val="000000" w:themeColor="text1"/>
          <w:lang w:val="en-ZA"/>
        </w:rPr>
        <w:t xml:space="preserve"> </w:t>
      </w:r>
      <w:r w:rsidR="00450022" w:rsidRPr="00533EAC">
        <w:rPr>
          <w:rFonts w:ascii="Arial" w:eastAsia="Calibri" w:hAnsi="Arial" w:cs="Arial"/>
          <w:color w:val="000000" w:themeColor="text1"/>
          <w:lang w:val="en-ZA"/>
        </w:rPr>
        <w:fldChar w:fldCharType="begin" w:fldLock="1"/>
      </w:r>
      <w:r w:rsidR="00FF50B3" w:rsidRPr="00533EAC">
        <w:rPr>
          <w:rFonts w:ascii="Arial" w:eastAsia="Calibri" w:hAnsi="Arial" w:cs="Arial"/>
          <w:color w:val="000000" w:themeColor="text1"/>
          <w:lang w:val="en-ZA"/>
        </w:rPr>
        <w:instrText>ADDIN CSL_CITATION {"citationItems":[{"id":"ITEM-1","itemData":{"DOI":"10.1186/s10152-018-0509-3","ISSN":"14383888","abstract":"The South African coastline can be divided into at least four temperature-defined marine bioregions, including the tropical north-east coast, the subtropical east coast, the warm-temperate south coast, and the cool-temperate west coast. There are also two biogeographical transition zones, the south-west coast and the south-east coast (or Wild Coast). The former is sometimes considered a distinct marine bioregion, but no such status has yet been suggested for the Wild Coast. Previous data on the distribution of a recently described but very common coastal crab, Hymenosoma longicrure, indicated that this species could be a Wild Coast endemic. If confirmed, this would be a first indication that this region harbours unique fauna, and that additional research is required to determine whether the Wild Coast constitutes a distinct bioregion that needs to be managed separately from other coastal regions. In the present study, we generated novel genetic data for H. longicrure and compared the species' range with that of its southern African congeners. We found that H. longicrure occurs north of the Wild Coast, where its range overlaps with that of H. projectum. This finding rejects the idea that the Wild Coast harbours endemic fauna and suggests that the ranges of the two species may be linked to the subtropical and tropical bioregions, respectively, with some southward dispersal facilitated by the southward-flowing Agulhas Current. We conclude that there is as yet no compelling evidence that the Wild Coast is a distinct marine bioregion, and concur with previous biogeographical studies which have suggested that the Wild Coast is an area in which species from the subtropical and warm-temperate bioregions have overlapping ranges. Nonetheless, that fact that no biological information is available for the majority of the region's estuaries highlights the necessity of comprehensively documenting the biodiversity of this understudied region to fully resolve this issue.","author":[{"dropping-particle":"","family":"Jooste","given":"Candice M.","non-dropping-particle":"","parse-names":false,"suffix":""},{"dropping-particle":"","family":"Oliver","given":"Jody","non-dropping-particle":"","parse-names":false,"suffix":""},{"dropping-particle":"","family":"Emami-Khoyi","given":"Arsalan","non-dropping-particle":"","parse-names":false,"suffix":""},{"dropping-particle":"","family":"Teske","given":"Peter R.","non-dropping-particle":"","parse-names":false,"suffix":""}],"container-title":"Helgoland Marine Research","id":"ITEM-1","issue":"1","issued":{"date-parts":[["2018"]]},"title":"Is the Wild Coast in eastern South Africa a distinct marine bioregion?","type":"article-journal","volume":"72"},"uris":["http://www.mendeley.com/documents/?uuid=c1929089-385f-36c9-8ae2-71024dbd1c9e"]},{"id":"ITEM-2","itemData":{"DOI":"10.1111/ddi.13162","ISSN":"14724642","abstract":"Aim: Biogeographical transition zones are areas of overlap between the faunas of adjacent biogeographical entities. Particularly the well-defined transition zones along linear coastlines are interesting natural laboratories to study dispersal and incipient speciation. Few studies have explored whether marine biogeographical transition zones harbour biodiversity that is distinct from that of the biogeographical entities they separate. The Wild Coast in eastern South Africa is a poorly studied transition zone between the region's warm-temperate and subtropical faunas, and is generally considered to be an area of faunal overlap. Location: The South African portion of the Western Indian Ocean. Methods: Sequences of the DNA barcoding marker COI were generated from 306 estuarine sandprawns (Kraussillichirus kraussi) collected at 13 sites. Genetic structure and evolutionary history were assessed using a haplotype network and a Bayesian discrete phylogeographic analysis. Result: Two populations were identified whose ranges are centred on the Wild Coast, a rare one in the northern portion and a more common one in the central and southern portion of this biogeographical transition zone. These populations are not closely related to each other, but descend from subtropical and warm-temperate sister populations, respectively. Although genetic distances between populations were low, they exceeded within-population distances, indicating the presence of a \"barcoding gap.\". Conclusions: This is the first study to indicate that the Wild Coast marine biogeographical transition zone is not merely an area of faunal overlap, and one of very few studies to have discovered genetically unique populations within a marine biogeographical transition zone. The Wild Coast may harbour additional unique biodiversity that remains to be discovered, including rare species that require protection. More research is required to understand how this environmentally dynamic marine biogeographical transition zone differs from the adjacent biogeographical provinces.","author":[{"dropping-particle":"","family":"Golla","given":"Tirupathi Rao","non-dropping-particle":"","parse-names":false,"suffix":""},{"dropping-particle":"","family":"Pieterse","given":"Leishe","non-dropping-particle":"","parse-names":false,"suffix":""},{"dropping-particle":"","family":"Jooste","given":"Candice M.","non-dropping-particle":"","parse-names":false,"suffix":""},{"dropping-particle":"","family":"Teske","given":"Peter R.","non-dropping-particle":"","parse-names":false,"suffix":""}],"container-title":"Diversity and Distributions","id":"ITEM-2","issue":"12","issued":{"date-parts":[["2020"]]},"page":"1825-1832","title":"Discovery of populations endemic to a marine biogeographical transition zone","type":"article-journal","volume":"26"},"uris":["http://www.mendeley.com/documents/?uuid=e8170505-4600-3236-a615-1575dd7a1520"]}],"mendeley":{"formattedCitation":"(Golla et al. 2020; Jooste et al. 2018)","plainTextFormattedCitation":"(Golla et al. 2020; Jooste et al. 2018)","previouslyFormattedCitation":"(Golla et al. 2020; Jooste et al. 2018)"},"properties":{"noteIndex":0},"schema":"https://github.com/citation-style-language/schema/raw/master/csl-citation.json"}</w:instrText>
      </w:r>
      <w:r w:rsidR="00450022" w:rsidRPr="00533EAC">
        <w:rPr>
          <w:rFonts w:ascii="Arial" w:eastAsia="Calibri" w:hAnsi="Arial" w:cs="Arial"/>
          <w:color w:val="000000" w:themeColor="text1"/>
          <w:lang w:val="en-ZA"/>
        </w:rPr>
        <w:fldChar w:fldCharType="separate"/>
      </w:r>
      <w:r w:rsidR="00450022" w:rsidRPr="00533EAC">
        <w:rPr>
          <w:rFonts w:ascii="Arial" w:eastAsia="Calibri" w:hAnsi="Arial" w:cs="Arial"/>
          <w:noProof/>
          <w:color w:val="000000" w:themeColor="text1"/>
          <w:lang w:val="en-ZA"/>
        </w:rPr>
        <w:t>(Golla et al. 2020; Jooste et al. 2018)</w:t>
      </w:r>
      <w:r w:rsidR="00450022" w:rsidRPr="00533EAC">
        <w:rPr>
          <w:rFonts w:ascii="Arial" w:eastAsia="Calibri" w:hAnsi="Arial" w:cs="Arial"/>
          <w:color w:val="000000" w:themeColor="text1"/>
          <w:lang w:val="en-ZA"/>
        </w:rPr>
        <w:fldChar w:fldCharType="end"/>
      </w:r>
      <w:r w:rsidR="002712F8" w:rsidRPr="00533EAC">
        <w:rPr>
          <w:rFonts w:ascii="Arial" w:eastAsia="Calibri" w:hAnsi="Arial" w:cs="Arial"/>
          <w:color w:val="000000" w:themeColor="text1"/>
          <w:lang w:val="en-ZA"/>
        </w:rPr>
        <w:t>. In addition</w:t>
      </w:r>
      <w:r w:rsidR="007B2E37" w:rsidRPr="00533EAC">
        <w:rPr>
          <w:rFonts w:ascii="Arial" w:eastAsia="Calibri" w:hAnsi="Arial" w:cs="Arial"/>
          <w:color w:val="000000" w:themeColor="text1"/>
          <w:lang w:val="en-ZA"/>
        </w:rPr>
        <w:t xml:space="preserve">, </w:t>
      </w:r>
      <w:r w:rsidR="00A800A8" w:rsidRPr="00533EAC">
        <w:rPr>
          <w:rFonts w:ascii="Arial" w:eastAsia="Calibri" w:hAnsi="Arial" w:cs="Arial"/>
          <w:color w:val="000000" w:themeColor="text1"/>
          <w:lang w:val="en-ZA"/>
        </w:rPr>
        <w:t xml:space="preserve">the Wild </w:t>
      </w:r>
      <w:r w:rsidR="007B2E37" w:rsidRPr="00533EAC">
        <w:rPr>
          <w:rFonts w:ascii="Arial" w:eastAsia="Calibri" w:hAnsi="Arial" w:cs="Arial"/>
          <w:color w:val="000000" w:themeColor="text1"/>
          <w:lang w:val="en-ZA"/>
        </w:rPr>
        <w:t>c</w:t>
      </w:r>
      <w:r w:rsidR="00A800A8" w:rsidRPr="00533EAC">
        <w:rPr>
          <w:rFonts w:ascii="Arial" w:eastAsia="Calibri" w:hAnsi="Arial" w:cs="Arial"/>
          <w:color w:val="000000" w:themeColor="text1"/>
          <w:lang w:val="en-ZA"/>
        </w:rPr>
        <w:t>oast was</w:t>
      </w:r>
      <w:r w:rsidR="0058572A" w:rsidRPr="00533EAC">
        <w:rPr>
          <w:rFonts w:ascii="Arial" w:eastAsia="Calibri" w:hAnsi="Arial" w:cs="Arial"/>
          <w:color w:val="000000" w:themeColor="text1"/>
          <w:lang w:val="en-ZA"/>
        </w:rPr>
        <w:t xml:space="preserve"> not well represented in previous studies of</w:t>
      </w:r>
      <w:r w:rsidR="00DF40B1" w:rsidRPr="00533EAC">
        <w:rPr>
          <w:rFonts w:ascii="Arial" w:eastAsia="Calibri" w:hAnsi="Arial" w:cs="Arial"/>
          <w:color w:val="000000" w:themeColor="text1"/>
          <w:lang w:val="en-ZA"/>
        </w:rPr>
        <w:t xml:space="preserve"> </w:t>
      </w:r>
      <w:r w:rsidR="00DF40B1" w:rsidRPr="00533EAC">
        <w:rPr>
          <w:rFonts w:ascii="Arial" w:eastAsia="Calibri" w:hAnsi="Arial" w:cs="Arial"/>
          <w:i/>
          <w:iCs/>
          <w:color w:val="000000" w:themeColor="text1"/>
          <w:lang w:val="en-ZA"/>
        </w:rPr>
        <w:t>Pyura</w:t>
      </w:r>
      <w:r w:rsidR="00DF40B1" w:rsidRPr="00533EAC">
        <w:rPr>
          <w:rFonts w:ascii="Arial" w:eastAsia="Calibri" w:hAnsi="Arial" w:cs="Arial"/>
          <w:color w:val="000000" w:themeColor="text1"/>
          <w:lang w:val="en-ZA"/>
        </w:rPr>
        <w:t xml:space="preserve"> spp.</w:t>
      </w:r>
      <w:r w:rsidR="0058572A" w:rsidRPr="00533EAC">
        <w:rPr>
          <w:rFonts w:ascii="Arial" w:eastAsia="Calibri" w:hAnsi="Arial" w:cs="Arial"/>
          <w:color w:val="000000" w:themeColor="text1"/>
          <w:lang w:val="en-ZA"/>
        </w:rPr>
        <w:t xml:space="preserve"> </w:t>
      </w:r>
      <w:r w:rsidR="00FF50B3" w:rsidRPr="00533EAC">
        <w:rPr>
          <w:rFonts w:ascii="Arial" w:eastAsia="Calibri" w:hAnsi="Arial" w:cs="Arial"/>
          <w:color w:val="000000" w:themeColor="text1"/>
          <w:lang w:val="en-ZA"/>
        </w:rPr>
        <w:fldChar w:fldCharType="begin" w:fldLock="1"/>
      </w:r>
      <w:r w:rsidR="00B358AA" w:rsidRPr="00533EAC">
        <w:rPr>
          <w:rFonts w:ascii="Arial" w:eastAsia="Calibri" w:hAnsi="Arial" w:cs="Arial"/>
          <w:color w:val="000000" w:themeColor="text1"/>
          <w:lang w:val="en-ZA"/>
        </w:rPr>
        <w:instrText>ADDIN CSL_CITATION {"citationItems":[{"id":"ITEM-1","itemData":{"DOI":"10.1186/1471-2148-11-176","ISBN":"1471-2148","ISSN":"1471-2148","PMID":"21693014","abstract":"Ecosystem engineers facilitate habitat formation and enhance biodiversity, but when they become invasive, they present a critical threat to native communities because they can drastically alter the receiving habitat. Management of such species thus needs to be a priority, but the poorly resolved taxonomy of many ecosystem engineers represents a major obstacle to correctly identifying them as being either native or introduced. We address this dilemma by studying the sea squirt Pyura stolonifera, an important ecosystem engineer that dominates coastal communities particularly in the southern hemisphere. Using DNA sequence data from four independently evolving loci, we aimed to determine levels of cryptic diversity, the invasive or native status of each regional population, and the most appropriate sampling design for identifying the geographic ranges of each evolutionary unit.","author":[{"dropping-particle":"","family":"Teske","given":"Peter R.","non-dropping-particle":"","parse-names":false,"suffix":""},{"dropping-particle":"","family":"Rius","given":"Marc","non-dropping-particle":"","parse-names":false,"suffix":""},{"dropping-particle":"","family":"McQuaid","given":"Christopher D.","non-dropping-particle":"","parse-names":false,"suffix":""},{"dropping-particle":"","family":"Styan","given":"Craig A.","non-dropping-particle":"","parse-names":false,"suffix":""},{"dropping-particle":"","family":"Piggott","given":"Maxine P.","non-dropping-particle":"","parse-names":false,"suffix":""},{"dropping-particle":"","family":"Benhissoune","given":"Saïd","non-dropping-particle":"","parse-names":false,"suffix":""},{"dropping-particle":"","family":"Fuentes-Grünewald","given":"Claudio","non-dropping-particle":"","parse-names":false,"suffix":""},{"dropping-particle":"","family":"Walls","given":"Kathy","non-dropping-particle":"","parse-names":false,"suffix":""},{"dropping-particle":"","family":"Page","given":"Mike","non-dropping-particle":"","parse-names":false,"suffix":""},{"dropping-particle":"","family":"Attard","given":"Catherine R.M.","non-dropping-particle":"","parse-names":false,"suffix":""},{"dropping-particle":"","family":"Cooke","given":"Georgina M.","non-dropping-particle":"","parse-names":false,"suffix":""},{"dropping-particle":"","family":"McClusky","given":"Claire F.","non-dropping-particle":"","parse-names":false,"suffix":""},{"dropping-particle":"","family":"Banks","given":"Sam C.","non-dropping-particle":"","parse-names":false,"suffix":""},{"dropping-particle":"","family":"Barker","given":"Nigel P.","non-dropping-particle":"","parse-names":false,"suffix":""},{"dropping-particle":"","family":"Beheregaray","given":"Luciano B.","non-dropping-particle":"","parse-names":false,"suffix":""}],"container-title":"BMC Evolutionary Biology","id":"ITEM-1","issue":"1","issued":{"date-parts":[["2011","12","21"]]},"page":"176","title":"\"Nested\" cryptic diversity in a widespread marine ecosystem engineer: a challenge for detecting biological invasions","type":"article-journal","volume":"11"},"uris":["http://www.mendeley.com/documents/?uuid=33defdbe-1589-366a-9be1-3e615968068d"]}],"mendeley":{"formattedCitation":"(Teske et al. 2011)","plainTextFormattedCitation":"(Teske et al. 2011)","previouslyFormattedCitation":"(Teske et al. 2011)"},"properties":{"noteIndex":0},"schema":"https://github.com/citation-style-language/schema/raw/master/csl-citation.json"}</w:instrText>
      </w:r>
      <w:r w:rsidR="00FF50B3" w:rsidRPr="00533EAC">
        <w:rPr>
          <w:rFonts w:ascii="Arial" w:eastAsia="Calibri" w:hAnsi="Arial" w:cs="Arial"/>
          <w:color w:val="000000" w:themeColor="text1"/>
          <w:lang w:val="en-ZA"/>
        </w:rPr>
        <w:fldChar w:fldCharType="separate"/>
      </w:r>
      <w:r w:rsidR="00FF50B3" w:rsidRPr="00533EAC">
        <w:rPr>
          <w:rFonts w:ascii="Arial" w:eastAsia="Calibri" w:hAnsi="Arial" w:cs="Arial"/>
          <w:noProof/>
          <w:color w:val="000000" w:themeColor="text1"/>
          <w:lang w:val="en-ZA"/>
        </w:rPr>
        <w:t>(</w:t>
      </w:r>
      <w:r w:rsidR="00AF72C3" w:rsidRPr="00533EAC">
        <w:rPr>
          <w:rFonts w:ascii="Arial" w:eastAsia="Calibri" w:hAnsi="Arial" w:cs="Arial"/>
          <w:noProof/>
          <w:color w:val="000000" w:themeColor="text1"/>
          <w:lang w:val="en-ZA"/>
        </w:rPr>
        <w:t xml:space="preserve">e.g. </w:t>
      </w:r>
      <w:r w:rsidR="00FF50B3" w:rsidRPr="00533EAC">
        <w:rPr>
          <w:rFonts w:ascii="Arial" w:eastAsia="Calibri" w:hAnsi="Arial" w:cs="Arial"/>
          <w:noProof/>
          <w:color w:val="000000" w:themeColor="text1"/>
          <w:lang w:val="en-ZA"/>
        </w:rPr>
        <w:t>Teske et al. 2011)</w:t>
      </w:r>
      <w:r w:rsidR="00FF50B3" w:rsidRPr="00533EAC">
        <w:rPr>
          <w:rFonts w:ascii="Arial" w:eastAsia="Calibri" w:hAnsi="Arial" w:cs="Arial"/>
          <w:color w:val="000000" w:themeColor="text1"/>
          <w:lang w:val="en-ZA"/>
        </w:rPr>
        <w:fldChar w:fldCharType="end"/>
      </w:r>
      <w:r w:rsidR="0058572A" w:rsidRPr="00533EAC">
        <w:rPr>
          <w:rFonts w:ascii="Arial" w:eastAsia="Calibri" w:hAnsi="Arial" w:cs="Arial"/>
          <w:color w:val="000000" w:themeColor="text1"/>
          <w:lang w:val="en-ZA"/>
        </w:rPr>
        <w:t xml:space="preserve">. </w:t>
      </w:r>
      <w:r w:rsidR="00D41B3C" w:rsidRPr="00533EAC">
        <w:rPr>
          <w:rFonts w:ascii="Arial" w:eastAsia="Calibri" w:hAnsi="Arial" w:cs="Arial"/>
          <w:color w:val="000000" w:themeColor="text1"/>
          <w:lang w:val="en-ZA"/>
        </w:rPr>
        <w:t xml:space="preserve">The study area </w:t>
      </w:r>
      <w:r w:rsidR="00AF72C3" w:rsidRPr="00533EAC">
        <w:rPr>
          <w:rFonts w:ascii="Arial" w:eastAsia="Calibri" w:hAnsi="Arial" w:cs="Arial"/>
          <w:color w:val="000000" w:themeColor="text1"/>
          <w:lang w:val="en-ZA"/>
        </w:rPr>
        <w:t xml:space="preserve">has seen </w:t>
      </w:r>
      <w:r w:rsidR="00D41B3C" w:rsidRPr="00533EAC">
        <w:rPr>
          <w:rFonts w:ascii="Arial" w:eastAsia="Calibri" w:hAnsi="Arial" w:cs="Arial"/>
          <w:color w:val="000000" w:themeColor="text1"/>
          <w:lang w:val="en-ZA"/>
        </w:rPr>
        <w:t xml:space="preserve">effects of contemporary </w:t>
      </w:r>
      <w:r w:rsidR="0058572A" w:rsidRPr="00533EAC">
        <w:rPr>
          <w:rFonts w:ascii="Arial" w:eastAsia="Calibri" w:hAnsi="Arial" w:cs="Arial"/>
          <w:color w:val="000000" w:themeColor="text1"/>
          <w:lang w:val="en-ZA"/>
        </w:rPr>
        <w:t xml:space="preserve">climate change </w:t>
      </w:r>
      <w:r w:rsidR="0058572A" w:rsidRPr="00533EAC">
        <w:rPr>
          <w:rFonts w:ascii="Arial" w:eastAsia="Calibri" w:hAnsi="Arial" w:cs="Arial"/>
          <w:color w:val="000000" w:themeColor="text1"/>
          <w:lang w:val="en-ZA"/>
        </w:rPr>
        <w:fldChar w:fldCharType="begin" w:fldLock="1"/>
      </w:r>
      <w:r w:rsidR="0058572A" w:rsidRPr="00533EAC">
        <w:rPr>
          <w:rFonts w:ascii="Arial" w:eastAsia="Calibri" w:hAnsi="Arial" w:cs="Arial"/>
          <w:color w:val="000000" w:themeColor="text1"/>
          <w:lang w:val="en-ZA"/>
        </w:rPr>
        <w:instrText>ADDIN CSL_CITATION {"citationItems":[{"id":"ITEM-1","itemData":{"DOI":"10.1111/gcb.13247","ISSN":"13652486","abstract":"© 2016 John Wiley &amp; Sons Ltd.Ocean warming 'hotspots' are regions characterized by above-average temperature increases over recent years, for which there are significant consequences for both living marine resources and the societies that depend on them. As such, they represent early warning systems for understanding the impacts of marine climate change, and test-beds for developing adaptation options for coping with those impacts. Here, we examine five hotspots off the coasts of eastern Australia, South Africa, Madagascar, India and Brazil. These particular hotspots have underpinned a large international partnership that is working towards improving community adaptation by characterizing, assessing and projecting the likely future of coastal-marine food resources through the provision and sharing of knowledge. To inform this effort, we employ a high-resolution global ocean model forced by Representative Concentration Pathway 8.5 and simulated to year 2099. In addition to the sea surface temperature, we analyse projected stratification, nutrient supply, primary production, anthropogenic CO2-driven ocean acidification, deoxygenation and ocean circulation. Our simulation finds that the temperature-defined hotspots studied here will continue to experience warming but, with the exception of eastern Australia, may not remain the fastest warming ocean areas over the next century as the strongest warming is projected to occur in the subpolar and polar areas of the Northern Hemisphere. Additionally, we find that recent rapid change in SST is not necessarily an indicator that these areas are also hotspots of the other climatic stressors examined. However, a consistent facet of the hotspots studied here is that they are all strongly influenced by ocean circulation, which has already shown changes in the recent past and is projected to undergo further strong change into the future. In addition to the fast warming, change in local ocean circulation represents a distinct feature of present and future climate change impacting marine ecosystems in these areas.","author":[{"dropping-particle":"","family":"Popova","given":"Ekaterina","non-dropping-particle":"","parse-names":false,"suffix":""},{"dropping-particle":"","family":"Yool","given":"Andrew","non-dropping-particle":"","parse-names":false,"suffix":""},{"dropping-particle":"","family":"Byfield","given":"Valborg","non-dropping-particle":"","parse-names":false,"suffix":""},{"dropping-particle":"","family":"Cochrane","given":"Kevern","non-dropping-particle":"","parse-names":false,"suffix":""},{"dropping-particle":"","family":"Coward","given":"Andrew C.","non-dropping-particle":"","parse-names":false,"suffix":""},{"dropping-particle":"","family":"Salim","given":"Shyam S.","non-dropping-particle":"","parse-names":false,"suffix":""},{"dropping-particle":"","family":"Gasalla","given":"Maria A.","non-dropping-particle":"","parse-names":false,"suffix":""},{"dropping-particle":"","family":"Henson","given":"Stephanie A.","non-dropping-particle":"","parse-names":false,"suffix":""},{"dropping-particle":"","family":"Hobday","given":"Alistair J.","non-dropping-particle":"","parse-names":false,"suffix":""},{"dropping-particle":"","family":"Pecl","given":"Gretta T.","non-dropping-particle":"","parse-names":false,"suffix":""},{"dropping-particle":"","family":"Sauer","given":"Warwick H.","non-dropping-particle":"","parse-names":false,"suffix":""},{"dropping-particle":"","family":"Roberts","given":"Michael J.","non-dropping-particle":"","parse-names":false,"suffix":""}],"container-title":"Global Change Biology","id":"ITEM-1","issue":"6","issued":{"date-parts":[["2016","6","1"]]},"page":"2038-2053","publisher":"Blackwell Publishing Ltd","title":"From global to regional and back again: Common climate stressors of marine ecosystems relevant for adaptation across five ocean warming hotspots","type":"article-journal","volume":"22"},"uris":["http://www.mendeley.com/documents/?uuid=30da874d-b91e-35b9-9636-b142c46568d8"]}],"mendeley":{"formattedCitation":"(Popova et al. 2016)","plainTextFormattedCitation":"(Popova et al. 2016)","previouslyFormattedCitation":"(Popova et al. 2016)"},"properties":{"noteIndex":0},"schema":"https://github.com/citation-style-language/schema/raw/master/csl-citation.json"}</w:instrText>
      </w:r>
      <w:r w:rsidR="0058572A" w:rsidRPr="00533EAC">
        <w:rPr>
          <w:rFonts w:ascii="Arial" w:eastAsia="Calibri" w:hAnsi="Arial" w:cs="Arial"/>
          <w:color w:val="000000" w:themeColor="text1"/>
          <w:lang w:val="en-ZA"/>
        </w:rPr>
        <w:fldChar w:fldCharType="separate"/>
      </w:r>
      <w:r w:rsidR="0058572A" w:rsidRPr="00533EAC">
        <w:rPr>
          <w:rFonts w:ascii="Arial" w:eastAsia="Calibri" w:hAnsi="Arial" w:cs="Arial"/>
          <w:noProof/>
          <w:color w:val="000000" w:themeColor="text1"/>
          <w:lang w:val="en-ZA"/>
        </w:rPr>
        <w:t>(Popova et al. 2016)</w:t>
      </w:r>
      <w:r w:rsidR="0058572A" w:rsidRPr="00533EAC">
        <w:rPr>
          <w:rFonts w:ascii="Arial" w:eastAsia="Calibri" w:hAnsi="Arial" w:cs="Arial"/>
          <w:color w:val="000000" w:themeColor="text1"/>
          <w:lang w:val="en-ZA"/>
        </w:rPr>
        <w:fldChar w:fldCharType="end"/>
      </w:r>
      <w:r w:rsidR="0058572A" w:rsidRPr="00533EAC">
        <w:rPr>
          <w:rFonts w:ascii="Arial" w:eastAsia="Calibri" w:hAnsi="Arial" w:cs="Arial"/>
          <w:color w:val="000000" w:themeColor="text1"/>
          <w:lang w:val="en-ZA"/>
        </w:rPr>
        <w:t xml:space="preserve">, where marine species are adapting in order to survive </w:t>
      </w:r>
      <w:r w:rsidR="0058572A" w:rsidRPr="00533EAC">
        <w:rPr>
          <w:rFonts w:ascii="Arial" w:eastAsia="Calibri" w:hAnsi="Arial" w:cs="Arial"/>
          <w:color w:val="000000" w:themeColor="text1"/>
          <w:lang w:val="en-ZA"/>
        </w:rPr>
        <w:fldChar w:fldCharType="begin" w:fldLock="1"/>
      </w:r>
      <w:r w:rsidR="0058572A" w:rsidRPr="00533EAC">
        <w:rPr>
          <w:rFonts w:ascii="Arial" w:eastAsia="Calibri" w:hAnsi="Arial" w:cs="Arial"/>
          <w:color w:val="000000" w:themeColor="text1"/>
          <w:lang w:val="en-ZA"/>
        </w:rPr>
        <w:instrText>ADDIN CSL_CITATION {"citationItems":[{"id":"ITEM-1","itemData":{"DOI":"10.7717/peerj.5003","abstract":"Environmentally induced epigenetic changes may contribute to phenotypic plasticity, increase adaptive potential in changing environments, and play a key role in the establishment and spread of invasive species in new habitats. In this study, we used methylation-sensitive amplified polymorphism (MSAP) to assess environmentally induced DNA methylation changes in a globally invasive clonal ascidian, Didemnum vexillum . We tested the effect of increasing temperature (19, 25 and 27 °C) and decreasing salinity (34, 32, 30, 28 and 26 practical salinity units (PSU)) on global DNA methylation, growth and survival rates. Exposure to 27 °C resulted in significant changes in DNA methylation over time. Growth also decreased in colonies exposed to high temperatures, suggesting they were under thermal stress. In contrast, no differences in growth nor DNA methylation patterns were observed in colonies exposed to a decreasing salinity gradient, potentially due to prior adaptation. The results of this study show that environmental stress can induce significant global DNA methylation changes in an invasive marine invertebrate on very rapid timescales, and that this response varies depending on the type, magnitude, and duration of the stressor. Changes in genomic DNA methylation and the rate of growth may act to ‘buy survival time’ under stressful conditions, expanding the distribution limits of this globally invasive species.","author":[{"dropping-particle":"","family":"Hawes","given":"Nicola A.","non-dropping-particle":"","parse-names":false,"suffix":""},{"dropping-particle":"","family":"Tremblay","given":"Louis A.","non-dropping-particle":"","parse-names":false,"suffix":""},{"dropping-particle":"","family":"Pochon","given":"Xavier","non-dropping-particle":"","parse-names":false,"suffix":""},{"dropping-particle":"","family":"Dunphy","given":"Brendon","non-dropping-particle":"","parse-names":false,"suffix":""},{"dropping-particle":"","family":"Fidler","given":"Andrew E.","non-dropping-particle":"","parse-names":false,"suffix":""},{"dropping-particle":"","family":"Smith","given":"Kirsty F.","non-dropping-particle":"","parse-names":false,"suffix":""}],"container-title":"PeerJ","id":"ITEM-1","issued":{"date-parts":[["2018","6","25"]]},"page":"e5003","publisher":"PeerJ","title":"Effects of temperature and salinity stress on DNA methylation in a highly invasive marine invertebrate, the colonial ascidian &lt;i&gt;Didemnum vexillum&lt;/i&gt;","type":"article-journal","volume":"6"},"uris":["http://www.mendeley.com/documents/?uuid=a630d665-77d1-3834-8778-2c3612e99ea0"]},{"id":"ITEM-2","itemData":{"DOI":"10.1111/gcb.13829","ISSN":"13541013","abstract":"© 2017 John Wiley &amp; Sons Ltd The world's oceans are highly impacted by climate change and other human pressures, with significant implications for marine ecosystems and the livelihoods that they support. Adaptation for both natural and human systems is increasingly important as a coping strategy due to the rate and scale of ongoing and potential future change. Here, we conduct a review of literature concerning specific case studies of adaptation in marine systems, and discuss associated characteristics and influencing factors, including drivers, strategy, timeline, costs, and limitations. We found ample evidence in the literature that shows that marine species are adapting to climate change through shifting distributions and timing of biological events, while evidence for adaptation through evolutionary processes is limited. For human systems, existing studies focus on frameworks and principles of adaptation planning, but examples of implemented adaptation actions and evaluation of outcomes are scarce. These findings highlight potentially useful strategies given specific social–ecological contexts, as well as key barriers and specific information gaps requiring further research and actions.","author":[{"dropping-particle":"","family":"Miller","given":"Dana D.","non-dropping-particle":"","parse-names":false,"suffix":""},{"dropping-particle":"","family":"Ota","given":"Yoshitaka","non-dropping-particle":"","parse-names":false,"suffix":""},{"dropping-particle":"","family":"Sumaila","given":"Ussif Rashid","non-dropping-particle":"","parse-names":false,"suffix":""},{"dropping-particle":"","family":"Cisneros-Montemayor","given":"Andrés M.","non-dropping-particle":"","parse-names":false,"suffix":""},{"dropping-particle":"","family":"Cheung","given":"William W. L.","non-dropping-particle":"","parse-names":false,"suffix":""}],"container-title":"Global Change Biology","id":"ITEM-2","issue":"1","issued":{"date-parts":[["2018","1","1"]]},"page":"e1-e14","publisher":"Blackwell Publishing Ltd","title":"Adaptation strategies to climate change in marine systems","type":"article-journal","volume":"24"},"uris":["http://www.mendeley.com/documents/?uuid=ba7367d0-623c-3d1a-99eb-5d5fe553cfe8"]}],"mendeley":{"formattedCitation":"(Hawes et al. 2018; Miller et al. 2018)","plainTextFormattedCitation":"(Hawes et al. 2018; Miller et al. 2018)","previouslyFormattedCitation":"(Hawes et al. 2018; Miller et al. 2018)"},"properties":{"noteIndex":0},"schema":"https://github.com/citation-style-language/schema/raw/master/csl-citation.json"}</w:instrText>
      </w:r>
      <w:r w:rsidR="0058572A" w:rsidRPr="00533EAC">
        <w:rPr>
          <w:rFonts w:ascii="Arial" w:eastAsia="Calibri" w:hAnsi="Arial" w:cs="Arial"/>
          <w:color w:val="000000" w:themeColor="text1"/>
          <w:lang w:val="en-ZA"/>
        </w:rPr>
        <w:fldChar w:fldCharType="separate"/>
      </w:r>
      <w:r w:rsidR="0058572A" w:rsidRPr="00533EAC">
        <w:rPr>
          <w:rFonts w:ascii="Arial" w:eastAsia="Calibri" w:hAnsi="Arial" w:cs="Arial"/>
          <w:noProof/>
          <w:color w:val="000000" w:themeColor="text1"/>
          <w:lang w:val="en-ZA"/>
        </w:rPr>
        <w:t>(Hawes et al. 2018; Miller et al. 2018)</w:t>
      </w:r>
      <w:r w:rsidR="0058572A" w:rsidRPr="00533EAC">
        <w:rPr>
          <w:rFonts w:ascii="Arial" w:eastAsia="Calibri" w:hAnsi="Arial" w:cs="Arial"/>
          <w:color w:val="000000" w:themeColor="text1"/>
          <w:lang w:val="en-ZA"/>
        </w:rPr>
        <w:fldChar w:fldCharType="end"/>
      </w:r>
      <w:r w:rsidR="0058572A" w:rsidRPr="00533EAC">
        <w:rPr>
          <w:rFonts w:ascii="Arial" w:eastAsia="Calibri" w:hAnsi="Arial" w:cs="Arial"/>
          <w:color w:val="000000" w:themeColor="text1"/>
          <w:lang w:val="en-ZA"/>
        </w:rPr>
        <w:t>.</w:t>
      </w:r>
    </w:p>
    <w:p w14:paraId="61068ECF" w14:textId="77777777" w:rsidR="0058572A" w:rsidRPr="00533EAC" w:rsidRDefault="0058572A" w:rsidP="00C05A32">
      <w:pPr>
        <w:spacing w:after="0" w:line="360" w:lineRule="auto"/>
        <w:jc w:val="both"/>
        <w:rPr>
          <w:rFonts w:ascii="Arial" w:eastAsia="Calibri" w:hAnsi="Arial" w:cs="Arial"/>
          <w:color w:val="000000" w:themeColor="text1"/>
          <w:lang w:val="en-ZA"/>
        </w:rPr>
      </w:pPr>
    </w:p>
    <w:p w14:paraId="3C224D5C" w14:textId="2191DB1B"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Samples were collected at 13 different sites</w:t>
      </w:r>
      <w:r w:rsidR="009119F5" w:rsidRPr="00533EAC">
        <w:rPr>
          <w:rFonts w:ascii="Arial" w:eastAsia="Calibri" w:hAnsi="Arial" w:cs="Arial"/>
          <w:color w:val="000000" w:themeColor="text1"/>
          <w:lang w:val="en-ZA"/>
        </w:rPr>
        <w:t xml:space="preserve"> and identified to species level</w:t>
      </w:r>
      <w:r w:rsidR="00E6568D" w:rsidRPr="00533EAC">
        <w:rPr>
          <w:rFonts w:ascii="Arial" w:eastAsia="Calibri" w:hAnsi="Arial" w:cs="Arial"/>
          <w:color w:val="000000" w:themeColor="text1"/>
          <w:lang w:val="en-ZA"/>
        </w:rPr>
        <w:t xml:space="preserve"> (Table 1)</w:t>
      </w:r>
      <w:r w:rsidR="000E4D47" w:rsidRPr="00533EAC">
        <w:rPr>
          <w:rFonts w:ascii="Arial" w:eastAsia="Calibri" w:hAnsi="Arial" w:cs="Arial"/>
          <w:color w:val="000000" w:themeColor="text1"/>
          <w:lang w:val="en-ZA"/>
        </w:rPr>
        <w:t xml:space="preserve"> following  </w:t>
      </w:r>
      <w:r w:rsidR="000E4D47" w:rsidRPr="00533EAC">
        <w:rPr>
          <w:rFonts w:ascii="Arial" w:eastAsia="Calibri" w:hAnsi="Arial" w:cs="Arial"/>
          <w:color w:val="000000" w:themeColor="text1"/>
          <w:lang w:val="en-ZA"/>
        </w:rPr>
        <w:fldChar w:fldCharType="begin" w:fldLock="1"/>
      </w:r>
      <w:r w:rsidR="000E4D47" w:rsidRPr="00533EAC">
        <w:rPr>
          <w:rFonts w:ascii="Arial" w:eastAsia="Calibri" w:hAnsi="Arial" w:cs="Arial"/>
          <w:color w:val="000000" w:themeColor="text1"/>
          <w:lang w:val="en-ZA"/>
        </w:rPr>
        <w:instrText>ADDIN CSL_CITATION {"citationItems":[{"id":"ITEM-1","itemData":{"ISSN":"11755334","abstract":"Pyura stolonifera is a large solitary ascidian found in Africa, Australasia and South America. The taxonomic status of different populations of this species is disputed, especially since there is evidence for several distinct morphological and genetic units that point towards the existence of multiple cryptic species. While some researchers still recognize P. stolonifera as a single species, others treat the different populations as distinct species. Here, we present a revision of the P. stolonifera species complex based on the examination of samples from all regions where there are reliable reports of this taxon. We recognize four species that are both morphologically and genetically distinct, one of which is new to science and is formally described here. This species is morphologically distinct from the other three members of the species complex in terms of the colour and texture of the tunic, the arrangement of the gonads within the gut and the shape of the dorsal tubercle, among other characters. We name the new species Pyura dalbyi after Dr. J.E. Dalby Jr., whose research on its ecology and distribution provided the incentive for examining this species more closely.","author":[{"dropping-particle":"","family":"Rius","given":"Marc","non-dropping-particle":"","parse-names":false,"suffix":""},{"dropping-particle":"","family":"Teske","given":"Peter R","non-dropping-particle":"","parse-names":false,"suffix":""}],"container-title":"Zootaxa","id":"ITEM-1","issue":"2754","issued":{"date-parts":[["2011"]]},"page":"27-40","title":"A revision of the &lt;i&gt;Pyura stolonifera&lt;/i&gt; species complex (Tunicata, Ascidiacea), with a description of a new species from Australia","type":"article-journal","volume":"2754"},"uris":["http://www.mendeley.com/documents/?uuid=2fb396ad-7091-30f4-aa5e-4ff7ab8e4fd8"]}],"mendeley":{"formattedCitation":"(Rius and Teske 2011)","plainTextFormattedCitation":"(Rius and Teske 2011)","previouslyFormattedCitation":"(Rius and Teske 2011)"},"properties":{"noteIndex":0},"schema":"https://github.com/citation-style-language/schema/raw/master/csl-citation.json"}</w:instrText>
      </w:r>
      <w:r w:rsidR="000E4D47" w:rsidRPr="00533EAC">
        <w:rPr>
          <w:rFonts w:ascii="Arial" w:eastAsia="Calibri" w:hAnsi="Arial" w:cs="Arial"/>
          <w:color w:val="000000" w:themeColor="text1"/>
          <w:lang w:val="en-ZA"/>
        </w:rPr>
        <w:fldChar w:fldCharType="separate"/>
      </w:r>
      <w:r w:rsidR="000E4D47" w:rsidRPr="00533EAC">
        <w:rPr>
          <w:rFonts w:ascii="Arial" w:eastAsia="Calibri" w:hAnsi="Arial" w:cs="Arial"/>
          <w:noProof/>
          <w:color w:val="000000" w:themeColor="text1"/>
          <w:lang w:val="en-ZA"/>
        </w:rPr>
        <w:t>(Rius and Teske 2011)</w:t>
      </w:r>
      <w:r w:rsidR="000E4D47" w:rsidRPr="00533EAC">
        <w:rPr>
          <w:rFonts w:ascii="Arial" w:eastAsia="Calibri" w:hAnsi="Arial" w:cs="Arial"/>
          <w:color w:val="000000" w:themeColor="text1"/>
          <w:lang w:val="en-ZA"/>
        </w:rPr>
        <w:fldChar w:fldCharType="end"/>
      </w:r>
      <w:r w:rsidR="009119F5"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Mant</w:t>
      </w:r>
      <w:r w:rsidR="002D38CF" w:rsidRPr="00533EAC">
        <w:rPr>
          <w:rFonts w:ascii="Arial" w:eastAsia="Calibri" w:hAnsi="Arial" w:cs="Arial"/>
          <w:color w:val="000000" w:themeColor="text1"/>
          <w:lang w:val="en-ZA"/>
        </w:rPr>
        <w:t>l</w:t>
      </w:r>
      <w:r w:rsidRPr="00533EAC">
        <w:rPr>
          <w:rFonts w:ascii="Arial" w:eastAsia="Calibri" w:hAnsi="Arial" w:cs="Arial"/>
          <w:color w:val="000000" w:themeColor="text1"/>
          <w:lang w:val="en-ZA"/>
        </w:rPr>
        <w:t xml:space="preserve">e tissue samples of </w:t>
      </w:r>
      <w:r w:rsidRPr="00533EAC">
        <w:rPr>
          <w:rFonts w:ascii="Arial" w:eastAsia="Calibri" w:hAnsi="Arial" w:cs="Arial"/>
          <w:i/>
          <w:color w:val="000000" w:themeColor="text1"/>
          <w:lang w:val="en-ZA"/>
        </w:rPr>
        <w:t xml:space="preserve">Pyura </w:t>
      </w:r>
      <w:r w:rsidRPr="00533EAC">
        <w:rPr>
          <w:rFonts w:ascii="Arial" w:eastAsia="Calibri" w:hAnsi="Arial" w:cs="Arial"/>
          <w:iCs/>
          <w:color w:val="000000" w:themeColor="text1"/>
          <w:lang w:val="en-ZA"/>
        </w:rPr>
        <w:t>spp</w:t>
      </w:r>
      <w:r w:rsidRPr="00533EAC">
        <w:rPr>
          <w:rFonts w:ascii="Arial" w:eastAsia="Calibri" w:hAnsi="Arial" w:cs="Arial"/>
          <w:i/>
          <w:color w:val="000000" w:themeColor="text1"/>
          <w:lang w:val="en-ZA"/>
        </w:rPr>
        <w:t xml:space="preserve">. </w:t>
      </w:r>
      <w:r w:rsidRPr="00533EAC">
        <w:rPr>
          <w:rFonts w:ascii="Arial" w:eastAsia="Calibri" w:hAnsi="Arial" w:cs="Arial"/>
          <w:iCs/>
          <w:color w:val="000000" w:themeColor="text1"/>
          <w:lang w:val="en-ZA"/>
        </w:rPr>
        <w:t>were</w:t>
      </w:r>
      <w:r w:rsidRPr="00533EAC">
        <w:rPr>
          <w:rFonts w:ascii="Arial" w:eastAsia="Calibri" w:hAnsi="Arial" w:cs="Arial"/>
          <w:color w:val="000000" w:themeColor="text1"/>
          <w:lang w:val="en-ZA"/>
        </w:rPr>
        <w:t xml:space="preserve"> stored in absolute ethanol. DNA was extracted using the CTAB protocol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{"citationItems":[{"id":"ITEM-1","itemData":{"abstract":"Of the several rapid and inexpensive DNA isolation procedures that have been described recently, one of the most popular is that of Saghai-Maroof et al. (1984), a procedure using hexadecyltrimethylammonium bromide (CTAB) and lyophilized tissue. We here describe a simple modification of this procedure that has been found to be efficient for nucleic acid isolations from fresh leaf tissue, and which we have also used for dried herbarium specimens.","author":[{"dropping-particle":"","family":"Doyle","given":"J J","non-dropping-particle":"","parse-names":false,"suffix":""},{"dropping-particle":"","family":"Doyle","given":"J L","non-dropping-particle":"","parse-names":false,"suffix":""}],"container-title":"Phytochemical Bulletin","id":"ITEM-1","issued":{"date-parts":[["1987"]]},"page":"11-15","title":"A rapid DNA isolation procedure for small quantities of fresh leaf tissue","type":"article-journal","volume":"19"},"uris":["http://www.mendeley.com/documents/?uuid=4943b94e-8e53-34a4-8371-33c7bfa26036"]}],"mendeley":{"formattedCitation":"(Doyle and Doyle 1987)","plainTextFormattedCitation":"(Doyle and Doyle 1987)","previouslyFormattedCitation":"(Doyle and Doyle 1987)"},"properties":{"noteIndex":0},"schema":"https://github.com/citation-style-language/schema/raw/master/csl-citation.json"}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(Doyle and Doyle 1987)</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and purified using the </w:t>
      </w:r>
      <w:proofErr w:type="spellStart"/>
      <w:r w:rsidRPr="00533EAC">
        <w:rPr>
          <w:rFonts w:ascii="Arial" w:eastAsia="Calibri" w:hAnsi="Arial" w:cs="Arial"/>
          <w:color w:val="000000" w:themeColor="text1"/>
          <w:lang w:val="en-ZA"/>
        </w:rPr>
        <w:t>QIAquick</w:t>
      </w:r>
      <w:proofErr w:type="spellEnd"/>
      <w:r w:rsidRPr="00533EAC">
        <w:rPr>
          <w:rFonts w:ascii="Arial" w:eastAsia="Calibri" w:hAnsi="Arial" w:cs="Arial"/>
          <w:color w:val="000000" w:themeColor="text1"/>
          <w:lang w:val="en-ZA"/>
        </w:rPr>
        <w:t xml:space="preserve"> PCR Purification Kit, following the manufacturer’s instructions (Qiagen, Hilden, Germany). The purity and concentration of the DNA was evaluated by measurement of the 260/280 ratio using a </w:t>
      </w:r>
      <w:proofErr w:type="spellStart"/>
      <w:r w:rsidRPr="00533EAC">
        <w:rPr>
          <w:rFonts w:ascii="Arial" w:eastAsia="Calibri" w:hAnsi="Arial" w:cs="Arial"/>
          <w:color w:val="000000" w:themeColor="text1"/>
          <w:lang w:val="en-ZA"/>
        </w:rPr>
        <w:t>NanoDrop</w:t>
      </w:r>
      <w:proofErr w:type="spellEnd"/>
      <w:r w:rsidRPr="00533EAC">
        <w:rPr>
          <w:rFonts w:ascii="Arial" w:eastAsia="Calibri" w:hAnsi="Arial" w:cs="Arial"/>
          <w:color w:val="000000" w:themeColor="text1"/>
          <w:vertAlign w:val="superscript"/>
          <w:lang w:val="en-ZA"/>
        </w:rPr>
        <w:sym w:font="Symbol" w:char="F0E2"/>
      </w:r>
      <w:r w:rsidRPr="00533EAC">
        <w:rPr>
          <w:rFonts w:ascii="Arial" w:eastAsia="Calibri" w:hAnsi="Arial" w:cs="Arial"/>
          <w:color w:val="000000" w:themeColor="text1"/>
          <w:lang w:val="en-ZA"/>
        </w:rPr>
        <w:t>1000 Spectrophotometer 3.7.</w:t>
      </w:r>
    </w:p>
    <w:p w14:paraId="243298ED" w14:textId="77777777" w:rsidR="003812DD" w:rsidRPr="00533EAC" w:rsidRDefault="003812DD" w:rsidP="00C05A32">
      <w:pPr>
        <w:spacing w:after="0" w:line="360" w:lineRule="auto"/>
        <w:jc w:val="both"/>
        <w:rPr>
          <w:rFonts w:ascii="Arial" w:eastAsia="Calibri" w:hAnsi="Arial" w:cs="Arial"/>
          <w:i/>
          <w:iCs/>
          <w:color w:val="000000" w:themeColor="text1"/>
          <w:lang w:val="en-ZA"/>
        </w:rPr>
      </w:pPr>
    </w:p>
    <w:p w14:paraId="0AFE9B97" w14:textId="7DDD0C6C"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i/>
          <w:iCs/>
          <w:color w:val="000000" w:themeColor="text1"/>
          <w:lang w:val="en-ZA"/>
        </w:rPr>
        <w:t>Microsatellite detection</w:t>
      </w:r>
    </w:p>
    <w:p w14:paraId="64A3A92C" w14:textId="4DEC1610"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Four samples of genomic DNA, two for each species of </w:t>
      </w:r>
      <w:r w:rsidRPr="00533EAC">
        <w:rPr>
          <w:rFonts w:ascii="Arial" w:eastAsia="Calibri" w:hAnsi="Arial" w:cs="Arial"/>
          <w:i/>
          <w:color w:val="000000" w:themeColor="text1"/>
          <w:lang w:val="en-ZA"/>
        </w:rPr>
        <w:t>Pyura</w:t>
      </w:r>
      <w:r w:rsidRPr="00533EAC">
        <w:rPr>
          <w:rFonts w:ascii="Arial" w:eastAsia="Calibri" w:hAnsi="Arial" w:cs="Arial"/>
          <w:color w:val="000000" w:themeColor="text1"/>
          <w:lang w:val="en-ZA"/>
        </w:rPr>
        <w:t xml:space="preserve">, were sequenced at </w:t>
      </w:r>
      <w:proofErr w:type="spellStart"/>
      <w:r w:rsidRPr="00533EAC">
        <w:rPr>
          <w:rFonts w:ascii="Arial" w:eastAsia="Calibri" w:hAnsi="Arial" w:cs="Arial"/>
          <w:color w:val="000000" w:themeColor="text1"/>
          <w:lang w:val="en-ZA"/>
        </w:rPr>
        <w:t>GenoScreen</w:t>
      </w:r>
      <w:proofErr w:type="spellEnd"/>
      <w:r w:rsidRPr="00533EAC">
        <w:rPr>
          <w:rFonts w:ascii="Arial" w:eastAsia="Calibri" w:hAnsi="Arial" w:cs="Arial"/>
          <w:color w:val="000000" w:themeColor="text1"/>
          <w:lang w:val="en-ZA"/>
        </w:rPr>
        <w:t xml:space="preserve">, Lille, France (www.genoscreen.fr). The development of </w:t>
      </w:r>
      <w:r w:rsidR="009119F5" w:rsidRPr="00533EAC">
        <w:rPr>
          <w:rFonts w:ascii="Arial" w:eastAsia="Calibri" w:hAnsi="Arial" w:cs="Arial"/>
          <w:color w:val="000000" w:themeColor="text1"/>
          <w:lang w:val="en-ZA"/>
        </w:rPr>
        <w:t xml:space="preserve">a </w:t>
      </w:r>
      <w:r w:rsidRPr="00533EAC">
        <w:rPr>
          <w:rFonts w:ascii="Arial" w:eastAsia="Calibri" w:hAnsi="Arial" w:cs="Arial"/>
          <w:color w:val="000000" w:themeColor="text1"/>
          <w:lang w:val="en-ZA"/>
        </w:rPr>
        <w:t>microsatellite library required 1</w:t>
      </w:r>
      <w:r w:rsidR="001808F6" w:rsidRPr="00533EAC">
        <w:rPr>
          <w:rFonts w:ascii="Arial" w:eastAsia="Calibri" w:hAnsi="Arial" w:cs="Arial"/>
          <w:color w:val="000000" w:themeColor="text1"/>
          <w:lang w:val="en-ZA"/>
        </w:rPr>
        <w:t xml:space="preserve"> </w:t>
      </w:r>
      <w:proofErr w:type="spellStart"/>
      <w:r w:rsidRPr="00533EAC">
        <w:rPr>
          <w:rFonts w:ascii="Arial" w:eastAsia="Calibri" w:hAnsi="Arial" w:cs="Arial"/>
          <w:color w:val="000000" w:themeColor="text1"/>
          <w:lang w:val="en-ZA"/>
        </w:rPr>
        <w:t>μg</w:t>
      </w:r>
      <w:proofErr w:type="spellEnd"/>
      <w:r w:rsidRPr="00533EAC">
        <w:rPr>
          <w:rFonts w:ascii="Arial" w:eastAsia="Calibri" w:hAnsi="Arial" w:cs="Arial"/>
          <w:color w:val="000000" w:themeColor="text1"/>
          <w:lang w:val="en-ZA"/>
        </w:rPr>
        <w:t xml:space="preserve"> of DNA</w:t>
      </w:r>
      <w:r w:rsidR="009119F5" w:rsidRPr="00533EAC">
        <w:rPr>
          <w:rFonts w:ascii="Arial" w:eastAsia="Calibri" w:hAnsi="Arial" w:cs="Arial"/>
          <w:color w:val="000000" w:themeColor="text1"/>
          <w:lang w:val="en-ZA"/>
        </w:rPr>
        <w:t xml:space="preserve"> from each sample</w:t>
      </w:r>
      <w:r w:rsidRPr="00533EAC">
        <w:rPr>
          <w:rFonts w:ascii="Arial" w:eastAsia="Calibri" w:hAnsi="Arial" w:cs="Arial"/>
          <w:color w:val="000000" w:themeColor="text1"/>
          <w:lang w:val="en-ZA"/>
        </w:rPr>
        <w:t xml:space="preserve">, and 454 GS-FLX Titanium pyrosequencing of enriched DNA libraries was performed as described in </w:t>
      </w:r>
      <w:proofErr w:type="spellStart"/>
      <w:r w:rsidRPr="00533EAC">
        <w:rPr>
          <w:rFonts w:ascii="Arial" w:eastAsia="Calibri" w:hAnsi="Arial" w:cs="Arial"/>
          <w:color w:val="000000" w:themeColor="text1"/>
          <w:lang w:val="en-ZA"/>
        </w:rPr>
        <w:t>Malausa</w:t>
      </w:r>
      <w:proofErr w:type="spellEnd"/>
      <w:r w:rsidRPr="00533EAC">
        <w:rPr>
          <w:rFonts w:ascii="Arial" w:eastAsia="Calibri" w:hAnsi="Arial" w:cs="Arial"/>
          <w:color w:val="000000" w:themeColor="text1"/>
          <w:lang w:val="en-ZA"/>
        </w:rPr>
        <w:t xml:space="preserve"> et al</w:t>
      </w:r>
      <w:r w:rsidR="00256C97" w:rsidRPr="00533EAC">
        <w:rPr>
          <w:rFonts w:ascii="Arial" w:eastAsia="Calibri" w:hAnsi="Arial" w:cs="Arial"/>
          <w:color w:val="000000" w:themeColor="text1"/>
          <w:lang w:val="en-ZA"/>
        </w:rPr>
        <w:t xml:space="preserve">. </w:t>
      </w:r>
      <w:r w:rsidR="000C0944" w:rsidRPr="00533EAC">
        <w:rPr>
          <w:rFonts w:ascii="Arial" w:eastAsia="Calibri" w:hAnsi="Arial" w:cs="Arial"/>
          <w:color w:val="000000" w:themeColor="text1"/>
          <w:lang w:val="en-ZA"/>
        </w:rPr>
        <w:t>(2011)</w:t>
      </w:r>
      <w:r w:rsidRPr="00533EAC">
        <w:rPr>
          <w:rFonts w:ascii="Arial" w:eastAsia="Calibri" w:hAnsi="Arial" w:cs="Arial"/>
          <w:color w:val="000000" w:themeColor="text1"/>
          <w:lang w:val="en-ZA"/>
        </w:rPr>
        <w:t xml:space="preserve">. In short, total DNA was mechanically fragmented and enriched with AG, AC, AAC, AAG, AGG, ACG, ACAT and ATCT repeat motifs. Thereafter, enriched fragments were amplified, and PCR products were purified and quantified using the </w:t>
      </w:r>
      <w:proofErr w:type="spellStart"/>
      <w:r w:rsidRPr="00533EAC">
        <w:rPr>
          <w:rFonts w:ascii="Arial" w:eastAsia="Calibri" w:hAnsi="Arial" w:cs="Arial"/>
          <w:color w:val="000000" w:themeColor="text1"/>
          <w:lang w:val="en-ZA"/>
        </w:rPr>
        <w:t>QIAquick</w:t>
      </w:r>
      <w:proofErr w:type="spellEnd"/>
      <w:r w:rsidRPr="00533EAC">
        <w:rPr>
          <w:rFonts w:ascii="Arial" w:eastAsia="Calibri" w:hAnsi="Arial" w:cs="Arial"/>
          <w:color w:val="000000" w:themeColor="text1"/>
          <w:lang w:val="en-ZA"/>
        </w:rPr>
        <w:t xml:space="preserve"> PCR Purification Kit. </w:t>
      </w:r>
    </w:p>
    <w:p w14:paraId="42EF991B" w14:textId="77777777" w:rsidR="001808F6" w:rsidRPr="00533EAC" w:rsidRDefault="001808F6" w:rsidP="00C05A32">
      <w:pPr>
        <w:spacing w:after="0" w:line="360" w:lineRule="auto"/>
        <w:jc w:val="both"/>
        <w:rPr>
          <w:rFonts w:ascii="Arial" w:eastAsia="Calibri" w:hAnsi="Arial" w:cs="Arial"/>
          <w:color w:val="000000" w:themeColor="text1"/>
          <w:lang w:val="en-ZA"/>
        </w:rPr>
      </w:pPr>
    </w:p>
    <w:p w14:paraId="759DFB76" w14:textId="5781035C" w:rsidR="005633D6" w:rsidRPr="00533EAC" w:rsidRDefault="00F76C68"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lastRenderedPageBreak/>
        <w:t xml:space="preserve">Reads containing microsatellites </w:t>
      </w:r>
      <w:r w:rsidR="005633D6" w:rsidRPr="00533EAC">
        <w:rPr>
          <w:rFonts w:ascii="Arial" w:eastAsia="Calibri" w:hAnsi="Arial" w:cs="Arial"/>
          <w:color w:val="000000" w:themeColor="text1"/>
          <w:lang w:val="en-ZA"/>
        </w:rPr>
        <w:t xml:space="preserve">were </w:t>
      </w:r>
      <w:r w:rsidR="001808F6" w:rsidRPr="00533EAC">
        <w:rPr>
          <w:rFonts w:ascii="Arial" w:eastAsia="Calibri" w:hAnsi="Arial" w:cs="Arial"/>
          <w:color w:val="000000" w:themeColor="text1"/>
          <w:lang w:val="en-ZA"/>
        </w:rPr>
        <w:t xml:space="preserve">analysed </w:t>
      </w:r>
      <w:r w:rsidR="005633D6" w:rsidRPr="00533EAC">
        <w:rPr>
          <w:rFonts w:ascii="Arial" w:eastAsia="Calibri" w:hAnsi="Arial" w:cs="Arial"/>
          <w:color w:val="000000" w:themeColor="text1"/>
          <w:lang w:val="en-ZA"/>
        </w:rPr>
        <w:t xml:space="preserve">using the QDD bioinformatics software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{"citationItems":[{"id":"ITEM-1","itemData":{"DOI":"10.1093/bioinformatics/btp670","ISBN":"1367-4811 (Electronic)\\n1367-4803 (Linking)","ISSN":"14602059","PMID":"20007741","abstract":"QDD is an open access program providing a user-friendly tool for microsatellite detection and primer design from large sets of DNA sequences. The program is designed to deal with all steps of treatment of raw sequences obtained from pyrosequencing of enriched DNA libraries, but it is also applicable to data obtained through other sequencing methods, using FASTA files as input. The following tasks are completed by QDD: tag sorting, adapter/vector removal, elimination of redundant sequences, detection of possible genomic multicopies (duplicated loci or transposable elements), stringent selection of target microsatellites and customizable primer design. It can treat up to one million sequences of a few hundred base pairs in the tag-sorting step, and up to 50,000 sequences in a single input file for the steps involving estimation of sequence similarity.","author":[{"dropping-particle":"","family":"Meglécz","given":"Emese","non-dropping-particle":"","parse-names":false,"suffix":""},{"dropping-particle":"","family":"Costedoat","given":"Caroline","non-dropping-particle":"","parse-names":false,"suffix":""},{"dropping-particle":"","family":"Dubut","given":"Vincent","non-dropping-particle":"","parse-names":false,"suffix":""},{"dropping-particle":"","family":"Gilles","given":"André","non-dropping-particle":"","parse-names":false,"suffix":""},{"dropping-particle":"","family":"Malausa","given":"Thibaut","non-dropping-particle":"","parse-names":false,"suffix":""},{"dropping-particle":"","family":"Pech","given":"Nicolas","non-dropping-particle":"","parse-names":false,"suffix":""},{"dropping-particle":"","family":"Martin","given":"Jean François","non-dropping-particle":"","parse-names":false,"suffix":""}],"container-title":"Bioinformatics","id":"ITEM-1","issue":"3","issued":{"date-parts":[["2009"]]},"page":"403-404","title":"QDD: A user-friendly program to select microsatellite markers and design primers from large sequencing projects","type":"article-journal","volume":"26"},"uris":["http://www.mendeley.com/documents/?uuid=4a347b8d-b5ea-341e-aad2-b40547aa6185"]}],"mendeley":{"formattedCitation":"(Meglécz et al. 2009)","plainTextFormattedCitation":"(Meglécz et al. 2009)","previouslyFormattedCitation":"(Meglécz et al. 2009)"},"properties":{"noteIndex":0},"schema":"https://github.com/citation-style-language/schema/raw/master/csl-citation.json"}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(Meglécz et al. 2009)</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QDD performs all bioinformatics processes from raw sequences to acquiring PCR primers: removal of adapters/vectors, identification of microsatellites, redundancy detection/possible association of mobile components, collection of target microsatellite sequences and first design using BLAST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{"citationItems":[{"id":"ITEM-1","itemData":{"DOI":"10.1016/S0022-2836(05)80360-2","ISSN":"00222836","PMID":"2231712","abstract":"A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 © 1990, Academic Press Limited. All rights reserved.","author":[{"dropping-particle":"","family":"Altschul","given":"Stephen F.","non-dropping-particle":"","parse-names":false,"suffix":""},{"dropping-particle":"","family":"Gish","given":"Warren","non-dropping-particle":"","parse-names":false,"suffix":""},{"dropping-particle":"","family":"Miller","given":"Webb","non-dropping-particle":"","parse-names":false,"suffix":""},{"dropping-particle":"","family":"Myers","given":"Eugene W.","non-dropping-particle":"","parse-names":false,"suffix":""},{"dropping-particle":"","family":"Lipman","given":"David J.","non-dropping-particle":"","parse-names":false,"suffix":""}],"container-title":"Journal of Molecular Biology","id":"ITEM-1","issue":"3","issued":{"date-parts":[["1990"]]},"page":"403-410","title":"Basic local alignment search tool","type":"article-journal","volume":"215"},"uris":["http://www.mendeley.com/documents/?uuid=a3f6c18c-aeda-3043-85ed-b3e42754045b"]}],"mendeley":{"formattedCitation":"(Altschul et al. 1990)","plainTextFormattedCitation":"(Altschul et al. 1990)","previouslyFormattedCitation":"(Altschul et al. 1990)"},"properties":{"noteIndex":0},"schema":"https://github.com/citation-style-language/schema/raw/master/csl-citation.json"}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(Altschul et al. 1990)</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proofErr w:type="spellStart"/>
      <w:r w:rsidR="005633D6" w:rsidRPr="00533EAC">
        <w:rPr>
          <w:rFonts w:ascii="Arial" w:eastAsia="Calibri" w:hAnsi="Arial" w:cs="Arial"/>
          <w:color w:val="000000" w:themeColor="text1"/>
          <w:lang w:val="en-ZA"/>
        </w:rPr>
        <w:t>ClustalW</w:t>
      </w:r>
      <w:proofErr w:type="spellEnd"/>
      <w:r w:rsidR="005633D6"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{"citationItems":[{"id":"ITEM-1","itemData":{"DOI":"10.1002/0471250953.bi0203s00","ISSN":"1934-340X","PMID":"18792934","abstract":"The Clustal programs are widely used for carrying out automatic multiple alignment of nucleotide or amino acid sequences. The most familiar version is ClustalW, which uses a simple text menu system that is portable to more or less all computer systems. ClustalX features a graphical user interface and some powerful graphical utilities for aiding the interpretation of alignments and is the preferred version for interactive usage. Users may run Clustal remotely from several sites using the Web or the programs may be downloaded and run locally on PCs, Macintosh, or Unix computers. The protocols in this unit discuss how to use ClustalX and ClustalW to construct an alignment, and create profile alignments by merging existing alignments.","author":[{"dropping-particle":"","family":"Thompson","given":"Julie D.","non-dropping-particle":"","parse-names":false,"suffix":""},{"dropping-particle":"","family":"Gibson","given":"Toby. J.","non-dropping-particle":"","parse-names":false,"suffix":""},{"dropping-particle":"","family":"Higgins","given":"Des G.","non-dropping-particle":"","parse-names":false,"suffix":""}],"container-title":"Current Protocols in Bioinformatics","id":"ITEM-1","issue":"1","issued":{"date-parts":[["2003"]]},"page":"2.3.1-2.3.22","title":"Multiple Sequence Alignment Using ClustalW and ClustalX","type":"article-journal","volume":"00"},"uris":["http://www.mendeley.com/documents/?uuid=0acb278c-a51e-3040-a2ed-8a873ea6b152"]}],"mendeley":{"formattedCitation":"(Thompson et al. 2003)","plainTextFormattedCitation":"(Thompson et al. 2003)","previouslyFormattedCitation":"(Thompson et al. 2003)"},"properties":{"noteIndex":0},"schema":"https://github.com/citation-style-language/schema/raw/master/csl-citation.json"}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(Thompson et al. 2003)</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and Primer3 </w:t>
      </w:r>
      <w:r w:rsidR="005633D6" w:rsidRPr="00533EAC">
        <w:rPr>
          <w:rFonts w:ascii="Arial" w:eastAsia="Calibri" w:hAnsi="Arial" w:cs="Arial"/>
          <w:color w:val="000000" w:themeColor="text1"/>
          <w:lang w:val="en-ZA"/>
        </w:rPr>
        <w:fldChar w:fldCharType="begin" w:fldLock="1"/>
      </w:r>
      <w:r w:rsidR="00450022" w:rsidRPr="00533EAC">
        <w:rPr>
          <w:rFonts w:ascii="Arial" w:eastAsia="Calibri" w:hAnsi="Arial" w:cs="Arial"/>
          <w:color w:val="000000" w:themeColor="text1"/>
          <w:lang w:val="en-ZA"/>
        </w:rPr>
        <w:instrText>ADDIN CSL_CITATION {"citationItems":[{"id":"ITEM-1","itemData":{"DOI":"10.1002/9780471650126.dob0560.pub2","abstract":"Primer3 is a widely used program for designing PCR primers (PCR = \"Polymerase Chain Reaction\"). PCR is an essential and ubiquitous tool in genetics and molecular biology. Primer3 can also design hybridization probes and sequencing primers. PCR is used for many different goals. Consequently, primer3 has many different input parameters that you control and that tell primer3 exactly what characteristics make good primers for your goals. Primer3 - the C code, the web interface, and the documentation - are an open source, community-development project hosted by SourceForge.","author":[{"dropping-particle":"","family":"Hancock","given":"John M.","non-dropping-particle":"","parse-names":false,"suffix":""},{"dropping-particle":"","family":"Zvelebil","given":"Marketa J.","non-dropping-particle":"","parse-names":false,"suffix":""},{"dropping-particle":"","family":"Hancock","given":"John M.","non-dropping-particle":"","parse-names":false,"suffix":""}],"container-title":"Dictionary of Bioinformatics and Computational Biology","id":"ITEM-1","issued":{"date-parts":[["2004"]]},"title":"PRIMER3","type":"chapter"},"uris":["http://www.mendeley.com/documents/?uuid=cacfdfe7-bb81-3bfc-8540-928ece38243e"]}],"mendeley":{"formattedCitation":"(Hancock et al. 2004)","plainTextFormattedCitation":"(Hancock et al. 2004)","previouslyFormattedCitation":"(Hancock et al. 2004)"},"properties":{"noteIndex":0},"schema":"https://github.com/citation-style-language/schema/raw/master/csl-citation.json"}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2E2E55" w:rsidRPr="00533EAC">
        <w:rPr>
          <w:rFonts w:ascii="Arial" w:eastAsia="Calibri" w:hAnsi="Arial" w:cs="Arial"/>
          <w:noProof/>
          <w:color w:val="000000" w:themeColor="text1"/>
          <w:lang w:val="en-ZA"/>
        </w:rPr>
        <w:t>(Hancock et al. 2004)</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p>
    <w:p w14:paraId="36E20BCB" w14:textId="77777777" w:rsidR="001808F6" w:rsidRPr="00533EAC" w:rsidRDefault="001808F6" w:rsidP="00C05A32">
      <w:pPr>
        <w:spacing w:after="0" w:line="360" w:lineRule="auto"/>
        <w:jc w:val="both"/>
        <w:rPr>
          <w:rFonts w:ascii="Arial" w:eastAsia="Calibri" w:hAnsi="Arial" w:cs="Arial"/>
          <w:color w:val="000000" w:themeColor="text1"/>
          <w:lang w:val="en-ZA"/>
        </w:rPr>
      </w:pPr>
    </w:p>
    <w:p w14:paraId="48C4CF15" w14:textId="347AC531" w:rsidR="005633D6" w:rsidRPr="00533EAC" w:rsidRDefault="00BD498A" w:rsidP="00C05A32">
      <w:pPr>
        <w:spacing w:after="0" w:line="360" w:lineRule="auto"/>
        <w:jc w:val="both"/>
        <w:rPr>
          <w:rFonts w:ascii="Arial" w:eastAsia="Calibri" w:hAnsi="Arial" w:cs="Arial"/>
          <w:b/>
          <w:bCs/>
          <w:color w:val="000000" w:themeColor="text1"/>
          <w:lang w:val="en-ZA"/>
        </w:rPr>
      </w:pPr>
      <w:r w:rsidRPr="00533EAC">
        <w:rPr>
          <w:rFonts w:ascii="Arial" w:eastAsia="Calibri" w:hAnsi="Arial" w:cs="Arial"/>
          <w:color w:val="000000" w:themeColor="text1"/>
          <w:lang w:val="en-ZA"/>
        </w:rPr>
        <w:t>We detected a</w:t>
      </w:r>
      <w:r w:rsidR="005633D6" w:rsidRPr="00533EAC">
        <w:rPr>
          <w:rFonts w:ascii="Arial" w:eastAsia="Calibri" w:hAnsi="Arial" w:cs="Arial"/>
          <w:color w:val="000000" w:themeColor="text1"/>
          <w:lang w:val="en-ZA"/>
        </w:rPr>
        <w:t xml:space="preserve"> group of </w:t>
      </w:r>
      <w:r w:rsidR="00292870" w:rsidRPr="00533EAC">
        <w:rPr>
          <w:rFonts w:ascii="Arial" w:eastAsia="Calibri" w:hAnsi="Arial" w:cs="Arial"/>
          <w:color w:val="000000" w:themeColor="text1"/>
          <w:lang w:val="en-ZA"/>
        </w:rPr>
        <w:t>32</w:t>
      </w:r>
      <w:r w:rsidR="005633D6" w:rsidRPr="00533EAC">
        <w:rPr>
          <w:rFonts w:ascii="Arial" w:eastAsia="Calibri" w:hAnsi="Arial" w:cs="Arial"/>
          <w:color w:val="000000" w:themeColor="text1"/>
          <w:lang w:val="en-ZA"/>
        </w:rPr>
        <w:t xml:space="preserve"> microsatellites, which had a minimum number of seven repeats. </w:t>
      </w:r>
      <w:r w:rsidRPr="00533EAC">
        <w:rPr>
          <w:rFonts w:ascii="Arial" w:eastAsia="Calibri" w:hAnsi="Arial" w:cs="Arial"/>
          <w:color w:val="000000" w:themeColor="text1"/>
          <w:lang w:val="en-ZA"/>
        </w:rPr>
        <w:t xml:space="preserve">We then tested the </w:t>
      </w:r>
      <w:r w:rsidR="005633D6" w:rsidRPr="00533EAC">
        <w:rPr>
          <w:rFonts w:ascii="Arial" w:eastAsia="Calibri" w:hAnsi="Arial" w:cs="Arial"/>
          <w:color w:val="000000" w:themeColor="text1"/>
          <w:lang w:val="en-ZA"/>
        </w:rPr>
        <w:t>microsatellite primers</w:t>
      </w:r>
      <w:r w:rsidR="00EC585B" w:rsidRPr="00533EAC">
        <w:rPr>
          <w:rFonts w:ascii="Arial" w:eastAsia="Calibri" w:hAnsi="Arial" w:cs="Arial"/>
          <w:color w:val="000000" w:themeColor="text1"/>
          <w:lang w:val="en-ZA"/>
        </w:rPr>
        <w:t xml:space="preserve"> using </w:t>
      </w:r>
      <w:r w:rsidR="00B34525" w:rsidRPr="00533EAC">
        <w:rPr>
          <w:rFonts w:ascii="Arial" w:eastAsia="Calibri" w:hAnsi="Arial" w:cs="Arial"/>
          <w:color w:val="000000" w:themeColor="text1"/>
          <w:lang w:val="en-ZA"/>
        </w:rPr>
        <w:t>a</w:t>
      </w:r>
      <w:r w:rsidR="00EC585B" w:rsidRPr="00533EAC">
        <w:rPr>
          <w:rFonts w:ascii="Arial" w:eastAsia="Calibri" w:hAnsi="Arial" w:cs="Arial"/>
          <w:color w:val="000000" w:themeColor="text1"/>
          <w:lang w:val="en-ZA"/>
        </w:rPr>
        <w:t xml:space="preserve"> three-primer amplification protocol </w:t>
      </w:r>
      <w:r w:rsidR="00EC585B" w:rsidRPr="00533EAC">
        <w:rPr>
          <w:rFonts w:ascii="Arial" w:eastAsia="Calibri" w:hAnsi="Arial" w:cs="Arial"/>
          <w:color w:val="000000" w:themeColor="text1"/>
          <w:lang w:val="en-ZA"/>
        </w:rPr>
        <w:fldChar w:fldCharType="begin" w:fldLock="1"/>
      </w:r>
      <w:r w:rsidR="00EC585B" w:rsidRPr="00533EAC">
        <w:rPr>
          <w:rFonts w:ascii="Arial" w:eastAsia="Calibri" w:hAnsi="Arial" w:cs="Arial"/>
          <w:color w:val="000000" w:themeColor="text1"/>
          <w:lang w:val="en-ZA"/>
        </w:rPr>
        <w:instrText>ADDIN CSL_CITATION {"citationItems":[{"id":"ITEM-1","itemData":{"abstract":"Genotyping with microsatellite markers was first described by Litt and Luty, and is now a widely used method in molecular biology1. It has a firm place in forensic, diagnostic, and scientific applications where haplotyping is employed in linkage analyses.In this article I describe a reliable single-reac- tion nested PCR method by which genotyp ing projects can be performed at a fraction of the cost previously mentioned.","author":[{"dropping-particle":"","family":"Schuelke","given":"Markus","non-dropping-particle":"","parse-names":false,"suffix":""}],"container-title":"Nature Biotechnology","id":"ITEM-1","issue":"18","issued":{"date-parts":[["2000"]]},"page":"233-234","title":"An economic method for the fluorescent labeling of PCR fragments - A poor man’ s approach to genotyping for research and high-throughput diagnostics","type":"article-journal","volume":"18"},"uris":["http://www.mendeley.com/documents/?uuid=a425282e-f22d-3eb2-95c3-01de8e568adb","http://www.mendeley.com/documents/?uuid=62266243-dd72-4c99-aeb6-6498f8a4c37c"]}],"mendeley":{"formattedCitation":"(Schuelke 2000)","plainTextFormattedCitation":"(Schuelke 2000)","previouslyFormattedCitation":"(Schuelke 2000)"},"properties":{"noteIndex":0},"schema":"https://github.com/citation-style-language/schema/raw/master/csl-citation.json"}</w:instrText>
      </w:r>
      <w:r w:rsidR="00EC585B" w:rsidRPr="00533EAC">
        <w:rPr>
          <w:rFonts w:ascii="Arial" w:eastAsia="Calibri" w:hAnsi="Arial" w:cs="Arial"/>
          <w:color w:val="000000" w:themeColor="text1"/>
          <w:lang w:val="en-ZA"/>
        </w:rPr>
        <w:fldChar w:fldCharType="separate"/>
      </w:r>
      <w:r w:rsidR="00EC585B" w:rsidRPr="00533EAC">
        <w:rPr>
          <w:rFonts w:ascii="Arial" w:eastAsia="Calibri" w:hAnsi="Arial" w:cs="Arial"/>
          <w:noProof/>
          <w:color w:val="000000" w:themeColor="text1"/>
          <w:lang w:val="en-ZA"/>
        </w:rPr>
        <w:t>(Schuelke 2000)</w:t>
      </w:r>
      <w:r w:rsidR="00EC585B" w:rsidRPr="00533EAC">
        <w:rPr>
          <w:rFonts w:ascii="Arial" w:eastAsia="Calibri" w:hAnsi="Arial" w:cs="Arial"/>
          <w:color w:val="000000" w:themeColor="text1"/>
          <w:lang w:val="en-ZA"/>
        </w:rPr>
        <w:fldChar w:fldCharType="end"/>
      </w:r>
      <w:r w:rsidR="00EC585B" w:rsidRPr="00533EAC">
        <w:rPr>
          <w:rFonts w:ascii="Arial" w:eastAsia="Calibri" w:hAnsi="Arial" w:cs="Arial"/>
          <w:color w:val="000000" w:themeColor="text1"/>
          <w:lang w:val="en-ZA"/>
        </w:rPr>
        <w:t xml:space="preserve">, where the forward primer is </w:t>
      </w:r>
      <w:r w:rsidR="005633D6" w:rsidRPr="00533EAC">
        <w:rPr>
          <w:rFonts w:ascii="Arial" w:eastAsia="Calibri" w:hAnsi="Arial" w:cs="Arial"/>
          <w:color w:val="000000" w:themeColor="text1"/>
          <w:lang w:val="en-ZA"/>
        </w:rPr>
        <w:t>modified by adding an M13 sequence (TGTAAAACGACGGCCAGT)</w:t>
      </w:r>
      <w:r w:rsidR="00EC585B" w:rsidRPr="00533EAC">
        <w:rPr>
          <w:rFonts w:ascii="Arial" w:eastAsia="Calibri" w:hAnsi="Arial" w:cs="Arial"/>
          <w:color w:val="000000" w:themeColor="text1"/>
          <w:lang w:val="en-ZA"/>
        </w:rPr>
        <w:t xml:space="preserve"> and its role is taken over by a fluorescently labelled M13 primer once it is used up. In addition, </w:t>
      </w:r>
      <w:r w:rsidR="005633D6" w:rsidRPr="00533EAC">
        <w:rPr>
          <w:rFonts w:ascii="Arial" w:eastAsia="Calibri" w:hAnsi="Arial" w:cs="Arial"/>
          <w:color w:val="000000" w:themeColor="text1"/>
          <w:lang w:val="en-ZA"/>
        </w:rPr>
        <w:t xml:space="preserve">a GTTT PIG-tail </w:t>
      </w:r>
      <w:r w:rsidR="005633D6"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{"citationItems":[{"id":"ITEM-1","itemData":{"ISSN":"07366205","abstract":"Taq DNA polymerase can catalyze non-templated addition of a nucleotide (principally adenosine) to the 3' end of PCR-amplified products. Recently, we showed that this activity, which is primer-specific, presents a potential source of error in genotyping studies based on the use of short tandem repeat (STR) markers. Furthermore, in reviewing our data, we found that non-templated nucleotide addition adjacent to a 3' terminal C is favored and that addition adjacent to a 3' terminal A is not. It was clear, however, that features of the template in addition to the 3' terminal base also affect the fraction of product adenylated. To define consensus sequences that promote or inhibit product adenylation, we transplanted sequences between the 5' ends of the reverse primers of markers that are adenylated and those of markers that are not adenylated. It proved difficult to identify a single sequence capable of protecting the products of all markers from non-templated addition of nucleotide. On the other hand, placing the sequence GTTTCTT on the 5' end of reverse primers resulted in nearly 100% adenylation of the 3' end of the forward strand. This modification or related ones (called \"PIG-tailing\") should facilitate accurate genotyping and efficient T/A cloning.","author":[{"dropping-particle":"","family":"Brownstein","given":"Michael J.","non-dropping-particle":"","parse-names":false,"suffix":""},{"dropping-particle":"","family":"Carpten","given":"John D.","non-dropping-particle":"","parse-names":false,"suffix":""},{"dropping-particle":"","family":"Smith","given":"Jeffrey R.","non-dropping-particle":"","parse-names":false,"suffix":""}],"container-title":"BioTechniques","id":"ITEM-1","issue":"6","issued":{"date-parts":[["1996"]]},"page":"1004-1010","title":"Modulation of non-templated nucleotide addition by Taq DNA polymerase: Primer modifications that facilitate genotyping","type":"article-journal","volume":"20"},"uris":["http://www.mendeley.com/documents/?uuid=174c8961-e3a6-33b0-b0bc-dae22a0a19a4","http://www.mendeley.com/documents/?uuid=d1991b59-54fe-4cf7-8cb8-064f3fa6e988"]}],"mendeley":{"formattedCitation":"(Brownstein et al. 1996)","plainTextFormattedCitation":"(Brownstein et al. 1996)","previouslyFormattedCitation":"(Brownstein et al. 1996)"},"properties":{"noteIndex":0},"schema":"https://github.com/citation-style-language/schema/raw/master/csl-citation.json"}</w:instrText>
      </w:r>
      <w:r w:rsidR="005633D6"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(Brownstein et al. 1996)</w:t>
      </w:r>
      <w:r w:rsidR="005633D6" w:rsidRPr="00533EAC">
        <w:rPr>
          <w:rFonts w:ascii="Arial" w:eastAsia="Calibri" w:hAnsi="Arial" w:cs="Arial"/>
          <w:color w:val="000000" w:themeColor="text1"/>
          <w:lang w:val="en-ZA"/>
        </w:rPr>
        <w:fldChar w:fldCharType="end"/>
      </w:r>
      <w:r w:rsidR="005633D6" w:rsidRPr="00533EAC">
        <w:rPr>
          <w:rFonts w:ascii="Arial" w:eastAsia="Calibri" w:hAnsi="Arial" w:cs="Arial"/>
          <w:color w:val="000000" w:themeColor="text1"/>
          <w:lang w:val="en-ZA"/>
        </w:rPr>
        <w:t xml:space="preserve"> </w:t>
      </w:r>
      <w:r w:rsidR="00EC585B" w:rsidRPr="00533EAC">
        <w:rPr>
          <w:rFonts w:ascii="Arial" w:eastAsia="Calibri" w:hAnsi="Arial" w:cs="Arial"/>
          <w:color w:val="000000" w:themeColor="text1"/>
          <w:lang w:val="en-ZA"/>
        </w:rPr>
        <w:t xml:space="preserve">was added </w:t>
      </w:r>
      <w:r w:rsidR="005633D6" w:rsidRPr="00533EAC">
        <w:rPr>
          <w:rFonts w:ascii="Arial" w:eastAsia="Calibri" w:hAnsi="Arial" w:cs="Arial"/>
          <w:color w:val="000000" w:themeColor="text1"/>
          <w:lang w:val="en-ZA"/>
        </w:rPr>
        <w:t>to the reverse primer.</w:t>
      </w:r>
      <w:r w:rsidR="005633D6" w:rsidRPr="00533EAC">
        <w:rPr>
          <w:rFonts w:ascii="Arial" w:eastAsia="Calibri" w:hAnsi="Arial" w:cs="Arial"/>
          <w:b/>
          <w:color w:val="000000" w:themeColor="text1"/>
          <w:lang w:val="en-ZA"/>
        </w:rPr>
        <w:t xml:space="preserve"> </w:t>
      </w:r>
      <w:r w:rsidR="005633D6" w:rsidRPr="00533EAC">
        <w:rPr>
          <w:rFonts w:ascii="Arial" w:eastAsia="Calibri" w:hAnsi="Arial" w:cs="Arial"/>
          <w:color w:val="000000" w:themeColor="text1"/>
          <w:lang w:val="en-ZA"/>
        </w:rPr>
        <w:t>Each 10 µl of PCR reaction contained 0.1 µM of deoxyribonucleotide triphosphates (dNTPs), 1 µM of 10</w:t>
      </w:r>
      <w:r w:rsidR="00D13A59"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x</w:t>
      </w:r>
      <w:r w:rsidR="00D13A59"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 xml:space="preserve">PCR </w:t>
      </w:r>
      <w:r w:rsidR="001808F6" w:rsidRPr="00533EAC">
        <w:rPr>
          <w:rFonts w:ascii="Arial" w:eastAsia="Calibri" w:hAnsi="Arial" w:cs="Arial"/>
          <w:color w:val="000000" w:themeColor="text1"/>
          <w:lang w:val="en-ZA"/>
        </w:rPr>
        <w:t xml:space="preserve">buffer </w:t>
      </w:r>
      <w:r w:rsidR="005633D6" w:rsidRPr="00533EAC">
        <w:rPr>
          <w:rFonts w:ascii="Arial" w:eastAsia="Calibri" w:hAnsi="Arial" w:cs="Arial"/>
          <w:color w:val="000000" w:themeColor="text1"/>
          <w:lang w:val="en-ZA"/>
        </w:rPr>
        <w:t>solution (NH</w:t>
      </w:r>
      <w:r w:rsidR="005633D6" w:rsidRPr="00533EAC">
        <w:rPr>
          <w:rFonts w:ascii="Arial" w:eastAsia="Calibri" w:hAnsi="Arial" w:cs="Arial"/>
          <w:color w:val="000000" w:themeColor="text1"/>
          <w:vertAlign w:val="subscript"/>
          <w:lang w:val="en-ZA"/>
        </w:rPr>
        <w:t>4</w:t>
      </w:r>
      <w:r w:rsidR="005633D6" w:rsidRPr="00533EAC">
        <w:rPr>
          <w:rFonts w:ascii="Arial" w:eastAsia="Calibri" w:hAnsi="Arial" w:cs="Arial"/>
          <w:color w:val="000000" w:themeColor="text1"/>
          <w:lang w:val="en-ZA"/>
        </w:rPr>
        <w:t>), 1.9 mM of MgCl</w:t>
      </w:r>
      <w:r w:rsidR="005633D6" w:rsidRPr="00533EAC">
        <w:rPr>
          <w:rFonts w:ascii="Arial" w:eastAsia="Calibri" w:hAnsi="Arial" w:cs="Arial"/>
          <w:color w:val="000000" w:themeColor="text1"/>
          <w:vertAlign w:val="subscript"/>
          <w:lang w:val="en-ZA"/>
        </w:rPr>
        <w:t>2</w:t>
      </w:r>
      <w:r w:rsidR="007C50E1" w:rsidRPr="00533EAC">
        <w:rPr>
          <w:rFonts w:ascii="Arial" w:eastAsia="Calibri" w:hAnsi="Arial" w:cs="Arial"/>
          <w:color w:val="000000" w:themeColor="text1"/>
          <w:lang w:val="en-ZA"/>
        </w:rPr>
        <w:t>,</w:t>
      </w:r>
      <w:r w:rsidR="005633D6" w:rsidRPr="00533EAC">
        <w:rPr>
          <w:rFonts w:ascii="Arial" w:eastAsia="Calibri" w:hAnsi="Arial" w:cs="Arial"/>
          <w:color w:val="000000" w:themeColor="text1"/>
          <w:lang w:val="en-ZA"/>
        </w:rPr>
        <w:t xml:space="preserve"> 0.24 mg</w:t>
      </w:r>
      <w:r w:rsidR="001808F6"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ml</w:t>
      </w:r>
      <w:r w:rsidR="007C50E1" w:rsidRPr="00533EAC">
        <w:rPr>
          <w:rFonts w:ascii="Arial" w:eastAsia="Calibri" w:hAnsi="Arial" w:cs="Arial"/>
          <w:color w:val="000000" w:themeColor="text1"/>
          <w:vertAlign w:val="superscript"/>
          <w:lang w:val="en-ZA"/>
        </w:rPr>
        <w:sym w:font="Symbol" w:char="F02D"/>
      </w:r>
      <w:r w:rsidR="001808F6" w:rsidRPr="00533EAC">
        <w:rPr>
          <w:rFonts w:ascii="Arial" w:eastAsia="Calibri" w:hAnsi="Arial" w:cs="Arial"/>
          <w:color w:val="000000" w:themeColor="text1"/>
          <w:vertAlign w:val="superscript"/>
          <w:lang w:val="en-ZA"/>
        </w:rPr>
        <w:t>1</w:t>
      </w:r>
      <w:r w:rsidR="005633D6" w:rsidRPr="00533EAC">
        <w:rPr>
          <w:rFonts w:ascii="Arial" w:eastAsia="Calibri" w:hAnsi="Arial" w:cs="Arial"/>
          <w:color w:val="000000" w:themeColor="text1"/>
          <w:lang w:val="en-ZA"/>
        </w:rPr>
        <w:t xml:space="preserve"> of bovine serum albumin (BSA), 0.1</w:t>
      </w:r>
      <w:r w:rsidR="00D13A59" w:rsidRPr="00533EAC">
        <w:rPr>
          <w:rFonts w:ascii="Arial" w:eastAsia="Calibri" w:hAnsi="Arial" w:cs="Arial"/>
          <w:color w:val="000000" w:themeColor="text1"/>
          <w:lang w:val="en-ZA"/>
        </w:rPr>
        <w:t>3</w:t>
      </w:r>
      <w:r w:rsidR="005633D6" w:rsidRPr="00533EAC">
        <w:rPr>
          <w:rFonts w:ascii="Arial" w:eastAsia="Calibri" w:hAnsi="Arial" w:cs="Arial"/>
          <w:color w:val="000000" w:themeColor="text1"/>
          <w:lang w:val="en-ZA"/>
        </w:rPr>
        <w:t xml:space="preserve"> µM of forward primer, 0.2 µM of reverse primer, 0.06 µM of fluorescently labell</w:t>
      </w:r>
      <w:r w:rsidR="00C96673" w:rsidRPr="00533EAC">
        <w:rPr>
          <w:rFonts w:ascii="Arial" w:eastAsia="Calibri" w:hAnsi="Arial" w:cs="Arial"/>
          <w:color w:val="000000" w:themeColor="text1"/>
          <w:lang w:val="en-ZA"/>
        </w:rPr>
        <w:t xml:space="preserve">ed (NED/VIC/FAM/PET) M13 primer, </w:t>
      </w:r>
      <w:r w:rsidR="003D6F0A" w:rsidRPr="00533EAC">
        <w:rPr>
          <w:rFonts w:ascii="Arial" w:eastAsia="Calibri" w:hAnsi="Arial" w:cs="Arial"/>
          <w:color w:val="000000" w:themeColor="text1"/>
          <w:lang w:val="en-ZA"/>
        </w:rPr>
        <w:t xml:space="preserve">0.04 </w:t>
      </w:r>
      <w:r w:rsidR="00B34525" w:rsidRPr="00533EAC">
        <w:rPr>
          <w:rFonts w:ascii="Arial" w:eastAsia="Calibri" w:hAnsi="Arial" w:cs="Arial"/>
          <w:color w:val="000000" w:themeColor="text1"/>
          <w:lang w:val="en-ZA"/>
        </w:rPr>
        <w:t>U</w:t>
      </w:r>
      <w:r w:rsidR="003D6F0A" w:rsidRPr="00533EAC">
        <w:rPr>
          <w:rFonts w:ascii="Arial" w:eastAsia="Calibri" w:hAnsi="Arial" w:cs="Arial"/>
          <w:color w:val="000000" w:themeColor="text1"/>
          <w:lang w:val="en-ZA"/>
        </w:rPr>
        <w:t xml:space="preserve"> of </w:t>
      </w:r>
      <w:r w:rsidR="007B0D25" w:rsidRPr="00533EAC">
        <w:rPr>
          <w:rFonts w:ascii="Arial" w:eastAsia="Calibri" w:hAnsi="Arial" w:cs="Arial"/>
          <w:color w:val="000000" w:themeColor="text1"/>
          <w:lang w:val="en-ZA"/>
        </w:rPr>
        <w:t xml:space="preserve">Super </w:t>
      </w:r>
      <w:proofErr w:type="spellStart"/>
      <w:r w:rsidR="007B0D25" w:rsidRPr="00533EAC">
        <w:rPr>
          <w:rFonts w:ascii="Arial" w:eastAsia="Calibri" w:hAnsi="Arial" w:cs="Arial"/>
          <w:color w:val="000000" w:themeColor="text1"/>
          <w:lang w:val="en-ZA"/>
        </w:rPr>
        <w:t>Therm</w:t>
      </w:r>
      <w:proofErr w:type="spellEnd"/>
      <w:r w:rsidR="007B0D25" w:rsidRPr="00533EAC">
        <w:rPr>
          <w:rFonts w:ascii="Arial" w:eastAsia="Calibri" w:hAnsi="Arial" w:cs="Arial"/>
          <w:color w:val="000000" w:themeColor="text1"/>
          <w:lang w:val="en-ZA"/>
        </w:rPr>
        <w:t xml:space="preserve"> </w:t>
      </w:r>
      <w:proofErr w:type="spellStart"/>
      <w:r w:rsidR="007B0D25" w:rsidRPr="00533EAC">
        <w:rPr>
          <w:rFonts w:ascii="Arial" w:eastAsia="Calibri" w:hAnsi="Arial" w:cs="Arial"/>
          <w:color w:val="000000" w:themeColor="text1"/>
          <w:lang w:val="en-ZA"/>
        </w:rPr>
        <w:t>Taq</w:t>
      </w:r>
      <w:proofErr w:type="spellEnd"/>
      <w:r w:rsidR="007B0D25" w:rsidRPr="00533EAC">
        <w:rPr>
          <w:rFonts w:ascii="Arial" w:eastAsia="Calibri" w:hAnsi="Arial" w:cs="Arial"/>
          <w:color w:val="000000" w:themeColor="text1"/>
          <w:lang w:val="en-ZA"/>
        </w:rPr>
        <w:t xml:space="preserve"> polymerase (Separation Scientific</w:t>
      </w:r>
      <w:r w:rsidR="00582B3A" w:rsidRPr="00533EAC">
        <w:rPr>
          <w:rFonts w:ascii="Arial" w:eastAsia="Calibri" w:hAnsi="Arial" w:cs="Arial"/>
          <w:color w:val="000000" w:themeColor="text1"/>
          <w:lang w:val="en-ZA"/>
        </w:rPr>
        <w:t>, South Africa</w:t>
      </w:r>
      <w:r w:rsidR="007B0D25" w:rsidRPr="00533EAC">
        <w:rPr>
          <w:rFonts w:ascii="Arial" w:eastAsia="Calibri" w:hAnsi="Arial" w:cs="Arial"/>
          <w:color w:val="000000" w:themeColor="text1"/>
          <w:lang w:val="en-ZA"/>
        </w:rPr>
        <w:t>)</w:t>
      </w:r>
      <w:r w:rsidR="003D6F0A"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and 5 ng</w:t>
      </w:r>
      <w:r w:rsidR="001808F6" w:rsidRPr="00533EAC">
        <w:rPr>
          <w:rFonts w:ascii="Arial" w:eastAsia="Calibri" w:hAnsi="Arial" w:cs="Arial"/>
          <w:color w:val="000000" w:themeColor="text1"/>
          <w:lang w:val="en-ZA"/>
        </w:rPr>
        <w:t xml:space="preserve"> </w:t>
      </w:r>
      <w:r w:rsidR="005633D6" w:rsidRPr="00533EAC">
        <w:rPr>
          <w:rFonts w:ascii="Arial" w:eastAsia="Calibri" w:hAnsi="Arial" w:cs="Arial"/>
          <w:color w:val="000000" w:themeColor="text1"/>
          <w:lang w:val="en-ZA"/>
        </w:rPr>
        <w:t>µl</w:t>
      </w:r>
      <w:r w:rsidR="007C50E1" w:rsidRPr="00533EAC">
        <w:rPr>
          <w:rFonts w:ascii="Arial" w:eastAsia="Calibri" w:hAnsi="Arial" w:cs="Arial"/>
          <w:color w:val="000000" w:themeColor="text1"/>
          <w:vertAlign w:val="superscript"/>
          <w:lang w:val="en-ZA"/>
        </w:rPr>
        <w:sym w:font="Symbol" w:char="F02D"/>
      </w:r>
      <w:r w:rsidR="001808F6" w:rsidRPr="00533EAC">
        <w:rPr>
          <w:rFonts w:ascii="Arial" w:eastAsia="Calibri" w:hAnsi="Arial" w:cs="Arial"/>
          <w:color w:val="000000" w:themeColor="text1"/>
          <w:vertAlign w:val="superscript"/>
          <w:lang w:val="en-ZA"/>
        </w:rPr>
        <w:t>1</w:t>
      </w:r>
      <w:r w:rsidR="005633D6" w:rsidRPr="00533EAC">
        <w:rPr>
          <w:rFonts w:ascii="Arial" w:eastAsia="Calibri" w:hAnsi="Arial" w:cs="Arial"/>
          <w:color w:val="000000" w:themeColor="text1"/>
          <w:lang w:val="en-ZA"/>
        </w:rPr>
        <w:t xml:space="preserve"> of template DNA. The PCR profile consisted of initial denaturation (94 °C for 3 min), 35 </w:t>
      </w:r>
      <w:r w:rsidR="00582B3A" w:rsidRPr="00533EAC">
        <w:rPr>
          <w:rFonts w:ascii="Arial" w:eastAsia="Calibri" w:hAnsi="Arial" w:cs="Arial"/>
          <w:color w:val="000000" w:themeColor="text1"/>
          <w:lang w:val="en-ZA"/>
        </w:rPr>
        <w:t xml:space="preserve">cycles of </w:t>
      </w:r>
      <w:r w:rsidR="005633D6" w:rsidRPr="00533EAC">
        <w:rPr>
          <w:rFonts w:ascii="Arial" w:eastAsia="Calibri" w:hAnsi="Arial" w:cs="Arial"/>
          <w:color w:val="000000" w:themeColor="text1"/>
          <w:lang w:val="en-ZA"/>
        </w:rPr>
        <w:t xml:space="preserve">denaturing (94 °C for 45 sec), annealing (1 min at a primer-specific annealing temperature, </w:t>
      </w:r>
      <w:r w:rsidR="005633D6" w:rsidRPr="00533EAC">
        <w:rPr>
          <w:rFonts w:ascii="Arial" w:eastAsia="Calibri" w:hAnsi="Arial" w:cs="Arial"/>
          <w:i/>
          <w:color w:val="000000" w:themeColor="text1"/>
          <w:lang w:val="en-ZA"/>
        </w:rPr>
        <w:t>T</w:t>
      </w:r>
      <w:r w:rsidR="005633D6" w:rsidRPr="00533EAC">
        <w:rPr>
          <w:rFonts w:ascii="Arial" w:eastAsia="Calibri" w:hAnsi="Arial" w:cs="Arial"/>
          <w:i/>
          <w:color w:val="000000" w:themeColor="text1"/>
          <w:vertAlign w:val="subscript"/>
          <w:lang w:val="en-ZA"/>
        </w:rPr>
        <w:t>a</w:t>
      </w:r>
      <w:r w:rsidR="005633D6" w:rsidRPr="00533EAC">
        <w:rPr>
          <w:rFonts w:ascii="Arial" w:eastAsia="Calibri" w:hAnsi="Arial" w:cs="Arial"/>
          <w:color w:val="000000" w:themeColor="text1"/>
          <w:lang w:val="en-ZA"/>
        </w:rPr>
        <w:t xml:space="preserve">; Table 2) and extension (72 °C for 45 sec), </w:t>
      </w:r>
      <w:r w:rsidR="00582B3A" w:rsidRPr="00533EAC">
        <w:rPr>
          <w:rFonts w:ascii="Arial" w:eastAsia="Calibri" w:hAnsi="Arial" w:cs="Arial"/>
          <w:color w:val="000000" w:themeColor="text1"/>
          <w:lang w:val="en-ZA"/>
        </w:rPr>
        <w:t xml:space="preserve">followed by </w:t>
      </w:r>
      <w:r w:rsidR="005633D6" w:rsidRPr="00533EAC">
        <w:rPr>
          <w:rFonts w:ascii="Arial" w:eastAsia="Calibri" w:hAnsi="Arial" w:cs="Arial"/>
          <w:color w:val="000000" w:themeColor="text1"/>
          <w:lang w:val="en-ZA"/>
        </w:rPr>
        <w:t>a final extension step (72 °C for 10 min). PCR products were genotyped by the Central Analytical Facility (CAF) at Stellenbosch University, South Africa.</w:t>
      </w:r>
    </w:p>
    <w:p w14:paraId="71E94231" w14:textId="77777777" w:rsidR="001808F6" w:rsidRPr="00533EAC" w:rsidRDefault="001808F6" w:rsidP="00C05A32">
      <w:pPr>
        <w:spacing w:after="0" w:line="360" w:lineRule="auto"/>
        <w:jc w:val="both"/>
        <w:rPr>
          <w:rFonts w:ascii="Arial" w:eastAsia="Calibri" w:hAnsi="Arial" w:cs="Arial"/>
          <w:color w:val="000000" w:themeColor="text1"/>
          <w:lang w:val="en-ZA"/>
        </w:rPr>
      </w:pPr>
    </w:p>
    <w:p w14:paraId="32C858BF" w14:textId="3AA8101E" w:rsidR="0091696A"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Two</w:t>
      </w:r>
      <w:r w:rsidR="001808F6"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hundred</w:t>
      </w:r>
      <w:r w:rsidR="001808F6" w:rsidRPr="00533EAC">
        <w:rPr>
          <w:rFonts w:ascii="Arial" w:eastAsia="Calibri" w:hAnsi="Arial" w:cs="Arial"/>
          <w:color w:val="000000" w:themeColor="text1"/>
          <w:lang w:val="en-ZA"/>
        </w:rPr>
        <w:t xml:space="preserve"> and </w:t>
      </w:r>
      <w:r w:rsidRPr="00533EAC">
        <w:rPr>
          <w:rFonts w:ascii="Arial" w:eastAsia="Calibri" w:hAnsi="Arial" w:cs="Arial"/>
          <w:color w:val="000000" w:themeColor="text1"/>
          <w:lang w:val="en-ZA"/>
        </w:rPr>
        <w:t xml:space="preserve">sixty individual samples of </w:t>
      </w:r>
      <w:r w:rsidRPr="00533EAC">
        <w:rPr>
          <w:rFonts w:ascii="Arial" w:eastAsia="Calibri" w:hAnsi="Arial" w:cs="Arial"/>
          <w:i/>
          <w:color w:val="000000" w:themeColor="text1"/>
          <w:lang w:val="en-ZA"/>
        </w:rPr>
        <w:t>Pyura</w:t>
      </w:r>
      <w:r w:rsidRPr="00533EAC">
        <w:rPr>
          <w:rFonts w:ascii="Arial" w:eastAsia="Calibri" w:hAnsi="Arial" w:cs="Arial"/>
          <w:color w:val="000000" w:themeColor="text1"/>
          <w:lang w:val="en-ZA"/>
        </w:rPr>
        <w:t xml:space="preserve"> spp. were genotyped for the characteri</w:t>
      </w:r>
      <w:r w:rsidR="001808F6"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ation of the five microsatellite makers</w:t>
      </w:r>
      <w:r w:rsidR="00535B6E" w:rsidRPr="00533EAC">
        <w:rPr>
          <w:rFonts w:ascii="Arial" w:eastAsia="Calibri" w:hAnsi="Arial" w:cs="Arial"/>
          <w:color w:val="000000" w:themeColor="text1"/>
          <w:lang w:val="en-ZA"/>
        </w:rPr>
        <w:t xml:space="preserve"> that amplified reliably in all samples. These were characterised by perfect repeat patterns </w:t>
      </w:r>
      <w:r w:rsidR="00535B6E" w:rsidRPr="00533EAC">
        <w:rPr>
          <w:rFonts w:ascii="Arial" w:eastAsia="Calibri" w:hAnsi="Arial" w:cs="Arial"/>
          <w:color w:val="000000" w:themeColor="text1"/>
          <w:lang w:val="en-ZA"/>
        </w:rPr>
        <w:fldChar w:fldCharType="begin" w:fldLock="1"/>
      </w:r>
      <w:r w:rsidR="00450022" w:rsidRPr="00533EAC">
        <w:rPr>
          <w:rFonts w:ascii="Arial" w:eastAsia="Calibri" w:hAnsi="Arial" w:cs="Arial"/>
          <w:color w:val="000000" w:themeColor="text1"/>
          <w:lang w:val="en-ZA"/>
        </w:rPr>
        <w:instrText>ADDIN CSL_CITATION {"citationItems":[{"id":"ITEM-1","itemData":{"DOI":"10.1046/j.0962-1083.2001.01418.x","ISSN":"0962-1083","abstract":"In the last few years microsatellites have become one of the most popular molecular markers used with applications in many different fields. High polymorphism and the relative ease of scoring represent the two major features that make microsatellites of large interest for many genetic studies. The major drawback of microsatellites is that they need to be isolated de novo from species that are being examined for the first time. The aim of the present paper is to review the various methods of microsatellite isolation described in the literature with the purpose of providing useful guidelines in making appropriate choices among the large number of currently available options. In addition, we propose a fast and easy protocol which is a combination of different published methods.","author":[{"dropping-particle":"","family":"Zane","given":"L.","non-dropping-particle":"","parse-names":false,"suffix":""},{"dropping-particle":"","family":"Bargelloni","given":"L.","non-dropping-particle":"","parse-names":false,"suffix":""},{"dropping-particle":"","family":"Patarnello","given":"T.","non-dropping-particle":"","parse-names":false,"suffix":""}],"container-title":"Molecular Ecology","id":"ITEM-1","issue":"1","issued":{"date-parts":[["2002","1"]]},"page":"1-16","title":"Strategies for microsatellite isolation: a review","type":"article-journal","volume":"11"},"uris":["http://www.mendeley.com/documents/?uuid=91294df3-7a77-3437-808c-3fed25ab00bd"]},{"id":"ITEM-2","itemData":{"DOI":"10.1111/1755-0998.12594","ISBN":"1120100119","ISSN":"17550998","abstract":"Microsatellite markers have played a major role in ecological, evolutionary and conservation research during the past 20 years. However, technical constrains related to the use of capillary electrophoresis and a recent technological revolution that has impacted other marker types have brought to question the continued use of microsatellites for certain applications. We present a study for improving microsatellite genotyping in ecology using high-throughput sequencing (HTS). This approach entails selection of short markers suitable for HTS, sequencing PCR-amplified microsatellites on an Illumina platform and bioinformatic treatment of the sequence data to obtain multilocus genotypes. It takes advantage of the fact that HTS gives direct access to microsatellite sequences, allowing unambiguous allele identification and enabling automation of the genotyping process through bioinformatics. In addition, the massive parallel sequencing abilities expand the information content of single experimental runs far beyond capillary electrophoresis. We illustrated the method by genotyping brown bear samples amplified with a multiplex PCR of 13 new microsatellite markers and a sex marker. HTS of microsatellites provided accurate individual identification and parentage assignment and resulted in a significant improvement of genotyping success (84%) of faecal degraded DNA and costs reduction compared to capillary electrophoresis. The HTS approach holds vast potential for improving success, accuracy, efficiency and standardization of microsatellite genotyping in ecological and conservation applications, especially those that rely on profiling of low-quantity/quality DNA and on the construction of genetic databases. We discuss and give perspectives for the implementation of the method in the light of the challenges encountered in wildlife studies.","author":[{"dropping-particle":"","family":"Barba","given":"M.","non-dropping-particle":"De","parse-names":false,"suffix":""},{"dropping-particle":"","family":"Miquel","given":"C.","non-dropping-particle":"","parse-names":false,"suffix":""},{"dropping-particle":"","family":"Lobréaux","given":"S.","non-dropping-particle":"","parse-names":false,"suffix":""},{"dropping-particle":"","family":"Quenette","given":"P. Y.","non-dropping-particle":"","parse-names":false,"suffix":""},{"dropping-particle":"","family":"Swenson","given":"J. E.","non-dropping-particle":"","parse-names":false,"suffix":""},{"dropping-particle":"","family":"Taberlet","given":"P.","non-dropping-particle":"","parse-names":false,"suffix":""}],"container-title":"Molecular Ecology Resources","id":"ITEM-2","issue":"3","issued":{"date-parts":[["2017"]]},"page":"492-507","title":"High-throughput microsatellite genotyping in ecology: improved accuracy, efficiency, standardization and success with low-quantity and degraded DNA","type":"article-journal","volume":"17"},"uris":["http://www.mendeley.com/documents/?uuid=8d651837-a30a-3261-a697-1424f7c7f4b5"]}],"mendeley":{"formattedCitation":"(De Barba et al. 2017; Zane et al. 2002)","plainTextFormattedCitation":"(De Barba et al. 2017; Zane et al. 2002)","previouslyFormattedCitation":"(De Barba et al. 2017; Zane et al. 2002)"},"properties":{"noteIndex":0},"schema":"https://github.com/citation-style-language/schema/raw/master/csl-citation.json"}</w:instrText>
      </w:r>
      <w:r w:rsidR="00535B6E" w:rsidRPr="00533EAC">
        <w:rPr>
          <w:rFonts w:ascii="Arial" w:eastAsia="Calibri" w:hAnsi="Arial" w:cs="Arial"/>
          <w:color w:val="000000" w:themeColor="text1"/>
          <w:lang w:val="en-ZA"/>
        </w:rPr>
        <w:fldChar w:fldCharType="separate"/>
      </w:r>
      <w:r w:rsidR="002E2E55" w:rsidRPr="00533EAC">
        <w:rPr>
          <w:rFonts w:ascii="Arial" w:eastAsia="Calibri" w:hAnsi="Arial" w:cs="Arial"/>
          <w:noProof/>
          <w:color w:val="000000" w:themeColor="text1"/>
          <w:lang w:val="en-ZA"/>
        </w:rPr>
        <w:t>(De Barba et al. 2017; Zane et al. 2002)</w:t>
      </w:r>
      <w:r w:rsidR="00535B6E" w:rsidRPr="00533EAC">
        <w:rPr>
          <w:rFonts w:ascii="Arial" w:eastAsia="Calibri" w:hAnsi="Arial" w:cs="Arial"/>
          <w:color w:val="000000" w:themeColor="text1"/>
          <w:lang w:val="en-ZA"/>
        </w:rPr>
        <w:fldChar w:fldCharType="end"/>
      </w:r>
      <w:r w:rsidR="00535B6E" w:rsidRPr="00533EAC">
        <w:rPr>
          <w:rFonts w:ascii="Arial" w:eastAsia="Calibri" w:hAnsi="Arial" w:cs="Arial"/>
          <w:color w:val="000000" w:themeColor="text1"/>
          <w:lang w:val="en-ZA"/>
        </w:rPr>
        <w:t xml:space="preserve">, and three of them were trinucleotides, which can be scored more reliably than dinucleotides. </w:t>
      </w:r>
      <w:r w:rsidRPr="00533EAC">
        <w:rPr>
          <w:rFonts w:ascii="Arial" w:eastAsia="Calibri" w:hAnsi="Arial" w:cs="Arial"/>
          <w:color w:val="000000" w:themeColor="text1"/>
          <w:lang w:val="en-ZA"/>
        </w:rPr>
        <w:t xml:space="preserve">Alleles were scored using </w:t>
      </w:r>
      <w:proofErr w:type="spellStart"/>
      <w:r w:rsidRPr="00533EAC">
        <w:rPr>
          <w:rFonts w:ascii="Arial" w:eastAsia="Calibri" w:hAnsi="Arial" w:cs="Arial"/>
          <w:color w:val="000000" w:themeColor="text1"/>
          <w:lang w:val="en-ZA"/>
        </w:rPr>
        <w:t>Geneious</w:t>
      </w:r>
      <w:proofErr w:type="spellEnd"/>
      <w:r w:rsidRPr="00533EAC">
        <w:rPr>
          <w:rFonts w:ascii="Arial" w:eastAsia="Calibri" w:hAnsi="Arial" w:cs="Arial"/>
          <w:color w:val="000000" w:themeColor="text1"/>
          <w:lang w:val="en-ZA"/>
        </w:rPr>
        <w:t xml:space="preserve"> R11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{"citationItems":[{"id":"ITEM-1","itemData":{"DOI":"10.1093/bioinformatics/bts199","ISSN":"13674803","abstract":"UNLABELLED The two main functions of bioinformatics are the organization and analysis of biological data using computational resources. Geneious Basic has been designed to be an easy-to-use and flexible desktop software application framework for the organization and analysis of biological data, with a focus on molecular sequences and related data types. It integrates numerous industry-standard discovery analysis tools, with interactive visualizations to generate publication-ready images. One key contribution to researchers in the life sciences is the Geneious public application programming interface (API) that affords the ability to leverage the existing framework of the Geneious Basic software platform for virtually unlimited extension and customization. The result is an increase in the speed and quality of development of computation tools for the life sciences, due to the functionality and graphical user interface available to the developer through the public API. Geneious Basic represents an ideal platform for the bioinformatics community to leverage existing components and to integrate their own specific requirements for the discovery, analysis and visualization of biological data. AVAILABILITY AND IMPLEMENTATION Binaries and public API freely available for download at http://www.geneious.com/basic, implemented in Java and supported on Linux, Apple OSX and MS Windows. The software is also available from the Bio-Linux package repository at http://nebc.nerc.ac.uk/news/geneiousonbl.","author":[{"dropping-particle":"","family":"Kearse","given":"Matthew","non-dropping-particle":"","parse-names":false,"suffix":""},{"dropping-particle":"","family":"Moir","given":"Richard","non-dropping-particle":"","parse-names":false,"suffix":""},{"dropping-particle":"","family":"Wilson","given":"Amy","non-dropping-particle":"","parse-names":false,"suffix":""},{"dropping-particle":"","family":"Stones-Havas","given":"Steven","non-dropping-particle":"","parse-names":false,"suffix":""},{"dropping-particle":"","family":"Cheung","given":"Matthew","non-dropping-particle":"","parse-names":false,"suffix":""},{"dropping-particle":"","family":"Sturrock","given":"Shane","non-dropping-particle":"","parse-names":false,"suffix":""},{"dropping-particle":"","family":"Buxton","given":"Simon","non-dropping-particle":"","parse-names":false,"suffix":""},{"dropping-particle":"","family":"Cooper","given":"Alex","non-dropping-particle":"","parse-names":false,"suffix":""},{"dropping-particle":"","family":"Markowitz","given":"Sidney","non-dropping-particle":"","parse-names":false,"suffix":""},{"dropping-particle":"","family":"Duran","given":"Chris","non-dropping-particle":"","parse-names":false,"suffix":""},{"dropping-particle":"","family":"Thierer","given":"Tobias","non-dropping-particle":"","parse-names":false,"suffix":""},{"dropping-particle":"","family":"Ashton","given":"Bruce","non-dropping-particle":"","parse-names":false,"suffix":""},{"dropping-particle":"","family":"Meintjes","given":"Peter","non-dropping-particle":"","parse-names":false,"suffix":""},{"dropping-particle":"","family":"Drummond","given":"Alexei","non-dropping-particle":"","parse-names":false,"suffix":""}],"container-title":"Bioinformatics","id":"ITEM-1","issue":"12","issued":{"date-parts":[["2012","6"]]},"page":"1647-1649","title":"Geneious Basic: An integrated and extendable desktop software platform for the organization and analysis of sequence data","type":"article-journal","volume":"28"},"uris":["http://www.mendeley.com/documents/?uuid=7d289012-3bed-30c9-9220-859e15ecd7c5","http://www.mendeley.com/documents/?uuid=02563203-8e45-4734-aec7-a0230f5e1926"]}],"mendeley":{"formattedCitation":"(Kearse et al. 2012)","plainTextFormattedCitation":"(Kearse et al. 2012)","previouslyFormattedCitation":"(Kearse et al. 2012)"},"properties":{"noteIndex":0},"schema":"https://github.com/citation-style-language/schema/raw/master/csl-citation.json"}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(Kearse et al. 2012)</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and individual genotypes were manually checked and edited. A subset of samples (10%) </w:t>
      </w:r>
      <w:r w:rsidR="001808F6" w:rsidRPr="00533EAC">
        <w:rPr>
          <w:rFonts w:ascii="Arial" w:eastAsia="Calibri" w:hAnsi="Arial" w:cs="Arial"/>
          <w:color w:val="000000" w:themeColor="text1"/>
          <w:lang w:val="en-ZA"/>
        </w:rPr>
        <w:t xml:space="preserve">were </w:t>
      </w:r>
      <w:r w:rsidRPr="00533EAC">
        <w:rPr>
          <w:rFonts w:ascii="Arial" w:eastAsia="Calibri" w:hAnsi="Arial" w:cs="Arial"/>
          <w:color w:val="000000" w:themeColor="text1"/>
          <w:lang w:val="en-ZA"/>
        </w:rPr>
        <w:t>genotyped independently by another researcher using a different software (</w:t>
      </w:r>
      <w:proofErr w:type="spellStart"/>
      <w:r w:rsidR="001808F6" w:rsidRPr="00533EAC">
        <w:rPr>
          <w:rFonts w:ascii="Arial" w:eastAsia="Calibri" w:hAnsi="Arial" w:cs="Arial"/>
          <w:color w:val="000000" w:themeColor="text1"/>
          <w:lang w:val="en-ZA"/>
        </w:rPr>
        <w:t>GeneMapper</w:t>
      </w:r>
      <w:proofErr w:type="spellEnd"/>
      <w:r w:rsidR="001808F6"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5, Applied Biosystems) to check for genotyping error</w:t>
      </w:r>
      <w:r w:rsidR="00945114"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 </w:t>
      </w:r>
      <w:r w:rsidR="00F04666" w:rsidRPr="00533EAC">
        <w:rPr>
          <w:rFonts w:ascii="Arial" w:eastAsia="Calibri" w:hAnsi="Arial" w:cs="Arial"/>
          <w:color w:val="000000" w:themeColor="text1"/>
          <w:lang w:val="en-ZA"/>
        </w:rPr>
        <w:t>MICRO-CHECKER</w:t>
      </w:r>
      <w:r w:rsidRPr="00533EAC">
        <w:rPr>
          <w:rFonts w:ascii="Arial" w:eastAsia="Calibri" w:hAnsi="Arial" w:cs="Arial"/>
          <w:color w:val="000000" w:themeColor="text1"/>
          <w:lang w:val="en-ZA"/>
        </w:rPr>
        <w:t xml:space="preserve"> 2.2.3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{"citationItems":[{"id":"ITEM-1","itemData":{"DOI":"10.1111/j.1471-8286.2004.00684.x","ISSN":"14718278","abstract":"DNA degradation, low DNA concentrations and primer-site mutations may result in the incorrect assignment of microsatellite genotypes, potentially biasing population genetic analyses. micro-checker is windows®-based software that tests the genotyping of microsatellites from diploid populations. The program aids identification of genotyping errors due to nonamplified alleles (null alleles), short allele dominance (large allele dropout) and the scoring of stutter peaks, and also detects typographic errors. micro-checker estimates the frequency of null alleles and, importantly, can adjust the allele and genotype frequencies of the amplified alleles, permitting their use in further population genetic analysis. micro-checker can be freely downloaded from http://www.microchecker.hull.ac.uk/.","author":[{"dropping-particle":"","family":"Oosterhout","given":"Cock","non-dropping-particle":"Van","parse-names":false,"suffix":""},{"dropping-particle":"","family":"Hutchinson","given":"William F.","non-dropping-particle":"","parse-names":false,"suffix":""},{"dropping-particle":"","family":"Wills","given":"Derek P M","non-dropping-particle":"","parse-names":false,"suffix":""},{"dropping-particle":"","family":"Shipley","given":"Peter","non-dropping-particle":"","parse-names":false,"suffix":""}],"container-title":"Molecular Ecology Notes","id":"ITEM-1","issue":"3","issued":{"date-parts":[["2004","9"]]},"page":"535-538","title":"MICRO-CHECKER: Software for identifying and correcting genotyping errors in microsatellite data","type":"article-journal","volume":"4"},"uris":["http://www.mendeley.com/documents/?uuid=c8aeb884-ebb2-379b-a5a5-b6a952a71417","http://www.mendeley.com/documents/?uuid=0d80b1ce-1ac6-4d9c-9f68-7da2de1b29ca"]}],"mendeley":{"formattedCitation":"(Van Oosterhout et al. 2004)","plainTextFormattedCitation":"(Van Oosterhout et al. 2004)","previouslyFormattedCitation":"(Van Oosterhout et al. 2004)"},"properties":{"noteIndex":0},"schema":"https://github.com/citation-style-language/schema/raw/master/csl-citation.json"}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(Van Oosterhout et al. 2004)</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was used to check for the presence of stutter, null alleles and large allele dropout. The number of alleles (</w:t>
      </w:r>
      <w:r w:rsidR="001808F6" w:rsidRPr="00533EAC">
        <w:rPr>
          <w:rFonts w:ascii="Arial" w:eastAsia="Calibri" w:hAnsi="Arial" w:cs="Arial"/>
          <w:i/>
          <w:color w:val="000000" w:themeColor="text1"/>
          <w:lang w:val="en-ZA"/>
        </w:rPr>
        <w:t>N</w:t>
      </w:r>
      <w:r w:rsidR="001808F6" w:rsidRPr="00533EAC">
        <w:rPr>
          <w:rFonts w:ascii="Arial" w:eastAsia="Calibri" w:hAnsi="Arial" w:cs="Arial"/>
          <w:color w:val="000000" w:themeColor="text1"/>
          <w:vertAlign w:val="subscript"/>
          <w:lang w:val="en-ZA"/>
        </w:rPr>
        <w:t>A</w:t>
      </w:r>
      <w:r w:rsidRPr="00533EAC">
        <w:rPr>
          <w:rFonts w:ascii="Arial" w:eastAsia="Calibri" w:hAnsi="Arial" w:cs="Arial"/>
          <w:color w:val="000000" w:themeColor="text1"/>
          <w:lang w:val="en-ZA"/>
        </w:rPr>
        <w:t>), observed heterozygosity (</w:t>
      </w:r>
      <w:r w:rsidRPr="00533EAC">
        <w:rPr>
          <w:rFonts w:ascii="Arial" w:eastAsia="Calibri" w:hAnsi="Arial" w:cs="Arial"/>
          <w:i/>
          <w:iCs/>
          <w:color w:val="000000" w:themeColor="text1"/>
          <w:lang w:val="en-ZA"/>
        </w:rPr>
        <w:t>H</w:t>
      </w:r>
      <w:r w:rsidRPr="00533EAC">
        <w:rPr>
          <w:rFonts w:ascii="Arial" w:eastAsia="Calibri" w:hAnsi="Arial" w:cs="Arial"/>
          <w:iCs/>
          <w:color w:val="000000" w:themeColor="text1"/>
          <w:vertAlign w:val="subscript"/>
          <w:lang w:val="en-ZA"/>
        </w:rPr>
        <w:t>O</w:t>
      </w:r>
      <w:r w:rsidRPr="00533EAC">
        <w:rPr>
          <w:rFonts w:ascii="Arial" w:eastAsia="Calibri" w:hAnsi="Arial" w:cs="Arial"/>
          <w:color w:val="000000" w:themeColor="text1"/>
          <w:lang w:val="en-ZA"/>
        </w:rPr>
        <w:t>), expected heterozygosity (</w:t>
      </w:r>
      <w:r w:rsidRPr="00533EAC">
        <w:rPr>
          <w:rFonts w:ascii="Arial" w:eastAsia="Calibri" w:hAnsi="Arial" w:cs="Arial"/>
          <w:i/>
          <w:iCs/>
          <w:color w:val="000000" w:themeColor="text1"/>
          <w:lang w:val="en-ZA"/>
        </w:rPr>
        <w:t>H</w:t>
      </w:r>
      <w:r w:rsidRPr="00533EAC">
        <w:rPr>
          <w:rFonts w:ascii="Arial" w:eastAsia="Calibri" w:hAnsi="Arial" w:cs="Arial"/>
          <w:iCs/>
          <w:color w:val="000000" w:themeColor="text1"/>
          <w:vertAlign w:val="subscript"/>
          <w:lang w:val="en-ZA"/>
        </w:rPr>
        <w:t>E</w:t>
      </w:r>
      <w:r w:rsidRPr="00533EAC">
        <w:rPr>
          <w:rFonts w:ascii="Arial" w:eastAsia="Calibri" w:hAnsi="Arial" w:cs="Arial"/>
          <w:color w:val="000000" w:themeColor="text1"/>
          <w:lang w:val="en-ZA"/>
        </w:rPr>
        <w:t xml:space="preserve">) and tests for deviation from Hardy-Weinberg </w:t>
      </w:r>
      <w:r w:rsidR="001808F6" w:rsidRPr="00533EAC">
        <w:rPr>
          <w:rFonts w:ascii="Arial" w:eastAsia="Calibri" w:hAnsi="Arial" w:cs="Arial"/>
          <w:color w:val="000000" w:themeColor="text1"/>
          <w:lang w:val="en-ZA"/>
        </w:rPr>
        <w:t xml:space="preserve">equilibrium </w:t>
      </w:r>
      <w:r w:rsidRPr="00533EAC">
        <w:rPr>
          <w:rFonts w:ascii="Arial" w:eastAsia="Calibri" w:hAnsi="Arial" w:cs="Arial"/>
          <w:color w:val="000000" w:themeColor="text1"/>
          <w:lang w:val="en-ZA"/>
        </w:rPr>
        <w:t xml:space="preserve">(HWE) were </w:t>
      </w:r>
      <w:r w:rsidR="00945114" w:rsidRPr="00533EAC">
        <w:rPr>
          <w:rFonts w:ascii="Arial" w:eastAsia="Calibri" w:hAnsi="Arial" w:cs="Arial"/>
          <w:color w:val="000000" w:themeColor="text1"/>
          <w:lang w:val="en-ZA"/>
        </w:rPr>
        <w:t xml:space="preserve">conducted </w:t>
      </w:r>
      <w:r w:rsidRPr="00533EAC">
        <w:rPr>
          <w:rFonts w:ascii="Arial" w:eastAsia="Calibri" w:hAnsi="Arial" w:cs="Arial"/>
          <w:color w:val="000000" w:themeColor="text1"/>
          <w:lang w:val="en-ZA"/>
        </w:rPr>
        <w:t xml:space="preserve">in </w:t>
      </w:r>
      <w:proofErr w:type="spellStart"/>
      <w:r w:rsidRPr="00533EAC">
        <w:rPr>
          <w:rFonts w:ascii="Arial" w:eastAsia="Calibri" w:hAnsi="Arial" w:cs="Arial"/>
          <w:color w:val="000000" w:themeColor="text1"/>
          <w:lang w:val="en-ZA"/>
        </w:rPr>
        <w:t>Genalex</w:t>
      </w:r>
      <w:proofErr w:type="spellEnd"/>
      <w:r w:rsidRPr="00533EAC">
        <w:rPr>
          <w:rFonts w:ascii="Arial" w:eastAsia="Calibri" w:hAnsi="Arial" w:cs="Arial"/>
          <w:color w:val="000000" w:themeColor="text1"/>
          <w:lang w:val="en-ZA"/>
        </w:rPr>
        <w:t xml:space="preserve"> 6.5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{"citationItems":[{"id":"ITEM-1","itemData":{"DOI":"10.1093/bioinformatics/bts460","ISBN":"1367-4811 (Electronic)\\r1367-4803 (Linking)","ISSN":"13674803","PMID":"22820204","abstract":"GENALEX is a user-friendly cross-platform package that runs within Microsoft Excel, enabling population genetic analyses of codominant, haploid and binary data. Allele frequency-based analyses include heterozygosity, F statistics, Nei’s genetic distance, population assignment, probabilities of identity and pairwise relatedness. Distance-based calculations include AMOVA , principal coordinates analysis (PCA), Mantel tests, multivariate and 2D spatial autocorrelation and TWOGENER . More than 20 different graphs summarize data and aid exploration. Sequence and genotype data can be imported from automated sequencers, and exported to other software. Initially designed as tool for teaching, GENALEX 6 now offers features for researchers as well. Documentation and the program are available at http://www.anu.edu.au/BoZo/GenAlEx/","author":[{"dropping-particle":"","family":"Peakall","given":"Rod","non-dropping-particle":"","parse-names":false,"suffix":""},{"dropping-particle":"","family":"Smouse","given":"Peter E.","non-dropping-particle":"","parse-names":false,"suffix":""}],"container-title":"Bioinformatics","id":"ITEM-1","issue":"19","issued":{"date-parts":[["2012"]]},"page":"2537-2539","title":"GenALEx 6.5: Genetic analysis in Excel. Population genetic software for teaching and research-an update","type":"article-journal","volume":"28"},"uris":["http://www.mendeley.com/documents/?uuid=ab280ca1-5e09-3367-aa1b-5261dfc3911d"]}],"mendeley":{"formattedCitation":"(Peakall and Smouse 2012)","plainTextFormattedCitation":"(Peakall and Smouse 2012)","previouslyFormattedCitation":"(Peakall and Smouse 2012)"},"properties":{"noteIndex":0},"schema":"https://github.com/citation-style-language/schema/raw/master/csl-citation.json"}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(Peakall and Smouse 2012)</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t>
      </w:r>
      <w:proofErr w:type="spellStart"/>
      <w:r w:rsidRPr="00533EAC">
        <w:rPr>
          <w:rFonts w:ascii="Arial" w:eastAsia="Calibri" w:hAnsi="Arial" w:cs="Arial"/>
          <w:color w:val="000000" w:themeColor="text1"/>
          <w:lang w:val="en-ZA"/>
        </w:rPr>
        <w:t>Genetix</w:t>
      </w:r>
      <w:proofErr w:type="spellEnd"/>
      <w:r w:rsidRPr="00533EAC">
        <w:rPr>
          <w:rFonts w:ascii="Arial" w:eastAsia="Calibri" w:hAnsi="Arial" w:cs="Arial"/>
          <w:color w:val="000000" w:themeColor="text1"/>
          <w:lang w:val="en-ZA"/>
        </w:rPr>
        <w:t xml:space="preserve"> 4.05.2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{"citationItems":[{"id":"ITEM-1","itemData":{"abstract":"Belkhir K, Borsa P, Chikhi L, Raufaste N, Bonhomme F: GENETIX 4.05, logiciel sous Windows TM pour la génétique des populations. 1996-2004. Laboratoire Génome, Populations, Interactions, CNRS UMR 5000, Université de Montpellier II, Montpellier, France","author":[{"dropping-particle":"","family":"Belkhir","given":"K.","non-dropping-particle":"","parse-names":false,"suffix":""},{"dropping-particle":"","family":"Borsa","given":"NP.","non-dropping-particle":"","parse-names":false,"suffix":""},{"dropping-particle":"","family":"Chikhi","given":"L.","non-dropping-particle":"","parse-names":false,"suffix":""},{"dropping-particle":"","family":"Raufaste","given":"N.","non-dropping-particle":"","parse-names":false,"suffix":""},{"dropping-particle":"","family":"Bonhomme","given":"F.","non-dropping-particle":"","parse-names":false,"suffix":""}],"container-title":"Laboratoire Génome, Populations, Interactions, CNRS UMR 5000","id":"ITEM-1","issued":{"date-parts":[["2004"]]},"page":"19","title":"GENETIX 4.05, logiciel sous Windows TM pour la génétique des populations","type":"article-journal"},"uris":["http://www.mendeley.com/documents/?uuid=096d7921-7001-311a-95b4-51bf5464da72"]}],"mendeley":{"formattedCitation":"(Belkhir et al. 2004)","plainTextFormattedCitation":"(Belkhir et al. 2004)","previouslyFormattedCitation":"(Belkhir et al. 2004)"},"properties":{"noteIndex":0},"schema":"https://github.com/citation-style-language/schema/raw/master/csl-citation.json"}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(Belkhir et al. 2004)</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was used to calculate the inbreeding coefficient </w:t>
      </w:r>
      <w:r w:rsidRPr="00533EAC">
        <w:rPr>
          <w:rFonts w:ascii="Arial" w:eastAsia="Calibri" w:hAnsi="Arial" w:cs="Arial"/>
          <w:i/>
          <w:iCs/>
          <w:color w:val="000000" w:themeColor="text1"/>
          <w:lang w:val="en-ZA"/>
        </w:rPr>
        <w:t>F</w:t>
      </w:r>
      <w:r w:rsidRPr="00533EAC">
        <w:rPr>
          <w:rFonts w:ascii="Arial" w:eastAsia="Calibri" w:hAnsi="Arial" w:cs="Arial"/>
          <w:iCs/>
          <w:color w:val="000000" w:themeColor="text1"/>
          <w:vertAlign w:val="subscript"/>
          <w:lang w:val="en-ZA"/>
        </w:rPr>
        <w:t xml:space="preserve">IS </w:t>
      </w:r>
      <w:r w:rsidRPr="00533EAC">
        <w:rPr>
          <w:rFonts w:ascii="Arial" w:eastAsia="Calibri" w:hAnsi="Arial" w:cs="Arial"/>
          <w:color w:val="000000" w:themeColor="text1"/>
          <w:lang w:val="en-ZA"/>
        </w:rPr>
        <w:t>with 95% confidence intervals generated over 1</w:t>
      </w:r>
      <w:r w:rsidR="00B75C6B"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 xml:space="preserve">000 bootstrap replicates. </w:t>
      </w:r>
      <w:r w:rsidR="00EA6713" w:rsidRPr="00533EAC">
        <w:rPr>
          <w:rFonts w:ascii="Arial" w:eastAsia="Calibri" w:hAnsi="Arial" w:cs="Arial"/>
          <w:color w:val="000000" w:themeColor="text1"/>
          <w:lang w:val="en-ZA"/>
        </w:rPr>
        <w:t xml:space="preserve">GENEPOP </w:t>
      </w:r>
      <w:r w:rsidRPr="00533EAC">
        <w:rPr>
          <w:rFonts w:ascii="Arial" w:eastAsia="Calibri" w:hAnsi="Arial" w:cs="Arial"/>
          <w:color w:val="000000" w:themeColor="text1"/>
          <w:lang w:val="en-ZA"/>
        </w:rPr>
        <w:t>4</w:t>
      </w:r>
      <w:r w:rsidR="00EA6713" w:rsidRPr="00533EAC">
        <w:rPr>
          <w:rFonts w:ascii="Arial" w:eastAsia="Calibri" w:hAnsi="Arial" w:cs="Arial"/>
          <w:color w:val="000000" w:themeColor="text1"/>
          <w:lang w:val="en-ZA"/>
        </w:rPr>
        <w:t>.7</w:t>
      </w:r>
      <w:r w:rsidR="007C50E1"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{"citationItems":[{"id":"ITEM-1","itemData":{"DOI":"10.1111/j.1471-8286.2007.01931.x","ISSN":"1755098X","abstract":"This note summarizes developments of the genepop software since its first description in 1995, and in particular those new to version 4.0: an extended input format, several estimators of neighbourhood size under isolation by distance, new estimators and confidence intervals for null allele frequency, and less important extensions to previous options. genepop now runs under Linux as well as under Windows, and can be entirely controlled by batch calls.","author":[{"dropping-particle":"","family":"Rousset","given":"François","non-dropping-particle":"","parse-names":false,"suffix":""}],"container-title":"Molecular Ecology Resources","id":"ITEM-1","issue":"1","issued":{"date-parts":[["2008","1"]]},"page":"103-106","title":"GENEPOP'007: A complete re-implementation of the GENEPOP software for Windows and Linux","type":"article-journal","volume":"8"},"uris":["http://www.mendeley.com/documents/?uuid=04f0470d-0953-3aeb-94a9-114b433eda65","http://www.mendeley.com/documents/?uuid=23f803c1-20af-4aa3-9f73-a27496d7030f"]}],"mendeley":{"formattedCitation":"(Rousset 2008)","plainTextFormattedCitation":"(Rousset 2008)","previouslyFormattedCitation":"(Rousset 2008)"},"properties":{"noteIndex":0},"schema":"https://github.com/citation-style-language/schema/raw/master/csl-citation.json"}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(Rousset 2008)</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was used to test for </w:t>
      </w:r>
      <w:r w:rsidR="00B75C6B" w:rsidRPr="00533EAC">
        <w:rPr>
          <w:rFonts w:ascii="Arial" w:eastAsia="Calibri" w:hAnsi="Arial" w:cs="Arial"/>
          <w:color w:val="000000" w:themeColor="text1"/>
          <w:lang w:val="en-ZA"/>
        </w:rPr>
        <w:t xml:space="preserve">linkage </w:t>
      </w:r>
      <w:r w:rsidRPr="00533EAC">
        <w:rPr>
          <w:rFonts w:ascii="Arial" w:eastAsia="Calibri" w:hAnsi="Arial" w:cs="Arial"/>
          <w:color w:val="000000" w:themeColor="text1"/>
          <w:lang w:val="en-ZA"/>
        </w:rPr>
        <w:t>disequilibrium (LD) between pairs of loci with</w:t>
      </w:r>
      <w:r w:rsidR="00B75C6B" w:rsidRPr="00533EAC">
        <w:rPr>
          <w:rFonts w:ascii="Arial" w:eastAsia="Calibri" w:hAnsi="Arial" w:cs="Arial"/>
          <w:color w:val="000000" w:themeColor="text1"/>
          <w:lang w:val="en-ZA"/>
        </w:rPr>
        <w:t xml:space="preserve"> </w:t>
      </w:r>
      <w:r w:rsidR="00A868E5" w:rsidRPr="00533EAC">
        <w:rPr>
          <w:rFonts w:ascii="Arial" w:eastAsia="Calibri" w:hAnsi="Arial" w:cs="Arial"/>
          <w:color w:val="000000" w:themeColor="text1"/>
          <w:lang w:val="en-ZA"/>
        </w:rPr>
        <w:t>1</w:t>
      </w:r>
      <w:r w:rsidRPr="00533EAC">
        <w:rPr>
          <w:rFonts w:ascii="Arial" w:eastAsia="Calibri" w:hAnsi="Arial" w:cs="Arial"/>
          <w:color w:val="000000" w:themeColor="text1"/>
          <w:lang w:val="en-ZA"/>
        </w:rPr>
        <w:t xml:space="preserve">000 </w:t>
      </w:r>
      <w:proofErr w:type="spellStart"/>
      <w:r w:rsidRPr="00533EAC">
        <w:rPr>
          <w:rFonts w:ascii="Arial" w:eastAsia="Calibri" w:hAnsi="Arial" w:cs="Arial"/>
          <w:color w:val="000000" w:themeColor="text1"/>
          <w:lang w:val="en-ZA"/>
        </w:rPr>
        <w:t>dememori</w:t>
      </w:r>
      <w:r w:rsidR="00B75C6B"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ations</w:t>
      </w:r>
      <w:proofErr w:type="spellEnd"/>
      <w:r w:rsidRPr="00533EAC">
        <w:rPr>
          <w:rFonts w:ascii="Arial" w:eastAsia="Calibri" w:hAnsi="Arial" w:cs="Arial"/>
          <w:color w:val="000000" w:themeColor="text1"/>
          <w:lang w:val="en-ZA"/>
        </w:rPr>
        <w:t xml:space="preserve">, 500 batches and </w:t>
      </w:r>
      <w:r w:rsidR="00A868E5" w:rsidRPr="00533EAC">
        <w:rPr>
          <w:rFonts w:ascii="Arial" w:eastAsia="Calibri" w:hAnsi="Arial" w:cs="Arial"/>
          <w:color w:val="000000" w:themeColor="text1"/>
          <w:lang w:val="en-ZA"/>
        </w:rPr>
        <w:t>10</w:t>
      </w:r>
      <w:r w:rsidR="00114273"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 xml:space="preserve">000 interactions per batch (investigating per individual </w:t>
      </w:r>
      <w:r w:rsidRPr="00533EAC">
        <w:rPr>
          <w:rFonts w:ascii="Arial" w:eastAsia="Calibri" w:hAnsi="Arial" w:cs="Arial"/>
          <w:color w:val="000000" w:themeColor="text1"/>
          <w:lang w:val="en-ZA"/>
        </w:rPr>
        <w:lastRenderedPageBreak/>
        <w:t xml:space="preserve">site and per study population). In order to adjust the </w:t>
      </w:r>
      <w:r w:rsidRPr="00533EAC">
        <w:rPr>
          <w:rFonts w:ascii="Arial" w:eastAsia="Calibri" w:hAnsi="Arial" w:cs="Arial"/>
          <w:i/>
          <w:color w:val="000000" w:themeColor="text1"/>
          <w:lang w:val="en-ZA"/>
        </w:rPr>
        <w:t>p</w:t>
      </w:r>
      <w:r w:rsidRPr="00533EAC">
        <w:rPr>
          <w:rFonts w:ascii="Arial" w:eastAsia="Calibri" w:hAnsi="Arial" w:cs="Arial"/>
          <w:color w:val="000000" w:themeColor="text1"/>
          <w:lang w:val="en-ZA"/>
        </w:rPr>
        <w:t>-values of tests for HWE and LD for multiple comparison</w:t>
      </w:r>
      <w:r w:rsidR="00EA6713"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 Bonferroni correction </w:t>
      </w:r>
      <w:r w:rsidRPr="00533EAC">
        <w:rPr>
          <w:rFonts w:ascii="Arial" w:eastAsia="Calibri" w:hAnsi="Arial" w:cs="Arial"/>
          <w:color w:val="000000" w:themeColor="text1"/>
          <w:lang w:val="en-ZA"/>
        </w:rPr>
        <w:fldChar w:fldCharType="begin" w:fldLock="1"/>
      </w:r>
      <w:r w:rsidR="00450022" w:rsidRPr="00533EAC">
        <w:rPr>
          <w:rFonts w:ascii="Arial" w:eastAsia="Calibri" w:hAnsi="Arial" w:cs="Arial"/>
          <w:color w:val="000000" w:themeColor="text1"/>
          <w:lang w:val="en-ZA"/>
        </w:rPr>
        <w:instrText>ADDIN CSL_CITATION {"citationItems":[{"id":"ITEM-1","itemData":{"DOI":"10.2307/2409177","ISSN":"00143820","abstract":"testing for the statistical significance of com- ponent tests is routinely carried out in a biased fashion that liberally judges far too many tests to be significant The standard Bonferroni technique is described in many general statistics texts. It can be readily shown (e.g., see Miller, 1981) that, if a collection of k tests is simultaneously carried out at the a/k significance level, the probability, on H0,c that at least one component H0,i will be erroneously rejected is less than or equal to a. This inequality does not require that component tests be independent. A major disadvantage of the stan- dard Bonferroni method, however, occurs when more than one component H0,i is false. For example, suppose in the hypothetical correlation table described above that four of the ten correlations were actually different from zero. The standard Bonferroni test has substantially reduced power in detecting more than one false H0,i (see Holm, 1979). To increase power in detecting more than one false Ho0, Holm ( 1979) introduced the sequential Bonferroni technique. To begin the test, select a significance level (a). Next, replace each test statistic by its corresponding P value and rank the P values from smallest (P,) to largest (Pk). First consider the smallest P value (PI). If P, =/&lt; a/k, then judge that the corresponding test in- dicates significance at the \"table-wide\" a level; if the inequality is not met, declare that all tests indicate nonsignificance at the table-wide a level. If and only if P, c? a/k, proceed to the second smallest P value (P2). If P2 '? a/(k - 1), then judge this test also to indicate statistical significance at the a table-wide level of significance and proceed to the third smallest P value (P3). If P2 &gt; a/(k - 1), then declare the corresponding test and all other tests with larger P values to indicate nonsignificance at the table-wide a level. Continue in this fashion until the inequality P, c? a/(I + k - i) is not met.","author":[{"dropping-particle":"","family":"Rice","given":"William R.","non-dropping-particle":"","parse-names":false,"suffix":""}],"container-title":"Evolution","id":"ITEM-1","issue":"1","issued":{"date-parts":[["2006"]]},"page":"223","title":"Analyzing Tables of Statistical Tests","type":"article-journal","volume":"43"},"uris":["http://www.mendeley.com/documents/?uuid=459890d9-9636-373e-bc9f-bc121b762291","http://www.mendeley.com/documents/?uuid=95fad133-ad27-4c3b-91d6-a2eeb52e1f0c"]}],"mendeley":{"formattedCitation":"(Rice 2006)","plainTextFormattedCitation":"(Rice 2006)","previouslyFormattedCitation":"(Rice 2006)"},"properties":{"noteIndex":0},"schema":"https://github.com/citation-style-language/schema/raw/master/csl-citation.json"}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2E2E55" w:rsidRPr="00533EAC">
        <w:rPr>
          <w:rFonts w:ascii="Arial" w:eastAsia="Calibri" w:hAnsi="Arial" w:cs="Arial"/>
          <w:noProof/>
          <w:color w:val="000000" w:themeColor="text1"/>
          <w:lang w:val="en-ZA"/>
        </w:rPr>
        <w:t>(Rice 2006)</w:t>
      </w:r>
      <w:r w:rsidRPr="00533EAC">
        <w:rPr>
          <w:rFonts w:ascii="Arial" w:eastAsia="Calibri" w:hAnsi="Arial" w:cs="Arial"/>
          <w:color w:val="000000" w:themeColor="text1"/>
          <w:lang w:val="en-ZA"/>
        </w:rPr>
        <w:fldChar w:fldCharType="end"/>
      </w:r>
      <w:r w:rsidR="0091696A" w:rsidRPr="00533EAC">
        <w:rPr>
          <w:rFonts w:ascii="Arial" w:eastAsia="Calibri" w:hAnsi="Arial" w:cs="Arial"/>
          <w:color w:val="000000" w:themeColor="text1"/>
          <w:lang w:val="en-ZA"/>
        </w:rPr>
        <w:t xml:space="preserve"> was applied.</w:t>
      </w:r>
    </w:p>
    <w:p w14:paraId="76ADDFBE" w14:textId="77777777" w:rsidR="00B75C6B" w:rsidRPr="00533EAC" w:rsidRDefault="00B75C6B" w:rsidP="00C05A32">
      <w:pPr>
        <w:spacing w:after="0" w:line="360" w:lineRule="auto"/>
        <w:jc w:val="both"/>
        <w:rPr>
          <w:rFonts w:ascii="Arial" w:eastAsia="Calibri" w:hAnsi="Arial" w:cs="Arial"/>
          <w:i/>
          <w:iCs/>
          <w:color w:val="000000" w:themeColor="text1"/>
          <w:lang w:val="en-ZA"/>
        </w:rPr>
      </w:pPr>
    </w:p>
    <w:p w14:paraId="4B01634A" w14:textId="216A66A1" w:rsidR="005633D6" w:rsidRPr="00533EAC" w:rsidRDefault="00BE6EA8" w:rsidP="00C05A32">
      <w:pPr>
        <w:spacing w:after="0" w:line="360" w:lineRule="auto"/>
        <w:jc w:val="both"/>
        <w:rPr>
          <w:rFonts w:ascii="Arial" w:eastAsia="Calibri" w:hAnsi="Arial" w:cs="Arial"/>
          <w:i/>
          <w:iCs/>
          <w:color w:val="000000" w:themeColor="text1"/>
          <w:lang w:val="en-ZA"/>
        </w:rPr>
      </w:pPr>
      <w:r w:rsidRPr="00533EAC">
        <w:rPr>
          <w:rFonts w:ascii="Arial" w:eastAsia="Calibri" w:hAnsi="Arial" w:cs="Arial"/>
          <w:i/>
          <w:iCs/>
          <w:color w:val="000000" w:themeColor="text1"/>
          <w:lang w:val="en-ZA"/>
        </w:rPr>
        <w:t>Partial m</w:t>
      </w:r>
      <w:r w:rsidR="005633D6" w:rsidRPr="00533EAC">
        <w:rPr>
          <w:rFonts w:ascii="Arial" w:eastAsia="Calibri" w:hAnsi="Arial" w:cs="Arial"/>
          <w:i/>
          <w:iCs/>
          <w:color w:val="000000" w:themeColor="text1"/>
          <w:lang w:val="en-ZA"/>
        </w:rPr>
        <w:t>itogenome assembly</w:t>
      </w:r>
    </w:p>
    <w:p w14:paraId="0F4AE7CD" w14:textId="2C68697D"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Ten extracted DNA samples, eight from South Africa and two from Morocco, were used to </w:t>
      </w:r>
      <w:r w:rsidRPr="00533EAC">
        <w:rPr>
          <w:rFonts w:ascii="Arial" w:eastAsia="Times New Roman" w:hAnsi="Arial" w:cs="Arial"/>
          <w:color w:val="000000" w:themeColor="text1"/>
          <w:lang w:val="en-ZA" w:eastAsia="en-GB"/>
        </w:rPr>
        <w:t xml:space="preserve">create </w:t>
      </w:r>
      <w:r w:rsidRPr="00533EAC">
        <w:rPr>
          <w:rFonts w:ascii="Arial" w:eastAsia="Calibri" w:hAnsi="Arial" w:cs="Arial"/>
          <w:color w:val="000000" w:themeColor="text1"/>
          <w:lang w:val="en-ZA"/>
        </w:rPr>
        <w:t xml:space="preserve">libraries </w:t>
      </w:r>
      <w:r w:rsidRPr="00533EAC">
        <w:rPr>
          <w:rFonts w:ascii="Arial" w:eastAsia="Times New Roman" w:hAnsi="Arial" w:cs="Arial"/>
          <w:color w:val="000000" w:themeColor="text1"/>
          <w:lang w:val="en-ZA" w:eastAsia="en-GB"/>
        </w:rPr>
        <w:t xml:space="preserve">using </w:t>
      </w:r>
      <w:proofErr w:type="spellStart"/>
      <w:r w:rsidRPr="00533EAC">
        <w:rPr>
          <w:rFonts w:ascii="Arial" w:eastAsia="Times New Roman" w:hAnsi="Arial" w:cs="Arial"/>
          <w:color w:val="000000" w:themeColor="text1"/>
          <w:lang w:val="en-ZA" w:eastAsia="en-GB"/>
        </w:rPr>
        <w:t>ezRAD</w:t>
      </w:r>
      <w:proofErr w:type="spellEnd"/>
      <w:r w:rsidRPr="00533EAC">
        <w:rPr>
          <w:rFonts w:ascii="Arial" w:eastAsia="Times New Roman" w:hAnsi="Arial" w:cs="Arial"/>
          <w:color w:val="000000" w:themeColor="text1"/>
          <w:lang w:val="en-ZA" w:eastAsia="en-GB"/>
        </w:rPr>
        <w:t xml:space="preserve"> </w:t>
      </w:r>
      <w:r w:rsidRPr="00533EAC">
        <w:rPr>
          <w:rFonts w:ascii="Arial" w:eastAsia="Times New Roman" w:hAnsi="Arial" w:cs="Arial"/>
          <w:color w:val="000000" w:themeColor="text1"/>
          <w:lang w:val="en-ZA" w:eastAsia="en-GB"/>
        </w:rPr>
        <w:fldChar w:fldCharType="begin" w:fldLock="1"/>
      </w:r>
      <w:r w:rsidR="0097798B" w:rsidRPr="00533EAC">
        <w:rPr>
          <w:rFonts w:ascii="Arial" w:eastAsia="Times New Roman" w:hAnsi="Arial" w:cs="Arial"/>
          <w:color w:val="000000" w:themeColor="text1"/>
          <w:lang w:val="en-ZA" w:eastAsia="en-GB"/>
        </w:rPr>
        <w:instrText>ADDIN CSL_CITATION {"citationItems":[{"id":"ITEM-1","itemData":{"DOI":"10.7717/peerj.203","ISSN":"21678359","abstract":"Here, we introduce ezRAD, a novel strategy for restriction site-associated DNA (RAD) that requires little technical expertise or investment in laboratory equipment, and demonstrate its utility for ten non-model organisms across a wide taxonomic range. ezRAD differs fromother RAD methods primarily through its use of standard Illumina TruSeq library preparation kits, which makes it possible for any laboratory to send out to a commercial genomic core facility for library preparation and next-generation sequencing with virtually no additional investment beyond the cost of the service itself. This simplification opens RADseq to any lab with the ability to extract DNA and perform a restriction digest. ezRAD also differs from others in its flexibility to use any restriction enzyme (or combination of enzymes) that cuts frequently enough to generate fragments of the desired size range, without requiring the purchase of separate adapters for each enzyme or a sonication step, which can further decrease the cost involved in choosing optimal enzymes for particular species and research questions. We apply this method across a wide taxonomic diversity of non-model organisms to demonstrate the utility and flexibility of our approach. The simplicity of ezRAD makes it particularly useful for the discovery of single nucleotide polymorphisms and targeted amplicon sequencing in natural populations of nonmodel organisms that have been historically understudied because of lack of genomic information. © 2013 Fuertes et al.","author":[{"dropping-particle":"","family":"Toonen","given":"Robert J.","non-dropping-particle":"","parse-names":false,"suffix":""},{"dropping-particle":"","family":"Puritz","given":"Jonathan B.","non-dropping-particle":"","parse-names":false,"suffix":""},{"dropping-particle":"","family":"Forsman","given":"Zac H.","non-dropping-particle":"","parse-names":false,"suffix":""},{"dropping-particle":"","family":"Whitney","given":"Jonathan L.","non-dropping-particle":"","parse-names":false,"suffix":""},{"dropping-particle":"","family":"Fernandez-Silva","given":"Iria","non-dropping-particle":"","parse-names":false,"suffix":""},{"dropping-particle":"","family":"Andrews","given":"Kimberly R.","non-dropping-particle":"","parse-names":false,"suffix":""},{"dropping-particle":"","family":"Bird","given":"Christopher E.","non-dropping-particle":"","parse-names":false,"suffix":""}],"container-title":"PeerJ","id":"ITEM-1","issue":"1","issued":{"date-parts":[["2013"]]},"title":"ezRAD: A simplified method for genomic genotyping in non-model organisms","type":"article-journal","volume":"2013"},"uris":["http://www.mendeley.com/documents/?uuid=97d1ae6c-13a6-3e59-a28d-1664530e99f4"]}],"mendeley":{"formattedCitation":"(Toonen et al. 2013)","plainTextFormattedCitation":"(Toonen et al. 2013)","previouslyFormattedCitation":"(Toonen et al. 2013)"},"properties":{"noteIndex":0},"schema":"https://github.com/citation-style-language/schema/raw/master/csl-citation.json"}</w:instrText>
      </w:r>
      <w:r w:rsidRPr="00533EAC">
        <w:rPr>
          <w:rFonts w:ascii="Arial" w:eastAsia="Times New Roman" w:hAnsi="Arial" w:cs="Arial"/>
          <w:color w:val="000000" w:themeColor="text1"/>
          <w:lang w:val="en-ZA" w:eastAsia="en-GB"/>
        </w:rPr>
        <w:fldChar w:fldCharType="separate"/>
      </w:r>
      <w:r w:rsidR="003A4A3A" w:rsidRPr="00533EAC">
        <w:rPr>
          <w:rFonts w:ascii="Arial" w:eastAsia="Times New Roman" w:hAnsi="Arial" w:cs="Arial"/>
          <w:noProof/>
          <w:color w:val="000000" w:themeColor="text1"/>
          <w:lang w:val="en-ZA" w:eastAsia="en-GB"/>
        </w:rPr>
        <w:t>(Toonen et al. 2013)</w:t>
      </w:r>
      <w:r w:rsidRPr="00533EAC">
        <w:rPr>
          <w:rFonts w:ascii="Arial" w:eastAsia="Times New Roman" w:hAnsi="Arial" w:cs="Arial"/>
          <w:color w:val="000000" w:themeColor="text1"/>
          <w:lang w:val="en-ZA" w:eastAsia="en-GB"/>
        </w:rPr>
        <w:fldChar w:fldCharType="end"/>
      </w:r>
      <w:r w:rsidRPr="00533EAC">
        <w:rPr>
          <w:rFonts w:ascii="Arial" w:eastAsia="Calibri" w:hAnsi="Arial" w:cs="Arial"/>
          <w:color w:val="000000" w:themeColor="text1"/>
          <w:lang w:val="en-ZA"/>
        </w:rPr>
        <w:t xml:space="preserve">, </w:t>
      </w:r>
      <w:r w:rsidR="00330F0A" w:rsidRPr="00533EAC">
        <w:rPr>
          <w:rFonts w:ascii="Arial" w:eastAsia="Calibri" w:hAnsi="Arial" w:cs="Arial"/>
          <w:color w:val="000000" w:themeColor="text1"/>
          <w:lang w:val="en-ZA"/>
        </w:rPr>
        <w:t xml:space="preserve">and </w:t>
      </w:r>
      <w:r w:rsidRPr="00533EAC">
        <w:rPr>
          <w:rFonts w:ascii="Arial" w:eastAsia="Calibri" w:hAnsi="Arial" w:cs="Arial"/>
          <w:color w:val="000000" w:themeColor="text1"/>
          <w:lang w:val="en-ZA"/>
        </w:rPr>
        <w:t xml:space="preserve">were sequenced at the </w:t>
      </w:r>
      <w:r w:rsidR="00760127" w:rsidRPr="00533EAC">
        <w:rPr>
          <w:rFonts w:ascii="Arial" w:eastAsia="Calibri" w:hAnsi="Arial" w:cs="Arial"/>
          <w:color w:val="000000" w:themeColor="text1"/>
          <w:lang w:val="en-ZA"/>
        </w:rPr>
        <w:t>Genome Centre at the Max Planck Institute for Plant Breeding Research</w:t>
      </w:r>
      <w:r w:rsidR="00460F3A"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Cologne</w:t>
      </w:r>
      <w:r w:rsidR="00460F3A" w:rsidRPr="00533EAC">
        <w:rPr>
          <w:rFonts w:ascii="Arial" w:eastAsia="Calibri" w:hAnsi="Arial" w:cs="Arial"/>
          <w:color w:val="000000" w:themeColor="text1"/>
          <w:lang w:val="en-ZA"/>
        </w:rPr>
        <w:t>, Germany),</w:t>
      </w:r>
      <w:r w:rsidRPr="00533EAC">
        <w:rPr>
          <w:rFonts w:ascii="Arial" w:eastAsia="Times New Roman" w:hAnsi="Arial" w:cs="Arial"/>
          <w:color w:val="000000" w:themeColor="text1"/>
          <w:lang w:val="en-ZA" w:eastAsia="en-GB"/>
        </w:rPr>
        <w:t xml:space="preserve"> </w:t>
      </w:r>
      <w:r w:rsidRPr="00533EAC">
        <w:rPr>
          <w:rFonts w:ascii="Arial" w:eastAsia="Calibri" w:hAnsi="Arial" w:cs="Arial"/>
          <w:color w:val="000000" w:themeColor="text1"/>
          <w:lang w:val="en-ZA"/>
        </w:rPr>
        <w:t xml:space="preserve">on an Illumina Hiseq3000 platform (Illumina, USA) using 150 base pair (bp) paired-end chemistry. The </w:t>
      </w:r>
      <w:proofErr w:type="spellStart"/>
      <w:r w:rsidRPr="00533EAC">
        <w:rPr>
          <w:rFonts w:ascii="Arial" w:eastAsia="Calibri" w:hAnsi="Arial" w:cs="Arial"/>
          <w:color w:val="000000" w:themeColor="text1"/>
          <w:lang w:val="en-ZA"/>
        </w:rPr>
        <w:t>ezRAD</w:t>
      </w:r>
      <w:proofErr w:type="spellEnd"/>
      <w:r w:rsidRPr="00533EAC">
        <w:rPr>
          <w:rFonts w:ascii="Arial" w:eastAsia="Calibri" w:hAnsi="Arial" w:cs="Arial"/>
          <w:color w:val="000000" w:themeColor="text1"/>
          <w:lang w:val="en-ZA"/>
        </w:rPr>
        <w:t xml:space="preserve"> method does not amplify the whole mitogenome but only the regions fla</w:t>
      </w:r>
      <w:r w:rsidR="00FD23C8" w:rsidRPr="00533EAC">
        <w:rPr>
          <w:rFonts w:ascii="Arial" w:eastAsia="Calibri" w:hAnsi="Arial" w:cs="Arial"/>
          <w:color w:val="000000" w:themeColor="text1"/>
          <w:lang w:val="en-ZA"/>
        </w:rPr>
        <w:t>n</w:t>
      </w:r>
      <w:r w:rsidRPr="00533EAC">
        <w:rPr>
          <w:rFonts w:ascii="Arial" w:eastAsia="Calibri" w:hAnsi="Arial" w:cs="Arial"/>
          <w:color w:val="000000" w:themeColor="text1"/>
          <w:lang w:val="en-ZA"/>
        </w:rPr>
        <w:t xml:space="preserve">ked by two restriction enzymes </w:t>
      </w:r>
      <w:r w:rsidRPr="00533EAC">
        <w:rPr>
          <w:rFonts w:ascii="Arial" w:eastAsia="Times New Roman" w:hAnsi="Arial" w:cs="Arial"/>
          <w:color w:val="000000" w:themeColor="text1"/>
          <w:lang w:val="en-ZA" w:eastAsia="en-GB"/>
        </w:rPr>
        <w:fldChar w:fldCharType="begin" w:fldLock="1"/>
      </w:r>
      <w:r w:rsidR="0097798B" w:rsidRPr="00533EAC">
        <w:rPr>
          <w:rFonts w:ascii="Arial" w:eastAsia="Times New Roman" w:hAnsi="Arial" w:cs="Arial"/>
          <w:color w:val="000000" w:themeColor="text1"/>
          <w:lang w:val="en-ZA" w:eastAsia="en-GB"/>
        </w:rPr>
        <w:instrText>ADDIN CSL_CITATION {"citationItems":[{"id":"ITEM-1","itemData":{"DOI":"10.7717/peerj.203","ISSN":"21678359","abstract":"Here, we introduce ezRAD, a novel strategy for restriction site-associated DNA (RAD) that requires little technical expertise or investment in laboratory equipment, and demonstrate its utility for ten non-model organisms across a wide taxonomic range. ezRAD differs fromother RAD methods primarily through its use of standard Illumina TruSeq library preparation kits, which makes it possible for any laboratory to send out to a commercial genomic core facility for library preparation and next-generation sequencing with virtually no additional investment beyond the cost of the service itself. This simplification opens RADseq to any lab with the ability to extract DNA and perform a restriction digest. ezRAD also differs from others in its flexibility to use any restriction enzyme (or combination of enzymes) that cuts frequently enough to generate fragments of the desired size range, without requiring the purchase of separate adapters for each enzyme or a sonication step, which can further decrease the cost involved in choosing optimal enzymes for particular species and research questions. We apply this method across a wide taxonomic diversity of non-model organisms to demonstrate the utility and flexibility of our approach. The simplicity of ezRAD makes it particularly useful for the discovery of single nucleotide polymorphisms and targeted amplicon sequencing in natural populations of nonmodel organisms that have been historically understudied because of lack of genomic information. © 2013 Fuertes et al.","author":[{"dropping-particle":"","family":"Toonen","given":"Robert J.","non-dropping-particle":"","parse-names":false,"suffix":""},{"dropping-particle":"","family":"Puritz","given":"Jonathan B.","non-dropping-particle":"","parse-names":false,"suffix":""},{"dropping-particle":"","family":"Forsman","given":"Zac H.","non-dropping-particle":"","parse-names":false,"suffix":""},{"dropping-particle":"","family":"Whitney","given":"Jonathan L.","non-dropping-particle":"","parse-names":false,"suffix":""},{"dropping-particle":"","family":"Fernandez-Silva","given":"Iria","non-dropping-particle":"","parse-names":false,"suffix":""},{"dropping-particle":"","family":"Andrews","given":"Kimberly R.","non-dropping-particle":"","parse-names":false,"suffix":""},{"dropping-particle":"","family":"Bird","given":"Christopher E.","non-dropping-particle":"","parse-names":false,"suffix":""}],"container-title":"PeerJ","id":"ITEM-1","issue":"1","issued":{"date-parts":[["2013"]]},"title":"ezRAD: A simplified method for genomic genotyping in non-model organisms","type":"article-journal","volume":"2013"},"uris":["http://www.mendeley.com/documents/?uuid=97d1ae6c-13a6-3e59-a28d-1664530e99f4"]}],"mendeley":{"formattedCitation":"(Toonen et al. 2013)","plainTextFormattedCitation":"(Toonen et al. 2013)","previouslyFormattedCitation":"(Toonen et al. 2013)"},"properties":{"noteIndex":0},"schema":"https://github.com/citation-style-language/schema/raw/master/csl-citation.json"}</w:instrText>
      </w:r>
      <w:r w:rsidRPr="00533EAC">
        <w:rPr>
          <w:rFonts w:ascii="Arial" w:eastAsia="Times New Roman" w:hAnsi="Arial" w:cs="Arial"/>
          <w:color w:val="000000" w:themeColor="text1"/>
          <w:lang w:val="en-ZA" w:eastAsia="en-GB"/>
        </w:rPr>
        <w:fldChar w:fldCharType="separate"/>
      </w:r>
      <w:r w:rsidR="003A4A3A" w:rsidRPr="00533EAC">
        <w:rPr>
          <w:rFonts w:ascii="Arial" w:eastAsia="Times New Roman" w:hAnsi="Arial" w:cs="Arial"/>
          <w:noProof/>
          <w:color w:val="000000" w:themeColor="text1"/>
          <w:lang w:val="en-ZA" w:eastAsia="en-GB"/>
        </w:rPr>
        <w:t>(Toonen et al. 2013)</w:t>
      </w:r>
      <w:r w:rsidRPr="00533EAC">
        <w:rPr>
          <w:rFonts w:ascii="Arial" w:eastAsia="Times New Roman" w:hAnsi="Arial" w:cs="Arial"/>
          <w:color w:val="000000" w:themeColor="text1"/>
          <w:lang w:val="en-ZA" w:eastAsia="en-GB"/>
        </w:rPr>
        <w:fldChar w:fldCharType="end"/>
      </w:r>
      <w:r w:rsidRPr="00533EAC">
        <w:rPr>
          <w:rFonts w:ascii="Arial" w:eastAsia="Calibri" w:hAnsi="Arial" w:cs="Arial"/>
          <w:color w:val="000000" w:themeColor="text1"/>
          <w:lang w:val="en-ZA"/>
        </w:rPr>
        <w:t xml:space="preserve">. </w:t>
      </w:r>
      <w:r w:rsidR="005D15DC" w:rsidRPr="00533EAC">
        <w:rPr>
          <w:rFonts w:ascii="Arial" w:eastAsia="Calibri" w:hAnsi="Arial" w:cs="Arial"/>
          <w:color w:val="000000" w:themeColor="text1"/>
          <w:lang w:val="en-ZA"/>
        </w:rPr>
        <w:t>Raw reads were analysed with</w:t>
      </w:r>
      <w:r w:rsidRPr="00533EAC">
        <w:rPr>
          <w:rFonts w:ascii="Arial" w:eastAsia="Calibri" w:hAnsi="Arial" w:cs="Arial"/>
          <w:color w:val="000000" w:themeColor="text1"/>
          <w:lang w:val="en-ZA"/>
        </w:rPr>
        <w:t xml:space="preserve"> </w:t>
      </w:r>
      <w:proofErr w:type="spellStart"/>
      <w:r w:rsidRPr="00533EAC">
        <w:rPr>
          <w:rFonts w:ascii="Arial" w:eastAsia="Calibri" w:hAnsi="Arial" w:cs="Arial"/>
          <w:color w:val="000000" w:themeColor="text1"/>
          <w:lang w:val="en-ZA"/>
        </w:rPr>
        <w:t>FastQC</w:t>
      </w:r>
      <w:proofErr w:type="spellEnd"/>
      <w:r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{"citationItems":[{"id":"ITEM-1","itemData":{"DOI":"10.1093/nar/gkp1137","ISSN":"0305-1048","abstract":"FASTQ has emerged as a common file format for sharing sequencing read data combining both the sequence and an associated per base quality score, despite lacking any formal definition to date, and existing in at least three incompatible variants. This article defines the FASTQ format, covering the original Sanger standard, the Solexa/Illumina variants and conversion between them, based on publicly available information such as the MAQ documentation and conventions recently agreed by the Open Bioinformatics Foundation projects Biopython, BioPerl, BioRuby, BioJava and EMBOSS. Being an open access publication, it is hoped that this description, with the example files provided as Supplementary Data, will serve in future as a reference for this important file format.","author":[{"dropping-particle":"","family":"Cock","given":"Peter J A","non-dropping-particle":"","parse-names":false,"suffix":""},{"dropping-particle":"","family":"Fields","given":"Christopher J","non-dropping-particle":"","parse-names":false,"suffix":""},{"dropping-particle":"","family":"Goto","given":"Naohisa","non-dropping-particle":"","parse-names":false,"suffix":""},{"dropping-particle":"","family":"Heuer","given":"Michael L","non-dropping-particle":"","parse-names":false,"suffix":""},{"dropping-particle":"","family":"Rice","given":"Peter M","non-dropping-particle":"","parse-names":false,"suffix":""}],"container-title":"Nucleic Acids Research","id":"ITEM-1","issue":"6","issued":{"date-parts":[["2009","12","16"]]},"page":"1767-1771","title":"The Sanger FASTQ file format for sequences with quality scores, and the Solexa/Illumina FASTQ variants","type":"article-journal","volume":"38"},"uris":["http://www.mendeley.com/documents/?uuid=07ee8e91-2cbc-3da0-abd3-91ae91ffee7d"]}],"mendeley":{"formattedCitation":"(Cock et al. 2009)","plainTextFormattedCitation":"(Cock et al. 2009)","previouslyFormattedCitation":"(Cock et al. 2009)"},"properties":{"noteIndex":0},"schema":"https://github.com/citation-style-language/schema/raw/master/csl-citation.json"}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(Cock et al. 2009)</w:t>
      </w:r>
      <w:r w:rsidRPr="00533EAC">
        <w:rPr>
          <w:rFonts w:ascii="Arial" w:eastAsia="Calibri" w:hAnsi="Arial" w:cs="Arial"/>
          <w:color w:val="000000" w:themeColor="text1"/>
          <w:lang w:val="en-ZA"/>
        </w:rPr>
        <w:fldChar w:fldCharType="end"/>
      </w:r>
      <w:r w:rsidR="005D15DC" w:rsidRPr="00533EAC">
        <w:rPr>
          <w:rFonts w:ascii="Arial" w:eastAsia="Calibri" w:hAnsi="Arial" w:cs="Arial"/>
          <w:color w:val="000000" w:themeColor="text1"/>
          <w:lang w:val="en-ZA"/>
        </w:rPr>
        <w:t xml:space="preserve">, and where removed when the following conditions were met: </w:t>
      </w:r>
      <w:r w:rsidRPr="00533EAC">
        <w:rPr>
          <w:rFonts w:ascii="Arial" w:eastAsia="Calibri" w:hAnsi="Arial" w:cs="Arial"/>
          <w:color w:val="000000" w:themeColor="text1"/>
          <w:lang w:val="en-ZA"/>
        </w:rPr>
        <w:sym w:font="Symbol" w:char="F0B3"/>
      </w:r>
      <w:r w:rsidRPr="00533EAC">
        <w:rPr>
          <w:rFonts w:ascii="Arial" w:eastAsia="Calibri" w:hAnsi="Arial" w:cs="Arial"/>
          <w:color w:val="000000" w:themeColor="text1"/>
          <w:lang w:val="en-ZA"/>
        </w:rPr>
        <w:t xml:space="preserve">10% unidentified nucleotides, </w:t>
      </w:r>
      <w:r w:rsidRPr="00533EAC">
        <w:rPr>
          <w:rFonts w:ascii="Arial" w:eastAsia="Calibri" w:hAnsi="Arial" w:cs="Arial"/>
          <w:color w:val="000000" w:themeColor="text1"/>
          <w:lang w:val="en-ZA"/>
        </w:rPr>
        <w:sym w:font="Symbol" w:char="F03E"/>
      </w:r>
      <w:r w:rsidRPr="00533EAC">
        <w:rPr>
          <w:rFonts w:ascii="Arial" w:eastAsia="Calibri" w:hAnsi="Arial" w:cs="Arial"/>
          <w:color w:val="000000" w:themeColor="text1"/>
          <w:lang w:val="en-ZA"/>
        </w:rPr>
        <w:t xml:space="preserve">50% of bases having </w:t>
      </w:r>
      <w:proofErr w:type="spellStart"/>
      <w:r w:rsidRPr="00533EAC">
        <w:rPr>
          <w:rFonts w:ascii="Arial" w:eastAsia="Calibri" w:hAnsi="Arial" w:cs="Arial"/>
          <w:color w:val="000000" w:themeColor="text1"/>
          <w:lang w:val="en-ZA"/>
        </w:rPr>
        <w:t>phred</w:t>
      </w:r>
      <w:proofErr w:type="spellEnd"/>
      <w:r w:rsidRPr="00533EAC">
        <w:rPr>
          <w:rFonts w:ascii="Arial" w:eastAsia="Calibri" w:hAnsi="Arial" w:cs="Arial"/>
          <w:color w:val="000000" w:themeColor="text1"/>
          <w:lang w:val="en-ZA"/>
        </w:rPr>
        <w:t xml:space="preserve"> quality </w:t>
      </w:r>
      <w:r w:rsidRPr="00533EAC">
        <w:rPr>
          <w:rFonts w:ascii="Arial" w:eastAsia="Calibri" w:hAnsi="Arial" w:cs="Arial"/>
          <w:color w:val="000000" w:themeColor="text1"/>
          <w:lang w:val="en-ZA"/>
        </w:rPr>
        <w:sym w:font="Symbol" w:char="F03C"/>
      </w:r>
      <w:r w:rsidRPr="00533EAC">
        <w:rPr>
          <w:rFonts w:ascii="Arial" w:eastAsia="Calibri" w:hAnsi="Arial" w:cs="Arial"/>
          <w:color w:val="000000" w:themeColor="text1"/>
          <w:lang w:val="en-ZA"/>
        </w:rPr>
        <w:t>20</w:t>
      </w:r>
      <w:r w:rsidR="005D15DC"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and reads with </w:t>
      </w:r>
      <w:r w:rsidRPr="00533EAC">
        <w:rPr>
          <w:rFonts w:ascii="Arial" w:eastAsia="Calibri" w:hAnsi="Arial" w:cs="Arial"/>
          <w:color w:val="000000" w:themeColor="text1"/>
          <w:lang w:val="en-ZA"/>
        </w:rPr>
        <w:sym w:font="Symbol" w:char="F03E"/>
      </w:r>
      <w:r w:rsidRPr="00533EAC">
        <w:rPr>
          <w:rFonts w:ascii="Arial" w:eastAsia="Calibri" w:hAnsi="Arial" w:cs="Arial"/>
          <w:color w:val="000000" w:themeColor="text1"/>
          <w:lang w:val="en-ZA"/>
        </w:rPr>
        <w:t xml:space="preserve">10 </w:t>
      </w:r>
      <w:proofErr w:type="spellStart"/>
      <w:r w:rsidRPr="00533EAC">
        <w:rPr>
          <w:rFonts w:ascii="Arial" w:eastAsia="Calibri" w:hAnsi="Arial" w:cs="Arial"/>
          <w:color w:val="000000" w:themeColor="text1"/>
          <w:lang w:val="en-ZA"/>
        </w:rPr>
        <w:t>nt</w:t>
      </w:r>
      <w:proofErr w:type="spellEnd"/>
      <w:r w:rsidRPr="00533EAC">
        <w:rPr>
          <w:rFonts w:ascii="Arial" w:eastAsia="Calibri" w:hAnsi="Arial" w:cs="Arial"/>
          <w:color w:val="000000" w:themeColor="text1"/>
          <w:lang w:val="en-ZA"/>
        </w:rPr>
        <w:t xml:space="preserve"> aligned to the adapter (allowing </w:t>
      </w:r>
      <m:oMath>
        <m:r>
          <w:rPr>
            <w:rFonts w:ascii="Cambria Math" w:eastAsia="Calibri" w:hAnsi="Cambria Math" w:cs="Arial"/>
            <w:color w:val="000000" w:themeColor="text1"/>
            <w:lang w:val="en-ZA"/>
          </w:rPr>
          <m:t>≤</m:t>
        </m:r>
      </m:oMath>
      <w:r w:rsidRPr="00533EAC">
        <w:rPr>
          <w:rFonts w:ascii="Arial" w:eastAsia="Calibri" w:hAnsi="Arial" w:cs="Arial"/>
          <w:color w:val="000000" w:themeColor="text1"/>
          <w:lang w:val="en-ZA"/>
        </w:rPr>
        <w:t xml:space="preserve">10% mismatches). Presumed duplicates generated by PCR amplification in the library construction process were </w:t>
      </w:r>
      <w:r w:rsidR="005D15DC" w:rsidRPr="00533EAC">
        <w:rPr>
          <w:rFonts w:ascii="Arial" w:eastAsia="Calibri" w:hAnsi="Arial" w:cs="Arial"/>
          <w:color w:val="000000" w:themeColor="text1"/>
          <w:lang w:val="en-ZA"/>
        </w:rPr>
        <w:t xml:space="preserve">also </w:t>
      </w:r>
      <w:r w:rsidRPr="00533EAC">
        <w:rPr>
          <w:rFonts w:ascii="Arial" w:eastAsia="Calibri" w:hAnsi="Arial" w:cs="Arial"/>
          <w:color w:val="000000" w:themeColor="text1"/>
          <w:lang w:val="en-ZA"/>
        </w:rPr>
        <w:t xml:space="preserve">discarded. TRIMMOMATIC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{"citationItems":[{"id":"ITEM-1","itemData":{"DOI":"10.1093/bioinformatics/btu170","ISSN":"14602059","abstract":"MOTIVATION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 usadel@bio1.rwth-aachen.de SUPPLEMENTARY INFORMATION Supplementary data are available at Bioinformatics online.","author":[{"dropping-particle":"","family":"Bolger","given":"Anthony M.","non-dropping-particle":"","parse-names":false,"suffix":""},{"dropping-particle":"","family":"Lohse","given":"Marc","non-dropping-particle":"","parse-names":false,"suffix":""},{"dropping-particle":"","family":"Usadel","given":"Bjoern","non-dropping-particle":"","parse-names":false,"suffix":""}],"container-title":"Bioinformatics","id":"ITEM-1","issue":"15","issued":{"date-parts":[["2014","8","1"]]},"page":"2114-2120","publisher":"Oxford University Press","title":"Trimmomatic: A flexible trimmer for Illumina sequence data","type":"article-journal","volume":"30"},"uris":["http://www.mendeley.com/documents/?uuid=3c7532e3-4436-3fe1-b562-eb16c2522135"]}],"mendeley":{"formattedCitation":"(Bolger et al. 2014)","plainTextFormattedCitation":"(Bolger et al. 2014)","previouslyFormattedCitation":"(Bolger et al. 2014)"},"properties":{"noteIndex":0},"schema":"https://github.com/citation-style-language/schema/raw/master/csl-citation.json"}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(Bolger et al. 2014)</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was used to remove adapters, and reads shorter than 150bp were discarded. </w:t>
      </w:r>
      <w:r w:rsidR="00460F3A" w:rsidRPr="00533EAC">
        <w:rPr>
          <w:rFonts w:ascii="Arial" w:eastAsia="Calibri" w:hAnsi="Arial" w:cs="Arial"/>
          <w:color w:val="000000" w:themeColor="text1"/>
          <w:lang w:val="en-ZA"/>
        </w:rPr>
        <w:t xml:space="preserve">The </w:t>
      </w:r>
      <w:r w:rsidRPr="00533EAC">
        <w:rPr>
          <w:rFonts w:ascii="Arial" w:eastAsia="Calibri" w:hAnsi="Arial" w:cs="Arial"/>
          <w:color w:val="000000" w:themeColor="text1"/>
          <w:lang w:val="en-ZA"/>
        </w:rPr>
        <w:t>CLC GENOMIC WORKBENCH 12.0 (CLC Inc., Aarhus, Denmark) with default settings</w:t>
      </w:r>
      <w:r w:rsidR="005D15DC" w:rsidRPr="00533EAC">
        <w:rPr>
          <w:rFonts w:ascii="Arial" w:eastAsia="Calibri" w:hAnsi="Arial" w:cs="Arial"/>
          <w:color w:val="000000" w:themeColor="text1"/>
          <w:lang w:val="en-ZA"/>
        </w:rPr>
        <w:t xml:space="preserve"> was used for quality control and read assembly</w:t>
      </w:r>
      <w:r w:rsidRPr="00533EAC">
        <w:rPr>
          <w:rFonts w:ascii="Arial" w:eastAsia="Calibri" w:hAnsi="Arial" w:cs="Arial"/>
          <w:color w:val="000000" w:themeColor="text1"/>
          <w:lang w:val="en-ZA"/>
        </w:rPr>
        <w:t xml:space="preserve">. All the </w:t>
      </w:r>
      <w:r w:rsidR="005D15DC" w:rsidRPr="00533EAC">
        <w:rPr>
          <w:rFonts w:ascii="Arial" w:eastAsia="Calibri" w:hAnsi="Arial" w:cs="Arial"/>
          <w:color w:val="000000" w:themeColor="text1"/>
          <w:lang w:val="en-ZA"/>
        </w:rPr>
        <w:t>resulting reads</w:t>
      </w:r>
      <w:r w:rsidR="000B59AC" w:rsidRPr="00533EAC">
        <w:rPr>
          <w:rFonts w:ascii="Arial" w:eastAsia="Calibri" w:hAnsi="Arial" w:cs="Arial"/>
          <w:color w:val="000000" w:themeColor="text1"/>
          <w:lang w:val="en-ZA"/>
        </w:rPr>
        <w:t xml:space="preserve"> were mapped against</w:t>
      </w:r>
      <w:r w:rsidR="005D15DC" w:rsidRPr="00533EAC">
        <w:rPr>
          <w:rFonts w:ascii="Arial" w:eastAsia="Calibri" w:hAnsi="Arial" w:cs="Arial"/>
          <w:color w:val="000000" w:themeColor="text1"/>
          <w:lang w:val="en-ZA"/>
        </w:rPr>
        <w:t xml:space="preserve"> the complete mitochondrial genome of</w:t>
      </w:r>
      <w:r w:rsidR="000B59AC" w:rsidRPr="00533EAC">
        <w:rPr>
          <w:rFonts w:ascii="Arial" w:eastAsia="Calibri" w:hAnsi="Arial" w:cs="Arial"/>
          <w:color w:val="000000" w:themeColor="text1"/>
          <w:lang w:val="en-ZA"/>
        </w:rPr>
        <w:t xml:space="preserve"> </w:t>
      </w:r>
      <w:r w:rsidR="000B59AC" w:rsidRPr="00533EAC">
        <w:rPr>
          <w:rFonts w:ascii="Arial" w:eastAsia="Calibri" w:hAnsi="Arial" w:cs="Arial"/>
          <w:i/>
          <w:color w:val="000000" w:themeColor="text1"/>
          <w:lang w:val="en-ZA"/>
        </w:rPr>
        <w:t xml:space="preserve">P. </w:t>
      </w:r>
      <w:proofErr w:type="spellStart"/>
      <w:r w:rsidR="000B59AC" w:rsidRPr="00533EAC">
        <w:rPr>
          <w:rFonts w:ascii="Arial" w:eastAsia="Calibri" w:hAnsi="Arial" w:cs="Arial"/>
          <w:i/>
          <w:color w:val="000000" w:themeColor="text1"/>
          <w:lang w:val="en-ZA"/>
        </w:rPr>
        <w:t>gangelion</w:t>
      </w:r>
      <w:proofErr w:type="spellEnd"/>
      <w:r w:rsidR="000B59AC" w:rsidRPr="00533EAC">
        <w:rPr>
          <w:rFonts w:ascii="Arial" w:eastAsia="Calibri" w:hAnsi="Arial" w:cs="Arial"/>
          <w:color w:val="000000" w:themeColor="text1"/>
          <w:lang w:val="en-ZA"/>
        </w:rPr>
        <w:t xml:space="preserve"> </w:t>
      </w:r>
      <w:r w:rsidR="000B59AC" w:rsidRPr="00533EAC">
        <w:rPr>
          <w:rFonts w:ascii="Arial" w:eastAsia="Calibri" w:hAnsi="Arial" w:cs="Arial"/>
          <w:iCs/>
          <w:color w:val="000000" w:themeColor="text1"/>
          <w:lang w:val="en-ZA"/>
        </w:rPr>
        <w:t>(</w:t>
      </w:r>
      <w:r w:rsidR="000B59AC" w:rsidRPr="00533EAC">
        <w:rPr>
          <w:rFonts w:ascii="Arial" w:eastAsia="Calibri" w:hAnsi="Arial" w:cs="Arial"/>
          <w:color w:val="000000" w:themeColor="text1"/>
          <w:lang w:val="en-ZA"/>
        </w:rPr>
        <w:t xml:space="preserve">GenBank accession number NC_021465; </w:t>
      </w:r>
      <w:r w:rsidR="000B59AC" w:rsidRPr="00533EAC">
        <w:rPr>
          <w:rFonts w:ascii="Arial" w:eastAsia="Calibri" w:hAnsi="Arial" w:cs="Arial"/>
          <w:color w:val="000000" w:themeColor="text1"/>
          <w:lang w:val="en-ZA"/>
        </w:rPr>
        <w:fldChar w:fldCharType="begin" w:fldLock="1"/>
      </w:r>
      <w:r w:rsidR="000B59AC" w:rsidRPr="00533EAC">
        <w:rPr>
          <w:rFonts w:ascii="Arial" w:eastAsia="Calibri" w:hAnsi="Arial" w:cs="Arial"/>
          <w:color w:val="000000" w:themeColor="text1"/>
          <w:lang w:val="en-ZA"/>
        </w:rPr>
        <w:instrText>ADDIN CSL_CITATION {"citationItems":[{"id":"ITEM-1","itemData":{"DOI":"10.1093/gbe/evt081","ISBN":"1759-6653 (Electronic)\\r1759-6653 (Linking)","ISSN":"17596653","PMID":"23709623","abstract":"Ascidians or sea squirts form a diverse group within chordates, which includes a few thousand members of marine sessile filter-feeding animals. Their mitochondrial genomes are characterized by particularly high evolutionary rates and rampant gene rearrangements. This extreme variability complicates standard polymerase chain reaction (PCR) based techniques for molecular characterization studies, and consequently only a few complete Ascidian mitochondrial genome sequences are available. Using the standard PCR and Sanger sequencing approach, we produced the mitochondrial genome of Ascidiella aspersa only after a great effort. In contrast, we produced five additional mitogenomes (Botrylloides aff. leachii, Halocynthia spinosa, Polycarpa mytiligera, Pyura gangelion, and Rhodosoma turcicum) with a novel strategy, consisting in sequencing the pooled total DNA samples of these five species using one Illumina HiSeq 2000 flow cell lane. Each mitogenome was efficiently assembled in a single contig using de novo transcriptome assembly, as de novo genome assembly generally performed poorly for this task. Each of the new six mitogenomes presents a different and novel gene order, showing that no syntenic block has been conserved at the ordinal level (in Stolidobranchia and in Phlebobranchia). Phylogenetic analyses support the paraphyly of both Ascidiacea and Phlebobranchia, with Thaliacea nested inside Phlebobranchia, although the deepest nodes of the Phlebobranchia-Thaliacea clade are not well resolved. The strategy described here thus provides a cost-effective approach to obtain complete mitogenomes characterized by a highly plastic gene order and a fast nucleotide/amino acid substitution rate.","author":[{"dropping-particle":"","family":"Rubinstein","given":"Nimrod D.","non-dropping-particle":"","parse-names":false,"suffix":""},{"dropping-particle":"","family":"Feldstein","given":"Tamar","non-dropping-particle":"","parse-names":false,"suffix":""},{"dropping-particle":"","family":"Shenkar","given":"Noa","non-dropping-particle":"","parse-names":false,"suffix":""},{"dropping-particle":"","family":"Botero-Castro","given":"Fidel","non-dropping-particle":"","parse-names":false,"suffix":""},{"dropping-particle":"","family":"Griggio","given":"Francesca","non-dropping-particle":"","parse-names":false,"suffix":""},{"dropping-particle":"","family":"Mastrototaro","given":"Francesco","non-dropping-particle":"","parse-names":false,"suffix":""},{"dropping-particle":"","family":"Delsuc","given":"Frédéric","non-dropping-particle":"","parse-names":false,"suffix":""},{"dropping-particle":"","family":"Douzery","given":"Emmanuel J.P.","non-dropping-particle":"","parse-names":false,"suffix":""},{"dropping-particle":"","family":"Gissi","given":"Carmela","non-dropping-particle":"","parse-names":false,"suffix":""},{"dropping-particle":"","family":"Huchon","given":"Dorothée","non-dropping-particle":"","parse-names":false,"suffix":""}],"container-title":"Genome Biology and Evolution","id":"ITEM-1","issue":"6","issued":{"date-parts":[["2013"]]},"page":"1185-1199","title":"Deep sequencing of mixed total DNA without barcodes allows efficient assembly of highly plastic Ascidian mitochondrial genomes","type":"article-journal","volume":"5"},"uris":["http://www.mendeley.com/documents/?uuid=09ae5828-0fd4-4974-960e-f602fdfbb131"]}],"mendeley":{"formattedCitation":"(Rubinstein et al. 2013)","manualFormatting":"Rubinstein et al. 2013)","plainTextFormattedCitation":"(Rubinstein et al. 2013)","previouslyFormattedCitation":"(Rubinstein et al. 2013)"},"properties":{"noteIndex":0},"schema":"https://github.com/citation-style-language/schema/raw/master/csl-citation.json"}</w:instrText>
      </w:r>
      <w:r w:rsidR="000B59AC" w:rsidRPr="00533EAC">
        <w:rPr>
          <w:rFonts w:ascii="Arial" w:eastAsia="Calibri" w:hAnsi="Arial" w:cs="Arial"/>
          <w:color w:val="000000" w:themeColor="text1"/>
          <w:lang w:val="en-ZA"/>
        </w:rPr>
        <w:fldChar w:fldCharType="separate"/>
      </w:r>
      <w:r w:rsidR="000B59AC" w:rsidRPr="00533EAC">
        <w:rPr>
          <w:rFonts w:ascii="Arial" w:eastAsia="Calibri" w:hAnsi="Arial" w:cs="Arial"/>
          <w:noProof/>
          <w:color w:val="000000" w:themeColor="text1"/>
          <w:lang w:val="en-ZA"/>
        </w:rPr>
        <w:t>Rubinstein et al. 2013)</w:t>
      </w:r>
      <w:r w:rsidR="000B59AC" w:rsidRPr="00533EAC">
        <w:rPr>
          <w:rFonts w:ascii="Arial" w:eastAsia="Calibri" w:hAnsi="Arial" w:cs="Arial"/>
          <w:color w:val="000000" w:themeColor="text1"/>
          <w:lang w:val="en-ZA"/>
        </w:rPr>
        <w:fldChar w:fldCharType="end"/>
      </w:r>
      <w:r w:rsidR="000B59AC"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 xml:space="preserve">In order to identify the most variable regions, partial mitogenomes were aligned using </w:t>
      </w:r>
      <w:r w:rsidR="005D15DC" w:rsidRPr="00533EAC">
        <w:rPr>
          <w:rFonts w:ascii="Arial" w:eastAsia="Calibri" w:hAnsi="Arial" w:cs="Arial"/>
          <w:color w:val="000000" w:themeColor="text1"/>
          <w:lang w:val="en-ZA"/>
        </w:rPr>
        <w:t>MUSCLE</w:t>
      </w:r>
      <w:r w:rsid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{"citationItems":[{"id":"ITEM-1","itemData":{"DOI":"10.1093/nar/gkh340","ISSN":"1362-4962","PMID":"15034147","abstract":"We describe MUSCLE, a new computer program for creating multiple alignments of protein sequences. Elements of the algorithm include fast distance estimation using kmer counting, progressive alignment using a new profile function we call the log-expectation score, and refinement using tree-dependent restricted partitioning. The speed and accuracy of MUSCLE are compared with T-Coffee, MAFFT and CLUSTALW on four test sets of reference alignments: BAliBASE, SABmark, SMART and a new benchmark, PREFAB. MUSCLE achieves the highest, or joint highest, rank in accuracy on each of these sets. Without refinement, MUSCLE achieves average accuracy statistically indistinguishable from T-Coffee and MAFFT, and is the fastest of the tested methods for large numbers of sequences, aligning 5000 sequences of average length 350 in 7 min on a current desktop computer. The MUSCLE program, source code and PREFAB test data are freely available at http://www.drive5. com/muscle.","author":[{"dropping-particle":"","family":"Edgar","given":"Robert C","non-dropping-particle":"","parse-names":false,"suffix":""}],"container-title":"Nucleic acids research","id":"ITEM-1","issue":"5","issued":{"date-parts":[["2004"]]},"page":"1792-7","title":"MUSCLE: multiple sequence alignment with high accuracy and high throughput.","type":"article-journal","volume":"32"},"uris":["http://www.mendeley.com/documents/?uuid=6ec9e50d-ea16-328a-b3f0-526ee51069dc","http://www.mendeley.com/documents/?uuid=faa4b419-643d-460a-a851-4cf1f82cedf5"]}],"mendeley":{"formattedCitation":"(Edgar 2004)","plainTextFormattedCitation":"(Edgar 2004)","previouslyFormattedCitation":"(Edgar 2004)"},"properties":{"noteIndex":0},"schema":"https://github.com/citation-style-language/schema/raw/master/csl-citation.json"}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(Edgar 2004)</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in </w:t>
      </w:r>
      <w:r w:rsidR="005D15DC" w:rsidRPr="00533EAC">
        <w:rPr>
          <w:rFonts w:ascii="Arial" w:eastAsia="Calibri" w:hAnsi="Arial" w:cs="Arial"/>
          <w:color w:val="000000" w:themeColor="text1"/>
          <w:lang w:val="en-ZA"/>
        </w:rPr>
        <w:t xml:space="preserve">MEGA </w:t>
      </w:r>
      <w:r w:rsidRPr="00533EAC">
        <w:rPr>
          <w:rFonts w:ascii="Arial" w:eastAsia="Calibri" w:hAnsi="Arial" w:cs="Arial"/>
          <w:color w:val="000000" w:themeColor="text1"/>
          <w:lang w:val="en-ZA"/>
        </w:rPr>
        <w:t>7</w:t>
      </w:r>
      <w:r w:rsidR="00C037ED"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{"citationItems":[{"id":"ITEM-1","itemData":{"DOI":"10.1093/molbev/msw054","ISSN":"1537-1719","PMID":"27004904","abstract":"We present the latest version of the Molecular Evolutionary Genetics Analysis (Mega) software, which contains many sophisticated methods and tools for phylogenomics and phylomedicine. In this major upgrade, Mega has been optimized for use on 64-bit computing systems for analyzing larger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 X. The command line Mega is available as native applications for Windows, Linux, and Mac OS X. They are intended for use in high-throughput and scripted analysis. Both versions are available from www.megasoftware.net free of charge.","author":[{"dropping-particle":"","family":"Kumar","given":"Sudhir","non-dropping-particle":"","parse-names":false,"suffix":""},{"dropping-particle":"","family":"Stecher","given":"Glen","non-dropping-particle":"","parse-names":false,"suffix":""},{"dropping-particle":"","family":"Tamura","given":"Koichiro","non-dropping-particle":"","parse-names":false,"suffix":""}],"container-title":"Molecular biology and evolution","id":"ITEM-1","issue":"7","issued":{"date-parts":[["2016"]]},"page":"1870-4","title":"MEGA7: Molecular Evolutionary Genetics Analysis Version 7.0 for Bigger Datasets.","type":"article-journal","volume":"33"},"uris":["http://www.mendeley.com/documents/?uuid=3a53fb2a-d5f0-3fd5-9965-fdf471d24a66"]}],"mendeley":{"formattedCitation":"(Kumar et al. 2016)","plainTextFormattedCitation":"(Kumar et al. 2016)","previouslyFormattedCitation":"(Kumar et al. 2016)"},"properties":{"noteIndex":0},"schema":"https://github.com/citation-style-language/schema/raw/master/csl-citation.json"}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(Kumar et al. 2016)</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A Bayesian </w:t>
      </w:r>
      <w:r w:rsidR="005D15DC" w:rsidRPr="00533EAC">
        <w:rPr>
          <w:rFonts w:ascii="Arial" w:eastAsia="Calibri" w:hAnsi="Arial" w:cs="Arial"/>
          <w:color w:val="000000" w:themeColor="text1"/>
          <w:lang w:val="en-ZA"/>
        </w:rPr>
        <w:t xml:space="preserve">phylogenetic </w:t>
      </w:r>
      <w:r w:rsidRPr="00533EAC">
        <w:rPr>
          <w:rFonts w:ascii="Arial" w:eastAsia="Calibri" w:hAnsi="Arial" w:cs="Arial"/>
          <w:color w:val="000000" w:themeColor="text1"/>
          <w:lang w:val="en-ZA"/>
        </w:rPr>
        <w:t xml:space="preserve">tree was constructed in BEAST 2.5.0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{"citationItems":[{"id":"ITEM-1","itemData":{"DOI":"10.1371/journal.pcbi.1003537","ISBN":"1553-734X","ISSN":"1553-7358","PMID":"24722319","abstract":"We present a new open source, extensible and flexible software platform for Bayesian evolutionary analysis called BEAST 2. This software platform is a re-design of the popular BEAST 1 platform to correct structural deficiencies that became evident as the BEAST 1 software evolved. Key among those deficiencies was the lack of post-deployment extensibility. BEAST 2 now has a fully developed package management system that allows third party developers to write additional functionality that can be directly installed to the BEAST 2 analysis platform via a package manager without requiring a new software release of the platform. This package architecture is showcased with a number of recently published new models encompassing birth-death-sampling tree priors, phylodynamics and model averaging for substitution models and site partitioning. A second major improvement is the ability to read/write the entire state of the MCMC chain to/from disk allowing it to be easily shared between multiple instances of the BEAST software. This facilitates checkpointing and better support for multi-processor and high-end computing extensions. Finally, the functionality in new packages can be easily added to the user interface (BEAUti 2) by a simple XML template-based mechanism because BEAST 2 has been re-designed to provide greater integration between the analysis engine and the user interface so that, for example BEAST and BEAUti use exactly the same XML file format.","author":[{"dropping-particle":"","family":"Bouckaert","given":"Remco","non-dropping-particle":"","parse-names":false,"suffix":""},{"dropping-particle":"","family":"Heled","given":"Joseph","non-dropping-particle":"","parse-names":false,"suffix":""},{"dropping-particle":"","family":"Kühnert","given":"Denise","non-dropping-particle":"","parse-names":false,"suffix":""},{"dropping-particle":"","family":"Vaughan","given":"Tim","non-dropping-particle":"","parse-names":false,"suffix":""},{"dropping-particle":"","family":"Wu","given":"Chieh-Hsi","non-dropping-particle":"","parse-names":false,"suffix":""},{"dropping-particle":"","family":"Xie","given":"Dong","non-dropping-particle":"","parse-names":false,"suffix":""},{"dropping-particle":"","family":"Suchard","given":"Marc A.","non-dropping-particle":"","parse-names":false,"suffix":""},{"dropping-particle":"","family":"Rambaut","given":"Andrew","non-dropping-particle":"","parse-names":false,"suffix":""},{"dropping-particle":"","family":"Drummond","given":"Alexei J.","non-dropping-particle":"","parse-names":false,"suffix":""}],"container-title":"PLoS Computational Biology","editor":[{"dropping-particle":"","family":"Prlic","given":"Andreas","non-dropping-particle":"","parse-names":false,"suffix":""}],"id":"ITEM-1","issue":"4","issued":{"date-parts":[["2014","4","10"]]},"page":"e1003537","title":"BEAST 2: A Software Platform for Bayesian Evolutionary Analysis","type":"article-journal","volume":"10"},"uris":["http://www.mendeley.com/documents/?uuid=5ab9ec58-9a49-38df-bf47-689b2fac2a8d"]}],"mendeley":{"formattedCitation":"(Bouckaert et al. 2014)","plainTextFormattedCitation":"(Bouckaert et al. 2014)","previouslyFormattedCitation":"(Bouckaert et al. 2014)"},"properties":{"noteIndex":0},"schema":"https://github.com/citation-style-language/schema/raw/master/csl-citation.json"}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(Bouckaert et al. 2014)</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t>
      </w:r>
      <w:r w:rsidR="00905AF2" w:rsidRPr="00533EAC">
        <w:rPr>
          <w:rFonts w:ascii="Arial" w:eastAsia="Calibri" w:hAnsi="Arial" w:cs="Arial"/>
          <w:color w:val="000000" w:themeColor="text1"/>
          <w:lang w:val="en-ZA"/>
        </w:rPr>
        <w:t xml:space="preserve">using the HKY substitution model </w:t>
      </w:r>
      <w:r w:rsidR="00905AF2" w:rsidRPr="00533EAC">
        <w:rPr>
          <w:rFonts w:ascii="Arial" w:eastAsia="Calibri" w:hAnsi="Arial" w:cs="Arial"/>
          <w:color w:val="000000" w:themeColor="text1"/>
          <w:lang w:val="en-ZA"/>
        </w:rPr>
        <w:fldChar w:fldCharType="begin" w:fldLock="1"/>
      </w:r>
      <w:r w:rsidR="00905AF2" w:rsidRPr="00533EAC">
        <w:rPr>
          <w:rFonts w:ascii="Arial" w:eastAsia="Calibri" w:hAnsi="Arial" w:cs="Arial"/>
          <w:color w:val="000000" w:themeColor="text1"/>
          <w:lang w:val="en-ZA"/>
        </w:rPr>
        <w:instrText>ADDIN CSL_CITATION {"citationItems":[{"id":"ITEM-1","itemData":{"abstract":"A new statistical method for estimating divergence dates of species from DNA sequence data by a molecular clock approach is developed. This method takes into account effectively the information contained in a set of DNA sequence data. The molecular clock of mitochondrial DNA (mtDNA) was calibrated by setting the date of divergence between primates and ungulates at the Cretaceous-Tertiary boundary (65 million years ago), when the extinction of dinosaurs occurred. A generalized least-squares method was applied in fitting a model to mtDNA sequence data, and the clock gave dates of 92.3 ___ 11.7, 13.3 + 1.5, 10.9 +_ 1.2,3.7 +__ 0.6, and 2.7 _ 0.6 million years ago (where the second of each pair of numbers is the standard deviation) for the separation of mouse, gibbon, orangutan, gorilla, and chimpanzee, respectively, from the line leading to humans. Although there is some uncertainty in the clock, this dating may pose a problem for the widely believed hypothesis that the bipedal creature Australopithecus afarensis, which lived some 3.7 million years ago at Laetoli in Tanzania and at Had-ar in Ethiopia, was ancestral to man and evolved after the human-ape splitting. Another likelier possibility is that mtDNA was transferred through hybridization between a proto-human and a proto-chimpanzee after the former had developed bipedal-ism.","author":[{"dropping-particle":"","family":"Hasegawa","given":"Masami","non-dropping-particle":"","parse-names":false,"suffix":""},{"dropping-particle":"","family":"Kishino","given":"Hirohisa","non-dropping-particle":"","parse-names":false,"suffix":""},{"dropping-particle":"","family":"Yano","given":"Takaaki","non-dropping-particle":"","parse-names":false,"suffix":""}],"container-title":"Japjgen","id":"ITEM-1","issue":"6","issued":{"date-parts":[["1984"]]},"page":"616","title":"Dating of the Human-Ape Splitting by a Molecular Clock","type":"article-journal","volume":"59"},"uris":["http://www.mendeley.com/documents/?uuid=418e94aa-26cc-39c1-870e-72b1c7d10eb5"]}],"mendeley":{"formattedCitation":"(Hasegawa et al. 1984)","plainTextFormattedCitation":"(Hasegawa et al. 1984)","previouslyFormattedCitation":"(Hasegawa et al. 1984)"},"properties":{"noteIndex":0},"schema":"https://github.com/citation-style-language/schema/raw/master/csl-citation.json"}</w:instrText>
      </w:r>
      <w:r w:rsidR="00905AF2" w:rsidRPr="00533EAC">
        <w:rPr>
          <w:rFonts w:ascii="Arial" w:eastAsia="Calibri" w:hAnsi="Arial" w:cs="Arial"/>
          <w:color w:val="000000" w:themeColor="text1"/>
          <w:lang w:val="en-ZA"/>
        </w:rPr>
        <w:fldChar w:fldCharType="separate"/>
      </w:r>
      <w:r w:rsidR="00905AF2" w:rsidRPr="00533EAC">
        <w:rPr>
          <w:rFonts w:ascii="Arial" w:eastAsia="Calibri" w:hAnsi="Arial" w:cs="Arial"/>
          <w:noProof/>
          <w:color w:val="000000" w:themeColor="text1"/>
          <w:lang w:val="en-ZA"/>
        </w:rPr>
        <w:t>(Hasegawa et al. 1984)</w:t>
      </w:r>
      <w:r w:rsidR="00905AF2" w:rsidRPr="00533EAC">
        <w:rPr>
          <w:rFonts w:ascii="Arial" w:eastAsia="Calibri" w:hAnsi="Arial" w:cs="Arial"/>
          <w:color w:val="000000" w:themeColor="text1"/>
          <w:lang w:val="en-ZA"/>
        </w:rPr>
        <w:fldChar w:fldCharType="end"/>
      </w:r>
      <w:r w:rsidR="00905AF2" w:rsidRPr="00533EAC">
        <w:rPr>
          <w:rFonts w:ascii="Arial" w:eastAsia="Calibri" w:hAnsi="Arial" w:cs="Arial"/>
          <w:color w:val="000000" w:themeColor="text1"/>
          <w:lang w:val="en-ZA"/>
        </w:rPr>
        <w:t xml:space="preserve"> and 10 million Markov chain Monte Carlo (MCMC) iterations with 20% burn-in. Following an earlier study of ascidian mitogenomes </w:t>
      </w:r>
      <w:r w:rsidR="00905AF2" w:rsidRPr="00533EAC">
        <w:rPr>
          <w:rFonts w:ascii="Arial" w:eastAsia="Calibri" w:hAnsi="Arial" w:cs="Arial"/>
          <w:color w:val="000000" w:themeColor="text1"/>
          <w:lang w:val="en-ZA"/>
        </w:rPr>
        <w:fldChar w:fldCharType="begin" w:fldLock="1"/>
      </w:r>
      <w:r w:rsidR="00905AF2" w:rsidRPr="00533EAC">
        <w:rPr>
          <w:rFonts w:ascii="Arial" w:eastAsia="Calibri" w:hAnsi="Arial" w:cs="Arial"/>
          <w:color w:val="000000" w:themeColor="text1"/>
          <w:lang w:val="en-ZA"/>
        </w:rPr>
        <w:instrText>ADDIN CSL_CITATION {"citationItems":[{"id":"ITEM-1","itemData":{"DOI":"10.1093/gbe/evu041","ISBN":"1759-6653 (Electronic)\\r1759-6653 (Linking)","ISSN":"1759-6653","PMID":"24572017","abstract":"Ascidians are a fascinating group of filter-feeding marine chordates characterized by rapid evolution of both sequences and structure of their nuclear and mitochondrial genomes. Moreover, they include several model organisms used to investigate complex biological processes in chordates. To study the evolutionary dynamics of ascidians at short phylogenetic distances, we sequenced 13 new mitogenomes and analyzed them, together with 15 other available mitogenomes, using a novel approach involving detailed whole mitogenome comparisons of conspecific and congeneric pairs. The evolutionary rate was quite homogeneous at both intraspecific and congeneric level, and the lowest congeneric rates were found in cryptic (morphologically undistinguishable) and inmorphologically very similar species pairs. Moreover, congeneric nonsynonymous rates (dN) were up to two orders of magnitude higher than in intraspecies pairs. Overall, a clear-cut gap sets apart conspecific from congeneric pairs. These evolutionary peculiarities allowed easily identifying an extraordinary intraspecific variability in the model ascidian Botryllus schlosseri, where most pairs show a dN value between that observed at intraspecies and congeneric level, yet consistently lower than that of the Ciona intestinalis cryptic species pair. These data suggest ongoing speciation events producing genetically distinct B. schlosseri entities. Remarkably, these ongoing speciation events were undetectable by the cox1 barcode fragment, demonstrating that, at low phylogenetic distances, the whole mitogenomehas a higher resolving power than cox1. Our study shows that whole-mito genome comparative analyses, performedon a suitable sample of congeneric and intraspecies pairs, may allow detecting not only cryptic species but also ongoing speciation events. © The Author(s) 2014.","author":[{"dropping-particle":"","family":"Griggio","given":"Francesca","non-dropping-particle":"","parse-names":false,"suffix":""},{"dropping-particle":"","family":"Voskoboynik","given":"Ayelet","non-dropping-particle":"","parse-names":false,"suffix":""},{"dropping-particle":"","family":"Iannelli","given":"Fabio","non-dropping-particle":"","parse-names":false,"suffix":""},{"dropping-particle":"","family":"Justy","given":"Fabienne","non-dropping-particle":"","parse-names":false,"suffix":""},{"dropping-particle":"","family":"Tilak","given":"Marie-Ka","non-dropping-particle":"","parse-names":false,"suffix":""},{"dropping-particle":"","family":"Xavier","given":"Turon","non-dropping-particle":"","parse-names":false,"suffix":""},{"dropping-particle":"","family":"Pesole","given":"Graziano","non-dropping-particle":"","parse-names":false,"suffix":""},{"dropping-particle":"","family":"Douzery","given":"Emmanuel J.P.","non-dropping-particle":"","parse-names":false,"suffix":""},{"dropping-particle":"","family":"Mastrototaro","given":"Francesco","non-dropping-particle":"","parse-names":false,"suffix":""},{"dropping-particle":"","family":"Gissi","given":"Carmela","non-dropping-particle":"","parse-names":false,"suffix":""}],"container-title":"Genome Biology and Evolution","id":"ITEM-1","issue":"3","issued":{"date-parts":[["2014","3"]]},"page":"591-605","title":"Ascidian mitogenomics: comparison of evolutionary rates in closely related taxa provides evidence of ongoing speciation events","type":"article-journal","volume":"6"},"uris":["http://www.mendeley.com/documents/?uuid=a5e4df40-20fb-3fed-a2ad-35e9ff5cf10e"]}],"mendeley":{"formattedCitation":"(Griggio et al. 2014)","plainTextFormattedCitation":"(Griggio et al. 2014)","previouslyFormattedCitation":"(Griggio et al. 2014)"},"properties":{"noteIndex":0},"schema":"https://github.com/citation-style-language/schema/raw/master/csl-citation.json"}</w:instrText>
      </w:r>
      <w:r w:rsidR="00905AF2" w:rsidRPr="00533EAC">
        <w:rPr>
          <w:rFonts w:ascii="Arial" w:eastAsia="Calibri" w:hAnsi="Arial" w:cs="Arial"/>
          <w:color w:val="000000" w:themeColor="text1"/>
          <w:lang w:val="en-ZA"/>
        </w:rPr>
        <w:fldChar w:fldCharType="separate"/>
      </w:r>
      <w:r w:rsidR="00905AF2" w:rsidRPr="00533EAC">
        <w:rPr>
          <w:rFonts w:ascii="Arial" w:eastAsia="Calibri" w:hAnsi="Arial" w:cs="Arial"/>
          <w:noProof/>
          <w:color w:val="000000" w:themeColor="text1"/>
          <w:lang w:val="en-ZA"/>
        </w:rPr>
        <w:t>(Griggio et al. 2014)</w:t>
      </w:r>
      <w:r w:rsidR="00905AF2" w:rsidRPr="00533EAC">
        <w:rPr>
          <w:rFonts w:ascii="Arial" w:eastAsia="Calibri" w:hAnsi="Arial" w:cs="Arial"/>
          <w:color w:val="000000" w:themeColor="text1"/>
          <w:lang w:val="en-ZA"/>
        </w:rPr>
        <w:fldChar w:fldCharType="end"/>
      </w:r>
      <w:r w:rsidR="00460F3A" w:rsidRPr="00533EAC">
        <w:rPr>
          <w:rFonts w:ascii="Arial" w:eastAsia="Calibri" w:hAnsi="Arial" w:cs="Arial"/>
          <w:color w:val="000000" w:themeColor="text1"/>
          <w:lang w:val="en-ZA"/>
        </w:rPr>
        <w:t>,</w:t>
      </w:r>
      <w:r w:rsidR="00905AF2" w:rsidRPr="00533EAC">
        <w:rPr>
          <w:rFonts w:ascii="Arial" w:eastAsia="Calibri" w:hAnsi="Arial" w:cs="Arial"/>
          <w:color w:val="000000" w:themeColor="text1"/>
          <w:lang w:val="en-ZA"/>
        </w:rPr>
        <w:t xml:space="preserve"> only </w:t>
      </w:r>
      <w:r w:rsidRPr="00533EAC">
        <w:rPr>
          <w:rFonts w:ascii="Arial" w:eastAsia="Calibri" w:hAnsi="Arial" w:cs="Arial"/>
          <w:color w:val="000000" w:themeColor="text1"/>
          <w:lang w:val="en-ZA"/>
        </w:rPr>
        <w:t>the concatenated sequences of 13 partial protein-coding genes (PCGs)</w:t>
      </w:r>
      <w:r w:rsidR="00905AF2" w:rsidRPr="00533EAC">
        <w:rPr>
          <w:rFonts w:ascii="Arial" w:eastAsia="Calibri" w:hAnsi="Arial" w:cs="Arial"/>
          <w:color w:val="000000" w:themeColor="text1"/>
          <w:lang w:val="en-ZA"/>
        </w:rPr>
        <w:t xml:space="preserve"> were used in this analyses, </w:t>
      </w:r>
      <w:r w:rsidR="003D4583" w:rsidRPr="00533EAC">
        <w:rPr>
          <w:rFonts w:ascii="Arial" w:eastAsia="Calibri" w:hAnsi="Arial" w:cs="Arial"/>
          <w:color w:val="000000" w:themeColor="text1"/>
          <w:lang w:val="en-ZA"/>
        </w:rPr>
        <w:t>because</w:t>
      </w:r>
      <w:r w:rsidR="00905AF2" w:rsidRPr="00533EAC">
        <w:rPr>
          <w:rFonts w:ascii="Arial" w:eastAsia="Calibri" w:hAnsi="Arial" w:cs="Arial"/>
          <w:color w:val="000000" w:themeColor="text1"/>
          <w:lang w:val="en-ZA"/>
        </w:rPr>
        <w:t xml:space="preserve"> the </w:t>
      </w:r>
      <w:r w:rsidR="005B3FDE" w:rsidRPr="00533EAC">
        <w:rPr>
          <w:rFonts w:ascii="Arial" w:eastAsia="Calibri" w:hAnsi="Arial" w:cs="Arial"/>
          <w:color w:val="000000" w:themeColor="text1"/>
          <w:lang w:val="en-ZA"/>
        </w:rPr>
        <w:t>large number of missing and ambiguous sites</w:t>
      </w:r>
      <w:r w:rsidR="00905AF2" w:rsidRPr="00533EAC">
        <w:rPr>
          <w:rFonts w:ascii="Arial" w:eastAsia="Calibri" w:hAnsi="Arial" w:cs="Arial"/>
          <w:color w:val="000000" w:themeColor="text1"/>
          <w:lang w:val="en-ZA"/>
        </w:rPr>
        <w:t xml:space="preserve"> in</w:t>
      </w:r>
      <w:r w:rsidR="00DC6EC6" w:rsidRPr="00533EAC">
        <w:rPr>
          <w:rFonts w:ascii="Arial" w:eastAsia="Calibri" w:hAnsi="Arial" w:cs="Arial"/>
          <w:color w:val="000000" w:themeColor="text1"/>
          <w:lang w:val="en-ZA"/>
        </w:rPr>
        <w:t xml:space="preserve"> the</w:t>
      </w:r>
      <w:r w:rsidR="005B3FDE" w:rsidRPr="00533EAC">
        <w:rPr>
          <w:rFonts w:ascii="Arial" w:eastAsia="Calibri" w:hAnsi="Arial" w:cs="Arial"/>
          <w:color w:val="000000" w:themeColor="text1"/>
          <w:lang w:val="en-ZA"/>
        </w:rPr>
        <w:t xml:space="preserve"> rRNAs and tRNAs </w:t>
      </w:r>
      <w:r w:rsidR="00905AF2" w:rsidRPr="00533EAC">
        <w:rPr>
          <w:rFonts w:ascii="Arial" w:eastAsia="Calibri" w:hAnsi="Arial" w:cs="Arial"/>
          <w:color w:val="000000" w:themeColor="text1"/>
          <w:lang w:val="en-ZA"/>
        </w:rPr>
        <w:t>resulted in these markers being difficult to align</w:t>
      </w:r>
      <w:r w:rsidR="005B3FDE"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The tree was visuali</w:t>
      </w:r>
      <w:r w:rsidR="00C037ED"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ed in Figtree 1.4.3 </w:t>
      </w:r>
      <w:r w:rsidR="00FE2A7C" w:rsidRPr="00533EAC">
        <w:rPr>
          <w:rFonts w:ascii="Arial" w:eastAsia="Calibri" w:hAnsi="Arial" w:cs="Arial"/>
          <w:color w:val="000000" w:themeColor="text1"/>
          <w:lang w:val="en-ZA"/>
        </w:rPr>
        <w:fldChar w:fldCharType="begin" w:fldLock="1"/>
      </w:r>
      <w:r w:rsidR="002E2E55" w:rsidRPr="00533EAC">
        <w:rPr>
          <w:rFonts w:ascii="Arial" w:eastAsia="Calibri" w:hAnsi="Arial" w:cs="Arial"/>
          <w:color w:val="000000" w:themeColor="text1"/>
          <w:lang w:val="en-ZA"/>
        </w:rPr>
        <w:instrText>ADDIN CSL_CITATION {"citationItems":[{"id":"ITEM-1","itemData":{"author":[{"dropping-particle":"","family":"Rambaut","given":"A","non-dropping-particle":"","parse-names":false,"suffix":""},{"dropping-particle":"","family":"Drummond","given":"A J","non-dropping-particle":"","parse-names":false,"suffix":""}],"id":"ITEM-1","issued":{"date-parts":[["2019"]]},"title":"FigTree v1. 4.3. 2016","type":"article"},"uris":["http://www.mendeley.com/documents/?uuid=910bead3-dee3-333d-829d-a9bff12b06ae"]}],"mendeley":{"formattedCitation":"(Rambaut and Drummond 2019)","plainTextFormattedCitation":"(Rambaut and Drummond 2019)","previouslyFormattedCitation":"(Rambaut and Drummond 2019)"},"properties":{"noteIndex":0},"schema":"https://github.com/citation-style-language/schema/raw/master/csl-citation.json"}</w:instrText>
      </w:r>
      <w:r w:rsidR="00FE2A7C" w:rsidRPr="00533EAC">
        <w:rPr>
          <w:rFonts w:ascii="Arial" w:eastAsia="Calibri" w:hAnsi="Arial" w:cs="Arial"/>
          <w:color w:val="000000" w:themeColor="text1"/>
          <w:lang w:val="en-ZA"/>
        </w:rPr>
        <w:fldChar w:fldCharType="separate"/>
      </w:r>
      <w:r w:rsidR="00FE2A7C" w:rsidRPr="00533EAC">
        <w:rPr>
          <w:rFonts w:ascii="Arial" w:eastAsia="Calibri" w:hAnsi="Arial" w:cs="Arial"/>
          <w:noProof/>
          <w:color w:val="000000" w:themeColor="text1"/>
          <w:lang w:val="en-ZA"/>
        </w:rPr>
        <w:t>(Rambaut and Drummond 2019)</w:t>
      </w:r>
      <w:r w:rsidR="00FE2A7C"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w:t>
      </w:r>
    </w:p>
    <w:p w14:paraId="47AB55C0" w14:textId="6E540EF3" w:rsidR="005633D6" w:rsidRPr="00533EAC" w:rsidRDefault="005633D6" w:rsidP="00C05A32">
      <w:pPr>
        <w:spacing w:after="0" w:line="360" w:lineRule="auto"/>
        <w:jc w:val="both"/>
        <w:rPr>
          <w:rFonts w:ascii="Arial" w:eastAsia="Calibri" w:hAnsi="Arial" w:cs="Arial"/>
          <w:color w:val="000000" w:themeColor="text1"/>
          <w:lang w:val="en-ZA"/>
        </w:rPr>
      </w:pPr>
    </w:p>
    <w:p w14:paraId="13057C05" w14:textId="77777777" w:rsidR="005633D6" w:rsidRPr="00533EAC" w:rsidRDefault="005633D6" w:rsidP="00C05A32">
      <w:pPr>
        <w:spacing w:after="0" w:line="360" w:lineRule="auto"/>
        <w:jc w:val="both"/>
        <w:rPr>
          <w:rFonts w:ascii="Arial" w:eastAsia="Calibri" w:hAnsi="Arial" w:cs="Arial"/>
          <w:b/>
          <w:color w:val="000000" w:themeColor="text1"/>
          <w:lang w:val="en-ZA"/>
        </w:rPr>
      </w:pPr>
      <w:r w:rsidRPr="00533EAC">
        <w:rPr>
          <w:rFonts w:ascii="Arial" w:eastAsia="Calibri" w:hAnsi="Arial" w:cs="Arial"/>
          <w:b/>
          <w:color w:val="000000" w:themeColor="text1"/>
          <w:lang w:val="en-ZA"/>
        </w:rPr>
        <w:t xml:space="preserve">Results </w:t>
      </w:r>
    </w:p>
    <w:p w14:paraId="67E5748D" w14:textId="77777777" w:rsidR="000766BB" w:rsidRPr="00533EAC" w:rsidRDefault="000766BB" w:rsidP="00C05A32">
      <w:pPr>
        <w:spacing w:after="0" w:line="360" w:lineRule="auto"/>
        <w:jc w:val="both"/>
        <w:rPr>
          <w:rFonts w:ascii="Arial" w:eastAsia="Calibri" w:hAnsi="Arial" w:cs="Arial"/>
          <w:i/>
          <w:iCs/>
          <w:color w:val="000000" w:themeColor="text1"/>
          <w:lang w:val="en-ZA"/>
        </w:rPr>
      </w:pPr>
    </w:p>
    <w:p w14:paraId="54739A6A" w14:textId="658985F8" w:rsidR="005633D6" w:rsidRPr="00533EAC" w:rsidRDefault="005633D6" w:rsidP="00C05A32">
      <w:pPr>
        <w:spacing w:after="0" w:line="360" w:lineRule="auto"/>
        <w:jc w:val="both"/>
        <w:rPr>
          <w:rFonts w:ascii="Arial" w:eastAsia="Calibri" w:hAnsi="Arial" w:cs="Arial"/>
          <w:bCs/>
          <w:i/>
          <w:iCs/>
          <w:color w:val="000000" w:themeColor="text1"/>
          <w:lang w:val="en-ZA"/>
        </w:rPr>
      </w:pPr>
      <w:r w:rsidRPr="00533EAC">
        <w:rPr>
          <w:rFonts w:ascii="Arial" w:eastAsia="Calibri" w:hAnsi="Arial" w:cs="Arial"/>
          <w:bCs/>
          <w:i/>
          <w:iCs/>
          <w:color w:val="000000" w:themeColor="text1"/>
          <w:lang w:val="en-ZA"/>
        </w:rPr>
        <w:t>Microsatellites</w:t>
      </w:r>
    </w:p>
    <w:p w14:paraId="71F7C319" w14:textId="35C3FC3D" w:rsidR="005633D6" w:rsidRPr="00533EAC" w:rsidRDefault="005633D6" w:rsidP="00C05A32">
      <w:pPr>
        <w:spacing w:after="0" w:line="360" w:lineRule="auto"/>
        <w:jc w:val="both"/>
        <w:rPr>
          <w:rFonts w:ascii="Arial" w:eastAsia="Calibri" w:hAnsi="Arial" w:cs="Arial"/>
          <w:iCs/>
          <w:color w:val="000000" w:themeColor="text1"/>
          <w:lang w:val="en-ZA"/>
        </w:rPr>
      </w:pPr>
      <w:r w:rsidRPr="00533EAC">
        <w:rPr>
          <w:rFonts w:ascii="Arial" w:eastAsia="Times New Roman" w:hAnsi="Arial" w:cs="Arial"/>
          <w:color w:val="000000" w:themeColor="text1"/>
          <w:lang w:val="en-ZA" w:eastAsia="de-DE"/>
        </w:rPr>
        <w:t xml:space="preserve">A total of </w:t>
      </w:r>
      <w:r w:rsidR="00BD498A" w:rsidRPr="00533EAC">
        <w:rPr>
          <w:rFonts w:ascii="Arial" w:eastAsia="Calibri" w:hAnsi="Arial" w:cs="Arial"/>
          <w:color w:val="000000" w:themeColor="text1"/>
          <w:lang w:val="en-ZA"/>
        </w:rPr>
        <w:t>4,</w:t>
      </w:r>
      <w:r w:rsidRPr="00533EAC">
        <w:rPr>
          <w:rFonts w:ascii="Arial" w:eastAsia="Calibri" w:hAnsi="Arial" w:cs="Arial"/>
          <w:color w:val="000000" w:themeColor="text1"/>
          <w:lang w:val="en-ZA"/>
        </w:rPr>
        <w:t xml:space="preserve">339 </w:t>
      </w:r>
      <w:r w:rsidRPr="00533EAC">
        <w:rPr>
          <w:rFonts w:ascii="Arial" w:eastAsia="Times New Roman" w:hAnsi="Arial" w:cs="Arial"/>
          <w:color w:val="000000" w:themeColor="text1"/>
          <w:lang w:val="en-ZA" w:eastAsia="de-DE"/>
        </w:rPr>
        <w:t>putative microsatellites were detected. Of the 3</w:t>
      </w:r>
      <w:r w:rsidR="00FC63FE" w:rsidRPr="00533EAC">
        <w:rPr>
          <w:rFonts w:ascii="Arial" w:eastAsia="Times New Roman" w:hAnsi="Arial" w:cs="Arial"/>
          <w:color w:val="000000" w:themeColor="text1"/>
          <w:lang w:val="en-ZA" w:eastAsia="de-DE"/>
        </w:rPr>
        <w:t>2 primers that were tested,</w:t>
      </w:r>
      <w:r w:rsidR="00FC63FE" w:rsidRPr="00533EAC">
        <w:rPr>
          <w:rFonts w:ascii="Arial" w:eastAsia="Calibri" w:hAnsi="Arial" w:cs="Arial"/>
          <w:color w:val="000000" w:themeColor="text1"/>
          <w:lang w:val="en-ZA"/>
        </w:rPr>
        <w:t xml:space="preserve"> five </w:t>
      </w:r>
      <w:r w:rsidR="003D4583" w:rsidRPr="00533EAC">
        <w:rPr>
          <w:rFonts w:ascii="Arial" w:eastAsia="Calibri" w:hAnsi="Arial" w:cs="Arial"/>
          <w:color w:val="000000" w:themeColor="text1"/>
          <w:lang w:val="en-ZA"/>
        </w:rPr>
        <w:t xml:space="preserve">that </w:t>
      </w:r>
      <w:r w:rsidR="00FC63FE" w:rsidRPr="00533EAC">
        <w:rPr>
          <w:rFonts w:ascii="Arial" w:eastAsia="Calibri" w:hAnsi="Arial" w:cs="Arial"/>
          <w:color w:val="000000" w:themeColor="text1"/>
          <w:lang w:val="en-ZA"/>
        </w:rPr>
        <w:t>amplified reliably in both species</w:t>
      </w:r>
      <w:r w:rsidR="003D4583" w:rsidRPr="00533EAC">
        <w:rPr>
          <w:rFonts w:ascii="Arial" w:eastAsia="Calibri" w:hAnsi="Arial" w:cs="Arial"/>
          <w:color w:val="000000" w:themeColor="text1"/>
          <w:lang w:val="en-ZA"/>
        </w:rPr>
        <w:t xml:space="preserve"> and </w:t>
      </w:r>
      <w:r w:rsidR="00D20B73" w:rsidRPr="00533EAC">
        <w:rPr>
          <w:rFonts w:ascii="Arial" w:eastAsia="Calibri" w:hAnsi="Arial" w:cs="Arial"/>
          <w:color w:val="000000" w:themeColor="text1"/>
          <w:lang w:val="en-ZA"/>
        </w:rPr>
        <w:t>showed</w:t>
      </w:r>
      <w:r w:rsidR="00FC63FE" w:rsidRPr="00533EAC">
        <w:rPr>
          <w:rFonts w:ascii="Arial" w:eastAsia="Calibri" w:hAnsi="Arial" w:cs="Arial"/>
          <w:color w:val="000000" w:themeColor="text1"/>
          <w:lang w:val="en-ZA"/>
        </w:rPr>
        <w:t xml:space="preserve"> polymorphism and heterozygosity features</w:t>
      </w:r>
      <w:r w:rsidR="00D20B73" w:rsidRPr="00533EAC">
        <w:rPr>
          <w:rFonts w:ascii="Arial" w:eastAsia="Times New Roman" w:hAnsi="Arial" w:cs="Arial"/>
          <w:color w:val="000000" w:themeColor="text1"/>
          <w:lang w:val="en-ZA" w:eastAsia="de-DE"/>
        </w:rPr>
        <w:t xml:space="preserve"> </w:t>
      </w:r>
      <w:r w:rsidR="00FC63FE" w:rsidRPr="00533EAC">
        <w:rPr>
          <w:rFonts w:ascii="Arial" w:eastAsia="Times New Roman" w:hAnsi="Arial" w:cs="Arial"/>
          <w:color w:val="000000" w:themeColor="text1"/>
          <w:lang w:val="en-ZA" w:eastAsia="de-DE"/>
        </w:rPr>
        <w:t xml:space="preserve">were chosen for detailed analyses. </w:t>
      </w:r>
      <w:r w:rsidR="00C221DD" w:rsidRPr="00533EAC">
        <w:rPr>
          <w:rFonts w:ascii="Arial" w:eastAsia="Times New Roman" w:hAnsi="Arial" w:cs="Arial"/>
          <w:color w:val="000000" w:themeColor="text1"/>
          <w:lang w:val="en-ZA" w:eastAsia="de-DE"/>
        </w:rPr>
        <w:t>The characteristics of the</w:t>
      </w:r>
      <w:r w:rsidR="003D4583" w:rsidRPr="00533EAC">
        <w:rPr>
          <w:rFonts w:ascii="Arial" w:eastAsia="Times New Roman" w:hAnsi="Arial" w:cs="Arial"/>
          <w:color w:val="000000" w:themeColor="text1"/>
          <w:lang w:val="en-ZA" w:eastAsia="de-DE"/>
        </w:rPr>
        <w:t>se</w:t>
      </w:r>
      <w:r w:rsidR="00C221DD" w:rsidRPr="00533EAC">
        <w:rPr>
          <w:rFonts w:ascii="Arial" w:eastAsia="Times New Roman" w:hAnsi="Arial" w:cs="Arial"/>
          <w:color w:val="000000" w:themeColor="text1"/>
          <w:lang w:val="en-ZA" w:eastAsia="de-DE"/>
        </w:rPr>
        <w:t xml:space="preserve"> microsatellites </w:t>
      </w:r>
      <w:r w:rsidRPr="00533EAC">
        <w:rPr>
          <w:rFonts w:ascii="Arial" w:eastAsia="Calibri" w:hAnsi="Arial" w:cs="Arial"/>
          <w:color w:val="000000" w:themeColor="text1"/>
          <w:lang w:val="en-ZA"/>
        </w:rPr>
        <w:t xml:space="preserve">are presented in Table 2. No markers displayed stuttering, null alleles or large allele dropout. A total of 61 alleles were detected across all markers, with an average number of alleles per locus of 12.2. Loci Pstol2 </w:t>
      </w:r>
      <w:r w:rsidRPr="00533EAC">
        <w:rPr>
          <w:rFonts w:ascii="Arial" w:eastAsia="Calibri" w:hAnsi="Arial" w:cs="Arial"/>
          <w:iCs/>
          <w:color w:val="000000" w:themeColor="text1"/>
          <w:lang w:val="en-ZA"/>
        </w:rPr>
        <w:t>and</w:t>
      </w:r>
      <w:r w:rsidRPr="00533EAC">
        <w:rPr>
          <w:rFonts w:ascii="Arial" w:eastAsia="Calibri" w:hAnsi="Arial" w:cs="Arial"/>
          <w:color w:val="000000" w:themeColor="text1"/>
          <w:lang w:val="en-ZA"/>
        </w:rPr>
        <w:t xml:space="preserve"> Pherd2</w:t>
      </w:r>
      <w:r w:rsidR="00EC5FBB" w:rsidRPr="00533EAC">
        <w:rPr>
          <w:rFonts w:ascii="Arial" w:eastAsia="Calibri" w:hAnsi="Arial" w:cs="Arial"/>
          <w:b/>
          <w:color w:val="000000" w:themeColor="text1"/>
          <w:lang w:val="en-ZA"/>
        </w:rPr>
        <w:t xml:space="preserve"> </w:t>
      </w:r>
      <w:r w:rsidRPr="00533EAC">
        <w:rPr>
          <w:rFonts w:ascii="Arial" w:eastAsia="Calibri" w:hAnsi="Arial" w:cs="Arial"/>
          <w:color w:val="000000" w:themeColor="text1"/>
          <w:lang w:val="en-ZA"/>
        </w:rPr>
        <w:t xml:space="preserve">had the lowest number of alleles (6 and 11, respectively), and locus </w:t>
      </w:r>
      <w:r w:rsidRPr="00533EAC">
        <w:rPr>
          <w:rFonts w:ascii="Arial" w:eastAsia="Calibri" w:hAnsi="Arial" w:cs="Arial"/>
          <w:color w:val="000000" w:themeColor="text1"/>
          <w:lang w:val="en-ZA"/>
        </w:rPr>
        <w:lastRenderedPageBreak/>
        <w:t>Pherd3</w:t>
      </w:r>
      <w:r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 xml:space="preserve">the highest (17). </w:t>
      </w:r>
      <w:r w:rsidRPr="00533EAC">
        <w:rPr>
          <w:rFonts w:ascii="Arial" w:eastAsia="Calibri" w:hAnsi="Arial" w:cs="Arial"/>
          <w:i/>
          <w:color w:val="000000" w:themeColor="text1"/>
          <w:lang w:val="en-ZA"/>
        </w:rPr>
        <w:t>H</w:t>
      </w:r>
      <w:r w:rsidRPr="00533EAC">
        <w:rPr>
          <w:rFonts w:ascii="Arial" w:eastAsia="Calibri" w:hAnsi="Arial" w:cs="Arial"/>
          <w:color w:val="000000" w:themeColor="text1"/>
          <w:vertAlign w:val="subscript"/>
          <w:lang w:val="en-ZA"/>
        </w:rPr>
        <w:t>O</w:t>
      </w:r>
      <w:r w:rsidRPr="00533EAC">
        <w:rPr>
          <w:rFonts w:ascii="Arial" w:eastAsia="Calibri" w:hAnsi="Arial" w:cs="Arial"/>
          <w:color w:val="000000" w:themeColor="text1"/>
          <w:lang w:val="en-ZA"/>
        </w:rPr>
        <w:t xml:space="preserve"> ranged from 0.120 in Pherd2 to </w:t>
      </w:r>
      <w:r w:rsidRPr="00533EAC">
        <w:rPr>
          <w:rFonts w:ascii="Arial" w:eastAsia="Times New Roman" w:hAnsi="Arial" w:cs="Arial"/>
          <w:color w:val="000000" w:themeColor="text1"/>
          <w:lang w:val="en-ZA" w:eastAsia="de-DE"/>
        </w:rPr>
        <w:t xml:space="preserve">0.561 in </w:t>
      </w:r>
      <w:r w:rsidRPr="00533EAC">
        <w:rPr>
          <w:rFonts w:ascii="Arial" w:eastAsia="Calibri" w:hAnsi="Arial" w:cs="Arial"/>
          <w:color w:val="000000" w:themeColor="text1"/>
          <w:lang w:val="en-ZA"/>
        </w:rPr>
        <w:t>Pherd3</w:t>
      </w:r>
      <w:r w:rsidRPr="00533EAC">
        <w:rPr>
          <w:rFonts w:ascii="Arial" w:eastAsia="Times New Roman" w:hAnsi="Arial" w:cs="Arial"/>
          <w:color w:val="000000" w:themeColor="text1"/>
          <w:lang w:val="en-ZA" w:eastAsia="de-DE"/>
        </w:rPr>
        <w:t xml:space="preserve">, and </w:t>
      </w:r>
      <w:r w:rsidRPr="00533EAC">
        <w:rPr>
          <w:rFonts w:ascii="Arial" w:eastAsia="Calibri" w:hAnsi="Arial" w:cs="Arial"/>
          <w:i/>
          <w:color w:val="000000" w:themeColor="text1"/>
          <w:lang w:val="en-ZA"/>
        </w:rPr>
        <w:t>H</w:t>
      </w:r>
      <w:r w:rsidRPr="00533EAC">
        <w:rPr>
          <w:rFonts w:ascii="Arial" w:eastAsia="Calibri" w:hAnsi="Arial" w:cs="Arial"/>
          <w:color w:val="000000" w:themeColor="text1"/>
          <w:vertAlign w:val="subscript"/>
          <w:lang w:val="en-ZA"/>
        </w:rPr>
        <w:t xml:space="preserve">E </w:t>
      </w:r>
      <w:r w:rsidRPr="00533EAC">
        <w:rPr>
          <w:rFonts w:ascii="Arial" w:eastAsia="Calibri" w:hAnsi="Arial" w:cs="Arial"/>
          <w:color w:val="000000" w:themeColor="text1"/>
          <w:lang w:val="en-ZA"/>
        </w:rPr>
        <w:t xml:space="preserve">ranged </w:t>
      </w:r>
      <w:r w:rsidRPr="00533EAC">
        <w:rPr>
          <w:rFonts w:ascii="Arial" w:eastAsia="Times New Roman" w:hAnsi="Arial" w:cs="Arial"/>
          <w:color w:val="000000" w:themeColor="text1"/>
          <w:lang w:val="en-ZA" w:eastAsia="de-DE"/>
        </w:rPr>
        <w:t xml:space="preserve">from 0.190 </w:t>
      </w:r>
      <w:r w:rsidRPr="00533EAC">
        <w:rPr>
          <w:rFonts w:ascii="Arial" w:eastAsia="Calibri" w:hAnsi="Arial" w:cs="Arial"/>
          <w:color w:val="000000" w:themeColor="text1"/>
          <w:lang w:val="en-ZA"/>
        </w:rPr>
        <w:t>in</w:t>
      </w:r>
      <w:r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Pherd2</w:t>
      </w:r>
      <w:r w:rsidRPr="00533EAC">
        <w:rPr>
          <w:rFonts w:ascii="Arial" w:eastAsia="Times New Roman" w:hAnsi="Arial" w:cs="Arial"/>
          <w:color w:val="000000" w:themeColor="text1"/>
          <w:lang w:val="en-ZA" w:eastAsia="de-DE"/>
        </w:rPr>
        <w:t xml:space="preserve"> to 0.757 in </w:t>
      </w:r>
      <w:r w:rsidRPr="00533EAC">
        <w:rPr>
          <w:rFonts w:ascii="Arial" w:eastAsia="Calibri" w:hAnsi="Arial" w:cs="Arial"/>
          <w:color w:val="000000" w:themeColor="text1"/>
          <w:lang w:val="en-ZA"/>
        </w:rPr>
        <w:t>Pherd3</w:t>
      </w:r>
      <w:r w:rsidRPr="00533EAC">
        <w:rPr>
          <w:rFonts w:ascii="Arial" w:eastAsia="Times New Roman" w:hAnsi="Arial" w:cs="Arial"/>
          <w:color w:val="000000" w:themeColor="text1"/>
          <w:lang w:val="en-ZA" w:eastAsia="de-DE"/>
        </w:rPr>
        <w:t xml:space="preserve">. Locus </w:t>
      </w:r>
      <w:r w:rsidRPr="00533EAC">
        <w:rPr>
          <w:rFonts w:ascii="Arial" w:eastAsia="Calibri" w:hAnsi="Arial" w:cs="Arial"/>
          <w:color w:val="000000" w:themeColor="text1"/>
          <w:lang w:val="en-ZA"/>
        </w:rPr>
        <w:t>Pstol1</w:t>
      </w:r>
      <w:r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 xml:space="preserve">showed evidence for outbreeding in both populations of </w:t>
      </w:r>
      <w:r w:rsidRPr="00533EAC">
        <w:rPr>
          <w:rFonts w:ascii="Arial" w:eastAsia="Times New Roman" w:hAnsi="Arial" w:cs="Arial"/>
          <w:i/>
          <w:iCs/>
          <w:color w:val="000000" w:themeColor="text1"/>
          <w:lang w:val="en-ZA" w:eastAsia="de-DE"/>
        </w:rPr>
        <w:t>P. herdmani</w:t>
      </w:r>
      <w:r w:rsidRPr="00533EAC">
        <w:rPr>
          <w:rFonts w:ascii="Arial" w:eastAsia="Calibri" w:hAnsi="Arial" w:cs="Arial"/>
          <w:color w:val="000000" w:themeColor="text1"/>
          <w:lang w:val="en-ZA"/>
        </w:rPr>
        <w:t xml:space="preserve"> and a significant inbreeding coefficient (</w:t>
      </w:r>
      <w:r w:rsidRPr="00533EAC">
        <w:rPr>
          <w:rFonts w:ascii="Arial" w:eastAsia="Times New Roman" w:hAnsi="Arial" w:cs="Arial"/>
          <w:i/>
          <w:color w:val="000000" w:themeColor="text1"/>
          <w:lang w:val="en-ZA" w:eastAsia="de-DE"/>
        </w:rPr>
        <w:t>F</w:t>
      </w:r>
      <w:r w:rsidRPr="00533EAC">
        <w:rPr>
          <w:rFonts w:ascii="Arial" w:eastAsia="Times New Roman" w:hAnsi="Arial" w:cs="Arial"/>
          <w:color w:val="000000" w:themeColor="text1"/>
          <w:vertAlign w:val="subscript"/>
          <w:lang w:val="en-ZA" w:eastAsia="de-DE"/>
        </w:rPr>
        <w:t>IS</w:t>
      </w:r>
      <w:r w:rsidRPr="00533EAC">
        <w:rPr>
          <w:rFonts w:ascii="Arial" w:eastAsia="Calibri" w:hAnsi="Arial" w:cs="Arial"/>
          <w:color w:val="000000" w:themeColor="text1"/>
          <w:lang w:val="en-ZA"/>
        </w:rPr>
        <w:t>) was found at locus</w:t>
      </w:r>
      <w:r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 xml:space="preserve">Pstol2, while </w:t>
      </w:r>
      <w:r w:rsidRPr="00533EAC">
        <w:rPr>
          <w:rFonts w:ascii="Arial" w:eastAsia="Times New Roman" w:hAnsi="Arial" w:cs="Arial"/>
          <w:i/>
          <w:iCs/>
          <w:color w:val="000000" w:themeColor="text1"/>
          <w:lang w:val="en-ZA" w:eastAsia="de-DE"/>
        </w:rPr>
        <w:t xml:space="preserve">P. stolonifera </w:t>
      </w:r>
      <w:r w:rsidRPr="00533EAC">
        <w:rPr>
          <w:rFonts w:ascii="Arial" w:eastAsia="Times New Roman" w:hAnsi="Arial" w:cs="Arial"/>
          <w:color w:val="000000" w:themeColor="text1"/>
          <w:lang w:val="en-ZA" w:eastAsia="de-DE"/>
        </w:rPr>
        <w:t>sho</w:t>
      </w:r>
      <w:r w:rsidR="00D20B73" w:rsidRPr="00533EAC">
        <w:rPr>
          <w:rFonts w:ascii="Arial" w:eastAsia="Times New Roman" w:hAnsi="Arial" w:cs="Arial"/>
          <w:color w:val="000000" w:themeColor="text1"/>
          <w:lang w:val="en-ZA" w:eastAsia="de-DE"/>
        </w:rPr>
        <w:t xml:space="preserve">wed significant outbreeding at </w:t>
      </w:r>
      <w:r w:rsidRPr="00533EAC">
        <w:rPr>
          <w:rFonts w:ascii="Arial" w:eastAsia="Times New Roman" w:hAnsi="Arial" w:cs="Arial"/>
          <w:color w:val="000000" w:themeColor="text1"/>
          <w:lang w:val="en-ZA" w:eastAsia="de-DE"/>
        </w:rPr>
        <w:t xml:space="preserve">locus </w:t>
      </w:r>
      <w:r w:rsidRPr="00533EAC">
        <w:rPr>
          <w:rFonts w:ascii="Arial" w:eastAsia="Calibri" w:hAnsi="Arial" w:cs="Arial"/>
          <w:color w:val="000000" w:themeColor="text1"/>
          <w:lang w:val="en-ZA"/>
        </w:rPr>
        <w:t>Pherd3 and evidence of inbreeding at locus Pherd2.</w:t>
      </w:r>
      <w:r w:rsidRPr="00533EAC">
        <w:rPr>
          <w:rFonts w:ascii="Arial" w:eastAsia="Times New Roman" w:hAnsi="Arial" w:cs="Arial"/>
          <w:color w:val="000000" w:themeColor="text1"/>
          <w:lang w:val="en-ZA" w:eastAsia="de-DE"/>
        </w:rPr>
        <w:t xml:space="preserve"> Genotype frequencies at each locus conformed to expectations under HWE, except for </w:t>
      </w:r>
      <w:r w:rsidRPr="00533EAC">
        <w:rPr>
          <w:rFonts w:ascii="Arial" w:eastAsia="Calibri" w:hAnsi="Arial" w:cs="Arial"/>
          <w:color w:val="000000" w:themeColor="text1"/>
          <w:lang w:val="en-ZA"/>
        </w:rPr>
        <w:t xml:space="preserve">Pherd3 </w:t>
      </w:r>
      <w:r w:rsidRPr="00533EAC">
        <w:rPr>
          <w:rFonts w:ascii="Arial" w:eastAsia="Times New Roman" w:hAnsi="Arial" w:cs="Arial"/>
          <w:color w:val="000000" w:themeColor="text1"/>
          <w:lang w:val="en-ZA" w:eastAsia="de-DE"/>
        </w:rPr>
        <w:t>(</w:t>
      </w:r>
      <w:r w:rsidRPr="00533EAC">
        <w:rPr>
          <w:rFonts w:ascii="Arial" w:eastAsia="Times New Roman" w:hAnsi="Arial" w:cs="Arial"/>
          <w:i/>
          <w:color w:val="000000" w:themeColor="text1"/>
          <w:lang w:val="en-ZA" w:eastAsia="de-DE"/>
        </w:rPr>
        <w:t>p</w:t>
      </w:r>
      <w:r w:rsidRPr="00533EAC">
        <w:rPr>
          <w:rFonts w:ascii="Arial" w:eastAsia="Times New Roman" w:hAnsi="Arial" w:cs="Arial"/>
          <w:color w:val="000000" w:themeColor="text1"/>
          <w:lang w:val="en-ZA" w:eastAsia="de-DE"/>
        </w:rPr>
        <w:t xml:space="preserve"> = 0.003) in </w:t>
      </w:r>
      <w:r w:rsidRPr="00533EAC">
        <w:rPr>
          <w:rFonts w:ascii="Arial" w:eastAsia="Times New Roman" w:hAnsi="Arial" w:cs="Arial"/>
          <w:i/>
          <w:iCs/>
          <w:color w:val="000000" w:themeColor="text1"/>
          <w:lang w:val="en-ZA" w:eastAsia="de-DE"/>
        </w:rPr>
        <w:t>P. stolonifera</w:t>
      </w:r>
      <w:r w:rsidRPr="00533EAC">
        <w:rPr>
          <w:rFonts w:ascii="Arial" w:eastAsia="Times New Roman" w:hAnsi="Arial" w:cs="Arial"/>
          <w:color w:val="000000" w:themeColor="text1"/>
          <w:lang w:val="en-ZA" w:eastAsia="de-DE"/>
        </w:rPr>
        <w:t xml:space="preserve"> and </w:t>
      </w:r>
      <w:r w:rsidRPr="00533EAC">
        <w:rPr>
          <w:rFonts w:ascii="Arial" w:eastAsia="Calibri" w:hAnsi="Arial" w:cs="Arial"/>
          <w:color w:val="000000" w:themeColor="text1"/>
          <w:lang w:val="en-ZA"/>
        </w:rPr>
        <w:t>Pherd2</w:t>
      </w:r>
      <w:r w:rsidRPr="00533EAC">
        <w:rPr>
          <w:rFonts w:ascii="Arial" w:eastAsia="Calibri" w:hAnsi="Arial" w:cs="Arial"/>
          <w:i/>
          <w:color w:val="000000" w:themeColor="text1"/>
          <w:lang w:val="en-ZA"/>
        </w:rPr>
        <w:t xml:space="preserve"> </w:t>
      </w:r>
      <w:r w:rsidRPr="00533EAC">
        <w:rPr>
          <w:rFonts w:ascii="Arial" w:eastAsia="Calibri" w:hAnsi="Arial" w:cs="Arial"/>
          <w:color w:val="000000" w:themeColor="text1"/>
          <w:lang w:val="en-ZA"/>
        </w:rPr>
        <w:t xml:space="preserve">in </w:t>
      </w:r>
      <w:r w:rsidRPr="00533EAC">
        <w:rPr>
          <w:rFonts w:ascii="Arial" w:eastAsia="Times New Roman" w:hAnsi="Arial" w:cs="Arial"/>
          <w:i/>
          <w:iCs/>
          <w:color w:val="000000" w:themeColor="text1"/>
          <w:lang w:val="en-ZA" w:eastAsia="de-DE"/>
        </w:rPr>
        <w:t xml:space="preserve">P. herdmani </w:t>
      </w:r>
      <w:r w:rsidRPr="00533EAC">
        <w:rPr>
          <w:rFonts w:ascii="Arial" w:eastAsia="Times New Roman" w:hAnsi="Arial" w:cs="Arial"/>
          <w:color w:val="000000" w:themeColor="text1"/>
          <w:lang w:val="en-ZA" w:eastAsia="de-DE"/>
        </w:rPr>
        <w:t>from the subtropical bioregion (</w:t>
      </w:r>
      <w:r w:rsidRPr="00533EAC">
        <w:rPr>
          <w:rFonts w:ascii="Arial" w:eastAsia="Times New Roman" w:hAnsi="Arial" w:cs="Arial"/>
          <w:i/>
          <w:color w:val="000000" w:themeColor="text1"/>
          <w:lang w:val="en-ZA" w:eastAsia="de-DE"/>
        </w:rPr>
        <w:t>p</w:t>
      </w:r>
      <w:r w:rsidRPr="00533EAC">
        <w:rPr>
          <w:rFonts w:ascii="Arial" w:eastAsia="Times New Roman" w:hAnsi="Arial" w:cs="Arial"/>
          <w:color w:val="000000" w:themeColor="text1"/>
          <w:lang w:val="en-ZA" w:eastAsia="de-DE"/>
        </w:rPr>
        <w:t xml:space="preserve"> = 0.0002) </w:t>
      </w:r>
      <w:r w:rsidRPr="00533EAC">
        <w:rPr>
          <w:rFonts w:ascii="Arial" w:eastAsia="Calibri" w:hAnsi="Arial" w:cs="Arial"/>
          <w:iCs/>
          <w:color w:val="000000" w:themeColor="text1"/>
          <w:lang w:val="en-ZA"/>
        </w:rPr>
        <w:t>(</w:t>
      </w:r>
      <w:r w:rsidRPr="00533EAC">
        <w:rPr>
          <w:rFonts w:ascii="Arial" w:eastAsia="Calibri" w:hAnsi="Arial" w:cs="Arial"/>
          <w:color w:val="000000" w:themeColor="text1"/>
          <w:lang w:val="en-ZA"/>
        </w:rPr>
        <w:t>Table 3)</w:t>
      </w:r>
      <w:r w:rsidRPr="00533EAC">
        <w:rPr>
          <w:rFonts w:ascii="Arial" w:eastAsia="Calibri" w:hAnsi="Arial" w:cs="Arial"/>
          <w:iCs/>
          <w:color w:val="000000" w:themeColor="text1"/>
          <w:lang w:val="en-ZA"/>
        </w:rPr>
        <w:t>.</w:t>
      </w:r>
      <w:r w:rsidRPr="00533EAC">
        <w:rPr>
          <w:rFonts w:ascii="Arial" w:eastAsia="Times New Roman" w:hAnsi="Arial" w:cs="Arial"/>
          <w:color w:val="000000" w:themeColor="text1"/>
          <w:lang w:val="en-ZA" w:eastAsia="de-DE"/>
        </w:rPr>
        <w:t xml:space="preserve"> </w:t>
      </w:r>
      <w:r w:rsidRPr="00533EAC">
        <w:rPr>
          <w:rFonts w:ascii="Arial" w:eastAsia="Calibri" w:hAnsi="Arial" w:cs="Arial"/>
          <w:color w:val="000000" w:themeColor="text1"/>
          <w:lang w:val="en-ZA"/>
        </w:rPr>
        <w:t xml:space="preserve">No significant linkage disequilibrium was detected between the locus pairs, except for </w:t>
      </w:r>
      <w:r w:rsidR="003D4583" w:rsidRPr="00533EAC">
        <w:rPr>
          <w:rFonts w:ascii="Arial" w:eastAsia="Calibri" w:hAnsi="Arial" w:cs="Arial"/>
          <w:color w:val="000000" w:themeColor="text1"/>
          <w:lang w:val="en-ZA"/>
        </w:rPr>
        <w:t xml:space="preserve">loci </w:t>
      </w:r>
      <w:r w:rsidRPr="00533EAC">
        <w:rPr>
          <w:rFonts w:ascii="Arial" w:eastAsia="Calibri" w:hAnsi="Arial" w:cs="Arial"/>
          <w:color w:val="000000" w:themeColor="text1"/>
          <w:lang w:val="en-ZA"/>
        </w:rPr>
        <w:t xml:space="preserve">Pstol1 </w:t>
      </w:r>
      <w:r w:rsidR="003D4583" w:rsidRPr="00533EAC">
        <w:rPr>
          <w:rFonts w:ascii="Arial" w:eastAsia="Calibri" w:hAnsi="Arial" w:cs="Arial"/>
          <w:iCs/>
          <w:color w:val="000000" w:themeColor="text1"/>
          <w:lang w:val="en-ZA"/>
        </w:rPr>
        <w:t>and</w:t>
      </w:r>
      <w:r w:rsidRPr="00533EAC">
        <w:rPr>
          <w:rFonts w:ascii="Arial" w:eastAsia="Calibri" w:hAnsi="Arial" w:cs="Arial"/>
          <w:color w:val="000000" w:themeColor="text1"/>
          <w:lang w:val="en-ZA"/>
        </w:rPr>
        <w:t xml:space="preserve"> Pherd2</w:t>
      </w:r>
      <w:r w:rsidR="003D4583" w:rsidRPr="00533EAC">
        <w:rPr>
          <w:rFonts w:ascii="Arial" w:eastAsia="Calibri" w:hAnsi="Arial" w:cs="Arial"/>
          <w:color w:val="000000" w:themeColor="text1"/>
          <w:lang w:val="en-ZA"/>
        </w:rPr>
        <w:t>, but this was only found</w:t>
      </w:r>
      <w:r w:rsidRPr="00533EAC">
        <w:rPr>
          <w:rFonts w:ascii="Arial" w:eastAsia="Calibri" w:hAnsi="Arial" w:cs="Arial"/>
          <w:i/>
          <w:color w:val="000000" w:themeColor="text1"/>
          <w:lang w:val="en-ZA"/>
        </w:rPr>
        <w:t xml:space="preserve"> </w:t>
      </w:r>
      <w:r w:rsidRPr="00533EAC">
        <w:rPr>
          <w:rFonts w:ascii="Arial" w:eastAsia="Calibri" w:hAnsi="Arial" w:cs="Arial"/>
          <w:iCs/>
          <w:color w:val="000000" w:themeColor="text1"/>
          <w:lang w:val="en-ZA"/>
        </w:rPr>
        <w:t xml:space="preserve">in samples of </w:t>
      </w:r>
      <w:r w:rsidRPr="00533EAC">
        <w:rPr>
          <w:rFonts w:ascii="Arial" w:eastAsia="Calibri" w:hAnsi="Arial" w:cs="Arial"/>
          <w:i/>
          <w:iCs/>
          <w:color w:val="000000" w:themeColor="text1"/>
          <w:lang w:val="en-ZA"/>
        </w:rPr>
        <w:t xml:space="preserve">P. herdmani </w:t>
      </w:r>
      <w:r w:rsidRPr="00533EAC">
        <w:rPr>
          <w:rFonts w:ascii="Arial" w:eastAsia="Calibri" w:hAnsi="Arial" w:cs="Arial"/>
          <w:iCs/>
          <w:color w:val="000000" w:themeColor="text1"/>
          <w:lang w:val="en-ZA"/>
        </w:rPr>
        <w:t>from the subtropical bioregi</w:t>
      </w:r>
      <w:bookmarkStart w:id="3" w:name="_Ref518370249"/>
      <w:r w:rsidRPr="00533EAC">
        <w:rPr>
          <w:rFonts w:ascii="Arial" w:eastAsia="Calibri" w:hAnsi="Arial" w:cs="Arial"/>
          <w:iCs/>
          <w:color w:val="000000" w:themeColor="text1"/>
          <w:lang w:val="en-ZA"/>
        </w:rPr>
        <w:t>on.</w:t>
      </w:r>
    </w:p>
    <w:p w14:paraId="0151FCDE" w14:textId="5607F215" w:rsidR="00F35A97" w:rsidRPr="00533EAC" w:rsidRDefault="00F35A97" w:rsidP="00C05A32">
      <w:pPr>
        <w:spacing w:after="0" w:line="360" w:lineRule="auto"/>
        <w:jc w:val="both"/>
        <w:rPr>
          <w:rFonts w:ascii="Arial" w:eastAsia="Calibri" w:hAnsi="Arial" w:cs="Arial"/>
          <w:iCs/>
          <w:color w:val="000000" w:themeColor="text1"/>
          <w:lang w:val="en-ZA"/>
        </w:rPr>
      </w:pPr>
    </w:p>
    <w:bookmarkEnd w:id="3"/>
    <w:p w14:paraId="49049A2E" w14:textId="77777777" w:rsidR="005633D6" w:rsidRPr="00533EAC" w:rsidRDefault="005633D6" w:rsidP="00C05A32">
      <w:pPr>
        <w:spacing w:after="0" w:line="360" w:lineRule="auto"/>
        <w:jc w:val="both"/>
        <w:rPr>
          <w:rFonts w:ascii="Arial" w:eastAsia="Calibri" w:hAnsi="Arial" w:cs="Arial"/>
          <w:iCs/>
          <w:color w:val="000000" w:themeColor="text1"/>
          <w:lang w:val="en-ZA"/>
        </w:rPr>
      </w:pPr>
      <w:r w:rsidRPr="00533EAC">
        <w:rPr>
          <w:rFonts w:ascii="Arial" w:eastAsia="Times New Roman" w:hAnsi="Arial" w:cs="Arial"/>
          <w:i/>
          <w:iCs/>
          <w:color w:val="000000" w:themeColor="text1"/>
          <w:lang w:val="en-ZA" w:eastAsia="de-DE"/>
        </w:rPr>
        <w:t xml:space="preserve">Mitogenome </w:t>
      </w:r>
    </w:p>
    <w:p w14:paraId="509BB98A" w14:textId="1C9FA2FF"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The seque</w:t>
      </w:r>
      <w:r w:rsidR="00486F49" w:rsidRPr="00533EAC">
        <w:rPr>
          <w:rFonts w:ascii="Arial" w:eastAsia="Calibri" w:hAnsi="Arial" w:cs="Arial"/>
          <w:color w:val="000000" w:themeColor="text1"/>
          <w:lang w:val="en-ZA"/>
        </w:rPr>
        <w:t xml:space="preserve">ncing resulted in a total of </w:t>
      </w:r>
      <w:r w:rsidR="00EF4181" w:rsidRPr="00533EAC">
        <w:rPr>
          <w:rFonts w:ascii="Arial" w:eastAsia="Calibri" w:hAnsi="Arial" w:cs="Arial"/>
          <w:color w:val="000000" w:themeColor="text1"/>
          <w:lang w:val="en-ZA"/>
        </w:rPr>
        <w:t>49,327,</w:t>
      </w:r>
      <w:r w:rsidRPr="00533EAC">
        <w:rPr>
          <w:rFonts w:ascii="Arial" w:eastAsia="Calibri" w:hAnsi="Arial" w:cs="Arial"/>
          <w:color w:val="000000" w:themeColor="text1"/>
          <w:lang w:val="en-ZA"/>
        </w:rPr>
        <w:t>633 paired-end short reads with an</w:t>
      </w:r>
      <w:r w:rsidRPr="00533EAC">
        <w:rPr>
          <w:rFonts w:ascii="Arial" w:eastAsia="Times New Roman" w:hAnsi="Arial" w:cs="Arial"/>
          <w:color w:val="000000" w:themeColor="text1"/>
          <w:lang w:val="en-ZA" w:eastAsia="de-DE"/>
        </w:rPr>
        <w:t xml:space="preserve"> average sequence length of 150 bp and a GC content of 45%.</w:t>
      </w:r>
      <w:r w:rsidR="0091696A" w:rsidRPr="00533EAC">
        <w:rPr>
          <w:rFonts w:ascii="Arial" w:eastAsia="Times New Roman" w:hAnsi="Arial" w:cs="Arial"/>
          <w:color w:val="000000" w:themeColor="text1"/>
          <w:lang w:val="en-ZA" w:eastAsia="de-DE"/>
        </w:rPr>
        <w:t xml:space="preserve"> </w:t>
      </w:r>
      <w:r w:rsidRPr="00533EAC">
        <w:rPr>
          <w:rFonts w:ascii="Arial" w:eastAsia="Calibri" w:hAnsi="Arial" w:cs="Arial"/>
          <w:color w:val="000000" w:themeColor="text1"/>
          <w:lang w:val="en-ZA"/>
        </w:rPr>
        <w:t xml:space="preserve">The length of the </w:t>
      </w:r>
      <w:r w:rsidR="00292870" w:rsidRPr="00533EAC">
        <w:rPr>
          <w:rFonts w:ascii="Arial" w:eastAsia="Calibri" w:hAnsi="Arial" w:cs="Arial"/>
          <w:color w:val="000000" w:themeColor="text1"/>
          <w:lang w:val="en-ZA"/>
        </w:rPr>
        <w:t xml:space="preserve">partial </w:t>
      </w:r>
      <w:r w:rsidRPr="00533EAC">
        <w:rPr>
          <w:rFonts w:ascii="Arial" w:eastAsia="Calibri" w:hAnsi="Arial" w:cs="Arial"/>
          <w:color w:val="000000" w:themeColor="text1"/>
          <w:lang w:val="en-ZA"/>
        </w:rPr>
        <w:t xml:space="preserve">mapped mitogenome for the concatenated sequences of 13 protein-coding genes (PCGs) of </w:t>
      </w:r>
      <w:r w:rsidRPr="00533EAC">
        <w:rPr>
          <w:rFonts w:ascii="Arial" w:eastAsia="Calibri" w:hAnsi="Arial" w:cs="Arial"/>
          <w:i/>
          <w:color w:val="000000" w:themeColor="text1"/>
          <w:lang w:val="en-ZA"/>
        </w:rPr>
        <w:t xml:space="preserve">P. stolonifera </w:t>
      </w:r>
      <w:r w:rsidRPr="00533EAC">
        <w:rPr>
          <w:rFonts w:ascii="Arial" w:eastAsia="Calibri" w:hAnsi="Arial" w:cs="Arial"/>
          <w:color w:val="000000" w:themeColor="text1"/>
          <w:lang w:val="en-ZA"/>
        </w:rPr>
        <w:t xml:space="preserve">and four populations of </w:t>
      </w:r>
      <w:r w:rsidRPr="00533EAC">
        <w:rPr>
          <w:rFonts w:ascii="Arial" w:eastAsia="Calibri" w:hAnsi="Arial" w:cs="Arial"/>
          <w:i/>
          <w:color w:val="000000" w:themeColor="text1"/>
          <w:lang w:val="en-ZA"/>
        </w:rPr>
        <w:t xml:space="preserve">P. herdmani </w:t>
      </w:r>
      <w:r w:rsidRPr="00533EAC">
        <w:rPr>
          <w:rFonts w:ascii="Arial" w:eastAsia="Calibri" w:hAnsi="Arial" w:cs="Arial"/>
          <w:color w:val="000000" w:themeColor="text1"/>
          <w:lang w:val="en-ZA"/>
        </w:rPr>
        <w:t xml:space="preserve">are shown in Table </w:t>
      </w:r>
      <w:r w:rsidR="00292870" w:rsidRPr="00533EAC">
        <w:rPr>
          <w:rFonts w:ascii="Arial" w:eastAsia="Calibri" w:hAnsi="Arial" w:cs="Arial"/>
          <w:color w:val="000000" w:themeColor="text1"/>
          <w:lang w:val="en-ZA"/>
        </w:rPr>
        <w:t>4</w:t>
      </w:r>
      <w:r w:rsidR="00B23267" w:rsidRPr="00533EAC">
        <w:rPr>
          <w:rFonts w:ascii="Arial" w:eastAsia="Calibri" w:hAnsi="Arial" w:cs="Arial"/>
          <w:color w:val="000000" w:themeColor="text1"/>
          <w:lang w:val="en-ZA"/>
        </w:rPr>
        <w:t xml:space="preserve"> </w:t>
      </w:r>
      <w:r w:rsidR="005337A7" w:rsidRPr="00533EAC">
        <w:rPr>
          <w:rFonts w:ascii="Arial" w:eastAsia="Calibri" w:hAnsi="Arial" w:cs="Arial"/>
          <w:color w:val="000000" w:themeColor="text1"/>
          <w:lang w:val="en-ZA"/>
        </w:rPr>
        <w:t>(GenBank</w:t>
      </w:r>
      <w:r w:rsidR="00470948" w:rsidRPr="00533EAC">
        <w:rPr>
          <w:rFonts w:ascii="Arial" w:eastAsia="Calibri" w:hAnsi="Arial" w:cs="Arial"/>
          <w:color w:val="000000" w:themeColor="text1"/>
          <w:lang w:val="en-ZA"/>
        </w:rPr>
        <w:t xml:space="preserve"> accession numbers</w:t>
      </w:r>
      <w:r w:rsidR="005337A7" w:rsidRPr="00533EAC">
        <w:rPr>
          <w:rFonts w:ascii="Arial" w:eastAsia="Calibri" w:hAnsi="Arial" w:cs="Arial"/>
          <w:color w:val="000000" w:themeColor="text1"/>
          <w:lang w:val="en-ZA"/>
        </w:rPr>
        <w:t xml:space="preserve"> MT840149-MT840183).</w:t>
      </w:r>
      <w:r w:rsidR="005337A7" w:rsidRPr="00533EAC" w:rsidDel="005337A7">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t xml:space="preserve">Comparing the partial reconstruction to </w:t>
      </w:r>
      <w:r w:rsidRPr="00533EAC">
        <w:rPr>
          <w:rFonts w:ascii="Arial" w:eastAsia="Calibri" w:hAnsi="Arial" w:cs="Arial"/>
          <w:i/>
          <w:color w:val="000000" w:themeColor="text1"/>
          <w:lang w:val="en-ZA"/>
        </w:rPr>
        <w:t xml:space="preserve">P. </w:t>
      </w:r>
      <w:proofErr w:type="spellStart"/>
      <w:r w:rsidRPr="00533EAC">
        <w:rPr>
          <w:rFonts w:ascii="Arial" w:eastAsia="Calibri" w:hAnsi="Arial" w:cs="Arial"/>
          <w:i/>
          <w:color w:val="000000" w:themeColor="text1"/>
          <w:lang w:val="en-ZA"/>
        </w:rPr>
        <w:t>gangelion</w:t>
      </w:r>
      <w:proofErr w:type="spellEnd"/>
      <w:r w:rsidRPr="00533EAC">
        <w:rPr>
          <w:rFonts w:ascii="Arial" w:eastAsia="Calibri" w:hAnsi="Arial" w:cs="Arial"/>
          <w:color w:val="000000" w:themeColor="text1"/>
          <w:lang w:val="en-ZA"/>
        </w:rPr>
        <w:t xml:space="preserve">, </w:t>
      </w:r>
      <w:r w:rsidRPr="00533EAC">
        <w:rPr>
          <w:rFonts w:ascii="Arial" w:eastAsia="Calibri" w:hAnsi="Arial" w:cs="Arial"/>
          <w:i/>
          <w:color w:val="000000" w:themeColor="text1"/>
          <w:lang w:val="en-ZA"/>
        </w:rPr>
        <w:t>P. stolonifera</w:t>
      </w:r>
      <w:r w:rsidRPr="00533EAC">
        <w:rPr>
          <w:rFonts w:ascii="Arial" w:eastAsia="Calibri" w:hAnsi="Arial" w:cs="Arial"/>
          <w:color w:val="000000" w:themeColor="text1"/>
          <w:lang w:val="en-ZA"/>
        </w:rPr>
        <w:t xml:space="preserve"> recovered 47</w:t>
      </w:r>
      <w:r w:rsidR="00496B01" w:rsidRPr="00533EAC">
        <w:rPr>
          <w:rFonts w:ascii="Arial" w:eastAsia="Calibri" w:hAnsi="Arial" w:cs="Arial"/>
          <w:color w:val="000000" w:themeColor="text1"/>
          <w:lang w:val="en-ZA"/>
        </w:rPr>
        <w:t>.</w:t>
      </w:r>
      <w:r w:rsidR="00486F49" w:rsidRPr="00533EAC">
        <w:rPr>
          <w:rFonts w:ascii="Arial" w:eastAsia="Calibri" w:hAnsi="Arial" w:cs="Arial"/>
          <w:color w:val="000000" w:themeColor="text1"/>
          <w:lang w:val="en-ZA"/>
        </w:rPr>
        <w:t>2</w:t>
      </w:r>
      <w:r w:rsidRPr="00533EAC">
        <w:rPr>
          <w:rFonts w:ascii="Arial" w:eastAsia="Calibri" w:hAnsi="Arial" w:cs="Arial"/>
          <w:color w:val="000000" w:themeColor="text1"/>
          <w:lang w:val="en-ZA"/>
        </w:rPr>
        <w:t>% of the total sequence</w:t>
      </w:r>
      <w:r w:rsidR="00C00101" w:rsidRPr="00533EAC">
        <w:rPr>
          <w:rFonts w:ascii="Arial" w:eastAsia="Calibri" w:hAnsi="Arial" w:cs="Arial"/>
          <w:color w:val="000000" w:themeColor="text1"/>
          <w:lang w:val="en-ZA"/>
        </w:rPr>
        <w:t>,</w:t>
      </w:r>
      <w:r w:rsidR="003D4583" w:rsidRPr="00533EAC">
        <w:rPr>
          <w:rFonts w:ascii="Arial" w:eastAsia="Calibri" w:hAnsi="Arial" w:cs="Arial"/>
          <w:color w:val="000000" w:themeColor="text1"/>
          <w:lang w:val="en-ZA"/>
        </w:rPr>
        <w:t xml:space="preserve"> the</w:t>
      </w:r>
      <w:r w:rsidR="00C00101" w:rsidRPr="00533EAC">
        <w:rPr>
          <w:rFonts w:ascii="Arial" w:eastAsia="Calibri" w:hAnsi="Arial" w:cs="Arial"/>
          <w:color w:val="000000" w:themeColor="text1"/>
          <w:lang w:val="en-ZA"/>
        </w:rPr>
        <w:t xml:space="preserve"> </w:t>
      </w:r>
      <w:r w:rsidRPr="00533EAC">
        <w:rPr>
          <w:rFonts w:ascii="Arial" w:eastAsia="Calibri" w:hAnsi="Arial" w:cs="Arial"/>
          <w:i/>
          <w:color w:val="000000" w:themeColor="text1"/>
          <w:lang w:val="en-ZA"/>
        </w:rPr>
        <w:t xml:space="preserve">P. </w:t>
      </w:r>
      <w:proofErr w:type="spellStart"/>
      <w:r w:rsidRPr="00533EAC">
        <w:rPr>
          <w:rFonts w:ascii="Arial" w:eastAsia="Calibri" w:hAnsi="Arial" w:cs="Arial"/>
          <w:i/>
          <w:color w:val="000000" w:themeColor="text1"/>
          <w:lang w:val="en-ZA"/>
        </w:rPr>
        <w:t>herdmani</w:t>
      </w:r>
      <w:proofErr w:type="spellEnd"/>
      <w:r w:rsidRPr="00533EAC">
        <w:rPr>
          <w:rFonts w:ascii="Arial" w:eastAsia="Calibri" w:hAnsi="Arial" w:cs="Arial"/>
          <w:i/>
          <w:color w:val="000000" w:themeColor="text1"/>
          <w:lang w:val="en-ZA"/>
        </w:rPr>
        <w:t xml:space="preserve"> </w:t>
      </w:r>
      <w:r w:rsidR="003D4583" w:rsidRPr="00533EAC">
        <w:rPr>
          <w:rFonts w:ascii="Arial" w:eastAsia="Calibri" w:hAnsi="Arial" w:cs="Arial"/>
          <w:color w:val="000000" w:themeColor="text1"/>
          <w:lang w:val="en-ZA"/>
        </w:rPr>
        <w:t xml:space="preserve">population </w:t>
      </w:r>
      <w:r w:rsidRPr="00533EAC">
        <w:rPr>
          <w:rFonts w:ascii="Arial" w:eastAsia="Calibri" w:hAnsi="Arial" w:cs="Arial"/>
          <w:color w:val="000000" w:themeColor="text1"/>
          <w:lang w:val="en-ZA"/>
        </w:rPr>
        <w:t>defined</w:t>
      </w:r>
      <w:r w:rsidR="00C00101" w:rsidRPr="00533EAC">
        <w:rPr>
          <w:rFonts w:ascii="Arial" w:eastAsia="Calibri" w:hAnsi="Arial" w:cs="Arial"/>
          <w:color w:val="000000" w:themeColor="text1"/>
          <w:lang w:val="en-ZA"/>
        </w:rPr>
        <w:t xml:space="preserve"> as</w:t>
      </w:r>
      <w:r w:rsidRPr="00533EAC">
        <w:rPr>
          <w:rFonts w:ascii="Arial" w:eastAsia="Calibri" w:hAnsi="Arial" w:cs="Arial"/>
          <w:color w:val="000000" w:themeColor="text1"/>
          <w:lang w:val="en-ZA"/>
        </w:rPr>
        <w:t xml:space="preserve"> </w:t>
      </w:r>
      <w:r w:rsidR="00A6502B" w:rsidRPr="00533EAC">
        <w:rPr>
          <w:rFonts w:ascii="Arial" w:eastAsia="Calibri" w:hAnsi="Arial" w:cs="Arial"/>
          <w:color w:val="000000" w:themeColor="text1"/>
          <w:lang w:val="en-ZA"/>
        </w:rPr>
        <w:t xml:space="preserve">common </w:t>
      </w:r>
      <w:r w:rsidRPr="00533EAC">
        <w:rPr>
          <w:rFonts w:ascii="Arial" w:eastAsia="Calibri" w:hAnsi="Arial" w:cs="Arial"/>
          <w:color w:val="000000" w:themeColor="text1"/>
          <w:lang w:val="en-ZA"/>
        </w:rPr>
        <w:t>temperate 32</w:t>
      </w:r>
      <w:r w:rsidR="00496B01" w:rsidRPr="00533EAC">
        <w:rPr>
          <w:rFonts w:ascii="Arial" w:eastAsia="Calibri" w:hAnsi="Arial" w:cs="Arial"/>
          <w:color w:val="000000" w:themeColor="text1"/>
          <w:lang w:val="en-ZA"/>
        </w:rPr>
        <w:t>.</w:t>
      </w:r>
      <w:r w:rsidR="00486F49" w:rsidRPr="00533EAC">
        <w:rPr>
          <w:rFonts w:ascii="Arial" w:eastAsia="Calibri" w:hAnsi="Arial" w:cs="Arial"/>
          <w:color w:val="000000" w:themeColor="text1"/>
          <w:lang w:val="en-ZA"/>
        </w:rPr>
        <w:t>6</w:t>
      </w:r>
      <w:r w:rsidRPr="00533EAC">
        <w:rPr>
          <w:rFonts w:ascii="Arial" w:eastAsia="Calibri" w:hAnsi="Arial" w:cs="Arial"/>
          <w:color w:val="000000" w:themeColor="text1"/>
          <w:lang w:val="en-ZA"/>
        </w:rPr>
        <w:t xml:space="preserve">%, </w:t>
      </w:r>
      <w:r w:rsidR="00A6502B" w:rsidRPr="00533EAC">
        <w:rPr>
          <w:rFonts w:ascii="Arial" w:eastAsia="Calibri" w:hAnsi="Arial" w:cs="Arial"/>
          <w:color w:val="000000" w:themeColor="text1"/>
          <w:lang w:val="en-ZA"/>
        </w:rPr>
        <w:t xml:space="preserve">rare </w:t>
      </w:r>
      <w:r w:rsidRPr="00533EAC">
        <w:rPr>
          <w:rFonts w:ascii="Arial" w:eastAsia="Calibri" w:hAnsi="Arial" w:cs="Arial"/>
          <w:color w:val="000000" w:themeColor="text1"/>
          <w:lang w:val="en-ZA"/>
        </w:rPr>
        <w:t xml:space="preserve">temperate </w:t>
      </w:r>
      <w:r w:rsidR="00EA4243" w:rsidRPr="00533EAC">
        <w:rPr>
          <w:rFonts w:ascii="Arial" w:eastAsia="Calibri" w:hAnsi="Arial" w:cs="Arial"/>
          <w:i/>
          <w:color w:val="000000" w:themeColor="text1"/>
          <w:lang w:val="en-ZA"/>
        </w:rPr>
        <w:t>P. herdmani</w:t>
      </w:r>
      <w:r w:rsidR="00EA4243" w:rsidRPr="00533EAC">
        <w:rPr>
          <w:rFonts w:ascii="Arial" w:eastAsia="Calibri" w:hAnsi="Arial" w:cs="Arial"/>
          <w:color w:val="000000" w:themeColor="text1"/>
          <w:lang w:val="en-ZA"/>
        </w:rPr>
        <w:t xml:space="preserve"> </w:t>
      </w:r>
      <w:r w:rsidR="00486F49" w:rsidRPr="00533EAC">
        <w:rPr>
          <w:rFonts w:ascii="Arial" w:eastAsia="Calibri" w:hAnsi="Arial" w:cs="Arial"/>
          <w:color w:val="000000" w:themeColor="text1"/>
          <w:lang w:val="en-ZA"/>
        </w:rPr>
        <w:t>28.1</w:t>
      </w:r>
      <w:r w:rsidRPr="00533EAC">
        <w:rPr>
          <w:rFonts w:ascii="Arial" w:eastAsia="Calibri" w:hAnsi="Arial" w:cs="Arial"/>
          <w:color w:val="000000" w:themeColor="text1"/>
          <w:lang w:val="en-ZA"/>
        </w:rPr>
        <w:t xml:space="preserve">%, subtropical </w:t>
      </w:r>
      <w:r w:rsidR="00EA4243" w:rsidRPr="00533EAC">
        <w:rPr>
          <w:rFonts w:ascii="Arial" w:eastAsia="Calibri" w:hAnsi="Arial" w:cs="Arial"/>
          <w:i/>
          <w:color w:val="000000" w:themeColor="text1"/>
          <w:lang w:val="en-ZA"/>
        </w:rPr>
        <w:t>P. herdmani</w:t>
      </w:r>
      <w:r w:rsidR="00EA4243" w:rsidRPr="00533EAC">
        <w:rPr>
          <w:rFonts w:ascii="Arial" w:eastAsia="Calibri" w:hAnsi="Arial" w:cs="Arial"/>
          <w:color w:val="000000" w:themeColor="text1"/>
          <w:lang w:val="en-ZA"/>
        </w:rPr>
        <w:t xml:space="preserve"> </w:t>
      </w:r>
      <w:r w:rsidR="00496B01" w:rsidRPr="00533EAC">
        <w:rPr>
          <w:rFonts w:ascii="Arial" w:eastAsia="Calibri" w:hAnsi="Arial" w:cs="Arial"/>
          <w:color w:val="000000" w:themeColor="text1"/>
          <w:lang w:val="en-ZA"/>
        </w:rPr>
        <w:t>36.</w:t>
      </w:r>
      <w:r w:rsidRPr="00533EAC">
        <w:rPr>
          <w:rFonts w:ascii="Arial" w:eastAsia="Calibri" w:hAnsi="Arial" w:cs="Arial"/>
          <w:color w:val="000000" w:themeColor="text1"/>
          <w:lang w:val="en-ZA"/>
        </w:rPr>
        <w:t xml:space="preserve">9%, and </w:t>
      </w:r>
      <w:r w:rsidR="00EA4243" w:rsidRPr="00533EAC">
        <w:rPr>
          <w:rFonts w:ascii="Arial" w:eastAsia="Calibri" w:hAnsi="Arial" w:cs="Arial"/>
          <w:color w:val="000000" w:themeColor="text1"/>
          <w:lang w:val="en-ZA"/>
        </w:rPr>
        <w:t>Moroccan</w:t>
      </w:r>
      <w:r w:rsidR="00EA4243" w:rsidRPr="00533EAC">
        <w:rPr>
          <w:rFonts w:ascii="Arial" w:eastAsia="Calibri" w:hAnsi="Arial" w:cs="Arial"/>
          <w:i/>
          <w:color w:val="000000" w:themeColor="text1"/>
          <w:lang w:val="en-ZA"/>
        </w:rPr>
        <w:t xml:space="preserve"> </w:t>
      </w:r>
      <w:r w:rsidRPr="00533EAC">
        <w:rPr>
          <w:rFonts w:ascii="Arial" w:eastAsia="Calibri" w:hAnsi="Arial" w:cs="Arial"/>
          <w:i/>
          <w:color w:val="000000" w:themeColor="text1"/>
          <w:lang w:val="en-ZA"/>
        </w:rPr>
        <w:t xml:space="preserve">P. </w:t>
      </w:r>
      <w:proofErr w:type="spellStart"/>
      <w:r w:rsidRPr="00533EAC">
        <w:rPr>
          <w:rFonts w:ascii="Arial" w:eastAsia="Calibri" w:hAnsi="Arial" w:cs="Arial"/>
          <w:i/>
          <w:color w:val="000000" w:themeColor="text1"/>
          <w:lang w:val="en-ZA"/>
        </w:rPr>
        <w:t>herdmani</w:t>
      </w:r>
      <w:proofErr w:type="spellEnd"/>
      <w:r w:rsidR="00486F49" w:rsidRPr="00533EAC">
        <w:rPr>
          <w:rFonts w:ascii="Arial" w:eastAsia="Calibri" w:hAnsi="Arial" w:cs="Arial"/>
          <w:color w:val="000000" w:themeColor="text1"/>
          <w:lang w:val="en-ZA"/>
        </w:rPr>
        <w:t xml:space="preserve"> 49.9</w:t>
      </w:r>
      <w:r w:rsidRPr="00533EAC">
        <w:rPr>
          <w:rFonts w:ascii="Arial" w:eastAsia="Calibri" w:hAnsi="Arial" w:cs="Arial"/>
          <w:color w:val="000000" w:themeColor="text1"/>
          <w:lang w:val="en-ZA"/>
        </w:rPr>
        <w:t>%.</w:t>
      </w:r>
    </w:p>
    <w:p w14:paraId="2506F866" w14:textId="77777777" w:rsidR="00C00101" w:rsidRPr="00533EAC" w:rsidRDefault="00C00101" w:rsidP="00C05A32">
      <w:pPr>
        <w:spacing w:after="0" w:line="360" w:lineRule="auto"/>
        <w:jc w:val="both"/>
        <w:rPr>
          <w:rFonts w:ascii="Arial" w:eastAsia="Calibri" w:hAnsi="Arial" w:cs="Arial"/>
          <w:color w:val="000000" w:themeColor="text1"/>
          <w:lang w:val="en-ZA"/>
        </w:rPr>
      </w:pPr>
    </w:p>
    <w:p w14:paraId="0129D361" w14:textId="212E932A"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The number of single nucleotide polymorphisms (SNPs) per gene region, and the relative variation when taking</w:t>
      </w:r>
      <w:r w:rsidR="00C00101" w:rsidRPr="00533EAC">
        <w:rPr>
          <w:rFonts w:ascii="Arial" w:eastAsia="Calibri" w:hAnsi="Arial" w:cs="Arial"/>
          <w:color w:val="000000" w:themeColor="text1"/>
          <w:lang w:val="en-ZA"/>
        </w:rPr>
        <w:t xml:space="preserve"> the</w:t>
      </w:r>
      <w:r w:rsidRPr="00533EAC">
        <w:rPr>
          <w:rFonts w:ascii="Arial" w:eastAsia="Calibri" w:hAnsi="Arial" w:cs="Arial"/>
          <w:color w:val="000000" w:themeColor="text1"/>
          <w:lang w:val="en-ZA"/>
        </w:rPr>
        <w:t xml:space="preserve"> length of each gene fragment into account, are listed in Table</w:t>
      </w:r>
      <w:r w:rsidR="006A002A" w:rsidRPr="00533EAC">
        <w:rPr>
          <w:rFonts w:ascii="Arial" w:eastAsia="Calibri" w:hAnsi="Arial" w:cs="Arial"/>
          <w:color w:val="000000" w:themeColor="text1"/>
          <w:lang w:val="en-ZA"/>
        </w:rPr>
        <w:t xml:space="preserve"> </w:t>
      </w:r>
      <w:r w:rsidR="00292870" w:rsidRPr="00533EAC">
        <w:rPr>
          <w:rFonts w:ascii="Arial" w:eastAsia="Calibri" w:hAnsi="Arial" w:cs="Arial"/>
          <w:color w:val="000000" w:themeColor="text1"/>
          <w:lang w:val="en-ZA"/>
        </w:rPr>
        <w:t>5</w:t>
      </w:r>
      <w:r w:rsidRPr="00533EAC">
        <w:rPr>
          <w:rFonts w:ascii="Arial" w:eastAsia="Calibri" w:hAnsi="Arial" w:cs="Arial"/>
          <w:color w:val="000000" w:themeColor="text1"/>
          <w:lang w:val="en-ZA"/>
        </w:rPr>
        <w:t>. Am</w:t>
      </w:r>
      <w:r w:rsidR="00486F49" w:rsidRPr="00533EAC">
        <w:rPr>
          <w:rFonts w:ascii="Arial" w:eastAsia="Calibri" w:hAnsi="Arial" w:cs="Arial"/>
          <w:color w:val="000000" w:themeColor="text1"/>
          <w:lang w:val="en-ZA"/>
        </w:rPr>
        <w:t xml:space="preserve">ong all protein-coding genes, </w:t>
      </w:r>
      <w:r w:rsidR="00EF4181" w:rsidRPr="00533EAC">
        <w:rPr>
          <w:rFonts w:ascii="Arial" w:eastAsia="Calibri" w:hAnsi="Arial" w:cs="Arial"/>
          <w:color w:val="000000" w:themeColor="text1"/>
          <w:lang w:val="en-ZA"/>
        </w:rPr>
        <w:t>2,</w:t>
      </w:r>
      <w:r w:rsidR="005B3FDE" w:rsidRPr="00533EAC">
        <w:rPr>
          <w:rFonts w:ascii="Arial" w:eastAsia="Calibri" w:hAnsi="Arial" w:cs="Arial"/>
          <w:color w:val="000000" w:themeColor="text1"/>
          <w:lang w:val="en-ZA"/>
        </w:rPr>
        <w:t>042 SNPs were detected</w:t>
      </w:r>
      <w:r w:rsidR="003D4583" w:rsidRPr="00533EAC">
        <w:rPr>
          <w:rFonts w:ascii="Arial" w:eastAsia="Calibri" w:hAnsi="Arial" w:cs="Arial"/>
          <w:color w:val="000000" w:themeColor="text1"/>
          <w:lang w:val="en-ZA"/>
        </w:rPr>
        <w:t xml:space="preserve">, of which </w:t>
      </w:r>
      <w:r w:rsidRPr="00533EAC">
        <w:rPr>
          <w:rFonts w:ascii="Arial" w:eastAsia="Calibri" w:hAnsi="Arial" w:cs="Arial"/>
          <w:color w:val="000000" w:themeColor="text1"/>
          <w:lang w:val="en-ZA"/>
        </w:rPr>
        <w:t xml:space="preserve">757 were parsimony informative. Cox1 was the most variable gene in terms of total number of SNPs (404), </w:t>
      </w:r>
      <w:r w:rsidR="00C00101" w:rsidRPr="00533EAC">
        <w:rPr>
          <w:rFonts w:ascii="Arial" w:eastAsia="Calibri" w:hAnsi="Arial" w:cs="Arial"/>
          <w:color w:val="000000" w:themeColor="text1"/>
          <w:lang w:val="en-ZA"/>
        </w:rPr>
        <w:t xml:space="preserve">and </w:t>
      </w:r>
      <w:r w:rsidRPr="00533EAC">
        <w:rPr>
          <w:rFonts w:ascii="Arial" w:eastAsia="Calibri" w:hAnsi="Arial" w:cs="Arial"/>
          <w:color w:val="000000" w:themeColor="text1"/>
          <w:lang w:val="en-ZA"/>
        </w:rPr>
        <w:t xml:space="preserve">was followed by Nad5 with 288 SNPs, </w:t>
      </w:r>
      <w:r w:rsidR="00C00101" w:rsidRPr="00533EAC">
        <w:rPr>
          <w:rFonts w:ascii="Arial" w:eastAsia="Calibri" w:hAnsi="Arial" w:cs="Arial"/>
          <w:color w:val="000000" w:themeColor="text1"/>
          <w:lang w:val="en-ZA"/>
        </w:rPr>
        <w:t xml:space="preserve">whereas </w:t>
      </w:r>
      <w:r w:rsidRPr="00533EAC">
        <w:rPr>
          <w:rFonts w:ascii="Arial" w:eastAsia="Calibri" w:hAnsi="Arial" w:cs="Arial"/>
          <w:color w:val="000000" w:themeColor="text1"/>
          <w:lang w:val="en-ZA"/>
        </w:rPr>
        <w:t xml:space="preserve">Atp8 had the lowest variability, with only 35 SNPs. However, when length of the gene fragment was taken into account, Atp8 </w:t>
      </w:r>
      <w:r w:rsidR="00C00101" w:rsidRPr="00533EAC">
        <w:rPr>
          <w:rFonts w:ascii="Arial" w:eastAsia="Calibri" w:hAnsi="Arial" w:cs="Arial"/>
          <w:color w:val="000000" w:themeColor="text1"/>
          <w:lang w:val="en-ZA"/>
        </w:rPr>
        <w:t>was</w:t>
      </w:r>
      <w:r w:rsidR="00486F49" w:rsidRPr="00533EAC">
        <w:rPr>
          <w:rFonts w:ascii="Arial" w:eastAsia="Calibri" w:hAnsi="Arial" w:cs="Arial"/>
          <w:color w:val="000000" w:themeColor="text1"/>
          <w:lang w:val="en-ZA"/>
        </w:rPr>
        <w:t xml:space="preserve"> the most variable gene (35</w:t>
      </w:r>
      <w:r w:rsidRPr="00533EAC">
        <w:rPr>
          <w:rFonts w:ascii="Arial" w:eastAsia="Calibri" w:hAnsi="Arial" w:cs="Arial"/>
          <w:color w:val="000000" w:themeColor="text1"/>
          <w:lang w:val="en-ZA"/>
        </w:rPr>
        <w:t>%), followed by Cox2</w:t>
      </w:r>
      <w:r w:rsidR="00486F49" w:rsidRPr="00533EAC">
        <w:rPr>
          <w:rFonts w:ascii="Arial" w:eastAsia="Calibri" w:hAnsi="Arial" w:cs="Arial"/>
          <w:color w:val="000000" w:themeColor="text1"/>
          <w:lang w:val="en-ZA"/>
        </w:rPr>
        <w:t xml:space="preserve"> (27</w:t>
      </w:r>
      <w:r w:rsidRPr="00533EAC">
        <w:rPr>
          <w:rFonts w:ascii="Arial" w:eastAsia="Calibri" w:hAnsi="Arial" w:cs="Arial"/>
          <w:color w:val="000000" w:themeColor="text1"/>
          <w:lang w:val="en-ZA"/>
        </w:rPr>
        <w:t>%) and Cox1</w:t>
      </w:r>
      <w:r w:rsidR="00486F49" w:rsidRPr="00533EAC">
        <w:rPr>
          <w:rFonts w:ascii="Arial" w:eastAsia="Calibri" w:hAnsi="Arial" w:cs="Arial"/>
          <w:color w:val="000000" w:themeColor="text1"/>
          <w:lang w:val="en-ZA"/>
        </w:rPr>
        <w:t xml:space="preserve"> (26</w:t>
      </w:r>
      <w:r w:rsidRPr="00533EAC">
        <w:rPr>
          <w:rFonts w:ascii="Arial" w:eastAsia="Calibri" w:hAnsi="Arial" w:cs="Arial"/>
          <w:color w:val="000000" w:themeColor="text1"/>
          <w:lang w:val="en-ZA"/>
        </w:rPr>
        <w:t>%).</w:t>
      </w:r>
    </w:p>
    <w:p w14:paraId="5D1F703B" w14:textId="77777777" w:rsidR="00F35A97" w:rsidRPr="00533EAC" w:rsidRDefault="00F35A97" w:rsidP="00C05A32">
      <w:pPr>
        <w:spacing w:after="0" w:line="360" w:lineRule="auto"/>
        <w:jc w:val="both"/>
        <w:rPr>
          <w:rFonts w:ascii="Arial" w:eastAsia="Calibri" w:hAnsi="Arial" w:cs="Arial"/>
          <w:color w:val="000000" w:themeColor="text1"/>
          <w:lang w:val="en-ZA"/>
        </w:rPr>
      </w:pPr>
    </w:p>
    <w:p w14:paraId="3EFD2C8E" w14:textId="32D044F6"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The phylogenetic tree shown in Figure 1 was inferred using the concatenated partial sequences of the 13 PCGs. It provided a well-resolved phylogeny, with all nodes being strongly supported (posterior probability [PP] &gt; 0.99). </w:t>
      </w:r>
      <w:r w:rsidRPr="00533EAC">
        <w:rPr>
          <w:rFonts w:ascii="Arial" w:eastAsia="Calibri" w:hAnsi="Arial" w:cs="Arial"/>
          <w:i/>
          <w:iCs/>
          <w:color w:val="000000" w:themeColor="text1"/>
          <w:lang w:val="en-ZA"/>
        </w:rPr>
        <w:t xml:space="preserve">Pyura </w:t>
      </w:r>
      <w:proofErr w:type="spellStart"/>
      <w:r w:rsidRPr="00533EAC">
        <w:rPr>
          <w:rFonts w:ascii="Arial" w:eastAsia="Calibri" w:hAnsi="Arial" w:cs="Arial"/>
          <w:i/>
          <w:iCs/>
          <w:color w:val="000000" w:themeColor="text1"/>
          <w:lang w:val="en-ZA"/>
        </w:rPr>
        <w:t>gangelion</w:t>
      </w:r>
      <w:proofErr w:type="spellEnd"/>
      <w:r w:rsidRPr="00533EAC">
        <w:rPr>
          <w:rFonts w:ascii="Arial" w:eastAsia="Calibri" w:hAnsi="Arial" w:cs="Arial"/>
          <w:color w:val="000000" w:themeColor="text1"/>
          <w:lang w:val="en-ZA"/>
        </w:rPr>
        <w:t xml:space="preserve"> was used as the outgroup species and </w:t>
      </w:r>
      <w:r w:rsidR="00D20B73" w:rsidRPr="00533EAC">
        <w:rPr>
          <w:rFonts w:ascii="Arial" w:eastAsia="Calibri" w:hAnsi="Arial" w:cs="Arial"/>
          <w:i/>
          <w:color w:val="000000" w:themeColor="text1"/>
          <w:lang w:val="en-ZA"/>
        </w:rPr>
        <w:t>P.</w:t>
      </w:r>
      <w:r w:rsidRPr="00533EAC">
        <w:rPr>
          <w:rFonts w:ascii="Arial" w:eastAsia="Calibri" w:hAnsi="Arial" w:cs="Arial"/>
          <w:i/>
          <w:color w:val="000000" w:themeColor="text1"/>
          <w:lang w:val="en-ZA"/>
        </w:rPr>
        <w:t xml:space="preserve"> stolonifera</w:t>
      </w:r>
      <w:r w:rsidRPr="00533EAC">
        <w:rPr>
          <w:rFonts w:ascii="Arial" w:eastAsia="Calibri" w:hAnsi="Arial" w:cs="Arial"/>
          <w:color w:val="000000" w:themeColor="text1"/>
          <w:lang w:val="en-ZA"/>
        </w:rPr>
        <w:t xml:space="preserve"> and </w:t>
      </w:r>
      <w:r w:rsidRPr="00533EAC">
        <w:rPr>
          <w:rFonts w:ascii="Arial" w:eastAsia="Calibri" w:hAnsi="Arial" w:cs="Arial"/>
          <w:i/>
          <w:color w:val="000000" w:themeColor="text1"/>
          <w:lang w:val="en-ZA"/>
        </w:rPr>
        <w:t xml:space="preserve">P. herdmani </w:t>
      </w:r>
      <w:r w:rsidRPr="00533EAC">
        <w:rPr>
          <w:rFonts w:ascii="Arial" w:eastAsia="Calibri" w:hAnsi="Arial" w:cs="Arial"/>
          <w:color w:val="000000" w:themeColor="text1"/>
          <w:lang w:val="en-ZA"/>
        </w:rPr>
        <w:t>form</w:t>
      </w:r>
      <w:r w:rsidR="00535B6E" w:rsidRPr="00533EAC">
        <w:rPr>
          <w:rFonts w:ascii="Arial" w:eastAsia="Calibri" w:hAnsi="Arial" w:cs="Arial"/>
          <w:color w:val="000000" w:themeColor="text1"/>
          <w:lang w:val="en-ZA"/>
        </w:rPr>
        <w:t>ed</w:t>
      </w:r>
      <w:r w:rsidRPr="00533EAC">
        <w:rPr>
          <w:rFonts w:ascii="Arial" w:eastAsia="Calibri" w:hAnsi="Arial" w:cs="Arial"/>
          <w:color w:val="000000" w:themeColor="text1"/>
          <w:lang w:val="en-ZA"/>
        </w:rPr>
        <w:t xml:space="preserve"> two distinct monophyletic groups</w:t>
      </w:r>
      <w:r w:rsidR="0073251E" w:rsidRPr="00533EAC">
        <w:rPr>
          <w:rFonts w:ascii="Arial" w:eastAsia="Calibri" w:hAnsi="Arial" w:cs="Arial"/>
          <w:color w:val="000000" w:themeColor="text1"/>
          <w:lang w:val="en-ZA"/>
        </w:rPr>
        <w:t xml:space="preserve">, and </w:t>
      </w:r>
      <w:r w:rsidR="0073251E" w:rsidRPr="00533EAC">
        <w:rPr>
          <w:rFonts w:ascii="Arial" w:eastAsia="Calibri" w:hAnsi="Arial" w:cs="Arial"/>
          <w:i/>
          <w:iCs/>
          <w:color w:val="000000" w:themeColor="text1"/>
          <w:lang w:val="en-ZA"/>
        </w:rPr>
        <w:t>P. herdmani</w:t>
      </w:r>
      <w:r w:rsidR="0073251E" w:rsidRPr="00533EAC">
        <w:rPr>
          <w:rFonts w:ascii="Arial" w:eastAsia="Calibri" w:hAnsi="Arial" w:cs="Arial"/>
          <w:color w:val="000000" w:themeColor="text1"/>
          <w:lang w:val="en-ZA"/>
        </w:rPr>
        <w:t xml:space="preserve"> is further subdivided into distinct populations</w:t>
      </w:r>
      <w:r w:rsidRPr="00533EAC">
        <w:rPr>
          <w:rFonts w:ascii="Arial" w:eastAsia="Calibri" w:hAnsi="Arial" w:cs="Arial"/>
          <w:color w:val="000000" w:themeColor="text1"/>
          <w:lang w:val="en-ZA"/>
        </w:rPr>
        <w:t xml:space="preserve">. </w:t>
      </w:r>
    </w:p>
    <w:p w14:paraId="11A31C87" w14:textId="6452B7D7" w:rsidR="005633D6" w:rsidRPr="00533EAC" w:rsidRDefault="005633D6" w:rsidP="00C05A32">
      <w:pPr>
        <w:spacing w:after="0" w:line="360" w:lineRule="auto"/>
        <w:jc w:val="both"/>
        <w:rPr>
          <w:rFonts w:ascii="Arial" w:eastAsia="Calibri" w:hAnsi="Arial" w:cs="Arial"/>
          <w:color w:val="000000" w:themeColor="text1"/>
          <w:lang w:val="en-ZA"/>
        </w:rPr>
      </w:pPr>
    </w:p>
    <w:p w14:paraId="45435953" w14:textId="527F9251" w:rsidR="001D4F11" w:rsidRPr="00533EAC" w:rsidRDefault="005633D6" w:rsidP="00C05A32">
      <w:pPr>
        <w:spacing w:after="0" w:line="360" w:lineRule="auto"/>
        <w:jc w:val="both"/>
        <w:rPr>
          <w:rFonts w:ascii="Arial" w:eastAsia="Calibri" w:hAnsi="Arial" w:cs="Arial"/>
          <w:b/>
          <w:color w:val="000000" w:themeColor="text1"/>
          <w:lang w:val="en-ZA"/>
        </w:rPr>
      </w:pPr>
      <w:r w:rsidRPr="00533EAC">
        <w:rPr>
          <w:rFonts w:ascii="Arial" w:eastAsia="Calibri" w:hAnsi="Arial" w:cs="Arial"/>
          <w:b/>
          <w:color w:val="000000" w:themeColor="text1"/>
          <w:lang w:val="en-ZA"/>
        </w:rPr>
        <w:t>Discussion</w:t>
      </w:r>
    </w:p>
    <w:p w14:paraId="031D02A0" w14:textId="2B81C61C" w:rsidR="00F35A97" w:rsidRPr="00533EAC" w:rsidRDefault="00F35A97" w:rsidP="00C05A32">
      <w:pPr>
        <w:spacing w:after="0" w:line="360" w:lineRule="auto"/>
        <w:jc w:val="both"/>
        <w:rPr>
          <w:rFonts w:ascii="Arial" w:eastAsia="Calibri" w:hAnsi="Arial" w:cs="Arial"/>
          <w:color w:val="000000" w:themeColor="text1"/>
          <w:lang w:val="en-ZA"/>
        </w:rPr>
      </w:pPr>
    </w:p>
    <w:p w14:paraId="529D344C" w14:textId="4A869543" w:rsidR="005633D6" w:rsidRPr="00533EAC" w:rsidRDefault="005633D6" w:rsidP="00A15233">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lastRenderedPageBreak/>
        <w:t xml:space="preserve">In this study, we </w:t>
      </w:r>
      <w:r w:rsidR="00EF4181" w:rsidRPr="00533EAC">
        <w:rPr>
          <w:rFonts w:ascii="Arial" w:eastAsia="Calibri" w:hAnsi="Arial" w:cs="Arial"/>
          <w:color w:val="000000" w:themeColor="text1"/>
          <w:lang w:val="en-ZA"/>
        </w:rPr>
        <w:t>tested</w:t>
      </w:r>
      <w:r w:rsidRPr="00533EAC">
        <w:rPr>
          <w:rFonts w:ascii="Arial" w:eastAsia="Calibri" w:hAnsi="Arial" w:cs="Arial"/>
          <w:color w:val="000000" w:themeColor="text1"/>
          <w:lang w:val="en-ZA"/>
        </w:rPr>
        <w:t xml:space="preserve"> new genetic markers </w:t>
      </w:r>
      <w:r w:rsidR="00EF4181" w:rsidRPr="00533EAC">
        <w:rPr>
          <w:rFonts w:ascii="Arial" w:eastAsia="Calibri" w:hAnsi="Arial" w:cs="Arial"/>
          <w:color w:val="000000" w:themeColor="text1"/>
          <w:lang w:val="en-ZA"/>
        </w:rPr>
        <w:t>with</w:t>
      </w:r>
      <w:r w:rsidRPr="00533EAC">
        <w:rPr>
          <w:rFonts w:ascii="Arial" w:eastAsia="Calibri" w:hAnsi="Arial" w:cs="Arial"/>
          <w:color w:val="000000" w:themeColor="text1"/>
          <w:lang w:val="en-ZA"/>
        </w:rPr>
        <w:t xml:space="preserve"> South African and northwest African </w:t>
      </w:r>
      <w:r w:rsidR="00EF4181" w:rsidRPr="00533EAC">
        <w:rPr>
          <w:rFonts w:ascii="Arial" w:eastAsia="Calibri" w:hAnsi="Arial" w:cs="Arial"/>
          <w:color w:val="000000" w:themeColor="text1"/>
          <w:lang w:val="en-ZA"/>
        </w:rPr>
        <w:t xml:space="preserve">individuals </w:t>
      </w:r>
      <w:r w:rsidRPr="00533EAC">
        <w:rPr>
          <w:rFonts w:ascii="Arial" w:eastAsia="Calibri" w:hAnsi="Arial" w:cs="Arial"/>
          <w:color w:val="000000" w:themeColor="text1"/>
          <w:lang w:val="en-ZA"/>
        </w:rPr>
        <w:t xml:space="preserve">of </w:t>
      </w:r>
      <w:r w:rsidR="00A868E5" w:rsidRPr="00533EAC">
        <w:rPr>
          <w:rFonts w:ascii="Arial" w:eastAsia="Calibri" w:hAnsi="Arial" w:cs="Arial"/>
          <w:i/>
          <w:iCs/>
          <w:color w:val="000000" w:themeColor="text1"/>
          <w:lang w:val="en-ZA"/>
        </w:rPr>
        <w:t xml:space="preserve">P. </w:t>
      </w:r>
      <w:r w:rsidRPr="00533EAC">
        <w:rPr>
          <w:rFonts w:ascii="Arial" w:eastAsia="Calibri" w:hAnsi="Arial" w:cs="Arial"/>
          <w:i/>
          <w:iCs/>
          <w:color w:val="000000" w:themeColor="text1"/>
          <w:lang w:val="en-ZA"/>
        </w:rPr>
        <w:t xml:space="preserve">stolonifera </w:t>
      </w:r>
      <w:r w:rsidRPr="00533EAC">
        <w:rPr>
          <w:rFonts w:ascii="Arial" w:eastAsia="Calibri" w:hAnsi="Arial" w:cs="Arial"/>
          <w:color w:val="000000" w:themeColor="text1"/>
          <w:lang w:val="en-ZA"/>
        </w:rPr>
        <w:t xml:space="preserve">and </w:t>
      </w:r>
      <w:r w:rsidRPr="00533EAC">
        <w:rPr>
          <w:rFonts w:ascii="Arial" w:eastAsia="Calibri" w:hAnsi="Arial" w:cs="Arial"/>
          <w:i/>
          <w:iCs/>
          <w:color w:val="000000" w:themeColor="text1"/>
          <w:lang w:val="en-ZA"/>
        </w:rPr>
        <w:t>P. herdmani</w:t>
      </w:r>
      <w:r w:rsidRPr="00533EAC">
        <w:rPr>
          <w:rFonts w:ascii="Arial" w:eastAsia="Calibri" w:hAnsi="Arial" w:cs="Arial"/>
          <w:i/>
          <w:color w:val="000000" w:themeColor="text1"/>
          <w:lang w:val="en-ZA"/>
        </w:rPr>
        <w:t>.</w:t>
      </w:r>
      <w:r w:rsidRPr="00533EAC">
        <w:rPr>
          <w:rFonts w:ascii="Arial" w:eastAsia="Calibri" w:hAnsi="Arial" w:cs="Arial"/>
          <w:color w:val="000000" w:themeColor="text1"/>
          <w:lang w:val="en-ZA"/>
        </w:rPr>
        <w:t xml:space="preserve"> </w:t>
      </w:r>
      <w:r w:rsidR="00184927" w:rsidRPr="00533EAC">
        <w:rPr>
          <w:rFonts w:ascii="Arial" w:eastAsia="Calibri" w:hAnsi="Arial" w:cs="Arial"/>
          <w:color w:val="000000" w:themeColor="text1"/>
          <w:lang w:val="en-ZA"/>
        </w:rPr>
        <w:t>T</w:t>
      </w:r>
      <w:r w:rsidRPr="00533EAC">
        <w:rPr>
          <w:rFonts w:ascii="Arial" w:eastAsia="Calibri" w:hAnsi="Arial" w:cs="Arial"/>
          <w:color w:val="000000" w:themeColor="text1"/>
          <w:lang w:val="en-ZA"/>
        </w:rPr>
        <w:t>he microsatellites</w:t>
      </w:r>
      <w:r w:rsidR="00792BBD" w:rsidRPr="00533EAC">
        <w:rPr>
          <w:rFonts w:ascii="Arial" w:eastAsia="Calibri" w:hAnsi="Arial" w:cs="Arial"/>
          <w:color w:val="000000" w:themeColor="text1"/>
          <w:lang w:val="en-ZA"/>
        </w:rPr>
        <w:t xml:space="preserve"> could </w:t>
      </w:r>
      <w:r w:rsidR="00184927" w:rsidRPr="00533EAC">
        <w:rPr>
          <w:rFonts w:ascii="Arial" w:eastAsia="Calibri" w:hAnsi="Arial" w:cs="Arial"/>
          <w:color w:val="000000" w:themeColor="text1"/>
          <w:lang w:val="en-ZA"/>
        </w:rPr>
        <w:t xml:space="preserve">be used to </w:t>
      </w:r>
      <w:r w:rsidRPr="00533EAC">
        <w:rPr>
          <w:rFonts w:ascii="Arial" w:eastAsia="Calibri" w:hAnsi="Arial" w:cs="Arial"/>
          <w:color w:val="000000" w:themeColor="text1"/>
          <w:lang w:val="en-ZA"/>
        </w:rPr>
        <w:t xml:space="preserve">detect </w:t>
      </w:r>
      <w:r w:rsidR="00470948" w:rsidRPr="00533EAC">
        <w:rPr>
          <w:rFonts w:ascii="Arial" w:eastAsia="Calibri" w:hAnsi="Arial" w:cs="Arial"/>
          <w:color w:val="000000" w:themeColor="text1"/>
          <w:lang w:val="en-ZA"/>
        </w:rPr>
        <w:t>fine-scale population structure and very recent evolutionary changes</w:t>
      </w:r>
      <w:r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fldChar w:fldCharType="begin" w:fldLock="1"/>
      </w:r>
      <w:r w:rsidR="002E2E55" w:rsidRPr="00533EAC">
        <w:rPr>
          <w:rFonts w:ascii="Arial" w:eastAsia="Calibri" w:hAnsi="Arial" w:cs="Arial"/>
          <w:color w:val="000000" w:themeColor="text1"/>
          <w:lang w:val="en-ZA"/>
        </w:rPr>
        <w:instrText xml:space="preserve">ADDIN CSL_CITATION {"citationItems":[{"id":"ITEM-1","itemData":{"DOI":"10.1590/1678-4685-GMB-2016-0027","ISSN":"16784685","abstract":"Microsatellites or Single Sequence Repeats (SSRs) are extensively employed in plant genetics studies, using both low and high throughput genotyping approaches. Motivated by the importance of these sequences over the last decades this review aims to address some theoretical aspects of SSRs, including definition, characterization and biological function. The methodologies for the development of SSR loci, genotyping and their applications as molecular markers are also reviewed. Finally, two data surveys are presented. The first was conducted using the main database of Web of Science, prospecting for articles published over the period from 2010 to 2015, resulting in approximately 930 records. The second survey was focused on papers that aimed at SSR marker development, published in the American Journal of Botany’s Primer Notes and Protocols in Plant Sciences (over 2013 up to 2015), resulting in a total of 87 publications. This scenario confirms the current relevance of SSRs and indicates their continuous utilization in plant science.","author":[{"dropping-particle":"","family":"Vieira","given":"Maria Lucia Carneiro","non-dropping-particle":"","parse-names":false,"suffix":""},{"dropping-particle":"","family":"Santini","given":"Luciane","non-dropping-particle":"","parse-names":false,"suffix":""},{"dropping-particle":"","family":"Diniz","given":"Augusto Lima","non-dropping-particle":"","parse-names":false,"suffix":""},{"dropping-particle":"","family":"Munhoz","given":"Carla de Freitas","non-dropping-particle":"","parse-names":false,"suffix":""}],"container-title":"Genetics and Molecular Biology","id":"ITEM-1","issue":"3","issued":{"date-parts":[["2016","7","1"]]},"page":"312-328","publisher":"Brazilian Journal of Genetics","title":"Microsatellite markers: What they mean and why they are so useful","type":"article","volume":"39"},"uris":["http://www.mendeley.com/documents/?uuid=225ea69d-cc54-36e0-8e08-d1a9e6ae1d03"]},{"id":"ITEM-2","itemData":{"DOI":"10.1007/s12526-017-0672-9","ISSN":"18671624","abstract":"© 2017 Senckenberg Gesellschaft für Naturforschung and Springer-Verlag Berlin Heidelberg Studying the geographic scale of gene flow and population structure in marine populations can be a powerful tool with which to infer patterns of larval dispersal averaged across generations. Here, we describe the development of ten novel polymorphic microsatellite markers for an important endemic ascidian, Pyura chilensis, of the southeastern Pacific, and we report the results from fine-scale genetic structure analysis of 151 P. chilensis individuals sampled from five sites constituting </w:instrText>
      </w:r>
      <w:r w:rsidR="002E2E55" w:rsidRPr="00533EAC">
        <w:rPr>
          <w:rFonts w:ascii="Cambria Math" w:eastAsia="Calibri" w:hAnsi="Cambria Math" w:cs="Cambria Math"/>
          <w:color w:val="000000" w:themeColor="text1"/>
          <w:lang w:val="en-ZA"/>
        </w:rPr>
        <w:instrText>∼</w:instrText>
      </w:r>
      <w:r w:rsidR="002E2E55" w:rsidRPr="00533EAC">
        <w:rPr>
          <w:rFonts w:ascii="Arial" w:eastAsia="Calibri" w:hAnsi="Arial" w:cs="Arial"/>
          <w:color w:val="000000" w:themeColor="text1"/>
          <w:lang w:val="en-ZA"/>
        </w:rPr>
        <w:instrText>80 km of coastline in southern Chile. All microsatellite markers were highly polymorphic (number of alleles ranged from 12 to 36). Our results revealed significant deviations from Hardy–Weinberg equilibrium (HWE) for most loci, suggesting the presence of either null alleles or deviations from random mating within sampled sites. However, we found a significantly higher spatial autocorrelation and higher mean pairwise relatedness among individuals sampled from the same sites than would be expected if samples were randomly distributed across all sites; this suggests that spatial configuration and reproduction might not be random within sites. Our results indicate the presence of a weak but significant genetic structure between sites (overall F ST = 0.015, p &lt; 0.001). Despite the short pelagic larval duration of this species, geographic distance does not appear to correlate with genetic distances between sites. From the results gathered here, it seems possible that genetic structure at this spatial scale is driven to some extent by local population dynamics (deviations from random mating and/or a large proportion of larvae settling in proximity of relatives), yet infrequent long-distance dispersal events might also be responsible for the relatively weak spatial heterogeneity between sites. Overall, our results both highlight the utility of this new marker set for population genetic studies of this species and provide new evidence regarding the complexity of the small-scale population structure of this species.","author":[{"dropping-particle":"","family":"Giles","given":"E. C.","non-dropping-particle":"","parse-names":false,"suffix":""},{"dropping-particle":"","family":"Petersen-Zúñiga","given":"C.","non-dropping-particle":"","parse-names":false,"suffix":""},{"dropping-particle":"","family":"Morales-González","given":"S.","non-dropping-particle":"","parse-names":false,"suffix":""},{"dropping-particle":"","family":"Quesada-Calderón","given":"S.","non-dropping-particle":"","parse-names":false,"suffix":""},{"dropping-particle":"","family":"Saenz-Agudelo","given":"Pablo","non-dropping-particle":"","parse-names":false,"suffix":""}],"container-title":"Marine Biodiversity","id":"ITEM-2","issue":"4","issued":{"date-parts":[["2018","12","14"]]},"page":"1777-1786","title":"Novel microsatellite markers for &lt;i&gt;Pyura chilensis&lt;/i&gt; reveal fine-scale genetic structure along the southern coast of Chile","type":"article-journal","volume":"48"},"uris":["http://www.mendeley.com/documents/?uuid=530e7aff-27db-361d-917e-d6434f50c030"]}],"mendeley":{"formattedCitation":"(Giles et al. 2018; Vieira et al. 2016)","manualFormatting":"(Vieira et al. 2016; Giles et al. 2018)","plainTextFormattedCitation":"(Giles et al. 2018; Vieira et al. 2016)","previouslyFormattedCitation":"(Giles et al. 2018; Vieira et al. 2016)"},"properties":{"noteIndex":0},"schema":"https://github.com/citation-style-language/schema/raw/master/csl-citation.json"}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w:t>
      </w:r>
      <w:r w:rsidR="00792BBD" w:rsidRPr="00533EAC">
        <w:rPr>
          <w:rFonts w:ascii="Arial" w:eastAsia="Calibri" w:hAnsi="Arial" w:cs="Arial"/>
          <w:noProof/>
          <w:color w:val="000000" w:themeColor="text1"/>
          <w:lang w:val="en-ZA"/>
        </w:rPr>
        <w:t xml:space="preserve">Vieira et al. 2016; </w:t>
      </w:r>
      <w:r w:rsidR="003A4A3A" w:rsidRPr="00533EAC">
        <w:rPr>
          <w:rFonts w:ascii="Arial" w:eastAsia="Calibri" w:hAnsi="Arial" w:cs="Arial"/>
          <w:noProof/>
          <w:color w:val="000000" w:themeColor="text1"/>
          <w:lang w:val="en-ZA"/>
        </w:rPr>
        <w:t>Giles et al. 2018)</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t>
      </w:r>
      <w:r w:rsidR="00792BBD" w:rsidRPr="00533EAC">
        <w:rPr>
          <w:rFonts w:ascii="Arial" w:eastAsia="Calibri" w:hAnsi="Arial" w:cs="Arial"/>
          <w:color w:val="000000" w:themeColor="text1"/>
          <w:lang w:val="en-ZA"/>
        </w:rPr>
        <w:t xml:space="preserve">in order to gain </w:t>
      </w:r>
      <w:r w:rsidR="00263A14" w:rsidRPr="00533EAC">
        <w:rPr>
          <w:rFonts w:ascii="Arial" w:eastAsia="Calibri" w:hAnsi="Arial" w:cs="Arial"/>
          <w:color w:val="000000" w:themeColor="text1"/>
          <w:lang w:val="en-ZA"/>
        </w:rPr>
        <w:t xml:space="preserve">a </w:t>
      </w:r>
      <w:r w:rsidRPr="00533EAC">
        <w:rPr>
          <w:rFonts w:ascii="Arial" w:eastAsia="Calibri" w:hAnsi="Arial" w:cs="Arial"/>
          <w:color w:val="000000" w:themeColor="text1"/>
          <w:lang w:val="en-ZA"/>
        </w:rPr>
        <w:t>better understand</w:t>
      </w:r>
      <w:r w:rsidR="00184927" w:rsidRPr="00533EAC">
        <w:rPr>
          <w:rFonts w:ascii="Arial" w:eastAsia="Calibri" w:hAnsi="Arial" w:cs="Arial"/>
          <w:color w:val="000000" w:themeColor="text1"/>
          <w:lang w:val="en-ZA"/>
        </w:rPr>
        <w:t>ing</w:t>
      </w:r>
      <w:r w:rsidR="00792BBD" w:rsidRPr="00533EAC">
        <w:rPr>
          <w:rFonts w:ascii="Arial" w:eastAsia="Calibri" w:hAnsi="Arial" w:cs="Arial"/>
          <w:color w:val="000000" w:themeColor="text1"/>
          <w:lang w:val="en-ZA"/>
        </w:rPr>
        <w:t xml:space="preserve"> of</w:t>
      </w:r>
      <w:r w:rsidRPr="00533EAC">
        <w:rPr>
          <w:rFonts w:ascii="Arial" w:eastAsia="Calibri" w:hAnsi="Arial" w:cs="Arial"/>
          <w:color w:val="000000" w:themeColor="text1"/>
          <w:lang w:val="en-ZA"/>
        </w:rPr>
        <w:t xml:space="preserve"> the status of the marine ecosystem in the context of climate change, as </w:t>
      </w:r>
      <w:r w:rsidRPr="00533EAC">
        <w:rPr>
          <w:rFonts w:ascii="Arial" w:eastAsia="Calibri" w:hAnsi="Arial" w:cs="Arial"/>
          <w:strike/>
          <w:color w:val="000000" w:themeColor="text1"/>
          <w:lang w:val="en-ZA"/>
        </w:rPr>
        <w:t xml:space="preserve">was </w:t>
      </w:r>
      <w:r w:rsidR="00792BBD" w:rsidRPr="00533EAC">
        <w:rPr>
          <w:rFonts w:ascii="Arial" w:eastAsia="Calibri" w:hAnsi="Arial" w:cs="Arial"/>
          <w:color w:val="000000" w:themeColor="text1"/>
          <w:lang w:val="en-ZA"/>
        </w:rPr>
        <w:t xml:space="preserve">has been </w:t>
      </w:r>
      <w:r w:rsidRPr="00533EAC">
        <w:rPr>
          <w:rFonts w:ascii="Arial" w:eastAsia="Calibri" w:hAnsi="Arial" w:cs="Arial"/>
          <w:color w:val="000000" w:themeColor="text1"/>
          <w:lang w:val="en-ZA"/>
        </w:rPr>
        <w:t xml:space="preserve">done for other species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{"citationItems":[{"id":"ITEM-1","itemData":{"DOI":"10.1007/s11033-018-4353-y","ISSN":"15734978","abstract":"We report the development of nine polymorphic microsatellite markers for Corallina officinalis (Linnaeus, 1758), a calcifying intertidal red alga and important ecosystem engineer spread along the North East Atlantic. Characterization and analysis of loci were made using 15 individuals of C. officinalis from populations in Iceland and the UK. The average number of alleles per locus was 3.78 (range 2–6) and mean of gene diversity was 0.58 (range 0.38–0.77). The set of microsatellites developed here will provide a useful molecular tool for population genetic and conservation studies.","author":[{"dropping-particle":"","family":"Tavares","given":"Ana I.","non-dropping-particle":"","parse-names":false,"suffix":""},{"dropping-particle":"","family":"Nicastro","given":"Katy R.","non-dropping-particle":"","parse-names":false,"suffix":""},{"dropping-particle":"","family":"Kolzenburg","given":"Regina","non-dropping-particle":"","parse-names":false,"suffix":""},{"dropping-particle":"","family":"Ragazzola","given":"Federica","non-dropping-particle":"","parse-names":false,"suffix":""},{"dropping-particle":"","family":"Jacinto","given":"Rita","non-dropping-particle":"","parse-names":false,"suffix":""},{"dropping-particle":"","family":"Zardi","given":"Gerardo I.","non-dropping-particle":"","parse-names":false,"suffix":""}],"container-title":"Molecular Biology Reports","id":"ITEM-1","issue":"6","issued":{"date-parts":[["2018","12","1"]]},"page":"2791-2794","publisher":"Springer Netherlands","title":"Isolation and characterization of nine microsatellite markers for the red alga &lt;i&gt;Corallina officinalis&lt;/i&gt;","type":"article-journal","volume":"45"},"uris":["http://www.mendeley.com/documents/?uuid=913475dc-1d49-3c62-9215-e617268be31d"]}],"mendeley":{"formattedCitation":"(Tavares et al. 2018)","plainTextFormattedCitation":"(Tavares et al. 2018)","previouslyFormattedCitation":"(Tavares et al. 2018)"},"properties":{"noteIndex":0},"schema":"https://github.com/citation-style-language/schema/raw/master/csl-citation.json"}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(Tavares et al. 2018)</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w:t>
      </w:r>
      <w:r w:rsidR="008325EB" w:rsidRPr="00533EAC">
        <w:rPr>
          <w:rFonts w:ascii="Arial" w:eastAsia="Calibri" w:hAnsi="Arial" w:cs="Arial"/>
          <w:color w:val="000000" w:themeColor="text1"/>
          <w:lang w:val="en-ZA"/>
        </w:rPr>
        <w:t>I</w:t>
      </w:r>
      <w:r w:rsidR="00225491" w:rsidRPr="00533EAC">
        <w:rPr>
          <w:rFonts w:ascii="Arial" w:eastAsia="Calibri" w:hAnsi="Arial" w:cs="Arial"/>
          <w:color w:val="000000" w:themeColor="text1"/>
          <w:lang w:val="en-ZA"/>
        </w:rPr>
        <w:t>n the study area</w:t>
      </w:r>
      <w:r w:rsidR="00792BBD" w:rsidRPr="00533EAC">
        <w:rPr>
          <w:rFonts w:ascii="Arial" w:eastAsia="Calibri" w:hAnsi="Arial" w:cs="Arial"/>
          <w:color w:val="000000" w:themeColor="text1"/>
          <w:lang w:val="en-ZA"/>
        </w:rPr>
        <w:t xml:space="preserve"> in particular</w:t>
      </w:r>
      <w:r w:rsidR="00225491" w:rsidRPr="00533EAC">
        <w:rPr>
          <w:rFonts w:ascii="Arial" w:eastAsia="Calibri" w:hAnsi="Arial" w:cs="Arial"/>
          <w:color w:val="000000" w:themeColor="text1"/>
          <w:lang w:val="en-ZA"/>
        </w:rPr>
        <w:t xml:space="preserve">, </w:t>
      </w:r>
      <w:r w:rsidR="00263A14" w:rsidRPr="00533EAC">
        <w:rPr>
          <w:rFonts w:ascii="Arial" w:eastAsia="Calibri" w:hAnsi="Arial" w:cs="Arial"/>
          <w:color w:val="000000" w:themeColor="text1"/>
          <w:lang w:val="en-ZA"/>
        </w:rPr>
        <w:t>much of which is located in a biogeographical</w:t>
      </w:r>
      <w:r w:rsidR="00184927" w:rsidRPr="00533EAC">
        <w:rPr>
          <w:rFonts w:ascii="Arial" w:eastAsia="Calibri" w:hAnsi="Arial" w:cs="Arial"/>
          <w:color w:val="000000" w:themeColor="text1"/>
          <w:lang w:val="en-ZA"/>
        </w:rPr>
        <w:t xml:space="preserve"> transition zone between </w:t>
      </w:r>
      <w:r w:rsidR="00263A14" w:rsidRPr="00533EAC">
        <w:rPr>
          <w:rFonts w:ascii="Arial" w:eastAsia="Calibri" w:hAnsi="Arial" w:cs="Arial"/>
          <w:color w:val="000000" w:themeColor="text1"/>
          <w:lang w:val="en-ZA"/>
        </w:rPr>
        <w:t xml:space="preserve">the </w:t>
      </w:r>
      <w:r w:rsidR="00184927" w:rsidRPr="00533EAC">
        <w:rPr>
          <w:rFonts w:ascii="Arial" w:eastAsia="Calibri" w:hAnsi="Arial" w:cs="Arial"/>
          <w:color w:val="000000" w:themeColor="text1"/>
          <w:lang w:val="en-ZA"/>
        </w:rPr>
        <w:t>subtropical an</w:t>
      </w:r>
      <w:r w:rsidR="00225491" w:rsidRPr="00533EAC">
        <w:rPr>
          <w:rFonts w:ascii="Arial" w:eastAsia="Calibri" w:hAnsi="Arial" w:cs="Arial"/>
          <w:color w:val="000000" w:themeColor="text1"/>
          <w:lang w:val="en-ZA"/>
        </w:rPr>
        <w:t>d</w:t>
      </w:r>
      <w:r w:rsidR="00263A14" w:rsidRPr="00533EAC">
        <w:rPr>
          <w:rFonts w:ascii="Arial" w:eastAsia="Calibri" w:hAnsi="Arial" w:cs="Arial"/>
          <w:color w:val="000000" w:themeColor="text1"/>
          <w:lang w:val="en-ZA"/>
        </w:rPr>
        <w:t xml:space="preserve"> warm-</w:t>
      </w:r>
      <w:r w:rsidR="00225491" w:rsidRPr="00533EAC">
        <w:rPr>
          <w:rFonts w:ascii="Arial" w:eastAsia="Calibri" w:hAnsi="Arial" w:cs="Arial"/>
          <w:color w:val="000000" w:themeColor="text1"/>
          <w:lang w:val="en-ZA"/>
        </w:rPr>
        <w:t xml:space="preserve">temperate </w:t>
      </w:r>
      <w:r w:rsidR="0073231C" w:rsidRPr="00533EAC">
        <w:rPr>
          <w:rFonts w:ascii="Arial" w:eastAsia="Calibri" w:hAnsi="Arial" w:cs="Arial"/>
          <w:color w:val="000000" w:themeColor="text1"/>
          <w:lang w:val="en-ZA"/>
        </w:rPr>
        <w:t xml:space="preserve">coastal </w:t>
      </w:r>
      <w:r w:rsidR="00225491" w:rsidRPr="00533EAC">
        <w:rPr>
          <w:rFonts w:ascii="Arial" w:eastAsia="Calibri" w:hAnsi="Arial" w:cs="Arial"/>
          <w:color w:val="000000" w:themeColor="text1"/>
          <w:lang w:val="en-ZA"/>
        </w:rPr>
        <w:t>bioregions,</w:t>
      </w:r>
      <w:r w:rsidR="00D13A59" w:rsidRPr="00533EAC">
        <w:rPr>
          <w:rFonts w:ascii="Arial" w:eastAsia="Calibri" w:hAnsi="Arial" w:cs="Arial"/>
          <w:color w:val="000000" w:themeColor="text1"/>
          <w:lang w:val="en-ZA"/>
        </w:rPr>
        <w:t xml:space="preserve"> </w:t>
      </w:r>
      <w:r w:rsidR="00181FAC" w:rsidRPr="00533EAC">
        <w:rPr>
          <w:rFonts w:ascii="Arial" w:eastAsia="Calibri" w:hAnsi="Arial" w:cs="Arial"/>
          <w:color w:val="000000" w:themeColor="text1"/>
          <w:lang w:val="en-ZA"/>
        </w:rPr>
        <w:t xml:space="preserve">and </w:t>
      </w:r>
      <w:r w:rsidR="00D13A59" w:rsidRPr="00533EAC">
        <w:rPr>
          <w:rFonts w:ascii="Arial" w:eastAsia="Calibri" w:hAnsi="Arial" w:cs="Arial"/>
          <w:color w:val="000000" w:themeColor="text1"/>
          <w:lang w:val="en-ZA"/>
        </w:rPr>
        <w:t>contemporary climate change has</w:t>
      </w:r>
      <w:r w:rsidR="00A15233" w:rsidRPr="00533EAC">
        <w:rPr>
          <w:rFonts w:ascii="Arial" w:eastAsia="Calibri" w:hAnsi="Arial" w:cs="Arial"/>
          <w:color w:val="000000" w:themeColor="text1"/>
          <w:lang w:val="en-ZA"/>
        </w:rPr>
        <w:t xml:space="preserve"> increased the sea temperature and intensified the warm, southward-flowing Agulhas Current</w:t>
      </w:r>
      <w:r w:rsidR="00792BBD" w:rsidRPr="00533EAC">
        <w:rPr>
          <w:rFonts w:ascii="Arial" w:eastAsia="Calibri" w:hAnsi="Arial" w:cs="Arial"/>
          <w:color w:val="000000" w:themeColor="text1"/>
          <w:lang w:val="en-ZA"/>
        </w:rPr>
        <w:t xml:space="preserve"> </w:t>
      </w:r>
      <w:r w:rsidR="00184927" w:rsidRPr="00533EAC">
        <w:rPr>
          <w:rFonts w:ascii="Arial" w:eastAsia="Calibri" w:hAnsi="Arial" w:cs="Arial"/>
          <w:color w:val="000000" w:themeColor="text1"/>
          <w:lang w:val="en-ZA"/>
        </w:rPr>
        <w:fldChar w:fldCharType="begin" w:fldLock="1"/>
      </w:r>
      <w:r w:rsidR="00184927" w:rsidRPr="00533EAC">
        <w:rPr>
          <w:rFonts w:ascii="Arial" w:eastAsia="Calibri" w:hAnsi="Arial" w:cs="Arial"/>
          <w:color w:val="000000" w:themeColor="text1"/>
          <w:lang w:val="en-ZA"/>
        </w:rPr>
        <w:instrText>ADDIN CSL_CITATION {"citationItems":[{"id":"ITEM-1","itemData":{"DOI":"10.1111/gcb.13247","ISSN":"13652486","abstract":"© 2016 John Wiley &amp; Sons Ltd.Ocean warming 'hotspots' are regions characterized by above-average temperature increases over recent years, for which there are significant consequences for both living marine resources and the societies that depend on them. As such, they represent early warning systems for understanding the impacts of marine climate change, and test-beds for developing adaptation options for coping with those impacts. Here, we examine five hotspots off the coasts of eastern Australia, South Africa, Madagascar, India and Brazil. These particular hotspots have underpinned a large international partnership that is working towards improving community adaptation by characterizing, assessing and projecting the likely future of coastal-marine food resources through the provision and sharing of knowledge. To inform this effort, we employ a high-resolution global ocean model forced by Representative Concentration Pathway 8.5 and simulated to year 2099. In addition to the sea surface temperature, we analyse projected stratification, nutrient supply, primary production, anthropogenic CO2-driven ocean acidification, deoxygenation and ocean circulation. Our simulation finds that the temperature-defined hotspots studied here will continue to experience warming but, with the exception of eastern Australia, may not remain the fastest warming ocean areas over the next century as the strongest warming is projected to occur in the subpolar and polar areas of the Northern Hemisphere. Additionally, we find that recent rapid change in SST is not necessarily an indicator that these areas are also hotspots of the other climatic stressors examined. However, a consistent facet of the hotspots studied here is that they are all strongly influenced by ocean circulation, which has already shown changes in the recent past and is projected to undergo further strong change into the future. In addition to the fast warming, change in local ocean circulation represents a distinct feature of present and future climate change impacting marine ecosystems in these areas.","author":[{"dropping-particle":"","family":"Popova","given":"Ekaterina","non-dropping-particle":"","parse-names":false,"suffix":""},{"dropping-particle":"","family":"Yool","given":"Andrew","non-dropping-particle":"","parse-names":false,"suffix":""},{"dropping-particle":"","family":"Byfield","given":"Valborg","non-dropping-particle":"","parse-names":false,"suffix":""},{"dropping-particle":"","family":"Cochrane","given":"Kevern","non-dropping-particle":"","parse-names":false,"suffix":""},{"dropping-particle":"","family":"Coward","given":"Andrew C.","non-dropping-particle":"","parse-names":false,"suffix":""},{"dropping-particle":"","family":"Salim","given":"Shyam S.","non-dropping-particle":"","parse-names":false,"suffix":""},{"dropping-particle":"","family":"Gasalla","given":"Maria A.","non-dropping-particle":"","parse-names":false,"suffix":""},{"dropping-particle":"","family":"Henson","given":"Stephanie A.","non-dropping-particle":"","parse-names":false,"suffix":""},{"dropping-particle":"","family":"Hobday","given":"Alistair J.","non-dropping-particle":"","parse-names":false,"suffix":""},{"dropping-particle":"","family":"Pecl","given":"Gretta T.","non-dropping-particle":"","parse-names":false,"suffix":""},{"dropping-particle":"","family":"Sauer","given":"Warwick H.","non-dropping-particle":"","parse-names":false,"suffix":""},{"dropping-particle":"","family":"Roberts","given":"Michael J.","non-dropping-particle":"","parse-names":false,"suffix":""}],"container-title":"Global Change Biology","id":"ITEM-1","issue":"6","issued":{"date-parts":[["2016","6","1"]]},"page":"2038-2053","publisher":"Blackwell Publishing Ltd","title":"From global to regional and back again: Common climate stressors of marine ecosystems relevant for adaptation across five ocean warming hotspots","type":"article-journal","volume":"22"},"uris":["http://www.mendeley.com/documents/?uuid=30da874d-b91e-35b9-9636-b142c46568d8"]}],"mendeley":{"formattedCitation":"(Popova et al. 2016)","plainTextFormattedCitation":"(Popova et al. 2016)","previouslyFormattedCitation":"(Popova et al. 2016)"},"properties":{"noteIndex":0},"schema":"https://github.com/citation-style-language/schema/raw/master/csl-citation.json"}</w:instrText>
      </w:r>
      <w:r w:rsidR="00184927" w:rsidRPr="00533EAC">
        <w:rPr>
          <w:rFonts w:ascii="Arial" w:eastAsia="Calibri" w:hAnsi="Arial" w:cs="Arial"/>
          <w:color w:val="000000" w:themeColor="text1"/>
          <w:lang w:val="en-ZA"/>
        </w:rPr>
        <w:fldChar w:fldCharType="separate"/>
      </w:r>
      <w:r w:rsidR="00184927" w:rsidRPr="00533EAC">
        <w:rPr>
          <w:rFonts w:ascii="Arial" w:eastAsia="Calibri" w:hAnsi="Arial" w:cs="Arial"/>
          <w:noProof/>
          <w:color w:val="000000" w:themeColor="text1"/>
          <w:lang w:val="en-ZA"/>
        </w:rPr>
        <w:t>(Popova et al. 2016)</w:t>
      </w:r>
      <w:r w:rsidR="00184927" w:rsidRPr="00533EAC">
        <w:rPr>
          <w:rFonts w:ascii="Arial" w:eastAsia="Calibri" w:hAnsi="Arial" w:cs="Arial"/>
          <w:color w:val="000000" w:themeColor="text1"/>
          <w:lang w:val="en-ZA"/>
        </w:rPr>
        <w:fldChar w:fldCharType="end"/>
      </w:r>
      <w:r w:rsidR="00225491" w:rsidRPr="00533EAC">
        <w:rPr>
          <w:rFonts w:ascii="Arial" w:eastAsia="Calibri" w:hAnsi="Arial" w:cs="Arial"/>
          <w:color w:val="000000" w:themeColor="text1"/>
          <w:lang w:val="en-ZA"/>
        </w:rPr>
        <w:t>.</w:t>
      </w:r>
      <w:r w:rsidR="00D40849" w:rsidRPr="00533EAC">
        <w:rPr>
          <w:rFonts w:ascii="Arial" w:eastAsia="Calibri" w:hAnsi="Arial" w:cs="Arial"/>
          <w:color w:val="000000" w:themeColor="text1"/>
          <w:lang w:val="en-ZA"/>
        </w:rPr>
        <w:t xml:space="preserve"> </w:t>
      </w:r>
      <w:r w:rsidR="00946455" w:rsidRPr="00533EAC">
        <w:rPr>
          <w:rFonts w:ascii="Arial" w:eastAsia="Calibri" w:hAnsi="Arial" w:cs="Arial"/>
          <w:color w:val="000000" w:themeColor="text1"/>
          <w:lang w:val="en-ZA"/>
        </w:rPr>
        <w:t>The studied species have a relatively narrow t</w:t>
      </w:r>
      <w:r w:rsidR="00D40849" w:rsidRPr="00533EAC">
        <w:rPr>
          <w:rFonts w:ascii="Arial" w:eastAsia="Calibri" w:hAnsi="Arial" w:cs="Arial"/>
          <w:color w:val="000000" w:themeColor="text1"/>
          <w:lang w:val="en-ZA"/>
        </w:rPr>
        <w:t>emperature tolerance range (Hudson et al. 2021)</w:t>
      </w:r>
      <w:r w:rsidR="00946455" w:rsidRPr="00533EAC">
        <w:rPr>
          <w:rFonts w:ascii="Arial" w:eastAsia="Calibri" w:hAnsi="Arial" w:cs="Arial"/>
          <w:color w:val="000000" w:themeColor="text1"/>
          <w:lang w:val="en-ZA"/>
        </w:rPr>
        <w:t xml:space="preserve">, suggesting high vulnerability to </w:t>
      </w:r>
      <w:r w:rsidR="00816CBE" w:rsidRPr="00533EAC">
        <w:rPr>
          <w:rFonts w:ascii="Arial" w:eastAsia="Calibri" w:hAnsi="Arial" w:cs="Arial"/>
          <w:color w:val="000000" w:themeColor="text1"/>
          <w:lang w:val="en-ZA"/>
        </w:rPr>
        <w:t>warming</w:t>
      </w:r>
      <w:r w:rsidR="00D40849" w:rsidRPr="00533EAC">
        <w:rPr>
          <w:rFonts w:ascii="Arial" w:eastAsia="Calibri" w:hAnsi="Arial" w:cs="Arial"/>
          <w:color w:val="000000" w:themeColor="text1"/>
          <w:lang w:val="en-ZA"/>
        </w:rPr>
        <w:t xml:space="preserve">. </w:t>
      </w:r>
      <w:r w:rsidR="00A15233" w:rsidRPr="00533EAC">
        <w:rPr>
          <w:rFonts w:ascii="Arial" w:eastAsia="Calibri" w:hAnsi="Arial" w:cs="Arial"/>
          <w:color w:val="000000" w:themeColor="text1"/>
          <w:lang w:val="en-US"/>
        </w:rPr>
        <w:t xml:space="preserve">The partial reconstruction of the </w:t>
      </w:r>
      <w:proofErr w:type="spellStart"/>
      <w:r w:rsidR="00A15233" w:rsidRPr="00533EAC">
        <w:rPr>
          <w:rFonts w:ascii="Arial" w:eastAsia="Calibri" w:hAnsi="Arial" w:cs="Arial"/>
          <w:color w:val="000000" w:themeColor="text1"/>
          <w:lang w:val="en-US"/>
        </w:rPr>
        <w:t>mtDNA</w:t>
      </w:r>
      <w:proofErr w:type="spellEnd"/>
      <w:r w:rsidR="00A15233" w:rsidRPr="00533EAC">
        <w:rPr>
          <w:rFonts w:ascii="Arial" w:eastAsia="Calibri" w:hAnsi="Arial" w:cs="Arial"/>
          <w:color w:val="000000" w:themeColor="text1"/>
          <w:lang w:val="en-US"/>
        </w:rPr>
        <w:t xml:space="preserve"> from NGS data allowed a comparison of genetic variation contained within different </w:t>
      </w:r>
      <w:proofErr w:type="spellStart"/>
      <w:r w:rsidR="00A15233" w:rsidRPr="00533EAC">
        <w:rPr>
          <w:rFonts w:ascii="Arial" w:eastAsia="Calibri" w:hAnsi="Arial" w:cs="Arial"/>
          <w:color w:val="000000" w:themeColor="text1"/>
          <w:lang w:val="en-US"/>
        </w:rPr>
        <w:t>mtDNA</w:t>
      </w:r>
      <w:proofErr w:type="spellEnd"/>
      <w:r w:rsidR="00A15233" w:rsidRPr="00533EAC">
        <w:rPr>
          <w:rFonts w:ascii="Arial" w:eastAsia="Calibri" w:hAnsi="Arial" w:cs="Arial"/>
          <w:color w:val="000000" w:themeColor="text1"/>
          <w:lang w:val="en-US"/>
        </w:rPr>
        <w:t xml:space="preserve"> markers. </w:t>
      </w:r>
      <w:r w:rsidR="003567FD" w:rsidRPr="00533EAC">
        <w:rPr>
          <w:rFonts w:ascii="Arial" w:eastAsia="Calibri" w:hAnsi="Arial" w:cs="Arial"/>
          <w:color w:val="000000" w:themeColor="text1"/>
          <w:lang w:val="en-ZA"/>
        </w:rPr>
        <w:t xml:space="preserve">While </w:t>
      </w:r>
      <w:proofErr w:type="spellStart"/>
      <w:r w:rsidR="003567FD" w:rsidRPr="00533EAC">
        <w:rPr>
          <w:rFonts w:ascii="Arial" w:eastAsia="Calibri" w:hAnsi="Arial" w:cs="Arial"/>
          <w:color w:val="000000" w:themeColor="text1"/>
          <w:lang w:val="en-ZA"/>
        </w:rPr>
        <w:t>ezRAD</w:t>
      </w:r>
      <w:proofErr w:type="spellEnd"/>
      <w:r w:rsidR="003567FD" w:rsidRPr="00533EAC">
        <w:rPr>
          <w:rFonts w:ascii="Arial" w:eastAsia="Calibri" w:hAnsi="Arial" w:cs="Arial"/>
          <w:color w:val="000000" w:themeColor="text1"/>
          <w:lang w:val="en-ZA"/>
        </w:rPr>
        <w:t xml:space="preserve"> and similar methods are not suitable for the reconstruction of complete mitogenomes</w:t>
      </w:r>
      <w:r w:rsidRPr="00533EAC">
        <w:rPr>
          <w:rFonts w:ascii="Arial" w:eastAsia="Calibri" w:hAnsi="Arial" w:cs="Arial"/>
          <w:color w:val="000000" w:themeColor="text1"/>
          <w:lang w:val="en-ZA"/>
        </w:rPr>
        <w:t xml:space="preserve">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{"citationItems":[{"id":"ITEM-1","itemData":{"DOI":"10.1111/2041-210X.12700","ISSN":"2041210X","abstract":"Restriction site-associated DNA sequencing (RAD-seq) provides high-resolution population genomic data at low cost, and has become an important component in ecological and evolutionary studies. As with all high-throughput technologies, analytic strategies require critical validation to ensure precise and unbiased interpretation. To test the impact of bioinformatic data processing on downstream population genetic inferences, we analysed mammalian RAD-seq data (&gt;100 individuals) with 312 combinations of methodology (de novo vs. mapping to references of increasing divergence) and filtering criteria (missing data, HWE, FIS, coverage, mapping and genotype quality). In an effort to identify commonalities and biases in all pipelines, we computed summary statistics (nr. loci, nr. SNP, π, Hetobs, FIS, FST, Ne and m) and compared the results to independent null expectations (isolation-by-distance correlation, expected transition-to-transversion ratio Ts/Tv and Mendelian mismatch rates of known parent–offspring trios). We observed large differences between reference-based and de novo approaches, the former generally calling more SNPs and reducing FIS and Ts/Tv. Data completion levels showed little impact on most summary statistics, and FST estimates were robust across all pipelines. The site frequency spectrum was highly sensitive to the chosen approach as reflected in large variance of parameter estimates across demographic scenarios (single-population bottlenecks and isolation-with-migration model). Null expectations were best met by reference-based approaches, although contingent on the specific criteria. We recommend that RAD-seq studies employ reference-based approaches to a closely related genome, and due to the high stochasticity associated with the pipeline advocate the use of multiple pipelines to ensure robust population genetic and demographic inferences.","author":[{"dropping-particle":"","family":"Shafer","given":"Aaron B.A.","non-dropping-particle":"","parse-names":false,"suffix":""},{"dropping-particle":"","family":"Peart","given":"Claire R.","non-dropping-particle":"","parse-names":false,"suffix":""},{"dropping-particle":"","family":"Tusso","given":"Sergio","non-dropping-particle":"","parse-names":false,"suffix":""},{"dropping-particle":"","family":"Maayan","given":"Inbar","non-dropping-particle":"","parse-names":false,"suffix":""},{"dropping-particle":"","family":"Brelsford","given":"Alan","non-dropping-particle":"","parse-names":false,"suffix":""},{"dropping-particle":"","family":"Wheat","given":"Christopher W.","non-dropping-particle":"","parse-names":false,"suffix":""},{"dropping-particle":"","family":"Wolf","given":"Jochen B.W.","non-dropping-particle":"","parse-names":false,"suffix":""}],"container-title":"Methods in Ecology and Evolution","id":"ITEM-1","issue":"8","issued":{"date-parts":[["2017","8","1"]]},"page":"907-917","publisher":"British Ecological Society","title":"Bioinformatic processing of RAD-seq data dramatically impacts downstream population genetic inference","type":"article-journal","volume":"8"},"uris":["http://www.mendeley.com/documents/?uuid=a0040807-ded6-3d3a-9870-d7597d3d8075"]}],"mendeley":{"formattedCitation":"(Shafer et al. 2017)","plainTextFormattedCitation":"(Shafer et al. 2017)","previouslyFormattedCitation":"(Shafer et al. 2017)"},"properties":{"noteIndex":0},"schema":"https://github.com/citation-style-language/schema/raw/master/csl-citation.json"}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(Shafer et al. 2017)</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they </w:t>
      </w:r>
      <w:r w:rsidR="003567FD" w:rsidRPr="00533EAC">
        <w:rPr>
          <w:rFonts w:ascii="Arial" w:eastAsia="Calibri" w:hAnsi="Arial" w:cs="Arial"/>
          <w:color w:val="000000" w:themeColor="text1"/>
          <w:lang w:val="en-ZA"/>
        </w:rPr>
        <w:t>are</w:t>
      </w:r>
      <w:r w:rsidRPr="00533EAC">
        <w:rPr>
          <w:rFonts w:ascii="Arial" w:eastAsia="Calibri" w:hAnsi="Arial" w:cs="Arial"/>
          <w:color w:val="000000" w:themeColor="text1"/>
          <w:lang w:val="en-ZA"/>
        </w:rPr>
        <w:t xml:space="preserve"> a useful tool in phylogeny reconstruction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{"citationItems":[{"id":"ITEM-1","itemData":{"DOI":"10.1002/ece3.512","ISSN":"20457758","abstract":"Inferring phylogenetic relationships between closely related taxa can be hindered by three factors: (1) the lack of informative molecular variation at short evolutionary timescale; (2) the lack of established markers in poorly studied taxa; and (3) the potential phylogenetic conflicts among different genomic regions due to incomplete lineage sorting or introgression. In this context, Restriction site Associated DNA sequencing (RAD-seq) seems promising as this technique can generate sequence data from numerous DNA fragments scattered throughout the genome, from a large number of samples, and without preliminary knowledge on the taxa under study. However, divergence beyond the within-species level will necessarily reduce the number of conserved and non-duplicated restriction sites, and therefore the number of loci usable for phylogenetic inference. Here, we assess the suitability of RAD-seq for phylogeny using a simulated experiment on the 12 Drosophila genomes, with divergence times ranging from 5 to 63 million years. These simulations show that RAD-seq allows the recovery of the known Drosophila phylogeny with strong statistical support, even for relatively ancient nodes. Notably, this conclusion is robust to the potentially confounding effects of sequencing errors, heterozygosity, and low coverage. We further show that clustering RAD-seq data using the BLASTN and SiLiX programs significantly improves the recovery of orthologous RAD loci compared with previously proposed approaches, especially for distantly related species. This study therefore validates the view that RAD sequencing is a powerful tool for phylogenetic inference. © 2013 The Authors. Ecology and Evolution.","author":[{"dropping-particle":"","family":"Cariou","given":"Marie","non-dropping-particle":"","parse-names":false,"suffix":""},{"dropping-particle":"","family":"Duret","given":"Laurent","non-dropping-particle":"","parse-names":false,"suffix":""},{"dropping-particle":"","family":"Charlat","given":"Sylvain","non-dropping-particle":"","parse-names":false,"suffix":""}],"container-title":"Ecology and Evolution","id":"ITEM-1","issue":"4","issued":{"date-parts":[["2013","4"]]},"page":"846-852","title":"Is RAD-seq suitable for phylogenetic inference? An in silico assessment and optimization","type":"article-journal","volume":"3"},"uris":["http://www.mendeley.com/documents/?uuid=52ab219b-2f83-3740-a2b7-76399c1fbd52"]}],"mendeley":{"formattedCitation":"(Cariou et al. 2013)","plainTextFormattedCitation":"(Cariou et al. 2013)","previouslyFormattedCitation":"(Cariou et al. 2013)"},"properties":{"noteIndex":0},"schema":"https://github.com/citation-style-language/schema/raw/master/csl-citation.json"}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(Cariou et al. 2013)</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Utili</w:t>
      </w:r>
      <w:r w:rsidR="006E286A"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ing new software and pipeline procedures </w:t>
      </w:r>
      <w:r w:rsidRPr="00533EAC">
        <w:rPr>
          <w:rFonts w:ascii="Arial" w:eastAsia="Calibri" w:hAnsi="Arial" w:cs="Arial"/>
          <w:color w:val="000000" w:themeColor="text1"/>
          <w:lang w:val="en-ZA"/>
        </w:rPr>
        <w:fldChar w:fldCharType="begin" w:fldLock="1"/>
      </w:r>
      <w:r w:rsidR="002E2E55" w:rsidRPr="00533EAC">
        <w:rPr>
          <w:rFonts w:ascii="Arial" w:eastAsia="Calibri" w:hAnsi="Arial" w:cs="Arial"/>
          <w:color w:val="000000" w:themeColor="text1"/>
          <w:lang w:val="en-ZA"/>
        </w:rPr>
        <w:instrText>ADDIN CSL_CITATION {"citationItems":[{"id":"ITEM-1","itemData":{"DOI":"10.1080/23802359.2018.1437805","ISSN":"23802359","author":[{"dropping-particle":"","family":"Terraneo","given":"Tullia I.","non-dropping-particle":"","parse-names":false,"suffix":""},{"dropping-particle":"","family":"Arrigoni","given":"Roberto","non-dropping-particle":"","parse-names":false,"suffix":""},{"dropping-particle":"","family":"Benzoni","given":"Francesca","non-dropping-particle":"","parse-names":false,"suffix":""},{"dropping-particle":"","family":"Forsman","given":"Zac H.","non-dropping-particle":"","parse-names":false,"suffix":""},{"dropping-particle":"","family":"Berumen","given":"Michael L.","non-dropping-particle":"","parse-names":false,"suffix":""}],"container-title":"Mitochondrial DNA Part B: Resources","id":"ITEM-1","issue":"1","issued":{"date-parts":[["2018","1","2"]]},"page":"173-174","title":"Using ezRAD to reconstruct the complete mitochondrial genome of &lt;i&gt;Porites fontanesii&lt;/i&gt; (Cnidaria: Scleractinia)","type":"article-journal","volume":"3"},"uris":["http://www.mendeley.com/documents/?uuid=d2295927-8a5c-3853-8e61-e0c252132122"]},{"id":"ITEM-2","itemData":{"DOI":"10.7717/peerj.203","ISSN":"21678359","abstract":"Here, we introduce ezRAD, a novel strategy for restriction site-associated DNA (RAD) that requires little technical expertise or investment in laboratory equipment, and demonstrate its utility for ten non-model organisms across a wide taxonomic range. ezRAD differs fromother RAD methods primarily through its use of standard Illumina TruSeq library preparation kits, which makes it possible for any laboratory to send out to a commercial genomic core facility for library preparation and next-generation sequencing with virtually no additional investment beyond the cost of the service itself. This simplification opens RADseq to any lab with the ability to extract DNA and perform a restriction digest. ezRAD also differs from others in its flexibility to use any restriction enzyme (or combination of enzymes) that cuts frequently enough to generate fragments of the desired size range, without requiring the purchase of separate adapters for each enzyme or a sonication step, which can further decrease the cost involved in choosing optimal enzymes for particular species and research questions. We apply this method across a wide taxonomic diversity of non-model organisms to demonstrate the utility and flexibility of our approach. The simplicity of ezRAD makes it particularly useful for the discovery of single nucleotide polymorphisms and targeted amplicon sequencing in natural populations of nonmodel organisms that have been historically understudied because of lack of genomic information. © 2013 Fuertes et al.","author":[{"dropping-particle":"","family":"Toonen","given":"Robert J.","non-dropping-particle":"","parse-names":false,"suffix":""},{"dropping-particle":"","family":"Puritz","given":"Jonathan B.","non-dropping-particle":"","parse-names":false,"suffix":""},{"dropping-particle":"","family":"Forsman","given":"Zac H.","non-dropping-particle":"","parse-names":false,"suffix":""},{"dropping-particle":"","family":"Whitney","given":"Jonathan L.","non-dropping-particle":"","parse-names":false,"suffix":""},{"dropping-particle":"","family":"Fernandez-Silva","given":"Iria","non-dropping-particle":"","parse-names":false,"suffix":""},{"dropping-particle":"","family":"Andrews","given":"Kimberly R.","non-dropping-particle":"","parse-names":false,"suffix":""},{"dropping-particle":"","family":"Bird","given":"Christopher E.","non-dropping-particle":"","parse-names":false,"suffix":""}],"container-title":"PeerJ","id":"ITEM-2","issue":"1","issued":{"date-parts":[["2013"]]},"title":"ezRAD: A simplified method for genomic genotyping in non-model organisms","type":"article-journal","volume":"2013"},"uris":["http://www.mendeley.com/documents/?uuid=97d1ae6c-13a6-3e59-a28d-1664530e99f4"]},{"id":"ITEM-3","itemData":{"DOI":"10.1111/1755-0998.12953","ISSN":"1755-098X","abstract":"&lt;section class=\"article-section article-section__abstract\" lang=\"en\" data-lang=\"en\" id=\"section-1-en\"&gt; &lt;h3 class=\"article-section__header main main\"&gt;Abstract&lt;/h3&gt; &lt;div class=\"article-section__content en main\"&gt; &lt;p&gt;Mitochondrial DNA (mtDNA) has formed the backbone of phylogeographic research for many years, however, recent trends focus on genome</w:instrText>
      </w:r>
      <w:r w:rsidR="002E2E55" w:rsidRPr="00533EAC">
        <w:rPr>
          <w:rFonts w:ascii="Cambria Math" w:eastAsia="Calibri" w:hAnsi="Cambria Math" w:cs="Cambria Math"/>
          <w:color w:val="000000" w:themeColor="text1"/>
          <w:lang w:val="en-ZA"/>
        </w:rPr>
        <w:instrText>‐</w:instrText>
      </w:r>
      <w:r w:rsidR="002E2E55" w:rsidRPr="00533EAC">
        <w:rPr>
          <w:rFonts w:ascii="Arial" w:eastAsia="Calibri" w:hAnsi="Arial" w:cs="Arial"/>
          <w:color w:val="000000" w:themeColor="text1"/>
          <w:lang w:val="en-ZA"/>
        </w:rPr>
        <w:instrText>wide analyses. One method proposed for calibrating inferences from noisy Next</w:instrText>
      </w:r>
      <w:r w:rsidR="002E2E55" w:rsidRPr="00533EAC">
        <w:rPr>
          <w:rFonts w:ascii="Cambria Math" w:eastAsia="Calibri" w:hAnsi="Cambria Math" w:cs="Cambria Math"/>
          <w:color w:val="000000" w:themeColor="text1"/>
          <w:lang w:val="en-ZA"/>
        </w:rPr>
        <w:instrText>‐</w:instrText>
      </w:r>
      <w:r w:rsidR="002E2E55" w:rsidRPr="00533EAC">
        <w:rPr>
          <w:rFonts w:ascii="Arial" w:eastAsia="Calibri" w:hAnsi="Arial" w:cs="Arial"/>
          <w:color w:val="000000" w:themeColor="text1"/>
          <w:lang w:val="en-ZA"/>
        </w:rPr>
        <w:instrText>Generation data, such as RAD sequencing, is to compare these results with analyses of mitochondrial sequences. Most researchers using this approach appear to be unaware that many Single Nucleotide Polymorphisms (SNPs) identified from genome</w:instrText>
      </w:r>
      <w:r w:rsidR="002E2E55" w:rsidRPr="00533EAC">
        <w:rPr>
          <w:rFonts w:ascii="Cambria Math" w:eastAsia="Calibri" w:hAnsi="Cambria Math" w:cs="Cambria Math"/>
          <w:color w:val="000000" w:themeColor="text1"/>
          <w:lang w:val="en-ZA"/>
        </w:rPr>
        <w:instrText>‐</w:instrText>
      </w:r>
      <w:r w:rsidR="002E2E55" w:rsidRPr="00533EAC">
        <w:rPr>
          <w:rFonts w:ascii="Arial" w:eastAsia="Calibri" w:hAnsi="Arial" w:cs="Arial"/>
          <w:color w:val="000000" w:themeColor="text1"/>
          <w:lang w:val="en-ZA"/>
        </w:rPr>
        <w:instrText>wide sequence data are themselves mitochondrial, or assume that these are too few to bias analyses. Here we demonstrate two methods for mining mitochondrial markers using RAD sequence data from three South African species of yellowfish, &lt;i&gt;Labeobarbus&lt;/i&gt;. First, we use a rigorous SNP discovery pipeline using the program &lt;span class=\"smallCaps\"&gt;Stacks&lt;/span&gt;, to identify variant sites in mtDNA, which we then combine into haplotypes. Secondly, we directly map sequence reads against a mitochondrial genome reference. This method allowed us to reconstruct up to 98% of the &lt;i&gt;Labeobarbus&lt;/i&gt; mitogenome. We validated these mitogenome reconstructions through BLAST database searches and by comparisons with cytochrome &lt;i&gt;b&lt;/i&gt; gene sequences obtained through Sanger sequencing. Finally, we investigate the organismal consequences of these data including ancient genetic exchange and a recent translocation among populations of &lt;i&gt;L. natalensis&lt;/i&gt;, as well as interspecific hybridisation between &lt;i&gt;L. aeneus&lt;/i&gt; and &lt;i&gt;L. kimberleyensis&lt;/i&gt;. &lt;/p&gt; &lt;p&gt;This article is protected by copyright. All rights reserved.&lt;/p&gt;","author":[{"dropping-particle":"","family":"Stobie","given":"C. S.","non-dropping-particle":"","parse-names":false,"suffix":""},{"dropping-particle":"","family":"Cunningham","given":"Michael J.","non-dropping-particle":"","parse-names":false,"suffix":""},{"dropping-particle":"","family":"Oosthuizen","given":"Carel J.","non-dropping-particle":"","parse-names":false,"suffix":""},{"dropping-particle":"","family":"Bloomer","given":"Paulette","non-dropping-particle":"","parse-names":false,"suffix":""}],"container-title":"Molecular Ecology Resources","id":"ITEM-3","issue":"1","issued":{"date-parts":[["2019","1","25"]]},"page":"191-205","title":"Finding stories in noise: Mitochondrial portraits from RAD data","type":"article-journal","volume":"19"},"uris":["http://www.mendeley.com/documents/?uuid=6ec22ccb-6c9e-41f4-98c3-1a846d1e22b9"]}],"mendeley":{"formattedCitation":"(Stobie et al. 2019; Terraneo et al. 2018; Toonen et al. 2013)","manualFormatting":"(Toonen et al. 2013; Terraneo et al. 2018; Stobie et al. 2019)","plainTextFormattedCitation":"(Stobie et al. 2019; Terraneo et al. 2018; Toonen et al. 2013)","previouslyFormattedCitation":"(Stobie et al. 2019; Terraneo et al. 2018; Toonen et al. 2013)"},"properties":{"noteIndex":0},"schema":"https://github.com/citation-style-language/schema/raw/master/csl-citation.json"}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B77CE0" w:rsidRPr="00533EAC">
        <w:rPr>
          <w:rFonts w:ascii="Arial" w:eastAsia="Calibri" w:hAnsi="Arial" w:cs="Arial"/>
          <w:noProof/>
          <w:color w:val="000000" w:themeColor="text1"/>
          <w:lang w:val="en-ZA"/>
        </w:rPr>
        <w:t>(</w:t>
      </w:r>
      <w:r w:rsidR="00A824D6" w:rsidRPr="00533EAC">
        <w:rPr>
          <w:rFonts w:ascii="Arial" w:eastAsia="Calibri" w:hAnsi="Arial" w:cs="Arial"/>
          <w:noProof/>
          <w:color w:val="000000" w:themeColor="text1"/>
          <w:lang w:val="en-ZA"/>
        </w:rPr>
        <w:t xml:space="preserve">Toonen et al. 2013; Terraneo et al. 2018; </w:t>
      </w:r>
      <w:r w:rsidR="00B77CE0" w:rsidRPr="00533EAC">
        <w:rPr>
          <w:rFonts w:ascii="Arial" w:eastAsia="Calibri" w:hAnsi="Arial" w:cs="Arial"/>
          <w:noProof/>
          <w:color w:val="000000" w:themeColor="text1"/>
          <w:lang w:val="en-ZA"/>
        </w:rPr>
        <w:t>Stobie et al. 2019)</w:t>
      </w:r>
      <w:r w:rsidRPr="00533EAC">
        <w:rPr>
          <w:rFonts w:ascii="Arial" w:eastAsia="Calibri" w:hAnsi="Arial" w:cs="Arial"/>
          <w:color w:val="000000" w:themeColor="text1"/>
          <w:lang w:val="en-ZA"/>
        </w:rPr>
        <w:fldChar w:fldCharType="end"/>
      </w:r>
      <w:r w:rsidR="00A824D6"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we were able to reconstruct partial sequences of 13 P</w:t>
      </w:r>
      <w:r w:rsidR="004D02CC" w:rsidRPr="00533EAC">
        <w:rPr>
          <w:rFonts w:ascii="Arial" w:eastAsia="Calibri" w:hAnsi="Arial" w:cs="Arial"/>
          <w:color w:val="000000" w:themeColor="text1"/>
          <w:lang w:val="en-ZA"/>
        </w:rPr>
        <w:t>C</w:t>
      </w:r>
      <w:r w:rsidRPr="00533EAC">
        <w:rPr>
          <w:rFonts w:ascii="Arial" w:eastAsia="Calibri" w:hAnsi="Arial" w:cs="Arial"/>
          <w:color w:val="000000" w:themeColor="text1"/>
          <w:lang w:val="en-ZA"/>
        </w:rPr>
        <w:t xml:space="preserve">Gs of the five study populations of </w:t>
      </w:r>
      <w:r w:rsidRPr="00533EAC">
        <w:rPr>
          <w:rFonts w:ascii="Arial" w:eastAsia="Calibri" w:hAnsi="Arial" w:cs="Arial"/>
          <w:i/>
          <w:color w:val="000000" w:themeColor="text1"/>
          <w:lang w:val="en-ZA"/>
        </w:rPr>
        <w:t>Pyura</w:t>
      </w:r>
      <w:r w:rsidRPr="00533EAC">
        <w:rPr>
          <w:rFonts w:ascii="Arial" w:eastAsia="Calibri" w:hAnsi="Arial" w:cs="Arial"/>
          <w:color w:val="000000" w:themeColor="text1"/>
          <w:lang w:val="en-ZA"/>
        </w:rPr>
        <w:t xml:space="preserve"> spp. Despite missing data</w:t>
      </w:r>
      <w:r w:rsidR="00A15233" w:rsidRPr="00533EAC">
        <w:rPr>
          <w:rFonts w:ascii="Arial" w:eastAsia="Calibri" w:hAnsi="Arial" w:cs="Arial"/>
          <w:b/>
          <w:color w:val="000000" w:themeColor="text1"/>
          <w:lang w:val="en-ZA"/>
        </w:rPr>
        <w:t xml:space="preserve">, </w:t>
      </w:r>
      <w:r w:rsidR="003567FD" w:rsidRPr="00533EAC">
        <w:rPr>
          <w:rFonts w:ascii="Arial" w:eastAsia="Calibri" w:hAnsi="Arial" w:cs="Arial"/>
          <w:color w:val="000000" w:themeColor="text1"/>
          <w:lang w:val="en-ZA"/>
        </w:rPr>
        <w:t>the partial PCG sequences were suitable to compare variability between different genes</w:t>
      </w:r>
      <w:r w:rsidRPr="00533EAC">
        <w:rPr>
          <w:rFonts w:ascii="Arial" w:eastAsia="Calibri" w:hAnsi="Arial" w:cs="Arial"/>
          <w:color w:val="000000" w:themeColor="text1"/>
          <w:lang w:val="en-ZA"/>
        </w:rPr>
        <w:t xml:space="preserve"> </w:t>
      </w:r>
      <w:r w:rsidR="00B77CE0" w:rsidRPr="00533EAC">
        <w:rPr>
          <w:rFonts w:ascii="Arial" w:eastAsia="Calibri" w:hAnsi="Arial" w:cs="Arial"/>
          <w:color w:val="000000" w:themeColor="text1"/>
          <w:lang w:val="en-ZA"/>
        </w:rPr>
        <w:fldChar w:fldCharType="begin" w:fldLock="1"/>
      </w:r>
      <w:r w:rsidR="002E2E55" w:rsidRPr="00533EAC">
        <w:rPr>
          <w:rFonts w:ascii="Arial" w:eastAsia="Calibri" w:hAnsi="Arial" w:cs="Arial"/>
          <w:color w:val="000000" w:themeColor="text1"/>
          <w:lang w:val="en-ZA"/>
        </w:rPr>
        <w:instrText>ADDIN CSL_CITATION {"citationItems":[{"id":"ITEM-1","itemData":{"DOI":"10.1093/gbe/evt081","ISBN":"1759-6653 (Electronic)\\r1759-6653 (Linking)","ISSN":"17596653","PMID":"23709623","abstract":"Ascidians or sea squirts form a diverse group within chordates, which includes a few thousand members of marine sessile filter-feeding animals. Their mitochondrial genomes are characterized by particularly high evolutionary rates and rampant gene rearrangements. This extreme variability complicates standard polymerase chain reaction (PCR) based techniques for molecular characterization studies, and consequently only a few complete Ascidian mitochondrial genome sequences are available. Using the standard PCR and Sanger sequencing approach, we produced the mitochondrial genome of Ascidiella aspersa only after a great effort. In contrast, we produced five additional mitogenomes (Botrylloides aff. leachii, Halocynthia spinosa, Polycarpa mytiligera, Pyura gangelion, and Rhodosoma turcicum) with a novel strategy, consisting in sequencing the pooled total DNA samples of these five species using one Illumina HiSeq 2000 flow cell lane. Each mitogenome was efficiently assembled in a single contig using de novo transcriptome assembly, as de novo genome assembly generally performed poorly for this task. Each of the new six mitogenomes presents a different and novel gene order, showing that no syntenic block has been conserved at the ordinal level (in Stolidobranchia and in Phlebobranchia). Phylogenetic analyses support the paraphyly of both Ascidiacea and Phlebobranchia, with Thaliacea nested inside Phlebobranchia, although the deepest nodes of the Phlebobranchia-Thaliacea clade are not well resolved. The strategy described here thus provides a cost-effective approach to obtain complete mitogenomes characterized by a highly plastic gene order and a fast nucleotide/amino acid substitution rate.","author":[{"dropping-particle":"","family":"Rubinstein","given":"Nimrod D.","non-dropping-particle":"","parse-names":false,"suffix":""},{"dropping-particle":"","family":"Feldstein","given":"Tamar","non-dropping-particle":"","parse-names":false,"suffix":""},{"dropping-particle":"","family":"Shenkar","given":"Noa","non-dropping-particle":"","parse-names":false,"suffix":""},{"dropping-particle":"","family":"Botero-Castro","given":"Fidel","non-dropping-particle":"","parse-names":false,"suffix":""},{"dropping-particle":"","family":"Griggio","given":"Francesca","non-dropping-particle":"","parse-names":false,"suffix":""},{"dropping-particle":"","family":"Mastrototaro","given":"Francesco","non-dropping-particle":"","parse-names":false,"suffix":""},{"dropping-particle":"","family":"Delsuc","given":"Frédéric","non-dropping-particle":"","parse-names":false,"suffix":""},{"dropping-particle":"","family":"Douzery","given":"Emmanuel J.P.","non-dropping-particle":"","parse-names":false,"suffix":""},{"dropping-particle":"","family":"Gissi","given":"Carmela","non-dropping-particle":"","parse-names":false,"suffix":""},{"dropping-particle":"","family":"Huchon","given":"Dorothée","non-dropping-particle":"","parse-names":false,"suffix":""}],"container-title":"Genome Biology and Evolution","id":"ITEM-1","issue":"6","issued":{"date-parts":[["2013"]]},"page":"1185-1199","title":"Deep sequencing of mixed total DNA without barcodes allows efficient assembly of highly plastic Ascidian mitochondrial genomes","type":"article-journal","volume":"5"},"uris":["http://www.mendeley.com/documents/?uuid=09ae5828-0fd4-4974-960e-f602fdfbb131"]},{"id":"ITEM-2","itemData":{"DOI":"10.3897/BDJ.7.E46833","ISSN":"13142828","abstract":"Few tropical marine sites have been thoroughly characterised for their animal species, even though they constitute the largest proportion of multicellular diversity. A number of focused biodiversity sampling programmes have amassed immense collections to address this shortfall, but obstacles remain due to the lack of identification tools and large proportion of undescribed species globally. These problems can be partially addressed with DNA barcodes (\"biocodes\"), which have the potential to facilitate the estimation of species diversity and identify animals to named species via barcode databases. Here, we present the first results of what is intended to be a sustained, systematic study of the marine fauna of Singapore's first marine park, reporting more than 365 animal species, determined based on DNA barcodes and/or morphology represented by 931 specimens (367 zooplankton, 564 macrofauna including 36 fish). Due to the lack of morphological and molecular identification tools, only a small proportion could be identified to species solely based on either morphology (24.5%) or barcodes (24.6%). Estimation of species numbers for some taxa was difficult because of the lack of sufficiently clear barcoding gaps. The specimens were imaged and added to \"Biodiversity of Singapore\" (http:// singapore.biodiversity.online), which now contains images for &gt; 13,000 species occurring in the country.","author":[{"dropping-particle":"","family":"Ip","given":"Yin Cheong Aden","non-dropping-particle":"","parse-names":false,"suffix":""},{"dropping-particle":"","family":"Tay","given":"Ywee Chieh","non-dropping-particle":"","parse-names":false,"suffix":""},{"dropping-particle":"","family":"Gan","given":"Su Xuan","non-dropping-particle":"","parse-names":false,"suffix":""},{"dropping-particle":"","family":"Ang","given":"Hui Ping","non-dropping-particle":"","parse-names":false,"suffix":""},{"dropping-particle":"","family":"Tun","given":"Karenne","non-dropping-particle":"","parse-names":false,"suffix":""},{"dropping-particle":"","family":"Chou","given":"Loke Ming","non-dropping-particle":"","parse-names":false,"suffix":""},{"dropping-particle":"","family":"Huang","given":"Danwei","non-dropping-particle":"","parse-names":false,"suffix":""},{"dropping-particle":"","family":"Meier","given":"Rudolf","non-dropping-particle":"","parse-names":false,"suffix":""}],"container-title":"Biodiversity Data Journal","id":"ITEM-2","issued":{"date-parts":[["2019","12","10"]]},"language":"eng","page":"e46833-e46833","publisher":"Pensoft Publishers","title":"From marine park to future genomic observatory? Enhancing marine biodiversity assessments using a biocode approach","type":"article-journal","volume":"7"},"uris":["http://www.mendeley.com/documents/?uuid=571070a5-6f38-4a7d-92d7-fee4db227889"]}],"mendeley":{"formattedCitation":"(Ip et al. 2019; Rubinstein et al. 2013)","manualFormatting":"(Rubinstein et al. 2013; Ip et al. 2019)","plainTextFormattedCitation":"(Ip et al. 2019; Rubinstein et al. 2013)","previouslyFormattedCitation":"(Ip et al. 2019; Rubinstein et al. 2013)"},"properties":{"noteIndex":0},"schema":"https://github.com/citation-style-language/schema/raw/master/csl-citation.json"}</w:instrText>
      </w:r>
      <w:r w:rsidR="00B77CE0" w:rsidRPr="00533EAC">
        <w:rPr>
          <w:rFonts w:ascii="Arial" w:eastAsia="Calibri" w:hAnsi="Arial" w:cs="Arial"/>
          <w:color w:val="000000" w:themeColor="text1"/>
          <w:lang w:val="en-ZA"/>
        </w:rPr>
        <w:fldChar w:fldCharType="separate"/>
      </w:r>
      <w:r w:rsidR="00B77CE0" w:rsidRPr="00533EAC">
        <w:rPr>
          <w:rFonts w:ascii="Arial" w:eastAsia="Calibri" w:hAnsi="Arial" w:cs="Arial"/>
          <w:noProof/>
          <w:color w:val="000000" w:themeColor="text1"/>
          <w:lang w:val="en-ZA"/>
        </w:rPr>
        <w:t>(Rubinstein et al. 2013</w:t>
      </w:r>
      <w:r w:rsidR="00A824D6" w:rsidRPr="00533EAC">
        <w:rPr>
          <w:rFonts w:ascii="Arial" w:eastAsia="Calibri" w:hAnsi="Arial" w:cs="Arial"/>
          <w:noProof/>
          <w:color w:val="000000" w:themeColor="text1"/>
          <w:lang w:val="en-ZA"/>
        </w:rPr>
        <w:t>; Ip et al. 2019</w:t>
      </w:r>
      <w:r w:rsidR="00B77CE0" w:rsidRPr="00533EAC">
        <w:rPr>
          <w:rFonts w:ascii="Arial" w:eastAsia="Calibri" w:hAnsi="Arial" w:cs="Arial"/>
          <w:noProof/>
          <w:color w:val="000000" w:themeColor="text1"/>
          <w:lang w:val="en-ZA"/>
        </w:rPr>
        <w:t>)</w:t>
      </w:r>
      <w:r w:rsidR="00B77CE0"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Correcting for sequence length, we found</w:t>
      </w:r>
      <w:r w:rsidR="00A824D6" w:rsidRPr="00533EAC">
        <w:rPr>
          <w:rFonts w:ascii="Arial" w:eastAsia="Calibri" w:hAnsi="Arial" w:cs="Arial"/>
          <w:color w:val="000000" w:themeColor="text1"/>
          <w:lang w:val="en-ZA"/>
        </w:rPr>
        <w:t xml:space="preserve"> the</w:t>
      </w:r>
      <w:r w:rsidRPr="00533EAC">
        <w:rPr>
          <w:rFonts w:ascii="Arial" w:eastAsia="Calibri" w:hAnsi="Arial" w:cs="Arial"/>
          <w:color w:val="000000" w:themeColor="text1"/>
          <w:lang w:val="en-ZA"/>
        </w:rPr>
        <w:t xml:space="preserve"> highest number</w:t>
      </w:r>
      <w:r w:rsidR="00A824D6" w:rsidRPr="00533EAC">
        <w:rPr>
          <w:rFonts w:ascii="Arial" w:eastAsia="Calibri" w:hAnsi="Arial" w:cs="Arial"/>
          <w:color w:val="000000" w:themeColor="text1"/>
          <w:lang w:val="en-ZA"/>
        </w:rPr>
        <w:t>s</w:t>
      </w:r>
      <w:r w:rsidRPr="00533EAC">
        <w:rPr>
          <w:rFonts w:ascii="Arial" w:eastAsia="Calibri" w:hAnsi="Arial" w:cs="Arial"/>
          <w:color w:val="000000" w:themeColor="text1"/>
          <w:lang w:val="en-ZA"/>
        </w:rPr>
        <w:t xml:space="preserve"> of SNPs in the Atp8, Cox2 and Cox1 regions, rendering those </w:t>
      </w:r>
      <w:r w:rsidR="003567FD" w:rsidRPr="00533EAC">
        <w:rPr>
          <w:rFonts w:ascii="Arial" w:eastAsia="Calibri" w:hAnsi="Arial" w:cs="Arial"/>
          <w:color w:val="000000" w:themeColor="text1"/>
          <w:lang w:val="en-ZA"/>
        </w:rPr>
        <w:t xml:space="preserve">genes </w:t>
      </w:r>
      <w:r w:rsidRPr="00533EAC">
        <w:rPr>
          <w:rFonts w:ascii="Arial" w:eastAsia="Calibri" w:hAnsi="Arial" w:cs="Arial"/>
          <w:color w:val="000000" w:themeColor="text1"/>
          <w:lang w:val="en-ZA"/>
        </w:rPr>
        <w:t xml:space="preserve">the most informative </w:t>
      </w:r>
      <w:r w:rsidR="003567FD" w:rsidRPr="00533EAC">
        <w:rPr>
          <w:rFonts w:ascii="Arial" w:eastAsia="Calibri" w:hAnsi="Arial" w:cs="Arial"/>
          <w:color w:val="000000" w:themeColor="text1"/>
          <w:lang w:val="en-ZA"/>
        </w:rPr>
        <w:t>markers for more detailed phylogeographical analyses</w:t>
      </w:r>
      <w:r w:rsidRPr="00533EAC">
        <w:rPr>
          <w:rFonts w:ascii="Arial" w:eastAsia="Calibri" w:hAnsi="Arial" w:cs="Arial"/>
          <w:color w:val="000000" w:themeColor="text1"/>
          <w:lang w:val="en-ZA"/>
        </w:rPr>
        <w:t xml:space="preserve">. </w:t>
      </w:r>
      <w:r w:rsidR="00A824D6" w:rsidRPr="00533EAC">
        <w:rPr>
          <w:rFonts w:ascii="Arial" w:eastAsia="Calibri" w:hAnsi="Arial" w:cs="Arial"/>
          <w:color w:val="000000" w:themeColor="text1"/>
          <w:lang w:val="en-ZA"/>
        </w:rPr>
        <w:t>T</w:t>
      </w:r>
      <w:r w:rsidRPr="00533EAC">
        <w:rPr>
          <w:rFonts w:ascii="Arial" w:eastAsia="Calibri" w:hAnsi="Arial" w:cs="Arial"/>
          <w:color w:val="000000" w:themeColor="text1"/>
          <w:lang w:val="en-ZA"/>
        </w:rPr>
        <w:t xml:space="preserve">he development of the phylogenetic tree with the 13 PDGs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{"citationItems":[{"id":"ITEM-1","itemData":{"DOI":"10.1093/gbe/evt081","ISBN":"1759-6653 (Electronic)\\r1759-6653 (Linking)","ISSN":"17596653","PMID":"23709623","abstract":"Ascidians or sea squirts form a diverse group within chordates, which includes a few thousand members of marine sessile filter-feeding animals. Their mitochondrial genomes are characterized by particularly high evolutionary rates and rampant gene rearrangements. This extreme variability complicates standard polymerase chain reaction (PCR) based techniques for molecular characterization studies, and consequently only a few complete Ascidian mitochondrial genome sequences are available. Using the standard PCR and Sanger sequencing approach, we produced the mitochondrial genome of Ascidiella aspersa only after a great effort. In contrast, we produced five additional mitogenomes (Botrylloides aff. leachii, Halocynthia spinosa, Polycarpa mytiligera, Pyura gangelion, and Rhodosoma turcicum) with a novel strategy, consisting in sequencing the pooled total DNA samples of these five species using one Illumina HiSeq 2000 flow cell lane. Each mitogenome was efficiently assembled in a single contig using de novo transcriptome assembly, as de novo genome assembly generally performed poorly for this task. Each of the new six mitogenomes presents a different and novel gene order, showing that no syntenic block has been conserved at the ordinal level (in Stolidobranchia and in Phlebobranchia). Phylogenetic analyses support the paraphyly of both Ascidiacea and Phlebobranchia, with Thaliacea nested inside Phlebobranchia, although the deepest nodes of the Phlebobranchia-Thaliacea clade are not well resolved. The strategy described here thus provides a cost-effective approach to obtain complete mitogenomes characterized by a highly plastic gene order and a fast nucleotide/amino acid substitution rate.","author":[{"dropping-particle":"","family":"Rubinstein","given":"Nimrod D.","non-dropping-particle":"","parse-names":false,"suffix":""},{"dropping-particle":"","family":"Feldstein","given":"Tamar","non-dropping-particle":"","parse-names":false,"suffix":""},{"dropping-particle":"","family":"Shenkar","given":"Noa","non-dropping-particle":"","parse-names":false,"suffix":""},{"dropping-particle":"","family":"Botero-Castro","given":"Fidel","non-dropping-particle":"","parse-names":false,"suffix":""},{"dropping-particle":"","family":"Griggio","given":"Francesca","non-dropping-particle":"","parse-names":false,"suffix":""},{"dropping-particle":"","family":"Mastrototaro","given":"Francesco","non-dropping-particle":"","parse-names":false,"suffix":""},{"dropping-particle":"","family":"Delsuc","given":"Frédéric","non-dropping-particle":"","parse-names":false,"suffix":""},{"dropping-particle":"","family":"Douzery","given":"Emmanuel J.P.","non-dropping-particle":"","parse-names":false,"suffix":""},{"dropping-particle":"","family":"Gissi","given":"Carmela","non-dropping-particle":"","parse-names":false,"suffix":""},{"dropping-particle":"","family":"Huchon","given":"Dorothée","non-dropping-particle":"","parse-names":false,"suffix":""}],"container-title":"Genome Biology and Evolution","id":"ITEM-1","issue":"6","issued":{"date-parts":[["2013"]]},"page":"1185-1199","title":"Deep sequencing of mixed total DNA without barcodes allows efficient assembly of highly plastic Ascidian mitochondrial genomes","type":"article-journal","volume":"5"},"uris":["http://www.mendeley.com/documents/?uuid=09ae5828-0fd4-4974-960e-f602fdfbb131"]}],"mendeley":{"formattedCitation":"(Rubinstein et al. 2013)","plainTextFormattedCitation":"(Rubinstein et al. 2013)","previouslyFormattedCitation":"(Rubinstein et al. 2013)"},"properties":{"noteIndex":0},"schema":"https://github.com/citation-style-language/schema/raw/master/csl-citation.json"}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(Rubinstein et al. 2013)</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of the </w:t>
      </w:r>
      <w:r w:rsidRPr="00533EAC">
        <w:rPr>
          <w:rFonts w:ascii="Arial" w:eastAsia="Calibri" w:hAnsi="Arial" w:cs="Arial"/>
          <w:i/>
          <w:color w:val="000000" w:themeColor="text1"/>
          <w:lang w:val="en-ZA"/>
        </w:rPr>
        <w:t xml:space="preserve">Pyura </w:t>
      </w:r>
      <w:r w:rsidRPr="00533EAC">
        <w:rPr>
          <w:rFonts w:ascii="Arial" w:eastAsia="Calibri" w:hAnsi="Arial" w:cs="Arial"/>
          <w:color w:val="000000" w:themeColor="text1"/>
          <w:lang w:val="en-ZA"/>
        </w:rPr>
        <w:t xml:space="preserve">spp. </w:t>
      </w:r>
      <w:r w:rsidR="003567FD" w:rsidRPr="00533EAC">
        <w:rPr>
          <w:rFonts w:ascii="Arial" w:eastAsia="Calibri" w:hAnsi="Arial" w:cs="Arial"/>
          <w:color w:val="000000" w:themeColor="text1"/>
          <w:lang w:val="en-ZA"/>
        </w:rPr>
        <w:t>further helped to determine</w:t>
      </w:r>
      <w:r w:rsidRPr="00533EAC">
        <w:rPr>
          <w:rFonts w:ascii="Arial" w:eastAsia="Calibri" w:hAnsi="Arial" w:cs="Arial"/>
          <w:color w:val="000000" w:themeColor="text1"/>
          <w:lang w:val="en-ZA"/>
        </w:rPr>
        <w:t xml:space="preserve"> evolutionary relationships between the study populations. Our findings show how different populations of </w:t>
      </w:r>
      <w:r w:rsidRPr="00533EAC">
        <w:rPr>
          <w:rFonts w:ascii="Arial" w:eastAsia="Calibri" w:hAnsi="Arial" w:cs="Arial"/>
          <w:i/>
          <w:color w:val="000000" w:themeColor="text1"/>
          <w:lang w:val="en-ZA"/>
        </w:rPr>
        <w:t xml:space="preserve">P. herdmani </w:t>
      </w:r>
      <w:r w:rsidRPr="00533EAC">
        <w:rPr>
          <w:rFonts w:ascii="Arial" w:eastAsia="Calibri" w:hAnsi="Arial" w:cs="Arial"/>
          <w:color w:val="000000" w:themeColor="text1"/>
          <w:lang w:val="en-ZA"/>
        </w:rPr>
        <w:t xml:space="preserve">are rather divergent, indicating the need for further studies </w:t>
      </w:r>
      <w:r w:rsidR="003567FD" w:rsidRPr="00533EAC">
        <w:rPr>
          <w:rFonts w:ascii="Arial" w:eastAsia="Calibri" w:hAnsi="Arial" w:cs="Arial"/>
          <w:color w:val="000000" w:themeColor="text1"/>
          <w:lang w:val="en-ZA"/>
        </w:rPr>
        <w:t>to determine whether they could be reproductively isolated, distinct species</w:t>
      </w:r>
      <w:r w:rsidRPr="00533EAC">
        <w:rPr>
          <w:rFonts w:ascii="Arial" w:eastAsia="Calibri" w:hAnsi="Arial" w:cs="Arial"/>
          <w:color w:val="000000" w:themeColor="text1"/>
          <w:lang w:val="en-ZA"/>
        </w:rPr>
        <w:t xml:space="preserve">. The genetic tools developed here can be used in future studies on </w:t>
      </w:r>
      <w:r w:rsidRPr="00533EAC">
        <w:rPr>
          <w:rFonts w:ascii="Arial" w:eastAsia="Calibri" w:hAnsi="Arial" w:cs="Arial"/>
          <w:i/>
          <w:color w:val="000000" w:themeColor="text1"/>
          <w:lang w:val="en-ZA"/>
        </w:rPr>
        <w:t>Pyura</w:t>
      </w:r>
      <w:r w:rsidRPr="00533EAC">
        <w:rPr>
          <w:rFonts w:ascii="Arial" w:eastAsia="Calibri" w:hAnsi="Arial" w:cs="Arial"/>
          <w:color w:val="000000" w:themeColor="text1"/>
          <w:lang w:val="en-ZA"/>
        </w:rPr>
        <w:t xml:space="preserve"> spp. to locate and design </w:t>
      </w:r>
      <w:r w:rsidR="003567FD" w:rsidRPr="00533EAC">
        <w:rPr>
          <w:rFonts w:ascii="Arial" w:eastAsia="Calibri" w:hAnsi="Arial" w:cs="Arial"/>
          <w:color w:val="000000" w:themeColor="text1"/>
          <w:lang w:val="en-ZA"/>
        </w:rPr>
        <w:t xml:space="preserve">additional </w:t>
      </w:r>
      <w:r w:rsidRPr="00533EAC">
        <w:rPr>
          <w:rFonts w:ascii="Arial" w:eastAsia="Calibri" w:hAnsi="Arial" w:cs="Arial"/>
          <w:color w:val="000000" w:themeColor="text1"/>
          <w:lang w:val="en-ZA"/>
        </w:rPr>
        <w:t>primers to specifically target the most variable mitochondrial regions</w:t>
      </w:r>
      <w:r w:rsidR="00A824D6"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as was indicated in</w:t>
      </w:r>
      <w:r w:rsidR="00A824D6" w:rsidRPr="00533EAC">
        <w:rPr>
          <w:rFonts w:ascii="Arial" w:eastAsia="Calibri" w:hAnsi="Arial" w:cs="Arial"/>
          <w:color w:val="000000" w:themeColor="text1"/>
          <w:lang w:val="en-ZA"/>
        </w:rPr>
        <w:t xml:space="preserve"> a</w:t>
      </w:r>
      <w:r w:rsidRPr="00533EAC">
        <w:rPr>
          <w:rFonts w:ascii="Arial" w:eastAsia="Calibri" w:hAnsi="Arial" w:cs="Arial"/>
          <w:color w:val="000000" w:themeColor="text1"/>
          <w:lang w:val="en-ZA"/>
        </w:rPr>
        <w:t xml:space="preserve"> similar study </w:t>
      </w:r>
      <w:r w:rsidR="00A824D6" w:rsidRPr="00533EAC">
        <w:rPr>
          <w:rFonts w:ascii="Arial" w:eastAsia="Calibri" w:hAnsi="Arial" w:cs="Arial"/>
          <w:color w:val="000000" w:themeColor="text1"/>
          <w:lang w:val="en-ZA"/>
        </w:rPr>
        <w:fldChar w:fldCharType="begin" w:fldLock="1"/>
      </w:r>
      <w:r w:rsidR="002E2E55" w:rsidRPr="00533EAC">
        <w:rPr>
          <w:rFonts w:ascii="Arial" w:eastAsia="Calibri" w:hAnsi="Arial" w:cs="Arial"/>
          <w:color w:val="000000" w:themeColor="text1"/>
          <w:lang w:val="en-ZA"/>
        </w:rPr>
        <w:instrText>ADDIN CSL_CITATION {"citationItems":[{"id":"ITEM-1","itemData":{"DOI":"10.2989/1814232X.2019.1576541","ISSN":"18142338","abstract":"Genomic data can be a useful tool in the management and conservation of biodiversity. Here, we report the development of genomic resources for the spotted ragged-tooth shark Carcharias taurus using genome-wide DNA data from Illumina next-generation sequencing. We explored two commonly used genetic marker types: microsatellites and mitochondrial DNA. A total of 4 394 putative microsatellites were identified, of which 10 were tested on 24 individuals and found to have ideal properties for population genetic analyses. Additionally, we reconstructed the first complete mitochondrial genome of a South African spotted ragged-tooth shark, and highlight the most informative gene regions to facilitate future primer design. The data reported here may serve as a resource for future studies and can ultimately be applied in the sustainable conservation and fisheries management of this apex predator.","author":[{"dropping-particle":"","family":"Klein","given":"J. D.","non-dropping-particle":"","parse-names":false,"suffix":""},{"dropping-particle":"","family":"Bester-van der Merwe","given":"A. E.","non-dropping-particle":"","parse-names":false,"suffix":""},{"dropping-particle":"","family":"Dicken","given":"M. L.","non-dropping-particle":"","parse-names":false,"suffix":""},{"dropping-particle":"","family":"Emami-Khoyi","given":"A.","non-dropping-particle":"","parse-names":false,"suffix":""},{"dropping-particle":"","family":"Mmonwa","given":"K. L.","non-dropping-particle":"","parse-names":false,"suffix":""},{"dropping-particle":"","family":"Teske","given":"P. R.","non-dropping-particle":"","parse-names":false,"suffix":""}],"container-title":"African Journal of Marine Science","id":"ITEM-1","issue":"1","issued":{"date-parts":[["2019","1","2"]]},"page":"115-118","publisher":"National Inquiry Services Centre Ltd","title":"Genomic resources for the spotted ragged-tooth shark &lt;i&gt;Carcharias taurus&lt;/i&gt;","type":"article-journal","volume":"41"},"uris":["http://www.mendeley.com/documents/?uuid=07c6ce83-c478-38b2-82df-78f1766690ef"]}],"mendeley":{"formattedCitation":"(Klein et al. 2019)","manualFormatting":"by Klein et al. (2019)","plainTextFormattedCitation":"(Klein et al. 2019)","previouslyFormattedCitation":"(Klein et al. 2019)"},"properties":{"noteIndex":0},"schema":"https://github.com/citation-style-language/schema/raw/master/csl-citation.json"}</w:instrText>
      </w:r>
      <w:r w:rsidR="00A824D6" w:rsidRPr="00533EAC">
        <w:rPr>
          <w:rFonts w:ascii="Arial" w:eastAsia="Calibri" w:hAnsi="Arial" w:cs="Arial"/>
          <w:color w:val="000000" w:themeColor="text1"/>
          <w:lang w:val="en-ZA"/>
        </w:rPr>
        <w:fldChar w:fldCharType="separate"/>
      </w:r>
      <w:r w:rsidR="00A824D6" w:rsidRPr="00533EAC">
        <w:rPr>
          <w:rFonts w:ascii="Arial" w:eastAsia="Calibri" w:hAnsi="Arial" w:cs="Arial"/>
          <w:noProof/>
          <w:color w:val="000000" w:themeColor="text1"/>
          <w:lang w:val="en-ZA"/>
        </w:rPr>
        <w:t>by Klein et al. (2019)</w:t>
      </w:r>
      <w:r w:rsidR="00A824D6"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These new genomic resources, combined with </w:t>
      </w:r>
      <w:r w:rsidR="003567FD" w:rsidRPr="00533EAC">
        <w:rPr>
          <w:rFonts w:ascii="Arial" w:eastAsia="Calibri" w:hAnsi="Arial" w:cs="Arial"/>
          <w:color w:val="000000" w:themeColor="text1"/>
          <w:lang w:val="en-ZA"/>
        </w:rPr>
        <w:t xml:space="preserve">previous </w:t>
      </w:r>
      <w:r w:rsidRPr="00533EAC">
        <w:rPr>
          <w:rFonts w:ascii="Arial" w:eastAsia="Calibri" w:hAnsi="Arial" w:cs="Arial"/>
          <w:color w:val="000000" w:themeColor="text1"/>
          <w:lang w:val="en-ZA"/>
        </w:rPr>
        <w:t>nuclear and mitochondrial markers, will facilitate</w:t>
      </w:r>
      <w:r w:rsidR="00A824D6" w:rsidRPr="00533EAC">
        <w:rPr>
          <w:rFonts w:ascii="Arial" w:eastAsia="Calibri" w:hAnsi="Arial" w:cs="Arial"/>
          <w:color w:val="000000" w:themeColor="text1"/>
          <w:lang w:val="en-ZA"/>
        </w:rPr>
        <w:t xml:space="preserve"> the</w:t>
      </w:r>
      <w:r w:rsidRPr="00533EAC">
        <w:rPr>
          <w:rFonts w:ascii="Arial" w:eastAsia="Calibri" w:hAnsi="Arial" w:cs="Arial"/>
          <w:color w:val="000000" w:themeColor="text1"/>
          <w:lang w:val="en-ZA"/>
        </w:rPr>
        <w:t xml:space="preserve"> fine-scale</w:t>
      </w:r>
      <w:r w:rsidR="00A824D6" w:rsidRPr="00533EAC">
        <w:rPr>
          <w:rFonts w:ascii="Arial" w:eastAsia="Calibri" w:hAnsi="Arial" w:cs="Arial"/>
          <w:color w:val="000000" w:themeColor="text1"/>
          <w:lang w:val="en-ZA"/>
        </w:rPr>
        <w:t xml:space="preserve"> assessment of</w:t>
      </w:r>
      <w:r w:rsidRPr="00533EAC">
        <w:rPr>
          <w:rFonts w:ascii="Arial" w:eastAsia="Calibri" w:hAnsi="Arial" w:cs="Arial"/>
          <w:color w:val="000000" w:themeColor="text1"/>
          <w:lang w:val="en-ZA"/>
        </w:rPr>
        <w:t xml:space="preserve"> population structure </w:t>
      </w:r>
      <w:r w:rsidRPr="00533EAC">
        <w:rPr>
          <w:rFonts w:ascii="Arial" w:eastAsia="Calibri" w:hAnsi="Arial" w:cs="Arial"/>
          <w:color w:val="000000" w:themeColor="text1"/>
          <w:lang w:val="en-US"/>
        </w:rPr>
        <w:t xml:space="preserve">and </w:t>
      </w:r>
      <w:r w:rsidRPr="00533EAC">
        <w:rPr>
          <w:rFonts w:ascii="Arial" w:eastAsia="Calibri" w:hAnsi="Arial" w:cs="Arial"/>
          <w:color w:val="000000" w:themeColor="text1"/>
          <w:lang w:val="en-ZA"/>
        </w:rPr>
        <w:t>analyses</w:t>
      </w:r>
      <w:r w:rsidR="00A824D6" w:rsidRPr="00533EAC">
        <w:rPr>
          <w:rFonts w:ascii="Arial" w:eastAsia="Calibri" w:hAnsi="Arial" w:cs="Arial"/>
          <w:color w:val="000000" w:themeColor="text1"/>
          <w:lang w:val="en-ZA"/>
        </w:rPr>
        <w:t xml:space="preserve"> of the evolution</w:t>
      </w:r>
      <w:r w:rsidRPr="00533EAC">
        <w:rPr>
          <w:rFonts w:ascii="Arial" w:eastAsia="Calibri" w:hAnsi="Arial" w:cs="Arial"/>
          <w:color w:val="000000" w:themeColor="text1"/>
          <w:lang w:val="en-ZA"/>
        </w:rPr>
        <w:t xml:space="preserve"> of </w:t>
      </w:r>
      <w:r w:rsidRPr="00533EAC">
        <w:rPr>
          <w:rFonts w:ascii="Arial" w:eastAsia="Calibri" w:hAnsi="Arial" w:cs="Arial"/>
          <w:i/>
          <w:color w:val="000000" w:themeColor="text1"/>
          <w:lang w:val="en-ZA"/>
        </w:rPr>
        <w:t>Pyura</w:t>
      </w:r>
      <w:r w:rsidRPr="00533EAC">
        <w:rPr>
          <w:rFonts w:ascii="Arial" w:eastAsia="Calibri" w:hAnsi="Arial" w:cs="Arial"/>
          <w:color w:val="000000" w:themeColor="text1"/>
          <w:lang w:val="en-ZA"/>
        </w:rPr>
        <w:t xml:space="preserve"> spp. on a regional and global scale.</w:t>
      </w:r>
    </w:p>
    <w:p w14:paraId="5F52C249" w14:textId="77777777" w:rsidR="00A824D6" w:rsidRPr="00533EAC" w:rsidRDefault="00A824D6" w:rsidP="00C05A32">
      <w:pPr>
        <w:spacing w:after="0" w:line="360" w:lineRule="auto"/>
        <w:jc w:val="both"/>
        <w:rPr>
          <w:rFonts w:ascii="Arial" w:eastAsia="Calibri" w:hAnsi="Arial" w:cs="Arial"/>
          <w:color w:val="000000" w:themeColor="text1"/>
          <w:lang w:val="en-ZA"/>
        </w:rPr>
      </w:pPr>
    </w:p>
    <w:p w14:paraId="73EC1741" w14:textId="68877299" w:rsidR="005633D6" w:rsidRPr="00533EAC" w:rsidRDefault="005633D6" w:rsidP="00C05A32">
      <w:pPr>
        <w:spacing w:after="0" w:line="360" w:lineRule="auto"/>
        <w:jc w:val="both"/>
        <w:rPr>
          <w:rFonts w:ascii="Arial" w:eastAsia="Calibri" w:hAnsi="Arial" w:cs="Arial"/>
          <w:color w:val="000000" w:themeColor="text1"/>
          <w:lang w:val="en-ZA"/>
        </w:rPr>
      </w:pPr>
      <w:r w:rsidRPr="00533EAC">
        <w:rPr>
          <w:rFonts w:ascii="Arial" w:eastAsia="Calibri" w:hAnsi="Arial" w:cs="Arial"/>
          <w:color w:val="000000" w:themeColor="text1"/>
          <w:lang w:val="en-ZA"/>
        </w:rPr>
        <w:t xml:space="preserve">In conclusion, considering that </w:t>
      </w:r>
      <w:r w:rsidRPr="00533EAC">
        <w:rPr>
          <w:rFonts w:ascii="Arial" w:eastAsia="Calibri" w:hAnsi="Arial" w:cs="Arial"/>
          <w:i/>
          <w:color w:val="000000" w:themeColor="text1"/>
          <w:lang w:val="en-ZA"/>
        </w:rPr>
        <w:t>Pyura</w:t>
      </w:r>
      <w:r w:rsidRPr="00533EAC">
        <w:rPr>
          <w:rFonts w:ascii="Arial" w:eastAsia="Calibri" w:hAnsi="Arial" w:cs="Arial"/>
          <w:color w:val="000000" w:themeColor="text1"/>
          <w:lang w:val="en-ZA"/>
        </w:rPr>
        <w:t xml:space="preserve"> spp. are essential bioengineers </w:t>
      </w:r>
      <w:r w:rsidRPr="00533EAC">
        <w:rPr>
          <w:rFonts w:ascii="Arial" w:eastAsia="Calibri" w:hAnsi="Arial" w:cs="Arial"/>
          <w:strike/>
          <w:color w:val="000000" w:themeColor="text1"/>
          <w:lang w:val="en-ZA"/>
        </w:rPr>
        <w:t>for</w:t>
      </w:r>
      <w:r w:rsidRPr="00533EAC">
        <w:rPr>
          <w:rFonts w:ascii="Arial" w:eastAsia="Calibri" w:hAnsi="Arial" w:cs="Arial"/>
          <w:color w:val="000000" w:themeColor="text1"/>
          <w:lang w:val="en-ZA"/>
        </w:rPr>
        <w:t xml:space="preserve"> </w:t>
      </w:r>
      <w:r w:rsidR="00A824D6" w:rsidRPr="00533EAC">
        <w:rPr>
          <w:rFonts w:ascii="Arial" w:eastAsia="Calibri" w:hAnsi="Arial" w:cs="Arial"/>
          <w:color w:val="000000" w:themeColor="text1"/>
          <w:lang w:val="en-ZA"/>
        </w:rPr>
        <w:t xml:space="preserve">on </w:t>
      </w:r>
      <w:r w:rsidRPr="00533EAC">
        <w:rPr>
          <w:rFonts w:ascii="Arial" w:eastAsia="Calibri" w:hAnsi="Arial" w:cs="Arial"/>
          <w:color w:val="000000" w:themeColor="text1"/>
          <w:lang w:val="en-ZA"/>
        </w:rPr>
        <w:t xml:space="preserve">the South African coastline </w:t>
      </w:r>
      <w:r w:rsidRPr="00533EAC">
        <w:rPr>
          <w:rFonts w:ascii="Arial" w:eastAsia="Calibri" w:hAnsi="Arial" w:cs="Arial"/>
          <w:color w:val="000000" w:themeColor="text1"/>
          <w:lang w:val="en-ZA"/>
        </w:rPr>
        <w:fldChar w:fldCharType="begin" w:fldLock="1"/>
      </w:r>
      <w:r w:rsidR="0097798B" w:rsidRPr="00533EAC">
        <w:rPr>
          <w:rFonts w:ascii="Arial" w:eastAsia="Calibri" w:hAnsi="Arial" w:cs="Arial"/>
          <w:color w:val="000000" w:themeColor="text1"/>
          <w:lang w:val="en-ZA"/>
        </w:rPr>
        <w:instrText>ADDIN CSL_CITATION {"citationItems":[{"id":"ITEM-1","itemData":{"DOI":"10.1201/b21944","ISBN":"9781351987592","abstract":"The role of dominant species is of central importance in ecology. Such species play a key role in ecosystem structure, stability and function, regulating resource allocation across trophic levels and overall ecosystem productivity. Although ecological interactions between dominant and subordinate species are often considered to influence the latter negatively, the presence of dominant species can also be beneficial. These species commonly act as ecosystem engineers and enhance biodiversity by creating habitat for other species. Along rocky coastlines, dominant species are often sessile suspension-feeding organisms that can monopolize all available substrata. This is particularly noticeable in intertidal and shallow subtidal habitats where the number of species that achieve ecological dominance is limited. Here, we review the ecological and evolutionary mechanisms that facilitate dominance along rocky coastlines. We then focus on a prominent example, the members of the Pyura stolonifera species complex (Tunicata), which are an emerging model system for studying ecological dominance. These ascidians achieve the highest biomass levels ever reported in rocky intertidal habitats and, when invasive, can fundamentally transform entire ecosystems. Finally, we discuss conservation implications and conclude with directions for future research.","author":[{"dropping-particle":"","family":"Rius","given":"Marc","non-dropping-particle":"","parse-names":false,"suffix":""},{"dropping-particle":"","family":"Teske","given":"Peter R.","non-dropping-particle":"","parse-names":false,"suffix":""},{"dropping-particle":"","family":"Manríquez","given":"Patricio H.","non-dropping-particle":"","parse-names":false,"suffix":""},{"dropping-particle":"","family":"Suárez-Jiménez","given":"Rocío","non-dropping-particle":"","parse-names":false,"suffix":""},{"dropping-particle":"","family":"McQuaid","given":"Christopher D.","non-dropping-particle":"","parse-names":false,"suffix":""},{"dropping-particle":"","family":"Castilla","given":"Juan Carlos","non-dropping-particle":"","parse-names":false,"suffix":""}],"container-title":"Oceanography and Marine Biology: An Annual Review","id":"ITEM-1","issued":{"date-parts":[["2017"]]},"title":"Ecological dominance along rocky shores, with a focus on intertidal ascidians","type":"chapter"},"uris":["http://www.mendeley.com/documents/?uuid=bfe8a740-6e5e-39d4-bac1-617f755bb054"]}],"mendeley":{"formattedCitation":"(Rius et al. 2017)","plainTextFormattedCitation":"(Rius et al. 2017)","previouslyFormattedCitation":"(Rius et al. 2017)"},"properties":{"noteIndex":0},"schema":"https://github.com/citation-style-language/schema/raw/master/csl-citation.json"}</w:instrText>
      </w:r>
      <w:r w:rsidRPr="00533EAC">
        <w:rPr>
          <w:rFonts w:ascii="Arial" w:eastAsia="Calibri" w:hAnsi="Arial" w:cs="Arial"/>
          <w:color w:val="000000" w:themeColor="text1"/>
          <w:lang w:val="en-ZA"/>
        </w:rPr>
        <w:fldChar w:fldCharType="separate"/>
      </w:r>
      <w:r w:rsidR="003A4A3A" w:rsidRPr="00533EAC">
        <w:rPr>
          <w:rFonts w:ascii="Arial" w:eastAsia="Calibri" w:hAnsi="Arial" w:cs="Arial"/>
          <w:noProof/>
          <w:color w:val="000000" w:themeColor="text1"/>
          <w:lang w:val="en-ZA"/>
        </w:rPr>
        <w:t>(Rius et al. 2017)</w:t>
      </w:r>
      <w:r w:rsidRPr="00533EAC">
        <w:rPr>
          <w:rFonts w:ascii="Arial" w:eastAsia="Calibri" w:hAnsi="Arial" w:cs="Arial"/>
          <w:color w:val="000000" w:themeColor="text1"/>
          <w:lang w:val="en-ZA"/>
        </w:rPr>
        <w:fldChar w:fldCharType="end"/>
      </w:r>
      <w:r w:rsidRPr="00533EAC">
        <w:rPr>
          <w:rFonts w:ascii="Arial" w:eastAsia="Calibri" w:hAnsi="Arial" w:cs="Arial"/>
          <w:color w:val="000000" w:themeColor="text1"/>
          <w:lang w:val="en-ZA"/>
        </w:rPr>
        <w:t xml:space="preserve">, these tools </w:t>
      </w:r>
      <w:r w:rsidRPr="00533EAC">
        <w:rPr>
          <w:rFonts w:ascii="Arial" w:eastAsia="Calibri" w:hAnsi="Arial" w:cs="Arial"/>
          <w:strike/>
          <w:color w:val="000000" w:themeColor="text1"/>
          <w:lang w:val="en-ZA"/>
        </w:rPr>
        <w:t>will also</w:t>
      </w:r>
      <w:r w:rsidRPr="00533EAC">
        <w:rPr>
          <w:rFonts w:ascii="Arial" w:eastAsia="Calibri" w:hAnsi="Arial" w:cs="Arial"/>
          <w:color w:val="000000" w:themeColor="text1"/>
          <w:lang w:val="en-ZA"/>
        </w:rPr>
        <w:t xml:space="preserve"> allow a better understanding of how </w:t>
      </w:r>
      <w:r w:rsidR="003567FD" w:rsidRPr="00533EAC">
        <w:rPr>
          <w:rFonts w:ascii="Arial" w:eastAsia="Calibri" w:hAnsi="Arial" w:cs="Arial"/>
          <w:color w:val="000000" w:themeColor="text1"/>
          <w:lang w:val="en-ZA"/>
        </w:rPr>
        <w:t>the ranges of the morphologically very similar but genetically distinct populations of P. herdmani may shift under conditions of climate change</w:t>
      </w:r>
      <w:r w:rsidRPr="00533EAC">
        <w:rPr>
          <w:rFonts w:ascii="Arial" w:eastAsia="Calibri" w:hAnsi="Arial" w:cs="Arial"/>
          <w:color w:val="000000" w:themeColor="text1"/>
          <w:lang w:val="en-ZA"/>
        </w:rPr>
        <w:t xml:space="preserve">. We believe that monitoring </w:t>
      </w:r>
      <w:r w:rsidRPr="00533EAC">
        <w:rPr>
          <w:rFonts w:ascii="Arial" w:eastAsia="Calibri" w:hAnsi="Arial" w:cs="Arial"/>
          <w:strike/>
          <w:color w:val="000000" w:themeColor="text1"/>
          <w:lang w:val="en-ZA"/>
        </w:rPr>
        <w:t xml:space="preserve">of </w:t>
      </w:r>
      <w:r w:rsidRPr="00533EAC">
        <w:rPr>
          <w:rFonts w:ascii="Arial" w:eastAsia="Calibri" w:hAnsi="Arial" w:cs="Arial"/>
          <w:color w:val="000000" w:themeColor="text1"/>
          <w:lang w:val="en-ZA"/>
        </w:rPr>
        <w:t xml:space="preserve">these key species </w:t>
      </w:r>
      <w:r w:rsidRPr="00533EAC">
        <w:rPr>
          <w:rFonts w:ascii="Arial" w:eastAsia="Calibri" w:hAnsi="Arial" w:cs="Arial"/>
          <w:strike/>
          <w:color w:val="000000" w:themeColor="text1"/>
          <w:lang w:val="en-ZA"/>
        </w:rPr>
        <w:t>can</w:t>
      </w:r>
      <w:r w:rsidRPr="00533EAC">
        <w:rPr>
          <w:rFonts w:ascii="Arial" w:eastAsia="Calibri" w:hAnsi="Arial" w:cs="Arial"/>
          <w:color w:val="000000" w:themeColor="text1"/>
          <w:lang w:val="en-ZA"/>
        </w:rPr>
        <w:t xml:space="preserve"> </w:t>
      </w:r>
      <w:r w:rsidR="00FD62D9" w:rsidRPr="00533EAC">
        <w:rPr>
          <w:rFonts w:ascii="Arial" w:eastAsia="Calibri" w:hAnsi="Arial" w:cs="Arial"/>
          <w:color w:val="000000" w:themeColor="text1"/>
          <w:lang w:val="en-ZA"/>
        </w:rPr>
        <w:t xml:space="preserve">could </w:t>
      </w:r>
      <w:r w:rsidRPr="00533EAC">
        <w:rPr>
          <w:rFonts w:ascii="Arial" w:eastAsia="Calibri" w:hAnsi="Arial" w:cs="Arial"/>
          <w:color w:val="000000" w:themeColor="text1"/>
          <w:lang w:val="en-ZA"/>
        </w:rPr>
        <w:t>highlight their role in the coastal and marine ecosystem</w:t>
      </w:r>
      <w:r w:rsidR="00A824D6" w:rsidRPr="00533EAC">
        <w:rPr>
          <w:rFonts w:ascii="Arial" w:eastAsia="Calibri" w:hAnsi="Arial" w:cs="Arial"/>
          <w:color w:val="000000" w:themeColor="text1"/>
          <w:lang w:val="en-ZA"/>
        </w:rPr>
        <w:t>,</w:t>
      </w:r>
      <w:r w:rsidRPr="00533EAC">
        <w:rPr>
          <w:rFonts w:ascii="Arial" w:eastAsia="Calibri" w:hAnsi="Arial" w:cs="Arial"/>
          <w:color w:val="000000" w:themeColor="text1"/>
          <w:lang w:val="en-ZA"/>
        </w:rPr>
        <w:t xml:space="preserve"> which </w:t>
      </w:r>
      <w:r w:rsidR="00FD62D9" w:rsidRPr="00533EAC">
        <w:rPr>
          <w:rFonts w:ascii="Arial" w:eastAsia="Calibri" w:hAnsi="Arial" w:cs="Arial"/>
          <w:color w:val="000000" w:themeColor="text1"/>
          <w:lang w:val="en-ZA"/>
        </w:rPr>
        <w:t xml:space="preserve">could </w:t>
      </w:r>
      <w:r w:rsidR="002E27DD" w:rsidRPr="00533EAC">
        <w:rPr>
          <w:rFonts w:ascii="Arial" w:eastAsia="Calibri" w:hAnsi="Arial" w:cs="Arial"/>
          <w:color w:val="000000" w:themeColor="text1"/>
          <w:lang w:val="en-ZA"/>
        </w:rPr>
        <w:t>contribute</w:t>
      </w:r>
      <w:r w:rsidRPr="00533EAC">
        <w:rPr>
          <w:rFonts w:ascii="Arial" w:eastAsia="Calibri" w:hAnsi="Arial" w:cs="Arial"/>
          <w:color w:val="000000" w:themeColor="text1"/>
          <w:lang w:val="en-ZA"/>
        </w:rPr>
        <w:t xml:space="preserve"> to </w:t>
      </w:r>
      <w:r w:rsidR="002E27DD" w:rsidRPr="00533EAC">
        <w:rPr>
          <w:rFonts w:ascii="Arial" w:eastAsia="Calibri" w:hAnsi="Arial" w:cs="Arial"/>
          <w:color w:val="000000" w:themeColor="text1"/>
          <w:lang w:val="en-ZA"/>
        </w:rPr>
        <w:t xml:space="preserve">achieving </w:t>
      </w:r>
      <w:r w:rsidRPr="00533EAC">
        <w:rPr>
          <w:rFonts w:ascii="Arial" w:eastAsia="Calibri" w:hAnsi="Arial" w:cs="Arial"/>
          <w:strike/>
          <w:color w:val="000000" w:themeColor="text1"/>
          <w:lang w:val="en-ZA"/>
        </w:rPr>
        <w:t>an</w:t>
      </w:r>
      <w:r w:rsidRPr="00533EAC">
        <w:rPr>
          <w:rFonts w:ascii="Arial" w:eastAsia="Calibri" w:hAnsi="Arial" w:cs="Arial"/>
          <w:color w:val="000000" w:themeColor="text1"/>
          <w:lang w:val="en-ZA"/>
        </w:rPr>
        <w:t xml:space="preserve"> </w:t>
      </w:r>
      <w:r w:rsidR="00A50103" w:rsidRPr="00533EAC">
        <w:rPr>
          <w:rFonts w:ascii="Arial" w:eastAsia="Calibri" w:hAnsi="Arial" w:cs="Arial"/>
          <w:color w:val="000000" w:themeColor="text1"/>
          <w:lang w:val="en-ZA"/>
        </w:rPr>
        <w:t xml:space="preserve">the </w:t>
      </w:r>
      <w:r w:rsidRPr="00533EAC">
        <w:rPr>
          <w:rFonts w:ascii="Arial" w:eastAsia="Calibri" w:hAnsi="Arial" w:cs="Arial"/>
          <w:color w:val="000000" w:themeColor="text1"/>
          <w:lang w:val="en-ZA"/>
        </w:rPr>
        <w:t xml:space="preserve">overarching goal </w:t>
      </w:r>
      <w:r w:rsidR="002E27DD" w:rsidRPr="00533EAC">
        <w:rPr>
          <w:rFonts w:ascii="Arial" w:eastAsia="Calibri" w:hAnsi="Arial" w:cs="Arial"/>
          <w:color w:val="000000" w:themeColor="text1"/>
          <w:lang w:val="en-ZA"/>
        </w:rPr>
        <w:t xml:space="preserve">of </w:t>
      </w:r>
      <w:r w:rsidRPr="00533EAC">
        <w:rPr>
          <w:rFonts w:ascii="Arial" w:eastAsia="Calibri" w:hAnsi="Arial" w:cs="Arial"/>
          <w:color w:val="000000" w:themeColor="text1"/>
          <w:lang w:val="en-ZA"/>
        </w:rPr>
        <w:t xml:space="preserve">the preservation of </w:t>
      </w:r>
      <w:r w:rsidRPr="00533EAC">
        <w:rPr>
          <w:rFonts w:ascii="Arial" w:eastAsia="Calibri" w:hAnsi="Arial" w:cs="Arial"/>
          <w:strike/>
          <w:color w:val="000000" w:themeColor="text1"/>
          <w:lang w:val="en-ZA"/>
        </w:rPr>
        <w:t xml:space="preserve">the </w:t>
      </w:r>
      <w:r w:rsidRPr="00533EAC">
        <w:rPr>
          <w:rFonts w:ascii="Arial" w:eastAsia="Calibri" w:hAnsi="Arial" w:cs="Arial"/>
          <w:color w:val="000000" w:themeColor="text1"/>
          <w:lang w:val="en-ZA"/>
        </w:rPr>
        <w:t xml:space="preserve">ecosystem functioning </w:t>
      </w:r>
      <w:r w:rsidRPr="00533EAC">
        <w:rPr>
          <w:rFonts w:ascii="Arial" w:eastAsia="Calibri" w:hAnsi="Arial" w:cs="Arial"/>
          <w:strike/>
          <w:color w:val="000000" w:themeColor="text1"/>
          <w:lang w:val="en-ZA"/>
        </w:rPr>
        <w:t>of</w:t>
      </w:r>
      <w:r w:rsidRPr="00533EAC">
        <w:rPr>
          <w:rFonts w:ascii="Arial" w:eastAsia="Calibri" w:hAnsi="Arial" w:cs="Arial"/>
          <w:color w:val="000000" w:themeColor="text1"/>
          <w:lang w:val="en-ZA"/>
        </w:rPr>
        <w:t xml:space="preserve"> </w:t>
      </w:r>
      <w:r w:rsidR="00FD62D9" w:rsidRPr="00533EAC">
        <w:rPr>
          <w:rFonts w:ascii="Arial" w:eastAsia="Calibri" w:hAnsi="Arial" w:cs="Arial"/>
          <w:color w:val="000000" w:themeColor="text1"/>
          <w:lang w:val="en-ZA"/>
        </w:rPr>
        <w:t xml:space="preserve">on </w:t>
      </w:r>
      <w:r w:rsidRPr="00533EAC">
        <w:rPr>
          <w:rFonts w:ascii="Arial" w:eastAsia="Calibri" w:hAnsi="Arial" w:cs="Arial"/>
          <w:color w:val="000000" w:themeColor="text1"/>
          <w:lang w:val="en-ZA"/>
        </w:rPr>
        <w:t>the South African coastline.</w:t>
      </w:r>
    </w:p>
    <w:p w14:paraId="60B0B35B" w14:textId="77777777" w:rsidR="00A61511" w:rsidRPr="00533EAC" w:rsidRDefault="00A61511" w:rsidP="00C05A32">
      <w:pPr>
        <w:spacing w:after="0" w:line="360" w:lineRule="auto"/>
        <w:jc w:val="both"/>
        <w:rPr>
          <w:rFonts w:ascii="Arial" w:eastAsia="Calibri" w:hAnsi="Arial" w:cs="Arial"/>
          <w:color w:val="000000" w:themeColor="text1"/>
          <w:lang w:val="en-ZA"/>
        </w:rPr>
      </w:pPr>
    </w:p>
    <w:p w14:paraId="4D517630" w14:textId="38088030" w:rsidR="005633D6" w:rsidRPr="00533EAC" w:rsidRDefault="005633D6" w:rsidP="00C05A32">
      <w:pPr>
        <w:spacing w:after="0" w:line="360" w:lineRule="auto"/>
        <w:jc w:val="both"/>
        <w:rPr>
          <w:rFonts w:ascii="Arial" w:eastAsia="Calibri" w:hAnsi="Arial" w:cs="Arial"/>
          <w:color w:val="000000" w:themeColor="text1"/>
          <w:sz w:val="20"/>
          <w:szCs w:val="20"/>
          <w:lang w:val="en-ZA"/>
        </w:rPr>
      </w:pPr>
      <w:r w:rsidRPr="00533EAC">
        <w:rPr>
          <w:rFonts w:ascii="Arial" w:eastAsia="Calibri" w:hAnsi="Arial" w:cs="Arial"/>
          <w:i/>
          <w:color w:val="000000" w:themeColor="text1"/>
          <w:sz w:val="20"/>
          <w:szCs w:val="20"/>
          <w:lang w:val="en-ZA"/>
        </w:rPr>
        <w:t>Acknowledg</w:t>
      </w:r>
      <w:r w:rsidR="00A61511" w:rsidRPr="00533EAC">
        <w:rPr>
          <w:rFonts w:ascii="Arial" w:eastAsia="Calibri" w:hAnsi="Arial" w:cs="Arial"/>
          <w:i/>
          <w:color w:val="000000" w:themeColor="text1"/>
          <w:sz w:val="20"/>
          <w:szCs w:val="20"/>
          <w:lang w:val="en-ZA"/>
        </w:rPr>
        <w:t>e</w:t>
      </w:r>
      <w:r w:rsidRPr="00533EAC">
        <w:rPr>
          <w:rFonts w:ascii="Arial" w:eastAsia="Calibri" w:hAnsi="Arial" w:cs="Arial"/>
          <w:i/>
          <w:color w:val="000000" w:themeColor="text1"/>
          <w:sz w:val="20"/>
          <w:szCs w:val="20"/>
          <w:lang w:val="en-ZA"/>
        </w:rPr>
        <w:t>ments</w:t>
      </w:r>
      <w:r w:rsidR="00A61511" w:rsidRPr="00533EAC">
        <w:rPr>
          <w:rFonts w:ascii="Arial" w:eastAsia="Calibri" w:hAnsi="Arial" w:cs="Arial"/>
          <w:color w:val="000000" w:themeColor="text1"/>
          <w:sz w:val="20"/>
          <w:szCs w:val="20"/>
          <w:lang w:val="en-ZA"/>
        </w:rPr>
        <w:t xml:space="preserve"> — </w:t>
      </w:r>
      <w:r w:rsidRPr="00533EAC">
        <w:rPr>
          <w:rFonts w:ascii="Arial" w:eastAsia="Calibri" w:hAnsi="Arial" w:cs="Arial"/>
          <w:color w:val="000000" w:themeColor="text1"/>
          <w:sz w:val="20"/>
          <w:szCs w:val="20"/>
          <w:lang w:val="en-ZA"/>
        </w:rPr>
        <w:t xml:space="preserve">This work was supported by the National Research Foundation of South Africa (Competitive Support for Rated Researchers Grant No. 98893 to MR and PRT) and the University of Johannesburg (FRC/URC Grant to PRT). AD is grateful to the University of Johannesburg for awarding her a Global Excellence and Stature (GES) PhD bursary. We thank the CSIR’s Centre for High Performance Computing (CHPC) for computational resources. Special thanks are given to J Klein for helping with the collection of samples, and to A </w:t>
      </w:r>
      <w:proofErr w:type="spellStart"/>
      <w:r w:rsidRPr="00533EAC">
        <w:rPr>
          <w:rFonts w:ascii="Arial" w:eastAsia="Calibri" w:hAnsi="Arial" w:cs="Arial"/>
          <w:color w:val="000000" w:themeColor="text1"/>
          <w:sz w:val="20"/>
          <w:szCs w:val="20"/>
          <w:lang w:val="en-ZA"/>
        </w:rPr>
        <w:t>Emami-Khoyi</w:t>
      </w:r>
      <w:proofErr w:type="spellEnd"/>
      <w:r w:rsidRPr="00533EAC">
        <w:rPr>
          <w:rFonts w:ascii="Arial" w:eastAsia="Calibri" w:hAnsi="Arial" w:cs="Arial"/>
          <w:color w:val="000000" w:themeColor="text1"/>
          <w:sz w:val="20"/>
          <w:szCs w:val="20"/>
          <w:lang w:val="en-ZA"/>
        </w:rPr>
        <w:t xml:space="preserve">, TR </w:t>
      </w:r>
      <w:proofErr w:type="spellStart"/>
      <w:r w:rsidRPr="00533EAC">
        <w:rPr>
          <w:rFonts w:ascii="Arial" w:eastAsia="Calibri" w:hAnsi="Arial" w:cs="Arial"/>
          <w:color w:val="000000" w:themeColor="text1"/>
          <w:sz w:val="20"/>
          <w:szCs w:val="20"/>
          <w:lang w:val="en-ZA"/>
        </w:rPr>
        <w:t>Golla</w:t>
      </w:r>
      <w:proofErr w:type="spellEnd"/>
      <w:r w:rsidRPr="00533EAC">
        <w:rPr>
          <w:rFonts w:ascii="Arial" w:eastAsia="Calibri" w:hAnsi="Arial" w:cs="Arial"/>
          <w:color w:val="000000" w:themeColor="text1"/>
          <w:sz w:val="20"/>
          <w:szCs w:val="20"/>
          <w:lang w:val="en-ZA"/>
        </w:rPr>
        <w:t>, D Monsanto, BJ van Vuuren, and J Sandoval-Castillo for</w:t>
      </w:r>
      <w:r w:rsidR="00A61511" w:rsidRPr="00533EAC">
        <w:rPr>
          <w:rFonts w:ascii="Arial" w:eastAsia="Calibri" w:hAnsi="Arial" w:cs="Arial"/>
          <w:color w:val="000000" w:themeColor="text1"/>
          <w:sz w:val="20"/>
          <w:szCs w:val="20"/>
          <w:lang w:val="en-ZA"/>
        </w:rPr>
        <w:t xml:space="preserve"> consultations regarding</w:t>
      </w:r>
      <w:r w:rsidRPr="00533EAC">
        <w:rPr>
          <w:rFonts w:ascii="Arial" w:eastAsia="Calibri" w:hAnsi="Arial" w:cs="Arial"/>
          <w:color w:val="000000" w:themeColor="text1"/>
          <w:sz w:val="20"/>
          <w:szCs w:val="20"/>
          <w:lang w:val="en-ZA"/>
        </w:rPr>
        <w:t xml:space="preserve"> mitogenome assemblage</w:t>
      </w:r>
      <w:r w:rsidRPr="00533EAC">
        <w:rPr>
          <w:rFonts w:ascii="Arial" w:eastAsia="Calibri" w:hAnsi="Arial" w:cs="Arial"/>
          <w:strike/>
          <w:color w:val="000000" w:themeColor="text1"/>
          <w:sz w:val="20"/>
          <w:szCs w:val="20"/>
          <w:lang w:val="en-ZA"/>
        </w:rPr>
        <w:t xml:space="preserve"> consultation</w:t>
      </w:r>
      <w:r w:rsidRPr="00533EAC">
        <w:rPr>
          <w:rFonts w:ascii="Arial" w:eastAsia="Calibri" w:hAnsi="Arial" w:cs="Arial"/>
          <w:color w:val="000000" w:themeColor="text1"/>
          <w:sz w:val="20"/>
          <w:szCs w:val="20"/>
          <w:lang w:val="en-ZA"/>
        </w:rPr>
        <w:t>. We also</w:t>
      </w:r>
      <w:r w:rsidR="00111B6E" w:rsidRPr="00533EAC">
        <w:rPr>
          <w:rFonts w:ascii="Arial" w:eastAsia="Calibri" w:hAnsi="Arial" w:cs="Arial"/>
          <w:color w:val="000000" w:themeColor="text1"/>
          <w:sz w:val="20"/>
          <w:szCs w:val="20"/>
          <w:lang w:val="en-ZA"/>
        </w:rPr>
        <w:t xml:space="preserve"> thank the </w:t>
      </w:r>
      <w:r w:rsidR="00760127" w:rsidRPr="00533EAC">
        <w:rPr>
          <w:rFonts w:ascii="Arial" w:eastAsia="Calibri" w:hAnsi="Arial" w:cs="Arial"/>
          <w:color w:val="000000" w:themeColor="text1"/>
          <w:sz w:val="20"/>
          <w:szCs w:val="20"/>
          <w:lang w:val="en-ZA"/>
        </w:rPr>
        <w:t xml:space="preserve">Genome Centre at the Max Planck Institute for Plant Breeding Research in Cologne, Germany, for </w:t>
      </w:r>
      <w:r w:rsidR="00111B6E" w:rsidRPr="00533EAC">
        <w:rPr>
          <w:rFonts w:ascii="Arial" w:eastAsia="Calibri" w:hAnsi="Arial" w:cs="Arial"/>
          <w:color w:val="000000" w:themeColor="text1"/>
          <w:sz w:val="20"/>
          <w:szCs w:val="20"/>
          <w:lang w:val="en-ZA"/>
        </w:rPr>
        <w:t>the Illumina sequencing, and</w:t>
      </w:r>
      <w:r w:rsidRPr="00533EAC">
        <w:rPr>
          <w:rFonts w:ascii="Arial" w:eastAsia="Calibri" w:hAnsi="Arial" w:cs="Arial"/>
          <w:color w:val="000000" w:themeColor="text1"/>
          <w:sz w:val="20"/>
          <w:szCs w:val="20"/>
          <w:lang w:val="en-ZA"/>
        </w:rPr>
        <w:t xml:space="preserve"> </w:t>
      </w:r>
      <w:r w:rsidR="00470948" w:rsidRPr="00533EAC">
        <w:rPr>
          <w:rFonts w:ascii="Arial" w:eastAsia="Calibri" w:hAnsi="Arial" w:cs="Arial"/>
          <w:color w:val="000000" w:themeColor="text1"/>
          <w:sz w:val="20"/>
          <w:szCs w:val="20"/>
          <w:lang w:val="en-ZA"/>
        </w:rPr>
        <w:t>two</w:t>
      </w:r>
      <w:r w:rsidR="006F6204" w:rsidRPr="00533EAC">
        <w:rPr>
          <w:rFonts w:ascii="Arial" w:eastAsia="Calibri" w:hAnsi="Arial" w:cs="Arial"/>
          <w:color w:val="000000" w:themeColor="text1"/>
          <w:sz w:val="20"/>
          <w:szCs w:val="20"/>
          <w:lang w:val="en-ZA"/>
        </w:rPr>
        <w:t xml:space="preserve"> anonymous reviewer</w:t>
      </w:r>
      <w:r w:rsidR="00760127" w:rsidRPr="00533EAC">
        <w:rPr>
          <w:rFonts w:ascii="Arial" w:eastAsia="Calibri" w:hAnsi="Arial" w:cs="Arial"/>
          <w:color w:val="000000" w:themeColor="text1"/>
          <w:sz w:val="20"/>
          <w:szCs w:val="20"/>
          <w:lang w:val="en-ZA"/>
        </w:rPr>
        <w:t>s</w:t>
      </w:r>
      <w:r w:rsidR="006F6204" w:rsidRPr="00533EAC">
        <w:rPr>
          <w:rFonts w:ascii="Arial" w:eastAsia="Calibri" w:hAnsi="Arial" w:cs="Arial"/>
          <w:color w:val="000000" w:themeColor="text1"/>
          <w:sz w:val="20"/>
          <w:szCs w:val="20"/>
          <w:lang w:val="en-ZA"/>
        </w:rPr>
        <w:t xml:space="preserve"> for </w:t>
      </w:r>
      <w:r w:rsidR="00111B6E" w:rsidRPr="00533EAC">
        <w:rPr>
          <w:rFonts w:ascii="Arial" w:eastAsia="Calibri" w:hAnsi="Arial" w:cs="Arial"/>
          <w:color w:val="000000" w:themeColor="text1"/>
          <w:sz w:val="20"/>
          <w:szCs w:val="20"/>
          <w:lang w:val="en-ZA"/>
        </w:rPr>
        <w:t xml:space="preserve">useful </w:t>
      </w:r>
      <w:r w:rsidR="006F6204" w:rsidRPr="00533EAC">
        <w:rPr>
          <w:rFonts w:ascii="Arial" w:eastAsia="Calibri" w:hAnsi="Arial" w:cs="Arial"/>
          <w:color w:val="000000" w:themeColor="text1"/>
          <w:sz w:val="20"/>
          <w:szCs w:val="20"/>
          <w:lang w:val="en-ZA"/>
        </w:rPr>
        <w:t>comments</w:t>
      </w:r>
      <w:r w:rsidRPr="00533EAC">
        <w:rPr>
          <w:rFonts w:ascii="Arial" w:eastAsia="Calibri" w:hAnsi="Arial" w:cs="Arial"/>
          <w:color w:val="000000" w:themeColor="text1"/>
          <w:sz w:val="20"/>
          <w:szCs w:val="20"/>
          <w:lang w:val="en-ZA"/>
        </w:rPr>
        <w:t xml:space="preserve">. </w:t>
      </w:r>
    </w:p>
    <w:p w14:paraId="1496B57B" w14:textId="73536513" w:rsidR="00FE2A7C" w:rsidRPr="00533EAC" w:rsidRDefault="00FE2A7C" w:rsidP="00C05A32">
      <w:pPr>
        <w:spacing w:after="0" w:line="360" w:lineRule="auto"/>
        <w:jc w:val="both"/>
        <w:rPr>
          <w:rFonts w:ascii="Arial" w:eastAsia="Calibri" w:hAnsi="Arial" w:cs="Arial"/>
          <w:color w:val="000000" w:themeColor="text1"/>
          <w:sz w:val="20"/>
          <w:szCs w:val="20"/>
          <w:lang w:val="en-ZA"/>
        </w:rPr>
      </w:pPr>
    </w:p>
    <w:p w14:paraId="61596F81" w14:textId="334460B3" w:rsidR="00A61511" w:rsidRPr="00533EAC" w:rsidRDefault="00A61511" w:rsidP="00C05A32">
      <w:pPr>
        <w:spacing w:after="0" w:line="360" w:lineRule="auto"/>
        <w:jc w:val="both"/>
        <w:rPr>
          <w:rFonts w:ascii="Arial" w:eastAsia="Calibri" w:hAnsi="Arial" w:cs="Arial"/>
          <w:b/>
          <w:color w:val="000000" w:themeColor="text1"/>
          <w:szCs w:val="20"/>
        </w:rPr>
      </w:pPr>
      <w:r w:rsidRPr="00533EAC">
        <w:rPr>
          <w:rFonts w:ascii="Arial" w:eastAsia="Calibri" w:hAnsi="Arial" w:cs="Arial"/>
          <w:b/>
          <w:color w:val="000000" w:themeColor="text1"/>
          <w:szCs w:val="20"/>
        </w:rPr>
        <w:t>ORCID</w:t>
      </w:r>
    </w:p>
    <w:p w14:paraId="1FC94D8B" w14:textId="5C080561" w:rsidR="00FE2A7C" w:rsidRPr="00533EAC" w:rsidRDefault="00FE2A7C" w:rsidP="00C05A32">
      <w:pPr>
        <w:spacing w:after="0" w:line="360" w:lineRule="auto"/>
        <w:jc w:val="both"/>
        <w:rPr>
          <w:rFonts w:ascii="Arial" w:eastAsia="Calibri" w:hAnsi="Arial" w:cs="Arial"/>
          <w:color w:val="000000" w:themeColor="text1"/>
          <w:sz w:val="20"/>
          <w:szCs w:val="20"/>
        </w:rPr>
      </w:pPr>
      <w:r w:rsidRPr="00533EAC">
        <w:rPr>
          <w:rFonts w:ascii="Arial" w:eastAsia="Calibri" w:hAnsi="Arial" w:cs="Arial"/>
          <w:color w:val="000000" w:themeColor="text1"/>
          <w:sz w:val="20"/>
          <w:szCs w:val="20"/>
        </w:rPr>
        <w:t>Alessia Dinoi: https://orcid.org/0000-0001-8122-3625</w:t>
      </w:r>
    </w:p>
    <w:p w14:paraId="616019B7" w14:textId="07B0132E" w:rsidR="00FE2A7C" w:rsidRPr="00533EAC" w:rsidRDefault="00FE2A7C" w:rsidP="00C05A32">
      <w:pPr>
        <w:spacing w:after="0" w:line="360" w:lineRule="auto"/>
        <w:jc w:val="both"/>
        <w:rPr>
          <w:rFonts w:ascii="Arial" w:eastAsia="Calibri" w:hAnsi="Arial" w:cs="Arial"/>
          <w:color w:val="000000" w:themeColor="text1"/>
          <w:sz w:val="20"/>
          <w:szCs w:val="20"/>
        </w:rPr>
      </w:pPr>
      <w:r w:rsidRPr="00533EAC">
        <w:rPr>
          <w:rFonts w:ascii="Arial" w:eastAsia="Calibri" w:hAnsi="Arial" w:cs="Arial"/>
          <w:color w:val="000000" w:themeColor="text1"/>
          <w:sz w:val="20"/>
          <w:szCs w:val="20"/>
        </w:rPr>
        <w:t>Marc Rius: https://orcid.org/0000-0002-2195-6605</w:t>
      </w:r>
    </w:p>
    <w:p w14:paraId="2EBD3381" w14:textId="082C6192" w:rsidR="00FE2A7C" w:rsidRPr="00533EAC" w:rsidRDefault="008C4B69" w:rsidP="00C05A32">
      <w:pPr>
        <w:spacing w:after="0" w:line="360" w:lineRule="auto"/>
        <w:jc w:val="both"/>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Mbaye Tine</w:t>
      </w:r>
      <w:r w:rsidR="00FE2A7C" w:rsidRPr="00533EAC">
        <w:rPr>
          <w:rFonts w:ascii="Arial" w:eastAsia="Calibri" w:hAnsi="Arial" w:cs="Arial"/>
          <w:color w:val="000000" w:themeColor="text1"/>
          <w:sz w:val="20"/>
          <w:szCs w:val="20"/>
          <w:lang w:val="en-ZA"/>
        </w:rPr>
        <w:t xml:space="preserve">: https://orcid.org/0000-0003-2427-1027 </w:t>
      </w:r>
    </w:p>
    <w:p w14:paraId="10CB02EC" w14:textId="2D763D2F" w:rsidR="00FE2A7C" w:rsidRPr="00533EAC" w:rsidRDefault="00FE2A7C" w:rsidP="00C05A32">
      <w:pPr>
        <w:spacing w:after="0" w:line="360" w:lineRule="auto"/>
        <w:jc w:val="both"/>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Peter R Teske: https://orcid.org/0000-0002-2838-7804</w:t>
      </w:r>
    </w:p>
    <w:p w14:paraId="75DB0E42" w14:textId="77777777" w:rsidR="00FE2A7C" w:rsidRPr="00533EAC" w:rsidRDefault="00FE2A7C" w:rsidP="00C05A32">
      <w:pPr>
        <w:spacing w:after="0" w:line="360" w:lineRule="auto"/>
        <w:ind w:left="709" w:hanging="709"/>
        <w:jc w:val="both"/>
        <w:rPr>
          <w:rFonts w:ascii="Arial" w:eastAsia="Calibri" w:hAnsi="Arial" w:cs="Arial"/>
          <w:color w:val="000000" w:themeColor="text1"/>
          <w:sz w:val="20"/>
          <w:szCs w:val="20"/>
          <w:lang w:val="en-ZA"/>
        </w:rPr>
      </w:pPr>
    </w:p>
    <w:p w14:paraId="4C8B4C2F" w14:textId="181D4480" w:rsidR="005633D6" w:rsidRPr="00533EAC" w:rsidRDefault="005633D6" w:rsidP="00C05A32">
      <w:pPr>
        <w:widowControl w:val="0"/>
        <w:autoSpaceDE w:val="0"/>
        <w:autoSpaceDN w:val="0"/>
        <w:adjustRightInd w:val="0"/>
        <w:spacing w:after="0" w:line="360" w:lineRule="auto"/>
        <w:jc w:val="both"/>
        <w:rPr>
          <w:rFonts w:ascii="Arial" w:eastAsia="Calibri" w:hAnsi="Arial" w:cs="Arial"/>
          <w:b/>
          <w:color w:val="000000" w:themeColor="text1"/>
          <w:szCs w:val="20"/>
          <w:lang w:val="en-ZA"/>
        </w:rPr>
      </w:pPr>
      <w:r w:rsidRPr="00533EAC">
        <w:rPr>
          <w:rFonts w:ascii="Arial" w:eastAsia="Calibri" w:hAnsi="Arial" w:cs="Arial"/>
          <w:b/>
          <w:color w:val="000000" w:themeColor="text1"/>
          <w:szCs w:val="20"/>
          <w:lang w:val="en-ZA"/>
        </w:rPr>
        <w:t>References</w:t>
      </w:r>
    </w:p>
    <w:p w14:paraId="35D98F29" w14:textId="77777777" w:rsidR="00132F55" w:rsidRPr="00533EAC" w:rsidRDefault="00132F55" w:rsidP="00C05A32">
      <w:pPr>
        <w:widowControl w:val="0"/>
        <w:autoSpaceDE w:val="0"/>
        <w:autoSpaceDN w:val="0"/>
        <w:adjustRightInd w:val="0"/>
        <w:spacing w:after="0" w:line="360" w:lineRule="auto"/>
        <w:ind w:left="709" w:hanging="709"/>
        <w:jc w:val="both"/>
        <w:rPr>
          <w:rFonts w:ascii="Arial" w:eastAsia="Calibri" w:hAnsi="Arial" w:cs="Arial"/>
          <w:b/>
          <w:color w:val="000000" w:themeColor="text1"/>
          <w:sz w:val="20"/>
          <w:szCs w:val="20"/>
          <w:lang w:val="en-ZA"/>
        </w:rPr>
      </w:pPr>
    </w:p>
    <w:p w14:paraId="11298340" w14:textId="02E2332D" w:rsidR="00774474" w:rsidRPr="00533EAC" w:rsidRDefault="005633D6"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eastAsia="Calibri" w:hAnsi="Arial" w:cs="Arial"/>
          <w:noProof/>
          <w:color w:val="000000" w:themeColor="text1"/>
          <w:sz w:val="20"/>
          <w:szCs w:val="20"/>
          <w:lang w:val="en-ZA"/>
        </w:rPr>
        <w:fldChar w:fldCharType="begin" w:fldLock="1"/>
      </w:r>
      <w:r w:rsidRPr="00533EAC">
        <w:rPr>
          <w:rFonts w:ascii="Arial" w:eastAsia="Calibri" w:hAnsi="Arial" w:cs="Arial"/>
          <w:noProof/>
          <w:color w:val="000000" w:themeColor="text1"/>
          <w:sz w:val="20"/>
          <w:szCs w:val="20"/>
          <w:lang w:val="en-ZA"/>
        </w:rPr>
        <w:instrText xml:space="preserve">ADDIN Mendeley Bibliography CSL_BIBLIOGRAPHY </w:instrText>
      </w:r>
      <w:r w:rsidRPr="00533EAC">
        <w:rPr>
          <w:rFonts w:ascii="Arial" w:eastAsia="Calibri" w:hAnsi="Arial" w:cs="Arial"/>
          <w:noProof/>
          <w:color w:val="000000" w:themeColor="text1"/>
          <w:sz w:val="20"/>
          <w:szCs w:val="20"/>
          <w:lang w:val="en-ZA"/>
        </w:rPr>
        <w:fldChar w:fldCharType="separate"/>
      </w:r>
      <w:r w:rsidR="00774474" w:rsidRPr="00533EAC">
        <w:rPr>
          <w:rFonts w:ascii="Arial" w:hAnsi="Arial" w:cs="Arial"/>
          <w:noProof/>
          <w:color w:val="000000" w:themeColor="text1"/>
          <w:sz w:val="20"/>
          <w:szCs w:val="24"/>
        </w:rPr>
        <w:t xml:space="preserve">Altschul SF, Gish W, Miller W, Myers EW, Lipman DJ. 1990. Basic local alignment search tool. </w:t>
      </w:r>
      <w:r w:rsidR="00774474" w:rsidRPr="00533EAC">
        <w:rPr>
          <w:rFonts w:ascii="Arial" w:hAnsi="Arial" w:cs="Arial"/>
          <w:i/>
          <w:iCs/>
          <w:noProof/>
          <w:color w:val="000000" w:themeColor="text1"/>
          <w:sz w:val="20"/>
          <w:szCs w:val="24"/>
        </w:rPr>
        <w:t>Journal of Molecular Biology</w:t>
      </w:r>
      <w:r w:rsidR="00774474" w:rsidRPr="00533EAC">
        <w:rPr>
          <w:rFonts w:ascii="Arial" w:hAnsi="Arial" w:cs="Arial"/>
          <w:noProof/>
          <w:color w:val="000000" w:themeColor="text1"/>
          <w:sz w:val="20"/>
          <w:szCs w:val="24"/>
        </w:rPr>
        <w:t xml:space="preserve">, </w:t>
      </w:r>
      <w:r w:rsidR="00774474" w:rsidRPr="00533EAC">
        <w:rPr>
          <w:rFonts w:ascii="Arial" w:hAnsi="Arial" w:cs="Arial"/>
          <w:i/>
          <w:iCs/>
          <w:noProof/>
          <w:color w:val="000000" w:themeColor="text1"/>
          <w:sz w:val="20"/>
          <w:szCs w:val="24"/>
        </w:rPr>
        <w:t>215</w:t>
      </w:r>
      <w:r w:rsidR="00774474" w:rsidRPr="00533EAC">
        <w:rPr>
          <w:rFonts w:ascii="Arial" w:hAnsi="Arial" w:cs="Arial"/>
          <w:noProof/>
          <w:color w:val="000000" w:themeColor="text1"/>
          <w:sz w:val="20"/>
          <w:szCs w:val="24"/>
        </w:rPr>
        <w:t>(3), 403–410. https://doi.org/10.1016/S0022-2836(05)80360-2</w:t>
      </w:r>
    </w:p>
    <w:p w14:paraId="009CF2AA"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Avise JC. 1994. Molecular markers, natural history and evolution. Chapter 5. Chapman and Hall, New York, USA. </w:t>
      </w:r>
      <w:r w:rsidRPr="00533EAC">
        <w:rPr>
          <w:rFonts w:ascii="Arial" w:hAnsi="Arial" w:cs="Arial"/>
          <w:i/>
          <w:iCs/>
          <w:noProof/>
          <w:color w:val="000000" w:themeColor="text1"/>
          <w:sz w:val="20"/>
          <w:szCs w:val="24"/>
        </w:rPr>
        <w:t>-</w:t>
      </w:r>
      <w:r w:rsidRPr="00533EAC">
        <w:rPr>
          <w:rFonts w:ascii="Arial" w:hAnsi="Arial" w:cs="Arial"/>
          <w:noProof/>
          <w:color w:val="000000" w:themeColor="text1"/>
          <w:sz w:val="20"/>
          <w:szCs w:val="24"/>
        </w:rPr>
        <w:t>.</w:t>
      </w:r>
    </w:p>
    <w:p w14:paraId="2016110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Belkhir K, Borsa N, Chikhi L, Raufaste N, Bonhomme F. 2004. GENETIX 4.05, logiciel sous Windows TM pour la génétique des populations. </w:t>
      </w:r>
      <w:r w:rsidRPr="00533EAC">
        <w:rPr>
          <w:rFonts w:ascii="Arial" w:hAnsi="Arial" w:cs="Arial"/>
          <w:i/>
          <w:iCs/>
          <w:noProof/>
          <w:color w:val="000000" w:themeColor="text1"/>
          <w:sz w:val="20"/>
          <w:szCs w:val="24"/>
        </w:rPr>
        <w:t>Laboratoire Génome, Populations, Interactions, CNRS UMR 5000</w:t>
      </w:r>
      <w:r w:rsidRPr="00533EAC">
        <w:rPr>
          <w:rFonts w:ascii="Arial" w:hAnsi="Arial" w:cs="Arial"/>
          <w:noProof/>
          <w:color w:val="000000" w:themeColor="text1"/>
          <w:sz w:val="20"/>
          <w:szCs w:val="24"/>
        </w:rPr>
        <w:t>, 19.</w:t>
      </w:r>
    </w:p>
    <w:p w14:paraId="09979535"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Bolger AM, Lohse M, Usadel B. 2014. Trimmomatic: A flexible trimmer for Illumina sequence data. </w:t>
      </w:r>
      <w:r w:rsidRPr="00533EAC">
        <w:rPr>
          <w:rFonts w:ascii="Arial" w:hAnsi="Arial" w:cs="Arial"/>
          <w:i/>
          <w:iCs/>
          <w:noProof/>
          <w:color w:val="000000" w:themeColor="text1"/>
          <w:sz w:val="20"/>
          <w:szCs w:val="24"/>
        </w:rPr>
        <w:t>Bioinformatics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30</w:t>
      </w:r>
      <w:r w:rsidRPr="00533EAC">
        <w:rPr>
          <w:rFonts w:ascii="Arial" w:hAnsi="Arial" w:cs="Arial"/>
          <w:noProof/>
          <w:color w:val="000000" w:themeColor="text1"/>
          <w:sz w:val="20"/>
          <w:szCs w:val="24"/>
        </w:rPr>
        <w:t>(15), 2114–2120. https://doi.org/10.1093/bioinformatics/btu170</w:t>
      </w:r>
    </w:p>
    <w:p w14:paraId="1743CD90"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Bouckaert R, Heled J, Kühnert D, Vaughan T, Wu C-H, Xie D, Suchard MA, Rambaut A, Drummond AJ. 2014. BEAST 2: A Software Platform for Bayesian Evolutionary Analysis. </w:t>
      </w:r>
      <w:r w:rsidRPr="00533EAC">
        <w:rPr>
          <w:rFonts w:ascii="Arial" w:hAnsi="Arial" w:cs="Arial"/>
          <w:i/>
          <w:iCs/>
          <w:noProof/>
          <w:color w:val="000000" w:themeColor="text1"/>
          <w:sz w:val="20"/>
          <w:szCs w:val="24"/>
        </w:rPr>
        <w:t>PLoS Computational Biology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10</w:t>
      </w:r>
      <w:r w:rsidRPr="00533EAC">
        <w:rPr>
          <w:rFonts w:ascii="Arial" w:hAnsi="Arial" w:cs="Arial"/>
          <w:noProof/>
          <w:color w:val="000000" w:themeColor="text1"/>
          <w:sz w:val="20"/>
          <w:szCs w:val="24"/>
        </w:rPr>
        <w:t>(4), e1003537. https://doi.org/10.1371/journal.pcbi.1003537</w:t>
      </w:r>
    </w:p>
    <w:p w14:paraId="1F31CB18"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Brownstein MJ, Carpten JD, Smith JR. 1996. Modulation of non-templated nucleotide addition by Taq DNA polymerase: Primer modifications that facilitate genotyping. </w:t>
      </w:r>
      <w:r w:rsidRPr="00533EAC">
        <w:rPr>
          <w:rFonts w:ascii="Arial" w:hAnsi="Arial" w:cs="Arial"/>
          <w:i/>
          <w:iCs/>
          <w:noProof/>
          <w:color w:val="000000" w:themeColor="text1"/>
          <w:sz w:val="20"/>
          <w:szCs w:val="24"/>
        </w:rPr>
        <w:t>BioTechniques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20</w:t>
      </w:r>
      <w:r w:rsidRPr="00533EAC">
        <w:rPr>
          <w:rFonts w:ascii="Arial" w:hAnsi="Arial" w:cs="Arial"/>
          <w:noProof/>
          <w:color w:val="000000" w:themeColor="text1"/>
          <w:sz w:val="20"/>
          <w:szCs w:val="24"/>
        </w:rPr>
        <w:t>(6), 1004–1010.</w:t>
      </w:r>
    </w:p>
    <w:p w14:paraId="54491545"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Cariou M, Duret L, Charlat S. 2013. Is RAD-seq suitable for phylogenetic inference? An in silico assessment and optimization. </w:t>
      </w:r>
      <w:r w:rsidRPr="00533EAC">
        <w:rPr>
          <w:rFonts w:ascii="Arial" w:hAnsi="Arial" w:cs="Arial"/>
          <w:i/>
          <w:iCs/>
          <w:noProof/>
          <w:color w:val="000000" w:themeColor="text1"/>
          <w:sz w:val="20"/>
          <w:szCs w:val="24"/>
        </w:rPr>
        <w:t>Ecology and 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w:t>
      </w:r>
      <w:r w:rsidRPr="00533EAC">
        <w:rPr>
          <w:rFonts w:ascii="Arial" w:hAnsi="Arial" w:cs="Arial"/>
          <w:noProof/>
          <w:color w:val="000000" w:themeColor="text1"/>
          <w:sz w:val="20"/>
          <w:szCs w:val="24"/>
        </w:rPr>
        <w:t>(4), 846–852. https://doi.org/10.1002/ece3.512</w:t>
      </w:r>
    </w:p>
    <w:p w14:paraId="12C1ED72"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Castilla JC, Lagos NA, Cerda M. 2004. Marine ecosystem engineering by the alien ascidian </w:t>
      </w:r>
      <w:r w:rsidRPr="00533EAC">
        <w:rPr>
          <w:rFonts w:ascii="Arial" w:hAnsi="Arial" w:cs="Arial"/>
          <w:i/>
          <w:iCs/>
          <w:noProof/>
          <w:color w:val="000000" w:themeColor="text1"/>
          <w:sz w:val="20"/>
          <w:szCs w:val="24"/>
        </w:rPr>
        <w:t>Pyura praeputialis</w:t>
      </w:r>
      <w:r w:rsidRPr="00533EAC">
        <w:rPr>
          <w:rFonts w:ascii="Arial" w:hAnsi="Arial" w:cs="Arial"/>
          <w:noProof/>
          <w:color w:val="000000" w:themeColor="text1"/>
          <w:sz w:val="20"/>
          <w:szCs w:val="24"/>
        </w:rPr>
        <w:t xml:space="preserve"> on a mid-intertidal rocky shore. </w:t>
      </w:r>
      <w:r w:rsidRPr="00533EAC">
        <w:rPr>
          <w:rFonts w:ascii="Arial" w:hAnsi="Arial" w:cs="Arial"/>
          <w:i/>
          <w:iCs/>
          <w:noProof/>
          <w:color w:val="000000" w:themeColor="text1"/>
          <w:sz w:val="20"/>
          <w:szCs w:val="24"/>
        </w:rPr>
        <w:t>Marine Ecology Progress Series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268</w:t>
      </w:r>
      <w:r w:rsidRPr="00533EAC">
        <w:rPr>
          <w:rFonts w:ascii="Arial" w:hAnsi="Arial" w:cs="Arial"/>
          <w:noProof/>
          <w:color w:val="000000" w:themeColor="text1"/>
          <w:sz w:val="20"/>
          <w:szCs w:val="24"/>
        </w:rPr>
        <w:t>, 119–130.</w:t>
      </w:r>
    </w:p>
    <w:p w14:paraId="34BEE37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Cock PJA, Fields CJ, Goto N, Heuer ML, Rice PM. 2009. The Sanger FASTQ file format for sequences with quality scores, and the Solexa/Illumina FASTQ variants. </w:t>
      </w:r>
      <w:r w:rsidRPr="00533EAC">
        <w:rPr>
          <w:rFonts w:ascii="Arial" w:hAnsi="Arial" w:cs="Arial"/>
          <w:i/>
          <w:iCs/>
          <w:noProof/>
          <w:color w:val="000000" w:themeColor="text1"/>
          <w:sz w:val="20"/>
          <w:szCs w:val="24"/>
        </w:rPr>
        <w:t xml:space="preserve">Nucleic Acids </w:t>
      </w:r>
      <w:r w:rsidRPr="00533EAC">
        <w:rPr>
          <w:rFonts w:ascii="Arial" w:hAnsi="Arial" w:cs="Arial"/>
          <w:i/>
          <w:iCs/>
          <w:noProof/>
          <w:color w:val="000000" w:themeColor="text1"/>
          <w:sz w:val="20"/>
          <w:szCs w:val="24"/>
        </w:rPr>
        <w:lastRenderedPageBreak/>
        <w:t>Research</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38</w:t>
      </w:r>
      <w:r w:rsidRPr="00533EAC">
        <w:rPr>
          <w:rFonts w:ascii="Arial" w:hAnsi="Arial" w:cs="Arial"/>
          <w:noProof/>
          <w:color w:val="000000" w:themeColor="text1"/>
          <w:sz w:val="20"/>
          <w:szCs w:val="24"/>
        </w:rPr>
        <w:t>(6), 1767–1771. https://doi.org/10.1093/nar/gkp1137</w:t>
      </w:r>
    </w:p>
    <w:p w14:paraId="1A2916C9"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Cole VJ, McQuaid CD. 2010. Bioengineers and their associated fauna respond differently to the effects of biogeography and upwelling. </w:t>
      </w:r>
      <w:r w:rsidRPr="00533EAC">
        <w:rPr>
          <w:rFonts w:ascii="Arial" w:hAnsi="Arial" w:cs="Arial"/>
          <w:i/>
          <w:iCs/>
          <w:noProof/>
          <w:color w:val="000000" w:themeColor="text1"/>
          <w:sz w:val="20"/>
          <w:szCs w:val="24"/>
        </w:rPr>
        <w:t>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91</w:t>
      </w:r>
      <w:r w:rsidRPr="00533EAC">
        <w:rPr>
          <w:rFonts w:ascii="Arial" w:hAnsi="Arial" w:cs="Arial"/>
          <w:noProof/>
          <w:color w:val="000000" w:themeColor="text1"/>
          <w:sz w:val="20"/>
          <w:szCs w:val="24"/>
        </w:rPr>
        <w:t>(12), 3549–3562. https://doi.org/10.1890/09-2152.1</w:t>
      </w:r>
    </w:p>
    <w:p w14:paraId="355BEC98"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De Barba M, Miquel C, Lobréaux S, Quenette PY, Swenson JE, Taberlet P. 2017. High-throughput microsatellite genotyping in ecology: improved accuracy, efficiency, standardization and success with low-quantity and degraded DNA. </w:t>
      </w:r>
      <w:r w:rsidRPr="00533EAC">
        <w:rPr>
          <w:rFonts w:ascii="Arial" w:hAnsi="Arial" w:cs="Arial"/>
          <w:i/>
          <w:iCs/>
          <w:noProof/>
          <w:color w:val="000000" w:themeColor="text1"/>
          <w:sz w:val="20"/>
          <w:szCs w:val="24"/>
        </w:rPr>
        <w:t>Molecular Ecology Resources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17</w:t>
      </w:r>
      <w:r w:rsidRPr="00533EAC">
        <w:rPr>
          <w:rFonts w:ascii="Arial" w:hAnsi="Arial" w:cs="Arial"/>
          <w:noProof/>
          <w:color w:val="000000" w:themeColor="text1"/>
          <w:sz w:val="20"/>
          <w:szCs w:val="24"/>
        </w:rPr>
        <w:t>(3), 492–507. https://doi.org/10.1111/1755-0998.12594</w:t>
      </w:r>
    </w:p>
    <w:p w14:paraId="22905950"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Doyle JJ, Doyle JL. 1987. A rapid DNA isolation procedure for small quantities of fresh leaf tissue. </w:t>
      </w:r>
      <w:r w:rsidRPr="00533EAC">
        <w:rPr>
          <w:rFonts w:ascii="Arial" w:hAnsi="Arial" w:cs="Arial"/>
          <w:i/>
          <w:iCs/>
          <w:noProof/>
          <w:color w:val="000000" w:themeColor="text1"/>
          <w:sz w:val="20"/>
          <w:szCs w:val="24"/>
        </w:rPr>
        <w:t>Phytochemical Bulletin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19</w:t>
      </w:r>
      <w:r w:rsidRPr="00533EAC">
        <w:rPr>
          <w:rFonts w:ascii="Arial" w:hAnsi="Arial" w:cs="Arial"/>
          <w:noProof/>
          <w:color w:val="000000" w:themeColor="text1"/>
          <w:sz w:val="20"/>
          <w:szCs w:val="24"/>
        </w:rPr>
        <w:t>, 11–15.</w:t>
      </w:r>
    </w:p>
    <w:p w14:paraId="16BF209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Edgar RC. 2004. MUSCLE: multiple sequence alignment with high accuracy and high throughput. </w:t>
      </w:r>
      <w:r w:rsidRPr="00533EAC">
        <w:rPr>
          <w:rFonts w:ascii="Arial" w:hAnsi="Arial" w:cs="Arial"/>
          <w:i/>
          <w:iCs/>
          <w:noProof/>
          <w:color w:val="000000" w:themeColor="text1"/>
          <w:sz w:val="20"/>
          <w:szCs w:val="24"/>
        </w:rPr>
        <w:t>Nucleic Acids Research</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32</w:t>
      </w:r>
      <w:r w:rsidRPr="00533EAC">
        <w:rPr>
          <w:rFonts w:ascii="Arial" w:hAnsi="Arial" w:cs="Arial"/>
          <w:noProof/>
          <w:color w:val="000000" w:themeColor="text1"/>
          <w:sz w:val="20"/>
          <w:szCs w:val="24"/>
        </w:rPr>
        <w:t>(5), 1792–1797. https://doi.org/10.1093/nar/gkh340</w:t>
      </w:r>
    </w:p>
    <w:p w14:paraId="3D52021E"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Emanuel BP, Bustamante RH, Branch GM, Eekhout S, Odendaal FJ. 1992. A zoogeographic and functional approach to the selection of marine reserves on the west coast of South Africa. </w:t>
      </w:r>
      <w:r w:rsidRPr="00533EAC">
        <w:rPr>
          <w:rFonts w:ascii="Arial" w:hAnsi="Arial" w:cs="Arial"/>
          <w:i/>
          <w:iCs/>
          <w:noProof/>
          <w:color w:val="000000" w:themeColor="text1"/>
          <w:sz w:val="20"/>
          <w:szCs w:val="24"/>
        </w:rPr>
        <w:t>South African Journal of Marine Science</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12</w:t>
      </w:r>
      <w:r w:rsidRPr="00533EAC">
        <w:rPr>
          <w:rFonts w:ascii="Arial" w:hAnsi="Arial" w:cs="Arial"/>
          <w:noProof/>
          <w:color w:val="000000" w:themeColor="text1"/>
          <w:sz w:val="20"/>
          <w:szCs w:val="24"/>
        </w:rPr>
        <w:t>(1), 341–354. https://doi.org/10.2989/02577619209504710</w:t>
      </w:r>
    </w:p>
    <w:p w14:paraId="0E281AC2"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Giles EC, Petersen-Zúñiga C, Morales-González S, Quesada-Calderón S, Saenz-Agudelo P. 2018. Novel microsatellite markers for </w:t>
      </w:r>
      <w:r w:rsidRPr="00533EAC">
        <w:rPr>
          <w:rFonts w:ascii="Arial" w:hAnsi="Arial" w:cs="Arial"/>
          <w:i/>
          <w:iCs/>
          <w:noProof/>
          <w:color w:val="000000" w:themeColor="text1"/>
          <w:sz w:val="20"/>
          <w:szCs w:val="24"/>
        </w:rPr>
        <w:t>Pyura chilensis</w:t>
      </w:r>
      <w:r w:rsidRPr="00533EAC">
        <w:rPr>
          <w:rFonts w:ascii="Arial" w:hAnsi="Arial" w:cs="Arial"/>
          <w:noProof/>
          <w:color w:val="000000" w:themeColor="text1"/>
          <w:sz w:val="20"/>
          <w:szCs w:val="24"/>
        </w:rPr>
        <w:t xml:space="preserve"> reveal fine-scale genetic structure along the southern coast of Chile. </w:t>
      </w:r>
      <w:r w:rsidRPr="00533EAC">
        <w:rPr>
          <w:rFonts w:ascii="Arial" w:hAnsi="Arial" w:cs="Arial"/>
          <w:i/>
          <w:iCs/>
          <w:noProof/>
          <w:color w:val="000000" w:themeColor="text1"/>
          <w:sz w:val="20"/>
          <w:szCs w:val="24"/>
        </w:rPr>
        <w:t>Marine Biodiversity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48</w:t>
      </w:r>
      <w:r w:rsidRPr="00533EAC">
        <w:rPr>
          <w:rFonts w:ascii="Arial" w:hAnsi="Arial" w:cs="Arial"/>
          <w:noProof/>
          <w:color w:val="000000" w:themeColor="text1"/>
          <w:sz w:val="20"/>
          <w:szCs w:val="24"/>
        </w:rPr>
        <w:t>(4), 1777–1786. https://doi.org/10.1007/s12526-017-0672-9</w:t>
      </w:r>
    </w:p>
    <w:p w14:paraId="3397407F"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Gili JM, Coma R. 1998. Benthic suspension feeders: Their paramount role in littoral marine food webs. </w:t>
      </w:r>
      <w:r w:rsidRPr="00533EAC">
        <w:rPr>
          <w:rFonts w:ascii="Arial" w:hAnsi="Arial" w:cs="Arial"/>
          <w:i/>
          <w:iCs/>
          <w:noProof/>
          <w:color w:val="000000" w:themeColor="text1"/>
          <w:sz w:val="20"/>
          <w:szCs w:val="24"/>
        </w:rPr>
        <w:t>Trends in Ecology and Evolution</w:t>
      </w:r>
      <w:r w:rsidRPr="00533EAC">
        <w:rPr>
          <w:rFonts w:ascii="Arial" w:hAnsi="Arial" w:cs="Arial"/>
          <w:noProof/>
          <w:color w:val="000000" w:themeColor="text1"/>
          <w:sz w:val="20"/>
          <w:szCs w:val="24"/>
        </w:rPr>
        <w:t>, Vol. 13, pp. 316–321. https://doi.org/10.1016/S0169-5347(98)01365-2</w:t>
      </w:r>
    </w:p>
    <w:p w14:paraId="4C920E92"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Golla TR, Pieterse L, Jooste CM, Teske PR. 2020. Discovery of populations endemic to a marine biogeographical transition zone. </w:t>
      </w:r>
      <w:r w:rsidRPr="00533EAC">
        <w:rPr>
          <w:rFonts w:ascii="Arial" w:hAnsi="Arial" w:cs="Arial"/>
          <w:i/>
          <w:iCs/>
          <w:noProof/>
          <w:color w:val="000000" w:themeColor="text1"/>
          <w:sz w:val="20"/>
          <w:szCs w:val="24"/>
        </w:rPr>
        <w:t>Diversity and Distributions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26</w:t>
      </w:r>
      <w:r w:rsidRPr="00533EAC">
        <w:rPr>
          <w:rFonts w:ascii="Arial" w:hAnsi="Arial" w:cs="Arial"/>
          <w:noProof/>
          <w:color w:val="000000" w:themeColor="text1"/>
          <w:sz w:val="20"/>
          <w:szCs w:val="24"/>
        </w:rPr>
        <w:t>(12), 1825–1832. https://doi.org/10.1111/ddi.13162</w:t>
      </w:r>
    </w:p>
    <w:p w14:paraId="1A45C6FD"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Goodwin KD, Thompson LR, Duarte B, Kahlke T, Thompson AR, Marques JC, Caçador I. 2017. DNA sequencing as a tool to monitor marine ecological status. </w:t>
      </w:r>
      <w:r w:rsidRPr="00533EAC">
        <w:rPr>
          <w:rFonts w:ascii="Arial" w:hAnsi="Arial" w:cs="Arial"/>
          <w:i/>
          <w:iCs/>
          <w:noProof/>
          <w:color w:val="000000" w:themeColor="text1"/>
          <w:sz w:val="20"/>
          <w:szCs w:val="24"/>
        </w:rPr>
        <w:t>Frontiers in Marine Science</w:t>
      </w:r>
      <w:r w:rsidRPr="00533EAC">
        <w:rPr>
          <w:rFonts w:ascii="Arial" w:hAnsi="Arial" w:cs="Arial"/>
          <w:noProof/>
          <w:color w:val="000000" w:themeColor="text1"/>
          <w:sz w:val="20"/>
          <w:szCs w:val="24"/>
        </w:rPr>
        <w:t>, Vol. 4, p. 107. https://doi.org/10.3389/fmars.2017.00107</w:t>
      </w:r>
    </w:p>
    <w:p w14:paraId="01EFAA7C"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Griggio F, Voskoboynik A, Iannelli F, Justy F, Tilak M-K, Xavier T, Pesole G, Douzery EJP, Mastrototaro F, Gissi C. 2014. Ascidian mitogenomics: comparison of evolutionary rates in closely related taxa provides evidence of ongoing speciation events. </w:t>
      </w:r>
      <w:r w:rsidRPr="00533EAC">
        <w:rPr>
          <w:rFonts w:ascii="Arial" w:hAnsi="Arial" w:cs="Arial"/>
          <w:i/>
          <w:iCs/>
          <w:noProof/>
          <w:color w:val="000000" w:themeColor="text1"/>
          <w:sz w:val="20"/>
          <w:szCs w:val="24"/>
        </w:rPr>
        <w:t>Genome Biology and 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6</w:t>
      </w:r>
      <w:r w:rsidRPr="00533EAC">
        <w:rPr>
          <w:rFonts w:ascii="Arial" w:hAnsi="Arial" w:cs="Arial"/>
          <w:noProof/>
          <w:color w:val="000000" w:themeColor="text1"/>
          <w:sz w:val="20"/>
          <w:szCs w:val="24"/>
        </w:rPr>
        <w:t>(3), 591–605. https://doi.org/10.1093/gbe/evu041</w:t>
      </w:r>
    </w:p>
    <w:p w14:paraId="626C10F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Guiñez R, Castilla JC. 2001. An allometric tridimensional model of self-thinning for a gregarious tunicate. </w:t>
      </w:r>
      <w:r w:rsidRPr="00533EAC">
        <w:rPr>
          <w:rFonts w:ascii="Arial" w:hAnsi="Arial" w:cs="Arial"/>
          <w:i/>
          <w:iCs/>
          <w:noProof/>
          <w:color w:val="000000" w:themeColor="text1"/>
          <w:sz w:val="20"/>
          <w:szCs w:val="24"/>
        </w:rPr>
        <w:t>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82</w:t>
      </w:r>
      <w:r w:rsidRPr="00533EAC">
        <w:rPr>
          <w:rFonts w:ascii="Arial" w:hAnsi="Arial" w:cs="Arial"/>
          <w:noProof/>
          <w:color w:val="000000" w:themeColor="text1"/>
          <w:sz w:val="20"/>
          <w:szCs w:val="24"/>
        </w:rPr>
        <w:t>(8), 2331–2341. https://doi.org/10.1890/0012-9658(2001)082[2331:AATMOS]2.0.CO;2</w:t>
      </w:r>
    </w:p>
    <w:p w14:paraId="66D3BD3B"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Hancock JM, Zvelebil MJ, Hancock JM. 2004. PRIMER3. In </w:t>
      </w:r>
      <w:r w:rsidRPr="00533EAC">
        <w:rPr>
          <w:rFonts w:ascii="Arial" w:hAnsi="Arial" w:cs="Arial"/>
          <w:i/>
          <w:iCs/>
          <w:noProof/>
          <w:color w:val="000000" w:themeColor="text1"/>
          <w:sz w:val="20"/>
          <w:szCs w:val="24"/>
        </w:rPr>
        <w:t>Dictionary of Bioinformatics and Computational Biology</w:t>
      </w:r>
      <w:r w:rsidRPr="00533EAC">
        <w:rPr>
          <w:rFonts w:ascii="Arial" w:hAnsi="Arial" w:cs="Arial"/>
          <w:noProof/>
          <w:color w:val="000000" w:themeColor="text1"/>
          <w:sz w:val="20"/>
          <w:szCs w:val="24"/>
        </w:rPr>
        <w:t>. https://doi.org/10.1002/9780471650126.dob0560.pub2</w:t>
      </w:r>
    </w:p>
    <w:p w14:paraId="640F67AF"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Hanekom N, Harris JM, Branch GM, Allen JC. 1999. Mass mortality and recolonization of</w:t>
      </w:r>
      <w:r w:rsidRPr="00533EAC">
        <w:rPr>
          <w:rFonts w:ascii="Arial" w:hAnsi="Arial" w:cs="Arial"/>
          <w:i/>
          <w:iCs/>
          <w:noProof/>
          <w:color w:val="000000" w:themeColor="text1"/>
          <w:sz w:val="20"/>
          <w:szCs w:val="24"/>
        </w:rPr>
        <w:t xml:space="preserve"> Pyura stolonifera</w:t>
      </w:r>
      <w:r w:rsidRPr="00533EAC">
        <w:rPr>
          <w:rFonts w:ascii="Arial" w:hAnsi="Arial" w:cs="Arial"/>
          <w:noProof/>
          <w:color w:val="000000" w:themeColor="text1"/>
          <w:sz w:val="20"/>
          <w:szCs w:val="24"/>
        </w:rPr>
        <w:t xml:space="preserve"> (Heller) on the South Coast of South Africa. </w:t>
      </w:r>
      <w:r w:rsidRPr="00533EAC">
        <w:rPr>
          <w:rFonts w:ascii="Arial" w:hAnsi="Arial" w:cs="Arial"/>
          <w:i/>
          <w:iCs/>
          <w:noProof/>
          <w:color w:val="000000" w:themeColor="text1"/>
          <w:sz w:val="20"/>
          <w:szCs w:val="24"/>
        </w:rPr>
        <w:t>South African Journal of Marine Science</w:t>
      </w:r>
      <w:r w:rsidRPr="00533EAC">
        <w:rPr>
          <w:rFonts w:ascii="Arial" w:hAnsi="Arial" w:cs="Arial"/>
          <w:noProof/>
          <w:color w:val="000000" w:themeColor="text1"/>
          <w:sz w:val="20"/>
          <w:szCs w:val="24"/>
        </w:rPr>
        <w:t>, (21), 117–133. https://doi.org/10.2989/025776199784125953</w:t>
      </w:r>
    </w:p>
    <w:p w14:paraId="3E0989F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Hasegawa M, Kishino H, Yano T. 1984. Dating of the Human-Ape Splitting by a Molecular Clock. </w:t>
      </w:r>
      <w:r w:rsidRPr="00533EAC">
        <w:rPr>
          <w:rFonts w:ascii="Arial" w:hAnsi="Arial" w:cs="Arial"/>
          <w:i/>
          <w:iCs/>
          <w:noProof/>
          <w:color w:val="000000" w:themeColor="text1"/>
          <w:sz w:val="20"/>
          <w:szCs w:val="24"/>
        </w:rPr>
        <w:lastRenderedPageBreak/>
        <w:t>Japjgen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59</w:t>
      </w:r>
      <w:r w:rsidRPr="00533EAC">
        <w:rPr>
          <w:rFonts w:ascii="Arial" w:hAnsi="Arial" w:cs="Arial"/>
          <w:noProof/>
          <w:color w:val="000000" w:themeColor="text1"/>
          <w:sz w:val="20"/>
          <w:szCs w:val="24"/>
        </w:rPr>
        <w:t>(6), 616.</w:t>
      </w:r>
    </w:p>
    <w:p w14:paraId="0EFE264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Hawes NA, Tremblay LA, Pochon X, Dunphy B, Fidler AE, Smith KF. 2018. Effects of temperature and salinity stress on DNA methylation in a highly invasive marine invertebrate, the colonial ascidian </w:t>
      </w:r>
      <w:r w:rsidRPr="00533EAC">
        <w:rPr>
          <w:rFonts w:ascii="Arial" w:hAnsi="Arial" w:cs="Arial"/>
          <w:i/>
          <w:iCs/>
          <w:noProof/>
          <w:color w:val="000000" w:themeColor="text1"/>
          <w:sz w:val="20"/>
          <w:szCs w:val="24"/>
        </w:rPr>
        <w:t>Didemnum vexillum</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PeerJ</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6</w:t>
      </w:r>
      <w:r w:rsidRPr="00533EAC">
        <w:rPr>
          <w:rFonts w:ascii="Arial" w:hAnsi="Arial" w:cs="Arial"/>
          <w:noProof/>
          <w:color w:val="000000" w:themeColor="text1"/>
          <w:sz w:val="20"/>
          <w:szCs w:val="24"/>
        </w:rPr>
        <w:t>, e5003. https://doi.org/10.7717/peerj.5003</w:t>
      </w:r>
    </w:p>
    <w:p w14:paraId="5051317F" w14:textId="14B06640" w:rsidR="0025180E" w:rsidRPr="00533EAC" w:rsidRDefault="0025180E" w:rsidP="0025180E">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Hudson J, McQuaid CD, Rius M (2021) Contemporary climate change hinders hybrid performance of ecologically dominant marine invertebrates. Journal of Evolutionary Biology, 34, 60-72</w:t>
      </w:r>
    </w:p>
    <w:p w14:paraId="470EC343" w14:textId="2F439FAB"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Hui M, Nuryanto A, Kochzius M. 2017. Concordance of microsatellite and mitochondrial DNA markers in detecting genetic population structure in the boring giant clam Tridacna crocea across the Indo-Malay Archipelago. </w:t>
      </w:r>
      <w:r w:rsidRPr="00533EAC">
        <w:rPr>
          <w:rFonts w:ascii="Arial" w:hAnsi="Arial" w:cs="Arial"/>
          <w:i/>
          <w:iCs/>
          <w:noProof/>
          <w:color w:val="000000" w:themeColor="text1"/>
          <w:sz w:val="20"/>
          <w:szCs w:val="24"/>
        </w:rPr>
        <w:t>Marine 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38</w:t>
      </w:r>
      <w:r w:rsidRPr="00533EAC">
        <w:rPr>
          <w:rFonts w:ascii="Arial" w:hAnsi="Arial" w:cs="Arial"/>
          <w:noProof/>
          <w:color w:val="000000" w:themeColor="text1"/>
          <w:sz w:val="20"/>
          <w:szCs w:val="24"/>
        </w:rPr>
        <w:t>(1), e12389. https://doi.org/10.1111/maec.12389</w:t>
      </w:r>
    </w:p>
    <w:p w14:paraId="1C65C2E6"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Ip YCA, Tay YC, Gan SX, Ang HP, Tun K, Chou LM, Huang D, Meier R. 2019. From marine park to future genomic observatory? Enhancing marine biodiversity assessments using a biocode approach. </w:t>
      </w:r>
      <w:r w:rsidRPr="00533EAC">
        <w:rPr>
          <w:rFonts w:ascii="Arial" w:hAnsi="Arial" w:cs="Arial"/>
          <w:i/>
          <w:iCs/>
          <w:noProof/>
          <w:color w:val="000000" w:themeColor="text1"/>
          <w:sz w:val="20"/>
          <w:szCs w:val="24"/>
        </w:rPr>
        <w:t>Biodiversity Data Journal</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7</w:t>
      </w:r>
      <w:r w:rsidRPr="00533EAC">
        <w:rPr>
          <w:rFonts w:ascii="Arial" w:hAnsi="Arial" w:cs="Arial"/>
          <w:noProof/>
          <w:color w:val="000000" w:themeColor="text1"/>
          <w:sz w:val="20"/>
          <w:szCs w:val="24"/>
        </w:rPr>
        <w:t>, e46833–e46833. https://doi.org/10.3897/BDJ.7.E46833</w:t>
      </w:r>
    </w:p>
    <w:p w14:paraId="06F2B811"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Jooste CM, Oliver J, Emami-Khoyi A, Teske PR. 2018. Is the Wild Coast in eastern South Africa a distinct marine bioregion? </w:t>
      </w:r>
      <w:r w:rsidRPr="00533EAC">
        <w:rPr>
          <w:rFonts w:ascii="Arial" w:hAnsi="Arial" w:cs="Arial"/>
          <w:i/>
          <w:iCs/>
          <w:noProof/>
          <w:color w:val="000000" w:themeColor="text1"/>
          <w:sz w:val="20"/>
          <w:szCs w:val="24"/>
        </w:rPr>
        <w:t>Helgoland Marine Research</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72</w:t>
      </w:r>
      <w:r w:rsidRPr="00533EAC">
        <w:rPr>
          <w:rFonts w:ascii="Arial" w:hAnsi="Arial" w:cs="Arial"/>
          <w:noProof/>
          <w:color w:val="000000" w:themeColor="text1"/>
          <w:sz w:val="20"/>
          <w:szCs w:val="24"/>
        </w:rPr>
        <w:t>(1). https://doi.org/10.1186/s10152-018-0509-3</w:t>
      </w:r>
    </w:p>
    <w:p w14:paraId="288C14BB"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Kearse M, Moir R, Wilson A, Stones-Havas S, Cheung M, Sturrock S, Buxton S, Cooper A, Markowitz S, Duran C, Thierer T, Ashton B, Meintjes P, Drummond A. 2012. Geneious Basic: An integrated and extendable desktop software platform for the organization and analysis of sequence data. </w:t>
      </w:r>
      <w:r w:rsidRPr="00533EAC">
        <w:rPr>
          <w:rFonts w:ascii="Arial" w:hAnsi="Arial" w:cs="Arial"/>
          <w:i/>
          <w:iCs/>
          <w:noProof/>
          <w:color w:val="000000" w:themeColor="text1"/>
          <w:sz w:val="20"/>
          <w:szCs w:val="24"/>
        </w:rPr>
        <w:t>Bioinformatics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28</w:t>
      </w:r>
      <w:r w:rsidRPr="00533EAC">
        <w:rPr>
          <w:rFonts w:ascii="Arial" w:hAnsi="Arial" w:cs="Arial"/>
          <w:noProof/>
          <w:color w:val="000000" w:themeColor="text1"/>
          <w:sz w:val="20"/>
          <w:szCs w:val="24"/>
        </w:rPr>
        <w:t>(12), 1647–1649. https://doi.org/10.1093/bioinformatics/bts199</w:t>
      </w:r>
    </w:p>
    <w:p w14:paraId="21041863"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Klein JD, Bester-van der Merwe AE, Dicken ML, Emami-Khoyi A, Mmonwa KL, Teske PR. 2019. Genomic resources for the spotted ragged-tooth shark </w:t>
      </w:r>
      <w:r w:rsidRPr="00533EAC">
        <w:rPr>
          <w:rFonts w:ascii="Arial" w:hAnsi="Arial" w:cs="Arial"/>
          <w:i/>
          <w:iCs/>
          <w:noProof/>
          <w:color w:val="000000" w:themeColor="text1"/>
          <w:sz w:val="20"/>
          <w:szCs w:val="24"/>
        </w:rPr>
        <w:t>Carcharias taurus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African Journal of Marine Science</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41</w:t>
      </w:r>
      <w:r w:rsidRPr="00533EAC">
        <w:rPr>
          <w:rFonts w:ascii="Arial" w:hAnsi="Arial" w:cs="Arial"/>
          <w:noProof/>
          <w:color w:val="000000" w:themeColor="text1"/>
          <w:sz w:val="20"/>
          <w:szCs w:val="24"/>
        </w:rPr>
        <w:t>(1), 115–118. https://doi.org/10.2989/1814232X.2019.1576541</w:t>
      </w:r>
    </w:p>
    <w:p w14:paraId="35284843"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Kumar S, Stecher G, Tamura K. 2016. MEGA7: Molecular Evolutionary Genetics Analysis Version 7.0 for Bigger Datasets. </w:t>
      </w:r>
      <w:r w:rsidRPr="00533EAC">
        <w:rPr>
          <w:rFonts w:ascii="Arial" w:hAnsi="Arial" w:cs="Arial"/>
          <w:i/>
          <w:iCs/>
          <w:noProof/>
          <w:color w:val="000000" w:themeColor="text1"/>
          <w:sz w:val="20"/>
          <w:szCs w:val="24"/>
        </w:rPr>
        <w:t>Molecular Biology and 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33</w:t>
      </w:r>
      <w:r w:rsidRPr="00533EAC">
        <w:rPr>
          <w:rFonts w:ascii="Arial" w:hAnsi="Arial" w:cs="Arial"/>
          <w:noProof/>
          <w:color w:val="000000" w:themeColor="text1"/>
          <w:sz w:val="20"/>
          <w:szCs w:val="24"/>
        </w:rPr>
        <w:t>(7), 1870–1874. https://doi.org/10.1093/molbev/msw054</w:t>
      </w:r>
    </w:p>
    <w:p w14:paraId="6568F1F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Lafargue F, Wahl M. 1986. Contribution to the knowledge of littoral ascidians (Ascidiacea, Tunicata) of the Senegalese coast. </w:t>
      </w:r>
      <w:r w:rsidRPr="00533EAC">
        <w:rPr>
          <w:rFonts w:ascii="Arial" w:hAnsi="Arial" w:cs="Arial"/>
          <w:i/>
          <w:iCs/>
          <w:noProof/>
          <w:color w:val="000000" w:themeColor="text1"/>
          <w:sz w:val="20"/>
          <w:szCs w:val="24"/>
        </w:rPr>
        <w:t>Bulletin de l’Institut Français d’Afrique Noire</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46A</w:t>
      </w:r>
      <w:r w:rsidRPr="00533EAC">
        <w:rPr>
          <w:rFonts w:ascii="Arial" w:hAnsi="Arial" w:cs="Arial"/>
          <w:noProof/>
          <w:color w:val="000000" w:themeColor="text1"/>
          <w:sz w:val="20"/>
          <w:szCs w:val="24"/>
        </w:rPr>
        <w:t>(3–4), 385–402.</w:t>
      </w:r>
    </w:p>
    <w:p w14:paraId="0616FFA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Lawton JH, Jones CG. 1995. Linking Species and Ecosystems: Organisms as Ecosystem Engineers. In Jones Clive G. &amp; J. H. and Lawton (Eds.), </w:t>
      </w:r>
      <w:r w:rsidRPr="00533EAC">
        <w:rPr>
          <w:rFonts w:ascii="Arial" w:hAnsi="Arial" w:cs="Arial"/>
          <w:i/>
          <w:iCs/>
          <w:noProof/>
          <w:color w:val="000000" w:themeColor="text1"/>
          <w:sz w:val="20"/>
          <w:szCs w:val="24"/>
        </w:rPr>
        <w:t>Linking Species &amp; Ecosystems</w:t>
      </w:r>
      <w:r w:rsidRPr="00533EAC">
        <w:rPr>
          <w:rFonts w:ascii="Arial" w:hAnsi="Arial" w:cs="Arial"/>
          <w:noProof/>
          <w:color w:val="000000" w:themeColor="text1"/>
          <w:sz w:val="20"/>
          <w:szCs w:val="24"/>
        </w:rPr>
        <w:t xml:space="preserve"> (pp. 141–150). https://doi.org/10.1007/978-1-4615-1773-3_14</w:t>
      </w:r>
    </w:p>
    <w:p w14:paraId="3B5A4D42"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Loo L-O, Rosenberg R. 1996. Production and energy budget in marine suspension feeding populations: </w:t>
      </w:r>
      <w:r w:rsidRPr="00533EAC">
        <w:rPr>
          <w:rFonts w:ascii="Arial" w:hAnsi="Arial" w:cs="Arial"/>
          <w:i/>
          <w:iCs/>
          <w:noProof/>
          <w:color w:val="000000" w:themeColor="text1"/>
          <w:sz w:val="20"/>
          <w:szCs w:val="24"/>
        </w:rPr>
        <w:t>Mytilus edulis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Cerastoderma edule</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Mya arenaria</w:t>
      </w:r>
      <w:r w:rsidRPr="00533EAC">
        <w:rPr>
          <w:rFonts w:ascii="Arial" w:hAnsi="Arial" w:cs="Arial"/>
          <w:noProof/>
          <w:color w:val="000000" w:themeColor="text1"/>
          <w:sz w:val="20"/>
          <w:szCs w:val="24"/>
        </w:rPr>
        <w:t xml:space="preserve"> and </w:t>
      </w:r>
      <w:r w:rsidRPr="00533EAC">
        <w:rPr>
          <w:rFonts w:ascii="Arial" w:hAnsi="Arial" w:cs="Arial"/>
          <w:i/>
          <w:iCs/>
          <w:noProof/>
          <w:color w:val="000000" w:themeColor="text1"/>
          <w:sz w:val="20"/>
          <w:szCs w:val="24"/>
        </w:rPr>
        <w:t>Amphiura filiformis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Journal of Sea Research</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35</w:t>
      </w:r>
      <w:r w:rsidRPr="00533EAC">
        <w:rPr>
          <w:rFonts w:ascii="Arial" w:hAnsi="Arial" w:cs="Arial"/>
          <w:noProof/>
          <w:color w:val="000000" w:themeColor="text1"/>
          <w:sz w:val="20"/>
          <w:szCs w:val="24"/>
        </w:rPr>
        <w:t>(1–3), 199–207. https://doi.org/10.1016/S1385-1101(96)90747-9</w:t>
      </w:r>
    </w:p>
    <w:p w14:paraId="1252C189"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Manríquez PH, Castilla JC, Ortiz V, Jara ME. 2016. Empirical evidence for large-scale human impact on intertidal aggregations, larval supply and recruitment of </w:t>
      </w:r>
      <w:r w:rsidRPr="00533EAC">
        <w:rPr>
          <w:rFonts w:ascii="Arial" w:hAnsi="Arial" w:cs="Arial"/>
          <w:i/>
          <w:iCs/>
          <w:noProof/>
          <w:color w:val="000000" w:themeColor="text1"/>
          <w:sz w:val="20"/>
          <w:szCs w:val="24"/>
        </w:rPr>
        <w:t>Pyura praeputialis</w:t>
      </w:r>
      <w:r w:rsidRPr="00533EAC">
        <w:rPr>
          <w:rFonts w:ascii="Arial" w:hAnsi="Arial" w:cs="Arial"/>
          <w:noProof/>
          <w:color w:val="000000" w:themeColor="text1"/>
          <w:sz w:val="20"/>
          <w:szCs w:val="24"/>
        </w:rPr>
        <w:t xml:space="preserve"> around the Bay of Antofagasta, Chile. </w:t>
      </w:r>
      <w:r w:rsidRPr="00533EAC">
        <w:rPr>
          <w:rFonts w:ascii="Arial" w:hAnsi="Arial" w:cs="Arial"/>
          <w:i/>
          <w:iCs/>
          <w:noProof/>
          <w:color w:val="000000" w:themeColor="text1"/>
          <w:sz w:val="20"/>
          <w:szCs w:val="24"/>
        </w:rPr>
        <w:t>Austral 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41</w:t>
      </w:r>
      <w:r w:rsidRPr="00533EAC">
        <w:rPr>
          <w:rFonts w:ascii="Arial" w:hAnsi="Arial" w:cs="Arial"/>
          <w:noProof/>
          <w:color w:val="000000" w:themeColor="text1"/>
          <w:sz w:val="20"/>
          <w:szCs w:val="24"/>
        </w:rPr>
        <w:t>(6), 701–714. https://doi.org/10.1111/aec.12359</w:t>
      </w:r>
    </w:p>
    <w:p w14:paraId="0BD74F1C"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McQuaid C, Branch G. 1985. Trophic structure of rocky intertidal communities response to wave action and implications for energy flow. </w:t>
      </w:r>
      <w:r w:rsidRPr="00533EAC">
        <w:rPr>
          <w:rFonts w:ascii="Arial" w:hAnsi="Arial" w:cs="Arial"/>
          <w:i/>
          <w:iCs/>
          <w:noProof/>
          <w:color w:val="000000" w:themeColor="text1"/>
          <w:sz w:val="20"/>
          <w:szCs w:val="24"/>
        </w:rPr>
        <w:t>Marine Ecology Progress Series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22</w:t>
      </w:r>
      <w:r w:rsidRPr="00533EAC">
        <w:rPr>
          <w:rFonts w:ascii="Arial" w:hAnsi="Arial" w:cs="Arial"/>
          <w:noProof/>
          <w:color w:val="000000" w:themeColor="text1"/>
          <w:sz w:val="20"/>
          <w:szCs w:val="24"/>
        </w:rPr>
        <w:t>, 153–161. https://doi.org/10.3354/meps022153</w:t>
      </w:r>
    </w:p>
    <w:p w14:paraId="5E028A56"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Meglécz E, Costedoat C, Dubut V, Gilles A, Malausa T, Pech N, Martin JF. 2009. QDD: A user-friendly program to select microsatellite markers and design primers from large sequencing projects. </w:t>
      </w:r>
      <w:r w:rsidRPr="00533EAC">
        <w:rPr>
          <w:rFonts w:ascii="Arial" w:hAnsi="Arial" w:cs="Arial"/>
          <w:i/>
          <w:iCs/>
          <w:noProof/>
          <w:color w:val="000000" w:themeColor="text1"/>
          <w:sz w:val="20"/>
          <w:szCs w:val="24"/>
        </w:rPr>
        <w:lastRenderedPageBreak/>
        <w:t>Bioinformatics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26</w:t>
      </w:r>
      <w:r w:rsidRPr="00533EAC">
        <w:rPr>
          <w:rFonts w:ascii="Arial" w:hAnsi="Arial" w:cs="Arial"/>
          <w:noProof/>
          <w:color w:val="000000" w:themeColor="text1"/>
          <w:sz w:val="20"/>
          <w:szCs w:val="24"/>
        </w:rPr>
        <w:t>(3), 403–404. https://doi.org/10.1093/bioinformatics/btp670</w:t>
      </w:r>
    </w:p>
    <w:p w14:paraId="2281E2AE"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Miller DD, Ota Y, Sumaila UR, Cisneros-Montemayor AM, Cheung WWL. 2018. Adaptation strategies to climate change in marine systems. </w:t>
      </w:r>
      <w:r w:rsidRPr="00533EAC">
        <w:rPr>
          <w:rFonts w:ascii="Arial" w:hAnsi="Arial" w:cs="Arial"/>
          <w:i/>
          <w:iCs/>
          <w:noProof/>
          <w:color w:val="000000" w:themeColor="text1"/>
          <w:sz w:val="20"/>
          <w:szCs w:val="24"/>
        </w:rPr>
        <w:t>Global Change Biology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24</w:t>
      </w:r>
      <w:r w:rsidRPr="00533EAC">
        <w:rPr>
          <w:rFonts w:ascii="Arial" w:hAnsi="Arial" w:cs="Arial"/>
          <w:noProof/>
          <w:color w:val="000000" w:themeColor="text1"/>
          <w:sz w:val="20"/>
          <w:szCs w:val="24"/>
        </w:rPr>
        <w:t>(1), e1–e14. https://doi.org/10.1111/gcb.13829</w:t>
      </w:r>
    </w:p>
    <w:p w14:paraId="6BE1F41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Monniot C, Bitar G. 1983. Sur la presence de Pyura stolonifera (Tunicata, Ascidiacea) a ras achaccar (cot Nord Atlantique Marocaine). Comparaison anatomique distinctive avec Pyura praeputialis. </w:t>
      </w:r>
      <w:r w:rsidRPr="00533EAC">
        <w:rPr>
          <w:rFonts w:ascii="Arial" w:hAnsi="Arial" w:cs="Arial"/>
          <w:i/>
          <w:iCs/>
          <w:noProof/>
          <w:color w:val="000000" w:themeColor="text1"/>
          <w:sz w:val="20"/>
          <w:szCs w:val="24"/>
        </w:rPr>
        <w:t>Bulletin de l’Institut Scientifique,</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7</w:t>
      </w:r>
      <w:r w:rsidRPr="00533EAC">
        <w:rPr>
          <w:rFonts w:ascii="Arial" w:hAnsi="Arial" w:cs="Arial"/>
          <w:noProof/>
          <w:color w:val="000000" w:themeColor="text1"/>
          <w:sz w:val="20"/>
          <w:szCs w:val="24"/>
        </w:rPr>
        <w:t>(Rabat), 83–91. https://doi.org/10.1007/s13398-014-0173-7.2</w:t>
      </w:r>
    </w:p>
    <w:p w14:paraId="565E101D"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Monteiro SM, Chapman MG, Underwood AJ. 2002. Patches of the ascidian Pyura stolonifera (Heller, 1878): Structure of habitat and associated intertidal assemblages. </w:t>
      </w:r>
      <w:r w:rsidRPr="00533EAC">
        <w:rPr>
          <w:rFonts w:ascii="Arial" w:hAnsi="Arial" w:cs="Arial"/>
          <w:i/>
          <w:iCs/>
          <w:noProof/>
          <w:color w:val="000000" w:themeColor="text1"/>
          <w:sz w:val="20"/>
          <w:szCs w:val="24"/>
        </w:rPr>
        <w:t>Journal of Experimental Marine Biology and 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270</w:t>
      </w:r>
      <w:r w:rsidRPr="00533EAC">
        <w:rPr>
          <w:rFonts w:ascii="Arial" w:hAnsi="Arial" w:cs="Arial"/>
          <w:noProof/>
          <w:color w:val="000000" w:themeColor="text1"/>
          <w:sz w:val="20"/>
          <w:szCs w:val="24"/>
        </w:rPr>
        <w:t>(2), 171–189. https://doi.org/10.1016/S0022-0981(02)00020-5</w:t>
      </w:r>
    </w:p>
    <w:p w14:paraId="719D08D1"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Peakall R, Smouse PE. 2012. GenALEx 6.5: Genetic analysis in Excel. Population genetic software for teaching and research-an update. </w:t>
      </w:r>
      <w:r w:rsidRPr="00533EAC">
        <w:rPr>
          <w:rFonts w:ascii="Arial" w:hAnsi="Arial" w:cs="Arial"/>
          <w:i/>
          <w:iCs/>
          <w:noProof/>
          <w:color w:val="000000" w:themeColor="text1"/>
          <w:sz w:val="20"/>
          <w:szCs w:val="24"/>
        </w:rPr>
        <w:t>Bioinformatics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28</w:t>
      </w:r>
      <w:r w:rsidRPr="00533EAC">
        <w:rPr>
          <w:rFonts w:ascii="Arial" w:hAnsi="Arial" w:cs="Arial"/>
          <w:noProof/>
          <w:color w:val="000000" w:themeColor="text1"/>
          <w:sz w:val="20"/>
          <w:szCs w:val="24"/>
        </w:rPr>
        <w:t>(19), 2537–2539. https://doi.org/10.1093/bioinformatics/bts460</w:t>
      </w:r>
    </w:p>
    <w:p w14:paraId="3068236D"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Pirog A, Ravigné V, Fontaine MC, Rieux A, Gilabert A, Cliff G, Clua E, Daly R, Heithaus MR, Kiszka JJ, Matich P, Nevill JEG, Smoothey AF, Temple AJ, Berggren P, Jaquemet S, Magalon H. 2019. Population structure, connectivity, and demographic history of an apex marine predator, the bull shark Carcharhinus leucas. </w:t>
      </w:r>
      <w:r w:rsidRPr="00533EAC">
        <w:rPr>
          <w:rFonts w:ascii="Arial" w:hAnsi="Arial" w:cs="Arial"/>
          <w:i/>
          <w:iCs/>
          <w:noProof/>
          <w:color w:val="000000" w:themeColor="text1"/>
          <w:sz w:val="20"/>
          <w:szCs w:val="24"/>
        </w:rPr>
        <w:t>Ecology and 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9</w:t>
      </w:r>
      <w:r w:rsidRPr="00533EAC">
        <w:rPr>
          <w:rFonts w:ascii="Arial" w:hAnsi="Arial" w:cs="Arial"/>
          <w:noProof/>
          <w:color w:val="000000" w:themeColor="text1"/>
          <w:sz w:val="20"/>
          <w:szCs w:val="24"/>
        </w:rPr>
        <w:t>(23), 12980–13000. https://doi.org/10.1002/ece3.5597</w:t>
      </w:r>
    </w:p>
    <w:p w14:paraId="2623DCD9"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Pope LC, Sharp A, Moritz C. 1996. Population structure of the yellow-footed rock-wallaby </w:t>
      </w:r>
      <w:r w:rsidRPr="00533EAC">
        <w:rPr>
          <w:rFonts w:ascii="Arial" w:hAnsi="Arial" w:cs="Arial"/>
          <w:i/>
          <w:iCs/>
          <w:noProof/>
          <w:color w:val="000000" w:themeColor="text1"/>
          <w:sz w:val="20"/>
          <w:szCs w:val="24"/>
        </w:rPr>
        <w:t>Petrogale xanthopus</w:t>
      </w:r>
      <w:r w:rsidRPr="00533EAC">
        <w:rPr>
          <w:rFonts w:ascii="Arial" w:hAnsi="Arial" w:cs="Arial"/>
          <w:noProof/>
          <w:color w:val="000000" w:themeColor="text1"/>
          <w:sz w:val="20"/>
          <w:szCs w:val="24"/>
        </w:rPr>
        <w:t xml:space="preserve"> (Gray, 1854) inferred from mtDNA sequences and microsatellite loci. </w:t>
      </w:r>
      <w:r w:rsidRPr="00533EAC">
        <w:rPr>
          <w:rFonts w:ascii="Arial" w:hAnsi="Arial" w:cs="Arial"/>
          <w:i/>
          <w:iCs/>
          <w:noProof/>
          <w:color w:val="000000" w:themeColor="text1"/>
          <w:sz w:val="20"/>
          <w:szCs w:val="24"/>
        </w:rPr>
        <w:t>Molecular 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5</w:t>
      </w:r>
      <w:r w:rsidRPr="00533EAC">
        <w:rPr>
          <w:rFonts w:ascii="Arial" w:hAnsi="Arial" w:cs="Arial"/>
          <w:noProof/>
          <w:color w:val="000000" w:themeColor="text1"/>
          <w:sz w:val="20"/>
          <w:szCs w:val="24"/>
        </w:rPr>
        <w:t>(5), 629–640. https://doi.org/10.1111/j.1365-294X.1996.tb00358.x</w:t>
      </w:r>
    </w:p>
    <w:p w14:paraId="48DC38EA"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Popova E, Yool A, Byfield V, Cochrane K, Coward AC, Salim SS, Gasalla MA, Henson SA, Hobday AJ, Pecl GT, Sauer WH, Roberts MJ. 2016. From global to regional and back again: Common climate stressors of marine ecosystems relevant for adaptation across five ocean warming hotspots. </w:t>
      </w:r>
      <w:r w:rsidRPr="00533EAC">
        <w:rPr>
          <w:rFonts w:ascii="Arial" w:hAnsi="Arial" w:cs="Arial"/>
          <w:i/>
          <w:iCs/>
          <w:noProof/>
          <w:color w:val="000000" w:themeColor="text1"/>
          <w:sz w:val="20"/>
          <w:szCs w:val="24"/>
        </w:rPr>
        <w:t>Global Change Biology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22</w:t>
      </w:r>
      <w:r w:rsidRPr="00533EAC">
        <w:rPr>
          <w:rFonts w:ascii="Arial" w:hAnsi="Arial" w:cs="Arial"/>
          <w:noProof/>
          <w:color w:val="000000" w:themeColor="text1"/>
          <w:sz w:val="20"/>
          <w:szCs w:val="24"/>
        </w:rPr>
        <w:t>(6), 2038–2053. https://doi.org/10.1111/gcb.13247</w:t>
      </w:r>
    </w:p>
    <w:p w14:paraId="438038CE"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Rambaut A, Drummond AJ. 2019. </w:t>
      </w:r>
      <w:r w:rsidRPr="00533EAC">
        <w:rPr>
          <w:rFonts w:ascii="Arial" w:hAnsi="Arial" w:cs="Arial"/>
          <w:i/>
          <w:iCs/>
          <w:noProof/>
          <w:color w:val="000000" w:themeColor="text1"/>
          <w:sz w:val="20"/>
          <w:szCs w:val="24"/>
        </w:rPr>
        <w:t>FigTree v1. 4.3. 2016</w:t>
      </w:r>
      <w:r w:rsidRPr="00533EAC">
        <w:rPr>
          <w:rFonts w:ascii="Arial" w:hAnsi="Arial" w:cs="Arial"/>
          <w:noProof/>
          <w:color w:val="000000" w:themeColor="text1"/>
          <w:sz w:val="20"/>
          <w:szCs w:val="24"/>
        </w:rPr>
        <w:t>.</w:t>
      </w:r>
    </w:p>
    <w:p w14:paraId="291021D6"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Rice WR. 2006. Analyzing Tables of Statistical Tests. </w:t>
      </w:r>
      <w:r w:rsidRPr="00533EAC">
        <w:rPr>
          <w:rFonts w:ascii="Arial" w:hAnsi="Arial" w:cs="Arial"/>
          <w:i/>
          <w:iCs/>
          <w:noProof/>
          <w:color w:val="000000" w:themeColor="text1"/>
          <w:sz w:val="20"/>
          <w:szCs w:val="24"/>
        </w:rPr>
        <w:t>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43</w:t>
      </w:r>
      <w:r w:rsidRPr="00533EAC">
        <w:rPr>
          <w:rFonts w:ascii="Arial" w:hAnsi="Arial" w:cs="Arial"/>
          <w:noProof/>
          <w:color w:val="000000" w:themeColor="text1"/>
          <w:sz w:val="20"/>
          <w:szCs w:val="24"/>
        </w:rPr>
        <w:t>(1), 223. https://doi.org/10.2307/2409177</w:t>
      </w:r>
    </w:p>
    <w:p w14:paraId="6AEED0E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Rius M, Teske PR. 2011. A revision of the </w:t>
      </w:r>
      <w:r w:rsidRPr="00533EAC">
        <w:rPr>
          <w:rFonts w:ascii="Arial" w:hAnsi="Arial" w:cs="Arial"/>
          <w:i/>
          <w:iCs/>
          <w:noProof/>
          <w:color w:val="000000" w:themeColor="text1"/>
          <w:sz w:val="20"/>
          <w:szCs w:val="24"/>
        </w:rPr>
        <w:t>Pyura stolonifera</w:t>
      </w:r>
      <w:r w:rsidRPr="00533EAC">
        <w:rPr>
          <w:rFonts w:ascii="Arial" w:hAnsi="Arial" w:cs="Arial"/>
          <w:noProof/>
          <w:color w:val="000000" w:themeColor="text1"/>
          <w:sz w:val="20"/>
          <w:szCs w:val="24"/>
        </w:rPr>
        <w:t xml:space="preserve"> species complex (Tunicata, Ascidiacea), with a description of a new species from Australia. </w:t>
      </w:r>
      <w:r w:rsidRPr="00533EAC">
        <w:rPr>
          <w:rFonts w:ascii="Arial" w:hAnsi="Arial" w:cs="Arial"/>
          <w:i/>
          <w:iCs/>
          <w:noProof/>
          <w:color w:val="000000" w:themeColor="text1"/>
          <w:sz w:val="20"/>
          <w:szCs w:val="24"/>
        </w:rPr>
        <w:t>Zootaxa</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2754</w:t>
      </w:r>
      <w:r w:rsidRPr="00533EAC">
        <w:rPr>
          <w:rFonts w:ascii="Arial" w:hAnsi="Arial" w:cs="Arial"/>
          <w:noProof/>
          <w:color w:val="000000" w:themeColor="text1"/>
          <w:sz w:val="20"/>
          <w:szCs w:val="24"/>
        </w:rPr>
        <w:t>(2754), 27–40.</w:t>
      </w:r>
    </w:p>
    <w:p w14:paraId="66D116AA"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Rius M, Teske PR. 2013. Cryptic diversity in coastal Australasia: a morphological and mitonuclear genetic analysis of habitat-forming sibling species. </w:t>
      </w:r>
      <w:r w:rsidRPr="00533EAC">
        <w:rPr>
          <w:rFonts w:ascii="Arial" w:hAnsi="Arial" w:cs="Arial"/>
          <w:i/>
          <w:iCs/>
          <w:noProof/>
          <w:color w:val="000000" w:themeColor="text1"/>
          <w:sz w:val="20"/>
          <w:szCs w:val="24"/>
        </w:rPr>
        <w:t>Zoological Journal of the Linnean Society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168</w:t>
      </w:r>
      <w:r w:rsidRPr="00533EAC">
        <w:rPr>
          <w:rFonts w:ascii="Arial" w:hAnsi="Arial" w:cs="Arial"/>
          <w:noProof/>
          <w:color w:val="000000" w:themeColor="text1"/>
          <w:sz w:val="20"/>
          <w:szCs w:val="24"/>
        </w:rPr>
        <w:t>(3), 597–611. https://doi.org/10.1111/zoj.12036</w:t>
      </w:r>
    </w:p>
    <w:p w14:paraId="7E5F758F"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Rius M, Teske PR, Manríquez PH, Suárez-Jiménez R, McQuaid CD, Castilla JC. 2017. Ecological dominance along rocky shores, with a focus on intertidal ascidians. In </w:t>
      </w:r>
      <w:r w:rsidRPr="00533EAC">
        <w:rPr>
          <w:rFonts w:ascii="Arial" w:hAnsi="Arial" w:cs="Arial"/>
          <w:i/>
          <w:iCs/>
          <w:noProof/>
          <w:color w:val="000000" w:themeColor="text1"/>
          <w:sz w:val="20"/>
          <w:szCs w:val="24"/>
        </w:rPr>
        <w:t>Oceanography and Marine Biology: An Annual Review</w:t>
      </w:r>
      <w:r w:rsidRPr="00533EAC">
        <w:rPr>
          <w:rFonts w:ascii="Arial" w:hAnsi="Arial" w:cs="Arial"/>
          <w:noProof/>
          <w:color w:val="000000" w:themeColor="text1"/>
          <w:sz w:val="20"/>
          <w:szCs w:val="24"/>
        </w:rPr>
        <w:t>. https://doi.org/10.1201/b21944</w:t>
      </w:r>
    </w:p>
    <w:p w14:paraId="2F2DEE2E"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Rousset F. 2008. GENEPOP’007: A complete re-implementation of the GENEPOP software for Windows and Linux. </w:t>
      </w:r>
      <w:r w:rsidRPr="00533EAC">
        <w:rPr>
          <w:rFonts w:ascii="Arial" w:hAnsi="Arial" w:cs="Arial"/>
          <w:i/>
          <w:iCs/>
          <w:noProof/>
          <w:color w:val="000000" w:themeColor="text1"/>
          <w:sz w:val="20"/>
          <w:szCs w:val="24"/>
        </w:rPr>
        <w:t>Molecular Ecology Resources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8</w:t>
      </w:r>
      <w:r w:rsidRPr="00533EAC">
        <w:rPr>
          <w:rFonts w:ascii="Arial" w:hAnsi="Arial" w:cs="Arial"/>
          <w:noProof/>
          <w:color w:val="000000" w:themeColor="text1"/>
          <w:sz w:val="20"/>
          <w:szCs w:val="24"/>
        </w:rPr>
        <w:t>(1), 103–106. https://doi.org/10.1111/j.1471-8286.2007.01931.x</w:t>
      </w:r>
    </w:p>
    <w:p w14:paraId="10171EAD"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Rubinstein ND, Feldstein T, Shenkar N, Botero-Castro F, Griggio F, Mastrototaro F, Delsuc F, Douzery EJP, Gissi C, Huchon D. 2013. Deep sequencing of mixed total DNA without barcodes </w:t>
      </w:r>
      <w:r w:rsidRPr="00533EAC">
        <w:rPr>
          <w:rFonts w:ascii="Arial" w:hAnsi="Arial" w:cs="Arial"/>
          <w:noProof/>
          <w:color w:val="000000" w:themeColor="text1"/>
          <w:sz w:val="20"/>
          <w:szCs w:val="24"/>
        </w:rPr>
        <w:lastRenderedPageBreak/>
        <w:t xml:space="preserve">allows efficient assembly of highly plastic Ascidian mitochondrial genomes. </w:t>
      </w:r>
      <w:r w:rsidRPr="00533EAC">
        <w:rPr>
          <w:rFonts w:ascii="Arial" w:hAnsi="Arial" w:cs="Arial"/>
          <w:i/>
          <w:iCs/>
          <w:noProof/>
          <w:color w:val="000000" w:themeColor="text1"/>
          <w:sz w:val="20"/>
          <w:szCs w:val="24"/>
        </w:rPr>
        <w:t>Genome Biology and 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5</w:t>
      </w:r>
      <w:r w:rsidRPr="00533EAC">
        <w:rPr>
          <w:rFonts w:ascii="Arial" w:hAnsi="Arial" w:cs="Arial"/>
          <w:noProof/>
          <w:color w:val="000000" w:themeColor="text1"/>
          <w:sz w:val="20"/>
          <w:szCs w:val="24"/>
        </w:rPr>
        <w:t>(6), 1185–1199. https://doi.org/10.1093/gbe/evt081</w:t>
      </w:r>
    </w:p>
    <w:p w14:paraId="62007CA8"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Schuelke M. 2000. An economic method for the fluorescent labeling of PCR fragments - A poor man’ s approach to genotyping for research and high-throughput diagnostics. </w:t>
      </w:r>
      <w:r w:rsidRPr="00533EAC">
        <w:rPr>
          <w:rFonts w:ascii="Arial" w:hAnsi="Arial" w:cs="Arial"/>
          <w:i/>
          <w:iCs/>
          <w:noProof/>
          <w:color w:val="000000" w:themeColor="text1"/>
          <w:sz w:val="20"/>
          <w:szCs w:val="24"/>
        </w:rPr>
        <w:t>Nature Biotechnology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18</w:t>
      </w:r>
      <w:r w:rsidRPr="00533EAC">
        <w:rPr>
          <w:rFonts w:ascii="Arial" w:hAnsi="Arial" w:cs="Arial"/>
          <w:noProof/>
          <w:color w:val="000000" w:themeColor="text1"/>
          <w:sz w:val="20"/>
          <w:szCs w:val="24"/>
        </w:rPr>
        <w:t>(18), 233–234. Retrieved from http://dx.doi.org/10.1038/72708</w:t>
      </w:r>
    </w:p>
    <w:p w14:paraId="47BB2082"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Shafer ABA, Peart CR, Tusso S, Maayan I, Brelsford A, Wheat CW, Wolf JBW. 2017. Bioinformatic processing of RAD-seq data dramatically impacts downstream population genetic inference. </w:t>
      </w:r>
      <w:r w:rsidRPr="00533EAC">
        <w:rPr>
          <w:rFonts w:ascii="Arial" w:hAnsi="Arial" w:cs="Arial"/>
          <w:i/>
          <w:iCs/>
          <w:noProof/>
          <w:color w:val="000000" w:themeColor="text1"/>
          <w:sz w:val="20"/>
          <w:szCs w:val="24"/>
        </w:rPr>
        <w:t>Methods in Ecology and Evolution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8</w:t>
      </w:r>
      <w:r w:rsidRPr="00533EAC">
        <w:rPr>
          <w:rFonts w:ascii="Arial" w:hAnsi="Arial" w:cs="Arial"/>
          <w:noProof/>
          <w:color w:val="000000" w:themeColor="text1"/>
          <w:sz w:val="20"/>
          <w:szCs w:val="24"/>
        </w:rPr>
        <w:t>(8), 907–917. https://doi.org/10.1111/2041-210X.12700</w:t>
      </w:r>
    </w:p>
    <w:p w14:paraId="70DAEF25"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Shenkar N, Swalla BJ. 2011. Global diversity of Ascidiacea. </w:t>
      </w:r>
      <w:r w:rsidRPr="00533EAC">
        <w:rPr>
          <w:rFonts w:ascii="Arial" w:hAnsi="Arial" w:cs="Arial"/>
          <w:i/>
          <w:iCs/>
          <w:noProof/>
          <w:color w:val="000000" w:themeColor="text1"/>
          <w:sz w:val="20"/>
          <w:szCs w:val="24"/>
        </w:rPr>
        <w:t>PLoS ONE</w:t>
      </w:r>
      <w:r w:rsidRPr="00533EAC">
        <w:rPr>
          <w:rFonts w:ascii="Arial" w:hAnsi="Arial" w:cs="Arial"/>
          <w:noProof/>
          <w:color w:val="000000" w:themeColor="text1"/>
          <w:sz w:val="20"/>
          <w:szCs w:val="24"/>
        </w:rPr>
        <w:t>, 2011/06/20, Vol. 6, pp. e20657–e20657. https://doi.org/10.1371/journal.pone.0020657</w:t>
      </w:r>
    </w:p>
    <w:p w14:paraId="1A154911"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Stobie CS, Cunningham MJ, Oosthuizen CJ, Bloomer P. 2019. Finding stories in noise: Mitochondrial portraits from RAD data. </w:t>
      </w:r>
      <w:r w:rsidRPr="00533EAC">
        <w:rPr>
          <w:rFonts w:ascii="Arial" w:hAnsi="Arial" w:cs="Arial"/>
          <w:i/>
          <w:iCs/>
          <w:noProof/>
          <w:color w:val="000000" w:themeColor="text1"/>
          <w:sz w:val="20"/>
          <w:szCs w:val="24"/>
        </w:rPr>
        <w:t>Molecular Ecology Resources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19</w:t>
      </w:r>
      <w:r w:rsidRPr="00533EAC">
        <w:rPr>
          <w:rFonts w:ascii="Arial" w:hAnsi="Arial" w:cs="Arial"/>
          <w:noProof/>
          <w:color w:val="000000" w:themeColor="text1"/>
          <w:sz w:val="20"/>
          <w:szCs w:val="24"/>
        </w:rPr>
        <w:t>(1), 191–205. https://doi.org/10.1111/1755-0998.12953</w:t>
      </w:r>
    </w:p>
    <w:p w14:paraId="3DA0D6EF"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Tavares AI, Nicastro KR, Kolzenburg R, Ragazzola F, Jacinto R, Zardi GI. 2018. Isolation and characterization of nine microsatellite markers for the red alga </w:t>
      </w:r>
      <w:r w:rsidRPr="00533EAC">
        <w:rPr>
          <w:rFonts w:ascii="Arial" w:hAnsi="Arial" w:cs="Arial"/>
          <w:i/>
          <w:iCs/>
          <w:noProof/>
          <w:color w:val="000000" w:themeColor="text1"/>
          <w:sz w:val="20"/>
          <w:szCs w:val="24"/>
        </w:rPr>
        <w:t>Corallina officinalis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Molecular Biology Reports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45</w:t>
      </w:r>
      <w:r w:rsidRPr="00533EAC">
        <w:rPr>
          <w:rFonts w:ascii="Arial" w:hAnsi="Arial" w:cs="Arial"/>
          <w:noProof/>
          <w:color w:val="000000" w:themeColor="text1"/>
          <w:sz w:val="20"/>
          <w:szCs w:val="24"/>
        </w:rPr>
        <w:t>(6), 2791–2794. https://doi.org/10.1007/s11033-018-4353-y</w:t>
      </w:r>
    </w:p>
    <w:p w14:paraId="5E626CC8"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Terraneo TI, Arrigoni R, Benzoni F, Forsman ZH, Berumen ML. 2018. Using ezRAD to reconstruct the complete mitochondrial genome of </w:t>
      </w:r>
      <w:r w:rsidRPr="00533EAC">
        <w:rPr>
          <w:rFonts w:ascii="Arial" w:hAnsi="Arial" w:cs="Arial"/>
          <w:i/>
          <w:iCs/>
          <w:noProof/>
          <w:color w:val="000000" w:themeColor="text1"/>
          <w:sz w:val="20"/>
          <w:szCs w:val="24"/>
        </w:rPr>
        <w:t>Porites fontanesii</w:t>
      </w:r>
      <w:r w:rsidRPr="00533EAC">
        <w:rPr>
          <w:rFonts w:ascii="Arial" w:hAnsi="Arial" w:cs="Arial"/>
          <w:noProof/>
          <w:color w:val="000000" w:themeColor="text1"/>
          <w:sz w:val="20"/>
          <w:szCs w:val="24"/>
        </w:rPr>
        <w:t xml:space="preserve"> (Cnidaria: Scleractinia). </w:t>
      </w:r>
      <w:r w:rsidRPr="00533EAC">
        <w:rPr>
          <w:rFonts w:ascii="Arial" w:hAnsi="Arial" w:cs="Arial"/>
          <w:i/>
          <w:iCs/>
          <w:noProof/>
          <w:color w:val="000000" w:themeColor="text1"/>
          <w:sz w:val="20"/>
          <w:szCs w:val="24"/>
        </w:rPr>
        <w:t>Mitochondrial DNA Part B: Resources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3</w:t>
      </w:r>
      <w:r w:rsidRPr="00533EAC">
        <w:rPr>
          <w:rFonts w:ascii="Arial" w:hAnsi="Arial" w:cs="Arial"/>
          <w:noProof/>
          <w:color w:val="000000" w:themeColor="text1"/>
          <w:sz w:val="20"/>
          <w:szCs w:val="24"/>
        </w:rPr>
        <w:t>(1), 173–174. https://doi.org/10.1080/23802359.2018.1437805</w:t>
      </w:r>
    </w:p>
    <w:p w14:paraId="00F42C52"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Teske PR, Beheregaray LB. 2009. Intron-spanning primers for the amplification of the nuclear ANT gene in decapod crustaceans. </w:t>
      </w:r>
      <w:r w:rsidRPr="00533EAC">
        <w:rPr>
          <w:rFonts w:ascii="Arial" w:hAnsi="Arial" w:cs="Arial"/>
          <w:i/>
          <w:iCs/>
          <w:noProof/>
          <w:color w:val="000000" w:themeColor="text1"/>
          <w:sz w:val="20"/>
          <w:szCs w:val="24"/>
        </w:rPr>
        <w:t>Molecular Ecology Resources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9</w:t>
      </w:r>
      <w:r w:rsidRPr="00533EAC">
        <w:rPr>
          <w:rFonts w:ascii="Arial" w:hAnsi="Arial" w:cs="Arial"/>
          <w:noProof/>
          <w:color w:val="000000" w:themeColor="text1"/>
          <w:sz w:val="20"/>
          <w:szCs w:val="24"/>
        </w:rPr>
        <w:t>(3), 774–776. https://doi.org/10.1111/j.1755-0998.2009.02534.x</w:t>
      </w:r>
    </w:p>
    <w:p w14:paraId="3254FC57"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Teske PR, Rius M, McQuaid CD, Styan CA, Piggott MP, Benhissoune S, Fuentes-Grünewald C, Walls K, Page M, Attard CRM, Cooke GM, McClusky CF, Banks SC, Barker NP, Beheregaray LB. 2011. “Nested” cryptic diversity in a widespread marine ecosystem engineer: a challenge for detecting biological invasions. </w:t>
      </w:r>
      <w:r w:rsidRPr="00533EAC">
        <w:rPr>
          <w:rFonts w:ascii="Arial" w:hAnsi="Arial" w:cs="Arial"/>
          <w:i/>
          <w:iCs/>
          <w:noProof/>
          <w:color w:val="000000" w:themeColor="text1"/>
          <w:sz w:val="20"/>
          <w:szCs w:val="24"/>
        </w:rPr>
        <w:t>BMC Evolutionary Biology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11</w:t>
      </w:r>
      <w:r w:rsidRPr="00533EAC">
        <w:rPr>
          <w:rFonts w:ascii="Arial" w:hAnsi="Arial" w:cs="Arial"/>
          <w:noProof/>
          <w:color w:val="000000" w:themeColor="text1"/>
          <w:sz w:val="20"/>
          <w:szCs w:val="24"/>
        </w:rPr>
        <w:t>(1), 176. https://doi.org/10.1186/1471-2148-11-176</w:t>
      </w:r>
    </w:p>
    <w:p w14:paraId="0161521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Thompson JD, Gibson TJ, Higgins DG. 2003. Multiple Sequence Alignment Using ClustalW and ClustalX. </w:t>
      </w:r>
      <w:r w:rsidRPr="00533EAC">
        <w:rPr>
          <w:rFonts w:ascii="Arial" w:hAnsi="Arial" w:cs="Arial"/>
          <w:i/>
          <w:iCs/>
          <w:noProof/>
          <w:color w:val="000000" w:themeColor="text1"/>
          <w:sz w:val="20"/>
          <w:szCs w:val="24"/>
        </w:rPr>
        <w:t>Current Protocols in Bioinformatics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00</w:t>
      </w:r>
      <w:r w:rsidRPr="00533EAC">
        <w:rPr>
          <w:rFonts w:ascii="Arial" w:hAnsi="Arial" w:cs="Arial"/>
          <w:noProof/>
          <w:color w:val="000000" w:themeColor="text1"/>
          <w:sz w:val="20"/>
          <w:szCs w:val="24"/>
        </w:rPr>
        <w:t>(1), 2.3.1-2.3.22. https://doi.org/10.1002/0471250953.bi0203s00</w:t>
      </w:r>
    </w:p>
    <w:p w14:paraId="0D967849"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Toonen RJ, Puritz JB, Forsman ZH, Whitney JL, Fernandez-Silva I, Andrews KR, Bird CE. 2013. ezRAD: A simplified method for genomic genotyping in non-model organisms. </w:t>
      </w:r>
      <w:r w:rsidRPr="00533EAC">
        <w:rPr>
          <w:rFonts w:ascii="Arial" w:hAnsi="Arial" w:cs="Arial"/>
          <w:i/>
          <w:iCs/>
          <w:noProof/>
          <w:color w:val="000000" w:themeColor="text1"/>
          <w:sz w:val="20"/>
          <w:szCs w:val="24"/>
        </w:rPr>
        <w:t>PeerJ</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2013</w:t>
      </w:r>
      <w:r w:rsidRPr="00533EAC">
        <w:rPr>
          <w:rFonts w:ascii="Arial" w:hAnsi="Arial" w:cs="Arial"/>
          <w:noProof/>
          <w:color w:val="000000" w:themeColor="text1"/>
          <w:sz w:val="20"/>
          <w:szCs w:val="24"/>
        </w:rPr>
        <w:t>(1). https://doi.org/10.7717/peerj.203</w:t>
      </w:r>
    </w:p>
    <w:p w14:paraId="60914E6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Turpie JK, Beckley LE, Katua SM. 2000. Biogeography and the selection of priority areas for conservation of South African coastal fishes. </w:t>
      </w:r>
      <w:r w:rsidRPr="00533EAC">
        <w:rPr>
          <w:rFonts w:ascii="Arial" w:hAnsi="Arial" w:cs="Arial"/>
          <w:i/>
          <w:iCs/>
          <w:noProof/>
          <w:color w:val="000000" w:themeColor="text1"/>
          <w:sz w:val="20"/>
          <w:szCs w:val="24"/>
        </w:rPr>
        <w:t>Biological Conservation</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92</w:t>
      </w:r>
      <w:r w:rsidRPr="00533EAC">
        <w:rPr>
          <w:rFonts w:ascii="Arial" w:hAnsi="Arial" w:cs="Arial"/>
          <w:noProof/>
          <w:color w:val="000000" w:themeColor="text1"/>
          <w:sz w:val="20"/>
          <w:szCs w:val="24"/>
        </w:rPr>
        <w:t>(1), 59–72. https://doi.org/10.1016/S0006-3207(99)00063-4</w:t>
      </w:r>
    </w:p>
    <w:p w14:paraId="41793310"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Van Oosterhout C, Hutchinson WF, Wills DPM, Shipley P. 2004. MICRO-CHECKER: Software for identifying and correcting genotyping errors in microsatellite data. </w:t>
      </w:r>
      <w:r w:rsidRPr="00533EAC">
        <w:rPr>
          <w:rFonts w:ascii="Arial" w:hAnsi="Arial" w:cs="Arial"/>
          <w:i/>
          <w:iCs/>
          <w:noProof/>
          <w:color w:val="000000" w:themeColor="text1"/>
          <w:sz w:val="20"/>
          <w:szCs w:val="24"/>
        </w:rPr>
        <w:t>Molecular Ecology Notes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4</w:t>
      </w:r>
      <w:r w:rsidRPr="00533EAC">
        <w:rPr>
          <w:rFonts w:ascii="Arial" w:hAnsi="Arial" w:cs="Arial"/>
          <w:noProof/>
          <w:color w:val="000000" w:themeColor="text1"/>
          <w:sz w:val="20"/>
          <w:szCs w:val="24"/>
        </w:rPr>
        <w:t>(3), 535–538. https://doi.org/10.1111/j.1471-8286.2004.00684.x</w:t>
      </w:r>
    </w:p>
    <w:p w14:paraId="61A8B365"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Vieira MLC, Santini L, Diniz AL, Munhoz C de F. 2016, July 1. Microsatellite markers: What they mean and why they are so useful. </w:t>
      </w:r>
      <w:r w:rsidRPr="00533EAC">
        <w:rPr>
          <w:rFonts w:ascii="Arial" w:hAnsi="Arial" w:cs="Arial"/>
          <w:i/>
          <w:iCs/>
          <w:noProof/>
          <w:color w:val="000000" w:themeColor="text1"/>
          <w:sz w:val="20"/>
          <w:szCs w:val="24"/>
        </w:rPr>
        <w:t>Genetics and Molecular Biology</w:t>
      </w:r>
      <w:r w:rsidRPr="00533EAC">
        <w:rPr>
          <w:rFonts w:ascii="Arial" w:hAnsi="Arial" w:cs="Arial"/>
          <w:noProof/>
          <w:color w:val="000000" w:themeColor="text1"/>
          <w:sz w:val="20"/>
          <w:szCs w:val="24"/>
        </w:rPr>
        <w:t xml:space="preserve">, Vol. 39, pp. 312–328. </w:t>
      </w:r>
      <w:r w:rsidRPr="00533EAC">
        <w:rPr>
          <w:rFonts w:ascii="Arial" w:hAnsi="Arial" w:cs="Arial"/>
          <w:noProof/>
          <w:color w:val="000000" w:themeColor="text1"/>
          <w:sz w:val="20"/>
          <w:szCs w:val="24"/>
        </w:rPr>
        <w:lastRenderedPageBreak/>
        <w:t>https://doi.org/10.1590/1678-4685-GMB-2016-0027</w:t>
      </w:r>
    </w:p>
    <w:p w14:paraId="1FF70794"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Weber JL, Wong C. 1993. Mutation of human short tandem repeats. </w:t>
      </w:r>
      <w:r w:rsidRPr="00533EAC">
        <w:rPr>
          <w:rFonts w:ascii="Arial" w:hAnsi="Arial" w:cs="Arial"/>
          <w:i/>
          <w:iCs/>
          <w:noProof/>
          <w:color w:val="000000" w:themeColor="text1"/>
          <w:sz w:val="20"/>
          <w:szCs w:val="24"/>
        </w:rPr>
        <w:t>Human Molecular Genetics</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2</w:t>
      </w:r>
      <w:r w:rsidRPr="00533EAC">
        <w:rPr>
          <w:rFonts w:ascii="Arial" w:hAnsi="Arial" w:cs="Arial"/>
          <w:noProof/>
          <w:color w:val="000000" w:themeColor="text1"/>
          <w:sz w:val="20"/>
          <w:szCs w:val="24"/>
        </w:rPr>
        <w:t>(8), 1123–1128. https://doi.org/10.1093/hmg/2.8.1123</w:t>
      </w:r>
    </w:p>
    <w:p w14:paraId="62EA8318"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szCs w:val="24"/>
        </w:rPr>
      </w:pPr>
      <w:r w:rsidRPr="00533EAC">
        <w:rPr>
          <w:rFonts w:ascii="Arial" w:hAnsi="Arial" w:cs="Arial"/>
          <w:noProof/>
          <w:color w:val="000000" w:themeColor="text1"/>
          <w:sz w:val="20"/>
          <w:szCs w:val="24"/>
        </w:rPr>
        <w:t xml:space="preserve">Zane L, Bargelloni L, Patarnello T. 2002. Strategies for microsatellite isolation: a review. </w:t>
      </w:r>
      <w:r w:rsidRPr="00533EAC">
        <w:rPr>
          <w:rFonts w:ascii="Arial" w:hAnsi="Arial" w:cs="Arial"/>
          <w:i/>
          <w:iCs/>
          <w:noProof/>
          <w:color w:val="000000" w:themeColor="text1"/>
          <w:sz w:val="20"/>
          <w:szCs w:val="24"/>
        </w:rPr>
        <w:t>Molecular Ecology</w:t>
      </w:r>
      <w:r w:rsidRPr="00533EAC">
        <w:rPr>
          <w:rFonts w:ascii="Arial" w:hAnsi="Arial" w:cs="Arial"/>
          <w:noProof/>
          <w:color w:val="000000" w:themeColor="text1"/>
          <w:sz w:val="20"/>
          <w:szCs w:val="24"/>
        </w:rPr>
        <w:t xml:space="preserve">, </w:t>
      </w:r>
      <w:r w:rsidRPr="00533EAC">
        <w:rPr>
          <w:rFonts w:ascii="Arial" w:hAnsi="Arial" w:cs="Arial"/>
          <w:i/>
          <w:iCs/>
          <w:noProof/>
          <w:color w:val="000000" w:themeColor="text1"/>
          <w:sz w:val="20"/>
          <w:szCs w:val="24"/>
        </w:rPr>
        <w:t>11</w:t>
      </w:r>
      <w:r w:rsidRPr="00533EAC">
        <w:rPr>
          <w:rFonts w:ascii="Arial" w:hAnsi="Arial" w:cs="Arial"/>
          <w:noProof/>
          <w:color w:val="000000" w:themeColor="text1"/>
          <w:sz w:val="20"/>
          <w:szCs w:val="24"/>
        </w:rPr>
        <w:t>(1), 1–16. https://doi.org/10.1046/j.0962-1083.2001.01418.x</w:t>
      </w:r>
    </w:p>
    <w:p w14:paraId="59B410C0" w14:textId="77777777" w:rsidR="00774474" w:rsidRPr="00533EAC" w:rsidRDefault="00774474" w:rsidP="00774474">
      <w:pPr>
        <w:widowControl w:val="0"/>
        <w:autoSpaceDE w:val="0"/>
        <w:autoSpaceDN w:val="0"/>
        <w:adjustRightInd w:val="0"/>
        <w:spacing w:after="0" w:line="360" w:lineRule="auto"/>
        <w:ind w:left="480" w:hanging="480"/>
        <w:rPr>
          <w:rFonts w:ascii="Arial" w:hAnsi="Arial" w:cs="Arial"/>
          <w:noProof/>
          <w:color w:val="000000" w:themeColor="text1"/>
          <w:sz w:val="20"/>
        </w:rPr>
      </w:pPr>
      <w:r w:rsidRPr="00533EAC">
        <w:rPr>
          <w:rFonts w:ascii="Arial" w:hAnsi="Arial" w:cs="Arial"/>
          <w:noProof/>
          <w:color w:val="000000" w:themeColor="text1"/>
          <w:sz w:val="20"/>
          <w:szCs w:val="24"/>
        </w:rPr>
        <w:t xml:space="preserve">Zhang DX, Hewitt GM. 2003, March 1. Nuclear DNA analyses in genetic studies of populations: Practice, problems and prospects. </w:t>
      </w:r>
      <w:r w:rsidRPr="00533EAC">
        <w:rPr>
          <w:rFonts w:ascii="Arial" w:hAnsi="Arial" w:cs="Arial"/>
          <w:i/>
          <w:iCs/>
          <w:noProof/>
          <w:color w:val="000000" w:themeColor="text1"/>
          <w:sz w:val="20"/>
          <w:szCs w:val="24"/>
        </w:rPr>
        <w:t>Molecular Ecology</w:t>
      </w:r>
      <w:r w:rsidRPr="00533EAC">
        <w:rPr>
          <w:rFonts w:ascii="Arial" w:hAnsi="Arial" w:cs="Arial"/>
          <w:noProof/>
          <w:color w:val="000000" w:themeColor="text1"/>
          <w:sz w:val="20"/>
          <w:szCs w:val="24"/>
        </w:rPr>
        <w:t>, Vol. 12, pp. 563–584. https://doi.org/10.1046/j.1365-294X.2003.01773.x</w:t>
      </w:r>
    </w:p>
    <w:p w14:paraId="3BE5F572" w14:textId="77777777" w:rsidR="005633D6" w:rsidRPr="00533EAC" w:rsidRDefault="005633D6" w:rsidP="00C05A32">
      <w:pPr>
        <w:widowControl w:val="0"/>
        <w:autoSpaceDE w:val="0"/>
        <w:autoSpaceDN w:val="0"/>
        <w:adjustRightInd w:val="0"/>
        <w:spacing w:after="0" w:line="360" w:lineRule="auto"/>
        <w:jc w:val="both"/>
        <w:rPr>
          <w:rFonts w:ascii="Arial" w:eastAsia="Calibri" w:hAnsi="Arial" w:cs="Arial"/>
          <w:noProof/>
          <w:color w:val="000000" w:themeColor="text1"/>
          <w:lang w:val="en-ZA"/>
        </w:rPr>
      </w:pPr>
      <w:r w:rsidRPr="00533EAC">
        <w:rPr>
          <w:rFonts w:ascii="Arial" w:eastAsia="Calibri" w:hAnsi="Arial" w:cs="Arial"/>
          <w:noProof/>
          <w:color w:val="000000" w:themeColor="text1"/>
          <w:sz w:val="20"/>
          <w:szCs w:val="20"/>
          <w:lang w:val="en-ZA"/>
        </w:rPr>
        <w:fldChar w:fldCharType="end"/>
      </w:r>
    </w:p>
    <w:p w14:paraId="0005E9BD" w14:textId="0D59214F" w:rsidR="005633D6" w:rsidRPr="00533EAC" w:rsidRDefault="00493E6C" w:rsidP="00C05A32">
      <w:pPr>
        <w:widowControl w:val="0"/>
        <w:autoSpaceDE w:val="0"/>
        <w:autoSpaceDN w:val="0"/>
        <w:adjustRightInd w:val="0"/>
        <w:spacing w:after="0" w:line="360" w:lineRule="auto"/>
        <w:ind w:left="709" w:hanging="709"/>
        <w:jc w:val="both"/>
        <w:rPr>
          <w:rFonts w:ascii="Arial" w:hAnsi="Arial" w:cs="Arial"/>
          <w:b/>
          <w:noProof/>
          <w:color w:val="000000" w:themeColor="text1"/>
          <w:lang w:val="en-ZA"/>
        </w:rPr>
      </w:pPr>
      <w:r w:rsidRPr="00533EAC">
        <w:rPr>
          <w:rFonts w:ascii="Arial" w:hAnsi="Arial" w:cs="Arial"/>
          <w:b/>
          <w:noProof/>
          <w:color w:val="000000" w:themeColor="text1"/>
          <w:lang w:val="en-ZA"/>
        </w:rPr>
        <w:t>Figure legend</w:t>
      </w:r>
    </w:p>
    <w:p w14:paraId="22F530EC" w14:textId="46ED5317" w:rsidR="00493E6C" w:rsidRPr="00533EAC" w:rsidRDefault="00493E6C" w:rsidP="00C05A32">
      <w:pPr>
        <w:widowControl w:val="0"/>
        <w:autoSpaceDE w:val="0"/>
        <w:autoSpaceDN w:val="0"/>
        <w:adjustRightInd w:val="0"/>
        <w:spacing w:after="0" w:line="360" w:lineRule="auto"/>
        <w:ind w:left="709" w:hanging="709"/>
        <w:jc w:val="both"/>
        <w:rPr>
          <w:rFonts w:ascii="Arial" w:hAnsi="Arial" w:cs="Arial"/>
          <w:noProof/>
          <w:color w:val="000000" w:themeColor="text1"/>
          <w:sz w:val="20"/>
          <w:szCs w:val="20"/>
          <w:lang w:val="en-ZA"/>
        </w:rPr>
      </w:pPr>
    </w:p>
    <w:p w14:paraId="06D7FF45" w14:textId="682A913F" w:rsidR="00493E6C" w:rsidRPr="00533EAC" w:rsidRDefault="00493E6C" w:rsidP="00C05A32">
      <w:pPr>
        <w:spacing w:after="0" w:line="360" w:lineRule="auto"/>
        <w:jc w:val="both"/>
        <w:rPr>
          <w:rFonts w:ascii="Arial" w:eastAsia="Calibri" w:hAnsi="Arial" w:cs="Arial"/>
          <w:color w:val="000000" w:themeColor="text1"/>
          <w:sz w:val="20"/>
          <w:szCs w:val="20"/>
          <w:lang w:val="en-ZA"/>
        </w:rPr>
      </w:pPr>
      <w:r w:rsidRPr="00533EAC">
        <w:rPr>
          <w:rFonts w:ascii="Arial" w:eastAsia="Calibri" w:hAnsi="Arial" w:cs="Arial"/>
          <w:b/>
          <w:color w:val="000000" w:themeColor="text1"/>
          <w:sz w:val="20"/>
          <w:szCs w:val="20"/>
          <w:lang w:val="en-ZA"/>
        </w:rPr>
        <w:t>Figure 1:</w:t>
      </w:r>
      <w:r w:rsidRPr="00533EAC">
        <w:rPr>
          <w:rFonts w:ascii="Arial" w:eastAsia="Calibri" w:hAnsi="Arial" w:cs="Arial"/>
          <w:color w:val="000000" w:themeColor="text1"/>
          <w:sz w:val="20"/>
          <w:szCs w:val="20"/>
          <w:lang w:val="en-ZA"/>
        </w:rPr>
        <w:t xml:space="preserve"> </w:t>
      </w:r>
      <w:r w:rsidR="00D27E73" w:rsidRPr="00533EAC">
        <w:rPr>
          <w:rFonts w:ascii="Arial" w:eastAsia="Calibri" w:hAnsi="Arial" w:cs="Arial"/>
          <w:color w:val="000000" w:themeColor="text1"/>
          <w:sz w:val="20"/>
          <w:szCs w:val="20"/>
          <w:lang w:val="en-ZA"/>
        </w:rPr>
        <w:t xml:space="preserve">Bayesian </w:t>
      </w:r>
      <w:r w:rsidRPr="00533EAC">
        <w:rPr>
          <w:rFonts w:ascii="Arial" w:eastAsia="Calibri" w:hAnsi="Arial" w:cs="Arial"/>
          <w:color w:val="000000" w:themeColor="text1"/>
          <w:sz w:val="20"/>
          <w:szCs w:val="20"/>
          <w:lang w:val="en-ZA"/>
        </w:rPr>
        <w:t>phylogenetic tree, based on 13</w:t>
      </w:r>
      <w:r w:rsidR="0087084F" w:rsidRPr="00533EAC">
        <w:rPr>
          <w:rFonts w:ascii="Arial" w:eastAsia="Calibri" w:hAnsi="Arial" w:cs="Arial"/>
          <w:color w:val="000000" w:themeColor="text1"/>
          <w:sz w:val="20"/>
          <w:szCs w:val="20"/>
          <w:lang w:val="en-ZA"/>
        </w:rPr>
        <w:t xml:space="preserve"> </w:t>
      </w:r>
      <w:r w:rsidR="00D27E73" w:rsidRPr="00533EAC">
        <w:rPr>
          <w:rFonts w:ascii="Arial" w:eastAsia="Calibri" w:hAnsi="Arial" w:cs="Arial"/>
          <w:color w:val="000000" w:themeColor="text1"/>
          <w:sz w:val="20"/>
          <w:szCs w:val="20"/>
          <w:lang w:val="en-ZA"/>
        </w:rPr>
        <w:t xml:space="preserve">partial concatenated </w:t>
      </w:r>
      <w:r w:rsidR="0087084F" w:rsidRPr="00533EAC">
        <w:rPr>
          <w:rFonts w:ascii="Arial" w:eastAsia="Calibri" w:hAnsi="Arial" w:cs="Arial"/>
          <w:color w:val="000000" w:themeColor="text1"/>
          <w:sz w:val="20"/>
          <w:szCs w:val="20"/>
          <w:lang w:val="en-ZA"/>
        </w:rPr>
        <w:t>protein-coding genes</w:t>
      </w:r>
      <w:r w:rsidRPr="00533EAC">
        <w:rPr>
          <w:rFonts w:ascii="Arial" w:eastAsia="Calibri" w:hAnsi="Arial" w:cs="Arial"/>
          <w:color w:val="000000" w:themeColor="text1"/>
          <w:sz w:val="20"/>
          <w:szCs w:val="20"/>
          <w:lang w:val="en-ZA"/>
        </w:rPr>
        <w:t xml:space="preserve"> </w:t>
      </w:r>
      <w:r w:rsidR="0087084F" w:rsidRPr="00533EAC">
        <w:rPr>
          <w:rFonts w:ascii="Arial" w:eastAsia="Calibri" w:hAnsi="Arial" w:cs="Arial"/>
          <w:color w:val="000000" w:themeColor="text1"/>
          <w:sz w:val="20"/>
          <w:szCs w:val="20"/>
          <w:lang w:val="en-ZA"/>
        </w:rPr>
        <w:t>(</w:t>
      </w:r>
      <w:r w:rsidRPr="00533EAC">
        <w:rPr>
          <w:rFonts w:ascii="Arial" w:eastAsia="Calibri" w:hAnsi="Arial" w:cs="Arial"/>
          <w:color w:val="000000" w:themeColor="text1"/>
          <w:sz w:val="20"/>
          <w:szCs w:val="20"/>
          <w:lang w:val="en-ZA"/>
        </w:rPr>
        <w:t>PCGs</w:t>
      </w:r>
      <w:r w:rsidR="0087084F" w:rsidRPr="00533EAC">
        <w:rPr>
          <w:rFonts w:ascii="Arial" w:eastAsia="Calibri" w:hAnsi="Arial" w:cs="Arial"/>
          <w:color w:val="000000" w:themeColor="text1"/>
          <w:sz w:val="20"/>
          <w:szCs w:val="20"/>
          <w:lang w:val="en-ZA"/>
        </w:rPr>
        <w:t>)</w:t>
      </w:r>
      <w:r w:rsidRPr="00533EAC">
        <w:rPr>
          <w:rFonts w:ascii="Arial" w:eastAsia="Calibri" w:hAnsi="Arial" w:cs="Arial"/>
          <w:color w:val="000000" w:themeColor="text1"/>
          <w:sz w:val="20"/>
          <w:szCs w:val="20"/>
          <w:lang w:val="en-ZA"/>
        </w:rPr>
        <w:t xml:space="preserve">, of </w:t>
      </w:r>
      <w:r w:rsidRPr="00533EAC">
        <w:rPr>
          <w:rFonts w:ascii="Arial" w:eastAsia="Calibri" w:hAnsi="Arial" w:cs="Arial"/>
          <w:i/>
          <w:iCs/>
          <w:color w:val="000000" w:themeColor="text1"/>
          <w:sz w:val="20"/>
          <w:szCs w:val="20"/>
          <w:lang w:val="en-ZA"/>
        </w:rPr>
        <w:t>Pyura stolonifera and P. herdmani</w:t>
      </w:r>
      <w:r w:rsidRPr="00533EAC">
        <w:rPr>
          <w:rFonts w:ascii="Arial" w:eastAsia="Calibri" w:hAnsi="Arial" w:cs="Arial"/>
          <w:color w:val="000000" w:themeColor="text1"/>
          <w:sz w:val="20"/>
          <w:szCs w:val="20"/>
          <w:lang w:val="en-ZA"/>
        </w:rPr>
        <w:t xml:space="preserve"> from four different bioregions. </w:t>
      </w:r>
      <w:r w:rsidR="0087084F" w:rsidRPr="00533EAC">
        <w:rPr>
          <w:rFonts w:ascii="Arial" w:eastAsia="Calibri" w:hAnsi="Arial" w:cs="Arial"/>
          <w:color w:val="000000" w:themeColor="text1"/>
          <w:sz w:val="20"/>
          <w:szCs w:val="20"/>
          <w:lang w:val="en-ZA"/>
        </w:rPr>
        <w:t xml:space="preserve">The </w:t>
      </w:r>
      <w:r w:rsidRPr="00533EAC">
        <w:rPr>
          <w:rFonts w:ascii="Arial" w:eastAsia="Calibri" w:hAnsi="Arial" w:cs="Arial"/>
          <w:color w:val="000000" w:themeColor="text1"/>
          <w:sz w:val="20"/>
          <w:szCs w:val="20"/>
          <w:lang w:val="en-ZA"/>
        </w:rPr>
        <w:t xml:space="preserve">tree </w:t>
      </w:r>
      <w:r w:rsidR="00473DC4" w:rsidRPr="00533EAC">
        <w:rPr>
          <w:rFonts w:ascii="Arial" w:eastAsia="Calibri" w:hAnsi="Arial" w:cs="Arial"/>
          <w:color w:val="000000" w:themeColor="text1"/>
          <w:sz w:val="20"/>
          <w:szCs w:val="20"/>
          <w:lang w:val="en-ZA"/>
        </w:rPr>
        <w:t xml:space="preserve">was </w:t>
      </w:r>
      <w:r w:rsidRPr="00533EAC">
        <w:rPr>
          <w:rFonts w:ascii="Arial" w:eastAsia="Calibri" w:hAnsi="Arial" w:cs="Arial"/>
          <w:color w:val="000000" w:themeColor="text1"/>
          <w:sz w:val="20"/>
          <w:szCs w:val="20"/>
          <w:lang w:val="en-ZA"/>
        </w:rPr>
        <w:t xml:space="preserve">constructed using the HKY substitution model. </w:t>
      </w:r>
      <w:r w:rsidR="0087084F" w:rsidRPr="00533EAC">
        <w:rPr>
          <w:rFonts w:ascii="Arial" w:eastAsia="Calibri" w:hAnsi="Arial" w:cs="Arial"/>
          <w:color w:val="000000" w:themeColor="text1"/>
          <w:sz w:val="20"/>
          <w:szCs w:val="20"/>
          <w:lang w:val="en-ZA"/>
        </w:rPr>
        <w:t xml:space="preserve">The </w:t>
      </w:r>
      <w:r w:rsidRPr="00533EAC">
        <w:rPr>
          <w:rFonts w:ascii="Arial" w:eastAsia="Calibri" w:hAnsi="Arial" w:cs="Arial"/>
          <w:color w:val="000000" w:themeColor="text1"/>
          <w:sz w:val="20"/>
          <w:szCs w:val="20"/>
          <w:lang w:val="en-ZA"/>
        </w:rPr>
        <w:t>M</w:t>
      </w:r>
      <w:r w:rsidR="0087084F" w:rsidRPr="00533EAC">
        <w:rPr>
          <w:rFonts w:ascii="Arial" w:eastAsia="Calibri" w:hAnsi="Arial" w:cs="Arial"/>
          <w:color w:val="000000" w:themeColor="text1"/>
          <w:sz w:val="20"/>
          <w:szCs w:val="20"/>
          <w:lang w:val="en-ZA"/>
        </w:rPr>
        <w:t xml:space="preserve">arkov chain </w:t>
      </w:r>
      <w:r w:rsidRPr="00533EAC">
        <w:rPr>
          <w:rFonts w:ascii="Arial" w:eastAsia="Calibri" w:hAnsi="Arial" w:cs="Arial"/>
          <w:color w:val="000000" w:themeColor="text1"/>
          <w:sz w:val="20"/>
          <w:szCs w:val="20"/>
          <w:lang w:val="en-ZA"/>
        </w:rPr>
        <w:t>M</w:t>
      </w:r>
      <w:r w:rsidR="0087084F" w:rsidRPr="00533EAC">
        <w:rPr>
          <w:rFonts w:ascii="Arial" w:eastAsia="Calibri" w:hAnsi="Arial" w:cs="Arial"/>
          <w:color w:val="000000" w:themeColor="text1"/>
          <w:sz w:val="20"/>
          <w:szCs w:val="20"/>
          <w:lang w:val="en-ZA"/>
        </w:rPr>
        <w:t xml:space="preserve">onte </w:t>
      </w:r>
      <w:r w:rsidRPr="00533EAC">
        <w:rPr>
          <w:rFonts w:ascii="Arial" w:eastAsia="Calibri" w:hAnsi="Arial" w:cs="Arial"/>
          <w:color w:val="000000" w:themeColor="text1"/>
          <w:sz w:val="20"/>
          <w:szCs w:val="20"/>
          <w:lang w:val="en-ZA"/>
        </w:rPr>
        <w:t>C</w:t>
      </w:r>
      <w:r w:rsidR="0087084F" w:rsidRPr="00533EAC">
        <w:rPr>
          <w:rFonts w:ascii="Arial" w:eastAsia="Calibri" w:hAnsi="Arial" w:cs="Arial"/>
          <w:color w:val="000000" w:themeColor="text1"/>
          <w:sz w:val="20"/>
          <w:szCs w:val="20"/>
          <w:lang w:val="en-ZA"/>
        </w:rPr>
        <w:t>arlo</w:t>
      </w:r>
      <w:r w:rsidRPr="00533EAC">
        <w:rPr>
          <w:rFonts w:ascii="Arial" w:eastAsia="Calibri" w:hAnsi="Arial" w:cs="Arial"/>
          <w:color w:val="000000" w:themeColor="text1"/>
          <w:sz w:val="20"/>
          <w:szCs w:val="20"/>
          <w:lang w:val="en-ZA"/>
        </w:rPr>
        <w:t xml:space="preserve"> method was set with 10 million iterations </w:t>
      </w:r>
      <w:r w:rsidR="00D27E73" w:rsidRPr="00533EAC">
        <w:rPr>
          <w:rFonts w:ascii="Arial" w:eastAsia="Calibri" w:hAnsi="Arial" w:cs="Arial"/>
          <w:color w:val="000000" w:themeColor="text1"/>
          <w:sz w:val="20"/>
          <w:szCs w:val="20"/>
          <w:lang w:val="en-ZA"/>
        </w:rPr>
        <w:t>following a</w:t>
      </w:r>
      <w:r w:rsidRPr="00533EAC">
        <w:rPr>
          <w:rFonts w:ascii="Arial" w:eastAsia="Calibri" w:hAnsi="Arial" w:cs="Arial"/>
          <w:color w:val="000000" w:themeColor="text1"/>
          <w:sz w:val="20"/>
          <w:szCs w:val="20"/>
          <w:lang w:val="en-ZA"/>
        </w:rPr>
        <w:t xml:space="preserve"> 20% burn</w:t>
      </w:r>
      <w:r w:rsidR="0087084F" w:rsidRPr="00533EAC">
        <w:rPr>
          <w:rFonts w:ascii="Arial" w:eastAsia="Calibri" w:hAnsi="Arial" w:cs="Arial"/>
          <w:color w:val="000000" w:themeColor="text1"/>
          <w:sz w:val="20"/>
          <w:szCs w:val="20"/>
          <w:lang w:val="en-ZA"/>
        </w:rPr>
        <w:t>-</w:t>
      </w:r>
      <w:r w:rsidRPr="00533EAC">
        <w:rPr>
          <w:rFonts w:ascii="Arial" w:eastAsia="Calibri" w:hAnsi="Arial" w:cs="Arial"/>
          <w:color w:val="000000" w:themeColor="text1"/>
          <w:sz w:val="20"/>
          <w:szCs w:val="20"/>
          <w:lang w:val="en-ZA"/>
        </w:rPr>
        <w:t xml:space="preserve">in. </w:t>
      </w:r>
      <w:r w:rsidRPr="00533EAC">
        <w:rPr>
          <w:rFonts w:ascii="Arial" w:eastAsia="Calibri" w:hAnsi="Arial" w:cs="Arial"/>
          <w:i/>
          <w:iCs/>
          <w:color w:val="000000" w:themeColor="text1"/>
          <w:sz w:val="20"/>
          <w:szCs w:val="20"/>
          <w:lang w:val="en-ZA"/>
        </w:rPr>
        <w:t xml:space="preserve">Pyura </w:t>
      </w:r>
      <w:proofErr w:type="spellStart"/>
      <w:r w:rsidRPr="00533EAC">
        <w:rPr>
          <w:rFonts w:ascii="Arial" w:eastAsia="Calibri" w:hAnsi="Arial" w:cs="Arial"/>
          <w:i/>
          <w:iCs/>
          <w:color w:val="000000" w:themeColor="text1"/>
          <w:sz w:val="20"/>
          <w:szCs w:val="20"/>
          <w:lang w:val="en-ZA"/>
        </w:rPr>
        <w:t>gangelion</w:t>
      </w:r>
      <w:proofErr w:type="spellEnd"/>
      <w:r w:rsidRPr="00533EAC">
        <w:rPr>
          <w:rFonts w:ascii="Arial" w:eastAsia="Calibri" w:hAnsi="Arial" w:cs="Arial"/>
          <w:color w:val="000000" w:themeColor="text1"/>
          <w:sz w:val="20"/>
          <w:szCs w:val="20"/>
          <w:lang w:val="en-ZA"/>
        </w:rPr>
        <w:t xml:space="preserve"> was used as</w:t>
      </w:r>
      <w:r w:rsidR="0087084F" w:rsidRPr="00533EAC">
        <w:rPr>
          <w:rFonts w:ascii="Arial" w:eastAsia="Calibri" w:hAnsi="Arial" w:cs="Arial"/>
          <w:color w:val="000000" w:themeColor="text1"/>
          <w:sz w:val="20"/>
          <w:szCs w:val="20"/>
          <w:lang w:val="en-ZA"/>
        </w:rPr>
        <w:t xml:space="preserve"> the</w:t>
      </w:r>
      <w:r w:rsidRPr="00533EAC">
        <w:rPr>
          <w:rFonts w:ascii="Arial" w:eastAsia="Calibri" w:hAnsi="Arial" w:cs="Arial"/>
          <w:color w:val="000000" w:themeColor="text1"/>
          <w:sz w:val="20"/>
          <w:szCs w:val="20"/>
          <w:lang w:val="en-ZA"/>
        </w:rPr>
        <w:t xml:space="preserve"> outgroup. Posterior probability values</w:t>
      </w:r>
      <w:r w:rsidR="0087084F" w:rsidRPr="00533EAC">
        <w:rPr>
          <w:rFonts w:ascii="Arial" w:eastAsia="Calibri" w:hAnsi="Arial" w:cs="Arial"/>
          <w:color w:val="000000" w:themeColor="text1"/>
          <w:sz w:val="20"/>
          <w:szCs w:val="20"/>
          <w:lang w:val="en-ZA"/>
        </w:rPr>
        <w:t xml:space="preserve"> are</w:t>
      </w:r>
      <w:r w:rsidRPr="00533EAC">
        <w:rPr>
          <w:rFonts w:ascii="Arial" w:eastAsia="Calibri" w:hAnsi="Arial" w:cs="Arial"/>
          <w:color w:val="000000" w:themeColor="text1"/>
          <w:sz w:val="20"/>
          <w:szCs w:val="20"/>
          <w:lang w:val="en-ZA"/>
        </w:rPr>
        <w:t xml:space="preserve"> </w:t>
      </w:r>
      <w:r w:rsidR="0087084F" w:rsidRPr="00533EAC">
        <w:rPr>
          <w:rFonts w:ascii="Arial" w:eastAsia="Calibri" w:hAnsi="Arial" w:cs="Arial"/>
          <w:color w:val="000000" w:themeColor="text1"/>
          <w:sz w:val="20"/>
          <w:szCs w:val="20"/>
          <w:lang w:val="en-ZA"/>
        </w:rPr>
        <w:t xml:space="preserve">shown </w:t>
      </w:r>
      <w:r w:rsidRPr="00533EAC">
        <w:rPr>
          <w:rFonts w:ascii="Arial" w:eastAsia="Calibri" w:hAnsi="Arial" w:cs="Arial"/>
          <w:color w:val="000000" w:themeColor="text1"/>
          <w:sz w:val="20"/>
          <w:szCs w:val="20"/>
          <w:lang w:val="en-ZA"/>
        </w:rPr>
        <w:t>at each branch node. The scale axis shows the substitution rate</w:t>
      </w:r>
    </w:p>
    <w:p w14:paraId="3E601697" w14:textId="77777777" w:rsidR="00493E6C" w:rsidRPr="00533EAC" w:rsidRDefault="00493E6C" w:rsidP="005633D6">
      <w:pPr>
        <w:keepNext/>
        <w:spacing w:after="200" w:line="240" w:lineRule="auto"/>
        <w:rPr>
          <w:rFonts w:ascii="Times New Roman" w:eastAsia="Calibri" w:hAnsi="Times New Roman" w:cs="Times New Roman"/>
          <w:b/>
          <w:bCs/>
          <w:color w:val="000000" w:themeColor="text1"/>
          <w:sz w:val="24"/>
          <w:szCs w:val="24"/>
          <w:lang w:val="en-ZA"/>
        </w:rPr>
        <w:sectPr w:rsidR="00493E6C" w:rsidRPr="00533EAC" w:rsidSect="005565B0">
          <w:footerReference w:type="default" r:id="rId8"/>
          <w:pgSz w:w="11906" w:h="16838"/>
          <w:pgMar w:top="1418" w:right="1418" w:bottom="1134" w:left="1418" w:header="709" w:footer="709" w:gutter="0"/>
          <w:lnNumType w:countBy="1" w:restart="continuous"/>
          <w:cols w:space="708"/>
          <w:docGrid w:linePitch="360"/>
        </w:sectPr>
      </w:pPr>
    </w:p>
    <w:p w14:paraId="7DE4AA88" w14:textId="37095F18" w:rsidR="005633D6" w:rsidRPr="00533EAC" w:rsidRDefault="005633D6" w:rsidP="00C05A32">
      <w:pPr>
        <w:widowControl w:val="0"/>
        <w:autoSpaceDE w:val="0"/>
        <w:autoSpaceDN w:val="0"/>
        <w:adjustRightInd w:val="0"/>
        <w:spacing w:after="0" w:line="360" w:lineRule="auto"/>
        <w:rPr>
          <w:rFonts w:ascii="Arial" w:eastAsia="Calibri" w:hAnsi="Arial" w:cs="Arial"/>
          <w:bCs/>
          <w:color w:val="000000" w:themeColor="text1"/>
          <w:sz w:val="20"/>
          <w:szCs w:val="20"/>
          <w:lang w:val="en-ZA"/>
        </w:rPr>
      </w:pPr>
      <w:r w:rsidRPr="00533EAC">
        <w:rPr>
          <w:rFonts w:ascii="Arial" w:eastAsia="Calibri" w:hAnsi="Arial" w:cs="Arial"/>
          <w:b/>
          <w:bCs/>
          <w:color w:val="000000" w:themeColor="text1"/>
          <w:sz w:val="20"/>
          <w:szCs w:val="20"/>
          <w:lang w:val="en-ZA"/>
        </w:rPr>
        <w:lastRenderedPageBreak/>
        <w:t xml:space="preserve">Table </w:t>
      </w:r>
      <w:r w:rsidRPr="00533EAC">
        <w:rPr>
          <w:rFonts w:ascii="Arial" w:eastAsia="Calibri" w:hAnsi="Arial" w:cs="Arial"/>
          <w:b/>
          <w:bCs/>
          <w:color w:val="000000" w:themeColor="text1"/>
          <w:sz w:val="20"/>
          <w:szCs w:val="20"/>
          <w:lang w:val="en-ZA"/>
        </w:rPr>
        <w:fldChar w:fldCharType="begin"/>
      </w:r>
      <w:r w:rsidRPr="00533EAC">
        <w:rPr>
          <w:rFonts w:ascii="Arial" w:eastAsia="Calibri" w:hAnsi="Arial" w:cs="Arial"/>
          <w:b/>
          <w:bCs/>
          <w:color w:val="000000" w:themeColor="text1"/>
          <w:sz w:val="20"/>
          <w:szCs w:val="20"/>
          <w:lang w:val="en-ZA"/>
        </w:rPr>
        <w:instrText xml:space="preserve"> SEQ Table \* ARABIC </w:instrText>
      </w:r>
      <w:r w:rsidRPr="00533EAC">
        <w:rPr>
          <w:rFonts w:ascii="Arial" w:eastAsia="Calibri" w:hAnsi="Arial" w:cs="Arial"/>
          <w:b/>
          <w:bCs/>
          <w:color w:val="000000" w:themeColor="text1"/>
          <w:sz w:val="20"/>
          <w:szCs w:val="20"/>
          <w:lang w:val="en-ZA"/>
        </w:rPr>
        <w:fldChar w:fldCharType="separate"/>
      </w:r>
      <w:r w:rsidR="005D4553" w:rsidRPr="00533EAC">
        <w:rPr>
          <w:rFonts w:ascii="Arial" w:eastAsia="Calibri" w:hAnsi="Arial" w:cs="Arial"/>
          <w:b/>
          <w:bCs/>
          <w:noProof/>
          <w:color w:val="000000" w:themeColor="text1"/>
          <w:sz w:val="20"/>
          <w:szCs w:val="20"/>
          <w:lang w:val="en-ZA"/>
        </w:rPr>
        <w:t>1</w:t>
      </w:r>
      <w:r w:rsidRPr="00533EAC">
        <w:rPr>
          <w:rFonts w:ascii="Arial" w:eastAsia="Calibri" w:hAnsi="Arial" w:cs="Arial"/>
          <w:b/>
          <w:bCs/>
          <w:color w:val="000000" w:themeColor="text1"/>
          <w:sz w:val="20"/>
          <w:szCs w:val="20"/>
          <w:lang w:val="en-ZA"/>
        </w:rPr>
        <w:fldChar w:fldCharType="end"/>
      </w:r>
      <w:r w:rsidRPr="00533EAC">
        <w:rPr>
          <w:rFonts w:ascii="Arial" w:eastAsia="Calibri" w:hAnsi="Arial" w:cs="Arial"/>
          <w:b/>
          <w:bCs/>
          <w:color w:val="000000" w:themeColor="text1"/>
          <w:sz w:val="20"/>
          <w:szCs w:val="20"/>
          <w:lang w:val="en-ZA"/>
        </w:rPr>
        <w:t>:</w:t>
      </w:r>
      <w:r w:rsidRPr="00533EAC">
        <w:rPr>
          <w:rFonts w:ascii="Arial" w:eastAsia="Calibri" w:hAnsi="Arial" w:cs="Arial"/>
          <w:bCs/>
          <w:color w:val="000000" w:themeColor="text1"/>
          <w:sz w:val="20"/>
          <w:szCs w:val="20"/>
          <w:lang w:val="en-ZA"/>
        </w:rPr>
        <w:t xml:space="preserve"> Sampling sites and the</w:t>
      </w:r>
      <w:r w:rsidR="00A11BDD" w:rsidRPr="00533EAC">
        <w:rPr>
          <w:rFonts w:ascii="Arial" w:eastAsia="Calibri" w:hAnsi="Arial" w:cs="Arial"/>
          <w:bCs/>
          <w:color w:val="000000" w:themeColor="text1"/>
          <w:sz w:val="20"/>
          <w:szCs w:val="20"/>
          <w:lang w:val="en-ZA"/>
        </w:rPr>
        <w:t>ir</w:t>
      </w:r>
      <w:r w:rsidRPr="00533EAC">
        <w:rPr>
          <w:rFonts w:ascii="Arial" w:eastAsia="Calibri" w:hAnsi="Arial" w:cs="Arial"/>
          <w:bCs/>
          <w:color w:val="000000" w:themeColor="text1"/>
          <w:sz w:val="20"/>
          <w:szCs w:val="20"/>
          <w:lang w:val="en-ZA"/>
        </w:rPr>
        <w:t xml:space="preserve"> geographical locations</w:t>
      </w:r>
      <w:r w:rsidR="00C7243E" w:rsidRPr="00533EAC">
        <w:rPr>
          <w:rFonts w:ascii="Arial" w:eastAsia="Calibri" w:hAnsi="Arial" w:cs="Arial"/>
          <w:bCs/>
          <w:color w:val="000000" w:themeColor="text1"/>
          <w:sz w:val="20"/>
          <w:szCs w:val="20"/>
          <w:lang w:val="en-ZA"/>
        </w:rPr>
        <w:t xml:space="preserve"> at which samples of </w:t>
      </w:r>
      <w:r w:rsidR="00C7243E" w:rsidRPr="00533EAC">
        <w:rPr>
          <w:rFonts w:ascii="Arial" w:eastAsia="Calibri" w:hAnsi="Arial" w:cs="Arial"/>
          <w:bCs/>
          <w:i/>
          <w:color w:val="000000" w:themeColor="text1"/>
          <w:sz w:val="20"/>
          <w:szCs w:val="20"/>
          <w:lang w:val="en-ZA"/>
        </w:rPr>
        <w:t>Pyura</w:t>
      </w:r>
      <w:r w:rsidR="00C7243E" w:rsidRPr="00533EAC">
        <w:rPr>
          <w:rFonts w:ascii="Arial" w:eastAsia="Calibri" w:hAnsi="Arial" w:cs="Arial"/>
          <w:bCs/>
          <w:color w:val="000000" w:themeColor="text1"/>
          <w:sz w:val="20"/>
          <w:szCs w:val="20"/>
          <w:lang w:val="en-ZA"/>
        </w:rPr>
        <w:t xml:space="preserve"> spp. were collected in September–November 2016</w:t>
      </w:r>
      <w:r w:rsidR="00045C53" w:rsidRPr="00533EAC">
        <w:rPr>
          <w:rFonts w:ascii="Arial" w:eastAsia="Calibri" w:hAnsi="Arial" w:cs="Arial"/>
          <w:bCs/>
          <w:color w:val="000000" w:themeColor="text1"/>
          <w:sz w:val="20"/>
          <w:szCs w:val="20"/>
          <w:lang w:val="en-ZA"/>
        </w:rPr>
        <w:t xml:space="preserve">. Although the boundaries of the Wild Coast are poorly defined, samples from </w:t>
      </w:r>
      <w:proofErr w:type="spellStart"/>
      <w:r w:rsidR="00045C53" w:rsidRPr="00533EAC">
        <w:rPr>
          <w:rFonts w:ascii="Arial" w:eastAsia="Calibri" w:hAnsi="Arial" w:cs="Arial"/>
          <w:bCs/>
          <w:color w:val="000000" w:themeColor="text1"/>
          <w:sz w:val="20"/>
          <w:szCs w:val="20"/>
          <w:lang w:val="en-ZA"/>
        </w:rPr>
        <w:t>Mbizana</w:t>
      </w:r>
      <w:proofErr w:type="spellEnd"/>
      <w:r w:rsidR="00045C53" w:rsidRPr="00533EAC">
        <w:rPr>
          <w:rFonts w:ascii="Arial" w:eastAsia="Calibri" w:hAnsi="Arial" w:cs="Arial"/>
          <w:bCs/>
          <w:color w:val="000000" w:themeColor="text1"/>
          <w:sz w:val="20"/>
          <w:szCs w:val="20"/>
          <w:lang w:val="en-ZA"/>
        </w:rPr>
        <w:t xml:space="preserve"> to approximately </w:t>
      </w:r>
      <w:r w:rsidR="001A0D88" w:rsidRPr="00533EAC">
        <w:rPr>
          <w:rFonts w:ascii="Arial" w:eastAsia="Calibri" w:hAnsi="Arial" w:cs="Arial"/>
          <w:bCs/>
          <w:color w:val="000000" w:themeColor="text1"/>
          <w:sz w:val="20"/>
          <w:szCs w:val="20"/>
          <w:lang w:val="en-ZA"/>
        </w:rPr>
        <w:t>East London</w:t>
      </w:r>
      <w:r w:rsidR="00045C53" w:rsidRPr="00533EAC">
        <w:rPr>
          <w:rFonts w:ascii="Arial" w:eastAsia="Calibri" w:hAnsi="Arial" w:cs="Arial"/>
          <w:bCs/>
          <w:color w:val="000000" w:themeColor="text1"/>
          <w:sz w:val="20"/>
          <w:szCs w:val="20"/>
          <w:lang w:val="en-ZA"/>
        </w:rPr>
        <w:t xml:space="preserve"> are </w:t>
      </w:r>
      <w:r w:rsidR="001A0D88" w:rsidRPr="00533EAC">
        <w:rPr>
          <w:rFonts w:ascii="Arial" w:eastAsia="Calibri" w:hAnsi="Arial" w:cs="Arial"/>
          <w:bCs/>
          <w:color w:val="000000" w:themeColor="text1"/>
          <w:sz w:val="20"/>
          <w:szCs w:val="20"/>
          <w:lang w:val="en-ZA"/>
        </w:rPr>
        <w:t xml:space="preserve">considered to be </w:t>
      </w:r>
      <w:r w:rsidR="00045C53" w:rsidRPr="00533EAC">
        <w:rPr>
          <w:rFonts w:ascii="Arial" w:eastAsia="Calibri" w:hAnsi="Arial" w:cs="Arial"/>
          <w:bCs/>
          <w:color w:val="000000" w:themeColor="text1"/>
          <w:sz w:val="20"/>
          <w:szCs w:val="20"/>
          <w:lang w:val="en-ZA"/>
        </w:rPr>
        <w:t xml:space="preserve">located </w:t>
      </w:r>
      <w:r w:rsidR="001A0D88" w:rsidRPr="00533EAC">
        <w:rPr>
          <w:rFonts w:ascii="Arial" w:eastAsia="Calibri" w:hAnsi="Arial" w:cs="Arial"/>
          <w:bCs/>
          <w:color w:val="000000" w:themeColor="text1"/>
          <w:sz w:val="20"/>
          <w:szCs w:val="20"/>
          <w:lang w:val="en-ZA"/>
        </w:rPr>
        <w:t>within this</w:t>
      </w:r>
      <w:r w:rsidR="00045C53" w:rsidRPr="00533EAC">
        <w:rPr>
          <w:rFonts w:ascii="Arial" w:eastAsia="Calibri" w:hAnsi="Arial" w:cs="Arial"/>
          <w:bCs/>
          <w:color w:val="000000" w:themeColor="text1"/>
          <w:sz w:val="20"/>
          <w:szCs w:val="20"/>
          <w:lang w:val="en-ZA"/>
        </w:rPr>
        <w:t xml:space="preserve"> biogeographical transition zone</w:t>
      </w:r>
    </w:p>
    <w:p w14:paraId="449E7B2E" w14:textId="2FE2C018" w:rsidR="001A0D88" w:rsidRPr="00533EAC" w:rsidRDefault="001A0D88" w:rsidP="00C05A32">
      <w:pPr>
        <w:spacing w:after="0" w:line="200" w:lineRule="exact"/>
        <w:rPr>
          <w:rFonts w:ascii="Arial" w:eastAsia="Calibri" w:hAnsi="Arial" w:cs="Arial"/>
          <w:color w:val="000000" w:themeColor="text1"/>
          <w:sz w:val="16"/>
          <w:szCs w:val="16"/>
          <w:lang w:val="en-ZA"/>
        </w:rPr>
      </w:pPr>
    </w:p>
    <w:p w14:paraId="28F01CD5" w14:textId="5135FC99" w:rsidR="001A0D88" w:rsidRPr="00533EAC" w:rsidRDefault="001A0D88" w:rsidP="00C05A32">
      <w:pPr>
        <w:spacing w:after="0" w:line="200" w:lineRule="exact"/>
        <w:rPr>
          <w:rFonts w:ascii="Arial" w:eastAsia="Calibri" w:hAnsi="Arial" w:cs="Arial"/>
          <w:color w:val="000000" w:themeColor="text1"/>
          <w:sz w:val="16"/>
          <w:szCs w:val="16"/>
          <w:lang w:val="en-ZA"/>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409"/>
        <w:gridCol w:w="4431"/>
      </w:tblGrid>
      <w:tr w:rsidR="00533EAC" w:rsidRPr="00533EAC" w14:paraId="02CCAFE3" w14:textId="77777777" w:rsidTr="001A0D88">
        <w:tc>
          <w:tcPr>
            <w:tcW w:w="3600" w:type="dxa"/>
            <w:tcBorders>
              <w:top w:val="single" w:sz="4" w:space="0" w:color="auto"/>
              <w:bottom w:val="single" w:sz="4" w:space="0" w:color="auto"/>
            </w:tcBorders>
          </w:tcPr>
          <w:p w14:paraId="423E6916" w14:textId="40107F2C"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Biogeographical entity</w:t>
            </w:r>
          </w:p>
        </w:tc>
        <w:tc>
          <w:tcPr>
            <w:tcW w:w="2409" w:type="dxa"/>
            <w:tcBorders>
              <w:top w:val="single" w:sz="4" w:space="0" w:color="auto"/>
              <w:bottom w:val="single" w:sz="4" w:space="0" w:color="auto"/>
            </w:tcBorders>
          </w:tcPr>
          <w:p w14:paraId="6F523F71" w14:textId="035473D1"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Sampling site</w:t>
            </w:r>
          </w:p>
        </w:tc>
        <w:tc>
          <w:tcPr>
            <w:tcW w:w="4431" w:type="dxa"/>
            <w:tcBorders>
              <w:top w:val="single" w:sz="4" w:space="0" w:color="auto"/>
              <w:bottom w:val="single" w:sz="4" w:space="0" w:color="auto"/>
            </w:tcBorders>
          </w:tcPr>
          <w:p w14:paraId="1B153B45" w14:textId="11954AF4"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Geographic location (Latitude/Longitude)</w:t>
            </w:r>
          </w:p>
        </w:tc>
      </w:tr>
      <w:tr w:rsidR="00533EAC" w:rsidRPr="00533EAC" w14:paraId="00B43D23" w14:textId="77777777" w:rsidTr="001A0D88">
        <w:tc>
          <w:tcPr>
            <w:tcW w:w="3600" w:type="dxa"/>
            <w:tcBorders>
              <w:top w:val="single" w:sz="4" w:space="0" w:color="auto"/>
            </w:tcBorders>
          </w:tcPr>
          <w:p w14:paraId="01843AAF" w14:textId="144B0691"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Subtropical Natal Bioregion</w:t>
            </w:r>
          </w:p>
        </w:tc>
        <w:tc>
          <w:tcPr>
            <w:tcW w:w="2409" w:type="dxa"/>
            <w:tcBorders>
              <w:top w:val="single" w:sz="4" w:space="0" w:color="auto"/>
            </w:tcBorders>
          </w:tcPr>
          <w:p w14:paraId="48CC0D4A" w14:textId="27CC6542" w:rsidR="001A0D88" w:rsidRPr="00533EAC" w:rsidRDefault="001A0D88" w:rsidP="001A0D88">
            <w:pPr>
              <w:spacing w:line="480" w:lineRule="auto"/>
              <w:rPr>
                <w:rFonts w:ascii="Arial" w:eastAsia="Calibri" w:hAnsi="Arial" w:cs="Arial"/>
                <w:color w:val="000000" w:themeColor="text1"/>
                <w:sz w:val="20"/>
                <w:szCs w:val="20"/>
                <w:lang w:val="en-ZA"/>
              </w:rPr>
            </w:pPr>
            <w:proofErr w:type="spellStart"/>
            <w:r w:rsidRPr="00533EAC">
              <w:rPr>
                <w:rFonts w:ascii="Arial" w:eastAsia="Times New Roman" w:hAnsi="Arial" w:cs="Arial"/>
                <w:bCs/>
                <w:color w:val="000000" w:themeColor="text1"/>
                <w:sz w:val="20"/>
                <w:szCs w:val="20"/>
                <w:lang w:val="en-ZA" w:eastAsia="de-DE"/>
              </w:rPr>
              <w:t>Mzumbe</w:t>
            </w:r>
            <w:proofErr w:type="spellEnd"/>
            <w:r w:rsidR="002F22DC" w:rsidRPr="00533EAC">
              <w:rPr>
                <w:rFonts w:ascii="Arial" w:eastAsia="Times New Roman" w:hAnsi="Arial" w:cs="Arial"/>
                <w:bCs/>
                <w:color w:val="000000" w:themeColor="text1"/>
                <w:sz w:val="20"/>
                <w:szCs w:val="20"/>
                <w:lang w:val="en-ZA" w:eastAsia="de-DE"/>
              </w:rPr>
              <w:t xml:space="preserve"> Mouth</w:t>
            </w:r>
          </w:p>
        </w:tc>
        <w:tc>
          <w:tcPr>
            <w:tcW w:w="4431" w:type="dxa"/>
            <w:tcBorders>
              <w:top w:val="single" w:sz="4" w:space="0" w:color="auto"/>
            </w:tcBorders>
          </w:tcPr>
          <w:p w14:paraId="54C62931" w14:textId="27693507"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30°45'11" S 30°27'7" E</w:t>
            </w:r>
          </w:p>
        </w:tc>
      </w:tr>
      <w:tr w:rsidR="00533EAC" w:rsidRPr="00533EAC" w14:paraId="3697523B" w14:textId="77777777" w:rsidTr="001A0D88">
        <w:tc>
          <w:tcPr>
            <w:tcW w:w="3600" w:type="dxa"/>
          </w:tcPr>
          <w:p w14:paraId="1D9A2502" w14:textId="62DF568E"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3D8A8788" w14:textId="4565BDC0" w:rsidR="001A0D88" w:rsidRPr="00533EAC" w:rsidRDefault="001A0D88" w:rsidP="001A0D88">
            <w:pPr>
              <w:spacing w:line="480" w:lineRule="auto"/>
              <w:rPr>
                <w:rFonts w:ascii="Arial" w:eastAsia="Calibri" w:hAnsi="Arial" w:cs="Arial"/>
                <w:color w:val="000000" w:themeColor="text1"/>
                <w:sz w:val="20"/>
                <w:szCs w:val="20"/>
                <w:lang w:val="en-ZA"/>
              </w:rPr>
            </w:pPr>
            <w:proofErr w:type="spellStart"/>
            <w:r w:rsidRPr="00533EAC">
              <w:rPr>
                <w:rFonts w:ascii="Arial" w:eastAsia="Times New Roman" w:hAnsi="Arial" w:cs="Arial"/>
                <w:bCs/>
                <w:color w:val="000000" w:themeColor="text1"/>
                <w:sz w:val="20"/>
                <w:szCs w:val="20"/>
                <w:lang w:val="en-ZA" w:eastAsia="de-DE"/>
              </w:rPr>
              <w:t>Mbizana</w:t>
            </w:r>
            <w:proofErr w:type="spellEnd"/>
            <w:r w:rsidR="002F22DC" w:rsidRPr="00533EAC">
              <w:rPr>
                <w:rFonts w:ascii="Arial" w:eastAsia="Times New Roman" w:hAnsi="Arial" w:cs="Arial"/>
                <w:bCs/>
                <w:color w:val="000000" w:themeColor="text1"/>
                <w:sz w:val="20"/>
                <w:szCs w:val="20"/>
                <w:lang w:val="en-ZA" w:eastAsia="de-DE"/>
              </w:rPr>
              <w:t xml:space="preserve"> Mouth</w:t>
            </w:r>
          </w:p>
        </w:tc>
        <w:tc>
          <w:tcPr>
            <w:tcW w:w="4431" w:type="dxa"/>
          </w:tcPr>
          <w:p w14:paraId="63EFBF7F" w14:textId="0A2424D7"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31°6'11" S 30°10'48" E</w:t>
            </w:r>
          </w:p>
        </w:tc>
      </w:tr>
      <w:tr w:rsidR="00533EAC" w:rsidRPr="00533EAC" w14:paraId="167EB6E2" w14:textId="77777777" w:rsidTr="001A0D88">
        <w:tc>
          <w:tcPr>
            <w:tcW w:w="3600" w:type="dxa"/>
          </w:tcPr>
          <w:p w14:paraId="663A7C52" w14:textId="6F5921E2"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6CC03C4A" w14:textId="25A6B71E"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Cathedral Rock</w:t>
            </w:r>
          </w:p>
        </w:tc>
        <w:tc>
          <w:tcPr>
            <w:tcW w:w="4431" w:type="dxa"/>
          </w:tcPr>
          <w:p w14:paraId="2E71E2AF" w14:textId="27A5F0AC"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31°26'41" S 29°46'18" E</w:t>
            </w:r>
          </w:p>
        </w:tc>
      </w:tr>
      <w:tr w:rsidR="00533EAC" w:rsidRPr="00533EAC" w14:paraId="43433071" w14:textId="77777777" w:rsidTr="001A0D88">
        <w:tc>
          <w:tcPr>
            <w:tcW w:w="3600" w:type="dxa"/>
          </w:tcPr>
          <w:p w14:paraId="163AC3E3" w14:textId="65E7F642"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67798F63" w14:textId="3DDACDA7"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Port St Johns</w:t>
            </w:r>
          </w:p>
        </w:tc>
        <w:tc>
          <w:tcPr>
            <w:tcW w:w="4431" w:type="dxa"/>
          </w:tcPr>
          <w:p w14:paraId="6E3CCEFD" w14:textId="240EC28A"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31°37'48" S 29°33'5" E</w:t>
            </w:r>
          </w:p>
        </w:tc>
      </w:tr>
      <w:tr w:rsidR="00533EAC" w:rsidRPr="00533EAC" w14:paraId="3C874EB5" w14:textId="77777777" w:rsidTr="001A0D88">
        <w:tc>
          <w:tcPr>
            <w:tcW w:w="3600" w:type="dxa"/>
          </w:tcPr>
          <w:p w14:paraId="03A62F87" w14:textId="0E543A99"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197A04AB" w14:textId="2EC3AB26"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Coffee Bay</w:t>
            </w:r>
          </w:p>
        </w:tc>
        <w:tc>
          <w:tcPr>
            <w:tcW w:w="4431" w:type="dxa"/>
          </w:tcPr>
          <w:p w14:paraId="2C348BE8" w14:textId="6549E99E"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31°59'6" S 29°9'11"E</w:t>
            </w:r>
          </w:p>
        </w:tc>
      </w:tr>
      <w:tr w:rsidR="00533EAC" w:rsidRPr="00533EAC" w14:paraId="44C614ED" w14:textId="77777777" w:rsidTr="001A0D88">
        <w:tc>
          <w:tcPr>
            <w:tcW w:w="3600" w:type="dxa"/>
          </w:tcPr>
          <w:p w14:paraId="2DE353CA" w14:textId="66FB7373"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051244A7" w14:textId="2389942B" w:rsidR="001A0D88" w:rsidRPr="00533EAC" w:rsidRDefault="001A0D88" w:rsidP="001A0D88">
            <w:pPr>
              <w:spacing w:line="480" w:lineRule="auto"/>
              <w:rPr>
                <w:rFonts w:ascii="Arial" w:eastAsia="Calibri" w:hAnsi="Arial" w:cs="Arial"/>
                <w:color w:val="000000" w:themeColor="text1"/>
                <w:sz w:val="20"/>
                <w:szCs w:val="20"/>
                <w:lang w:val="en-ZA"/>
              </w:rPr>
            </w:pPr>
            <w:proofErr w:type="spellStart"/>
            <w:r w:rsidRPr="00533EAC">
              <w:rPr>
                <w:rFonts w:ascii="Arial" w:eastAsia="Times New Roman" w:hAnsi="Arial" w:cs="Arial"/>
                <w:bCs/>
                <w:color w:val="000000" w:themeColor="text1"/>
                <w:sz w:val="20"/>
                <w:szCs w:val="20"/>
                <w:lang w:val="en-ZA" w:eastAsia="de-DE"/>
              </w:rPr>
              <w:t>Mazzepa</w:t>
            </w:r>
            <w:proofErr w:type="spellEnd"/>
            <w:r w:rsidRPr="00533EAC">
              <w:rPr>
                <w:rFonts w:ascii="Arial" w:eastAsia="Times New Roman" w:hAnsi="Arial" w:cs="Arial"/>
                <w:bCs/>
                <w:color w:val="000000" w:themeColor="text1"/>
                <w:sz w:val="20"/>
                <w:szCs w:val="20"/>
                <w:lang w:val="en-ZA" w:eastAsia="de-DE"/>
              </w:rPr>
              <w:t xml:space="preserve"> Bay</w:t>
            </w:r>
          </w:p>
        </w:tc>
        <w:tc>
          <w:tcPr>
            <w:tcW w:w="4431" w:type="dxa"/>
          </w:tcPr>
          <w:p w14:paraId="42449957" w14:textId="5F944928"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32°28'54'' S 28°38'41'' E</w:t>
            </w:r>
          </w:p>
        </w:tc>
      </w:tr>
      <w:tr w:rsidR="00533EAC" w:rsidRPr="00533EAC" w14:paraId="4C6387ED" w14:textId="77777777" w:rsidTr="001A0D88">
        <w:tc>
          <w:tcPr>
            <w:tcW w:w="3600" w:type="dxa"/>
          </w:tcPr>
          <w:p w14:paraId="00EBAD48" w14:textId="0237FB80"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6C63658A" w14:textId="7005F469" w:rsidR="001A0D88" w:rsidRPr="00533EAC" w:rsidRDefault="001A0D88" w:rsidP="001A0D88">
            <w:pPr>
              <w:spacing w:line="480" w:lineRule="auto"/>
              <w:rPr>
                <w:rFonts w:ascii="Arial" w:eastAsia="Calibri" w:hAnsi="Arial" w:cs="Arial"/>
                <w:color w:val="000000" w:themeColor="text1"/>
                <w:sz w:val="20"/>
                <w:szCs w:val="20"/>
                <w:lang w:val="en-ZA"/>
              </w:rPr>
            </w:pPr>
            <w:proofErr w:type="spellStart"/>
            <w:r w:rsidRPr="00533EAC">
              <w:rPr>
                <w:rFonts w:ascii="Arial" w:eastAsia="Times New Roman" w:hAnsi="Arial" w:cs="Arial"/>
                <w:bCs/>
                <w:color w:val="000000" w:themeColor="text1"/>
                <w:sz w:val="20"/>
                <w:szCs w:val="20"/>
                <w:lang w:val="en-ZA" w:eastAsia="de-DE"/>
              </w:rPr>
              <w:t>Qolora</w:t>
            </w:r>
            <w:proofErr w:type="spellEnd"/>
            <w:r w:rsidRPr="00533EAC">
              <w:rPr>
                <w:rFonts w:ascii="Arial" w:eastAsia="Times New Roman" w:hAnsi="Arial" w:cs="Arial"/>
                <w:bCs/>
                <w:color w:val="000000" w:themeColor="text1"/>
                <w:sz w:val="20"/>
                <w:szCs w:val="20"/>
                <w:lang w:val="en-ZA" w:eastAsia="de-DE"/>
              </w:rPr>
              <w:t xml:space="preserve"> Mouth</w:t>
            </w:r>
          </w:p>
        </w:tc>
        <w:tc>
          <w:tcPr>
            <w:tcW w:w="4431" w:type="dxa"/>
          </w:tcPr>
          <w:p w14:paraId="1C39DF6B" w14:textId="56C77FE9"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32°39'23.25" S 28°25'0.17" E</w:t>
            </w:r>
          </w:p>
        </w:tc>
      </w:tr>
      <w:tr w:rsidR="00533EAC" w:rsidRPr="00533EAC" w14:paraId="230976DB" w14:textId="77777777" w:rsidTr="001A0D88">
        <w:tc>
          <w:tcPr>
            <w:tcW w:w="3600" w:type="dxa"/>
          </w:tcPr>
          <w:p w14:paraId="1B25E15C" w14:textId="72843989"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17433C60" w14:textId="2F7E423A"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Morgan Bay</w:t>
            </w:r>
          </w:p>
        </w:tc>
        <w:tc>
          <w:tcPr>
            <w:tcW w:w="4431" w:type="dxa"/>
          </w:tcPr>
          <w:p w14:paraId="015F5324" w14:textId="3E82FB91"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32°42'39'' S 28°20'27" E</w:t>
            </w:r>
          </w:p>
        </w:tc>
      </w:tr>
      <w:tr w:rsidR="00533EAC" w:rsidRPr="00533EAC" w14:paraId="49F204D3" w14:textId="77777777" w:rsidTr="001A0D88">
        <w:tc>
          <w:tcPr>
            <w:tcW w:w="3600" w:type="dxa"/>
          </w:tcPr>
          <w:p w14:paraId="330985AC" w14:textId="797968AD"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0F59D561" w14:textId="19BF7C12" w:rsidR="001A0D88" w:rsidRPr="00533EAC" w:rsidRDefault="001A0D88" w:rsidP="001A0D88">
            <w:pPr>
              <w:spacing w:line="480" w:lineRule="auto"/>
              <w:rPr>
                <w:rFonts w:ascii="Arial" w:eastAsia="Calibri" w:hAnsi="Arial" w:cs="Arial"/>
                <w:color w:val="000000" w:themeColor="text1"/>
                <w:sz w:val="20"/>
                <w:szCs w:val="20"/>
                <w:lang w:val="en-ZA"/>
              </w:rPr>
            </w:pPr>
            <w:proofErr w:type="spellStart"/>
            <w:r w:rsidRPr="00533EAC">
              <w:rPr>
                <w:rFonts w:ascii="Arial" w:eastAsia="Times New Roman" w:hAnsi="Arial" w:cs="Arial"/>
                <w:bCs/>
                <w:color w:val="000000" w:themeColor="text1"/>
                <w:sz w:val="20"/>
                <w:szCs w:val="20"/>
                <w:lang w:val="en-ZA" w:eastAsia="de-DE"/>
              </w:rPr>
              <w:t>Haga</w:t>
            </w:r>
            <w:proofErr w:type="spellEnd"/>
            <w:r w:rsidRPr="00533EAC">
              <w:rPr>
                <w:rFonts w:ascii="Arial" w:eastAsia="Times New Roman" w:hAnsi="Arial" w:cs="Arial"/>
                <w:bCs/>
                <w:color w:val="000000" w:themeColor="text1"/>
                <w:sz w:val="20"/>
                <w:szCs w:val="20"/>
                <w:lang w:val="en-ZA" w:eastAsia="de-DE"/>
              </w:rPr>
              <w:t xml:space="preserve"> </w:t>
            </w:r>
            <w:proofErr w:type="spellStart"/>
            <w:r w:rsidRPr="00533EAC">
              <w:rPr>
                <w:rFonts w:ascii="Arial" w:eastAsia="Times New Roman" w:hAnsi="Arial" w:cs="Arial"/>
                <w:bCs/>
                <w:color w:val="000000" w:themeColor="text1"/>
                <w:sz w:val="20"/>
                <w:szCs w:val="20"/>
                <w:lang w:val="en-ZA" w:eastAsia="de-DE"/>
              </w:rPr>
              <w:t>Haga</w:t>
            </w:r>
            <w:proofErr w:type="spellEnd"/>
          </w:p>
        </w:tc>
        <w:tc>
          <w:tcPr>
            <w:tcW w:w="4431" w:type="dxa"/>
          </w:tcPr>
          <w:p w14:paraId="7F0297AC" w14:textId="41F9AF0F"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32°45'54.20" S 28°14'58.60" E</w:t>
            </w:r>
          </w:p>
        </w:tc>
      </w:tr>
      <w:tr w:rsidR="00533EAC" w:rsidRPr="00533EAC" w14:paraId="46978D1F" w14:textId="77777777" w:rsidTr="001A0D88">
        <w:tc>
          <w:tcPr>
            <w:tcW w:w="3600" w:type="dxa"/>
          </w:tcPr>
          <w:p w14:paraId="2CE564D2" w14:textId="5942080E"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Wild Coast transition zone</w:t>
            </w:r>
          </w:p>
        </w:tc>
        <w:tc>
          <w:tcPr>
            <w:tcW w:w="2409" w:type="dxa"/>
          </w:tcPr>
          <w:p w14:paraId="7759A96C" w14:textId="62077F93"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East London</w:t>
            </w:r>
          </w:p>
        </w:tc>
        <w:tc>
          <w:tcPr>
            <w:tcW w:w="4431" w:type="dxa"/>
          </w:tcPr>
          <w:p w14:paraId="057DCAC1" w14:textId="22BDB3EF"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33° 0'57.35" S 27°55'16.40" E</w:t>
            </w:r>
          </w:p>
        </w:tc>
      </w:tr>
      <w:tr w:rsidR="00533EAC" w:rsidRPr="00533EAC" w14:paraId="5B4A1ED9" w14:textId="77777777" w:rsidTr="001A0D88">
        <w:tc>
          <w:tcPr>
            <w:tcW w:w="3600" w:type="dxa"/>
          </w:tcPr>
          <w:p w14:paraId="72E2D350" w14:textId="7F64568D"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Warm-temperate Agulhas Bioregion</w:t>
            </w:r>
          </w:p>
        </w:tc>
        <w:tc>
          <w:tcPr>
            <w:tcW w:w="2409" w:type="dxa"/>
          </w:tcPr>
          <w:p w14:paraId="02D19356" w14:textId="54B61DB7"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Hamburg</w:t>
            </w:r>
          </w:p>
        </w:tc>
        <w:tc>
          <w:tcPr>
            <w:tcW w:w="4431" w:type="dxa"/>
          </w:tcPr>
          <w:p w14:paraId="0AE16E1C" w14:textId="62AC975D"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33°17'50.63" S 27°28'49.66" E</w:t>
            </w:r>
          </w:p>
        </w:tc>
      </w:tr>
      <w:tr w:rsidR="00533EAC" w:rsidRPr="00533EAC" w14:paraId="1E521C96" w14:textId="77777777" w:rsidTr="001A0D88">
        <w:tc>
          <w:tcPr>
            <w:tcW w:w="3600" w:type="dxa"/>
          </w:tcPr>
          <w:p w14:paraId="7824BBB9" w14:textId="34737D90"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Warm-temperate Agulhas Bioregion</w:t>
            </w:r>
          </w:p>
        </w:tc>
        <w:tc>
          <w:tcPr>
            <w:tcW w:w="2409" w:type="dxa"/>
          </w:tcPr>
          <w:p w14:paraId="3442AF14" w14:textId="1FA3A202"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Great Fish River</w:t>
            </w:r>
            <w:r w:rsidR="002F22DC" w:rsidRPr="00533EAC">
              <w:rPr>
                <w:rFonts w:ascii="Arial" w:eastAsia="Times New Roman" w:hAnsi="Arial" w:cs="Arial"/>
                <w:bCs/>
                <w:color w:val="000000" w:themeColor="text1"/>
                <w:sz w:val="20"/>
                <w:szCs w:val="20"/>
                <w:lang w:val="en-ZA" w:eastAsia="de-DE"/>
              </w:rPr>
              <w:t xml:space="preserve"> Mouth</w:t>
            </w:r>
          </w:p>
        </w:tc>
        <w:tc>
          <w:tcPr>
            <w:tcW w:w="4431" w:type="dxa"/>
          </w:tcPr>
          <w:p w14:paraId="7C5FADC7" w14:textId="1237A5D3"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33°28'56.61" S 27°9'7.25" E</w:t>
            </w:r>
          </w:p>
        </w:tc>
      </w:tr>
      <w:tr w:rsidR="001A0D88" w:rsidRPr="00533EAC" w14:paraId="6435BD96" w14:textId="77777777" w:rsidTr="001A0D88">
        <w:tc>
          <w:tcPr>
            <w:tcW w:w="3600" w:type="dxa"/>
            <w:tcBorders>
              <w:bottom w:val="single" w:sz="4" w:space="0" w:color="auto"/>
            </w:tcBorders>
          </w:tcPr>
          <w:p w14:paraId="207F7E91" w14:textId="0A229AEE"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Calibri" w:hAnsi="Arial" w:cs="Arial"/>
                <w:color w:val="000000" w:themeColor="text1"/>
                <w:sz w:val="20"/>
                <w:szCs w:val="20"/>
                <w:lang w:val="en-ZA"/>
              </w:rPr>
              <w:t>Warm-temperate Agulhas Bioregion</w:t>
            </w:r>
          </w:p>
        </w:tc>
        <w:tc>
          <w:tcPr>
            <w:tcW w:w="2409" w:type="dxa"/>
            <w:tcBorders>
              <w:bottom w:val="single" w:sz="4" w:space="0" w:color="auto"/>
            </w:tcBorders>
          </w:tcPr>
          <w:p w14:paraId="5627544B" w14:textId="0FA64A62"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Port Elizabeth</w:t>
            </w:r>
          </w:p>
        </w:tc>
        <w:tc>
          <w:tcPr>
            <w:tcW w:w="4431" w:type="dxa"/>
            <w:tcBorders>
              <w:bottom w:val="single" w:sz="4" w:space="0" w:color="auto"/>
            </w:tcBorders>
          </w:tcPr>
          <w:p w14:paraId="2F8731EB" w14:textId="7BE15DB9" w:rsidR="001A0D88" w:rsidRPr="00533EAC" w:rsidRDefault="001A0D88" w:rsidP="001A0D88">
            <w:pPr>
              <w:spacing w:line="480" w:lineRule="auto"/>
              <w:rPr>
                <w:rFonts w:ascii="Arial" w:eastAsia="Calibri" w:hAnsi="Arial" w:cs="Arial"/>
                <w:color w:val="000000" w:themeColor="text1"/>
                <w:sz w:val="20"/>
                <w:szCs w:val="20"/>
                <w:lang w:val="en-ZA"/>
              </w:rPr>
            </w:pPr>
            <w:r w:rsidRPr="00533EAC">
              <w:rPr>
                <w:rFonts w:ascii="Arial" w:eastAsia="Times New Roman" w:hAnsi="Arial" w:cs="Arial"/>
                <w:bCs/>
                <w:color w:val="000000" w:themeColor="text1"/>
                <w:sz w:val="20"/>
                <w:szCs w:val="20"/>
                <w:lang w:val="en-ZA" w:eastAsia="de-DE"/>
              </w:rPr>
              <w:t>33°59'31.31" S 25°40'42.98" E</w:t>
            </w:r>
          </w:p>
        </w:tc>
      </w:tr>
    </w:tbl>
    <w:p w14:paraId="1F285B4A" w14:textId="5D29BE02" w:rsidR="001A0D88" w:rsidRPr="00533EAC" w:rsidRDefault="001A0D88" w:rsidP="00C05A32">
      <w:pPr>
        <w:spacing w:after="0" w:line="200" w:lineRule="exact"/>
        <w:rPr>
          <w:rFonts w:ascii="Arial" w:eastAsia="Calibri" w:hAnsi="Arial" w:cs="Arial"/>
          <w:color w:val="000000" w:themeColor="text1"/>
          <w:sz w:val="16"/>
          <w:szCs w:val="16"/>
          <w:lang w:val="en-ZA"/>
        </w:rPr>
      </w:pPr>
    </w:p>
    <w:p w14:paraId="256B4631" w14:textId="088DE73C" w:rsidR="001A0D88" w:rsidRPr="00533EAC" w:rsidRDefault="001A0D88" w:rsidP="00C05A32">
      <w:pPr>
        <w:spacing w:after="0" w:line="200" w:lineRule="exact"/>
        <w:rPr>
          <w:rFonts w:ascii="Arial" w:eastAsia="Calibri" w:hAnsi="Arial" w:cs="Arial"/>
          <w:color w:val="000000" w:themeColor="text1"/>
          <w:sz w:val="16"/>
          <w:szCs w:val="16"/>
          <w:lang w:val="en-ZA"/>
        </w:rPr>
      </w:pPr>
    </w:p>
    <w:p w14:paraId="46EC9800" w14:textId="68AC2217" w:rsidR="001A0D88" w:rsidRPr="00533EAC" w:rsidRDefault="001A0D88" w:rsidP="00C05A32">
      <w:pPr>
        <w:spacing w:after="0" w:line="200" w:lineRule="exact"/>
        <w:rPr>
          <w:rFonts w:ascii="Arial" w:eastAsia="Calibri" w:hAnsi="Arial" w:cs="Arial"/>
          <w:color w:val="000000" w:themeColor="text1"/>
          <w:sz w:val="16"/>
          <w:szCs w:val="16"/>
          <w:lang w:val="en-ZA"/>
        </w:rPr>
      </w:pPr>
    </w:p>
    <w:p w14:paraId="2EA4CC2F" w14:textId="77777777" w:rsidR="001A0D88" w:rsidRPr="00533EAC" w:rsidRDefault="001A0D88" w:rsidP="00C05A32">
      <w:pPr>
        <w:spacing w:after="0" w:line="200" w:lineRule="exact"/>
        <w:rPr>
          <w:rFonts w:ascii="Arial" w:eastAsia="Calibri" w:hAnsi="Arial" w:cs="Arial"/>
          <w:color w:val="000000" w:themeColor="text1"/>
          <w:sz w:val="16"/>
          <w:szCs w:val="16"/>
          <w:lang w:val="en-ZA"/>
        </w:rPr>
      </w:pPr>
    </w:p>
    <w:p w14:paraId="16F3F41B" w14:textId="77777777" w:rsidR="008C5E3C" w:rsidRPr="00533EAC" w:rsidRDefault="008C5E3C" w:rsidP="00C05A32">
      <w:pPr>
        <w:spacing w:after="0" w:line="200" w:lineRule="exact"/>
        <w:rPr>
          <w:rFonts w:ascii="Arial" w:eastAsia="Calibri" w:hAnsi="Arial" w:cs="Arial"/>
          <w:color w:val="000000" w:themeColor="text1"/>
          <w:sz w:val="16"/>
          <w:szCs w:val="16"/>
          <w:lang w:val="en-ZA"/>
        </w:rPr>
      </w:pPr>
    </w:p>
    <w:p w14:paraId="613D1B07" w14:textId="1EAABBD1" w:rsidR="001A0D88" w:rsidRPr="00533EAC" w:rsidRDefault="001A0D88" w:rsidP="00C05A32">
      <w:pPr>
        <w:spacing w:after="0" w:line="200" w:lineRule="exact"/>
        <w:rPr>
          <w:rFonts w:ascii="Arial" w:eastAsia="Calibri" w:hAnsi="Arial" w:cs="Arial"/>
          <w:color w:val="000000" w:themeColor="text1"/>
          <w:sz w:val="16"/>
          <w:szCs w:val="16"/>
          <w:lang w:val="en-ZA"/>
        </w:rPr>
        <w:sectPr w:rsidR="001A0D88" w:rsidRPr="00533EAC" w:rsidSect="005565B0">
          <w:pgSz w:w="11906" w:h="16838"/>
          <w:pgMar w:top="1418" w:right="1418" w:bottom="1134" w:left="1418" w:header="709" w:footer="709" w:gutter="0"/>
          <w:lnNumType w:countBy="1" w:restart="continuous"/>
          <w:cols w:space="708"/>
          <w:docGrid w:linePitch="360"/>
        </w:sectPr>
      </w:pPr>
    </w:p>
    <w:p w14:paraId="0042BCE1" w14:textId="1C962172" w:rsidR="005633D6" w:rsidRPr="00533EAC" w:rsidRDefault="005633D6" w:rsidP="00C05A32">
      <w:pPr>
        <w:widowControl w:val="0"/>
        <w:autoSpaceDE w:val="0"/>
        <w:autoSpaceDN w:val="0"/>
        <w:adjustRightInd w:val="0"/>
        <w:spacing w:after="0" w:line="360" w:lineRule="auto"/>
        <w:rPr>
          <w:rFonts w:ascii="Arial" w:eastAsia="Calibri" w:hAnsi="Arial" w:cs="Arial"/>
          <w:bCs/>
          <w:color w:val="000000" w:themeColor="text1"/>
          <w:sz w:val="20"/>
          <w:szCs w:val="20"/>
          <w:lang w:val="en-ZA"/>
        </w:rPr>
      </w:pPr>
      <w:r w:rsidRPr="00533EAC">
        <w:rPr>
          <w:rFonts w:ascii="Arial" w:eastAsia="Calibri" w:hAnsi="Arial" w:cs="Arial"/>
          <w:b/>
          <w:bCs/>
          <w:color w:val="000000" w:themeColor="text1"/>
          <w:sz w:val="20"/>
          <w:szCs w:val="20"/>
          <w:lang w:val="en-ZA"/>
        </w:rPr>
        <w:lastRenderedPageBreak/>
        <w:t xml:space="preserve">Table 2: </w:t>
      </w:r>
      <w:r w:rsidRPr="00533EAC">
        <w:rPr>
          <w:rFonts w:ascii="Arial" w:eastAsia="Calibri" w:hAnsi="Arial" w:cs="Arial"/>
          <w:bCs/>
          <w:color w:val="000000" w:themeColor="text1"/>
          <w:sz w:val="20"/>
          <w:szCs w:val="20"/>
          <w:lang w:val="en-ZA"/>
        </w:rPr>
        <w:t xml:space="preserve">Characteristics of the </w:t>
      </w:r>
      <w:r w:rsidR="00C7243E" w:rsidRPr="00533EAC">
        <w:rPr>
          <w:rFonts w:ascii="Arial" w:eastAsia="Calibri" w:hAnsi="Arial" w:cs="Arial"/>
          <w:bCs/>
          <w:color w:val="000000" w:themeColor="text1"/>
          <w:sz w:val="20"/>
          <w:szCs w:val="20"/>
          <w:lang w:val="en-ZA"/>
        </w:rPr>
        <w:t>five</w:t>
      </w:r>
      <w:r w:rsidRPr="00533EAC">
        <w:rPr>
          <w:rFonts w:ascii="Arial" w:eastAsia="Calibri" w:hAnsi="Arial" w:cs="Arial"/>
          <w:bCs/>
          <w:color w:val="000000" w:themeColor="text1"/>
          <w:sz w:val="20"/>
          <w:szCs w:val="20"/>
          <w:lang w:val="en-ZA"/>
        </w:rPr>
        <w:t xml:space="preserve"> microsatellite markers developed for</w:t>
      </w:r>
      <w:r w:rsidRPr="00533EAC">
        <w:rPr>
          <w:rFonts w:ascii="Arial" w:eastAsia="Calibri" w:hAnsi="Arial" w:cs="Arial"/>
          <w:bCs/>
          <w:i/>
          <w:color w:val="000000" w:themeColor="text1"/>
          <w:sz w:val="20"/>
          <w:szCs w:val="20"/>
          <w:lang w:val="en-ZA"/>
        </w:rPr>
        <w:t xml:space="preserve"> Pyura stolonifera </w:t>
      </w:r>
      <w:r w:rsidRPr="00533EAC">
        <w:rPr>
          <w:rFonts w:ascii="Arial" w:eastAsia="Calibri" w:hAnsi="Arial" w:cs="Arial"/>
          <w:bCs/>
          <w:iCs/>
          <w:color w:val="000000" w:themeColor="text1"/>
          <w:sz w:val="20"/>
          <w:szCs w:val="20"/>
          <w:lang w:val="en-ZA"/>
        </w:rPr>
        <w:t>and</w:t>
      </w:r>
      <w:r w:rsidRPr="00533EAC">
        <w:rPr>
          <w:rFonts w:ascii="Arial" w:eastAsia="Calibri" w:hAnsi="Arial" w:cs="Arial"/>
          <w:bCs/>
          <w:i/>
          <w:color w:val="000000" w:themeColor="text1"/>
          <w:sz w:val="20"/>
          <w:szCs w:val="20"/>
          <w:lang w:val="en-ZA"/>
        </w:rPr>
        <w:t xml:space="preserve"> P. herdmani</w:t>
      </w:r>
      <w:r w:rsidR="00C7243E" w:rsidRPr="00533EAC">
        <w:rPr>
          <w:rFonts w:ascii="Arial" w:eastAsia="Calibri" w:hAnsi="Arial" w:cs="Arial"/>
          <w:bCs/>
          <w:i/>
          <w:color w:val="000000" w:themeColor="text1"/>
          <w:sz w:val="20"/>
          <w:szCs w:val="20"/>
          <w:lang w:val="en-ZA"/>
        </w:rPr>
        <w:t xml:space="preserve">. </w:t>
      </w:r>
      <w:r w:rsidR="001D1A0C" w:rsidRPr="00533EAC">
        <w:rPr>
          <w:rFonts w:ascii="Arial" w:eastAsia="Calibri" w:hAnsi="Arial" w:cs="Arial"/>
          <w:i/>
          <w:color w:val="000000" w:themeColor="text1"/>
          <w:sz w:val="20"/>
          <w:szCs w:val="20"/>
          <w:lang w:val="en-ZA"/>
        </w:rPr>
        <w:t>N</w:t>
      </w:r>
      <w:r w:rsidR="001D1A0C" w:rsidRPr="00533EAC">
        <w:rPr>
          <w:rFonts w:ascii="Arial" w:eastAsia="Calibri" w:hAnsi="Arial" w:cs="Arial"/>
          <w:color w:val="000000" w:themeColor="text1"/>
          <w:sz w:val="20"/>
          <w:szCs w:val="20"/>
          <w:vertAlign w:val="subscript"/>
          <w:lang w:val="en-ZA"/>
        </w:rPr>
        <w:t>A</w:t>
      </w:r>
      <w:r w:rsidR="001D1A0C" w:rsidRPr="00533EAC">
        <w:rPr>
          <w:rFonts w:ascii="Arial" w:eastAsia="Calibri" w:hAnsi="Arial" w:cs="Arial"/>
          <w:color w:val="000000" w:themeColor="text1"/>
          <w:sz w:val="20"/>
          <w:szCs w:val="20"/>
          <w:lang w:val="en-ZA"/>
        </w:rPr>
        <w:t xml:space="preserve"> = total number of alleles, </w:t>
      </w:r>
      <w:r w:rsidR="001D1A0C" w:rsidRPr="00533EAC">
        <w:rPr>
          <w:rFonts w:ascii="Arial" w:eastAsia="Calibri" w:hAnsi="Arial" w:cs="Arial"/>
          <w:i/>
          <w:color w:val="000000" w:themeColor="text1"/>
          <w:sz w:val="20"/>
          <w:szCs w:val="20"/>
          <w:lang w:val="en-ZA"/>
        </w:rPr>
        <w:t>H</w:t>
      </w:r>
      <w:r w:rsidR="001D1A0C" w:rsidRPr="00533EAC">
        <w:rPr>
          <w:rFonts w:ascii="Arial" w:eastAsia="Calibri" w:hAnsi="Arial" w:cs="Arial"/>
          <w:color w:val="000000" w:themeColor="text1"/>
          <w:sz w:val="20"/>
          <w:szCs w:val="20"/>
          <w:vertAlign w:val="subscript"/>
          <w:lang w:val="en-ZA"/>
        </w:rPr>
        <w:t>O</w:t>
      </w:r>
      <w:r w:rsidR="001D1A0C" w:rsidRPr="00533EAC">
        <w:rPr>
          <w:rFonts w:ascii="Arial" w:eastAsia="Calibri" w:hAnsi="Arial" w:cs="Arial"/>
          <w:color w:val="000000" w:themeColor="text1"/>
          <w:sz w:val="20"/>
          <w:szCs w:val="20"/>
          <w:lang w:val="en-ZA"/>
        </w:rPr>
        <w:t xml:space="preserve"> = observed heterozygosity, </w:t>
      </w:r>
      <w:r w:rsidR="001D1A0C" w:rsidRPr="00533EAC">
        <w:rPr>
          <w:rFonts w:ascii="Arial" w:eastAsia="Calibri" w:hAnsi="Arial" w:cs="Arial"/>
          <w:i/>
          <w:color w:val="000000" w:themeColor="text1"/>
          <w:sz w:val="20"/>
          <w:szCs w:val="20"/>
          <w:lang w:val="en-ZA"/>
        </w:rPr>
        <w:t>H</w:t>
      </w:r>
      <w:r w:rsidR="001D1A0C" w:rsidRPr="00533EAC">
        <w:rPr>
          <w:rFonts w:ascii="Arial" w:eastAsia="Calibri" w:hAnsi="Arial" w:cs="Arial"/>
          <w:color w:val="000000" w:themeColor="text1"/>
          <w:sz w:val="20"/>
          <w:szCs w:val="20"/>
          <w:vertAlign w:val="subscript"/>
          <w:lang w:val="en-ZA"/>
        </w:rPr>
        <w:t>E</w:t>
      </w:r>
      <w:r w:rsidR="001D1A0C" w:rsidRPr="00533EAC">
        <w:rPr>
          <w:rFonts w:ascii="Arial" w:eastAsia="Calibri" w:hAnsi="Arial" w:cs="Arial"/>
          <w:color w:val="000000" w:themeColor="text1"/>
          <w:sz w:val="20"/>
          <w:szCs w:val="20"/>
          <w:lang w:val="en-ZA"/>
        </w:rPr>
        <w:t xml:space="preserve"> = expected heterozygosity, </w:t>
      </w:r>
      <w:r w:rsidR="001D1A0C" w:rsidRPr="00533EAC">
        <w:rPr>
          <w:rFonts w:ascii="Arial" w:eastAsia="Calibri" w:hAnsi="Arial" w:cs="Arial"/>
          <w:i/>
          <w:color w:val="000000" w:themeColor="text1"/>
          <w:sz w:val="20"/>
          <w:szCs w:val="20"/>
          <w:lang w:val="en-ZA"/>
        </w:rPr>
        <w:t>T</w:t>
      </w:r>
      <w:r w:rsidR="001D1A0C" w:rsidRPr="00533EAC">
        <w:rPr>
          <w:rFonts w:ascii="Arial" w:eastAsia="Calibri" w:hAnsi="Arial" w:cs="Arial"/>
          <w:i/>
          <w:color w:val="000000" w:themeColor="text1"/>
          <w:sz w:val="20"/>
          <w:szCs w:val="20"/>
          <w:vertAlign w:val="subscript"/>
          <w:lang w:val="en-ZA"/>
        </w:rPr>
        <w:t>a</w:t>
      </w:r>
      <w:r w:rsidR="001D1A0C" w:rsidRPr="00533EAC">
        <w:rPr>
          <w:rFonts w:ascii="Arial" w:eastAsia="Calibri" w:hAnsi="Arial" w:cs="Arial"/>
          <w:color w:val="000000" w:themeColor="text1"/>
          <w:sz w:val="20"/>
          <w:szCs w:val="20"/>
          <w:lang w:val="en-ZA"/>
        </w:rPr>
        <w:t xml:space="preserve"> = primer-specific annealing temperature</w:t>
      </w:r>
    </w:p>
    <w:tbl>
      <w:tblPr>
        <w:tblStyle w:val="Grigliatabella1"/>
        <w:tblW w:w="12332" w:type="dxa"/>
        <w:jc w:val="center"/>
        <w:tblLayout w:type="fixed"/>
        <w:tblLook w:val="04A0" w:firstRow="1" w:lastRow="0" w:firstColumn="1" w:lastColumn="0" w:noHBand="0" w:noVBand="1"/>
      </w:tblPr>
      <w:tblGrid>
        <w:gridCol w:w="851"/>
        <w:gridCol w:w="3794"/>
        <w:gridCol w:w="1418"/>
        <w:gridCol w:w="1592"/>
        <w:gridCol w:w="1025"/>
        <w:gridCol w:w="960"/>
        <w:gridCol w:w="992"/>
        <w:gridCol w:w="850"/>
        <w:gridCol w:w="850"/>
      </w:tblGrid>
      <w:tr w:rsidR="00533EAC" w:rsidRPr="00533EAC" w14:paraId="628512B9" w14:textId="77777777" w:rsidTr="00C05A32">
        <w:trPr>
          <w:trHeight w:val="221"/>
          <w:jc w:val="center"/>
        </w:trPr>
        <w:tc>
          <w:tcPr>
            <w:tcW w:w="851" w:type="dxa"/>
            <w:tcBorders>
              <w:left w:val="nil"/>
              <w:bottom w:val="single" w:sz="4" w:space="0" w:color="auto"/>
              <w:right w:val="nil"/>
            </w:tcBorders>
            <w:noWrap/>
            <w:vAlign w:val="center"/>
            <w:hideMark/>
          </w:tcPr>
          <w:p w14:paraId="1B54B558"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Locus</w:t>
            </w:r>
          </w:p>
        </w:tc>
        <w:tc>
          <w:tcPr>
            <w:tcW w:w="3794" w:type="dxa"/>
            <w:tcBorders>
              <w:left w:val="nil"/>
              <w:bottom w:val="single" w:sz="4" w:space="0" w:color="auto"/>
              <w:right w:val="nil"/>
            </w:tcBorders>
            <w:noWrap/>
            <w:vAlign w:val="center"/>
            <w:hideMark/>
          </w:tcPr>
          <w:p w14:paraId="1BBDADE4"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Primer sequence</w:t>
            </w:r>
          </w:p>
        </w:tc>
        <w:tc>
          <w:tcPr>
            <w:tcW w:w="1418" w:type="dxa"/>
            <w:tcBorders>
              <w:left w:val="nil"/>
              <w:bottom w:val="single" w:sz="4" w:space="0" w:color="auto"/>
              <w:right w:val="nil"/>
            </w:tcBorders>
            <w:noWrap/>
            <w:vAlign w:val="center"/>
            <w:hideMark/>
          </w:tcPr>
          <w:p w14:paraId="56C4B92D"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Repeat pattern</w:t>
            </w:r>
          </w:p>
        </w:tc>
        <w:tc>
          <w:tcPr>
            <w:tcW w:w="1592" w:type="dxa"/>
            <w:tcBorders>
              <w:left w:val="nil"/>
              <w:bottom w:val="single" w:sz="4" w:space="0" w:color="auto"/>
              <w:right w:val="nil"/>
            </w:tcBorders>
            <w:noWrap/>
            <w:vAlign w:val="center"/>
            <w:hideMark/>
          </w:tcPr>
          <w:p w14:paraId="5400D9C6"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Allele size range</w:t>
            </w:r>
          </w:p>
        </w:tc>
        <w:tc>
          <w:tcPr>
            <w:tcW w:w="1025" w:type="dxa"/>
            <w:tcBorders>
              <w:left w:val="nil"/>
              <w:bottom w:val="single" w:sz="4" w:space="0" w:color="auto"/>
              <w:right w:val="nil"/>
            </w:tcBorders>
          </w:tcPr>
          <w:p w14:paraId="3FAF6662"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i/>
                <w:color w:val="000000" w:themeColor="text1"/>
                <w:sz w:val="16"/>
                <w:szCs w:val="16"/>
                <w:lang w:val="en-ZA" w:eastAsia="de-DE"/>
              </w:rPr>
              <w:t>T</w:t>
            </w:r>
            <w:r w:rsidRPr="00533EAC">
              <w:rPr>
                <w:rFonts w:ascii="Arial" w:eastAsia="Times New Roman" w:hAnsi="Arial" w:cs="Arial"/>
                <w:i/>
                <w:color w:val="000000" w:themeColor="text1"/>
                <w:sz w:val="16"/>
                <w:szCs w:val="16"/>
                <w:vertAlign w:val="subscript"/>
                <w:lang w:val="en-ZA" w:eastAsia="de-DE"/>
              </w:rPr>
              <w:t>a</w:t>
            </w:r>
            <w:r w:rsidRPr="00533EAC">
              <w:rPr>
                <w:rFonts w:ascii="Arial" w:eastAsia="Times New Roman" w:hAnsi="Arial" w:cs="Arial"/>
                <w:color w:val="000000" w:themeColor="text1"/>
                <w:sz w:val="16"/>
                <w:szCs w:val="16"/>
                <w:lang w:val="en-ZA" w:eastAsia="de-DE"/>
              </w:rPr>
              <w:t xml:space="preserve"> (°C)</w:t>
            </w:r>
            <w:r w:rsidRPr="00533EAC">
              <w:rPr>
                <w:rFonts w:ascii="Arial" w:eastAsia="Times New Roman" w:hAnsi="Arial" w:cs="Arial"/>
                <w:color w:val="000000" w:themeColor="text1"/>
                <w:sz w:val="16"/>
                <w:szCs w:val="16"/>
                <w:vertAlign w:val="subscript"/>
                <w:lang w:val="en-ZA" w:eastAsia="de-DE"/>
              </w:rPr>
              <w:t xml:space="preserve"> </w:t>
            </w:r>
          </w:p>
        </w:tc>
        <w:tc>
          <w:tcPr>
            <w:tcW w:w="960" w:type="dxa"/>
            <w:tcBorders>
              <w:left w:val="nil"/>
              <w:bottom w:val="single" w:sz="4" w:space="0" w:color="auto"/>
              <w:right w:val="nil"/>
            </w:tcBorders>
            <w:noWrap/>
            <w:vAlign w:val="center"/>
            <w:hideMark/>
          </w:tcPr>
          <w:p w14:paraId="46F79531"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i/>
                <w:color w:val="000000" w:themeColor="text1"/>
                <w:sz w:val="16"/>
                <w:szCs w:val="16"/>
                <w:lang w:val="en-ZA" w:eastAsia="de-DE"/>
              </w:rPr>
              <w:t>N</w:t>
            </w:r>
            <w:r w:rsidRPr="00533EAC">
              <w:rPr>
                <w:rFonts w:ascii="Arial" w:eastAsia="Times New Roman" w:hAnsi="Arial" w:cs="Arial"/>
                <w:color w:val="000000" w:themeColor="text1"/>
                <w:sz w:val="16"/>
                <w:szCs w:val="16"/>
                <w:vertAlign w:val="subscript"/>
                <w:lang w:val="en-ZA" w:eastAsia="de-DE"/>
              </w:rPr>
              <w:t>A</w:t>
            </w:r>
          </w:p>
        </w:tc>
        <w:tc>
          <w:tcPr>
            <w:tcW w:w="992" w:type="dxa"/>
            <w:tcBorders>
              <w:left w:val="nil"/>
              <w:bottom w:val="single" w:sz="4" w:space="0" w:color="auto"/>
              <w:right w:val="nil"/>
            </w:tcBorders>
            <w:vAlign w:val="center"/>
          </w:tcPr>
          <w:p w14:paraId="23235F9B" w14:textId="77777777" w:rsidR="00C7243E" w:rsidRPr="00533EAC" w:rsidRDefault="00C7243E"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H</w:t>
            </w:r>
            <w:r w:rsidRPr="00533EAC">
              <w:rPr>
                <w:rFonts w:ascii="Arial" w:eastAsia="Times New Roman" w:hAnsi="Arial" w:cs="Arial"/>
                <w:bCs/>
                <w:color w:val="000000" w:themeColor="text1"/>
                <w:sz w:val="16"/>
                <w:szCs w:val="16"/>
                <w:vertAlign w:val="subscript"/>
                <w:lang w:val="en-ZA" w:eastAsia="de-DE"/>
              </w:rPr>
              <w:t>O</w:t>
            </w:r>
          </w:p>
        </w:tc>
        <w:tc>
          <w:tcPr>
            <w:tcW w:w="850" w:type="dxa"/>
            <w:tcBorders>
              <w:left w:val="nil"/>
              <w:bottom w:val="single" w:sz="4" w:space="0" w:color="auto"/>
              <w:right w:val="nil"/>
            </w:tcBorders>
          </w:tcPr>
          <w:p w14:paraId="0D3CE923" w14:textId="77777777" w:rsidR="00C7243E" w:rsidRPr="00533EAC" w:rsidRDefault="00C7243E" w:rsidP="00302BE0">
            <w:pPr>
              <w:spacing w:line="200" w:lineRule="exact"/>
              <w:rPr>
                <w:rFonts w:ascii="Arial" w:eastAsia="Times New Roman" w:hAnsi="Arial" w:cs="Arial"/>
                <w:bCs/>
                <w:i/>
                <w:color w:val="000000" w:themeColor="text1"/>
                <w:sz w:val="16"/>
                <w:szCs w:val="16"/>
                <w:lang w:val="en-ZA" w:eastAsia="de-DE"/>
              </w:rPr>
            </w:pPr>
          </w:p>
        </w:tc>
        <w:tc>
          <w:tcPr>
            <w:tcW w:w="850" w:type="dxa"/>
            <w:tcBorders>
              <w:left w:val="nil"/>
              <w:bottom w:val="single" w:sz="4" w:space="0" w:color="auto"/>
              <w:right w:val="nil"/>
            </w:tcBorders>
            <w:vAlign w:val="center"/>
          </w:tcPr>
          <w:p w14:paraId="1F1778E1" w14:textId="774AD792" w:rsidR="00C7243E" w:rsidRPr="00533EAC" w:rsidRDefault="00C7243E"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H</w:t>
            </w:r>
            <w:r w:rsidRPr="00533EAC">
              <w:rPr>
                <w:rFonts w:ascii="Arial" w:eastAsia="Times New Roman" w:hAnsi="Arial" w:cs="Arial"/>
                <w:bCs/>
                <w:color w:val="000000" w:themeColor="text1"/>
                <w:sz w:val="16"/>
                <w:szCs w:val="16"/>
                <w:vertAlign w:val="subscript"/>
                <w:lang w:val="en-ZA" w:eastAsia="de-DE"/>
              </w:rPr>
              <w:t>E</w:t>
            </w:r>
          </w:p>
        </w:tc>
      </w:tr>
      <w:tr w:rsidR="00533EAC" w:rsidRPr="00533EAC" w14:paraId="0D50E4F2" w14:textId="77777777" w:rsidTr="00C05A32">
        <w:trPr>
          <w:trHeight w:val="221"/>
          <w:jc w:val="center"/>
        </w:trPr>
        <w:tc>
          <w:tcPr>
            <w:tcW w:w="851" w:type="dxa"/>
            <w:tcBorders>
              <w:left w:val="nil"/>
              <w:bottom w:val="nil"/>
              <w:right w:val="nil"/>
            </w:tcBorders>
            <w:noWrap/>
            <w:vAlign w:val="center"/>
            <w:hideMark/>
          </w:tcPr>
          <w:p w14:paraId="262C2BE2" w14:textId="77777777"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c>
          <w:tcPr>
            <w:tcW w:w="3794" w:type="dxa"/>
            <w:tcBorders>
              <w:left w:val="nil"/>
              <w:bottom w:val="nil"/>
              <w:right w:val="nil"/>
            </w:tcBorders>
            <w:noWrap/>
            <w:vAlign w:val="center"/>
            <w:hideMark/>
          </w:tcPr>
          <w:p w14:paraId="079C4D6E" w14:textId="77777777" w:rsidR="00C7243E" w:rsidRPr="00533EAC" w:rsidRDefault="00C7243E" w:rsidP="00C05A32">
            <w:pPr>
              <w:spacing w:line="200" w:lineRule="exact"/>
              <w:jc w:val="both"/>
              <w:rPr>
                <w:rFonts w:ascii="Arial" w:eastAsia="Times New Roman" w:hAnsi="Arial" w:cs="Arial"/>
                <w:b/>
                <w:bCs/>
                <w:color w:val="000000" w:themeColor="text1"/>
                <w:sz w:val="16"/>
                <w:szCs w:val="16"/>
                <w:lang w:val="en-ZA" w:eastAsia="de-DE"/>
              </w:rPr>
            </w:pPr>
          </w:p>
        </w:tc>
        <w:tc>
          <w:tcPr>
            <w:tcW w:w="1418" w:type="dxa"/>
            <w:tcBorders>
              <w:left w:val="nil"/>
              <w:bottom w:val="nil"/>
              <w:right w:val="nil"/>
            </w:tcBorders>
            <w:noWrap/>
            <w:vAlign w:val="center"/>
            <w:hideMark/>
          </w:tcPr>
          <w:p w14:paraId="12531DA6" w14:textId="77777777"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c>
          <w:tcPr>
            <w:tcW w:w="1592" w:type="dxa"/>
            <w:tcBorders>
              <w:left w:val="nil"/>
              <w:bottom w:val="nil"/>
              <w:right w:val="nil"/>
            </w:tcBorders>
            <w:noWrap/>
            <w:vAlign w:val="center"/>
            <w:hideMark/>
          </w:tcPr>
          <w:p w14:paraId="19A534FC" w14:textId="77777777"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c>
          <w:tcPr>
            <w:tcW w:w="1025" w:type="dxa"/>
            <w:tcBorders>
              <w:left w:val="nil"/>
              <w:bottom w:val="nil"/>
              <w:right w:val="nil"/>
            </w:tcBorders>
          </w:tcPr>
          <w:p w14:paraId="71EE6C8E" w14:textId="77777777"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c>
          <w:tcPr>
            <w:tcW w:w="960" w:type="dxa"/>
            <w:tcBorders>
              <w:left w:val="nil"/>
              <w:bottom w:val="nil"/>
              <w:right w:val="nil"/>
            </w:tcBorders>
            <w:noWrap/>
            <w:vAlign w:val="center"/>
            <w:hideMark/>
          </w:tcPr>
          <w:p w14:paraId="62C76896" w14:textId="77777777"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c>
          <w:tcPr>
            <w:tcW w:w="992" w:type="dxa"/>
            <w:tcBorders>
              <w:left w:val="nil"/>
              <w:bottom w:val="nil"/>
              <w:right w:val="nil"/>
            </w:tcBorders>
            <w:vAlign w:val="center"/>
          </w:tcPr>
          <w:p w14:paraId="17043D01" w14:textId="77777777"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c>
          <w:tcPr>
            <w:tcW w:w="850" w:type="dxa"/>
            <w:tcBorders>
              <w:left w:val="nil"/>
              <w:bottom w:val="nil"/>
              <w:right w:val="nil"/>
            </w:tcBorders>
          </w:tcPr>
          <w:p w14:paraId="510EE56F" w14:textId="77777777" w:rsidR="00C7243E" w:rsidRPr="00533EAC" w:rsidRDefault="00C7243E" w:rsidP="00302BE0">
            <w:pPr>
              <w:spacing w:line="200" w:lineRule="exact"/>
              <w:rPr>
                <w:rFonts w:ascii="Arial" w:eastAsia="Times New Roman" w:hAnsi="Arial" w:cs="Arial"/>
                <w:b/>
                <w:bCs/>
                <w:color w:val="000000" w:themeColor="text1"/>
                <w:sz w:val="16"/>
                <w:szCs w:val="16"/>
                <w:lang w:val="en-ZA" w:eastAsia="de-DE"/>
              </w:rPr>
            </w:pPr>
          </w:p>
        </w:tc>
        <w:tc>
          <w:tcPr>
            <w:tcW w:w="850" w:type="dxa"/>
            <w:tcBorders>
              <w:left w:val="nil"/>
              <w:bottom w:val="nil"/>
              <w:right w:val="nil"/>
            </w:tcBorders>
            <w:vAlign w:val="center"/>
          </w:tcPr>
          <w:p w14:paraId="18A5022B" w14:textId="74C8A92C" w:rsidR="00C7243E" w:rsidRPr="00533EAC" w:rsidRDefault="00C7243E" w:rsidP="00C05A32">
            <w:pPr>
              <w:spacing w:line="200" w:lineRule="exact"/>
              <w:rPr>
                <w:rFonts w:ascii="Arial" w:eastAsia="Times New Roman" w:hAnsi="Arial" w:cs="Arial"/>
                <w:b/>
                <w:bCs/>
                <w:color w:val="000000" w:themeColor="text1"/>
                <w:sz w:val="16"/>
                <w:szCs w:val="16"/>
                <w:lang w:val="en-ZA" w:eastAsia="de-DE"/>
              </w:rPr>
            </w:pPr>
          </w:p>
        </w:tc>
      </w:tr>
      <w:tr w:rsidR="00533EAC" w:rsidRPr="00533EAC" w14:paraId="14F2291F" w14:textId="77777777" w:rsidTr="00C05A32">
        <w:trPr>
          <w:trHeight w:val="221"/>
          <w:jc w:val="center"/>
        </w:trPr>
        <w:tc>
          <w:tcPr>
            <w:tcW w:w="851" w:type="dxa"/>
            <w:tcBorders>
              <w:top w:val="nil"/>
              <w:left w:val="nil"/>
              <w:bottom w:val="nil"/>
              <w:right w:val="nil"/>
            </w:tcBorders>
            <w:noWrap/>
            <w:vAlign w:val="center"/>
            <w:hideMark/>
          </w:tcPr>
          <w:p w14:paraId="736BC9AA"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Pstol1</w:t>
            </w:r>
          </w:p>
        </w:tc>
        <w:tc>
          <w:tcPr>
            <w:tcW w:w="3794" w:type="dxa"/>
            <w:tcBorders>
              <w:top w:val="nil"/>
              <w:left w:val="nil"/>
              <w:bottom w:val="nil"/>
              <w:right w:val="nil"/>
            </w:tcBorders>
            <w:noWrap/>
            <w:vAlign w:val="center"/>
            <w:hideMark/>
          </w:tcPr>
          <w:p w14:paraId="09246FFA"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F-ACAACCATCACCCTGATTGC</w:t>
            </w:r>
          </w:p>
        </w:tc>
        <w:tc>
          <w:tcPr>
            <w:tcW w:w="1418" w:type="dxa"/>
            <w:tcBorders>
              <w:top w:val="nil"/>
              <w:left w:val="nil"/>
              <w:bottom w:val="nil"/>
              <w:right w:val="nil"/>
            </w:tcBorders>
            <w:noWrap/>
            <w:vAlign w:val="center"/>
            <w:hideMark/>
          </w:tcPr>
          <w:p w14:paraId="55E88EFA"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(AC)</w:t>
            </w:r>
            <w:r w:rsidRPr="00533EAC">
              <w:rPr>
                <w:rFonts w:ascii="Arial" w:eastAsia="Times New Roman" w:hAnsi="Arial" w:cs="Arial"/>
                <w:color w:val="000000" w:themeColor="text1"/>
                <w:sz w:val="16"/>
                <w:szCs w:val="16"/>
                <w:vertAlign w:val="subscript"/>
                <w:lang w:val="en-ZA" w:eastAsia="de-DE"/>
              </w:rPr>
              <w:t>11</w:t>
            </w:r>
          </w:p>
        </w:tc>
        <w:tc>
          <w:tcPr>
            <w:tcW w:w="1592" w:type="dxa"/>
            <w:tcBorders>
              <w:top w:val="nil"/>
              <w:left w:val="nil"/>
              <w:bottom w:val="nil"/>
              <w:right w:val="nil"/>
            </w:tcBorders>
            <w:noWrap/>
            <w:vAlign w:val="center"/>
            <w:hideMark/>
          </w:tcPr>
          <w:p w14:paraId="55C1FFC2" w14:textId="468DD506"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73</w:t>
            </w:r>
            <w:r w:rsidR="001D1A0C"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137</w:t>
            </w:r>
          </w:p>
        </w:tc>
        <w:tc>
          <w:tcPr>
            <w:tcW w:w="1025" w:type="dxa"/>
            <w:tcBorders>
              <w:top w:val="nil"/>
              <w:left w:val="nil"/>
              <w:bottom w:val="nil"/>
              <w:right w:val="nil"/>
            </w:tcBorders>
          </w:tcPr>
          <w:p w14:paraId="0E7DA7BF"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62</w:t>
            </w:r>
          </w:p>
        </w:tc>
        <w:tc>
          <w:tcPr>
            <w:tcW w:w="960" w:type="dxa"/>
            <w:tcBorders>
              <w:top w:val="nil"/>
              <w:left w:val="nil"/>
              <w:bottom w:val="nil"/>
              <w:right w:val="nil"/>
            </w:tcBorders>
            <w:noWrap/>
            <w:vAlign w:val="center"/>
            <w:hideMark/>
          </w:tcPr>
          <w:p w14:paraId="0598FDF1"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15</w:t>
            </w:r>
          </w:p>
        </w:tc>
        <w:tc>
          <w:tcPr>
            <w:tcW w:w="992" w:type="dxa"/>
            <w:tcBorders>
              <w:top w:val="nil"/>
              <w:left w:val="nil"/>
              <w:bottom w:val="nil"/>
              <w:right w:val="nil"/>
            </w:tcBorders>
            <w:vAlign w:val="center"/>
          </w:tcPr>
          <w:p w14:paraId="5952B8D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0.363</w:t>
            </w:r>
          </w:p>
        </w:tc>
        <w:tc>
          <w:tcPr>
            <w:tcW w:w="850" w:type="dxa"/>
            <w:tcBorders>
              <w:top w:val="nil"/>
              <w:left w:val="nil"/>
              <w:bottom w:val="nil"/>
              <w:right w:val="nil"/>
            </w:tcBorders>
          </w:tcPr>
          <w:p w14:paraId="552A67F6"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vAlign w:val="center"/>
          </w:tcPr>
          <w:p w14:paraId="55897248" w14:textId="4384B541"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0.372</w:t>
            </w:r>
          </w:p>
        </w:tc>
      </w:tr>
      <w:tr w:rsidR="00533EAC" w:rsidRPr="00533EAC" w14:paraId="6FE35D79" w14:textId="77777777" w:rsidTr="00C05A32">
        <w:trPr>
          <w:trHeight w:val="221"/>
          <w:jc w:val="center"/>
        </w:trPr>
        <w:tc>
          <w:tcPr>
            <w:tcW w:w="851" w:type="dxa"/>
            <w:tcBorders>
              <w:top w:val="nil"/>
              <w:left w:val="nil"/>
              <w:bottom w:val="nil"/>
              <w:right w:val="nil"/>
            </w:tcBorders>
            <w:noWrap/>
            <w:vAlign w:val="center"/>
            <w:hideMark/>
          </w:tcPr>
          <w:p w14:paraId="2920527F"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hideMark/>
          </w:tcPr>
          <w:p w14:paraId="58098982"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R-TCGAGTGAGAAGACGTGGTG</w:t>
            </w:r>
          </w:p>
        </w:tc>
        <w:tc>
          <w:tcPr>
            <w:tcW w:w="1418" w:type="dxa"/>
            <w:tcBorders>
              <w:top w:val="nil"/>
              <w:left w:val="nil"/>
              <w:bottom w:val="nil"/>
              <w:right w:val="nil"/>
            </w:tcBorders>
            <w:noWrap/>
            <w:vAlign w:val="center"/>
            <w:hideMark/>
          </w:tcPr>
          <w:p w14:paraId="00ED22FC"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hideMark/>
          </w:tcPr>
          <w:p w14:paraId="2463E076"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26A6CA37"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hideMark/>
          </w:tcPr>
          <w:p w14:paraId="67A85990"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4080C6A3"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tcPr>
          <w:p w14:paraId="64DD4351"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27512ACA" w14:textId="56E3310A"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06C53F90" w14:textId="77777777" w:rsidTr="00C05A32">
        <w:trPr>
          <w:trHeight w:val="221"/>
          <w:jc w:val="center"/>
        </w:trPr>
        <w:tc>
          <w:tcPr>
            <w:tcW w:w="851" w:type="dxa"/>
            <w:tcBorders>
              <w:top w:val="nil"/>
              <w:left w:val="nil"/>
              <w:bottom w:val="nil"/>
              <w:right w:val="nil"/>
            </w:tcBorders>
            <w:noWrap/>
            <w:vAlign w:val="center"/>
            <w:hideMark/>
          </w:tcPr>
          <w:p w14:paraId="0085DFD9"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hideMark/>
          </w:tcPr>
          <w:p w14:paraId="2AE94919"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p>
        </w:tc>
        <w:tc>
          <w:tcPr>
            <w:tcW w:w="1418" w:type="dxa"/>
            <w:tcBorders>
              <w:top w:val="nil"/>
              <w:left w:val="nil"/>
              <w:bottom w:val="nil"/>
              <w:right w:val="nil"/>
            </w:tcBorders>
            <w:noWrap/>
            <w:vAlign w:val="center"/>
            <w:hideMark/>
          </w:tcPr>
          <w:p w14:paraId="52A5FF93"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hideMark/>
          </w:tcPr>
          <w:p w14:paraId="454A9849"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59C0FDA3"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hideMark/>
          </w:tcPr>
          <w:p w14:paraId="5BCF3D3D"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386D43FF"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tcPr>
          <w:p w14:paraId="360B56C9"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52D66A9F" w14:textId="176C6FD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65C9DB97" w14:textId="77777777" w:rsidTr="00C05A32">
        <w:trPr>
          <w:trHeight w:val="221"/>
          <w:jc w:val="center"/>
        </w:trPr>
        <w:tc>
          <w:tcPr>
            <w:tcW w:w="851" w:type="dxa"/>
            <w:tcBorders>
              <w:top w:val="nil"/>
              <w:left w:val="nil"/>
              <w:bottom w:val="nil"/>
              <w:right w:val="nil"/>
            </w:tcBorders>
            <w:noWrap/>
            <w:vAlign w:val="center"/>
            <w:hideMark/>
          </w:tcPr>
          <w:p w14:paraId="58243D12"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Pstol2</w:t>
            </w:r>
          </w:p>
        </w:tc>
        <w:tc>
          <w:tcPr>
            <w:tcW w:w="3794" w:type="dxa"/>
            <w:tcBorders>
              <w:top w:val="nil"/>
              <w:left w:val="nil"/>
              <w:bottom w:val="nil"/>
              <w:right w:val="nil"/>
            </w:tcBorders>
            <w:noWrap/>
            <w:vAlign w:val="center"/>
            <w:hideMark/>
          </w:tcPr>
          <w:p w14:paraId="0147B981"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F-GTTGATTTACAGCGAGGGTTG </w:t>
            </w:r>
          </w:p>
        </w:tc>
        <w:tc>
          <w:tcPr>
            <w:tcW w:w="1418" w:type="dxa"/>
            <w:tcBorders>
              <w:top w:val="nil"/>
              <w:left w:val="nil"/>
              <w:bottom w:val="nil"/>
              <w:right w:val="nil"/>
            </w:tcBorders>
            <w:noWrap/>
            <w:vAlign w:val="center"/>
            <w:hideMark/>
          </w:tcPr>
          <w:p w14:paraId="37A434CC"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(TTC)</w:t>
            </w:r>
            <w:r w:rsidRPr="00533EAC">
              <w:rPr>
                <w:rFonts w:ascii="Arial" w:eastAsia="Times New Roman" w:hAnsi="Arial" w:cs="Arial"/>
                <w:color w:val="000000" w:themeColor="text1"/>
                <w:sz w:val="16"/>
                <w:szCs w:val="16"/>
                <w:vertAlign w:val="subscript"/>
                <w:lang w:val="en-ZA" w:eastAsia="de-DE"/>
              </w:rPr>
              <w:t>7</w:t>
            </w:r>
          </w:p>
        </w:tc>
        <w:tc>
          <w:tcPr>
            <w:tcW w:w="1592" w:type="dxa"/>
            <w:tcBorders>
              <w:top w:val="nil"/>
              <w:left w:val="nil"/>
              <w:bottom w:val="nil"/>
              <w:right w:val="nil"/>
            </w:tcBorders>
            <w:noWrap/>
            <w:vAlign w:val="center"/>
            <w:hideMark/>
          </w:tcPr>
          <w:p w14:paraId="318A5306" w14:textId="4A323360"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64</w:t>
            </w:r>
            <w:r w:rsidR="001D1A0C"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112</w:t>
            </w:r>
          </w:p>
        </w:tc>
        <w:tc>
          <w:tcPr>
            <w:tcW w:w="1025" w:type="dxa"/>
            <w:tcBorders>
              <w:top w:val="nil"/>
              <w:left w:val="nil"/>
              <w:bottom w:val="nil"/>
              <w:right w:val="nil"/>
            </w:tcBorders>
          </w:tcPr>
          <w:p w14:paraId="229FD51D"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52</w:t>
            </w:r>
          </w:p>
        </w:tc>
        <w:tc>
          <w:tcPr>
            <w:tcW w:w="960" w:type="dxa"/>
            <w:tcBorders>
              <w:top w:val="nil"/>
              <w:left w:val="nil"/>
              <w:bottom w:val="nil"/>
              <w:right w:val="nil"/>
            </w:tcBorders>
            <w:noWrap/>
            <w:vAlign w:val="center"/>
            <w:hideMark/>
          </w:tcPr>
          <w:p w14:paraId="68BF7B65"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6</w:t>
            </w:r>
          </w:p>
        </w:tc>
        <w:tc>
          <w:tcPr>
            <w:tcW w:w="992" w:type="dxa"/>
            <w:tcBorders>
              <w:top w:val="nil"/>
              <w:left w:val="nil"/>
              <w:bottom w:val="nil"/>
              <w:right w:val="nil"/>
            </w:tcBorders>
            <w:vAlign w:val="center"/>
          </w:tcPr>
          <w:p w14:paraId="14EDC4EF"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0.165</w:t>
            </w:r>
          </w:p>
        </w:tc>
        <w:tc>
          <w:tcPr>
            <w:tcW w:w="850" w:type="dxa"/>
            <w:tcBorders>
              <w:top w:val="nil"/>
              <w:left w:val="nil"/>
              <w:bottom w:val="nil"/>
              <w:right w:val="nil"/>
            </w:tcBorders>
          </w:tcPr>
          <w:p w14:paraId="4EDF4B8C"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vAlign w:val="center"/>
          </w:tcPr>
          <w:p w14:paraId="00A8C63E" w14:textId="6C0D220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0.384</w:t>
            </w:r>
          </w:p>
        </w:tc>
      </w:tr>
      <w:tr w:rsidR="00533EAC" w:rsidRPr="00533EAC" w14:paraId="1932BD8A" w14:textId="77777777" w:rsidTr="00C05A32">
        <w:trPr>
          <w:trHeight w:val="221"/>
          <w:jc w:val="center"/>
        </w:trPr>
        <w:tc>
          <w:tcPr>
            <w:tcW w:w="851" w:type="dxa"/>
            <w:tcBorders>
              <w:top w:val="nil"/>
              <w:left w:val="nil"/>
              <w:bottom w:val="nil"/>
              <w:right w:val="nil"/>
            </w:tcBorders>
            <w:noWrap/>
            <w:vAlign w:val="center"/>
            <w:hideMark/>
          </w:tcPr>
          <w:p w14:paraId="0BFA0A00"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hideMark/>
          </w:tcPr>
          <w:p w14:paraId="125E4E49"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R-TTCGAATCAGGAATCCACCT</w:t>
            </w:r>
          </w:p>
        </w:tc>
        <w:tc>
          <w:tcPr>
            <w:tcW w:w="1418" w:type="dxa"/>
            <w:tcBorders>
              <w:top w:val="nil"/>
              <w:left w:val="nil"/>
              <w:bottom w:val="nil"/>
              <w:right w:val="nil"/>
            </w:tcBorders>
            <w:noWrap/>
            <w:vAlign w:val="center"/>
            <w:hideMark/>
          </w:tcPr>
          <w:p w14:paraId="46EE0768"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hideMark/>
          </w:tcPr>
          <w:p w14:paraId="349F0629"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025" w:type="dxa"/>
            <w:tcBorders>
              <w:top w:val="nil"/>
              <w:left w:val="nil"/>
              <w:bottom w:val="nil"/>
              <w:right w:val="nil"/>
            </w:tcBorders>
          </w:tcPr>
          <w:p w14:paraId="53BC238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960" w:type="dxa"/>
            <w:tcBorders>
              <w:top w:val="nil"/>
              <w:left w:val="nil"/>
              <w:bottom w:val="nil"/>
              <w:right w:val="nil"/>
            </w:tcBorders>
            <w:noWrap/>
            <w:vAlign w:val="center"/>
            <w:hideMark/>
          </w:tcPr>
          <w:p w14:paraId="73AB69DF"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992" w:type="dxa"/>
            <w:tcBorders>
              <w:top w:val="nil"/>
              <w:left w:val="nil"/>
              <w:bottom w:val="nil"/>
              <w:right w:val="nil"/>
            </w:tcBorders>
            <w:vAlign w:val="center"/>
          </w:tcPr>
          <w:p w14:paraId="120997EF"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tcPr>
          <w:p w14:paraId="37C01587"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vAlign w:val="center"/>
          </w:tcPr>
          <w:p w14:paraId="1516727C" w14:textId="67620E00"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r>
      <w:tr w:rsidR="00533EAC" w:rsidRPr="00533EAC" w14:paraId="135779FE" w14:textId="77777777" w:rsidTr="00C05A32">
        <w:trPr>
          <w:trHeight w:val="221"/>
          <w:jc w:val="center"/>
        </w:trPr>
        <w:tc>
          <w:tcPr>
            <w:tcW w:w="851" w:type="dxa"/>
            <w:tcBorders>
              <w:top w:val="nil"/>
              <w:left w:val="nil"/>
              <w:bottom w:val="nil"/>
              <w:right w:val="nil"/>
            </w:tcBorders>
            <w:noWrap/>
            <w:vAlign w:val="center"/>
          </w:tcPr>
          <w:p w14:paraId="4A9E1D57"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tcPr>
          <w:p w14:paraId="2ED87403"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p>
        </w:tc>
        <w:tc>
          <w:tcPr>
            <w:tcW w:w="1418" w:type="dxa"/>
            <w:tcBorders>
              <w:top w:val="nil"/>
              <w:left w:val="nil"/>
              <w:bottom w:val="nil"/>
              <w:right w:val="nil"/>
            </w:tcBorders>
            <w:noWrap/>
            <w:vAlign w:val="center"/>
          </w:tcPr>
          <w:p w14:paraId="40E77606"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tcPr>
          <w:p w14:paraId="0AA7A358"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5C320E4E"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tcPr>
          <w:p w14:paraId="075BAE0A"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63307818"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tcPr>
          <w:p w14:paraId="205CA6B0"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557C0EFA" w14:textId="5F06BBBA"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3146DFED" w14:textId="77777777" w:rsidTr="00C05A32">
        <w:trPr>
          <w:trHeight w:val="221"/>
          <w:jc w:val="center"/>
        </w:trPr>
        <w:tc>
          <w:tcPr>
            <w:tcW w:w="851" w:type="dxa"/>
            <w:tcBorders>
              <w:top w:val="nil"/>
              <w:left w:val="nil"/>
              <w:bottom w:val="nil"/>
              <w:right w:val="nil"/>
            </w:tcBorders>
            <w:noWrap/>
            <w:vAlign w:val="center"/>
            <w:hideMark/>
          </w:tcPr>
          <w:p w14:paraId="1DEFD1B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Pherd1</w:t>
            </w:r>
          </w:p>
        </w:tc>
        <w:tc>
          <w:tcPr>
            <w:tcW w:w="3794" w:type="dxa"/>
            <w:tcBorders>
              <w:top w:val="nil"/>
              <w:left w:val="nil"/>
              <w:bottom w:val="nil"/>
              <w:right w:val="nil"/>
            </w:tcBorders>
            <w:noWrap/>
            <w:vAlign w:val="center"/>
            <w:hideMark/>
          </w:tcPr>
          <w:p w14:paraId="144CA45C"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F-ATCTCCCGCAGATTCTTCCT</w:t>
            </w:r>
          </w:p>
        </w:tc>
        <w:tc>
          <w:tcPr>
            <w:tcW w:w="1418" w:type="dxa"/>
            <w:tcBorders>
              <w:top w:val="nil"/>
              <w:left w:val="nil"/>
              <w:bottom w:val="nil"/>
              <w:right w:val="nil"/>
            </w:tcBorders>
            <w:noWrap/>
            <w:vAlign w:val="center"/>
            <w:hideMark/>
          </w:tcPr>
          <w:p w14:paraId="5B4A1937"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(TCT)</w:t>
            </w:r>
            <w:r w:rsidRPr="00533EAC">
              <w:rPr>
                <w:rFonts w:ascii="Arial" w:eastAsia="Times New Roman" w:hAnsi="Arial" w:cs="Arial"/>
                <w:color w:val="000000" w:themeColor="text1"/>
                <w:sz w:val="16"/>
                <w:szCs w:val="16"/>
                <w:vertAlign w:val="subscript"/>
                <w:lang w:val="en-ZA" w:eastAsia="de-DE"/>
              </w:rPr>
              <w:t>7</w:t>
            </w:r>
          </w:p>
        </w:tc>
        <w:tc>
          <w:tcPr>
            <w:tcW w:w="1592" w:type="dxa"/>
            <w:tcBorders>
              <w:top w:val="nil"/>
              <w:left w:val="nil"/>
              <w:bottom w:val="nil"/>
              <w:right w:val="nil"/>
            </w:tcBorders>
            <w:noWrap/>
            <w:vAlign w:val="center"/>
            <w:hideMark/>
          </w:tcPr>
          <w:p w14:paraId="44B62ADF" w14:textId="02E9CECF"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136</w:t>
            </w:r>
            <w:r w:rsidR="001D1A0C"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187</w:t>
            </w:r>
          </w:p>
        </w:tc>
        <w:tc>
          <w:tcPr>
            <w:tcW w:w="1025" w:type="dxa"/>
            <w:tcBorders>
              <w:top w:val="nil"/>
              <w:left w:val="nil"/>
              <w:bottom w:val="nil"/>
              <w:right w:val="nil"/>
            </w:tcBorders>
          </w:tcPr>
          <w:p w14:paraId="1B978953"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62</w:t>
            </w:r>
          </w:p>
        </w:tc>
        <w:tc>
          <w:tcPr>
            <w:tcW w:w="960" w:type="dxa"/>
            <w:tcBorders>
              <w:top w:val="nil"/>
              <w:left w:val="nil"/>
              <w:bottom w:val="nil"/>
              <w:right w:val="nil"/>
            </w:tcBorders>
            <w:noWrap/>
            <w:vAlign w:val="center"/>
            <w:hideMark/>
          </w:tcPr>
          <w:p w14:paraId="1F7C069A"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12</w:t>
            </w:r>
          </w:p>
        </w:tc>
        <w:tc>
          <w:tcPr>
            <w:tcW w:w="992" w:type="dxa"/>
            <w:tcBorders>
              <w:top w:val="nil"/>
              <w:left w:val="nil"/>
              <w:bottom w:val="nil"/>
              <w:right w:val="nil"/>
            </w:tcBorders>
            <w:vAlign w:val="center"/>
          </w:tcPr>
          <w:p w14:paraId="7416066D"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0.483</w:t>
            </w:r>
          </w:p>
        </w:tc>
        <w:tc>
          <w:tcPr>
            <w:tcW w:w="850" w:type="dxa"/>
            <w:tcBorders>
              <w:top w:val="nil"/>
              <w:left w:val="nil"/>
              <w:bottom w:val="nil"/>
              <w:right w:val="nil"/>
            </w:tcBorders>
          </w:tcPr>
          <w:p w14:paraId="71EDC8D4"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vAlign w:val="center"/>
          </w:tcPr>
          <w:p w14:paraId="0C01848E" w14:textId="1D7378CB"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0.647</w:t>
            </w:r>
          </w:p>
        </w:tc>
      </w:tr>
      <w:tr w:rsidR="00533EAC" w:rsidRPr="00533EAC" w14:paraId="203C8138" w14:textId="77777777" w:rsidTr="00C05A32">
        <w:trPr>
          <w:trHeight w:val="221"/>
          <w:jc w:val="center"/>
        </w:trPr>
        <w:tc>
          <w:tcPr>
            <w:tcW w:w="851" w:type="dxa"/>
            <w:tcBorders>
              <w:top w:val="nil"/>
              <w:left w:val="nil"/>
              <w:bottom w:val="nil"/>
              <w:right w:val="nil"/>
            </w:tcBorders>
            <w:noWrap/>
            <w:vAlign w:val="center"/>
            <w:hideMark/>
          </w:tcPr>
          <w:p w14:paraId="0709649D"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hideMark/>
          </w:tcPr>
          <w:p w14:paraId="0E658287"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R-TATTTTGGGGTTCAAGCAGC</w:t>
            </w:r>
          </w:p>
        </w:tc>
        <w:tc>
          <w:tcPr>
            <w:tcW w:w="1418" w:type="dxa"/>
            <w:tcBorders>
              <w:top w:val="nil"/>
              <w:left w:val="nil"/>
              <w:bottom w:val="nil"/>
              <w:right w:val="nil"/>
            </w:tcBorders>
            <w:noWrap/>
            <w:vAlign w:val="center"/>
            <w:hideMark/>
          </w:tcPr>
          <w:p w14:paraId="674D1DF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hideMark/>
          </w:tcPr>
          <w:p w14:paraId="1482FA3A"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7FC63BB6"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hideMark/>
          </w:tcPr>
          <w:p w14:paraId="72EDC19B"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2629475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tcPr>
          <w:p w14:paraId="54E8B202"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18A22A46" w14:textId="4A3E58FD"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56D1BEC2" w14:textId="77777777" w:rsidTr="00C05A32">
        <w:trPr>
          <w:trHeight w:val="221"/>
          <w:jc w:val="center"/>
        </w:trPr>
        <w:tc>
          <w:tcPr>
            <w:tcW w:w="851" w:type="dxa"/>
            <w:tcBorders>
              <w:top w:val="nil"/>
              <w:left w:val="nil"/>
              <w:bottom w:val="nil"/>
              <w:right w:val="nil"/>
            </w:tcBorders>
            <w:noWrap/>
            <w:vAlign w:val="center"/>
            <w:hideMark/>
          </w:tcPr>
          <w:p w14:paraId="4C360740"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hideMark/>
          </w:tcPr>
          <w:p w14:paraId="4FC10E25"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p>
        </w:tc>
        <w:tc>
          <w:tcPr>
            <w:tcW w:w="1418" w:type="dxa"/>
            <w:tcBorders>
              <w:top w:val="nil"/>
              <w:left w:val="nil"/>
              <w:bottom w:val="nil"/>
              <w:right w:val="nil"/>
            </w:tcBorders>
            <w:noWrap/>
            <w:vAlign w:val="center"/>
            <w:hideMark/>
          </w:tcPr>
          <w:p w14:paraId="3C4890DC"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hideMark/>
          </w:tcPr>
          <w:p w14:paraId="46EA2595"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1FB0A0EB"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hideMark/>
          </w:tcPr>
          <w:p w14:paraId="561A1E67"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430D36C0"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tcPr>
          <w:p w14:paraId="27AAF0D7"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6CFA3BB7" w14:textId="7E01D73B"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156AC437" w14:textId="77777777" w:rsidTr="00C05A32">
        <w:trPr>
          <w:trHeight w:val="221"/>
          <w:jc w:val="center"/>
        </w:trPr>
        <w:tc>
          <w:tcPr>
            <w:tcW w:w="851" w:type="dxa"/>
            <w:tcBorders>
              <w:top w:val="nil"/>
              <w:left w:val="nil"/>
              <w:bottom w:val="nil"/>
              <w:right w:val="nil"/>
            </w:tcBorders>
            <w:noWrap/>
            <w:vAlign w:val="center"/>
            <w:hideMark/>
          </w:tcPr>
          <w:p w14:paraId="47900C3E"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Pherd2</w:t>
            </w:r>
          </w:p>
        </w:tc>
        <w:tc>
          <w:tcPr>
            <w:tcW w:w="3794" w:type="dxa"/>
            <w:tcBorders>
              <w:top w:val="nil"/>
              <w:left w:val="nil"/>
              <w:bottom w:val="nil"/>
              <w:right w:val="nil"/>
            </w:tcBorders>
            <w:noWrap/>
            <w:vAlign w:val="center"/>
            <w:hideMark/>
          </w:tcPr>
          <w:p w14:paraId="7C327259"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F-CGGATAATCTCACTCGTGGAA</w:t>
            </w:r>
          </w:p>
        </w:tc>
        <w:tc>
          <w:tcPr>
            <w:tcW w:w="1418" w:type="dxa"/>
            <w:tcBorders>
              <w:top w:val="nil"/>
              <w:left w:val="nil"/>
              <w:bottom w:val="nil"/>
              <w:right w:val="nil"/>
            </w:tcBorders>
            <w:noWrap/>
            <w:vAlign w:val="center"/>
            <w:hideMark/>
          </w:tcPr>
          <w:p w14:paraId="3659B9A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(AG)</w:t>
            </w:r>
            <w:r w:rsidRPr="00533EAC">
              <w:rPr>
                <w:rFonts w:ascii="Arial" w:eastAsia="Times New Roman" w:hAnsi="Arial" w:cs="Arial"/>
                <w:color w:val="000000" w:themeColor="text1"/>
                <w:sz w:val="16"/>
                <w:szCs w:val="16"/>
                <w:vertAlign w:val="subscript"/>
                <w:lang w:val="en-ZA" w:eastAsia="de-DE"/>
              </w:rPr>
              <w:t>17</w:t>
            </w:r>
          </w:p>
        </w:tc>
        <w:tc>
          <w:tcPr>
            <w:tcW w:w="1592" w:type="dxa"/>
            <w:tcBorders>
              <w:top w:val="nil"/>
              <w:left w:val="nil"/>
              <w:bottom w:val="nil"/>
              <w:right w:val="nil"/>
            </w:tcBorders>
            <w:noWrap/>
            <w:vAlign w:val="center"/>
            <w:hideMark/>
          </w:tcPr>
          <w:p w14:paraId="2B33A56A" w14:textId="5EAF8203"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92</w:t>
            </w:r>
            <w:r w:rsidR="001D1A0C"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120</w:t>
            </w:r>
          </w:p>
        </w:tc>
        <w:tc>
          <w:tcPr>
            <w:tcW w:w="1025" w:type="dxa"/>
            <w:tcBorders>
              <w:top w:val="nil"/>
              <w:left w:val="nil"/>
              <w:bottom w:val="nil"/>
              <w:right w:val="nil"/>
            </w:tcBorders>
          </w:tcPr>
          <w:p w14:paraId="775DAF5E"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52</w:t>
            </w:r>
          </w:p>
        </w:tc>
        <w:tc>
          <w:tcPr>
            <w:tcW w:w="960" w:type="dxa"/>
            <w:tcBorders>
              <w:top w:val="nil"/>
              <w:left w:val="nil"/>
              <w:bottom w:val="nil"/>
              <w:right w:val="nil"/>
            </w:tcBorders>
            <w:noWrap/>
            <w:vAlign w:val="center"/>
            <w:hideMark/>
          </w:tcPr>
          <w:p w14:paraId="601D9D83"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11</w:t>
            </w:r>
          </w:p>
        </w:tc>
        <w:tc>
          <w:tcPr>
            <w:tcW w:w="992" w:type="dxa"/>
            <w:tcBorders>
              <w:top w:val="nil"/>
              <w:left w:val="nil"/>
              <w:bottom w:val="nil"/>
              <w:right w:val="nil"/>
            </w:tcBorders>
            <w:vAlign w:val="center"/>
          </w:tcPr>
          <w:p w14:paraId="6B3087E0"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0.120</w:t>
            </w:r>
          </w:p>
        </w:tc>
        <w:tc>
          <w:tcPr>
            <w:tcW w:w="850" w:type="dxa"/>
            <w:tcBorders>
              <w:top w:val="nil"/>
              <w:left w:val="nil"/>
              <w:bottom w:val="nil"/>
              <w:right w:val="nil"/>
            </w:tcBorders>
          </w:tcPr>
          <w:p w14:paraId="1035585A"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vAlign w:val="center"/>
          </w:tcPr>
          <w:p w14:paraId="3FD97BAF" w14:textId="63E62C10"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r w:rsidRPr="00533EAC">
              <w:rPr>
                <w:rFonts w:ascii="Arial" w:eastAsia="Times New Roman" w:hAnsi="Arial" w:cs="Arial"/>
                <w:color w:val="000000" w:themeColor="text1"/>
                <w:sz w:val="16"/>
                <w:szCs w:val="16"/>
                <w:lang w:val="en-ZA" w:eastAsia="de-DE"/>
              </w:rPr>
              <w:t>0.190</w:t>
            </w:r>
          </w:p>
        </w:tc>
      </w:tr>
      <w:tr w:rsidR="00533EAC" w:rsidRPr="00533EAC" w14:paraId="159DC7BD" w14:textId="77777777" w:rsidTr="00C05A32">
        <w:trPr>
          <w:trHeight w:val="221"/>
          <w:jc w:val="center"/>
        </w:trPr>
        <w:tc>
          <w:tcPr>
            <w:tcW w:w="851" w:type="dxa"/>
            <w:tcBorders>
              <w:top w:val="nil"/>
              <w:left w:val="nil"/>
              <w:bottom w:val="nil"/>
              <w:right w:val="nil"/>
            </w:tcBorders>
            <w:noWrap/>
            <w:vAlign w:val="center"/>
            <w:hideMark/>
          </w:tcPr>
          <w:p w14:paraId="3BF62B1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hideMark/>
          </w:tcPr>
          <w:p w14:paraId="6DDF6179"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R-GAGAATAGAATAGAGCACAATAACAA</w:t>
            </w:r>
          </w:p>
        </w:tc>
        <w:tc>
          <w:tcPr>
            <w:tcW w:w="1418" w:type="dxa"/>
            <w:tcBorders>
              <w:top w:val="nil"/>
              <w:left w:val="nil"/>
              <w:bottom w:val="nil"/>
              <w:right w:val="nil"/>
            </w:tcBorders>
            <w:noWrap/>
            <w:vAlign w:val="center"/>
            <w:hideMark/>
          </w:tcPr>
          <w:p w14:paraId="2DAB5C8A"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hideMark/>
          </w:tcPr>
          <w:p w14:paraId="2209DE18"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6F9A0EE4"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hideMark/>
          </w:tcPr>
          <w:p w14:paraId="043A284F"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46290C55"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tcPr>
          <w:p w14:paraId="1C9C1A1F"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2FCAE41C" w14:textId="698B35CE"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6468B41B" w14:textId="77777777" w:rsidTr="00C05A32">
        <w:trPr>
          <w:trHeight w:val="221"/>
          <w:jc w:val="center"/>
        </w:trPr>
        <w:tc>
          <w:tcPr>
            <w:tcW w:w="851" w:type="dxa"/>
            <w:tcBorders>
              <w:top w:val="nil"/>
              <w:left w:val="nil"/>
              <w:bottom w:val="nil"/>
              <w:right w:val="nil"/>
            </w:tcBorders>
            <w:noWrap/>
            <w:vAlign w:val="center"/>
          </w:tcPr>
          <w:p w14:paraId="61044EA9"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nil"/>
              <w:right w:val="nil"/>
            </w:tcBorders>
            <w:noWrap/>
            <w:vAlign w:val="center"/>
          </w:tcPr>
          <w:p w14:paraId="7D4AA1A7"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p>
        </w:tc>
        <w:tc>
          <w:tcPr>
            <w:tcW w:w="1418" w:type="dxa"/>
            <w:tcBorders>
              <w:top w:val="nil"/>
              <w:left w:val="nil"/>
              <w:bottom w:val="nil"/>
              <w:right w:val="nil"/>
            </w:tcBorders>
            <w:noWrap/>
            <w:vAlign w:val="center"/>
          </w:tcPr>
          <w:p w14:paraId="332871F7"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nil"/>
              <w:right w:val="nil"/>
            </w:tcBorders>
            <w:noWrap/>
            <w:vAlign w:val="center"/>
          </w:tcPr>
          <w:p w14:paraId="31A8D298"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1025" w:type="dxa"/>
            <w:tcBorders>
              <w:top w:val="nil"/>
              <w:left w:val="nil"/>
              <w:bottom w:val="nil"/>
              <w:right w:val="nil"/>
            </w:tcBorders>
          </w:tcPr>
          <w:p w14:paraId="34A3DE19"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60" w:type="dxa"/>
            <w:tcBorders>
              <w:top w:val="nil"/>
              <w:left w:val="nil"/>
              <w:bottom w:val="nil"/>
              <w:right w:val="nil"/>
            </w:tcBorders>
            <w:noWrap/>
            <w:vAlign w:val="center"/>
          </w:tcPr>
          <w:p w14:paraId="0D8C267F"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992" w:type="dxa"/>
            <w:tcBorders>
              <w:top w:val="nil"/>
              <w:left w:val="nil"/>
              <w:bottom w:val="nil"/>
              <w:right w:val="nil"/>
            </w:tcBorders>
            <w:vAlign w:val="center"/>
          </w:tcPr>
          <w:p w14:paraId="54AD9F91" w14:textId="77777777"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tcPr>
          <w:p w14:paraId="21CC695D" w14:textId="77777777" w:rsidR="00C7243E" w:rsidRPr="00533EAC" w:rsidRDefault="00C7243E" w:rsidP="00302BE0">
            <w:pPr>
              <w:spacing w:line="200" w:lineRule="exact"/>
              <w:rPr>
                <w:rFonts w:ascii="Arial" w:eastAsia="Times New Roman" w:hAnsi="Arial" w:cs="Arial"/>
                <w:color w:val="000000" w:themeColor="text1"/>
                <w:sz w:val="16"/>
                <w:szCs w:val="16"/>
                <w:highlight w:val="yellow"/>
                <w:lang w:val="en-ZA" w:eastAsia="de-DE"/>
              </w:rPr>
            </w:pPr>
          </w:p>
        </w:tc>
        <w:tc>
          <w:tcPr>
            <w:tcW w:w="850" w:type="dxa"/>
            <w:tcBorders>
              <w:top w:val="nil"/>
              <w:left w:val="nil"/>
              <w:bottom w:val="nil"/>
              <w:right w:val="nil"/>
            </w:tcBorders>
            <w:vAlign w:val="center"/>
          </w:tcPr>
          <w:p w14:paraId="23CF57D1" w14:textId="2BA2DB86" w:rsidR="00C7243E" w:rsidRPr="00533EAC" w:rsidRDefault="00C7243E" w:rsidP="00C05A32">
            <w:pPr>
              <w:spacing w:line="200" w:lineRule="exact"/>
              <w:rPr>
                <w:rFonts w:ascii="Arial" w:eastAsia="Times New Roman" w:hAnsi="Arial" w:cs="Arial"/>
                <w:color w:val="000000" w:themeColor="text1"/>
                <w:sz w:val="16"/>
                <w:szCs w:val="16"/>
                <w:highlight w:val="yellow"/>
                <w:lang w:val="en-ZA" w:eastAsia="de-DE"/>
              </w:rPr>
            </w:pPr>
          </w:p>
        </w:tc>
      </w:tr>
      <w:tr w:rsidR="00533EAC" w:rsidRPr="00533EAC" w14:paraId="592F8EBD" w14:textId="77777777" w:rsidTr="00C05A32">
        <w:trPr>
          <w:trHeight w:val="221"/>
          <w:jc w:val="center"/>
        </w:trPr>
        <w:tc>
          <w:tcPr>
            <w:tcW w:w="851" w:type="dxa"/>
            <w:tcBorders>
              <w:top w:val="nil"/>
              <w:left w:val="nil"/>
              <w:bottom w:val="nil"/>
              <w:right w:val="nil"/>
            </w:tcBorders>
            <w:noWrap/>
            <w:vAlign w:val="center"/>
          </w:tcPr>
          <w:p w14:paraId="1FD25F1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Pherd3</w:t>
            </w:r>
          </w:p>
        </w:tc>
        <w:tc>
          <w:tcPr>
            <w:tcW w:w="3794" w:type="dxa"/>
            <w:tcBorders>
              <w:top w:val="nil"/>
              <w:left w:val="nil"/>
              <w:bottom w:val="nil"/>
              <w:right w:val="nil"/>
            </w:tcBorders>
            <w:noWrap/>
            <w:vAlign w:val="center"/>
          </w:tcPr>
          <w:p w14:paraId="649651FD"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F-GAGTTGACTGAATTCCCATCG</w:t>
            </w:r>
          </w:p>
        </w:tc>
        <w:tc>
          <w:tcPr>
            <w:tcW w:w="1418" w:type="dxa"/>
            <w:tcBorders>
              <w:top w:val="nil"/>
              <w:left w:val="nil"/>
              <w:bottom w:val="nil"/>
              <w:right w:val="nil"/>
            </w:tcBorders>
            <w:noWrap/>
            <w:vAlign w:val="center"/>
          </w:tcPr>
          <w:p w14:paraId="75D43AF0"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(TAG)</w:t>
            </w:r>
            <w:r w:rsidRPr="00533EAC">
              <w:rPr>
                <w:rFonts w:ascii="Arial" w:eastAsia="Times New Roman" w:hAnsi="Arial" w:cs="Arial"/>
                <w:color w:val="000000" w:themeColor="text1"/>
                <w:sz w:val="16"/>
                <w:szCs w:val="16"/>
                <w:vertAlign w:val="subscript"/>
                <w:lang w:val="en-ZA" w:eastAsia="de-DE"/>
              </w:rPr>
              <w:t>12</w:t>
            </w:r>
          </w:p>
        </w:tc>
        <w:tc>
          <w:tcPr>
            <w:tcW w:w="1592" w:type="dxa"/>
            <w:tcBorders>
              <w:top w:val="nil"/>
              <w:left w:val="nil"/>
              <w:bottom w:val="nil"/>
              <w:right w:val="nil"/>
            </w:tcBorders>
            <w:noWrap/>
            <w:vAlign w:val="center"/>
          </w:tcPr>
          <w:p w14:paraId="69E5F5D5" w14:textId="0E1B8A62"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93</w:t>
            </w:r>
            <w:r w:rsidR="001D1A0C"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171</w:t>
            </w:r>
          </w:p>
        </w:tc>
        <w:tc>
          <w:tcPr>
            <w:tcW w:w="1025" w:type="dxa"/>
            <w:tcBorders>
              <w:top w:val="nil"/>
              <w:left w:val="nil"/>
              <w:bottom w:val="nil"/>
              <w:right w:val="nil"/>
            </w:tcBorders>
          </w:tcPr>
          <w:p w14:paraId="3614D4E8"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60</w:t>
            </w:r>
          </w:p>
        </w:tc>
        <w:tc>
          <w:tcPr>
            <w:tcW w:w="960" w:type="dxa"/>
            <w:tcBorders>
              <w:top w:val="nil"/>
              <w:left w:val="nil"/>
              <w:bottom w:val="nil"/>
              <w:right w:val="nil"/>
            </w:tcBorders>
            <w:noWrap/>
            <w:vAlign w:val="center"/>
          </w:tcPr>
          <w:p w14:paraId="58388AAB"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17</w:t>
            </w:r>
          </w:p>
        </w:tc>
        <w:tc>
          <w:tcPr>
            <w:tcW w:w="992" w:type="dxa"/>
            <w:tcBorders>
              <w:top w:val="nil"/>
              <w:left w:val="nil"/>
              <w:bottom w:val="nil"/>
              <w:right w:val="nil"/>
            </w:tcBorders>
            <w:vAlign w:val="center"/>
          </w:tcPr>
          <w:p w14:paraId="0C2C996B"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0.561</w:t>
            </w:r>
          </w:p>
        </w:tc>
        <w:tc>
          <w:tcPr>
            <w:tcW w:w="850" w:type="dxa"/>
            <w:tcBorders>
              <w:top w:val="nil"/>
              <w:left w:val="nil"/>
              <w:bottom w:val="nil"/>
              <w:right w:val="nil"/>
            </w:tcBorders>
          </w:tcPr>
          <w:p w14:paraId="374C06B6"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nil"/>
              <w:right w:val="nil"/>
            </w:tcBorders>
            <w:vAlign w:val="center"/>
          </w:tcPr>
          <w:p w14:paraId="26064270" w14:textId="39F2EBC7" w:rsidR="00C7243E" w:rsidRPr="00533EAC" w:rsidRDefault="00C7243E"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0.757</w:t>
            </w:r>
          </w:p>
        </w:tc>
      </w:tr>
      <w:tr w:rsidR="00C7243E" w:rsidRPr="00533EAC" w14:paraId="675FF31E" w14:textId="77777777" w:rsidTr="00C05A32">
        <w:trPr>
          <w:trHeight w:val="221"/>
          <w:jc w:val="center"/>
        </w:trPr>
        <w:tc>
          <w:tcPr>
            <w:tcW w:w="851" w:type="dxa"/>
            <w:tcBorders>
              <w:top w:val="nil"/>
              <w:left w:val="nil"/>
              <w:bottom w:val="single" w:sz="4" w:space="0" w:color="auto"/>
              <w:right w:val="nil"/>
            </w:tcBorders>
            <w:noWrap/>
            <w:vAlign w:val="center"/>
          </w:tcPr>
          <w:p w14:paraId="1083D08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3794" w:type="dxa"/>
            <w:tcBorders>
              <w:top w:val="nil"/>
              <w:left w:val="nil"/>
              <w:bottom w:val="single" w:sz="4" w:space="0" w:color="auto"/>
              <w:right w:val="nil"/>
            </w:tcBorders>
            <w:noWrap/>
            <w:vAlign w:val="center"/>
          </w:tcPr>
          <w:p w14:paraId="2BE301FD" w14:textId="77777777" w:rsidR="00C7243E" w:rsidRPr="00533EAC" w:rsidRDefault="00C7243E" w:rsidP="00C05A32">
            <w:pPr>
              <w:spacing w:line="200" w:lineRule="exact"/>
              <w:jc w:val="both"/>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R-TCACAGTTGCTTCATATTCGC</w:t>
            </w:r>
          </w:p>
        </w:tc>
        <w:tc>
          <w:tcPr>
            <w:tcW w:w="1418" w:type="dxa"/>
            <w:tcBorders>
              <w:top w:val="nil"/>
              <w:left w:val="nil"/>
              <w:bottom w:val="single" w:sz="4" w:space="0" w:color="auto"/>
              <w:right w:val="nil"/>
            </w:tcBorders>
            <w:noWrap/>
            <w:vAlign w:val="center"/>
          </w:tcPr>
          <w:p w14:paraId="3ED01CEE"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592" w:type="dxa"/>
            <w:tcBorders>
              <w:top w:val="nil"/>
              <w:left w:val="nil"/>
              <w:bottom w:val="single" w:sz="4" w:space="0" w:color="auto"/>
              <w:right w:val="nil"/>
            </w:tcBorders>
            <w:noWrap/>
            <w:vAlign w:val="center"/>
          </w:tcPr>
          <w:p w14:paraId="50F29E0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1025" w:type="dxa"/>
            <w:tcBorders>
              <w:top w:val="nil"/>
              <w:left w:val="nil"/>
              <w:bottom w:val="single" w:sz="4" w:space="0" w:color="auto"/>
              <w:right w:val="nil"/>
            </w:tcBorders>
          </w:tcPr>
          <w:p w14:paraId="06A4EB34"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960" w:type="dxa"/>
            <w:tcBorders>
              <w:top w:val="nil"/>
              <w:left w:val="nil"/>
              <w:bottom w:val="single" w:sz="4" w:space="0" w:color="auto"/>
              <w:right w:val="nil"/>
            </w:tcBorders>
            <w:noWrap/>
            <w:vAlign w:val="center"/>
          </w:tcPr>
          <w:p w14:paraId="7FDFE501"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992" w:type="dxa"/>
            <w:tcBorders>
              <w:top w:val="nil"/>
              <w:left w:val="nil"/>
              <w:bottom w:val="single" w:sz="4" w:space="0" w:color="auto"/>
              <w:right w:val="nil"/>
            </w:tcBorders>
            <w:vAlign w:val="center"/>
          </w:tcPr>
          <w:p w14:paraId="4B6163A1" w14:textId="77777777"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single" w:sz="4" w:space="0" w:color="auto"/>
              <w:right w:val="nil"/>
            </w:tcBorders>
          </w:tcPr>
          <w:p w14:paraId="72E4FD04" w14:textId="77777777" w:rsidR="00C7243E" w:rsidRPr="00533EAC" w:rsidRDefault="00C7243E" w:rsidP="00302BE0">
            <w:pPr>
              <w:spacing w:line="200" w:lineRule="exact"/>
              <w:rPr>
                <w:rFonts w:ascii="Arial" w:eastAsia="Times New Roman" w:hAnsi="Arial" w:cs="Arial"/>
                <w:color w:val="000000" w:themeColor="text1"/>
                <w:sz w:val="16"/>
                <w:szCs w:val="16"/>
                <w:lang w:val="en-ZA" w:eastAsia="de-DE"/>
              </w:rPr>
            </w:pPr>
          </w:p>
        </w:tc>
        <w:tc>
          <w:tcPr>
            <w:tcW w:w="850" w:type="dxa"/>
            <w:tcBorders>
              <w:top w:val="nil"/>
              <w:left w:val="nil"/>
              <w:bottom w:val="single" w:sz="4" w:space="0" w:color="auto"/>
              <w:right w:val="nil"/>
            </w:tcBorders>
            <w:vAlign w:val="center"/>
          </w:tcPr>
          <w:p w14:paraId="7237F286" w14:textId="7AAA50A6" w:rsidR="00C7243E" w:rsidRPr="00533EAC" w:rsidRDefault="00C7243E" w:rsidP="00C05A32">
            <w:pPr>
              <w:spacing w:line="200" w:lineRule="exact"/>
              <w:rPr>
                <w:rFonts w:ascii="Arial" w:eastAsia="Times New Roman" w:hAnsi="Arial" w:cs="Arial"/>
                <w:color w:val="000000" w:themeColor="text1"/>
                <w:sz w:val="16"/>
                <w:szCs w:val="16"/>
                <w:lang w:val="en-ZA" w:eastAsia="de-DE"/>
              </w:rPr>
            </w:pPr>
          </w:p>
        </w:tc>
      </w:tr>
    </w:tbl>
    <w:p w14:paraId="5D3369F6" w14:textId="77777777" w:rsidR="005633D6" w:rsidRPr="00533EAC" w:rsidRDefault="005633D6" w:rsidP="00C05A32">
      <w:pPr>
        <w:spacing w:after="0" w:line="200" w:lineRule="exact"/>
        <w:rPr>
          <w:rFonts w:ascii="Arial" w:eastAsia="Calibri" w:hAnsi="Arial" w:cs="Arial"/>
          <w:color w:val="000000" w:themeColor="text1"/>
          <w:sz w:val="16"/>
          <w:szCs w:val="16"/>
          <w:lang w:val="en-ZA"/>
        </w:rPr>
      </w:pPr>
    </w:p>
    <w:p w14:paraId="1874DEAE" w14:textId="2C8949D1" w:rsidR="005633D6" w:rsidRPr="00533EAC" w:rsidRDefault="005633D6" w:rsidP="00C05A32">
      <w:pPr>
        <w:spacing w:after="0" w:line="200" w:lineRule="exact"/>
        <w:rPr>
          <w:rFonts w:ascii="Arial" w:eastAsia="Calibri" w:hAnsi="Arial" w:cs="Arial"/>
          <w:color w:val="000000" w:themeColor="text1"/>
          <w:sz w:val="16"/>
          <w:szCs w:val="16"/>
          <w:lang w:val="en-ZA"/>
        </w:rPr>
      </w:pPr>
    </w:p>
    <w:p w14:paraId="68287B87" w14:textId="77777777" w:rsidR="001D1A0C" w:rsidRPr="00533EAC" w:rsidRDefault="001D1A0C" w:rsidP="00C05A32">
      <w:pPr>
        <w:spacing w:after="0" w:line="200" w:lineRule="exact"/>
        <w:rPr>
          <w:rFonts w:ascii="Arial" w:eastAsia="Calibri" w:hAnsi="Arial" w:cs="Arial"/>
          <w:color w:val="000000" w:themeColor="text1"/>
          <w:sz w:val="16"/>
          <w:szCs w:val="16"/>
          <w:lang w:val="en-ZA"/>
        </w:rPr>
      </w:pPr>
    </w:p>
    <w:p w14:paraId="568F8AA8" w14:textId="2BF192AB" w:rsidR="005633D6" w:rsidRPr="00533EAC" w:rsidRDefault="005633D6" w:rsidP="00C05A32">
      <w:pPr>
        <w:spacing w:after="0" w:line="360" w:lineRule="auto"/>
        <w:rPr>
          <w:rFonts w:ascii="Arial" w:eastAsia="Calibri" w:hAnsi="Arial" w:cs="Arial"/>
          <w:i/>
          <w:color w:val="000000" w:themeColor="text1"/>
          <w:sz w:val="20"/>
          <w:szCs w:val="20"/>
          <w:lang w:val="en-ZA"/>
        </w:rPr>
      </w:pPr>
      <w:r w:rsidRPr="00533EAC">
        <w:rPr>
          <w:rFonts w:ascii="Arial" w:eastAsia="Calibri" w:hAnsi="Arial" w:cs="Arial"/>
          <w:b/>
          <w:bCs/>
          <w:color w:val="000000" w:themeColor="text1"/>
          <w:sz w:val="20"/>
          <w:szCs w:val="20"/>
          <w:lang w:val="en-ZA"/>
        </w:rPr>
        <w:t xml:space="preserve">Table 3: </w:t>
      </w:r>
      <w:r w:rsidR="001D1A0C" w:rsidRPr="00533EAC">
        <w:rPr>
          <w:rFonts w:ascii="Arial" w:eastAsia="Calibri" w:hAnsi="Arial" w:cs="Arial"/>
          <w:bCs/>
          <w:color w:val="000000" w:themeColor="text1"/>
          <w:sz w:val="20"/>
          <w:szCs w:val="20"/>
          <w:lang w:val="en-ZA"/>
        </w:rPr>
        <w:t>Hardy-Weinberg equilibrium (</w:t>
      </w:r>
      <w:r w:rsidRPr="00533EAC">
        <w:rPr>
          <w:rFonts w:ascii="Arial" w:eastAsia="Calibri" w:hAnsi="Arial" w:cs="Arial"/>
          <w:bCs/>
          <w:color w:val="000000" w:themeColor="text1"/>
          <w:sz w:val="20"/>
          <w:szCs w:val="20"/>
          <w:lang w:val="en-ZA"/>
        </w:rPr>
        <w:t>HWE</w:t>
      </w:r>
      <w:r w:rsidR="001D1A0C" w:rsidRPr="00533EAC">
        <w:rPr>
          <w:rFonts w:ascii="Arial" w:eastAsia="Calibri" w:hAnsi="Arial" w:cs="Arial"/>
          <w:bCs/>
          <w:color w:val="000000" w:themeColor="text1"/>
          <w:sz w:val="20"/>
          <w:szCs w:val="20"/>
          <w:lang w:val="en-ZA"/>
        </w:rPr>
        <w:t>)</w:t>
      </w:r>
      <w:r w:rsidRPr="00533EAC">
        <w:rPr>
          <w:rFonts w:ascii="Arial" w:eastAsia="Calibri" w:hAnsi="Arial" w:cs="Arial"/>
          <w:bCs/>
          <w:color w:val="000000" w:themeColor="text1"/>
          <w:sz w:val="20"/>
          <w:szCs w:val="20"/>
          <w:lang w:val="en-ZA"/>
        </w:rPr>
        <w:t xml:space="preserve"> and</w:t>
      </w:r>
      <w:r w:rsidR="001D1A0C" w:rsidRPr="00533EAC">
        <w:rPr>
          <w:rFonts w:ascii="Arial" w:eastAsia="Calibri" w:hAnsi="Arial" w:cs="Arial"/>
          <w:bCs/>
          <w:color w:val="000000" w:themeColor="text1"/>
          <w:sz w:val="20"/>
          <w:szCs w:val="20"/>
          <w:lang w:val="en-ZA"/>
        </w:rPr>
        <w:t xml:space="preserve"> inbreeding co</w:t>
      </w:r>
      <w:r w:rsidR="00A11BDD" w:rsidRPr="00533EAC">
        <w:rPr>
          <w:rFonts w:ascii="Arial" w:eastAsia="Calibri" w:hAnsi="Arial" w:cs="Arial"/>
          <w:bCs/>
          <w:color w:val="000000" w:themeColor="text1"/>
          <w:sz w:val="20"/>
          <w:szCs w:val="20"/>
          <w:lang w:val="en-ZA"/>
        </w:rPr>
        <w:t>e</w:t>
      </w:r>
      <w:r w:rsidR="001D1A0C" w:rsidRPr="00533EAC">
        <w:rPr>
          <w:rFonts w:ascii="Arial" w:eastAsia="Calibri" w:hAnsi="Arial" w:cs="Arial"/>
          <w:bCs/>
          <w:color w:val="000000" w:themeColor="text1"/>
          <w:sz w:val="20"/>
          <w:szCs w:val="20"/>
          <w:lang w:val="en-ZA"/>
        </w:rPr>
        <w:t>fficient</w:t>
      </w:r>
      <w:r w:rsidRPr="00533EAC">
        <w:rPr>
          <w:rFonts w:ascii="Arial" w:eastAsia="Calibri" w:hAnsi="Arial" w:cs="Arial"/>
          <w:i/>
          <w:iCs/>
          <w:color w:val="000000" w:themeColor="text1"/>
          <w:sz w:val="20"/>
          <w:szCs w:val="20"/>
          <w:lang w:val="en-ZA"/>
        </w:rPr>
        <w:t xml:space="preserve"> </w:t>
      </w:r>
      <w:r w:rsidR="001D1A0C" w:rsidRPr="00533EAC">
        <w:rPr>
          <w:rFonts w:ascii="Arial" w:eastAsia="Calibri" w:hAnsi="Arial" w:cs="Arial"/>
          <w:iCs/>
          <w:color w:val="000000" w:themeColor="text1"/>
          <w:sz w:val="20"/>
          <w:szCs w:val="20"/>
          <w:lang w:val="en-ZA"/>
        </w:rPr>
        <w:t>(</w:t>
      </w:r>
      <w:r w:rsidRPr="00533EAC">
        <w:rPr>
          <w:rFonts w:ascii="Arial" w:eastAsia="Times New Roman" w:hAnsi="Arial" w:cs="Arial"/>
          <w:i/>
          <w:color w:val="000000" w:themeColor="text1"/>
          <w:sz w:val="20"/>
          <w:szCs w:val="20"/>
          <w:lang w:val="en-ZA" w:eastAsia="de-DE"/>
        </w:rPr>
        <w:t>F</w:t>
      </w:r>
      <w:r w:rsidRPr="00533EAC">
        <w:rPr>
          <w:rFonts w:ascii="Arial" w:eastAsia="Times New Roman" w:hAnsi="Arial" w:cs="Arial"/>
          <w:color w:val="000000" w:themeColor="text1"/>
          <w:sz w:val="20"/>
          <w:szCs w:val="20"/>
          <w:vertAlign w:val="subscript"/>
          <w:lang w:val="en-ZA" w:eastAsia="de-DE"/>
        </w:rPr>
        <w:t>IS</w:t>
      </w:r>
      <w:r w:rsidR="001D1A0C" w:rsidRPr="00533EAC">
        <w:rPr>
          <w:rFonts w:ascii="Arial" w:eastAsia="Calibri" w:hAnsi="Arial" w:cs="Arial"/>
          <w:bCs/>
          <w:color w:val="000000" w:themeColor="text1"/>
          <w:sz w:val="20"/>
          <w:szCs w:val="20"/>
          <w:lang w:val="en-ZA"/>
        </w:rPr>
        <w:t xml:space="preserve">) </w:t>
      </w:r>
      <w:r w:rsidRPr="00533EAC">
        <w:rPr>
          <w:rFonts w:ascii="Arial" w:eastAsia="Calibri" w:hAnsi="Arial" w:cs="Arial"/>
          <w:color w:val="000000" w:themeColor="text1"/>
          <w:sz w:val="20"/>
          <w:szCs w:val="20"/>
          <w:lang w:val="en-ZA"/>
        </w:rPr>
        <w:t xml:space="preserve">of the </w:t>
      </w:r>
      <w:r w:rsidR="001D1A0C" w:rsidRPr="00533EAC">
        <w:rPr>
          <w:rFonts w:ascii="Arial" w:eastAsia="Calibri" w:hAnsi="Arial" w:cs="Arial"/>
          <w:color w:val="000000" w:themeColor="text1"/>
          <w:sz w:val="20"/>
          <w:szCs w:val="20"/>
          <w:lang w:val="en-ZA"/>
        </w:rPr>
        <w:t xml:space="preserve">five </w:t>
      </w:r>
      <w:r w:rsidRPr="00533EAC">
        <w:rPr>
          <w:rFonts w:ascii="Arial" w:eastAsia="Calibri" w:hAnsi="Arial" w:cs="Arial"/>
          <w:color w:val="000000" w:themeColor="text1"/>
          <w:sz w:val="20"/>
          <w:szCs w:val="20"/>
          <w:lang w:val="en-ZA"/>
        </w:rPr>
        <w:t>microsatellite markers developed for</w:t>
      </w:r>
      <w:r w:rsidRPr="00533EAC">
        <w:rPr>
          <w:rFonts w:ascii="Arial" w:eastAsia="Calibri" w:hAnsi="Arial" w:cs="Arial"/>
          <w:i/>
          <w:color w:val="000000" w:themeColor="text1"/>
          <w:sz w:val="20"/>
          <w:szCs w:val="20"/>
          <w:lang w:val="en-ZA"/>
        </w:rPr>
        <w:t xml:space="preserve"> Pyura stolonifera </w:t>
      </w:r>
      <w:r w:rsidRPr="00533EAC">
        <w:rPr>
          <w:rFonts w:ascii="Arial" w:eastAsia="Calibri" w:hAnsi="Arial" w:cs="Arial"/>
          <w:iCs/>
          <w:color w:val="000000" w:themeColor="text1"/>
          <w:sz w:val="20"/>
          <w:szCs w:val="20"/>
          <w:lang w:val="en-ZA"/>
        </w:rPr>
        <w:t>and</w:t>
      </w:r>
      <w:r w:rsidRPr="00533EAC">
        <w:rPr>
          <w:rFonts w:ascii="Arial" w:eastAsia="Calibri" w:hAnsi="Arial" w:cs="Arial"/>
          <w:i/>
          <w:color w:val="000000" w:themeColor="text1"/>
          <w:sz w:val="20"/>
          <w:szCs w:val="20"/>
          <w:lang w:val="en-ZA"/>
        </w:rPr>
        <w:t xml:space="preserve"> </w:t>
      </w:r>
      <w:r w:rsidRPr="00533EAC">
        <w:rPr>
          <w:rFonts w:ascii="Arial" w:eastAsia="Calibri" w:hAnsi="Arial" w:cs="Arial"/>
          <w:color w:val="000000" w:themeColor="text1"/>
          <w:sz w:val="20"/>
          <w:szCs w:val="20"/>
          <w:lang w:val="en-ZA"/>
        </w:rPr>
        <w:t xml:space="preserve">the two populations of </w:t>
      </w:r>
      <w:r w:rsidRPr="00533EAC">
        <w:rPr>
          <w:rFonts w:ascii="Arial" w:eastAsia="Calibri" w:hAnsi="Arial" w:cs="Arial"/>
          <w:i/>
          <w:color w:val="000000" w:themeColor="text1"/>
          <w:sz w:val="20"/>
          <w:szCs w:val="20"/>
          <w:lang w:val="en-ZA"/>
        </w:rPr>
        <w:t xml:space="preserve">P. </w:t>
      </w:r>
      <w:proofErr w:type="spellStart"/>
      <w:r w:rsidRPr="00533EAC">
        <w:rPr>
          <w:rFonts w:ascii="Arial" w:eastAsia="Calibri" w:hAnsi="Arial" w:cs="Arial"/>
          <w:i/>
          <w:color w:val="000000" w:themeColor="text1"/>
          <w:sz w:val="20"/>
          <w:szCs w:val="20"/>
          <w:lang w:val="en-ZA"/>
        </w:rPr>
        <w:t>herdmani</w:t>
      </w:r>
      <w:proofErr w:type="spellEnd"/>
      <w:r w:rsidR="005E31AD" w:rsidRPr="00533EAC">
        <w:rPr>
          <w:rFonts w:ascii="Arial" w:eastAsia="Calibri" w:hAnsi="Arial" w:cs="Arial"/>
          <w:iCs/>
          <w:color w:val="000000" w:themeColor="text1"/>
          <w:sz w:val="20"/>
          <w:szCs w:val="20"/>
          <w:lang w:val="en-ZA"/>
        </w:rPr>
        <w:t>;</w:t>
      </w:r>
      <w:r w:rsidR="005E31AD" w:rsidRPr="00533EAC">
        <w:rPr>
          <w:rFonts w:ascii="Arial" w:eastAsia="Calibri" w:hAnsi="Arial" w:cs="Arial"/>
          <w:i/>
          <w:color w:val="000000" w:themeColor="text1"/>
          <w:sz w:val="20"/>
          <w:szCs w:val="20"/>
          <w:lang w:val="en-ZA"/>
        </w:rPr>
        <w:t xml:space="preserve"> </w:t>
      </w:r>
      <w:proofErr w:type="spellStart"/>
      <w:r w:rsidR="001D1A0C" w:rsidRPr="00533EAC">
        <w:rPr>
          <w:rFonts w:ascii="Arial" w:eastAsia="Calibri" w:hAnsi="Arial" w:cs="Arial"/>
          <w:i/>
          <w:color w:val="000000" w:themeColor="text1"/>
          <w:sz w:val="20"/>
          <w:szCs w:val="20"/>
          <w:lang w:val="en-ZA"/>
        </w:rPr>
        <w:t>p</w:t>
      </w:r>
      <w:r w:rsidR="001D1A0C" w:rsidRPr="00533EAC">
        <w:rPr>
          <w:rFonts w:ascii="Arial" w:eastAsia="Calibri" w:hAnsi="Arial" w:cs="Arial"/>
          <w:color w:val="000000" w:themeColor="text1"/>
          <w:sz w:val="20"/>
          <w:szCs w:val="20"/>
          <w:lang w:val="en-ZA"/>
        </w:rPr>
        <w:t>HWE</w:t>
      </w:r>
      <w:proofErr w:type="spellEnd"/>
      <w:r w:rsidR="001D1A0C" w:rsidRPr="00533EAC">
        <w:rPr>
          <w:rFonts w:ascii="Arial" w:eastAsia="Calibri" w:hAnsi="Arial" w:cs="Arial"/>
          <w:color w:val="000000" w:themeColor="text1"/>
          <w:sz w:val="20"/>
          <w:szCs w:val="20"/>
          <w:lang w:val="en-ZA"/>
        </w:rPr>
        <w:t xml:space="preserve"> = </w:t>
      </w:r>
      <w:r w:rsidR="001D1A0C" w:rsidRPr="00533EAC">
        <w:rPr>
          <w:rFonts w:ascii="Arial" w:eastAsia="Calibri" w:hAnsi="Arial" w:cs="Arial"/>
          <w:i/>
          <w:color w:val="000000" w:themeColor="text1"/>
          <w:sz w:val="20"/>
          <w:szCs w:val="20"/>
          <w:lang w:val="en-ZA"/>
        </w:rPr>
        <w:t>p-</w:t>
      </w:r>
      <w:r w:rsidR="001D1A0C" w:rsidRPr="00533EAC">
        <w:rPr>
          <w:rFonts w:ascii="Arial" w:eastAsia="Calibri" w:hAnsi="Arial" w:cs="Arial"/>
          <w:color w:val="000000" w:themeColor="text1"/>
          <w:sz w:val="20"/>
          <w:szCs w:val="20"/>
          <w:lang w:val="en-ZA"/>
        </w:rPr>
        <w:t xml:space="preserve">value for Hardy-Weinberg equilibrium, *significant after Bonferroni correction at </w:t>
      </w:r>
      <w:r w:rsidR="001D1A0C" w:rsidRPr="00533EAC">
        <w:rPr>
          <w:rFonts w:ascii="Arial" w:eastAsia="Calibri" w:hAnsi="Arial" w:cs="Arial"/>
          <w:i/>
          <w:color w:val="000000" w:themeColor="text1"/>
          <w:sz w:val="20"/>
          <w:szCs w:val="20"/>
          <w:lang w:val="en-ZA"/>
        </w:rPr>
        <w:t xml:space="preserve">p </w:t>
      </w:r>
      <w:r w:rsidR="001D1A0C" w:rsidRPr="00533EAC">
        <w:rPr>
          <w:rFonts w:ascii="Arial" w:eastAsia="Calibri" w:hAnsi="Arial" w:cs="Arial"/>
          <w:color w:val="000000" w:themeColor="text1"/>
          <w:sz w:val="20"/>
          <w:szCs w:val="20"/>
          <w:lang w:val="en-ZA"/>
        </w:rPr>
        <w:t>&lt; 0.005</w:t>
      </w:r>
      <w:r w:rsidR="00533EAC" w:rsidRPr="00533EAC">
        <w:rPr>
          <w:rFonts w:ascii="Arial" w:eastAsia="Calibri" w:hAnsi="Arial" w:cs="Arial"/>
          <w:color w:val="000000" w:themeColor="text1"/>
          <w:sz w:val="20"/>
          <w:szCs w:val="20"/>
          <w:lang w:val="en-ZA"/>
        </w:rPr>
        <w:t>.</w:t>
      </w:r>
    </w:p>
    <w:tbl>
      <w:tblPr>
        <w:tblStyle w:val="Grigliatabella1"/>
        <w:tblW w:w="12848" w:type="dxa"/>
        <w:jc w:val="center"/>
        <w:tblLayout w:type="fixed"/>
        <w:tblLook w:val="04A0" w:firstRow="1" w:lastRow="0" w:firstColumn="1" w:lastColumn="0" w:noHBand="0" w:noVBand="1"/>
      </w:tblPr>
      <w:tblGrid>
        <w:gridCol w:w="1134"/>
        <w:gridCol w:w="1985"/>
        <w:gridCol w:w="1984"/>
        <w:gridCol w:w="2410"/>
        <w:gridCol w:w="1418"/>
        <w:gridCol w:w="1984"/>
        <w:gridCol w:w="1933"/>
      </w:tblGrid>
      <w:tr w:rsidR="00533EAC" w:rsidRPr="00533EAC" w14:paraId="0C54F947" w14:textId="77777777" w:rsidTr="00C05A32">
        <w:trPr>
          <w:trHeight w:val="345"/>
          <w:jc w:val="center"/>
        </w:trPr>
        <w:tc>
          <w:tcPr>
            <w:tcW w:w="1134" w:type="dxa"/>
            <w:tcBorders>
              <w:left w:val="nil"/>
              <w:bottom w:val="single" w:sz="4" w:space="0" w:color="auto"/>
              <w:right w:val="nil"/>
            </w:tcBorders>
            <w:noWrap/>
            <w:vAlign w:val="center"/>
            <w:hideMark/>
          </w:tcPr>
          <w:p w14:paraId="5BC739E1"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Locus</w:t>
            </w:r>
          </w:p>
        </w:tc>
        <w:tc>
          <w:tcPr>
            <w:tcW w:w="1985" w:type="dxa"/>
            <w:tcBorders>
              <w:left w:val="nil"/>
              <w:bottom w:val="single" w:sz="4" w:space="0" w:color="auto"/>
              <w:right w:val="nil"/>
            </w:tcBorders>
            <w:vAlign w:val="center"/>
          </w:tcPr>
          <w:p w14:paraId="05044755"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F</w:t>
            </w:r>
            <w:r w:rsidRPr="00533EAC">
              <w:rPr>
                <w:rFonts w:ascii="Arial" w:eastAsia="Times New Roman" w:hAnsi="Arial" w:cs="Arial"/>
                <w:bCs/>
                <w:color w:val="000000" w:themeColor="text1"/>
                <w:sz w:val="16"/>
                <w:szCs w:val="16"/>
                <w:vertAlign w:val="subscript"/>
                <w:lang w:val="en-ZA" w:eastAsia="de-DE"/>
              </w:rPr>
              <w:t xml:space="preserve">IS </w:t>
            </w:r>
            <w:r w:rsidRPr="00533EAC">
              <w:rPr>
                <w:rFonts w:ascii="Arial" w:eastAsia="Times New Roman" w:hAnsi="Arial" w:cs="Arial"/>
                <w:bCs/>
                <w:color w:val="000000" w:themeColor="text1"/>
                <w:sz w:val="16"/>
                <w:szCs w:val="16"/>
                <w:lang w:val="en-ZA" w:eastAsia="de-DE"/>
              </w:rPr>
              <w:t>(95% CI)</w:t>
            </w:r>
          </w:p>
          <w:p w14:paraId="10312C26"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P. stolonifera</w:t>
            </w:r>
          </w:p>
        </w:tc>
        <w:tc>
          <w:tcPr>
            <w:tcW w:w="1984" w:type="dxa"/>
            <w:tcBorders>
              <w:left w:val="nil"/>
              <w:bottom w:val="single" w:sz="4" w:space="0" w:color="auto"/>
              <w:right w:val="nil"/>
            </w:tcBorders>
            <w:vAlign w:val="center"/>
          </w:tcPr>
          <w:p w14:paraId="035D5E86" w14:textId="046099A5"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 xml:space="preserve">P. herdmani </w:t>
            </w:r>
            <w:r w:rsidR="001D1A0C" w:rsidRPr="00533EAC">
              <w:rPr>
                <w:rFonts w:ascii="Arial" w:eastAsia="Times New Roman" w:hAnsi="Arial" w:cs="Arial"/>
                <w:bCs/>
                <w:color w:val="000000" w:themeColor="text1"/>
                <w:sz w:val="16"/>
                <w:szCs w:val="16"/>
                <w:lang w:val="en-ZA" w:eastAsia="de-DE"/>
              </w:rPr>
              <w:t>(temperate)</w:t>
            </w:r>
          </w:p>
        </w:tc>
        <w:tc>
          <w:tcPr>
            <w:tcW w:w="2410" w:type="dxa"/>
            <w:tcBorders>
              <w:left w:val="nil"/>
              <w:bottom w:val="single" w:sz="4" w:space="0" w:color="auto"/>
              <w:right w:val="nil"/>
            </w:tcBorders>
            <w:vAlign w:val="center"/>
          </w:tcPr>
          <w:p w14:paraId="06BC9917" w14:textId="369936AC" w:rsidR="005633D6" w:rsidRPr="00533EAC" w:rsidRDefault="005633D6" w:rsidP="00C05A32">
            <w:pPr>
              <w:spacing w:line="200" w:lineRule="exact"/>
              <w:rPr>
                <w:rFonts w:ascii="Arial" w:eastAsia="Times New Roman" w:hAnsi="Arial" w:cs="Arial"/>
                <w:bCs/>
                <w:i/>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P.</w:t>
            </w:r>
            <w:r w:rsidR="001D1A0C" w:rsidRPr="00533EAC">
              <w:rPr>
                <w:rFonts w:ascii="Arial" w:eastAsia="Times New Roman" w:hAnsi="Arial" w:cs="Arial"/>
                <w:bCs/>
                <w:i/>
                <w:color w:val="000000" w:themeColor="text1"/>
                <w:sz w:val="16"/>
                <w:szCs w:val="16"/>
                <w:lang w:val="en-ZA" w:eastAsia="de-DE"/>
              </w:rPr>
              <w:t xml:space="preserve"> </w:t>
            </w:r>
            <w:r w:rsidRPr="00533EAC">
              <w:rPr>
                <w:rFonts w:ascii="Arial" w:eastAsia="Times New Roman" w:hAnsi="Arial" w:cs="Arial"/>
                <w:bCs/>
                <w:i/>
                <w:color w:val="000000" w:themeColor="text1"/>
                <w:sz w:val="16"/>
                <w:szCs w:val="16"/>
                <w:lang w:val="en-ZA" w:eastAsia="de-DE"/>
              </w:rPr>
              <w:t>herdmani subtropical</w:t>
            </w:r>
          </w:p>
        </w:tc>
        <w:tc>
          <w:tcPr>
            <w:tcW w:w="1418" w:type="dxa"/>
            <w:tcBorders>
              <w:left w:val="nil"/>
              <w:bottom w:val="single" w:sz="4" w:space="0" w:color="auto"/>
              <w:right w:val="nil"/>
            </w:tcBorders>
            <w:vAlign w:val="center"/>
          </w:tcPr>
          <w:p w14:paraId="0C49AE3F"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proofErr w:type="spellStart"/>
            <w:r w:rsidRPr="00533EAC">
              <w:rPr>
                <w:rFonts w:ascii="Arial" w:eastAsia="Times New Roman" w:hAnsi="Arial" w:cs="Arial"/>
                <w:bCs/>
                <w:i/>
                <w:color w:val="000000" w:themeColor="text1"/>
                <w:sz w:val="16"/>
                <w:szCs w:val="16"/>
                <w:lang w:val="en-ZA" w:eastAsia="de-DE"/>
              </w:rPr>
              <w:t>p</w:t>
            </w:r>
            <w:r w:rsidRPr="00533EAC">
              <w:rPr>
                <w:rFonts w:ascii="Arial" w:eastAsia="Times New Roman" w:hAnsi="Arial" w:cs="Arial"/>
                <w:bCs/>
                <w:color w:val="000000" w:themeColor="text1"/>
                <w:sz w:val="16"/>
                <w:szCs w:val="16"/>
                <w:lang w:val="en-ZA" w:eastAsia="de-DE"/>
              </w:rPr>
              <w:t>HWE</w:t>
            </w:r>
            <w:proofErr w:type="spellEnd"/>
          </w:p>
          <w:p w14:paraId="01AE64C8"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P. stolonifera</w:t>
            </w:r>
          </w:p>
        </w:tc>
        <w:tc>
          <w:tcPr>
            <w:tcW w:w="1984" w:type="dxa"/>
            <w:tcBorders>
              <w:left w:val="nil"/>
              <w:bottom w:val="single" w:sz="4" w:space="0" w:color="auto"/>
              <w:right w:val="nil"/>
            </w:tcBorders>
            <w:vAlign w:val="center"/>
          </w:tcPr>
          <w:p w14:paraId="7D0EA7B2" w14:textId="08F2F442" w:rsidR="005633D6" w:rsidRPr="00533EAC" w:rsidRDefault="005633D6" w:rsidP="00C05A32">
            <w:pPr>
              <w:spacing w:line="200" w:lineRule="exact"/>
              <w:ind w:hanging="1"/>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 xml:space="preserve">P. herdmani </w:t>
            </w:r>
            <w:r w:rsidR="001D1A0C" w:rsidRPr="00533EAC">
              <w:rPr>
                <w:rFonts w:ascii="Arial" w:eastAsia="Times New Roman" w:hAnsi="Arial" w:cs="Arial"/>
                <w:bCs/>
                <w:color w:val="000000" w:themeColor="text1"/>
                <w:sz w:val="16"/>
                <w:szCs w:val="16"/>
                <w:lang w:val="en-ZA" w:eastAsia="de-DE"/>
              </w:rPr>
              <w:t>(temperate)</w:t>
            </w:r>
            <w:r w:rsidRPr="00533EAC">
              <w:rPr>
                <w:rFonts w:ascii="Arial" w:eastAsia="Times New Roman" w:hAnsi="Arial" w:cs="Arial"/>
                <w:bCs/>
                <w:i/>
                <w:color w:val="000000" w:themeColor="text1"/>
                <w:sz w:val="16"/>
                <w:szCs w:val="16"/>
                <w:lang w:val="en-ZA" w:eastAsia="de-DE"/>
              </w:rPr>
              <w:t xml:space="preserve"> </w:t>
            </w:r>
          </w:p>
        </w:tc>
        <w:tc>
          <w:tcPr>
            <w:tcW w:w="1933" w:type="dxa"/>
            <w:tcBorders>
              <w:left w:val="nil"/>
              <w:bottom w:val="single" w:sz="4" w:space="0" w:color="auto"/>
              <w:right w:val="nil"/>
            </w:tcBorders>
            <w:vAlign w:val="center"/>
          </w:tcPr>
          <w:p w14:paraId="74EEE85C" w14:textId="6B914CFC"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i/>
                <w:color w:val="000000" w:themeColor="text1"/>
                <w:sz w:val="16"/>
                <w:szCs w:val="16"/>
                <w:lang w:val="en-ZA" w:eastAsia="de-DE"/>
              </w:rPr>
              <w:t xml:space="preserve">P. herdmani </w:t>
            </w:r>
            <w:r w:rsidR="001D1A0C" w:rsidRPr="00533EAC">
              <w:rPr>
                <w:rFonts w:ascii="Arial" w:eastAsia="Times New Roman" w:hAnsi="Arial" w:cs="Arial"/>
                <w:bCs/>
                <w:i/>
                <w:color w:val="000000" w:themeColor="text1"/>
                <w:sz w:val="16"/>
                <w:szCs w:val="16"/>
                <w:lang w:val="en-ZA" w:eastAsia="de-DE"/>
              </w:rPr>
              <w:t>(</w:t>
            </w:r>
            <w:r w:rsidR="001D1A0C" w:rsidRPr="00533EAC">
              <w:rPr>
                <w:rFonts w:ascii="Arial" w:eastAsia="Times New Roman" w:hAnsi="Arial" w:cs="Arial"/>
                <w:bCs/>
                <w:color w:val="000000" w:themeColor="text1"/>
                <w:sz w:val="16"/>
                <w:szCs w:val="16"/>
                <w:lang w:val="en-ZA" w:eastAsia="de-DE"/>
              </w:rPr>
              <w:t>subtropical)</w:t>
            </w:r>
          </w:p>
        </w:tc>
      </w:tr>
      <w:tr w:rsidR="00533EAC" w:rsidRPr="00533EAC" w14:paraId="5F34EBA4" w14:textId="77777777" w:rsidTr="001D1A0C">
        <w:trPr>
          <w:trHeight w:val="271"/>
          <w:jc w:val="center"/>
        </w:trPr>
        <w:tc>
          <w:tcPr>
            <w:tcW w:w="1134" w:type="dxa"/>
            <w:tcBorders>
              <w:top w:val="single" w:sz="4" w:space="0" w:color="auto"/>
              <w:left w:val="nil"/>
              <w:bottom w:val="nil"/>
              <w:right w:val="nil"/>
            </w:tcBorders>
            <w:noWrap/>
            <w:vAlign w:val="center"/>
            <w:hideMark/>
          </w:tcPr>
          <w:p w14:paraId="573DD88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Pstol1</w:t>
            </w:r>
          </w:p>
        </w:tc>
        <w:tc>
          <w:tcPr>
            <w:tcW w:w="1985" w:type="dxa"/>
            <w:tcBorders>
              <w:top w:val="single" w:sz="4" w:space="0" w:color="auto"/>
              <w:left w:val="nil"/>
              <w:bottom w:val="nil"/>
              <w:right w:val="nil"/>
            </w:tcBorders>
            <w:vAlign w:val="center"/>
          </w:tcPr>
          <w:p w14:paraId="7AA909B6"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0.285 (0.018, 0.523) </w:t>
            </w:r>
          </w:p>
        </w:tc>
        <w:tc>
          <w:tcPr>
            <w:tcW w:w="1984" w:type="dxa"/>
            <w:tcBorders>
              <w:top w:val="single" w:sz="4" w:space="0" w:color="auto"/>
              <w:left w:val="nil"/>
              <w:bottom w:val="nil"/>
              <w:right w:val="nil"/>
            </w:tcBorders>
            <w:vAlign w:val="center"/>
          </w:tcPr>
          <w:p w14:paraId="41E67451" w14:textId="5AD35450" w:rsidR="005633D6" w:rsidRPr="00533EAC" w:rsidRDefault="00473BF4"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 xml:space="preserve">0.124 </w:t>
            </w: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 xml:space="preserve">0.215, </w:t>
            </w: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0.056)</w:t>
            </w:r>
          </w:p>
        </w:tc>
        <w:tc>
          <w:tcPr>
            <w:tcW w:w="2410" w:type="dxa"/>
            <w:tcBorders>
              <w:top w:val="single" w:sz="4" w:space="0" w:color="auto"/>
              <w:left w:val="nil"/>
              <w:bottom w:val="nil"/>
              <w:right w:val="nil"/>
            </w:tcBorders>
            <w:vAlign w:val="center"/>
          </w:tcPr>
          <w:p w14:paraId="4109222A" w14:textId="24D0173F" w:rsidR="005633D6" w:rsidRPr="00533EAC" w:rsidRDefault="00473BF4"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0.055 (</w:t>
            </w: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0.320, 0.155)</w:t>
            </w:r>
          </w:p>
        </w:tc>
        <w:tc>
          <w:tcPr>
            <w:tcW w:w="1418" w:type="dxa"/>
            <w:tcBorders>
              <w:top w:val="single" w:sz="4" w:space="0" w:color="auto"/>
              <w:left w:val="nil"/>
              <w:bottom w:val="nil"/>
              <w:right w:val="nil"/>
            </w:tcBorders>
            <w:vAlign w:val="center"/>
          </w:tcPr>
          <w:p w14:paraId="16707DD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0.426</w:t>
            </w:r>
          </w:p>
        </w:tc>
        <w:tc>
          <w:tcPr>
            <w:tcW w:w="1984" w:type="dxa"/>
            <w:tcBorders>
              <w:top w:val="single" w:sz="4" w:space="0" w:color="auto"/>
              <w:left w:val="nil"/>
              <w:bottom w:val="nil"/>
              <w:right w:val="nil"/>
            </w:tcBorders>
            <w:vAlign w:val="center"/>
          </w:tcPr>
          <w:p w14:paraId="7497D5F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0.437</w:t>
            </w:r>
          </w:p>
        </w:tc>
        <w:tc>
          <w:tcPr>
            <w:tcW w:w="1933" w:type="dxa"/>
            <w:tcBorders>
              <w:top w:val="single" w:sz="4" w:space="0" w:color="auto"/>
              <w:left w:val="nil"/>
              <w:bottom w:val="nil"/>
              <w:right w:val="nil"/>
            </w:tcBorders>
            <w:vAlign w:val="center"/>
          </w:tcPr>
          <w:p w14:paraId="7FF7C45C"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0.238</w:t>
            </w:r>
          </w:p>
        </w:tc>
      </w:tr>
      <w:tr w:rsidR="00533EAC" w:rsidRPr="00533EAC" w14:paraId="375BD918" w14:textId="77777777" w:rsidTr="005565B0">
        <w:trPr>
          <w:trHeight w:val="271"/>
          <w:jc w:val="center"/>
        </w:trPr>
        <w:tc>
          <w:tcPr>
            <w:tcW w:w="1134" w:type="dxa"/>
            <w:tcBorders>
              <w:top w:val="nil"/>
              <w:left w:val="nil"/>
              <w:bottom w:val="nil"/>
              <w:right w:val="nil"/>
            </w:tcBorders>
            <w:noWrap/>
            <w:vAlign w:val="center"/>
            <w:hideMark/>
          </w:tcPr>
          <w:p w14:paraId="4DD7E772"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Pstol2</w:t>
            </w:r>
          </w:p>
        </w:tc>
        <w:tc>
          <w:tcPr>
            <w:tcW w:w="1985" w:type="dxa"/>
            <w:tcBorders>
              <w:top w:val="nil"/>
              <w:left w:val="nil"/>
              <w:bottom w:val="nil"/>
              <w:right w:val="nil"/>
            </w:tcBorders>
            <w:vAlign w:val="center"/>
          </w:tcPr>
          <w:p w14:paraId="6ED6F1C7" w14:textId="6F254A12" w:rsidR="005633D6" w:rsidRPr="00533EAC" w:rsidRDefault="00473BF4"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 xml:space="preserve">0.043 </w:t>
            </w: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0.312, 0.000)</w:t>
            </w:r>
          </w:p>
        </w:tc>
        <w:tc>
          <w:tcPr>
            <w:tcW w:w="1984" w:type="dxa"/>
            <w:tcBorders>
              <w:top w:val="nil"/>
              <w:left w:val="nil"/>
              <w:bottom w:val="nil"/>
              <w:right w:val="nil"/>
            </w:tcBorders>
            <w:vAlign w:val="center"/>
          </w:tcPr>
          <w:p w14:paraId="470658AD" w14:textId="04979798"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0.839 (</w:t>
            </w:r>
            <w:r w:rsidR="00473BF4"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0.043, 1.000)</w:t>
            </w:r>
          </w:p>
        </w:tc>
        <w:tc>
          <w:tcPr>
            <w:tcW w:w="2410" w:type="dxa"/>
            <w:tcBorders>
              <w:top w:val="nil"/>
              <w:left w:val="nil"/>
              <w:bottom w:val="nil"/>
              <w:right w:val="nil"/>
            </w:tcBorders>
            <w:vAlign w:val="center"/>
          </w:tcPr>
          <w:p w14:paraId="5984C89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0.848 (0.000, 1.000)</w:t>
            </w:r>
          </w:p>
        </w:tc>
        <w:tc>
          <w:tcPr>
            <w:tcW w:w="1418" w:type="dxa"/>
            <w:tcBorders>
              <w:top w:val="nil"/>
              <w:left w:val="nil"/>
              <w:bottom w:val="nil"/>
              <w:right w:val="nil"/>
            </w:tcBorders>
            <w:vAlign w:val="center"/>
          </w:tcPr>
          <w:p w14:paraId="560FA68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0.261</w:t>
            </w:r>
          </w:p>
        </w:tc>
        <w:tc>
          <w:tcPr>
            <w:tcW w:w="1984" w:type="dxa"/>
            <w:tcBorders>
              <w:top w:val="nil"/>
              <w:left w:val="nil"/>
              <w:bottom w:val="nil"/>
              <w:right w:val="nil"/>
            </w:tcBorders>
            <w:vAlign w:val="center"/>
          </w:tcPr>
          <w:p w14:paraId="3174CEA1"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0.061</w:t>
            </w:r>
          </w:p>
        </w:tc>
        <w:tc>
          <w:tcPr>
            <w:tcW w:w="1933" w:type="dxa"/>
            <w:tcBorders>
              <w:top w:val="nil"/>
              <w:left w:val="nil"/>
              <w:bottom w:val="nil"/>
              <w:right w:val="nil"/>
            </w:tcBorders>
            <w:vAlign w:val="center"/>
          </w:tcPr>
          <w:p w14:paraId="6927CFCD"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0.047</w:t>
            </w:r>
          </w:p>
        </w:tc>
      </w:tr>
      <w:tr w:rsidR="00533EAC" w:rsidRPr="00533EAC" w14:paraId="528B8835" w14:textId="77777777" w:rsidTr="005565B0">
        <w:trPr>
          <w:trHeight w:val="271"/>
          <w:jc w:val="center"/>
        </w:trPr>
        <w:tc>
          <w:tcPr>
            <w:tcW w:w="1134" w:type="dxa"/>
            <w:tcBorders>
              <w:top w:val="nil"/>
              <w:left w:val="nil"/>
              <w:bottom w:val="nil"/>
              <w:right w:val="nil"/>
            </w:tcBorders>
            <w:noWrap/>
            <w:vAlign w:val="center"/>
            <w:hideMark/>
          </w:tcPr>
          <w:p w14:paraId="257CFE09"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Pherd1</w:t>
            </w:r>
          </w:p>
        </w:tc>
        <w:tc>
          <w:tcPr>
            <w:tcW w:w="1985" w:type="dxa"/>
            <w:tcBorders>
              <w:top w:val="nil"/>
              <w:left w:val="nil"/>
              <w:bottom w:val="nil"/>
              <w:right w:val="nil"/>
            </w:tcBorders>
            <w:vAlign w:val="center"/>
          </w:tcPr>
          <w:p w14:paraId="472A6F85" w14:textId="469F49DB"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0.130 </w:t>
            </w:r>
            <w:r w:rsidR="00473BF4"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0.176, 0.408)</w:t>
            </w:r>
          </w:p>
        </w:tc>
        <w:tc>
          <w:tcPr>
            <w:tcW w:w="1984" w:type="dxa"/>
            <w:tcBorders>
              <w:top w:val="nil"/>
              <w:left w:val="nil"/>
              <w:bottom w:val="nil"/>
              <w:right w:val="nil"/>
            </w:tcBorders>
            <w:vAlign w:val="center"/>
          </w:tcPr>
          <w:p w14:paraId="42050966"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0.471 (0.315, 0.636)</w:t>
            </w:r>
          </w:p>
        </w:tc>
        <w:tc>
          <w:tcPr>
            <w:tcW w:w="2410" w:type="dxa"/>
            <w:tcBorders>
              <w:top w:val="nil"/>
              <w:left w:val="nil"/>
              <w:bottom w:val="nil"/>
              <w:right w:val="nil"/>
            </w:tcBorders>
            <w:vAlign w:val="center"/>
          </w:tcPr>
          <w:p w14:paraId="56465DDA" w14:textId="67E133C4"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0.292 (</w:t>
            </w:r>
            <w:r w:rsidR="00473BF4"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0.008, 0.545)</w:t>
            </w:r>
          </w:p>
        </w:tc>
        <w:tc>
          <w:tcPr>
            <w:tcW w:w="1418" w:type="dxa"/>
            <w:tcBorders>
              <w:top w:val="nil"/>
              <w:left w:val="nil"/>
              <w:bottom w:val="nil"/>
              <w:right w:val="nil"/>
            </w:tcBorders>
            <w:vAlign w:val="center"/>
          </w:tcPr>
          <w:p w14:paraId="648B5F31"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0.407</w:t>
            </w:r>
          </w:p>
        </w:tc>
        <w:tc>
          <w:tcPr>
            <w:tcW w:w="1984" w:type="dxa"/>
            <w:tcBorders>
              <w:top w:val="nil"/>
              <w:left w:val="nil"/>
              <w:bottom w:val="nil"/>
              <w:right w:val="nil"/>
            </w:tcBorders>
            <w:vAlign w:val="center"/>
          </w:tcPr>
          <w:p w14:paraId="51CFC35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0.268</w:t>
            </w:r>
          </w:p>
        </w:tc>
        <w:tc>
          <w:tcPr>
            <w:tcW w:w="1933" w:type="dxa"/>
            <w:tcBorders>
              <w:top w:val="nil"/>
              <w:left w:val="nil"/>
              <w:bottom w:val="nil"/>
              <w:right w:val="nil"/>
            </w:tcBorders>
            <w:vAlign w:val="center"/>
          </w:tcPr>
          <w:p w14:paraId="2A852FE7"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0.444</w:t>
            </w:r>
          </w:p>
        </w:tc>
      </w:tr>
      <w:tr w:rsidR="00533EAC" w:rsidRPr="00533EAC" w14:paraId="7498F41B" w14:textId="77777777" w:rsidTr="005565B0">
        <w:trPr>
          <w:trHeight w:val="271"/>
          <w:jc w:val="center"/>
        </w:trPr>
        <w:tc>
          <w:tcPr>
            <w:tcW w:w="1134" w:type="dxa"/>
            <w:tcBorders>
              <w:top w:val="nil"/>
              <w:left w:val="nil"/>
              <w:bottom w:val="nil"/>
              <w:right w:val="nil"/>
            </w:tcBorders>
            <w:noWrap/>
            <w:vAlign w:val="center"/>
            <w:hideMark/>
          </w:tcPr>
          <w:p w14:paraId="257461E6"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Pherd2</w:t>
            </w:r>
          </w:p>
        </w:tc>
        <w:tc>
          <w:tcPr>
            <w:tcW w:w="1985" w:type="dxa"/>
            <w:tcBorders>
              <w:top w:val="nil"/>
              <w:left w:val="nil"/>
              <w:bottom w:val="nil"/>
              <w:right w:val="nil"/>
            </w:tcBorders>
            <w:vAlign w:val="center"/>
          </w:tcPr>
          <w:p w14:paraId="7CDC7D3B" w14:textId="458BE4E8"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0.654 </w:t>
            </w:r>
            <w:r w:rsidR="00473BF4"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0.027, 1.000)</w:t>
            </w:r>
          </w:p>
        </w:tc>
        <w:tc>
          <w:tcPr>
            <w:tcW w:w="1984" w:type="dxa"/>
            <w:tcBorders>
              <w:top w:val="nil"/>
              <w:left w:val="nil"/>
              <w:bottom w:val="nil"/>
              <w:right w:val="nil"/>
            </w:tcBorders>
            <w:vAlign w:val="center"/>
          </w:tcPr>
          <w:p w14:paraId="31BD47FB" w14:textId="22D9780B"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0.000 (</w:t>
            </w:r>
            <w:r w:rsidR="00473BF4"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0.037, 0.000)</w:t>
            </w:r>
          </w:p>
        </w:tc>
        <w:tc>
          <w:tcPr>
            <w:tcW w:w="2410" w:type="dxa"/>
            <w:tcBorders>
              <w:top w:val="nil"/>
              <w:left w:val="nil"/>
              <w:bottom w:val="nil"/>
              <w:right w:val="nil"/>
            </w:tcBorders>
            <w:vAlign w:val="center"/>
          </w:tcPr>
          <w:p w14:paraId="457F324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0.541 (0.228, 0.774)</w:t>
            </w:r>
          </w:p>
        </w:tc>
        <w:tc>
          <w:tcPr>
            <w:tcW w:w="1418" w:type="dxa"/>
            <w:tcBorders>
              <w:top w:val="nil"/>
              <w:left w:val="nil"/>
              <w:bottom w:val="nil"/>
              <w:right w:val="nil"/>
            </w:tcBorders>
            <w:vAlign w:val="center"/>
          </w:tcPr>
          <w:p w14:paraId="3BB90D0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0.429</w:t>
            </w:r>
          </w:p>
        </w:tc>
        <w:tc>
          <w:tcPr>
            <w:tcW w:w="1984" w:type="dxa"/>
            <w:tcBorders>
              <w:top w:val="nil"/>
              <w:left w:val="nil"/>
              <w:bottom w:val="nil"/>
              <w:right w:val="nil"/>
            </w:tcBorders>
            <w:vAlign w:val="center"/>
          </w:tcPr>
          <w:p w14:paraId="4534F48C"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0.145</w:t>
            </w:r>
          </w:p>
        </w:tc>
        <w:tc>
          <w:tcPr>
            <w:tcW w:w="1933" w:type="dxa"/>
            <w:tcBorders>
              <w:top w:val="nil"/>
              <w:left w:val="nil"/>
              <w:bottom w:val="nil"/>
              <w:right w:val="nil"/>
            </w:tcBorders>
            <w:vAlign w:val="center"/>
          </w:tcPr>
          <w:p w14:paraId="1B966B24" w14:textId="0BDEF6B8" w:rsidR="005633D6" w:rsidRPr="00533EAC" w:rsidRDefault="00473BF4"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&lt;</w:t>
            </w:r>
            <w:r w:rsidR="005633D6" w:rsidRPr="00533EAC">
              <w:rPr>
                <w:rFonts w:ascii="Arial" w:eastAsia="Times New Roman" w:hAnsi="Arial" w:cs="Arial"/>
                <w:color w:val="000000" w:themeColor="text1"/>
                <w:sz w:val="16"/>
                <w:szCs w:val="16"/>
                <w:lang w:val="en-ZA" w:eastAsia="de-DE"/>
              </w:rPr>
              <w:t>0.</w:t>
            </w:r>
            <w:r w:rsidRPr="00533EAC">
              <w:rPr>
                <w:rFonts w:ascii="Arial" w:eastAsia="Times New Roman" w:hAnsi="Arial" w:cs="Arial"/>
                <w:color w:val="000000" w:themeColor="text1"/>
                <w:sz w:val="16"/>
                <w:szCs w:val="16"/>
                <w:lang w:val="en-ZA" w:eastAsia="de-DE"/>
              </w:rPr>
              <w:t>001</w:t>
            </w:r>
            <w:r w:rsidR="005633D6" w:rsidRPr="00533EAC">
              <w:rPr>
                <w:rFonts w:ascii="Arial" w:eastAsia="Calibri" w:hAnsi="Arial" w:cs="Arial"/>
                <w:color w:val="000000" w:themeColor="text1"/>
                <w:sz w:val="16"/>
                <w:szCs w:val="16"/>
                <w:lang w:val="en-ZA"/>
              </w:rPr>
              <w:t>*</w:t>
            </w:r>
          </w:p>
        </w:tc>
      </w:tr>
      <w:tr w:rsidR="005633D6" w:rsidRPr="00533EAC" w14:paraId="1438A1B7" w14:textId="77777777" w:rsidTr="000647CC">
        <w:trPr>
          <w:trHeight w:val="271"/>
          <w:jc w:val="center"/>
        </w:trPr>
        <w:tc>
          <w:tcPr>
            <w:tcW w:w="1134" w:type="dxa"/>
            <w:tcBorders>
              <w:top w:val="nil"/>
              <w:left w:val="nil"/>
              <w:bottom w:val="single" w:sz="4" w:space="0" w:color="auto"/>
              <w:right w:val="nil"/>
            </w:tcBorders>
            <w:noWrap/>
            <w:vAlign w:val="center"/>
          </w:tcPr>
          <w:p w14:paraId="12610735"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Pherd3</w:t>
            </w:r>
          </w:p>
        </w:tc>
        <w:tc>
          <w:tcPr>
            <w:tcW w:w="1985" w:type="dxa"/>
            <w:tcBorders>
              <w:top w:val="nil"/>
              <w:left w:val="nil"/>
              <w:bottom w:val="single" w:sz="4" w:space="0" w:color="auto"/>
              <w:right w:val="nil"/>
            </w:tcBorders>
            <w:vAlign w:val="center"/>
          </w:tcPr>
          <w:p w14:paraId="2F5E2FF5" w14:textId="57C76928" w:rsidR="005633D6" w:rsidRPr="00533EAC" w:rsidRDefault="00473BF4"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 xml:space="preserve">0.529 </w:t>
            </w: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 xml:space="preserve">1.000, </w:t>
            </w:r>
            <w:r w:rsidRPr="00533EAC">
              <w:rPr>
                <w:rFonts w:ascii="Arial" w:eastAsia="Times New Roman" w:hAnsi="Arial" w:cs="Arial"/>
                <w:color w:val="000000" w:themeColor="text1"/>
                <w:sz w:val="16"/>
                <w:szCs w:val="16"/>
                <w:lang w:val="en-ZA" w:eastAsia="de-DE"/>
              </w:rPr>
              <w:t>–</w:t>
            </w:r>
            <w:r w:rsidR="005633D6" w:rsidRPr="00533EAC">
              <w:rPr>
                <w:rFonts w:ascii="Arial" w:eastAsia="Times New Roman" w:hAnsi="Arial" w:cs="Arial"/>
                <w:color w:val="000000" w:themeColor="text1"/>
                <w:sz w:val="16"/>
                <w:szCs w:val="16"/>
                <w:lang w:val="en-ZA" w:eastAsia="de-DE"/>
              </w:rPr>
              <w:t>0.047)</w:t>
            </w:r>
          </w:p>
        </w:tc>
        <w:tc>
          <w:tcPr>
            <w:tcW w:w="1984" w:type="dxa"/>
            <w:tcBorders>
              <w:top w:val="nil"/>
              <w:left w:val="nil"/>
              <w:bottom w:val="single" w:sz="4" w:space="0" w:color="auto"/>
              <w:right w:val="nil"/>
            </w:tcBorders>
            <w:vAlign w:val="center"/>
          </w:tcPr>
          <w:p w14:paraId="4B628A38"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0.512 (0.298, 0.685)</w:t>
            </w:r>
          </w:p>
        </w:tc>
        <w:tc>
          <w:tcPr>
            <w:tcW w:w="2410" w:type="dxa"/>
            <w:tcBorders>
              <w:top w:val="nil"/>
              <w:left w:val="nil"/>
              <w:bottom w:val="single" w:sz="4" w:space="0" w:color="auto"/>
              <w:right w:val="nil"/>
            </w:tcBorders>
            <w:vAlign w:val="center"/>
          </w:tcPr>
          <w:p w14:paraId="1E5D535F" w14:textId="181A05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0.060 (</w:t>
            </w:r>
            <w:r w:rsidR="00473BF4" w:rsidRPr="00533EAC">
              <w:rPr>
                <w:rFonts w:ascii="Arial" w:eastAsia="Times New Roman" w:hAnsi="Arial" w:cs="Arial"/>
                <w:color w:val="000000" w:themeColor="text1"/>
                <w:sz w:val="16"/>
                <w:szCs w:val="16"/>
                <w:lang w:val="en-ZA" w:eastAsia="de-DE"/>
              </w:rPr>
              <w:t>–</w:t>
            </w:r>
            <w:r w:rsidRPr="00533EAC">
              <w:rPr>
                <w:rFonts w:ascii="Arial" w:eastAsia="Times New Roman" w:hAnsi="Arial" w:cs="Arial"/>
                <w:color w:val="000000" w:themeColor="text1"/>
                <w:sz w:val="16"/>
                <w:szCs w:val="16"/>
                <w:lang w:val="en-ZA" w:eastAsia="de-DE"/>
              </w:rPr>
              <w:t>0.125, 0.220)</w:t>
            </w:r>
          </w:p>
        </w:tc>
        <w:tc>
          <w:tcPr>
            <w:tcW w:w="1418" w:type="dxa"/>
            <w:tcBorders>
              <w:top w:val="nil"/>
              <w:left w:val="nil"/>
              <w:bottom w:val="single" w:sz="4" w:space="0" w:color="auto"/>
              <w:right w:val="nil"/>
            </w:tcBorders>
            <w:vAlign w:val="center"/>
          </w:tcPr>
          <w:p w14:paraId="7D5432DB"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0.003</w:t>
            </w:r>
            <w:r w:rsidRPr="00533EAC">
              <w:rPr>
                <w:rFonts w:ascii="Arial" w:eastAsia="Calibri" w:hAnsi="Arial" w:cs="Arial"/>
                <w:color w:val="000000" w:themeColor="text1"/>
                <w:sz w:val="16"/>
                <w:szCs w:val="16"/>
                <w:lang w:val="en-ZA"/>
              </w:rPr>
              <w:t>*</w:t>
            </w:r>
          </w:p>
        </w:tc>
        <w:tc>
          <w:tcPr>
            <w:tcW w:w="1984" w:type="dxa"/>
            <w:tcBorders>
              <w:top w:val="nil"/>
              <w:left w:val="nil"/>
              <w:bottom w:val="single" w:sz="4" w:space="0" w:color="auto"/>
              <w:right w:val="nil"/>
            </w:tcBorders>
            <w:vAlign w:val="center"/>
          </w:tcPr>
          <w:p w14:paraId="2230097A" w14:textId="77777777" w:rsidR="005633D6" w:rsidRPr="00533EAC" w:rsidRDefault="005633D6" w:rsidP="00C05A32">
            <w:pPr>
              <w:keepNext/>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0.191</w:t>
            </w:r>
          </w:p>
        </w:tc>
        <w:tc>
          <w:tcPr>
            <w:tcW w:w="1933" w:type="dxa"/>
            <w:tcBorders>
              <w:top w:val="nil"/>
              <w:left w:val="nil"/>
              <w:bottom w:val="single" w:sz="4" w:space="0" w:color="auto"/>
              <w:right w:val="nil"/>
            </w:tcBorders>
            <w:vAlign w:val="center"/>
          </w:tcPr>
          <w:p w14:paraId="27E841FF" w14:textId="77777777" w:rsidR="005633D6" w:rsidRPr="00533EAC" w:rsidRDefault="005633D6" w:rsidP="00C05A32">
            <w:pPr>
              <w:keepNext/>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0.085</w:t>
            </w:r>
          </w:p>
        </w:tc>
      </w:tr>
    </w:tbl>
    <w:p w14:paraId="333900CB" w14:textId="7EE77D83" w:rsidR="00473BF4" w:rsidRPr="00533EAC" w:rsidRDefault="00473BF4" w:rsidP="00C05A32">
      <w:pPr>
        <w:spacing w:after="0" w:line="200" w:lineRule="exact"/>
        <w:rPr>
          <w:rFonts w:ascii="Arial" w:eastAsia="Calibri" w:hAnsi="Arial" w:cs="Arial"/>
          <w:i/>
          <w:color w:val="000000" w:themeColor="text1"/>
          <w:sz w:val="16"/>
          <w:szCs w:val="16"/>
          <w:lang w:val="en-ZA"/>
        </w:rPr>
      </w:pPr>
    </w:p>
    <w:p w14:paraId="11C71210" w14:textId="63FC4F01" w:rsidR="00473BF4" w:rsidRPr="00533EAC" w:rsidRDefault="00473BF4" w:rsidP="00C05A32">
      <w:pPr>
        <w:spacing w:after="0" w:line="200" w:lineRule="exact"/>
        <w:rPr>
          <w:rFonts w:ascii="Arial" w:eastAsia="Calibri" w:hAnsi="Arial" w:cs="Arial"/>
          <w:i/>
          <w:color w:val="000000" w:themeColor="text1"/>
          <w:sz w:val="16"/>
          <w:szCs w:val="16"/>
          <w:lang w:val="en-ZA"/>
        </w:rPr>
      </w:pPr>
    </w:p>
    <w:p w14:paraId="616FD4C5" w14:textId="77777777" w:rsidR="00473BF4" w:rsidRPr="00533EAC" w:rsidRDefault="00473BF4" w:rsidP="00C05A32">
      <w:pPr>
        <w:spacing w:after="0" w:line="200" w:lineRule="exact"/>
        <w:rPr>
          <w:rFonts w:ascii="Arial" w:eastAsia="Calibri" w:hAnsi="Arial" w:cs="Arial"/>
          <w:i/>
          <w:color w:val="000000" w:themeColor="text1"/>
          <w:sz w:val="16"/>
          <w:szCs w:val="16"/>
          <w:lang w:val="en-ZA"/>
        </w:rPr>
      </w:pPr>
    </w:p>
    <w:p w14:paraId="6DAA1BFA" w14:textId="77777777" w:rsidR="00473BF4" w:rsidRPr="00533EAC" w:rsidRDefault="00473BF4">
      <w:pPr>
        <w:rPr>
          <w:rFonts w:ascii="Arial" w:eastAsia="Calibri" w:hAnsi="Arial" w:cs="Arial"/>
          <w:b/>
          <w:color w:val="000000" w:themeColor="text1"/>
          <w:sz w:val="16"/>
          <w:szCs w:val="16"/>
          <w:lang w:val="en-ZA"/>
        </w:rPr>
      </w:pPr>
      <w:r w:rsidRPr="00533EAC">
        <w:rPr>
          <w:rFonts w:ascii="Arial" w:eastAsia="Calibri" w:hAnsi="Arial" w:cs="Arial"/>
          <w:b/>
          <w:color w:val="000000" w:themeColor="text1"/>
          <w:sz w:val="16"/>
          <w:szCs w:val="16"/>
          <w:lang w:val="en-ZA"/>
        </w:rPr>
        <w:br w:type="page"/>
      </w:r>
    </w:p>
    <w:p w14:paraId="5CA6352C" w14:textId="4DDEF077" w:rsidR="005633D6" w:rsidRPr="00533EAC" w:rsidRDefault="005633D6" w:rsidP="00C05A32">
      <w:pPr>
        <w:spacing w:after="0" w:line="360" w:lineRule="auto"/>
        <w:rPr>
          <w:rFonts w:ascii="Arial" w:eastAsia="Calibri" w:hAnsi="Arial" w:cs="Arial"/>
          <w:color w:val="000000" w:themeColor="text1"/>
          <w:sz w:val="20"/>
          <w:szCs w:val="20"/>
          <w:lang w:val="en-ZA"/>
        </w:rPr>
      </w:pPr>
      <w:r w:rsidRPr="00533EAC">
        <w:rPr>
          <w:rFonts w:ascii="Arial" w:eastAsia="Calibri" w:hAnsi="Arial" w:cs="Arial"/>
          <w:b/>
          <w:color w:val="000000" w:themeColor="text1"/>
          <w:sz w:val="20"/>
          <w:szCs w:val="20"/>
          <w:lang w:val="en-ZA"/>
        </w:rPr>
        <w:lastRenderedPageBreak/>
        <w:t xml:space="preserve">Table 4: </w:t>
      </w:r>
      <w:r w:rsidRPr="00533EAC">
        <w:rPr>
          <w:rFonts w:ascii="Arial" w:eastAsia="Calibri" w:hAnsi="Arial" w:cs="Arial"/>
          <w:color w:val="000000" w:themeColor="text1"/>
          <w:sz w:val="20"/>
          <w:szCs w:val="20"/>
          <w:lang w:val="en-ZA"/>
        </w:rPr>
        <w:t>Partial mitoge</w:t>
      </w:r>
      <w:r w:rsidR="00A11BDD" w:rsidRPr="00533EAC">
        <w:rPr>
          <w:rFonts w:ascii="Arial" w:eastAsia="Calibri" w:hAnsi="Arial" w:cs="Arial"/>
          <w:color w:val="000000" w:themeColor="text1"/>
          <w:sz w:val="20"/>
          <w:szCs w:val="20"/>
          <w:lang w:val="en-ZA"/>
        </w:rPr>
        <w:t>n</w:t>
      </w:r>
      <w:r w:rsidRPr="00533EAC">
        <w:rPr>
          <w:rFonts w:ascii="Arial" w:eastAsia="Calibri" w:hAnsi="Arial" w:cs="Arial"/>
          <w:color w:val="000000" w:themeColor="text1"/>
          <w:sz w:val="20"/>
          <w:szCs w:val="20"/>
          <w:lang w:val="en-ZA"/>
        </w:rPr>
        <w:t>o</w:t>
      </w:r>
      <w:r w:rsidR="00A11BDD" w:rsidRPr="00533EAC">
        <w:rPr>
          <w:rFonts w:ascii="Arial" w:eastAsia="Calibri" w:hAnsi="Arial" w:cs="Arial"/>
          <w:color w:val="000000" w:themeColor="text1"/>
          <w:sz w:val="20"/>
          <w:szCs w:val="20"/>
          <w:lang w:val="en-ZA"/>
        </w:rPr>
        <w:t>m</w:t>
      </w:r>
      <w:r w:rsidRPr="00533EAC">
        <w:rPr>
          <w:rFonts w:ascii="Arial" w:eastAsia="Calibri" w:hAnsi="Arial" w:cs="Arial"/>
          <w:color w:val="000000" w:themeColor="text1"/>
          <w:sz w:val="20"/>
          <w:szCs w:val="20"/>
          <w:lang w:val="en-ZA"/>
        </w:rPr>
        <w:t>e length for the concatenated 13</w:t>
      </w:r>
      <w:r w:rsidR="00473BF4" w:rsidRPr="00533EAC">
        <w:rPr>
          <w:rFonts w:ascii="Arial" w:eastAsia="Calibri" w:hAnsi="Arial" w:cs="Arial"/>
          <w:color w:val="000000" w:themeColor="text1"/>
          <w:sz w:val="20"/>
          <w:szCs w:val="20"/>
          <w:lang w:val="en-ZA"/>
        </w:rPr>
        <w:t xml:space="preserve"> protein-coding genes</w:t>
      </w:r>
      <w:r w:rsidRPr="00533EAC">
        <w:rPr>
          <w:rFonts w:ascii="Arial" w:eastAsia="Calibri" w:hAnsi="Arial" w:cs="Arial"/>
          <w:color w:val="000000" w:themeColor="text1"/>
          <w:sz w:val="20"/>
          <w:szCs w:val="20"/>
          <w:lang w:val="en-ZA"/>
        </w:rPr>
        <w:t xml:space="preserve"> </w:t>
      </w:r>
      <w:r w:rsidR="00473BF4" w:rsidRPr="00533EAC">
        <w:rPr>
          <w:rFonts w:ascii="Arial" w:eastAsia="Calibri" w:hAnsi="Arial" w:cs="Arial"/>
          <w:color w:val="000000" w:themeColor="text1"/>
          <w:sz w:val="20"/>
          <w:szCs w:val="20"/>
          <w:lang w:val="en-ZA"/>
        </w:rPr>
        <w:t>(</w:t>
      </w:r>
      <w:r w:rsidRPr="00533EAC">
        <w:rPr>
          <w:rFonts w:ascii="Arial" w:eastAsia="Calibri" w:hAnsi="Arial" w:cs="Arial"/>
          <w:color w:val="000000" w:themeColor="text1"/>
          <w:sz w:val="20"/>
          <w:szCs w:val="20"/>
          <w:lang w:val="en-ZA"/>
        </w:rPr>
        <w:t>PCGs</w:t>
      </w:r>
      <w:r w:rsidR="00473BF4" w:rsidRPr="00533EAC">
        <w:rPr>
          <w:rFonts w:ascii="Arial" w:eastAsia="Calibri" w:hAnsi="Arial" w:cs="Arial"/>
          <w:color w:val="000000" w:themeColor="text1"/>
          <w:sz w:val="20"/>
          <w:szCs w:val="20"/>
          <w:lang w:val="en-ZA"/>
        </w:rPr>
        <w:t>)</w:t>
      </w:r>
      <w:r w:rsidRPr="00533EAC">
        <w:rPr>
          <w:rFonts w:ascii="Arial" w:eastAsia="Calibri" w:hAnsi="Arial" w:cs="Arial"/>
          <w:color w:val="000000" w:themeColor="text1"/>
          <w:sz w:val="20"/>
          <w:szCs w:val="20"/>
          <w:lang w:val="en-ZA"/>
        </w:rPr>
        <w:t xml:space="preserve"> of </w:t>
      </w:r>
      <w:r w:rsidRPr="00533EAC">
        <w:rPr>
          <w:rFonts w:ascii="Arial" w:eastAsia="Calibri" w:hAnsi="Arial" w:cs="Arial"/>
          <w:i/>
          <w:color w:val="000000" w:themeColor="text1"/>
          <w:sz w:val="20"/>
          <w:szCs w:val="20"/>
          <w:lang w:val="en-ZA"/>
        </w:rPr>
        <w:t xml:space="preserve">Pyura stolonifera </w:t>
      </w:r>
      <w:r w:rsidRPr="00533EAC">
        <w:rPr>
          <w:rFonts w:ascii="Arial" w:eastAsia="Calibri" w:hAnsi="Arial" w:cs="Arial"/>
          <w:iCs/>
          <w:color w:val="000000" w:themeColor="text1"/>
          <w:sz w:val="20"/>
          <w:szCs w:val="20"/>
          <w:lang w:val="en-ZA"/>
        </w:rPr>
        <w:t>and</w:t>
      </w:r>
      <w:r w:rsidRPr="00533EAC">
        <w:rPr>
          <w:rFonts w:ascii="Arial" w:eastAsia="Calibri" w:hAnsi="Arial" w:cs="Arial"/>
          <w:i/>
          <w:color w:val="000000" w:themeColor="text1"/>
          <w:sz w:val="20"/>
          <w:szCs w:val="20"/>
          <w:lang w:val="en-ZA"/>
        </w:rPr>
        <w:t xml:space="preserve"> P. herdmani </w:t>
      </w:r>
      <w:r w:rsidRPr="00533EAC">
        <w:rPr>
          <w:rFonts w:ascii="Arial" w:eastAsia="Calibri" w:hAnsi="Arial" w:cs="Arial"/>
          <w:color w:val="000000" w:themeColor="text1"/>
          <w:sz w:val="20"/>
          <w:szCs w:val="20"/>
          <w:lang w:val="en-ZA"/>
        </w:rPr>
        <w:t>from four different bioregions</w:t>
      </w:r>
    </w:p>
    <w:tbl>
      <w:tblPr>
        <w:tblStyle w:val="Grigliatabella1"/>
        <w:tblW w:w="10490" w:type="dxa"/>
        <w:jc w:val="center"/>
        <w:tblLayout w:type="fixed"/>
        <w:tblLook w:val="04A0" w:firstRow="1" w:lastRow="0" w:firstColumn="1" w:lastColumn="0" w:noHBand="0" w:noVBand="1"/>
      </w:tblPr>
      <w:tblGrid>
        <w:gridCol w:w="1560"/>
        <w:gridCol w:w="1701"/>
        <w:gridCol w:w="1559"/>
        <w:gridCol w:w="2126"/>
        <w:gridCol w:w="1418"/>
        <w:gridCol w:w="2126"/>
      </w:tblGrid>
      <w:tr w:rsidR="00533EAC" w:rsidRPr="00533EAC" w14:paraId="345601D4" w14:textId="77777777" w:rsidTr="00C05A32">
        <w:trPr>
          <w:trHeight w:val="433"/>
          <w:jc w:val="center"/>
        </w:trPr>
        <w:tc>
          <w:tcPr>
            <w:tcW w:w="1560" w:type="dxa"/>
            <w:tcBorders>
              <w:left w:val="nil"/>
              <w:bottom w:val="single" w:sz="4" w:space="0" w:color="auto"/>
              <w:right w:val="nil"/>
            </w:tcBorders>
          </w:tcPr>
          <w:p w14:paraId="5358322D"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Species</w:t>
            </w:r>
          </w:p>
        </w:tc>
        <w:tc>
          <w:tcPr>
            <w:tcW w:w="1701" w:type="dxa"/>
            <w:tcBorders>
              <w:left w:val="nil"/>
              <w:bottom w:val="single" w:sz="4" w:space="0" w:color="auto"/>
              <w:right w:val="nil"/>
            </w:tcBorders>
          </w:tcPr>
          <w:p w14:paraId="64869C18" w14:textId="59217898" w:rsidR="005633D6" w:rsidRPr="00533EAC" w:rsidRDefault="00A11BDD"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Population d</w:t>
            </w:r>
            <w:r w:rsidR="005633D6" w:rsidRPr="00533EAC">
              <w:rPr>
                <w:rFonts w:ascii="Arial" w:eastAsia="Times New Roman" w:hAnsi="Arial" w:cs="Arial"/>
                <w:bCs/>
                <w:color w:val="000000" w:themeColor="text1"/>
                <w:sz w:val="16"/>
                <w:szCs w:val="16"/>
                <w:lang w:val="en-ZA" w:eastAsia="de-DE"/>
              </w:rPr>
              <w:t>efined by Teske et al. 2011</w:t>
            </w:r>
          </w:p>
        </w:tc>
        <w:tc>
          <w:tcPr>
            <w:tcW w:w="1559" w:type="dxa"/>
            <w:tcBorders>
              <w:left w:val="nil"/>
              <w:bottom w:val="single" w:sz="4" w:space="0" w:color="auto"/>
              <w:right w:val="nil"/>
            </w:tcBorders>
          </w:tcPr>
          <w:p w14:paraId="188D0FF4"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Bioregion</w:t>
            </w:r>
          </w:p>
        </w:tc>
        <w:tc>
          <w:tcPr>
            <w:tcW w:w="2126" w:type="dxa"/>
            <w:tcBorders>
              <w:left w:val="nil"/>
              <w:bottom w:val="single" w:sz="4" w:space="0" w:color="auto"/>
              <w:right w:val="nil"/>
            </w:tcBorders>
          </w:tcPr>
          <w:p w14:paraId="6A3B908A"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Geographical origin</w:t>
            </w:r>
          </w:p>
        </w:tc>
        <w:tc>
          <w:tcPr>
            <w:tcW w:w="1418" w:type="dxa"/>
            <w:tcBorders>
              <w:left w:val="nil"/>
              <w:bottom w:val="single" w:sz="4" w:space="0" w:color="auto"/>
              <w:right w:val="nil"/>
            </w:tcBorders>
          </w:tcPr>
          <w:p w14:paraId="4597996F" w14:textId="77777777"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Site name</w:t>
            </w:r>
          </w:p>
        </w:tc>
        <w:tc>
          <w:tcPr>
            <w:tcW w:w="2126" w:type="dxa"/>
            <w:tcBorders>
              <w:left w:val="nil"/>
              <w:bottom w:val="single" w:sz="4" w:space="0" w:color="auto"/>
              <w:right w:val="nil"/>
            </w:tcBorders>
          </w:tcPr>
          <w:p w14:paraId="0E21736E" w14:textId="741C5228" w:rsidR="005633D6" w:rsidRPr="00533EAC" w:rsidRDefault="005633D6" w:rsidP="00C05A32">
            <w:pPr>
              <w:spacing w:line="200" w:lineRule="exact"/>
              <w:rPr>
                <w:rFonts w:ascii="Arial" w:eastAsia="Times New Roman" w:hAnsi="Arial" w:cs="Arial"/>
                <w:bCs/>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 xml:space="preserve">Mitogenome </w:t>
            </w:r>
            <w:r w:rsidR="00A11BDD" w:rsidRPr="00533EAC">
              <w:rPr>
                <w:rFonts w:ascii="Arial" w:eastAsia="Times New Roman" w:hAnsi="Arial" w:cs="Arial"/>
                <w:bCs/>
                <w:color w:val="000000" w:themeColor="text1"/>
                <w:sz w:val="16"/>
                <w:szCs w:val="16"/>
                <w:lang w:val="en-ZA" w:eastAsia="de-DE"/>
              </w:rPr>
              <w:t>l</w:t>
            </w:r>
            <w:r w:rsidRPr="00533EAC">
              <w:rPr>
                <w:rFonts w:ascii="Arial" w:eastAsia="Times New Roman" w:hAnsi="Arial" w:cs="Arial"/>
                <w:bCs/>
                <w:color w:val="000000" w:themeColor="text1"/>
                <w:sz w:val="16"/>
                <w:szCs w:val="16"/>
                <w:lang w:val="en-ZA" w:eastAsia="de-DE"/>
              </w:rPr>
              <w:t>ength (bp)</w:t>
            </w:r>
          </w:p>
        </w:tc>
      </w:tr>
      <w:tr w:rsidR="00533EAC" w:rsidRPr="00533EAC" w14:paraId="1E0700C4" w14:textId="77777777" w:rsidTr="00473BF4">
        <w:trPr>
          <w:trHeight w:val="271"/>
          <w:jc w:val="center"/>
        </w:trPr>
        <w:tc>
          <w:tcPr>
            <w:tcW w:w="1560" w:type="dxa"/>
            <w:tcBorders>
              <w:top w:val="single" w:sz="4" w:space="0" w:color="auto"/>
              <w:left w:val="nil"/>
              <w:bottom w:val="nil"/>
              <w:right w:val="nil"/>
            </w:tcBorders>
          </w:tcPr>
          <w:p w14:paraId="1421B222" w14:textId="77777777" w:rsidR="005633D6" w:rsidRPr="00533EAC" w:rsidRDefault="005633D6"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Calibri" w:hAnsi="Arial" w:cs="Arial"/>
                <w:i/>
                <w:color w:val="000000" w:themeColor="text1"/>
                <w:sz w:val="16"/>
                <w:szCs w:val="16"/>
                <w:lang w:val="en-ZA"/>
              </w:rPr>
              <w:t>P. stolonifera</w:t>
            </w:r>
          </w:p>
        </w:tc>
        <w:tc>
          <w:tcPr>
            <w:tcW w:w="1701" w:type="dxa"/>
            <w:tcBorders>
              <w:top w:val="single" w:sz="4" w:space="0" w:color="auto"/>
              <w:left w:val="nil"/>
              <w:bottom w:val="nil"/>
              <w:right w:val="nil"/>
            </w:tcBorders>
          </w:tcPr>
          <w:p w14:paraId="6BBB91A0" w14:textId="7D88BACB" w:rsidR="005633D6" w:rsidRPr="00533EAC" w:rsidRDefault="00740697"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Calibri" w:hAnsi="Arial" w:cs="Arial"/>
                <w:color w:val="000000" w:themeColor="text1"/>
                <w:sz w:val="16"/>
                <w:szCs w:val="16"/>
                <w:lang w:val="en-ZA"/>
              </w:rPr>
              <w:t>–</w:t>
            </w:r>
          </w:p>
        </w:tc>
        <w:tc>
          <w:tcPr>
            <w:tcW w:w="1559" w:type="dxa"/>
            <w:tcBorders>
              <w:top w:val="single" w:sz="4" w:space="0" w:color="auto"/>
              <w:left w:val="nil"/>
              <w:bottom w:val="nil"/>
              <w:right w:val="nil"/>
            </w:tcBorders>
          </w:tcPr>
          <w:p w14:paraId="15CE87B6" w14:textId="4734159A" w:rsidR="005633D6" w:rsidRPr="00533EAC" w:rsidRDefault="00740697"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Cool temperate</w:t>
            </w:r>
          </w:p>
        </w:tc>
        <w:tc>
          <w:tcPr>
            <w:tcW w:w="2126" w:type="dxa"/>
            <w:tcBorders>
              <w:top w:val="single" w:sz="4" w:space="0" w:color="auto"/>
              <w:left w:val="nil"/>
              <w:bottom w:val="nil"/>
              <w:right w:val="nil"/>
            </w:tcBorders>
          </w:tcPr>
          <w:p w14:paraId="2F3909D7" w14:textId="0172FE1A"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Western </w:t>
            </w:r>
            <w:r w:rsidR="005633D6" w:rsidRPr="00533EAC">
              <w:rPr>
                <w:rFonts w:ascii="Arial" w:eastAsia="Times New Roman" w:hAnsi="Arial" w:cs="Arial"/>
                <w:color w:val="000000" w:themeColor="text1"/>
                <w:sz w:val="16"/>
                <w:szCs w:val="16"/>
                <w:lang w:val="en-ZA" w:eastAsia="de-DE"/>
              </w:rPr>
              <w:t>South Africa</w:t>
            </w:r>
          </w:p>
        </w:tc>
        <w:tc>
          <w:tcPr>
            <w:tcW w:w="1418" w:type="dxa"/>
            <w:tcBorders>
              <w:top w:val="single" w:sz="4" w:space="0" w:color="auto"/>
              <w:left w:val="nil"/>
              <w:bottom w:val="nil"/>
              <w:right w:val="nil"/>
            </w:tcBorders>
          </w:tcPr>
          <w:p w14:paraId="3A3B43D7"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False Bay</w:t>
            </w:r>
          </w:p>
        </w:tc>
        <w:tc>
          <w:tcPr>
            <w:tcW w:w="2126" w:type="dxa"/>
            <w:tcBorders>
              <w:top w:val="single" w:sz="4" w:space="0" w:color="auto"/>
              <w:left w:val="nil"/>
              <w:bottom w:val="nil"/>
              <w:right w:val="nil"/>
            </w:tcBorders>
          </w:tcPr>
          <w:p w14:paraId="0EA65491" w14:textId="338AE4C4"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5</w:t>
            </w:r>
            <w:r w:rsidR="00740697" w:rsidRPr="00533EAC">
              <w:rPr>
                <w:rFonts w:ascii="Arial" w:eastAsia="Times New Roman" w:hAnsi="Arial" w:cs="Arial"/>
                <w:color w:val="000000" w:themeColor="text1"/>
                <w:sz w:val="16"/>
                <w:szCs w:val="16"/>
                <w:lang w:val="en-ZA" w:eastAsia="de-DE"/>
              </w:rPr>
              <w:t xml:space="preserve"> </w:t>
            </w:r>
            <w:r w:rsidRPr="00533EAC">
              <w:rPr>
                <w:rFonts w:ascii="Arial" w:eastAsia="Times New Roman" w:hAnsi="Arial" w:cs="Arial"/>
                <w:color w:val="000000" w:themeColor="text1"/>
                <w:sz w:val="16"/>
                <w:szCs w:val="16"/>
                <w:lang w:val="en-ZA" w:eastAsia="de-DE"/>
              </w:rPr>
              <w:t>141</w:t>
            </w:r>
          </w:p>
        </w:tc>
      </w:tr>
      <w:tr w:rsidR="00533EAC" w:rsidRPr="00533EAC" w14:paraId="02C78E27" w14:textId="77777777" w:rsidTr="005565B0">
        <w:trPr>
          <w:trHeight w:val="271"/>
          <w:jc w:val="center"/>
        </w:trPr>
        <w:tc>
          <w:tcPr>
            <w:tcW w:w="1560" w:type="dxa"/>
            <w:tcBorders>
              <w:top w:val="nil"/>
              <w:left w:val="nil"/>
              <w:bottom w:val="nil"/>
              <w:right w:val="nil"/>
            </w:tcBorders>
          </w:tcPr>
          <w:p w14:paraId="0739ACAF" w14:textId="77777777" w:rsidR="005633D6" w:rsidRPr="00533EAC" w:rsidRDefault="005633D6"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Calibri" w:hAnsi="Arial" w:cs="Arial"/>
                <w:i/>
                <w:color w:val="000000" w:themeColor="text1"/>
                <w:sz w:val="16"/>
                <w:szCs w:val="16"/>
                <w:lang w:val="en-ZA"/>
              </w:rPr>
              <w:t>P. herdmani</w:t>
            </w:r>
          </w:p>
        </w:tc>
        <w:tc>
          <w:tcPr>
            <w:tcW w:w="1701" w:type="dxa"/>
            <w:tcBorders>
              <w:top w:val="nil"/>
              <w:left w:val="nil"/>
              <w:bottom w:val="nil"/>
              <w:right w:val="nil"/>
            </w:tcBorders>
          </w:tcPr>
          <w:p w14:paraId="4AA25DCF" w14:textId="47B0D35C"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Temperat</w:t>
            </w:r>
            <w:r w:rsidR="005633D6" w:rsidRPr="00533EAC">
              <w:rPr>
                <w:rFonts w:ascii="Arial" w:eastAsia="Times New Roman" w:hAnsi="Arial" w:cs="Arial"/>
                <w:color w:val="000000" w:themeColor="text1"/>
                <w:sz w:val="16"/>
                <w:szCs w:val="16"/>
                <w:lang w:val="en-ZA" w:eastAsia="de-DE"/>
              </w:rPr>
              <w:t>e common</w:t>
            </w:r>
          </w:p>
        </w:tc>
        <w:tc>
          <w:tcPr>
            <w:tcW w:w="1559" w:type="dxa"/>
            <w:tcBorders>
              <w:top w:val="nil"/>
              <w:left w:val="nil"/>
              <w:bottom w:val="nil"/>
              <w:right w:val="nil"/>
            </w:tcBorders>
          </w:tcPr>
          <w:p w14:paraId="51F5BCCB" w14:textId="5358605B"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Warm temperate</w:t>
            </w:r>
          </w:p>
        </w:tc>
        <w:tc>
          <w:tcPr>
            <w:tcW w:w="2126" w:type="dxa"/>
            <w:tcBorders>
              <w:top w:val="nil"/>
              <w:left w:val="nil"/>
              <w:bottom w:val="nil"/>
              <w:right w:val="nil"/>
            </w:tcBorders>
          </w:tcPr>
          <w:p w14:paraId="5B58957B" w14:textId="72770B51"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Southern </w:t>
            </w:r>
            <w:r w:rsidR="005633D6" w:rsidRPr="00533EAC">
              <w:rPr>
                <w:rFonts w:ascii="Arial" w:eastAsia="Times New Roman" w:hAnsi="Arial" w:cs="Arial"/>
                <w:color w:val="000000" w:themeColor="text1"/>
                <w:sz w:val="16"/>
                <w:szCs w:val="16"/>
                <w:lang w:val="en-ZA" w:eastAsia="de-DE"/>
              </w:rPr>
              <w:t>South Africa</w:t>
            </w:r>
          </w:p>
        </w:tc>
        <w:tc>
          <w:tcPr>
            <w:tcW w:w="1418" w:type="dxa"/>
            <w:tcBorders>
              <w:top w:val="nil"/>
              <w:left w:val="nil"/>
              <w:bottom w:val="nil"/>
              <w:right w:val="nil"/>
            </w:tcBorders>
          </w:tcPr>
          <w:p w14:paraId="706B7270"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Knysna</w:t>
            </w:r>
          </w:p>
        </w:tc>
        <w:tc>
          <w:tcPr>
            <w:tcW w:w="2126" w:type="dxa"/>
            <w:tcBorders>
              <w:top w:val="nil"/>
              <w:left w:val="nil"/>
              <w:bottom w:val="nil"/>
              <w:right w:val="nil"/>
            </w:tcBorders>
          </w:tcPr>
          <w:p w14:paraId="65121BF6" w14:textId="5BFA1F24"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3</w:t>
            </w:r>
            <w:r w:rsidR="00740697" w:rsidRPr="00533EAC">
              <w:rPr>
                <w:rFonts w:ascii="Arial" w:eastAsia="Times New Roman" w:hAnsi="Arial" w:cs="Arial"/>
                <w:color w:val="000000" w:themeColor="text1"/>
                <w:sz w:val="16"/>
                <w:szCs w:val="16"/>
                <w:lang w:val="en-ZA" w:eastAsia="de-DE"/>
              </w:rPr>
              <w:t xml:space="preserve"> </w:t>
            </w:r>
            <w:r w:rsidRPr="00533EAC">
              <w:rPr>
                <w:rFonts w:ascii="Arial" w:eastAsia="Times New Roman" w:hAnsi="Arial" w:cs="Arial"/>
                <w:color w:val="000000" w:themeColor="text1"/>
                <w:sz w:val="16"/>
                <w:szCs w:val="16"/>
                <w:lang w:val="en-ZA" w:eastAsia="de-DE"/>
              </w:rPr>
              <w:t>549</w:t>
            </w:r>
          </w:p>
        </w:tc>
      </w:tr>
      <w:tr w:rsidR="00533EAC" w:rsidRPr="00533EAC" w14:paraId="538E495D" w14:textId="77777777" w:rsidTr="005565B0">
        <w:trPr>
          <w:trHeight w:val="271"/>
          <w:jc w:val="center"/>
        </w:trPr>
        <w:tc>
          <w:tcPr>
            <w:tcW w:w="1560" w:type="dxa"/>
            <w:tcBorders>
              <w:top w:val="nil"/>
              <w:left w:val="nil"/>
              <w:bottom w:val="nil"/>
              <w:right w:val="nil"/>
            </w:tcBorders>
          </w:tcPr>
          <w:p w14:paraId="034946AF" w14:textId="77777777" w:rsidR="005633D6" w:rsidRPr="00533EAC" w:rsidRDefault="005633D6"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Calibri" w:hAnsi="Arial" w:cs="Arial"/>
                <w:i/>
                <w:color w:val="000000" w:themeColor="text1"/>
                <w:sz w:val="16"/>
                <w:szCs w:val="16"/>
                <w:lang w:val="en-ZA"/>
              </w:rPr>
              <w:t>P. herdmani</w:t>
            </w:r>
          </w:p>
        </w:tc>
        <w:tc>
          <w:tcPr>
            <w:tcW w:w="1701" w:type="dxa"/>
            <w:tcBorders>
              <w:top w:val="nil"/>
              <w:left w:val="nil"/>
              <w:bottom w:val="nil"/>
              <w:right w:val="nil"/>
            </w:tcBorders>
          </w:tcPr>
          <w:p w14:paraId="2D294E3D" w14:textId="280BFB1D"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Temperate rare</w:t>
            </w:r>
          </w:p>
        </w:tc>
        <w:tc>
          <w:tcPr>
            <w:tcW w:w="1559" w:type="dxa"/>
            <w:tcBorders>
              <w:top w:val="nil"/>
              <w:left w:val="nil"/>
              <w:bottom w:val="nil"/>
              <w:right w:val="nil"/>
            </w:tcBorders>
          </w:tcPr>
          <w:p w14:paraId="24AB4983" w14:textId="2FE46776"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Cool temperate</w:t>
            </w:r>
          </w:p>
        </w:tc>
        <w:tc>
          <w:tcPr>
            <w:tcW w:w="2126" w:type="dxa"/>
            <w:tcBorders>
              <w:top w:val="nil"/>
              <w:left w:val="nil"/>
              <w:bottom w:val="nil"/>
              <w:right w:val="nil"/>
            </w:tcBorders>
          </w:tcPr>
          <w:p w14:paraId="5A2FFEC7" w14:textId="2589A24A"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 xml:space="preserve">Western </w:t>
            </w:r>
            <w:r w:rsidR="005633D6" w:rsidRPr="00533EAC">
              <w:rPr>
                <w:rFonts w:ascii="Arial" w:eastAsia="Times New Roman" w:hAnsi="Arial" w:cs="Arial"/>
                <w:color w:val="000000" w:themeColor="text1"/>
                <w:sz w:val="16"/>
                <w:szCs w:val="16"/>
                <w:lang w:val="en-ZA" w:eastAsia="de-DE"/>
              </w:rPr>
              <w:t>South Africa</w:t>
            </w:r>
          </w:p>
        </w:tc>
        <w:tc>
          <w:tcPr>
            <w:tcW w:w="1418" w:type="dxa"/>
            <w:tcBorders>
              <w:top w:val="nil"/>
              <w:left w:val="nil"/>
              <w:bottom w:val="nil"/>
              <w:right w:val="nil"/>
            </w:tcBorders>
          </w:tcPr>
          <w:p w14:paraId="7E4E1079"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Simon's Town</w:t>
            </w:r>
          </w:p>
        </w:tc>
        <w:tc>
          <w:tcPr>
            <w:tcW w:w="2126" w:type="dxa"/>
            <w:tcBorders>
              <w:top w:val="nil"/>
              <w:left w:val="nil"/>
              <w:bottom w:val="nil"/>
              <w:right w:val="nil"/>
            </w:tcBorders>
          </w:tcPr>
          <w:p w14:paraId="13DAFFA6" w14:textId="2C23AE2D"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3</w:t>
            </w:r>
            <w:r w:rsidR="00740697" w:rsidRPr="00533EAC">
              <w:rPr>
                <w:rFonts w:ascii="Arial" w:eastAsia="Times New Roman" w:hAnsi="Arial" w:cs="Arial"/>
                <w:color w:val="000000" w:themeColor="text1"/>
                <w:sz w:val="16"/>
                <w:szCs w:val="16"/>
                <w:lang w:val="en-ZA" w:eastAsia="de-DE"/>
              </w:rPr>
              <w:t xml:space="preserve"> </w:t>
            </w:r>
            <w:r w:rsidRPr="00533EAC">
              <w:rPr>
                <w:rFonts w:ascii="Arial" w:eastAsia="Times New Roman" w:hAnsi="Arial" w:cs="Arial"/>
                <w:color w:val="000000" w:themeColor="text1"/>
                <w:sz w:val="16"/>
                <w:szCs w:val="16"/>
                <w:lang w:val="en-ZA" w:eastAsia="de-DE"/>
              </w:rPr>
              <w:t>065</w:t>
            </w:r>
          </w:p>
        </w:tc>
      </w:tr>
      <w:tr w:rsidR="00533EAC" w:rsidRPr="00533EAC" w14:paraId="2B567238" w14:textId="77777777" w:rsidTr="005565B0">
        <w:trPr>
          <w:trHeight w:val="271"/>
          <w:jc w:val="center"/>
        </w:trPr>
        <w:tc>
          <w:tcPr>
            <w:tcW w:w="1560" w:type="dxa"/>
            <w:tcBorders>
              <w:top w:val="nil"/>
              <w:left w:val="nil"/>
              <w:bottom w:val="nil"/>
              <w:right w:val="nil"/>
            </w:tcBorders>
          </w:tcPr>
          <w:p w14:paraId="32C76A00" w14:textId="77777777" w:rsidR="005633D6" w:rsidRPr="00533EAC" w:rsidRDefault="005633D6"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Calibri" w:hAnsi="Arial" w:cs="Arial"/>
                <w:i/>
                <w:color w:val="000000" w:themeColor="text1"/>
                <w:sz w:val="16"/>
                <w:szCs w:val="16"/>
                <w:lang w:val="en-ZA"/>
              </w:rPr>
              <w:t>P. herdmani</w:t>
            </w:r>
          </w:p>
        </w:tc>
        <w:tc>
          <w:tcPr>
            <w:tcW w:w="1701" w:type="dxa"/>
            <w:tcBorders>
              <w:top w:val="nil"/>
              <w:left w:val="nil"/>
              <w:bottom w:val="nil"/>
              <w:right w:val="nil"/>
            </w:tcBorders>
          </w:tcPr>
          <w:p w14:paraId="273A4A62" w14:textId="07A6894A"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Subtropical</w:t>
            </w:r>
          </w:p>
        </w:tc>
        <w:tc>
          <w:tcPr>
            <w:tcW w:w="1559" w:type="dxa"/>
            <w:tcBorders>
              <w:top w:val="nil"/>
              <w:left w:val="nil"/>
              <w:bottom w:val="nil"/>
              <w:right w:val="nil"/>
            </w:tcBorders>
          </w:tcPr>
          <w:p w14:paraId="024456EA" w14:textId="11959B02" w:rsidR="005633D6" w:rsidRPr="00533EAC" w:rsidRDefault="00740697"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Subtropical</w:t>
            </w:r>
          </w:p>
        </w:tc>
        <w:tc>
          <w:tcPr>
            <w:tcW w:w="2126" w:type="dxa"/>
            <w:tcBorders>
              <w:top w:val="nil"/>
              <w:left w:val="nil"/>
              <w:bottom w:val="nil"/>
              <w:right w:val="nil"/>
            </w:tcBorders>
          </w:tcPr>
          <w:p w14:paraId="12C70329" w14:textId="6FDDBE26" w:rsidR="005633D6" w:rsidRPr="00533EAC" w:rsidRDefault="005633D6" w:rsidP="00C05A32">
            <w:pPr>
              <w:spacing w:line="200" w:lineRule="exact"/>
              <w:rPr>
                <w:rFonts w:ascii="Arial" w:eastAsia="Times New Roman" w:hAnsi="Arial" w:cs="Arial"/>
                <w:color w:val="000000" w:themeColor="text1"/>
                <w:sz w:val="16"/>
                <w:szCs w:val="16"/>
                <w:lang w:val="en-ZA" w:eastAsia="de-DE"/>
              </w:rPr>
            </w:pPr>
            <w:proofErr w:type="spellStart"/>
            <w:r w:rsidRPr="00533EAC">
              <w:rPr>
                <w:rFonts w:ascii="Arial" w:eastAsia="Times New Roman" w:hAnsi="Arial" w:cs="Arial"/>
                <w:color w:val="000000" w:themeColor="text1"/>
                <w:sz w:val="16"/>
                <w:szCs w:val="16"/>
                <w:lang w:val="en-ZA" w:eastAsia="de-DE"/>
              </w:rPr>
              <w:t>S</w:t>
            </w:r>
            <w:r w:rsidR="00740697" w:rsidRPr="00533EAC">
              <w:rPr>
                <w:rFonts w:ascii="Arial" w:eastAsia="Times New Roman" w:hAnsi="Arial" w:cs="Arial"/>
                <w:color w:val="000000" w:themeColor="text1"/>
                <w:sz w:val="16"/>
                <w:szCs w:val="16"/>
                <w:lang w:val="en-ZA" w:eastAsia="de-DE"/>
              </w:rPr>
              <w:t>outheastern</w:t>
            </w:r>
            <w:proofErr w:type="spellEnd"/>
            <w:r w:rsidRPr="00533EAC">
              <w:rPr>
                <w:rFonts w:ascii="Arial" w:eastAsia="Times New Roman" w:hAnsi="Arial" w:cs="Arial"/>
                <w:color w:val="000000" w:themeColor="text1"/>
                <w:sz w:val="16"/>
                <w:szCs w:val="16"/>
                <w:lang w:val="en-ZA" w:eastAsia="de-DE"/>
              </w:rPr>
              <w:t xml:space="preserve"> South Africa</w:t>
            </w:r>
          </w:p>
        </w:tc>
        <w:tc>
          <w:tcPr>
            <w:tcW w:w="1418" w:type="dxa"/>
            <w:tcBorders>
              <w:top w:val="nil"/>
              <w:left w:val="nil"/>
              <w:bottom w:val="nil"/>
              <w:right w:val="nil"/>
            </w:tcBorders>
          </w:tcPr>
          <w:p w14:paraId="77D0FF8E"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Morgan Bay</w:t>
            </w:r>
          </w:p>
        </w:tc>
        <w:tc>
          <w:tcPr>
            <w:tcW w:w="2126" w:type="dxa"/>
            <w:tcBorders>
              <w:top w:val="nil"/>
              <w:left w:val="nil"/>
              <w:bottom w:val="nil"/>
              <w:right w:val="nil"/>
            </w:tcBorders>
          </w:tcPr>
          <w:p w14:paraId="27E8DC41" w14:textId="28D4B4C9"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4</w:t>
            </w:r>
            <w:r w:rsidR="00740697" w:rsidRPr="00533EAC">
              <w:rPr>
                <w:rFonts w:ascii="Arial" w:eastAsia="Times New Roman" w:hAnsi="Arial" w:cs="Arial"/>
                <w:color w:val="000000" w:themeColor="text1"/>
                <w:sz w:val="16"/>
                <w:szCs w:val="16"/>
                <w:lang w:val="en-ZA" w:eastAsia="de-DE"/>
              </w:rPr>
              <w:t xml:space="preserve"> </w:t>
            </w:r>
            <w:r w:rsidRPr="00533EAC">
              <w:rPr>
                <w:rFonts w:ascii="Arial" w:eastAsia="Times New Roman" w:hAnsi="Arial" w:cs="Arial"/>
                <w:color w:val="000000" w:themeColor="text1"/>
                <w:sz w:val="16"/>
                <w:szCs w:val="16"/>
                <w:lang w:val="en-ZA" w:eastAsia="de-DE"/>
              </w:rPr>
              <w:t>016</w:t>
            </w:r>
          </w:p>
        </w:tc>
      </w:tr>
      <w:tr w:rsidR="00533EAC" w:rsidRPr="00533EAC" w14:paraId="3FEE73C2" w14:textId="77777777" w:rsidTr="00B44AC8">
        <w:trPr>
          <w:trHeight w:val="271"/>
          <w:jc w:val="center"/>
        </w:trPr>
        <w:tc>
          <w:tcPr>
            <w:tcW w:w="1560" w:type="dxa"/>
            <w:tcBorders>
              <w:top w:val="nil"/>
              <w:left w:val="nil"/>
              <w:bottom w:val="single" w:sz="4" w:space="0" w:color="auto"/>
              <w:right w:val="nil"/>
            </w:tcBorders>
          </w:tcPr>
          <w:p w14:paraId="67BD595B" w14:textId="77777777" w:rsidR="005633D6" w:rsidRPr="00533EAC" w:rsidRDefault="005633D6" w:rsidP="00C05A32">
            <w:pPr>
              <w:spacing w:line="200" w:lineRule="exact"/>
              <w:rPr>
                <w:rFonts w:ascii="Arial" w:eastAsia="Times New Roman" w:hAnsi="Arial" w:cs="Arial"/>
                <w:i/>
                <w:color w:val="000000" w:themeColor="text1"/>
                <w:sz w:val="16"/>
                <w:szCs w:val="16"/>
                <w:lang w:val="en-ZA" w:eastAsia="de-DE"/>
              </w:rPr>
            </w:pPr>
            <w:r w:rsidRPr="00533EAC">
              <w:rPr>
                <w:rFonts w:ascii="Arial" w:eastAsia="Calibri" w:hAnsi="Arial" w:cs="Arial"/>
                <w:i/>
                <w:color w:val="000000" w:themeColor="text1"/>
                <w:sz w:val="16"/>
                <w:szCs w:val="16"/>
                <w:lang w:val="en-ZA"/>
              </w:rPr>
              <w:t>P. herdmani</w:t>
            </w:r>
          </w:p>
        </w:tc>
        <w:tc>
          <w:tcPr>
            <w:tcW w:w="1701" w:type="dxa"/>
            <w:tcBorders>
              <w:top w:val="nil"/>
              <w:left w:val="nil"/>
              <w:bottom w:val="single" w:sz="4" w:space="0" w:color="auto"/>
              <w:right w:val="nil"/>
            </w:tcBorders>
          </w:tcPr>
          <w:p w14:paraId="6619EE12" w14:textId="42FB30B2" w:rsidR="005633D6" w:rsidRPr="00533EAC" w:rsidRDefault="003D4583"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Moroccan</w:t>
            </w:r>
          </w:p>
        </w:tc>
        <w:tc>
          <w:tcPr>
            <w:tcW w:w="1559" w:type="dxa"/>
            <w:tcBorders>
              <w:top w:val="nil"/>
              <w:left w:val="nil"/>
              <w:bottom w:val="single" w:sz="4" w:space="0" w:color="auto"/>
              <w:right w:val="nil"/>
            </w:tcBorders>
          </w:tcPr>
          <w:p w14:paraId="0BCF059A" w14:textId="3987F9CD" w:rsidR="005633D6" w:rsidRPr="00533EAC" w:rsidRDefault="003D4583"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Moroccan</w:t>
            </w:r>
          </w:p>
        </w:tc>
        <w:tc>
          <w:tcPr>
            <w:tcW w:w="2126" w:type="dxa"/>
            <w:tcBorders>
              <w:top w:val="nil"/>
              <w:left w:val="nil"/>
              <w:bottom w:val="single" w:sz="4" w:space="0" w:color="auto"/>
              <w:right w:val="nil"/>
            </w:tcBorders>
          </w:tcPr>
          <w:p w14:paraId="2016AF5A" w14:textId="03285BF7" w:rsidR="005633D6" w:rsidRPr="00533EAC" w:rsidRDefault="005633D6" w:rsidP="00C05A32">
            <w:pPr>
              <w:spacing w:line="200" w:lineRule="exact"/>
              <w:rPr>
                <w:rFonts w:ascii="Arial" w:eastAsia="Times New Roman" w:hAnsi="Arial" w:cs="Arial"/>
                <w:color w:val="000000" w:themeColor="text1"/>
                <w:sz w:val="16"/>
                <w:szCs w:val="16"/>
                <w:lang w:val="en-ZA" w:eastAsia="de-DE"/>
              </w:rPr>
            </w:pPr>
            <w:proofErr w:type="spellStart"/>
            <w:r w:rsidRPr="00533EAC">
              <w:rPr>
                <w:rFonts w:ascii="Arial" w:eastAsia="Times New Roman" w:hAnsi="Arial" w:cs="Arial"/>
                <w:color w:val="000000" w:themeColor="text1"/>
                <w:sz w:val="16"/>
                <w:szCs w:val="16"/>
                <w:lang w:val="en-ZA" w:eastAsia="de-DE"/>
              </w:rPr>
              <w:t>N</w:t>
            </w:r>
            <w:r w:rsidR="00740697" w:rsidRPr="00533EAC">
              <w:rPr>
                <w:rFonts w:ascii="Arial" w:eastAsia="Times New Roman" w:hAnsi="Arial" w:cs="Arial"/>
                <w:color w:val="000000" w:themeColor="text1"/>
                <w:sz w:val="16"/>
                <w:szCs w:val="16"/>
                <w:lang w:val="en-ZA" w:eastAsia="de-DE"/>
              </w:rPr>
              <w:t>orthwestern</w:t>
            </w:r>
            <w:proofErr w:type="spellEnd"/>
            <w:r w:rsidRPr="00533EAC">
              <w:rPr>
                <w:rFonts w:ascii="Arial" w:eastAsia="Times New Roman" w:hAnsi="Arial" w:cs="Arial"/>
                <w:color w:val="000000" w:themeColor="text1"/>
                <w:sz w:val="16"/>
                <w:szCs w:val="16"/>
                <w:lang w:val="en-ZA" w:eastAsia="de-DE"/>
              </w:rPr>
              <w:t xml:space="preserve"> Africa</w:t>
            </w:r>
          </w:p>
        </w:tc>
        <w:tc>
          <w:tcPr>
            <w:tcW w:w="1418" w:type="dxa"/>
            <w:tcBorders>
              <w:top w:val="nil"/>
              <w:left w:val="nil"/>
              <w:bottom w:val="single" w:sz="4" w:space="0" w:color="auto"/>
              <w:right w:val="nil"/>
            </w:tcBorders>
          </w:tcPr>
          <w:p w14:paraId="2151D156"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La Madrague</w:t>
            </w:r>
          </w:p>
        </w:tc>
        <w:tc>
          <w:tcPr>
            <w:tcW w:w="2126" w:type="dxa"/>
            <w:tcBorders>
              <w:top w:val="nil"/>
              <w:left w:val="nil"/>
              <w:bottom w:val="single" w:sz="4" w:space="0" w:color="auto"/>
              <w:right w:val="nil"/>
            </w:tcBorders>
          </w:tcPr>
          <w:p w14:paraId="5AD88836" w14:textId="3E5CB725"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5</w:t>
            </w:r>
            <w:r w:rsidR="00740697" w:rsidRPr="00533EAC">
              <w:rPr>
                <w:rFonts w:ascii="Arial" w:eastAsia="Times New Roman" w:hAnsi="Arial" w:cs="Arial"/>
                <w:color w:val="000000" w:themeColor="text1"/>
                <w:sz w:val="16"/>
                <w:szCs w:val="16"/>
                <w:lang w:val="en-ZA" w:eastAsia="de-DE"/>
              </w:rPr>
              <w:t xml:space="preserve"> </w:t>
            </w:r>
            <w:r w:rsidRPr="00533EAC">
              <w:rPr>
                <w:rFonts w:ascii="Arial" w:eastAsia="Times New Roman" w:hAnsi="Arial" w:cs="Arial"/>
                <w:color w:val="000000" w:themeColor="text1"/>
                <w:sz w:val="16"/>
                <w:szCs w:val="16"/>
                <w:lang w:val="en-ZA" w:eastAsia="de-DE"/>
              </w:rPr>
              <w:t>432</w:t>
            </w:r>
          </w:p>
        </w:tc>
      </w:tr>
    </w:tbl>
    <w:p w14:paraId="3C8947B1" w14:textId="38DCA848" w:rsidR="008C5E3C" w:rsidRPr="00533EAC" w:rsidRDefault="008C5E3C" w:rsidP="00C05A32">
      <w:pPr>
        <w:spacing w:after="0" w:line="200" w:lineRule="exact"/>
        <w:rPr>
          <w:rFonts w:ascii="Arial" w:eastAsia="Calibri" w:hAnsi="Arial" w:cs="Arial"/>
          <w:color w:val="000000" w:themeColor="text1"/>
          <w:sz w:val="16"/>
          <w:szCs w:val="16"/>
          <w:lang w:val="en-ZA"/>
        </w:rPr>
        <w:sectPr w:rsidR="008C5E3C" w:rsidRPr="00533EAC" w:rsidSect="003A5D9D">
          <w:pgSz w:w="16838" w:h="11906" w:orient="landscape"/>
          <w:pgMar w:top="1418" w:right="1134" w:bottom="1418" w:left="1418" w:header="709" w:footer="709" w:gutter="0"/>
          <w:lnNumType w:countBy="1" w:restart="continuous"/>
          <w:cols w:space="708"/>
          <w:docGrid w:linePitch="360"/>
        </w:sectPr>
      </w:pPr>
    </w:p>
    <w:p w14:paraId="542F13FB" w14:textId="62766340" w:rsidR="005633D6" w:rsidRPr="00533EAC" w:rsidRDefault="005633D6" w:rsidP="00C05A32">
      <w:pPr>
        <w:spacing w:after="0" w:line="360" w:lineRule="auto"/>
        <w:rPr>
          <w:rFonts w:ascii="Arial" w:eastAsia="Calibri" w:hAnsi="Arial" w:cs="Arial"/>
          <w:bCs/>
          <w:color w:val="000000" w:themeColor="text1"/>
          <w:sz w:val="20"/>
          <w:szCs w:val="20"/>
          <w:lang w:val="en-ZA"/>
        </w:rPr>
      </w:pPr>
      <w:r w:rsidRPr="00533EAC">
        <w:rPr>
          <w:rFonts w:ascii="Arial" w:eastAsia="Calibri" w:hAnsi="Arial" w:cs="Arial"/>
          <w:b/>
          <w:bCs/>
          <w:color w:val="000000" w:themeColor="text1"/>
          <w:sz w:val="20"/>
          <w:szCs w:val="20"/>
          <w:lang w:val="en-ZA"/>
        </w:rPr>
        <w:lastRenderedPageBreak/>
        <w:t>Table 5:</w:t>
      </w:r>
      <w:r w:rsidRPr="00533EAC">
        <w:rPr>
          <w:rFonts w:ascii="Arial" w:eastAsia="Calibri" w:hAnsi="Arial" w:cs="Arial"/>
          <w:bCs/>
          <w:color w:val="000000" w:themeColor="text1"/>
          <w:sz w:val="20"/>
          <w:szCs w:val="20"/>
          <w:lang w:val="en-ZA"/>
        </w:rPr>
        <w:t xml:space="preserve"> The number of</w:t>
      </w:r>
      <w:r w:rsidR="00B728B5" w:rsidRPr="00533EAC">
        <w:rPr>
          <w:rFonts w:ascii="Arial" w:eastAsia="Calibri" w:hAnsi="Arial" w:cs="Arial"/>
          <w:bCs/>
          <w:color w:val="000000" w:themeColor="text1"/>
          <w:sz w:val="20"/>
          <w:szCs w:val="20"/>
          <w:lang w:val="en-ZA"/>
        </w:rPr>
        <w:t xml:space="preserve"> single nucleotide polymorphisms</w:t>
      </w:r>
      <w:r w:rsidRPr="00533EAC">
        <w:rPr>
          <w:rFonts w:ascii="Arial" w:eastAsia="Calibri" w:hAnsi="Arial" w:cs="Arial"/>
          <w:bCs/>
          <w:color w:val="000000" w:themeColor="text1"/>
          <w:sz w:val="20"/>
          <w:szCs w:val="20"/>
          <w:lang w:val="en-ZA"/>
        </w:rPr>
        <w:t xml:space="preserve"> </w:t>
      </w:r>
      <w:r w:rsidR="00B728B5" w:rsidRPr="00533EAC">
        <w:rPr>
          <w:rFonts w:ascii="Arial" w:eastAsia="Calibri" w:hAnsi="Arial" w:cs="Arial"/>
          <w:bCs/>
          <w:color w:val="000000" w:themeColor="text1"/>
          <w:sz w:val="20"/>
          <w:szCs w:val="20"/>
          <w:lang w:val="en-ZA"/>
        </w:rPr>
        <w:t>(</w:t>
      </w:r>
      <w:r w:rsidRPr="00533EAC">
        <w:rPr>
          <w:rFonts w:ascii="Arial" w:eastAsia="Calibri" w:hAnsi="Arial" w:cs="Arial"/>
          <w:bCs/>
          <w:color w:val="000000" w:themeColor="text1"/>
          <w:sz w:val="20"/>
          <w:szCs w:val="20"/>
          <w:lang w:val="en-ZA"/>
        </w:rPr>
        <w:t>SNPs</w:t>
      </w:r>
      <w:r w:rsidR="00B728B5" w:rsidRPr="00533EAC">
        <w:rPr>
          <w:rFonts w:ascii="Arial" w:eastAsia="Calibri" w:hAnsi="Arial" w:cs="Arial"/>
          <w:bCs/>
          <w:color w:val="000000" w:themeColor="text1"/>
          <w:sz w:val="20"/>
          <w:szCs w:val="20"/>
          <w:lang w:val="en-ZA"/>
        </w:rPr>
        <w:t>)</w:t>
      </w:r>
      <w:r w:rsidRPr="00533EAC">
        <w:rPr>
          <w:rFonts w:ascii="Arial" w:eastAsia="Calibri" w:hAnsi="Arial" w:cs="Arial"/>
          <w:bCs/>
          <w:color w:val="000000" w:themeColor="text1"/>
          <w:sz w:val="20"/>
          <w:szCs w:val="20"/>
          <w:lang w:val="en-ZA"/>
        </w:rPr>
        <w:t xml:space="preserve"> for each of the 13</w:t>
      </w:r>
      <w:r w:rsidR="00B728B5" w:rsidRPr="00533EAC">
        <w:rPr>
          <w:rFonts w:ascii="Arial" w:eastAsia="Calibri" w:hAnsi="Arial" w:cs="Arial"/>
          <w:bCs/>
          <w:color w:val="000000" w:themeColor="text1"/>
          <w:sz w:val="20"/>
          <w:szCs w:val="20"/>
          <w:lang w:val="en-ZA"/>
        </w:rPr>
        <w:t xml:space="preserve"> protein-coding genes (</w:t>
      </w:r>
      <w:r w:rsidRPr="00533EAC">
        <w:rPr>
          <w:rFonts w:ascii="Arial" w:eastAsia="Calibri" w:hAnsi="Arial" w:cs="Arial"/>
          <w:bCs/>
          <w:color w:val="000000" w:themeColor="text1"/>
          <w:sz w:val="20"/>
          <w:szCs w:val="20"/>
          <w:lang w:val="en-ZA"/>
        </w:rPr>
        <w:t>PCGs</w:t>
      </w:r>
      <w:r w:rsidR="00B728B5" w:rsidRPr="00533EAC">
        <w:rPr>
          <w:rFonts w:ascii="Arial" w:eastAsia="Calibri" w:hAnsi="Arial" w:cs="Arial"/>
          <w:bCs/>
          <w:color w:val="000000" w:themeColor="text1"/>
          <w:sz w:val="20"/>
          <w:szCs w:val="20"/>
          <w:lang w:val="en-ZA"/>
        </w:rPr>
        <w:t>)</w:t>
      </w:r>
      <w:r w:rsidRPr="00533EAC">
        <w:rPr>
          <w:rFonts w:ascii="Arial" w:eastAsia="Calibri" w:hAnsi="Arial" w:cs="Arial"/>
          <w:bCs/>
          <w:color w:val="000000" w:themeColor="text1"/>
          <w:sz w:val="20"/>
          <w:szCs w:val="20"/>
          <w:lang w:val="en-ZA"/>
        </w:rPr>
        <w:t xml:space="preserve"> and the relative variation of the five partial mitogenomes mapped for </w:t>
      </w:r>
      <w:r w:rsidRPr="00533EAC">
        <w:rPr>
          <w:rFonts w:ascii="Arial" w:eastAsia="Calibri" w:hAnsi="Arial" w:cs="Arial"/>
          <w:bCs/>
          <w:i/>
          <w:color w:val="000000" w:themeColor="text1"/>
          <w:sz w:val="20"/>
          <w:szCs w:val="20"/>
          <w:lang w:val="en-ZA"/>
        </w:rPr>
        <w:t>Pyura</w:t>
      </w:r>
      <w:r w:rsidRPr="00533EAC">
        <w:rPr>
          <w:rFonts w:ascii="Arial" w:eastAsia="Calibri" w:hAnsi="Arial" w:cs="Arial"/>
          <w:bCs/>
          <w:color w:val="000000" w:themeColor="text1"/>
          <w:sz w:val="20"/>
          <w:szCs w:val="20"/>
          <w:lang w:val="en-ZA"/>
        </w:rPr>
        <w:t xml:space="preserve"> spp.</w:t>
      </w:r>
      <w:r w:rsidR="00B728B5" w:rsidRPr="00533EAC">
        <w:rPr>
          <w:rFonts w:ascii="Arial" w:eastAsia="Calibri" w:hAnsi="Arial" w:cs="Arial"/>
          <w:bCs/>
          <w:color w:val="000000" w:themeColor="text1"/>
          <w:sz w:val="20"/>
          <w:szCs w:val="20"/>
          <w:lang w:val="en-ZA"/>
        </w:rPr>
        <w:t xml:space="preserve"> </w:t>
      </w:r>
      <w:proofErr w:type="spellStart"/>
      <w:r w:rsidR="00B728B5" w:rsidRPr="00533EAC">
        <w:rPr>
          <w:rFonts w:ascii="Arial" w:eastAsia="Calibri" w:hAnsi="Arial" w:cs="Arial"/>
          <w:bCs/>
          <w:color w:val="000000" w:themeColor="text1"/>
          <w:sz w:val="20"/>
          <w:szCs w:val="20"/>
          <w:lang w:val="en-ZA"/>
        </w:rPr>
        <w:t>Atp</w:t>
      </w:r>
      <w:proofErr w:type="spellEnd"/>
      <w:r w:rsidR="00B728B5" w:rsidRPr="00533EAC">
        <w:rPr>
          <w:rFonts w:ascii="Arial" w:eastAsia="Calibri" w:hAnsi="Arial" w:cs="Arial"/>
          <w:bCs/>
          <w:color w:val="000000" w:themeColor="text1"/>
          <w:sz w:val="20"/>
          <w:szCs w:val="20"/>
          <w:lang w:val="en-ZA"/>
        </w:rPr>
        <w:t xml:space="preserve"> = ATP synthase, Cob = Cytochrome oxidase b, Cox = Cytochrome c oxidase, </w:t>
      </w:r>
      <w:proofErr w:type="spellStart"/>
      <w:r w:rsidR="00B728B5" w:rsidRPr="00533EAC">
        <w:rPr>
          <w:rFonts w:ascii="Arial" w:eastAsia="Calibri" w:hAnsi="Arial" w:cs="Arial"/>
          <w:bCs/>
          <w:color w:val="000000" w:themeColor="text1"/>
          <w:sz w:val="20"/>
          <w:szCs w:val="20"/>
          <w:lang w:val="en-ZA"/>
        </w:rPr>
        <w:t>Nad</w:t>
      </w:r>
      <w:proofErr w:type="spellEnd"/>
      <w:r w:rsidR="00B728B5" w:rsidRPr="00533EAC">
        <w:rPr>
          <w:rFonts w:ascii="Arial" w:eastAsia="Calibri" w:hAnsi="Arial" w:cs="Arial"/>
          <w:bCs/>
          <w:color w:val="000000" w:themeColor="text1"/>
          <w:sz w:val="20"/>
          <w:szCs w:val="20"/>
          <w:lang w:val="en-ZA"/>
        </w:rPr>
        <w:t xml:space="preserve"> = NADH dehydrogenase</w:t>
      </w:r>
    </w:p>
    <w:tbl>
      <w:tblPr>
        <w:tblStyle w:val="Grigliatabella1"/>
        <w:tblW w:w="0" w:type="auto"/>
        <w:jc w:val="center"/>
        <w:tblLayout w:type="fixed"/>
        <w:tblLook w:val="04A0" w:firstRow="1" w:lastRow="0" w:firstColumn="1" w:lastColumn="0" w:noHBand="0" w:noVBand="1"/>
      </w:tblPr>
      <w:tblGrid>
        <w:gridCol w:w="1985"/>
        <w:gridCol w:w="2268"/>
        <w:gridCol w:w="2268"/>
        <w:gridCol w:w="2268"/>
      </w:tblGrid>
      <w:tr w:rsidR="00533EAC" w:rsidRPr="00533EAC" w14:paraId="36BA4203" w14:textId="77777777" w:rsidTr="005565B0">
        <w:trPr>
          <w:trHeight w:val="221"/>
          <w:jc w:val="center"/>
        </w:trPr>
        <w:tc>
          <w:tcPr>
            <w:tcW w:w="1985" w:type="dxa"/>
            <w:tcBorders>
              <w:left w:val="nil"/>
              <w:bottom w:val="single" w:sz="4" w:space="0" w:color="auto"/>
              <w:right w:val="nil"/>
            </w:tcBorders>
            <w:noWrap/>
            <w:vAlign w:val="center"/>
            <w:hideMark/>
          </w:tcPr>
          <w:p w14:paraId="2D1E5EA0"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Gene region</w:t>
            </w:r>
          </w:p>
        </w:tc>
        <w:tc>
          <w:tcPr>
            <w:tcW w:w="2268" w:type="dxa"/>
            <w:tcBorders>
              <w:left w:val="nil"/>
              <w:bottom w:val="single" w:sz="4" w:space="0" w:color="auto"/>
              <w:right w:val="nil"/>
            </w:tcBorders>
            <w:noWrap/>
            <w:vAlign w:val="center"/>
            <w:hideMark/>
          </w:tcPr>
          <w:p w14:paraId="0120DCD2" w14:textId="1EAF3531"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 xml:space="preserve">Average </w:t>
            </w:r>
            <w:r w:rsidR="00B21208" w:rsidRPr="00533EAC">
              <w:rPr>
                <w:rFonts w:ascii="Arial" w:eastAsia="Times New Roman" w:hAnsi="Arial" w:cs="Arial"/>
                <w:bCs/>
                <w:color w:val="000000" w:themeColor="text1"/>
                <w:sz w:val="16"/>
                <w:szCs w:val="16"/>
                <w:lang w:val="en-ZA" w:eastAsia="de-DE"/>
              </w:rPr>
              <w:t xml:space="preserve">length </w:t>
            </w:r>
            <w:r w:rsidRPr="00533EAC">
              <w:rPr>
                <w:rFonts w:ascii="Arial" w:eastAsia="Times New Roman" w:hAnsi="Arial" w:cs="Arial"/>
                <w:bCs/>
                <w:color w:val="000000" w:themeColor="text1"/>
                <w:sz w:val="16"/>
                <w:szCs w:val="16"/>
                <w:lang w:val="en-ZA" w:eastAsia="de-DE"/>
              </w:rPr>
              <w:t>(bp)</w:t>
            </w:r>
          </w:p>
        </w:tc>
        <w:tc>
          <w:tcPr>
            <w:tcW w:w="2268" w:type="dxa"/>
            <w:tcBorders>
              <w:left w:val="nil"/>
              <w:bottom w:val="single" w:sz="4" w:space="0" w:color="auto"/>
              <w:right w:val="nil"/>
            </w:tcBorders>
            <w:noWrap/>
            <w:vAlign w:val="center"/>
            <w:hideMark/>
          </w:tcPr>
          <w:p w14:paraId="64C41CB5"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Total SNPs</w:t>
            </w:r>
          </w:p>
        </w:tc>
        <w:tc>
          <w:tcPr>
            <w:tcW w:w="2268" w:type="dxa"/>
            <w:tcBorders>
              <w:left w:val="nil"/>
              <w:bottom w:val="single" w:sz="4" w:space="0" w:color="auto"/>
              <w:right w:val="nil"/>
            </w:tcBorders>
            <w:noWrap/>
            <w:vAlign w:val="center"/>
            <w:hideMark/>
          </w:tcPr>
          <w:p w14:paraId="528E4357"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bCs/>
                <w:color w:val="000000" w:themeColor="text1"/>
                <w:sz w:val="16"/>
                <w:szCs w:val="16"/>
                <w:lang w:val="en-ZA" w:eastAsia="de-DE"/>
              </w:rPr>
              <w:t xml:space="preserve">Relative variation (%) </w:t>
            </w:r>
          </w:p>
        </w:tc>
      </w:tr>
      <w:tr w:rsidR="00533EAC" w:rsidRPr="00533EAC" w14:paraId="3D719737" w14:textId="77777777" w:rsidTr="00B728B5">
        <w:trPr>
          <w:trHeight w:val="221"/>
          <w:jc w:val="center"/>
        </w:trPr>
        <w:tc>
          <w:tcPr>
            <w:tcW w:w="1985" w:type="dxa"/>
            <w:tcBorders>
              <w:top w:val="single" w:sz="4" w:space="0" w:color="auto"/>
              <w:left w:val="nil"/>
              <w:bottom w:val="nil"/>
              <w:right w:val="nil"/>
            </w:tcBorders>
            <w:noWrap/>
            <w:vAlign w:val="center"/>
            <w:hideMark/>
          </w:tcPr>
          <w:p w14:paraId="17E92CFB"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Atp6</w:t>
            </w:r>
          </w:p>
        </w:tc>
        <w:tc>
          <w:tcPr>
            <w:tcW w:w="2268" w:type="dxa"/>
            <w:tcBorders>
              <w:top w:val="single" w:sz="4" w:space="0" w:color="auto"/>
              <w:left w:val="nil"/>
              <w:bottom w:val="nil"/>
              <w:right w:val="nil"/>
            </w:tcBorders>
            <w:shd w:val="clear" w:color="auto" w:fill="auto"/>
            <w:noWrap/>
            <w:vAlign w:val="bottom"/>
            <w:hideMark/>
          </w:tcPr>
          <w:p w14:paraId="676F5FFD"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630</w:t>
            </w:r>
          </w:p>
        </w:tc>
        <w:tc>
          <w:tcPr>
            <w:tcW w:w="2268" w:type="dxa"/>
            <w:tcBorders>
              <w:top w:val="single" w:sz="4" w:space="0" w:color="auto"/>
              <w:left w:val="nil"/>
              <w:bottom w:val="nil"/>
              <w:right w:val="nil"/>
            </w:tcBorders>
            <w:shd w:val="clear" w:color="auto" w:fill="auto"/>
            <w:noWrap/>
            <w:vAlign w:val="bottom"/>
          </w:tcPr>
          <w:p w14:paraId="36C25FB4"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86</w:t>
            </w:r>
          </w:p>
        </w:tc>
        <w:tc>
          <w:tcPr>
            <w:tcW w:w="2268" w:type="dxa"/>
            <w:tcBorders>
              <w:top w:val="single" w:sz="4" w:space="0" w:color="auto"/>
              <w:left w:val="nil"/>
              <w:bottom w:val="nil"/>
              <w:right w:val="nil"/>
            </w:tcBorders>
            <w:shd w:val="clear" w:color="auto" w:fill="auto"/>
            <w:noWrap/>
            <w:vAlign w:val="bottom"/>
          </w:tcPr>
          <w:p w14:paraId="59DE3A5B"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13.65</w:t>
            </w:r>
          </w:p>
        </w:tc>
      </w:tr>
      <w:tr w:rsidR="00533EAC" w:rsidRPr="00533EAC" w14:paraId="1CAED0EE" w14:textId="77777777" w:rsidTr="005565B0">
        <w:trPr>
          <w:trHeight w:val="221"/>
          <w:jc w:val="center"/>
        </w:trPr>
        <w:tc>
          <w:tcPr>
            <w:tcW w:w="1985" w:type="dxa"/>
            <w:tcBorders>
              <w:top w:val="nil"/>
              <w:left w:val="nil"/>
              <w:bottom w:val="nil"/>
              <w:right w:val="nil"/>
            </w:tcBorders>
            <w:noWrap/>
            <w:vAlign w:val="center"/>
            <w:hideMark/>
          </w:tcPr>
          <w:p w14:paraId="53822DD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Atp8</w:t>
            </w:r>
          </w:p>
        </w:tc>
        <w:tc>
          <w:tcPr>
            <w:tcW w:w="2268" w:type="dxa"/>
            <w:tcBorders>
              <w:top w:val="nil"/>
              <w:left w:val="nil"/>
              <w:bottom w:val="nil"/>
              <w:right w:val="nil"/>
            </w:tcBorders>
            <w:shd w:val="clear" w:color="auto" w:fill="auto"/>
            <w:noWrap/>
            <w:vAlign w:val="bottom"/>
          </w:tcPr>
          <w:p w14:paraId="4425DABD"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100</w:t>
            </w:r>
          </w:p>
        </w:tc>
        <w:tc>
          <w:tcPr>
            <w:tcW w:w="2268" w:type="dxa"/>
            <w:tcBorders>
              <w:top w:val="nil"/>
              <w:left w:val="nil"/>
              <w:bottom w:val="nil"/>
              <w:right w:val="nil"/>
            </w:tcBorders>
            <w:shd w:val="clear" w:color="auto" w:fill="auto"/>
            <w:noWrap/>
            <w:vAlign w:val="bottom"/>
          </w:tcPr>
          <w:p w14:paraId="7B4556A1"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35</w:t>
            </w:r>
          </w:p>
        </w:tc>
        <w:tc>
          <w:tcPr>
            <w:tcW w:w="2268" w:type="dxa"/>
            <w:tcBorders>
              <w:top w:val="nil"/>
              <w:left w:val="nil"/>
              <w:bottom w:val="nil"/>
              <w:right w:val="nil"/>
            </w:tcBorders>
            <w:shd w:val="clear" w:color="auto" w:fill="auto"/>
            <w:noWrap/>
            <w:vAlign w:val="bottom"/>
          </w:tcPr>
          <w:p w14:paraId="2E1953C1"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35.00</w:t>
            </w:r>
          </w:p>
        </w:tc>
      </w:tr>
      <w:tr w:rsidR="00533EAC" w:rsidRPr="00533EAC" w14:paraId="11B4BE9B" w14:textId="77777777" w:rsidTr="005565B0">
        <w:trPr>
          <w:trHeight w:val="221"/>
          <w:jc w:val="center"/>
        </w:trPr>
        <w:tc>
          <w:tcPr>
            <w:tcW w:w="1985" w:type="dxa"/>
            <w:tcBorders>
              <w:top w:val="nil"/>
              <w:left w:val="nil"/>
              <w:bottom w:val="nil"/>
              <w:right w:val="nil"/>
            </w:tcBorders>
            <w:noWrap/>
            <w:vAlign w:val="center"/>
            <w:hideMark/>
          </w:tcPr>
          <w:p w14:paraId="45774C45"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Cob</w:t>
            </w:r>
          </w:p>
        </w:tc>
        <w:tc>
          <w:tcPr>
            <w:tcW w:w="2268" w:type="dxa"/>
            <w:tcBorders>
              <w:top w:val="nil"/>
              <w:left w:val="nil"/>
              <w:bottom w:val="nil"/>
              <w:right w:val="nil"/>
            </w:tcBorders>
            <w:shd w:val="clear" w:color="auto" w:fill="auto"/>
            <w:noWrap/>
            <w:vAlign w:val="bottom"/>
          </w:tcPr>
          <w:p w14:paraId="0CB5D9A6"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1104</w:t>
            </w:r>
          </w:p>
        </w:tc>
        <w:tc>
          <w:tcPr>
            <w:tcW w:w="2268" w:type="dxa"/>
            <w:tcBorders>
              <w:top w:val="nil"/>
              <w:left w:val="nil"/>
              <w:bottom w:val="nil"/>
              <w:right w:val="nil"/>
            </w:tcBorders>
            <w:shd w:val="clear" w:color="auto" w:fill="auto"/>
            <w:noWrap/>
            <w:vAlign w:val="bottom"/>
          </w:tcPr>
          <w:p w14:paraId="376B5BF8"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275</w:t>
            </w:r>
          </w:p>
        </w:tc>
        <w:tc>
          <w:tcPr>
            <w:tcW w:w="2268" w:type="dxa"/>
            <w:tcBorders>
              <w:top w:val="nil"/>
              <w:left w:val="nil"/>
              <w:bottom w:val="nil"/>
              <w:right w:val="nil"/>
            </w:tcBorders>
            <w:shd w:val="clear" w:color="auto" w:fill="auto"/>
            <w:noWrap/>
            <w:vAlign w:val="bottom"/>
          </w:tcPr>
          <w:p w14:paraId="2CB40872"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24.90</w:t>
            </w:r>
          </w:p>
        </w:tc>
      </w:tr>
      <w:tr w:rsidR="00533EAC" w:rsidRPr="00533EAC" w14:paraId="335DBBFF" w14:textId="77777777" w:rsidTr="005565B0">
        <w:trPr>
          <w:trHeight w:val="221"/>
          <w:jc w:val="center"/>
        </w:trPr>
        <w:tc>
          <w:tcPr>
            <w:tcW w:w="1985" w:type="dxa"/>
            <w:tcBorders>
              <w:top w:val="nil"/>
              <w:left w:val="nil"/>
              <w:bottom w:val="nil"/>
              <w:right w:val="nil"/>
            </w:tcBorders>
            <w:noWrap/>
            <w:vAlign w:val="center"/>
            <w:hideMark/>
          </w:tcPr>
          <w:p w14:paraId="487AEAD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Cox1</w:t>
            </w:r>
          </w:p>
        </w:tc>
        <w:tc>
          <w:tcPr>
            <w:tcW w:w="2268" w:type="dxa"/>
            <w:tcBorders>
              <w:top w:val="nil"/>
              <w:left w:val="nil"/>
              <w:bottom w:val="nil"/>
              <w:right w:val="nil"/>
            </w:tcBorders>
            <w:shd w:val="clear" w:color="auto" w:fill="auto"/>
            <w:noWrap/>
            <w:vAlign w:val="bottom"/>
          </w:tcPr>
          <w:p w14:paraId="2E9088E9"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1551</w:t>
            </w:r>
          </w:p>
        </w:tc>
        <w:tc>
          <w:tcPr>
            <w:tcW w:w="2268" w:type="dxa"/>
            <w:tcBorders>
              <w:top w:val="nil"/>
              <w:left w:val="nil"/>
              <w:bottom w:val="nil"/>
              <w:right w:val="nil"/>
            </w:tcBorders>
            <w:shd w:val="clear" w:color="auto" w:fill="auto"/>
            <w:noWrap/>
            <w:vAlign w:val="bottom"/>
          </w:tcPr>
          <w:p w14:paraId="79E112B4"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404</w:t>
            </w:r>
          </w:p>
        </w:tc>
        <w:tc>
          <w:tcPr>
            <w:tcW w:w="2268" w:type="dxa"/>
            <w:tcBorders>
              <w:top w:val="nil"/>
              <w:left w:val="nil"/>
              <w:bottom w:val="nil"/>
              <w:right w:val="nil"/>
            </w:tcBorders>
            <w:shd w:val="clear" w:color="auto" w:fill="auto"/>
            <w:noWrap/>
            <w:vAlign w:val="bottom"/>
          </w:tcPr>
          <w:p w14:paraId="4A978F35"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26.04</w:t>
            </w:r>
          </w:p>
        </w:tc>
      </w:tr>
      <w:tr w:rsidR="00533EAC" w:rsidRPr="00533EAC" w14:paraId="26294E83" w14:textId="77777777" w:rsidTr="005565B0">
        <w:trPr>
          <w:trHeight w:val="221"/>
          <w:jc w:val="center"/>
        </w:trPr>
        <w:tc>
          <w:tcPr>
            <w:tcW w:w="1985" w:type="dxa"/>
            <w:tcBorders>
              <w:top w:val="nil"/>
              <w:left w:val="nil"/>
              <w:bottom w:val="nil"/>
              <w:right w:val="nil"/>
            </w:tcBorders>
            <w:noWrap/>
            <w:vAlign w:val="center"/>
            <w:hideMark/>
          </w:tcPr>
          <w:p w14:paraId="46A11444"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Cox2</w:t>
            </w:r>
          </w:p>
        </w:tc>
        <w:tc>
          <w:tcPr>
            <w:tcW w:w="2268" w:type="dxa"/>
            <w:tcBorders>
              <w:top w:val="nil"/>
              <w:left w:val="nil"/>
              <w:bottom w:val="nil"/>
              <w:right w:val="nil"/>
            </w:tcBorders>
            <w:shd w:val="clear" w:color="auto" w:fill="auto"/>
            <w:noWrap/>
            <w:vAlign w:val="bottom"/>
          </w:tcPr>
          <w:p w14:paraId="2C934387"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678</w:t>
            </w:r>
          </w:p>
        </w:tc>
        <w:tc>
          <w:tcPr>
            <w:tcW w:w="2268" w:type="dxa"/>
            <w:tcBorders>
              <w:top w:val="nil"/>
              <w:left w:val="nil"/>
              <w:bottom w:val="nil"/>
              <w:right w:val="nil"/>
            </w:tcBorders>
            <w:shd w:val="clear" w:color="auto" w:fill="auto"/>
            <w:noWrap/>
            <w:vAlign w:val="bottom"/>
          </w:tcPr>
          <w:p w14:paraId="28926F2E"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180</w:t>
            </w:r>
          </w:p>
        </w:tc>
        <w:tc>
          <w:tcPr>
            <w:tcW w:w="2268" w:type="dxa"/>
            <w:tcBorders>
              <w:top w:val="nil"/>
              <w:left w:val="nil"/>
              <w:bottom w:val="nil"/>
              <w:right w:val="nil"/>
            </w:tcBorders>
            <w:shd w:val="clear" w:color="auto" w:fill="auto"/>
            <w:noWrap/>
            <w:vAlign w:val="bottom"/>
          </w:tcPr>
          <w:p w14:paraId="14C00916"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26.54</w:t>
            </w:r>
          </w:p>
        </w:tc>
      </w:tr>
      <w:tr w:rsidR="00533EAC" w:rsidRPr="00533EAC" w14:paraId="23B1BEC0" w14:textId="77777777" w:rsidTr="005565B0">
        <w:trPr>
          <w:trHeight w:val="221"/>
          <w:jc w:val="center"/>
        </w:trPr>
        <w:tc>
          <w:tcPr>
            <w:tcW w:w="1985" w:type="dxa"/>
            <w:tcBorders>
              <w:top w:val="nil"/>
              <w:left w:val="nil"/>
              <w:bottom w:val="nil"/>
              <w:right w:val="nil"/>
            </w:tcBorders>
            <w:noWrap/>
            <w:vAlign w:val="center"/>
          </w:tcPr>
          <w:p w14:paraId="0CB0CCA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Cox3</w:t>
            </w:r>
          </w:p>
        </w:tc>
        <w:tc>
          <w:tcPr>
            <w:tcW w:w="2268" w:type="dxa"/>
            <w:tcBorders>
              <w:top w:val="nil"/>
              <w:left w:val="nil"/>
              <w:bottom w:val="nil"/>
              <w:right w:val="nil"/>
            </w:tcBorders>
            <w:shd w:val="clear" w:color="auto" w:fill="auto"/>
            <w:noWrap/>
            <w:vAlign w:val="bottom"/>
          </w:tcPr>
          <w:p w14:paraId="75A856F1"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789</w:t>
            </w:r>
          </w:p>
        </w:tc>
        <w:tc>
          <w:tcPr>
            <w:tcW w:w="2268" w:type="dxa"/>
            <w:tcBorders>
              <w:top w:val="nil"/>
              <w:left w:val="nil"/>
              <w:bottom w:val="nil"/>
              <w:right w:val="nil"/>
            </w:tcBorders>
            <w:shd w:val="clear" w:color="auto" w:fill="auto"/>
            <w:noWrap/>
            <w:vAlign w:val="bottom"/>
          </w:tcPr>
          <w:p w14:paraId="561C5CCD"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161</w:t>
            </w:r>
          </w:p>
        </w:tc>
        <w:tc>
          <w:tcPr>
            <w:tcW w:w="2268" w:type="dxa"/>
            <w:tcBorders>
              <w:top w:val="nil"/>
              <w:left w:val="nil"/>
              <w:bottom w:val="nil"/>
              <w:right w:val="nil"/>
            </w:tcBorders>
            <w:shd w:val="clear" w:color="auto" w:fill="auto"/>
            <w:noWrap/>
            <w:vAlign w:val="bottom"/>
          </w:tcPr>
          <w:p w14:paraId="19210B0D"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20.40</w:t>
            </w:r>
          </w:p>
        </w:tc>
      </w:tr>
      <w:tr w:rsidR="00533EAC" w:rsidRPr="00533EAC" w14:paraId="6762C895" w14:textId="77777777" w:rsidTr="005565B0">
        <w:trPr>
          <w:trHeight w:val="221"/>
          <w:jc w:val="center"/>
        </w:trPr>
        <w:tc>
          <w:tcPr>
            <w:tcW w:w="1985" w:type="dxa"/>
            <w:tcBorders>
              <w:top w:val="nil"/>
              <w:left w:val="nil"/>
              <w:bottom w:val="nil"/>
              <w:right w:val="nil"/>
            </w:tcBorders>
            <w:noWrap/>
            <w:vAlign w:val="center"/>
          </w:tcPr>
          <w:p w14:paraId="6F212F4D"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Nad1</w:t>
            </w:r>
          </w:p>
        </w:tc>
        <w:tc>
          <w:tcPr>
            <w:tcW w:w="2268" w:type="dxa"/>
            <w:tcBorders>
              <w:top w:val="nil"/>
              <w:left w:val="nil"/>
              <w:bottom w:val="nil"/>
              <w:right w:val="nil"/>
            </w:tcBorders>
            <w:shd w:val="clear" w:color="auto" w:fill="auto"/>
            <w:noWrap/>
            <w:vAlign w:val="bottom"/>
          </w:tcPr>
          <w:p w14:paraId="67207D1B"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915</w:t>
            </w:r>
          </w:p>
        </w:tc>
        <w:tc>
          <w:tcPr>
            <w:tcW w:w="2268" w:type="dxa"/>
            <w:tcBorders>
              <w:top w:val="nil"/>
              <w:left w:val="nil"/>
              <w:bottom w:val="nil"/>
              <w:right w:val="nil"/>
            </w:tcBorders>
            <w:shd w:val="clear" w:color="auto" w:fill="auto"/>
            <w:noWrap/>
            <w:vAlign w:val="bottom"/>
          </w:tcPr>
          <w:p w14:paraId="646C5072"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182</w:t>
            </w:r>
          </w:p>
        </w:tc>
        <w:tc>
          <w:tcPr>
            <w:tcW w:w="2268" w:type="dxa"/>
            <w:tcBorders>
              <w:top w:val="nil"/>
              <w:left w:val="nil"/>
              <w:bottom w:val="nil"/>
              <w:right w:val="nil"/>
            </w:tcBorders>
            <w:shd w:val="clear" w:color="auto" w:fill="auto"/>
            <w:noWrap/>
            <w:vAlign w:val="bottom"/>
          </w:tcPr>
          <w:p w14:paraId="2A5704E0"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19.89</w:t>
            </w:r>
          </w:p>
        </w:tc>
      </w:tr>
      <w:tr w:rsidR="00533EAC" w:rsidRPr="00533EAC" w14:paraId="3C735DBE" w14:textId="77777777" w:rsidTr="005565B0">
        <w:trPr>
          <w:trHeight w:val="221"/>
          <w:jc w:val="center"/>
        </w:trPr>
        <w:tc>
          <w:tcPr>
            <w:tcW w:w="1985" w:type="dxa"/>
            <w:tcBorders>
              <w:top w:val="nil"/>
              <w:left w:val="nil"/>
              <w:bottom w:val="nil"/>
              <w:right w:val="nil"/>
            </w:tcBorders>
            <w:noWrap/>
            <w:vAlign w:val="center"/>
          </w:tcPr>
          <w:p w14:paraId="32EFD5F9"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Nad2</w:t>
            </w:r>
          </w:p>
        </w:tc>
        <w:tc>
          <w:tcPr>
            <w:tcW w:w="2268" w:type="dxa"/>
            <w:tcBorders>
              <w:top w:val="nil"/>
              <w:left w:val="nil"/>
              <w:bottom w:val="nil"/>
              <w:right w:val="nil"/>
            </w:tcBorders>
            <w:shd w:val="clear" w:color="auto" w:fill="auto"/>
            <w:noWrap/>
            <w:vAlign w:val="bottom"/>
          </w:tcPr>
          <w:p w14:paraId="35F07737"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999</w:t>
            </w:r>
          </w:p>
        </w:tc>
        <w:tc>
          <w:tcPr>
            <w:tcW w:w="2268" w:type="dxa"/>
            <w:tcBorders>
              <w:top w:val="nil"/>
              <w:left w:val="nil"/>
              <w:bottom w:val="nil"/>
              <w:right w:val="nil"/>
            </w:tcBorders>
            <w:shd w:val="clear" w:color="auto" w:fill="auto"/>
            <w:noWrap/>
            <w:vAlign w:val="bottom"/>
          </w:tcPr>
          <w:p w14:paraId="651A56F0"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132</w:t>
            </w:r>
          </w:p>
        </w:tc>
        <w:tc>
          <w:tcPr>
            <w:tcW w:w="2268" w:type="dxa"/>
            <w:tcBorders>
              <w:top w:val="nil"/>
              <w:left w:val="nil"/>
              <w:bottom w:val="nil"/>
              <w:right w:val="nil"/>
            </w:tcBorders>
            <w:shd w:val="clear" w:color="auto" w:fill="auto"/>
            <w:noWrap/>
            <w:vAlign w:val="bottom"/>
          </w:tcPr>
          <w:p w14:paraId="3E862CD9" w14:textId="77777777" w:rsidR="005633D6" w:rsidRPr="00533EAC" w:rsidRDefault="005633D6" w:rsidP="00C05A32">
            <w:pPr>
              <w:spacing w:line="200" w:lineRule="exact"/>
              <w:rPr>
                <w:rFonts w:ascii="Arial" w:eastAsia="Calibri" w:hAnsi="Arial" w:cs="Arial"/>
                <w:color w:val="000000" w:themeColor="text1"/>
                <w:sz w:val="16"/>
                <w:szCs w:val="16"/>
                <w:lang w:val="en-ZA"/>
              </w:rPr>
            </w:pPr>
            <w:r w:rsidRPr="00533EAC">
              <w:rPr>
                <w:rFonts w:ascii="Arial" w:eastAsia="Calibri" w:hAnsi="Arial" w:cs="Arial"/>
                <w:color w:val="000000" w:themeColor="text1"/>
                <w:sz w:val="16"/>
                <w:szCs w:val="16"/>
                <w:lang w:val="en-ZA"/>
              </w:rPr>
              <w:t>13.21</w:t>
            </w:r>
          </w:p>
        </w:tc>
      </w:tr>
      <w:tr w:rsidR="00533EAC" w:rsidRPr="00533EAC" w14:paraId="3EF6A10B" w14:textId="77777777" w:rsidTr="005565B0">
        <w:trPr>
          <w:trHeight w:val="221"/>
          <w:jc w:val="center"/>
        </w:trPr>
        <w:tc>
          <w:tcPr>
            <w:tcW w:w="1985" w:type="dxa"/>
            <w:tcBorders>
              <w:top w:val="nil"/>
              <w:left w:val="nil"/>
              <w:bottom w:val="nil"/>
              <w:right w:val="nil"/>
            </w:tcBorders>
            <w:noWrap/>
            <w:vAlign w:val="center"/>
          </w:tcPr>
          <w:p w14:paraId="2E716960"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Nad3</w:t>
            </w:r>
          </w:p>
        </w:tc>
        <w:tc>
          <w:tcPr>
            <w:tcW w:w="2268" w:type="dxa"/>
            <w:tcBorders>
              <w:top w:val="nil"/>
              <w:left w:val="nil"/>
              <w:bottom w:val="nil"/>
              <w:right w:val="nil"/>
            </w:tcBorders>
            <w:noWrap/>
            <w:vAlign w:val="bottom"/>
          </w:tcPr>
          <w:p w14:paraId="4FE4638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390</w:t>
            </w:r>
          </w:p>
        </w:tc>
        <w:tc>
          <w:tcPr>
            <w:tcW w:w="2268" w:type="dxa"/>
            <w:tcBorders>
              <w:top w:val="nil"/>
              <w:left w:val="nil"/>
              <w:bottom w:val="nil"/>
              <w:right w:val="nil"/>
            </w:tcBorders>
            <w:noWrap/>
            <w:vAlign w:val="bottom"/>
          </w:tcPr>
          <w:p w14:paraId="07CA780D"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41</w:t>
            </w:r>
          </w:p>
        </w:tc>
        <w:tc>
          <w:tcPr>
            <w:tcW w:w="2268" w:type="dxa"/>
            <w:tcBorders>
              <w:top w:val="nil"/>
              <w:left w:val="nil"/>
              <w:bottom w:val="nil"/>
              <w:right w:val="nil"/>
            </w:tcBorders>
            <w:noWrap/>
            <w:vAlign w:val="bottom"/>
          </w:tcPr>
          <w:p w14:paraId="7D6C4DEE"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10.51</w:t>
            </w:r>
          </w:p>
        </w:tc>
      </w:tr>
      <w:tr w:rsidR="00533EAC" w:rsidRPr="00533EAC" w14:paraId="24119E5A" w14:textId="77777777" w:rsidTr="005565B0">
        <w:trPr>
          <w:trHeight w:val="221"/>
          <w:jc w:val="center"/>
        </w:trPr>
        <w:tc>
          <w:tcPr>
            <w:tcW w:w="1985" w:type="dxa"/>
            <w:tcBorders>
              <w:top w:val="nil"/>
              <w:left w:val="nil"/>
              <w:bottom w:val="nil"/>
              <w:right w:val="nil"/>
            </w:tcBorders>
            <w:noWrap/>
            <w:vAlign w:val="center"/>
          </w:tcPr>
          <w:p w14:paraId="625EDE70"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Nad4</w:t>
            </w:r>
          </w:p>
        </w:tc>
        <w:tc>
          <w:tcPr>
            <w:tcW w:w="2268" w:type="dxa"/>
            <w:tcBorders>
              <w:top w:val="nil"/>
              <w:left w:val="nil"/>
              <w:bottom w:val="nil"/>
              <w:right w:val="nil"/>
            </w:tcBorders>
            <w:noWrap/>
            <w:vAlign w:val="bottom"/>
          </w:tcPr>
          <w:p w14:paraId="6C886C0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1324</w:t>
            </w:r>
          </w:p>
        </w:tc>
        <w:tc>
          <w:tcPr>
            <w:tcW w:w="2268" w:type="dxa"/>
            <w:tcBorders>
              <w:top w:val="nil"/>
              <w:left w:val="nil"/>
              <w:bottom w:val="nil"/>
              <w:right w:val="nil"/>
            </w:tcBorders>
            <w:noWrap/>
            <w:vAlign w:val="bottom"/>
          </w:tcPr>
          <w:p w14:paraId="48A5B76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138</w:t>
            </w:r>
          </w:p>
        </w:tc>
        <w:tc>
          <w:tcPr>
            <w:tcW w:w="2268" w:type="dxa"/>
            <w:tcBorders>
              <w:top w:val="nil"/>
              <w:left w:val="nil"/>
              <w:bottom w:val="nil"/>
              <w:right w:val="nil"/>
            </w:tcBorders>
            <w:noWrap/>
            <w:vAlign w:val="bottom"/>
          </w:tcPr>
          <w:p w14:paraId="187A3A0C"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10.42</w:t>
            </w:r>
          </w:p>
        </w:tc>
      </w:tr>
      <w:tr w:rsidR="00533EAC" w:rsidRPr="00533EAC" w14:paraId="78D54DB5" w14:textId="77777777" w:rsidTr="005565B0">
        <w:trPr>
          <w:trHeight w:val="221"/>
          <w:jc w:val="center"/>
        </w:trPr>
        <w:tc>
          <w:tcPr>
            <w:tcW w:w="1985" w:type="dxa"/>
            <w:tcBorders>
              <w:top w:val="nil"/>
              <w:left w:val="nil"/>
              <w:bottom w:val="nil"/>
              <w:right w:val="nil"/>
            </w:tcBorders>
            <w:noWrap/>
            <w:vAlign w:val="center"/>
          </w:tcPr>
          <w:p w14:paraId="0EBF7FF1"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Nad4l</w:t>
            </w:r>
          </w:p>
        </w:tc>
        <w:tc>
          <w:tcPr>
            <w:tcW w:w="2268" w:type="dxa"/>
            <w:tcBorders>
              <w:top w:val="nil"/>
              <w:left w:val="nil"/>
              <w:bottom w:val="nil"/>
              <w:right w:val="nil"/>
            </w:tcBorders>
            <w:noWrap/>
            <w:vAlign w:val="bottom"/>
          </w:tcPr>
          <w:p w14:paraId="639BFC1E"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234</w:t>
            </w:r>
          </w:p>
        </w:tc>
        <w:tc>
          <w:tcPr>
            <w:tcW w:w="2268" w:type="dxa"/>
            <w:tcBorders>
              <w:top w:val="nil"/>
              <w:left w:val="nil"/>
              <w:bottom w:val="nil"/>
              <w:right w:val="nil"/>
            </w:tcBorders>
            <w:noWrap/>
            <w:vAlign w:val="bottom"/>
          </w:tcPr>
          <w:p w14:paraId="7223F43F"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36</w:t>
            </w:r>
          </w:p>
        </w:tc>
        <w:tc>
          <w:tcPr>
            <w:tcW w:w="2268" w:type="dxa"/>
            <w:tcBorders>
              <w:top w:val="nil"/>
              <w:left w:val="nil"/>
              <w:bottom w:val="nil"/>
              <w:right w:val="nil"/>
            </w:tcBorders>
            <w:noWrap/>
            <w:vAlign w:val="bottom"/>
          </w:tcPr>
          <w:p w14:paraId="685DFD8F"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15.38</w:t>
            </w:r>
          </w:p>
        </w:tc>
      </w:tr>
      <w:tr w:rsidR="00533EAC" w:rsidRPr="00533EAC" w14:paraId="42C32001" w14:textId="77777777" w:rsidTr="005565B0">
        <w:trPr>
          <w:trHeight w:val="221"/>
          <w:jc w:val="center"/>
        </w:trPr>
        <w:tc>
          <w:tcPr>
            <w:tcW w:w="1985" w:type="dxa"/>
            <w:tcBorders>
              <w:top w:val="nil"/>
              <w:left w:val="nil"/>
              <w:bottom w:val="nil"/>
              <w:right w:val="nil"/>
            </w:tcBorders>
            <w:noWrap/>
            <w:vAlign w:val="center"/>
          </w:tcPr>
          <w:p w14:paraId="1684A798"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Nad5</w:t>
            </w:r>
          </w:p>
        </w:tc>
        <w:tc>
          <w:tcPr>
            <w:tcW w:w="2268" w:type="dxa"/>
            <w:tcBorders>
              <w:top w:val="nil"/>
              <w:left w:val="nil"/>
              <w:bottom w:val="nil"/>
              <w:right w:val="nil"/>
            </w:tcBorders>
            <w:noWrap/>
            <w:vAlign w:val="bottom"/>
          </w:tcPr>
          <w:p w14:paraId="7A1E404A"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1734</w:t>
            </w:r>
          </w:p>
        </w:tc>
        <w:tc>
          <w:tcPr>
            <w:tcW w:w="2268" w:type="dxa"/>
            <w:tcBorders>
              <w:top w:val="nil"/>
              <w:left w:val="nil"/>
              <w:bottom w:val="nil"/>
              <w:right w:val="nil"/>
            </w:tcBorders>
            <w:noWrap/>
            <w:vAlign w:val="bottom"/>
          </w:tcPr>
          <w:p w14:paraId="7595616C"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288</w:t>
            </w:r>
          </w:p>
        </w:tc>
        <w:tc>
          <w:tcPr>
            <w:tcW w:w="2268" w:type="dxa"/>
            <w:tcBorders>
              <w:top w:val="nil"/>
              <w:left w:val="nil"/>
              <w:bottom w:val="nil"/>
              <w:right w:val="nil"/>
            </w:tcBorders>
            <w:noWrap/>
            <w:vAlign w:val="bottom"/>
          </w:tcPr>
          <w:p w14:paraId="7EC766E3"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16.60</w:t>
            </w:r>
          </w:p>
        </w:tc>
      </w:tr>
      <w:tr w:rsidR="005633D6" w:rsidRPr="00533EAC" w14:paraId="2819AAC9" w14:textId="77777777" w:rsidTr="00B21208">
        <w:trPr>
          <w:trHeight w:val="221"/>
          <w:jc w:val="center"/>
        </w:trPr>
        <w:tc>
          <w:tcPr>
            <w:tcW w:w="1985" w:type="dxa"/>
            <w:tcBorders>
              <w:top w:val="nil"/>
              <w:left w:val="nil"/>
              <w:bottom w:val="single" w:sz="4" w:space="0" w:color="auto"/>
              <w:right w:val="nil"/>
            </w:tcBorders>
            <w:noWrap/>
            <w:vAlign w:val="center"/>
          </w:tcPr>
          <w:p w14:paraId="03B5A96C"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Times New Roman" w:hAnsi="Arial" w:cs="Arial"/>
                <w:color w:val="000000" w:themeColor="text1"/>
                <w:sz w:val="16"/>
                <w:szCs w:val="16"/>
                <w:lang w:val="en-ZA" w:eastAsia="de-DE"/>
              </w:rPr>
              <w:t>Nad6</w:t>
            </w:r>
          </w:p>
        </w:tc>
        <w:tc>
          <w:tcPr>
            <w:tcW w:w="2268" w:type="dxa"/>
            <w:tcBorders>
              <w:top w:val="nil"/>
              <w:left w:val="nil"/>
              <w:bottom w:val="single" w:sz="4" w:space="0" w:color="auto"/>
              <w:right w:val="nil"/>
            </w:tcBorders>
            <w:noWrap/>
            <w:vAlign w:val="bottom"/>
          </w:tcPr>
          <w:p w14:paraId="6B3156C5"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435</w:t>
            </w:r>
          </w:p>
        </w:tc>
        <w:tc>
          <w:tcPr>
            <w:tcW w:w="2268" w:type="dxa"/>
            <w:tcBorders>
              <w:top w:val="nil"/>
              <w:left w:val="nil"/>
              <w:bottom w:val="single" w:sz="4" w:space="0" w:color="auto"/>
              <w:right w:val="nil"/>
            </w:tcBorders>
            <w:noWrap/>
            <w:vAlign w:val="bottom"/>
          </w:tcPr>
          <w:p w14:paraId="5EDAA8CB"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84</w:t>
            </w:r>
          </w:p>
        </w:tc>
        <w:tc>
          <w:tcPr>
            <w:tcW w:w="2268" w:type="dxa"/>
            <w:tcBorders>
              <w:top w:val="nil"/>
              <w:left w:val="nil"/>
              <w:bottom w:val="single" w:sz="4" w:space="0" w:color="auto"/>
              <w:right w:val="nil"/>
            </w:tcBorders>
            <w:noWrap/>
            <w:vAlign w:val="bottom"/>
          </w:tcPr>
          <w:p w14:paraId="058A5CE0" w14:textId="77777777" w:rsidR="005633D6" w:rsidRPr="00533EAC" w:rsidRDefault="005633D6" w:rsidP="00C05A32">
            <w:pPr>
              <w:spacing w:line="200" w:lineRule="exact"/>
              <w:rPr>
                <w:rFonts w:ascii="Arial" w:eastAsia="Times New Roman" w:hAnsi="Arial" w:cs="Arial"/>
                <w:color w:val="000000" w:themeColor="text1"/>
                <w:sz w:val="16"/>
                <w:szCs w:val="16"/>
                <w:lang w:val="en-ZA" w:eastAsia="de-DE"/>
              </w:rPr>
            </w:pPr>
            <w:r w:rsidRPr="00533EAC">
              <w:rPr>
                <w:rFonts w:ascii="Arial" w:eastAsia="Calibri" w:hAnsi="Arial" w:cs="Arial"/>
                <w:color w:val="000000" w:themeColor="text1"/>
                <w:sz w:val="16"/>
                <w:szCs w:val="16"/>
                <w:lang w:val="en-ZA"/>
              </w:rPr>
              <w:t>19.31</w:t>
            </w:r>
          </w:p>
        </w:tc>
      </w:tr>
    </w:tbl>
    <w:p w14:paraId="5019FA9C" w14:textId="77777777" w:rsidR="00777E37" w:rsidRPr="00533EAC" w:rsidRDefault="00777E37" w:rsidP="00C05A32">
      <w:pPr>
        <w:spacing w:after="0" w:line="200" w:lineRule="exact"/>
        <w:rPr>
          <w:rFonts w:ascii="Arial" w:hAnsi="Arial" w:cs="Arial"/>
          <w:color w:val="000000" w:themeColor="text1"/>
          <w:sz w:val="16"/>
          <w:szCs w:val="16"/>
          <w:lang w:val="en-ZA"/>
        </w:rPr>
      </w:pPr>
    </w:p>
    <w:sectPr w:rsidR="00777E37" w:rsidRPr="00533EAC" w:rsidSect="005565B0">
      <w:pgSz w:w="11906" w:h="16838"/>
      <w:pgMar w:top="1134"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DBB3" w16cex:dateUtc="2021-02-02T12:09:00Z"/>
  <w16cex:commentExtensible w16cex:durableId="23D539BC" w16cex:dateUtc="2021-02-15T16:19:00Z"/>
  <w16cex:commentExtensible w16cex:durableId="23C29FA4" w16cex:dateUtc="2021-02-01T13:41:00Z"/>
  <w16cex:commentExtensible w16cex:durableId="23C2A1C4" w16cex:dateUtc="2021-02-01T13:50:00Z"/>
  <w16cex:commentExtensible w16cex:durableId="23C2A1AB" w16cex:dateUtc="2021-02-01T13:50:00Z"/>
  <w16cex:commentExtensible w16cex:durableId="23D53C4D" w16cex:dateUtc="2021-02-15T16:30:00Z"/>
  <w16cex:commentExtensible w16cex:durableId="23C7CDF1" w16cex:dateUtc="2021-02-05T12:00:00Z"/>
  <w16cex:commentExtensible w16cex:durableId="23D53F3E" w16cex:dateUtc="2021-02-15T16:43:00Z"/>
  <w16cex:commentExtensible w16cex:durableId="23D54075" w16cex:dateUtc="2021-02-15T16:48:00Z"/>
  <w16cex:commentExtensible w16cex:durableId="23D5415A" w16cex:dateUtc="2021-02-15T16:52:00Z"/>
  <w16cex:commentExtensible w16cex:durableId="23C2AE25" w16cex:dateUtc="2021-02-01T14:43:00Z"/>
  <w16cex:commentExtensible w16cex:durableId="23C7D27D" w16cex:dateUtc="2021-02-05T12:19:00Z"/>
  <w16cex:commentExtensible w16cex:durableId="23D55406" w16cex:dateUtc="2021-02-15T18:11:00Z"/>
  <w16cex:commentExtensible w16cex:durableId="23C2AF94" w16cex:dateUtc="2021-02-01T14:49:00Z"/>
  <w16cex:commentExtensible w16cex:durableId="23D54403" w16cex:dateUtc="2021-02-15T17:03:00Z"/>
  <w16cex:commentExtensible w16cex:durableId="23C2B2A9" w16cex:dateUtc="2021-02-01T15:02:00Z"/>
  <w16cex:commentExtensible w16cex:durableId="23C2B41E" w16cex:dateUtc="2021-02-01T15:08:00Z"/>
  <w16cex:commentExtensible w16cex:durableId="23D5498A" w16cex:dateUtc="2021-02-15T17:27:00Z"/>
  <w16cex:commentExtensible w16cex:durableId="23C3DFC3" w16cex:dateUtc="2021-02-02T12:27:00Z"/>
  <w16cex:commentExtensible w16cex:durableId="23C3E08A" w16cex:dateUtc="2021-02-02T12:30:00Z"/>
  <w16cex:commentExtensible w16cex:durableId="23C3E31D" w16cex:dateUtc="2021-02-02T12:41:00Z"/>
  <w16cex:commentExtensible w16cex:durableId="23D54A61" w16cex:dateUtc="2021-02-15T17:30:00Z"/>
  <w16cex:commentExtensible w16cex:durableId="23C3E3F1" w16cex:dateUtc="2021-02-02T12:45:00Z"/>
  <w16cex:commentExtensible w16cex:durableId="23D552A0" w16cex:dateUtc="2021-02-15T18:05:00Z"/>
  <w16cex:commentExtensible w16cex:durableId="23D54C83" w16cex:dateUtc="2021-02-15T17:39:00Z"/>
  <w16cex:commentExtensible w16cex:durableId="23D54CA6" w16cex:dateUtc="2021-02-15T17:40:00Z"/>
  <w16cex:commentExtensible w16cex:durableId="23D54CBC" w16cex:dateUtc="2021-02-15T17:40:00Z"/>
  <w16cex:commentExtensible w16cex:durableId="23D54EE7" w16cex:dateUtc="2021-02-15T17:49:00Z"/>
  <w16cex:commentExtensible w16cex:durableId="23C3F3FD" w16cex:dateUtc="2021-02-02T13:53:00Z"/>
  <w16cex:commentExtensible w16cex:durableId="23C7DCAD" w16cex:dateUtc="2021-02-05T13:03:00Z"/>
  <w16cex:commentExtensible w16cex:durableId="23C3FC78" w16cex:dateUtc="2021-02-02T14:29:00Z"/>
  <w16cex:commentExtensible w16cex:durableId="23C3FC24" w16cex:dateUtc="2021-02-02T1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8171" w14:textId="77777777" w:rsidR="00117E94" w:rsidRDefault="00117E94">
      <w:pPr>
        <w:spacing w:after="0" w:line="240" w:lineRule="auto"/>
      </w:pPr>
      <w:r>
        <w:separator/>
      </w:r>
    </w:p>
  </w:endnote>
  <w:endnote w:type="continuationSeparator" w:id="0">
    <w:p w14:paraId="355C5639" w14:textId="77777777" w:rsidR="00117E94" w:rsidRDefault="0011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0103"/>
      <w:docPartObj>
        <w:docPartGallery w:val="Page Numbers (Bottom of Page)"/>
        <w:docPartUnique/>
      </w:docPartObj>
    </w:sdtPr>
    <w:sdtEndPr/>
    <w:sdtContent>
      <w:p w14:paraId="0EFE30E4" w14:textId="31E1FD7F" w:rsidR="002F1342" w:rsidRDefault="002F1342">
        <w:pPr>
          <w:pStyle w:val="Pidipagina1"/>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8A648D5" w14:textId="77777777" w:rsidR="002F1342" w:rsidRDefault="002F1342">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B1BF" w14:textId="77777777" w:rsidR="00117E94" w:rsidRDefault="00117E94">
      <w:pPr>
        <w:spacing w:after="0" w:line="240" w:lineRule="auto"/>
      </w:pPr>
      <w:r>
        <w:separator/>
      </w:r>
    </w:p>
  </w:footnote>
  <w:footnote w:type="continuationSeparator" w:id="0">
    <w:p w14:paraId="25006242" w14:textId="77777777" w:rsidR="00117E94" w:rsidRDefault="00117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34EE"/>
    <w:multiLevelType w:val="hybridMultilevel"/>
    <w:tmpl w:val="6644ADB6"/>
    <w:lvl w:ilvl="0" w:tplc="EF1221D6">
      <w:start w:val="4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A735D02"/>
    <w:multiLevelType w:val="multilevel"/>
    <w:tmpl w:val="C90E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F7649"/>
    <w:multiLevelType w:val="hybridMultilevel"/>
    <w:tmpl w:val="54C2FC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D6"/>
    <w:rsid w:val="00001616"/>
    <w:rsid w:val="000016D6"/>
    <w:rsid w:val="000069AE"/>
    <w:rsid w:val="00007BD6"/>
    <w:rsid w:val="000120F7"/>
    <w:rsid w:val="0001754D"/>
    <w:rsid w:val="00021749"/>
    <w:rsid w:val="00026E9D"/>
    <w:rsid w:val="000437EE"/>
    <w:rsid w:val="00045C53"/>
    <w:rsid w:val="000470D5"/>
    <w:rsid w:val="00052F09"/>
    <w:rsid w:val="00054562"/>
    <w:rsid w:val="000647CC"/>
    <w:rsid w:val="00066283"/>
    <w:rsid w:val="000678E2"/>
    <w:rsid w:val="00070CC1"/>
    <w:rsid w:val="00070E28"/>
    <w:rsid w:val="000736DA"/>
    <w:rsid w:val="000766BB"/>
    <w:rsid w:val="000834A5"/>
    <w:rsid w:val="00084962"/>
    <w:rsid w:val="000906AF"/>
    <w:rsid w:val="00090809"/>
    <w:rsid w:val="00094D89"/>
    <w:rsid w:val="000A1BE1"/>
    <w:rsid w:val="000A3487"/>
    <w:rsid w:val="000A63AC"/>
    <w:rsid w:val="000B1FA5"/>
    <w:rsid w:val="000B59AC"/>
    <w:rsid w:val="000C0944"/>
    <w:rsid w:val="000C15BC"/>
    <w:rsid w:val="000C219D"/>
    <w:rsid w:val="000D5130"/>
    <w:rsid w:val="000D6F70"/>
    <w:rsid w:val="000D730C"/>
    <w:rsid w:val="000D73B7"/>
    <w:rsid w:val="000E31FF"/>
    <w:rsid w:val="000E4D47"/>
    <w:rsid w:val="000F62BA"/>
    <w:rsid w:val="00106285"/>
    <w:rsid w:val="00111B6E"/>
    <w:rsid w:val="00113EB1"/>
    <w:rsid w:val="00114273"/>
    <w:rsid w:val="00117E94"/>
    <w:rsid w:val="001223A0"/>
    <w:rsid w:val="00132F55"/>
    <w:rsid w:val="00133364"/>
    <w:rsid w:val="00134D85"/>
    <w:rsid w:val="001378BB"/>
    <w:rsid w:val="001433A1"/>
    <w:rsid w:val="0015379E"/>
    <w:rsid w:val="001550AF"/>
    <w:rsid w:val="00156E23"/>
    <w:rsid w:val="0015713A"/>
    <w:rsid w:val="00157CAA"/>
    <w:rsid w:val="00165840"/>
    <w:rsid w:val="00172C57"/>
    <w:rsid w:val="00177876"/>
    <w:rsid w:val="001808F6"/>
    <w:rsid w:val="001814C1"/>
    <w:rsid w:val="00181FAC"/>
    <w:rsid w:val="00184927"/>
    <w:rsid w:val="0019123D"/>
    <w:rsid w:val="0019204C"/>
    <w:rsid w:val="0019763E"/>
    <w:rsid w:val="001A0A04"/>
    <w:rsid w:val="001A0D88"/>
    <w:rsid w:val="001A6B75"/>
    <w:rsid w:val="001B1502"/>
    <w:rsid w:val="001B375B"/>
    <w:rsid w:val="001C3A93"/>
    <w:rsid w:val="001C7EB7"/>
    <w:rsid w:val="001D1A0C"/>
    <w:rsid w:val="001D4F11"/>
    <w:rsid w:val="001E12C8"/>
    <w:rsid w:val="001E5A20"/>
    <w:rsid w:val="00200576"/>
    <w:rsid w:val="00202EDA"/>
    <w:rsid w:val="002051CB"/>
    <w:rsid w:val="00213C44"/>
    <w:rsid w:val="00225491"/>
    <w:rsid w:val="002259FD"/>
    <w:rsid w:val="002278D7"/>
    <w:rsid w:val="0023033B"/>
    <w:rsid w:val="002310E9"/>
    <w:rsid w:val="00231A0A"/>
    <w:rsid w:val="0023466C"/>
    <w:rsid w:val="002404E7"/>
    <w:rsid w:val="00241C52"/>
    <w:rsid w:val="00247845"/>
    <w:rsid w:val="0025180E"/>
    <w:rsid w:val="0025425A"/>
    <w:rsid w:val="002542F3"/>
    <w:rsid w:val="00254744"/>
    <w:rsid w:val="00255582"/>
    <w:rsid w:val="00256C97"/>
    <w:rsid w:val="00261955"/>
    <w:rsid w:val="00263A14"/>
    <w:rsid w:val="00263DD7"/>
    <w:rsid w:val="00265CE3"/>
    <w:rsid w:val="00266268"/>
    <w:rsid w:val="002671A5"/>
    <w:rsid w:val="002712F8"/>
    <w:rsid w:val="00273387"/>
    <w:rsid w:val="002753FE"/>
    <w:rsid w:val="00280F38"/>
    <w:rsid w:val="0029261B"/>
    <w:rsid w:val="00292870"/>
    <w:rsid w:val="00293469"/>
    <w:rsid w:val="002A408D"/>
    <w:rsid w:val="002B5328"/>
    <w:rsid w:val="002C5BCC"/>
    <w:rsid w:val="002D38CF"/>
    <w:rsid w:val="002E1A40"/>
    <w:rsid w:val="002E27DD"/>
    <w:rsid w:val="002E2E55"/>
    <w:rsid w:val="002E602B"/>
    <w:rsid w:val="002F1342"/>
    <w:rsid w:val="002F22DC"/>
    <w:rsid w:val="00302BE0"/>
    <w:rsid w:val="00306C1A"/>
    <w:rsid w:val="00315B28"/>
    <w:rsid w:val="00330F0A"/>
    <w:rsid w:val="00333E8B"/>
    <w:rsid w:val="003423E2"/>
    <w:rsid w:val="003450E0"/>
    <w:rsid w:val="003501DB"/>
    <w:rsid w:val="00352FB1"/>
    <w:rsid w:val="003567FD"/>
    <w:rsid w:val="00365263"/>
    <w:rsid w:val="00365987"/>
    <w:rsid w:val="00375041"/>
    <w:rsid w:val="003754FE"/>
    <w:rsid w:val="003812DD"/>
    <w:rsid w:val="00382AA2"/>
    <w:rsid w:val="003A4A3A"/>
    <w:rsid w:val="003A58AE"/>
    <w:rsid w:val="003A5D9D"/>
    <w:rsid w:val="003A7F1D"/>
    <w:rsid w:val="003B1116"/>
    <w:rsid w:val="003B282C"/>
    <w:rsid w:val="003B7A8C"/>
    <w:rsid w:val="003D2A92"/>
    <w:rsid w:val="003D4583"/>
    <w:rsid w:val="003D6931"/>
    <w:rsid w:val="003D6F0A"/>
    <w:rsid w:val="003E29AC"/>
    <w:rsid w:val="003E5D68"/>
    <w:rsid w:val="003F11AD"/>
    <w:rsid w:val="004011E5"/>
    <w:rsid w:val="00402FBF"/>
    <w:rsid w:val="00407C38"/>
    <w:rsid w:val="0041334E"/>
    <w:rsid w:val="0041514D"/>
    <w:rsid w:val="00415B7E"/>
    <w:rsid w:val="00421A11"/>
    <w:rsid w:val="00427326"/>
    <w:rsid w:val="0043452B"/>
    <w:rsid w:val="00434EAF"/>
    <w:rsid w:val="00440D6A"/>
    <w:rsid w:val="00444293"/>
    <w:rsid w:val="00450022"/>
    <w:rsid w:val="00450390"/>
    <w:rsid w:val="00460F3A"/>
    <w:rsid w:val="00463CAC"/>
    <w:rsid w:val="00466A35"/>
    <w:rsid w:val="00470948"/>
    <w:rsid w:val="00472745"/>
    <w:rsid w:val="004739AF"/>
    <w:rsid w:val="00473BF4"/>
    <w:rsid w:val="00473DC4"/>
    <w:rsid w:val="00475C54"/>
    <w:rsid w:val="004768E9"/>
    <w:rsid w:val="00486F49"/>
    <w:rsid w:val="00487FDC"/>
    <w:rsid w:val="004922B1"/>
    <w:rsid w:val="00493E6C"/>
    <w:rsid w:val="00495883"/>
    <w:rsid w:val="00496B01"/>
    <w:rsid w:val="004C739D"/>
    <w:rsid w:val="004D02CC"/>
    <w:rsid w:val="004D406C"/>
    <w:rsid w:val="004D7887"/>
    <w:rsid w:val="004E0ADC"/>
    <w:rsid w:val="004E1B0F"/>
    <w:rsid w:val="004E3823"/>
    <w:rsid w:val="004E6554"/>
    <w:rsid w:val="005020AB"/>
    <w:rsid w:val="00504962"/>
    <w:rsid w:val="00523BAE"/>
    <w:rsid w:val="00526DC7"/>
    <w:rsid w:val="005337A7"/>
    <w:rsid w:val="00533977"/>
    <w:rsid w:val="00533EAC"/>
    <w:rsid w:val="00535B6E"/>
    <w:rsid w:val="00536923"/>
    <w:rsid w:val="005418DB"/>
    <w:rsid w:val="00543354"/>
    <w:rsid w:val="005565B0"/>
    <w:rsid w:val="005577A0"/>
    <w:rsid w:val="0056064B"/>
    <w:rsid w:val="00561F27"/>
    <w:rsid w:val="005633D6"/>
    <w:rsid w:val="00571D98"/>
    <w:rsid w:val="00582B3A"/>
    <w:rsid w:val="0058572A"/>
    <w:rsid w:val="00591704"/>
    <w:rsid w:val="00591EF3"/>
    <w:rsid w:val="00592DD5"/>
    <w:rsid w:val="00597B15"/>
    <w:rsid w:val="005A0877"/>
    <w:rsid w:val="005A309E"/>
    <w:rsid w:val="005B3FDE"/>
    <w:rsid w:val="005B5243"/>
    <w:rsid w:val="005B6450"/>
    <w:rsid w:val="005B7AC2"/>
    <w:rsid w:val="005C2CA0"/>
    <w:rsid w:val="005D15DC"/>
    <w:rsid w:val="005D4553"/>
    <w:rsid w:val="005E12BE"/>
    <w:rsid w:val="005E12D7"/>
    <w:rsid w:val="005E31AD"/>
    <w:rsid w:val="005F22E4"/>
    <w:rsid w:val="005F3B6F"/>
    <w:rsid w:val="005F6177"/>
    <w:rsid w:val="005F6CAB"/>
    <w:rsid w:val="00620CB6"/>
    <w:rsid w:val="00627899"/>
    <w:rsid w:val="00627FBE"/>
    <w:rsid w:val="0063227A"/>
    <w:rsid w:val="00640DC7"/>
    <w:rsid w:val="00660B00"/>
    <w:rsid w:val="0066376A"/>
    <w:rsid w:val="00677675"/>
    <w:rsid w:val="006813F0"/>
    <w:rsid w:val="006A002A"/>
    <w:rsid w:val="006A2267"/>
    <w:rsid w:val="006A6E1D"/>
    <w:rsid w:val="006B45AE"/>
    <w:rsid w:val="006B5C79"/>
    <w:rsid w:val="006D43CE"/>
    <w:rsid w:val="006E286A"/>
    <w:rsid w:val="006E503C"/>
    <w:rsid w:val="006F2D44"/>
    <w:rsid w:val="006F582F"/>
    <w:rsid w:val="006F6204"/>
    <w:rsid w:val="006F7CDC"/>
    <w:rsid w:val="00702B9E"/>
    <w:rsid w:val="007057E7"/>
    <w:rsid w:val="00707AEB"/>
    <w:rsid w:val="0071256A"/>
    <w:rsid w:val="007148DF"/>
    <w:rsid w:val="007174EE"/>
    <w:rsid w:val="00725963"/>
    <w:rsid w:val="0073231C"/>
    <w:rsid w:val="0073251E"/>
    <w:rsid w:val="007347BD"/>
    <w:rsid w:val="00735E1B"/>
    <w:rsid w:val="0073680B"/>
    <w:rsid w:val="00740697"/>
    <w:rsid w:val="007503A9"/>
    <w:rsid w:val="00757614"/>
    <w:rsid w:val="00760127"/>
    <w:rsid w:val="00774474"/>
    <w:rsid w:val="00777E37"/>
    <w:rsid w:val="007816A7"/>
    <w:rsid w:val="007847A1"/>
    <w:rsid w:val="00785CA8"/>
    <w:rsid w:val="00792BBD"/>
    <w:rsid w:val="007943D0"/>
    <w:rsid w:val="00794FEE"/>
    <w:rsid w:val="007A1C1F"/>
    <w:rsid w:val="007A4758"/>
    <w:rsid w:val="007B0D25"/>
    <w:rsid w:val="007B2E37"/>
    <w:rsid w:val="007C2E7D"/>
    <w:rsid w:val="007C50E1"/>
    <w:rsid w:val="007C68A3"/>
    <w:rsid w:val="007D3A25"/>
    <w:rsid w:val="007E1688"/>
    <w:rsid w:val="007E213F"/>
    <w:rsid w:val="007E6E7C"/>
    <w:rsid w:val="007F47C4"/>
    <w:rsid w:val="00811E8C"/>
    <w:rsid w:val="00813A35"/>
    <w:rsid w:val="00814D90"/>
    <w:rsid w:val="00815C05"/>
    <w:rsid w:val="00816CBE"/>
    <w:rsid w:val="0082543B"/>
    <w:rsid w:val="00827176"/>
    <w:rsid w:val="008325EB"/>
    <w:rsid w:val="0084391B"/>
    <w:rsid w:val="00855628"/>
    <w:rsid w:val="00856337"/>
    <w:rsid w:val="008638FA"/>
    <w:rsid w:val="00865568"/>
    <w:rsid w:val="0087084F"/>
    <w:rsid w:val="00871700"/>
    <w:rsid w:val="00880079"/>
    <w:rsid w:val="008815A6"/>
    <w:rsid w:val="0088306D"/>
    <w:rsid w:val="008877D3"/>
    <w:rsid w:val="008A00C9"/>
    <w:rsid w:val="008A0794"/>
    <w:rsid w:val="008A1AAA"/>
    <w:rsid w:val="008A6D13"/>
    <w:rsid w:val="008B1859"/>
    <w:rsid w:val="008C1E4D"/>
    <w:rsid w:val="008C3FCE"/>
    <w:rsid w:val="008C4B69"/>
    <w:rsid w:val="008C5C21"/>
    <w:rsid w:val="008C5E3C"/>
    <w:rsid w:val="008D5121"/>
    <w:rsid w:val="008E031E"/>
    <w:rsid w:val="008E084B"/>
    <w:rsid w:val="008E1508"/>
    <w:rsid w:val="008F316E"/>
    <w:rsid w:val="008F5104"/>
    <w:rsid w:val="008F569E"/>
    <w:rsid w:val="008F68C6"/>
    <w:rsid w:val="009007CA"/>
    <w:rsid w:val="00905AF2"/>
    <w:rsid w:val="00906F99"/>
    <w:rsid w:val="009119F5"/>
    <w:rsid w:val="00911CC2"/>
    <w:rsid w:val="00913C20"/>
    <w:rsid w:val="0091696A"/>
    <w:rsid w:val="00926259"/>
    <w:rsid w:val="00927DCE"/>
    <w:rsid w:val="00937266"/>
    <w:rsid w:val="00941A4D"/>
    <w:rsid w:val="00943047"/>
    <w:rsid w:val="00945114"/>
    <w:rsid w:val="00946455"/>
    <w:rsid w:val="00950A2D"/>
    <w:rsid w:val="009723D3"/>
    <w:rsid w:val="00972B53"/>
    <w:rsid w:val="00973155"/>
    <w:rsid w:val="00973A04"/>
    <w:rsid w:val="009752BE"/>
    <w:rsid w:val="00976952"/>
    <w:rsid w:val="0097798B"/>
    <w:rsid w:val="009802C4"/>
    <w:rsid w:val="00981B09"/>
    <w:rsid w:val="00990AE8"/>
    <w:rsid w:val="00990C52"/>
    <w:rsid w:val="00995370"/>
    <w:rsid w:val="009B5973"/>
    <w:rsid w:val="009B688B"/>
    <w:rsid w:val="009D4B8F"/>
    <w:rsid w:val="009D79B3"/>
    <w:rsid w:val="009E432E"/>
    <w:rsid w:val="009E7999"/>
    <w:rsid w:val="009F2B6B"/>
    <w:rsid w:val="00A00486"/>
    <w:rsid w:val="00A049E3"/>
    <w:rsid w:val="00A11BDD"/>
    <w:rsid w:val="00A15233"/>
    <w:rsid w:val="00A158F7"/>
    <w:rsid w:val="00A25757"/>
    <w:rsid w:val="00A272C1"/>
    <w:rsid w:val="00A30224"/>
    <w:rsid w:val="00A43ACF"/>
    <w:rsid w:val="00A44E0C"/>
    <w:rsid w:val="00A50103"/>
    <w:rsid w:val="00A503DB"/>
    <w:rsid w:val="00A510DB"/>
    <w:rsid w:val="00A55E01"/>
    <w:rsid w:val="00A55FC2"/>
    <w:rsid w:val="00A55FD2"/>
    <w:rsid w:val="00A56839"/>
    <w:rsid w:val="00A56983"/>
    <w:rsid w:val="00A573AC"/>
    <w:rsid w:val="00A60E16"/>
    <w:rsid w:val="00A61511"/>
    <w:rsid w:val="00A6502B"/>
    <w:rsid w:val="00A800A8"/>
    <w:rsid w:val="00A811B3"/>
    <w:rsid w:val="00A824D6"/>
    <w:rsid w:val="00A8442E"/>
    <w:rsid w:val="00A868E5"/>
    <w:rsid w:val="00A86B08"/>
    <w:rsid w:val="00A878C4"/>
    <w:rsid w:val="00A936C0"/>
    <w:rsid w:val="00AA019D"/>
    <w:rsid w:val="00AA0EB5"/>
    <w:rsid w:val="00AA2E72"/>
    <w:rsid w:val="00AA3BA9"/>
    <w:rsid w:val="00AB4CEF"/>
    <w:rsid w:val="00AC15DF"/>
    <w:rsid w:val="00AC1665"/>
    <w:rsid w:val="00AC7EBD"/>
    <w:rsid w:val="00AF0F5F"/>
    <w:rsid w:val="00AF5A11"/>
    <w:rsid w:val="00AF5C7D"/>
    <w:rsid w:val="00AF69DF"/>
    <w:rsid w:val="00AF72C3"/>
    <w:rsid w:val="00B03E11"/>
    <w:rsid w:val="00B064BC"/>
    <w:rsid w:val="00B1464B"/>
    <w:rsid w:val="00B17409"/>
    <w:rsid w:val="00B21208"/>
    <w:rsid w:val="00B23267"/>
    <w:rsid w:val="00B2415F"/>
    <w:rsid w:val="00B25335"/>
    <w:rsid w:val="00B2609F"/>
    <w:rsid w:val="00B34525"/>
    <w:rsid w:val="00B358AA"/>
    <w:rsid w:val="00B44AC8"/>
    <w:rsid w:val="00B5647E"/>
    <w:rsid w:val="00B6084E"/>
    <w:rsid w:val="00B664BA"/>
    <w:rsid w:val="00B728B5"/>
    <w:rsid w:val="00B73123"/>
    <w:rsid w:val="00B75A89"/>
    <w:rsid w:val="00B75C6B"/>
    <w:rsid w:val="00B7678E"/>
    <w:rsid w:val="00B77CE0"/>
    <w:rsid w:val="00B820DF"/>
    <w:rsid w:val="00B85F08"/>
    <w:rsid w:val="00BB3FE6"/>
    <w:rsid w:val="00BB6CB5"/>
    <w:rsid w:val="00BC34AD"/>
    <w:rsid w:val="00BC79F8"/>
    <w:rsid w:val="00BD0FDE"/>
    <w:rsid w:val="00BD2B76"/>
    <w:rsid w:val="00BD498A"/>
    <w:rsid w:val="00BD66DC"/>
    <w:rsid w:val="00BE6EA8"/>
    <w:rsid w:val="00BF0ADE"/>
    <w:rsid w:val="00BF1F8C"/>
    <w:rsid w:val="00BF3771"/>
    <w:rsid w:val="00C00101"/>
    <w:rsid w:val="00C030C7"/>
    <w:rsid w:val="00C037ED"/>
    <w:rsid w:val="00C05A32"/>
    <w:rsid w:val="00C12A5A"/>
    <w:rsid w:val="00C221DD"/>
    <w:rsid w:val="00C23529"/>
    <w:rsid w:val="00C2378F"/>
    <w:rsid w:val="00C30EAF"/>
    <w:rsid w:val="00C44684"/>
    <w:rsid w:val="00C519A4"/>
    <w:rsid w:val="00C547C3"/>
    <w:rsid w:val="00C556AD"/>
    <w:rsid w:val="00C7243E"/>
    <w:rsid w:val="00C73B07"/>
    <w:rsid w:val="00C82B1C"/>
    <w:rsid w:val="00C90F38"/>
    <w:rsid w:val="00C96673"/>
    <w:rsid w:val="00CA01E4"/>
    <w:rsid w:val="00CA0801"/>
    <w:rsid w:val="00CA17EB"/>
    <w:rsid w:val="00CB14D0"/>
    <w:rsid w:val="00CB5EA2"/>
    <w:rsid w:val="00CC36FA"/>
    <w:rsid w:val="00CC6D61"/>
    <w:rsid w:val="00CE5D68"/>
    <w:rsid w:val="00CF0572"/>
    <w:rsid w:val="00CF0944"/>
    <w:rsid w:val="00D04D85"/>
    <w:rsid w:val="00D13884"/>
    <w:rsid w:val="00D13A59"/>
    <w:rsid w:val="00D14D75"/>
    <w:rsid w:val="00D20B73"/>
    <w:rsid w:val="00D2449F"/>
    <w:rsid w:val="00D258C0"/>
    <w:rsid w:val="00D27E73"/>
    <w:rsid w:val="00D370E3"/>
    <w:rsid w:val="00D40849"/>
    <w:rsid w:val="00D40901"/>
    <w:rsid w:val="00D41B3C"/>
    <w:rsid w:val="00D4332C"/>
    <w:rsid w:val="00D44680"/>
    <w:rsid w:val="00D454F6"/>
    <w:rsid w:val="00D51A2E"/>
    <w:rsid w:val="00D543DF"/>
    <w:rsid w:val="00D6386C"/>
    <w:rsid w:val="00D6720C"/>
    <w:rsid w:val="00D71F03"/>
    <w:rsid w:val="00D72971"/>
    <w:rsid w:val="00D957BF"/>
    <w:rsid w:val="00D97091"/>
    <w:rsid w:val="00DA22B5"/>
    <w:rsid w:val="00DB0182"/>
    <w:rsid w:val="00DB4ACC"/>
    <w:rsid w:val="00DC1F8A"/>
    <w:rsid w:val="00DC6EC6"/>
    <w:rsid w:val="00DD0055"/>
    <w:rsid w:val="00DE1390"/>
    <w:rsid w:val="00DE3962"/>
    <w:rsid w:val="00DF1901"/>
    <w:rsid w:val="00DF40B1"/>
    <w:rsid w:val="00DF4286"/>
    <w:rsid w:val="00DF711A"/>
    <w:rsid w:val="00E00A0E"/>
    <w:rsid w:val="00E03DCB"/>
    <w:rsid w:val="00E04A2F"/>
    <w:rsid w:val="00E06C5C"/>
    <w:rsid w:val="00E0731C"/>
    <w:rsid w:val="00E100B4"/>
    <w:rsid w:val="00E100E9"/>
    <w:rsid w:val="00E169C6"/>
    <w:rsid w:val="00E35F74"/>
    <w:rsid w:val="00E50561"/>
    <w:rsid w:val="00E5199F"/>
    <w:rsid w:val="00E62564"/>
    <w:rsid w:val="00E6568D"/>
    <w:rsid w:val="00E664A4"/>
    <w:rsid w:val="00E75EDB"/>
    <w:rsid w:val="00E80A33"/>
    <w:rsid w:val="00E86451"/>
    <w:rsid w:val="00EA41CD"/>
    <w:rsid w:val="00EA4243"/>
    <w:rsid w:val="00EA6713"/>
    <w:rsid w:val="00EA6822"/>
    <w:rsid w:val="00EA73D8"/>
    <w:rsid w:val="00EB484A"/>
    <w:rsid w:val="00EB5948"/>
    <w:rsid w:val="00EB5E94"/>
    <w:rsid w:val="00EB7185"/>
    <w:rsid w:val="00EC4201"/>
    <w:rsid w:val="00EC585B"/>
    <w:rsid w:val="00EC5FBB"/>
    <w:rsid w:val="00ED2D64"/>
    <w:rsid w:val="00EE6E6A"/>
    <w:rsid w:val="00EF160A"/>
    <w:rsid w:val="00EF4181"/>
    <w:rsid w:val="00F00A45"/>
    <w:rsid w:val="00F0233D"/>
    <w:rsid w:val="00F04666"/>
    <w:rsid w:val="00F06F9E"/>
    <w:rsid w:val="00F1116B"/>
    <w:rsid w:val="00F11870"/>
    <w:rsid w:val="00F21CE9"/>
    <w:rsid w:val="00F3541E"/>
    <w:rsid w:val="00F35A97"/>
    <w:rsid w:val="00F42826"/>
    <w:rsid w:val="00F42DAB"/>
    <w:rsid w:val="00F64A62"/>
    <w:rsid w:val="00F76C68"/>
    <w:rsid w:val="00F77756"/>
    <w:rsid w:val="00F85CCA"/>
    <w:rsid w:val="00F872B8"/>
    <w:rsid w:val="00F91FC6"/>
    <w:rsid w:val="00FB36B3"/>
    <w:rsid w:val="00FC4F02"/>
    <w:rsid w:val="00FC63FE"/>
    <w:rsid w:val="00FD23C8"/>
    <w:rsid w:val="00FD62D9"/>
    <w:rsid w:val="00FE2A7C"/>
    <w:rsid w:val="00FE3D3C"/>
    <w:rsid w:val="00FF50B3"/>
    <w:rsid w:val="00FF6C92"/>
    <w:rsid w:val="00FF7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8B5D"/>
  <w15:chartTrackingRefBased/>
  <w15:docId w15:val="{0FD86DA5-3011-46A1-9DA5-3984B420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3D6"/>
    <w:pPr>
      <w:keepNext/>
      <w:keepLines/>
      <w:spacing w:before="240" w:after="0"/>
      <w:outlineLvl w:val="0"/>
    </w:pPr>
    <w:rPr>
      <w:rFonts w:ascii="Times New Roman" w:eastAsia="SimSun" w:hAnsi="Times New Roman" w:cs="Times New Roman"/>
      <w:b/>
      <w:bCs/>
      <w:sz w:val="28"/>
      <w:szCs w:val="28"/>
    </w:rPr>
  </w:style>
  <w:style w:type="paragraph" w:styleId="Heading2">
    <w:name w:val="heading 2"/>
    <w:basedOn w:val="Normal"/>
    <w:next w:val="Normal"/>
    <w:link w:val="Heading2Char"/>
    <w:uiPriority w:val="9"/>
    <w:semiHidden/>
    <w:unhideWhenUsed/>
    <w:qFormat/>
    <w:rsid w:val="005633D6"/>
    <w:pPr>
      <w:keepNext/>
      <w:keepLines/>
      <w:spacing w:before="40" w:after="0"/>
      <w:outlineLvl w:val="1"/>
    </w:pPr>
    <w:rPr>
      <w:rFonts w:ascii="Times New Roman" w:eastAsia="SimSun" w:hAnsi="Times New Roman"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basedOn w:val="Normal"/>
    <w:next w:val="Normal"/>
    <w:uiPriority w:val="9"/>
    <w:qFormat/>
    <w:rsid w:val="005633D6"/>
    <w:pPr>
      <w:keepNext/>
      <w:keepLines/>
      <w:spacing w:before="480" w:after="0" w:line="480" w:lineRule="auto"/>
      <w:jc w:val="both"/>
      <w:outlineLvl w:val="0"/>
    </w:pPr>
    <w:rPr>
      <w:rFonts w:ascii="Times New Roman" w:eastAsia="SimSun" w:hAnsi="Times New Roman" w:cs="Times New Roman"/>
      <w:b/>
      <w:bCs/>
      <w:sz w:val="28"/>
      <w:szCs w:val="28"/>
      <w:lang w:val="de-DE"/>
    </w:rPr>
  </w:style>
  <w:style w:type="paragraph" w:customStyle="1" w:styleId="Titolo21">
    <w:name w:val="Titolo 21"/>
    <w:basedOn w:val="Normal"/>
    <w:next w:val="Normal"/>
    <w:uiPriority w:val="9"/>
    <w:unhideWhenUsed/>
    <w:qFormat/>
    <w:rsid w:val="005633D6"/>
    <w:pPr>
      <w:keepNext/>
      <w:keepLines/>
      <w:spacing w:before="200" w:after="0" w:line="480" w:lineRule="auto"/>
      <w:jc w:val="both"/>
      <w:outlineLvl w:val="1"/>
    </w:pPr>
    <w:rPr>
      <w:rFonts w:ascii="Times New Roman" w:eastAsia="SimSun" w:hAnsi="Times New Roman" w:cs="Times New Roman"/>
      <w:b/>
      <w:bCs/>
      <w:color w:val="000000"/>
      <w:sz w:val="24"/>
      <w:szCs w:val="26"/>
      <w:lang w:val="de-DE"/>
    </w:rPr>
  </w:style>
  <w:style w:type="numbering" w:customStyle="1" w:styleId="Nessunelenco1">
    <w:name w:val="Nessun elenco1"/>
    <w:next w:val="NoList"/>
    <w:uiPriority w:val="99"/>
    <w:semiHidden/>
    <w:unhideWhenUsed/>
    <w:rsid w:val="005633D6"/>
  </w:style>
  <w:style w:type="character" w:customStyle="1" w:styleId="Heading1Char">
    <w:name w:val="Heading 1 Char"/>
    <w:basedOn w:val="DefaultParagraphFont"/>
    <w:link w:val="Heading1"/>
    <w:uiPriority w:val="9"/>
    <w:rsid w:val="005633D6"/>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5633D6"/>
    <w:rPr>
      <w:rFonts w:ascii="Times New Roman" w:eastAsia="SimSun" w:hAnsi="Times New Roman" w:cs="Times New Roman"/>
      <w:b/>
      <w:bCs/>
      <w:color w:val="000000"/>
      <w:sz w:val="24"/>
      <w:szCs w:val="26"/>
    </w:rPr>
  </w:style>
  <w:style w:type="paragraph" w:styleId="NoSpacing">
    <w:name w:val="No Spacing"/>
    <w:uiPriority w:val="99"/>
    <w:qFormat/>
    <w:rsid w:val="005633D6"/>
    <w:pPr>
      <w:spacing w:after="0" w:line="240" w:lineRule="auto"/>
    </w:pPr>
    <w:rPr>
      <w:rFonts w:ascii="Calibri" w:eastAsia="Calibri" w:hAnsi="Calibri" w:cs="Calibri"/>
      <w:lang w:val="en-ZA"/>
    </w:rPr>
  </w:style>
  <w:style w:type="character" w:customStyle="1" w:styleId="st">
    <w:name w:val="st"/>
    <w:basedOn w:val="DefaultParagraphFont"/>
    <w:rsid w:val="005633D6"/>
  </w:style>
  <w:style w:type="character" w:styleId="LineNumber">
    <w:name w:val="line number"/>
    <w:basedOn w:val="DefaultParagraphFont"/>
    <w:uiPriority w:val="99"/>
    <w:semiHidden/>
    <w:unhideWhenUsed/>
    <w:rsid w:val="005633D6"/>
  </w:style>
  <w:style w:type="paragraph" w:customStyle="1" w:styleId="Testofumetto1">
    <w:name w:val="Testo fumetto1"/>
    <w:basedOn w:val="Normal"/>
    <w:next w:val="BalloonText"/>
    <w:link w:val="TestofumettoCarattere"/>
    <w:uiPriority w:val="99"/>
    <w:semiHidden/>
    <w:unhideWhenUsed/>
    <w:rsid w:val="005633D6"/>
    <w:pPr>
      <w:spacing w:after="0" w:line="240" w:lineRule="auto"/>
      <w:jc w:val="both"/>
    </w:pPr>
    <w:rPr>
      <w:rFonts w:ascii="Tahoma" w:hAnsi="Tahoma" w:cs="Tahoma"/>
      <w:sz w:val="16"/>
      <w:szCs w:val="16"/>
    </w:rPr>
  </w:style>
  <w:style w:type="character" w:customStyle="1" w:styleId="TestofumettoCarattere">
    <w:name w:val="Testo fumetto Carattere"/>
    <w:basedOn w:val="DefaultParagraphFont"/>
    <w:link w:val="Testofumetto1"/>
    <w:uiPriority w:val="99"/>
    <w:semiHidden/>
    <w:rsid w:val="005633D6"/>
    <w:rPr>
      <w:rFonts w:ascii="Tahoma" w:hAnsi="Tahoma" w:cs="Tahoma"/>
      <w:sz w:val="16"/>
      <w:szCs w:val="16"/>
    </w:rPr>
  </w:style>
  <w:style w:type="table" w:customStyle="1" w:styleId="Grigliatabella1">
    <w:name w:val="Griglia tabella1"/>
    <w:basedOn w:val="TableNormal"/>
    <w:next w:val="TableGrid"/>
    <w:uiPriority w:val="59"/>
    <w:rsid w:val="005633D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ascalia1">
    <w:name w:val="Didascalia1"/>
    <w:basedOn w:val="Normal"/>
    <w:next w:val="Normal"/>
    <w:uiPriority w:val="35"/>
    <w:unhideWhenUsed/>
    <w:qFormat/>
    <w:rsid w:val="005633D6"/>
    <w:pPr>
      <w:spacing w:after="200" w:line="240" w:lineRule="auto"/>
      <w:jc w:val="both"/>
    </w:pPr>
    <w:rPr>
      <w:rFonts w:ascii="Times New Roman" w:hAnsi="Times New Roman"/>
      <w:b/>
      <w:bCs/>
      <w:color w:val="4F81BD"/>
      <w:sz w:val="18"/>
      <w:szCs w:val="18"/>
      <w:lang w:val="de-DE"/>
    </w:rPr>
  </w:style>
  <w:style w:type="character" w:styleId="CommentReference">
    <w:name w:val="annotation reference"/>
    <w:basedOn w:val="DefaultParagraphFont"/>
    <w:uiPriority w:val="99"/>
    <w:semiHidden/>
    <w:unhideWhenUsed/>
    <w:rsid w:val="005633D6"/>
    <w:rPr>
      <w:sz w:val="16"/>
      <w:szCs w:val="16"/>
    </w:rPr>
  </w:style>
  <w:style w:type="paragraph" w:customStyle="1" w:styleId="Testocommento1">
    <w:name w:val="Testo commento1"/>
    <w:basedOn w:val="Normal"/>
    <w:next w:val="CommentText"/>
    <w:link w:val="TestocommentoCarattere"/>
    <w:uiPriority w:val="99"/>
    <w:unhideWhenUsed/>
    <w:rsid w:val="005633D6"/>
    <w:pPr>
      <w:spacing w:after="200" w:line="240" w:lineRule="auto"/>
      <w:jc w:val="both"/>
    </w:pPr>
    <w:rPr>
      <w:rFonts w:ascii="Times New Roman" w:hAnsi="Times New Roman"/>
      <w:sz w:val="20"/>
      <w:szCs w:val="20"/>
    </w:rPr>
  </w:style>
  <w:style w:type="character" w:customStyle="1" w:styleId="TestocommentoCarattere">
    <w:name w:val="Testo commento Carattere"/>
    <w:basedOn w:val="DefaultParagraphFont"/>
    <w:link w:val="Testocommento1"/>
    <w:uiPriority w:val="99"/>
    <w:rsid w:val="005633D6"/>
    <w:rPr>
      <w:rFonts w:ascii="Times New Roman" w:hAnsi="Times New Roman"/>
      <w:sz w:val="20"/>
      <w:szCs w:val="20"/>
    </w:rPr>
  </w:style>
  <w:style w:type="paragraph" w:customStyle="1" w:styleId="Soggettocommento1">
    <w:name w:val="Soggetto commento1"/>
    <w:basedOn w:val="CommentText"/>
    <w:next w:val="CommentText"/>
    <w:uiPriority w:val="99"/>
    <w:semiHidden/>
    <w:unhideWhenUsed/>
    <w:rsid w:val="005633D6"/>
    <w:pPr>
      <w:spacing w:after="200"/>
      <w:jc w:val="both"/>
    </w:pPr>
    <w:rPr>
      <w:rFonts w:ascii="Times New Roman" w:hAnsi="Times New Roman"/>
      <w:b/>
      <w:bCs/>
      <w:lang w:val="de-DE"/>
    </w:rPr>
  </w:style>
  <w:style w:type="character" w:customStyle="1" w:styleId="CommentSubjectChar">
    <w:name w:val="Comment Subject Char"/>
    <w:basedOn w:val="TestocommentoCarattere"/>
    <w:link w:val="CommentSubject"/>
    <w:uiPriority w:val="99"/>
    <w:semiHidden/>
    <w:rsid w:val="005633D6"/>
    <w:rPr>
      <w:rFonts w:ascii="Times New Roman" w:hAnsi="Times New Roman"/>
      <w:b/>
      <w:bCs/>
      <w:sz w:val="20"/>
      <w:szCs w:val="20"/>
    </w:rPr>
  </w:style>
  <w:style w:type="paragraph" w:customStyle="1" w:styleId="Revisione1">
    <w:name w:val="Revisione1"/>
    <w:next w:val="Revision"/>
    <w:hidden/>
    <w:uiPriority w:val="99"/>
    <w:semiHidden/>
    <w:rsid w:val="005633D6"/>
    <w:pPr>
      <w:spacing w:after="0" w:line="240" w:lineRule="auto"/>
    </w:pPr>
    <w:rPr>
      <w:rFonts w:ascii="Times New Roman" w:hAnsi="Times New Roman"/>
      <w:sz w:val="24"/>
      <w:lang w:val="de-DE"/>
    </w:rPr>
  </w:style>
  <w:style w:type="character" w:styleId="Hyperlink">
    <w:name w:val="Hyperlink"/>
    <w:basedOn w:val="DefaultParagraphFont"/>
    <w:uiPriority w:val="99"/>
    <w:unhideWhenUsed/>
    <w:rsid w:val="005633D6"/>
    <w:rPr>
      <w:color w:val="0000FF"/>
      <w:u w:val="single"/>
    </w:rPr>
  </w:style>
  <w:style w:type="character" w:customStyle="1" w:styleId="doilink">
    <w:name w:val="doi_link"/>
    <w:basedOn w:val="DefaultParagraphFont"/>
    <w:rsid w:val="005633D6"/>
  </w:style>
  <w:style w:type="paragraph" w:customStyle="1" w:styleId="Intestazione1">
    <w:name w:val="Intestazione1"/>
    <w:basedOn w:val="Normal"/>
    <w:next w:val="Header"/>
    <w:link w:val="IntestazioneCarattere"/>
    <w:uiPriority w:val="99"/>
    <w:unhideWhenUsed/>
    <w:rsid w:val="005633D6"/>
    <w:pPr>
      <w:tabs>
        <w:tab w:val="center" w:pos="4536"/>
        <w:tab w:val="right" w:pos="9072"/>
      </w:tabs>
      <w:spacing w:after="0" w:line="240" w:lineRule="auto"/>
      <w:jc w:val="both"/>
    </w:pPr>
    <w:rPr>
      <w:rFonts w:ascii="Times New Roman" w:hAnsi="Times New Roman"/>
      <w:sz w:val="24"/>
    </w:rPr>
  </w:style>
  <w:style w:type="character" w:customStyle="1" w:styleId="IntestazioneCarattere">
    <w:name w:val="Intestazione Carattere"/>
    <w:basedOn w:val="DefaultParagraphFont"/>
    <w:link w:val="Intestazione1"/>
    <w:uiPriority w:val="99"/>
    <w:rsid w:val="005633D6"/>
    <w:rPr>
      <w:rFonts w:ascii="Times New Roman" w:hAnsi="Times New Roman"/>
      <w:sz w:val="24"/>
    </w:rPr>
  </w:style>
  <w:style w:type="paragraph" w:customStyle="1" w:styleId="Pidipagina1">
    <w:name w:val="Piè di pagina1"/>
    <w:basedOn w:val="Normal"/>
    <w:next w:val="Footer"/>
    <w:link w:val="PidipaginaCarattere"/>
    <w:uiPriority w:val="99"/>
    <w:unhideWhenUsed/>
    <w:rsid w:val="005633D6"/>
    <w:pPr>
      <w:tabs>
        <w:tab w:val="center" w:pos="4536"/>
        <w:tab w:val="right" w:pos="9072"/>
      </w:tabs>
      <w:spacing w:after="0" w:line="240" w:lineRule="auto"/>
      <w:jc w:val="both"/>
    </w:pPr>
    <w:rPr>
      <w:rFonts w:ascii="Times New Roman" w:hAnsi="Times New Roman"/>
      <w:sz w:val="24"/>
    </w:rPr>
  </w:style>
  <w:style w:type="character" w:customStyle="1" w:styleId="PidipaginaCarattere">
    <w:name w:val="Piè di pagina Carattere"/>
    <w:basedOn w:val="DefaultParagraphFont"/>
    <w:link w:val="Pidipagina1"/>
    <w:uiPriority w:val="99"/>
    <w:rsid w:val="005633D6"/>
    <w:rPr>
      <w:rFonts w:ascii="Times New Roman" w:hAnsi="Times New Roman"/>
      <w:sz w:val="24"/>
    </w:rPr>
  </w:style>
  <w:style w:type="paragraph" w:customStyle="1" w:styleId="yiv3756192616msonormal">
    <w:name w:val="yiv3756192616msonormal"/>
    <w:basedOn w:val="Normal"/>
    <w:rsid w:val="005633D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5633D6"/>
    <w:rPr>
      <w:b/>
      <w:bCs/>
    </w:rPr>
  </w:style>
  <w:style w:type="character" w:customStyle="1" w:styleId="yiv8443062635gmail-msocommentreference">
    <w:name w:val="yiv8443062635gmail-msocommentreference"/>
    <w:basedOn w:val="DefaultParagraphFont"/>
    <w:rsid w:val="005633D6"/>
  </w:style>
  <w:style w:type="character" w:customStyle="1" w:styleId="Collegamentovisitato1">
    <w:name w:val="Collegamento visitato1"/>
    <w:basedOn w:val="DefaultParagraphFont"/>
    <w:uiPriority w:val="99"/>
    <w:semiHidden/>
    <w:unhideWhenUsed/>
    <w:rsid w:val="005633D6"/>
    <w:rPr>
      <w:color w:val="800080"/>
      <w:u w:val="single"/>
    </w:rPr>
  </w:style>
  <w:style w:type="character" w:customStyle="1" w:styleId="apple-converted-space">
    <w:name w:val="apple-converted-space"/>
    <w:basedOn w:val="DefaultParagraphFont"/>
    <w:rsid w:val="005633D6"/>
  </w:style>
  <w:style w:type="character" w:customStyle="1" w:styleId="il">
    <w:name w:val="il"/>
    <w:basedOn w:val="DefaultParagraphFont"/>
    <w:rsid w:val="005633D6"/>
  </w:style>
  <w:style w:type="character" w:styleId="PlaceholderText">
    <w:name w:val="Placeholder Text"/>
    <w:basedOn w:val="DefaultParagraphFont"/>
    <w:uiPriority w:val="99"/>
    <w:semiHidden/>
    <w:rsid w:val="005633D6"/>
    <w:rPr>
      <w:color w:val="808080"/>
    </w:rPr>
  </w:style>
  <w:style w:type="paragraph" w:styleId="NormalWeb">
    <w:name w:val="Normal (Web)"/>
    <w:basedOn w:val="Normal"/>
    <w:uiPriority w:val="99"/>
    <w:unhideWhenUsed/>
    <w:rsid w:val="005633D6"/>
    <w:pPr>
      <w:spacing w:before="100" w:beforeAutospacing="1" w:after="100" w:afterAutospacing="1" w:line="240" w:lineRule="auto"/>
    </w:pPr>
    <w:rPr>
      <w:rFonts w:ascii="Times New Roman" w:eastAsia="Times New Roman" w:hAnsi="Times New Roman" w:cs="Times New Roman"/>
      <w:sz w:val="24"/>
      <w:szCs w:val="24"/>
      <w:lang w:val="en-ZA"/>
    </w:rPr>
  </w:style>
  <w:style w:type="character" w:styleId="Emphasis">
    <w:name w:val="Emphasis"/>
    <w:basedOn w:val="DefaultParagraphFont"/>
    <w:uiPriority w:val="20"/>
    <w:qFormat/>
    <w:rsid w:val="005633D6"/>
    <w:rPr>
      <w:i/>
      <w:iCs/>
    </w:rPr>
  </w:style>
  <w:style w:type="paragraph" w:customStyle="1" w:styleId="Paragrafoelenco1">
    <w:name w:val="Paragrafo elenco1"/>
    <w:basedOn w:val="Normal"/>
    <w:next w:val="ListParagraph"/>
    <w:uiPriority w:val="34"/>
    <w:qFormat/>
    <w:rsid w:val="005633D6"/>
    <w:pPr>
      <w:spacing w:after="200" w:line="480" w:lineRule="auto"/>
      <w:ind w:left="720"/>
      <w:contextualSpacing/>
      <w:jc w:val="both"/>
    </w:pPr>
    <w:rPr>
      <w:rFonts w:ascii="Times New Roman" w:hAnsi="Times New Roman"/>
      <w:sz w:val="24"/>
      <w:lang w:val="de-DE"/>
    </w:rPr>
  </w:style>
  <w:style w:type="table" w:customStyle="1" w:styleId="Sfondochiaro1">
    <w:name w:val="Sfondo chiaro1"/>
    <w:basedOn w:val="TableNormal"/>
    <w:next w:val="LightShading"/>
    <w:uiPriority w:val="60"/>
    <w:rsid w:val="005633D6"/>
    <w:pPr>
      <w:spacing w:after="0" w:line="240" w:lineRule="auto"/>
    </w:pPr>
    <w:rPr>
      <w:color w:val="000000"/>
      <w:lang w:val="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olo1Carattere1">
    <w:name w:val="Titolo 1 Carattere1"/>
    <w:basedOn w:val="DefaultParagraphFont"/>
    <w:uiPriority w:val="9"/>
    <w:rsid w:val="005633D6"/>
    <w:rPr>
      <w:rFonts w:asciiTheme="majorHAnsi" w:eastAsiaTheme="majorEastAsia" w:hAnsiTheme="majorHAnsi" w:cstheme="majorBidi"/>
      <w:color w:val="2E74B5" w:themeColor="accent1" w:themeShade="BF"/>
      <w:sz w:val="32"/>
      <w:szCs w:val="32"/>
    </w:rPr>
  </w:style>
  <w:style w:type="character" w:customStyle="1" w:styleId="Titolo2Carattere1">
    <w:name w:val="Titolo 2 Carattere1"/>
    <w:basedOn w:val="DefaultParagraphFont"/>
    <w:uiPriority w:val="9"/>
    <w:semiHidden/>
    <w:rsid w:val="005633D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6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D6"/>
    <w:rPr>
      <w:rFonts w:ascii="Segoe UI" w:hAnsi="Segoe UI" w:cs="Segoe UI"/>
      <w:sz w:val="18"/>
      <w:szCs w:val="18"/>
    </w:rPr>
  </w:style>
  <w:style w:type="table" w:styleId="TableGrid">
    <w:name w:val="Table Grid"/>
    <w:basedOn w:val="TableNormal"/>
    <w:uiPriority w:val="39"/>
    <w:rsid w:val="0056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633D6"/>
    <w:pPr>
      <w:spacing w:line="240" w:lineRule="auto"/>
    </w:pPr>
    <w:rPr>
      <w:sz w:val="20"/>
      <w:szCs w:val="20"/>
    </w:rPr>
  </w:style>
  <w:style w:type="character" w:customStyle="1" w:styleId="CommentTextChar">
    <w:name w:val="Comment Text Char"/>
    <w:basedOn w:val="DefaultParagraphFont"/>
    <w:link w:val="CommentText"/>
    <w:uiPriority w:val="99"/>
    <w:rsid w:val="005633D6"/>
    <w:rPr>
      <w:sz w:val="20"/>
      <w:szCs w:val="20"/>
    </w:rPr>
  </w:style>
  <w:style w:type="paragraph" w:styleId="CommentSubject">
    <w:name w:val="annotation subject"/>
    <w:basedOn w:val="CommentText"/>
    <w:next w:val="CommentText"/>
    <w:link w:val="CommentSubjectChar"/>
    <w:uiPriority w:val="99"/>
    <w:semiHidden/>
    <w:unhideWhenUsed/>
    <w:rsid w:val="005633D6"/>
    <w:rPr>
      <w:rFonts w:ascii="Times New Roman" w:hAnsi="Times New Roman"/>
      <w:b/>
      <w:bCs/>
    </w:rPr>
  </w:style>
  <w:style w:type="character" w:customStyle="1" w:styleId="SoggettocommentoCarattere1">
    <w:name w:val="Soggetto commento Carattere1"/>
    <w:basedOn w:val="CommentTextChar"/>
    <w:uiPriority w:val="99"/>
    <w:semiHidden/>
    <w:rsid w:val="005633D6"/>
    <w:rPr>
      <w:b/>
      <w:bCs/>
      <w:sz w:val="20"/>
      <w:szCs w:val="20"/>
    </w:rPr>
  </w:style>
  <w:style w:type="paragraph" w:styleId="Revision">
    <w:name w:val="Revision"/>
    <w:hidden/>
    <w:uiPriority w:val="99"/>
    <w:semiHidden/>
    <w:rsid w:val="005633D6"/>
    <w:pPr>
      <w:spacing w:after="0" w:line="240" w:lineRule="auto"/>
    </w:pPr>
  </w:style>
  <w:style w:type="paragraph" w:styleId="Header">
    <w:name w:val="header"/>
    <w:basedOn w:val="Normal"/>
    <w:link w:val="HeaderChar"/>
    <w:uiPriority w:val="99"/>
    <w:semiHidden/>
    <w:unhideWhenUsed/>
    <w:rsid w:val="005633D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633D6"/>
  </w:style>
  <w:style w:type="paragraph" w:styleId="Footer">
    <w:name w:val="footer"/>
    <w:basedOn w:val="Normal"/>
    <w:link w:val="FooterChar"/>
    <w:uiPriority w:val="99"/>
    <w:semiHidden/>
    <w:unhideWhenUsed/>
    <w:rsid w:val="005633D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633D6"/>
  </w:style>
  <w:style w:type="character" w:styleId="FollowedHyperlink">
    <w:name w:val="FollowedHyperlink"/>
    <w:basedOn w:val="DefaultParagraphFont"/>
    <w:uiPriority w:val="99"/>
    <w:semiHidden/>
    <w:unhideWhenUsed/>
    <w:rsid w:val="005633D6"/>
    <w:rPr>
      <w:color w:val="954F72" w:themeColor="followedHyperlink"/>
      <w:u w:val="single"/>
    </w:rPr>
  </w:style>
  <w:style w:type="paragraph" w:styleId="ListParagraph">
    <w:name w:val="List Paragraph"/>
    <w:basedOn w:val="Normal"/>
    <w:uiPriority w:val="34"/>
    <w:qFormat/>
    <w:rsid w:val="005633D6"/>
    <w:pPr>
      <w:ind w:left="720"/>
      <w:contextualSpacing/>
    </w:pPr>
  </w:style>
  <w:style w:type="table" w:styleId="LightShading">
    <w:name w:val="Light Shading"/>
    <w:basedOn w:val="TableNormal"/>
    <w:uiPriority w:val="60"/>
    <w:semiHidden/>
    <w:unhideWhenUsed/>
    <w:rsid w:val="005633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EA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A07D58A-959E-7548-BBD2-449EE35C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36399</Words>
  <Characters>207477</Characters>
  <Application>Microsoft Office Word</Application>
  <DocSecurity>0</DocSecurity>
  <Lines>1728</Lines>
  <Paragraphs>486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Rius M.</cp:lastModifiedBy>
  <cp:revision>3</cp:revision>
  <cp:lastPrinted>2021-02-01T12:14:00Z</cp:lastPrinted>
  <dcterms:created xsi:type="dcterms:W3CDTF">2021-07-08T11:55:00Z</dcterms:created>
  <dcterms:modified xsi:type="dcterms:W3CDTF">2021-07-08T12:01:00Z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http://csl.mendeley.com/styles/512105321/apa-10001-ale</vt:lpwstr>
  </property>
  <property fmtid="{D5CDD505-2E9C-101B-9397-08002B2CF9AE}" pid="7" name="Mendeley Recent Style Name 2_1">
    <vt:lpwstr>American Psychological Association 6th edition - Hanzel Reynera, MD</vt:lpwstr>
  </property>
  <property fmtid="{D5CDD505-2E9C-101B-9397-08002B2CF9AE}" pid="8" name="Mendeley Recent Style Id 3_1">
    <vt:lpwstr>http://csl.mendeley.com/styles/510988381/apa-10001-ale-1</vt:lpwstr>
  </property>
  <property fmtid="{D5CDD505-2E9C-101B-9397-08002B2CF9AE}" pid="9" name="Mendeley Recent Style Name 3_1">
    <vt:lpwstr>American Psychological Association 6th edition - Hanzel Reynera, MD - alessia din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http://www.zotero.org/styles/chicago-author-date-16th-edition</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http://www.zotero.org/styles/chicago-figures</vt:lpwstr>
  </property>
  <property fmtid="{D5CDD505-2E9C-101B-9397-08002B2CF9AE}" pid="15" name="Mendeley Recent Style Name 6_1">
    <vt:lpwstr>Chicago Manual of Style 16th edition (figures and illustrations)</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17th edition (author-date)</vt:lpwstr>
  </property>
  <property fmtid="{D5CDD505-2E9C-101B-9397-08002B2CF9AE}" pid="18" name="Mendeley Recent Style Id 8_1">
    <vt:lpwstr>http://www.zotero.org/styles/journal-of-the-american-chemical-society</vt:lpwstr>
  </property>
  <property fmtid="{D5CDD505-2E9C-101B-9397-08002B2CF9AE}" pid="19" name="Mendeley Recent Style Name 8_1">
    <vt:lpwstr>Journal of the American Chemical Society</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y fmtid="{D5CDD505-2E9C-101B-9397-08002B2CF9AE}" pid="22" name="Mendeley Document_1">
    <vt:lpwstr>True</vt:lpwstr>
  </property>
  <property fmtid="{D5CDD505-2E9C-101B-9397-08002B2CF9AE}" pid="23" name="Mendeley Unique User Id_1">
    <vt:lpwstr>99de6070-f919-3425-96e0-76e550fb4b5b</vt:lpwstr>
  </property>
  <property fmtid="{D5CDD505-2E9C-101B-9397-08002B2CF9AE}" pid="24" name="Mendeley Citation Style_1">
    <vt:lpwstr>http://csl.mendeley.com/styles/510988381/apa-10001-ale-1</vt:lpwstr>
  </property>
</Properties>
</file>