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833BEE" w14:textId="6D8BDBB2" w:rsidR="005633D6" w:rsidRPr="00533EAC" w:rsidRDefault="005633D6" w:rsidP="00C05A32">
      <w:pPr>
        <w:spacing w:after="0" w:line="360" w:lineRule="auto"/>
        <w:jc w:val="both"/>
        <w:rPr>
          <w:rFonts w:ascii="Arial" w:eastAsia="Calibri" w:hAnsi="Arial" w:cs="Arial"/>
          <w:b/>
          <w:i/>
          <w:color w:val="000000" w:themeColor="text1"/>
          <w:lang w:val="en-ZA"/>
        </w:rPr>
      </w:pPr>
      <w:r w:rsidRPr="00533EAC">
        <w:rPr>
          <w:rFonts w:ascii="Arial" w:eastAsia="Calibri" w:hAnsi="Arial" w:cs="Arial"/>
          <w:b/>
          <w:color w:val="000000" w:themeColor="text1"/>
          <w:sz w:val="28"/>
          <w:szCs w:val="28"/>
          <w:lang w:val="en-ZA"/>
        </w:rPr>
        <w:t xml:space="preserve">Development of genetic tools for </w:t>
      </w:r>
      <w:r w:rsidR="00C519A4" w:rsidRPr="00533EAC">
        <w:rPr>
          <w:rFonts w:ascii="Arial" w:eastAsia="Calibri" w:hAnsi="Arial" w:cs="Arial"/>
          <w:b/>
          <w:color w:val="000000" w:themeColor="text1"/>
          <w:sz w:val="28"/>
          <w:szCs w:val="28"/>
          <w:lang w:val="en-ZA"/>
        </w:rPr>
        <w:t xml:space="preserve">important African bioengineers: </w:t>
      </w:r>
      <w:r w:rsidRPr="00533EAC">
        <w:rPr>
          <w:rFonts w:ascii="Arial" w:eastAsia="Calibri" w:hAnsi="Arial" w:cs="Arial"/>
          <w:b/>
          <w:color w:val="000000" w:themeColor="text1"/>
          <w:sz w:val="28"/>
          <w:szCs w:val="28"/>
          <w:lang w:val="en-ZA"/>
        </w:rPr>
        <w:t xml:space="preserve">the </w:t>
      </w:r>
      <w:r w:rsidR="00C519A4" w:rsidRPr="00533EAC">
        <w:rPr>
          <w:rFonts w:ascii="Arial" w:eastAsia="Calibri" w:hAnsi="Arial" w:cs="Arial"/>
          <w:b/>
          <w:color w:val="000000" w:themeColor="text1"/>
          <w:sz w:val="28"/>
          <w:szCs w:val="28"/>
          <w:lang w:val="en-ZA"/>
        </w:rPr>
        <w:t xml:space="preserve">case of the </w:t>
      </w:r>
      <w:r w:rsidRPr="00533EAC">
        <w:rPr>
          <w:rFonts w:ascii="Arial" w:eastAsia="Calibri" w:hAnsi="Arial" w:cs="Arial"/>
          <w:b/>
          <w:color w:val="000000" w:themeColor="text1"/>
          <w:sz w:val="28"/>
          <w:szCs w:val="28"/>
          <w:lang w:val="en-ZA"/>
        </w:rPr>
        <w:t xml:space="preserve">redbait species </w:t>
      </w:r>
      <w:r w:rsidRPr="00533EAC">
        <w:rPr>
          <w:rFonts w:ascii="Arial" w:eastAsia="Calibri" w:hAnsi="Arial" w:cs="Arial"/>
          <w:b/>
          <w:i/>
          <w:color w:val="000000" w:themeColor="text1"/>
          <w:sz w:val="28"/>
          <w:szCs w:val="28"/>
          <w:lang w:val="en-ZA"/>
        </w:rPr>
        <w:t xml:space="preserve">Pyura </w:t>
      </w:r>
      <w:proofErr w:type="spellStart"/>
      <w:r w:rsidRPr="00533EAC">
        <w:rPr>
          <w:rFonts w:ascii="Arial" w:eastAsia="Calibri" w:hAnsi="Arial" w:cs="Arial"/>
          <w:b/>
          <w:i/>
          <w:color w:val="000000" w:themeColor="text1"/>
          <w:sz w:val="28"/>
          <w:szCs w:val="28"/>
          <w:lang w:val="en-ZA"/>
        </w:rPr>
        <w:t>herdmani</w:t>
      </w:r>
      <w:proofErr w:type="spellEnd"/>
      <w:r w:rsidRPr="00533EAC">
        <w:rPr>
          <w:rFonts w:ascii="Arial" w:eastAsia="Calibri" w:hAnsi="Arial" w:cs="Arial"/>
          <w:b/>
          <w:color w:val="000000" w:themeColor="text1"/>
          <w:sz w:val="28"/>
          <w:szCs w:val="28"/>
          <w:lang w:val="en-ZA"/>
        </w:rPr>
        <w:t xml:space="preserve"> and</w:t>
      </w:r>
      <w:r w:rsidRPr="00533EAC">
        <w:rPr>
          <w:rFonts w:ascii="Arial" w:eastAsia="Calibri" w:hAnsi="Arial" w:cs="Arial"/>
          <w:b/>
          <w:i/>
          <w:color w:val="000000" w:themeColor="text1"/>
          <w:sz w:val="28"/>
          <w:szCs w:val="28"/>
          <w:lang w:val="en-ZA"/>
        </w:rPr>
        <w:t xml:space="preserve"> P</w:t>
      </w:r>
      <w:r w:rsidR="00533EAC">
        <w:rPr>
          <w:rFonts w:ascii="Arial" w:eastAsia="Calibri" w:hAnsi="Arial" w:cs="Arial"/>
          <w:b/>
          <w:i/>
          <w:color w:val="000000" w:themeColor="text1"/>
          <w:sz w:val="28"/>
          <w:szCs w:val="28"/>
          <w:lang w:val="en-ZA"/>
        </w:rPr>
        <w:t>.</w:t>
      </w:r>
      <w:commentRangeStart w:id="0"/>
      <w:r w:rsidRPr="00533EAC">
        <w:rPr>
          <w:rFonts w:ascii="Arial" w:eastAsia="Calibri" w:hAnsi="Arial" w:cs="Arial"/>
          <w:b/>
          <w:i/>
          <w:color w:val="000000" w:themeColor="text1"/>
          <w:sz w:val="28"/>
          <w:szCs w:val="28"/>
          <w:lang w:val="en-ZA"/>
        </w:rPr>
        <w:t xml:space="preserve"> stolonifera</w:t>
      </w:r>
      <w:r w:rsidRPr="00533EAC">
        <w:rPr>
          <w:rFonts w:ascii="Arial" w:eastAsia="Calibri" w:hAnsi="Arial" w:cs="Arial"/>
          <w:b/>
          <w:color w:val="000000" w:themeColor="text1"/>
          <w:sz w:val="28"/>
          <w:szCs w:val="28"/>
          <w:lang w:val="en-ZA"/>
        </w:rPr>
        <w:t xml:space="preserve"> coastline</w:t>
      </w:r>
      <w:r w:rsidR="004D7887" w:rsidRPr="00533EAC">
        <w:rPr>
          <w:rFonts w:ascii="Arial" w:eastAsia="Calibri" w:hAnsi="Arial" w:cs="Arial"/>
          <w:b/>
          <w:color w:val="000000" w:themeColor="text1"/>
          <w:sz w:val="28"/>
          <w:szCs w:val="28"/>
          <w:lang w:val="en-ZA"/>
        </w:rPr>
        <w:t>s</w:t>
      </w:r>
    </w:p>
    <w:p w14:paraId="149EE91D" w14:textId="77777777" w:rsidR="005633D6" w:rsidRPr="00533EAC" w:rsidRDefault="005633D6" w:rsidP="00C05A32">
      <w:pPr>
        <w:spacing w:after="0" w:line="360" w:lineRule="auto"/>
        <w:jc w:val="both"/>
        <w:rPr>
          <w:rFonts w:ascii="Arial" w:eastAsia="Calibri" w:hAnsi="Arial" w:cs="Arial"/>
          <w:i/>
          <w:color w:val="000000" w:themeColor="text1"/>
          <w:lang w:val="en-ZA"/>
        </w:rPr>
      </w:pPr>
    </w:p>
    <w:p w14:paraId="2F61B43C" w14:textId="55CE8E8B" w:rsidR="005633D6" w:rsidRPr="00533EAC" w:rsidRDefault="005633D6" w:rsidP="00C05A32">
      <w:pPr>
        <w:spacing w:after="0" w:line="360" w:lineRule="auto"/>
        <w:jc w:val="both"/>
        <w:rPr>
          <w:rFonts w:ascii="Arial" w:eastAsia="Calibri" w:hAnsi="Arial" w:cs="Arial"/>
          <w:b/>
          <w:color w:val="000000" w:themeColor="text1"/>
          <w:lang w:val="en-ZA"/>
        </w:rPr>
      </w:pPr>
      <w:r w:rsidRPr="00533EAC">
        <w:rPr>
          <w:rFonts w:ascii="Arial" w:eastAsia="Calibri" w:hAnsi="Arial" w:cs="Arial"/>
          <w:b/>
          <w:color w:val="000000" w:themeColor="text1"/>
          <w:lang w:val="en-ZA"/>
        </w:rPr>
        <w:t>A Dinoi</w:t>
      </w:r>
      <w:r w:rsidRPr="00533EAC">
        <w:rPr>
          <w:rFonts w:ascii="Arial" w:eastAsia="Calibri" w:hAnsi="Arial" w:cs="Arial"/>
          <w:b/>
          <w:color w:val="000000" w:themeColor="text1"/>
          <w:vertAlign w:val="superscript"/>
          <w:lang w:val="en-ZA"/>
        </w:rPr>
        <w:t>1</w:t>
      </w:r>
      <w:r w:rsidRPr="00533EAC">
        <w:rPr>
          <w:rFonts w:ascii="Arial" w:eastAsia="Calibri" w:hAnsi="Arial" w:cs="Arial"/>
          <w:b/>
          <w:color w:val="000000" w:themeColor="text1"/>
          <w:lang w:val="en-ZA"/>
        </w:rPr>
        <w:t>, M Rius</w:t>
      </w:r>
      <w:r w:rsidRPr="00533EAC">
        <w:rPr>
          <w:rFonts w:ascii="Arial" w:eastAsia="Calibri" w:hAnsi="Arial" w:cs="Arial"/>
          <w:b/>
          <w:color w:val="000000" w:themeColor="text1"/>
          <w:vertAlign w:val="superscript"/>
          <w:lang w:val="en-ZA"/>
        </w:rPr>
        <w:t>1,2</w:t>
      </w:r>
      <w:r w:rsidRPr="00533EAC">
        <w:rPr>
          <w:rFonts w:ascii="Arial" w:eastAsia="Calibri" w:hAnsi="Arial" w:cs="Arial"/>
          <w:b/>
          <w:color w:val="000000" w:themeColor="text1"/>
          <w:lang w:val="en-ZA"/>
        </w:rPr>
        <w:t>, M Tine</w:t>
      </w:r>
      <w:r w:rsidRPr="00533EAC">
        <w:rPr>
          <w:rFonts w:ascii="Arial" w:eastAsia="Calibri" w:hAnsi="Arial" w:cs="Arial"/>
          <w:b/>
          <w:color w:val="000000" w:themeColor="text1"/>
          <w:vertAlign w:val="superscript"/>
          <w:lang w:val="en-ZA"/>
        </w:rPr>
        <w:t>1</w:t>
      </w:r>
      <w:r w:rsidR="00EB5E94" w:rsidRPr="00533EAC">
        <w:rPr>
          <w:rFonts w:ascii="Arial" w:eastAsia="Calibri" w:hAnsi="Arial" w:cs="Arial"/>
          <w:b/>
          <w:color w:val="000000" w:themeColor="text1"/>
          <w:lang w:val="en-ZA"/>
        </w:rPr>
        <w:t xml:space="preserve"> and </w:t>
      </w:r>
      <w:r w:rsidRPr="00533EAC">
        <w:rPr>
          <w:rFonts w:ascii="Arial" w:eastAsia="Calibri" w:hAnsi="Arial" w:cs="Arial"/>
          <w:b/>
          <w:color w:val="000000" w:themeColor="text1"/>
          <w:lang w:val="en-ZA"/>
        </w:rPr>
        <w:t>PR Teske</w:t>
      </w:r>
      <w:r w:rsidRPr="00533EAC">
        <w:rPr>
          <w:rFonts w:ascii="Arial" w:eastAsia="Calibri" w:hAnsi="Arial" w:cs="Arial"/>
          <w:b/>
          <w:color w:val="000000" w:themeColor="text1"/>
          <w:vertAlign w:val="superscript"/>
          <w:lang w:val="en-ZA"/>
        </w:rPr>
        <w:t>1</w:t>
      </w:r>
      <w:r w:rsidR="00EB5E94" w:rsidRPr="00533EAC">
        <w:rPr>
          <w:rFonts w:ascii="Arial" w:eastAsia="Calibri" w:hAnsi="Arial" w:cs="Arial"/>
          <w:b/>
          <w:color w:val="000000" w:themeColor="text1"/>
          <w:lang w:val="en-ZA"/>
        </w:rPr>
        <w:t>*</w:t>
      </w:r>
    </w:p>
    <w:p w14:paraId="5F5B1229" w14:textId="77777777" w:rsidR="00F35A97" w:rsidRPr="00533EAC" w:rsidRDefault="00F35A97" w:rsidP="00C05A32">
      <w:pPr>
        <w:spacing w:after="0" w:line="360" w:lineRule="auto"/>
        <w:jc w:val="both"/>
        <w:rPr>
          <w:rFonts w:ascii="Arial" w:eastAsia="Calibri" w:hAnsi="Arial" w:cs="Arial"/>
          <w:color w:val="000000" w:themeColor="text1"/>
          <w:lang w:val="en-ZA"/>
        </w:rPr>
      </w:pPr>
    </w:p>
    <w:p w14:paraId="524C2C33" w14:textId="703F5438" w:rsidR="005633D6" w:rsidRPr="00533EAC" w:rsidRDefault="005633D6" w:rsidP="00C05A32">
      <w:pPr>
        <w:spacing w:after="0" w:line="360" w:lineRule="auto"/>
        <w:jc w:val="both"/>
        <w:rPr>
          <w:rFonts w:ascii="Arial" w:eastAsia="Times New Roman" w:hAnsi="Arial" w:cs="Arial"/>
          <w:i/>
          <w:color w:val="000000" w:themeColor="text1"/>
          <w:lang w:val="en-ZA"/>
        </w:rPr>
      </w:pPr>
      <w:r w:rsidRPr="00533EAC">
        <w:rPr>
          <w:rFonts w:ascii="Arial" w:eastAsia="Calibri" w:hAnsi="Arial" w:cs="Arial"/>
          <w:i/>
          <w:color w:val="000000" w:themeColor="text1"/>
          <w:vertAlign w:val="superscript"/>
          <w:lang w:val="en-ZA"/>
        </w:rPr>
        <w:t>1</w:t>
      </w:r>
      <w:r w:rsidR="008C5E3C" w:rsidRPr="00533EAC">
        <w:rPr>
          <w:rFonts w:ascii="Arial" w:eastAsia="Calibri" w:hAnsi="Arial" w:cs="Arial"/>
          <w:i/>
          <w:color w:val="000000" w:themeColor="text1"/>
          <w:lang w:val="en-ZA"/>
        </w:rPr>
        <w:t xml:space="preserve"> </w:t>
      </w:r>
      <w:r w:rsidRPr="00533EAC">
        <w:rPr>
          <w:rFonts w:ascii="Arial" w:eastAsia="Times New Roman" w:hAnsi="Arial" w:cs="Arial"/>
          <w:i/>
          <w:color w:val="000000" w:themeColor="text1"/>
          <w:lang w:val="en-ZA"/>
        </w:rPr>
        <w:t xml:space="preserve">Centre for Ecological Genomics and Wildlife Conservation, Department of Zoology, University of Johannesburg, </w:t>
      </w:r>
      <w:r w:rsidR="00EB5E94" w:rsidRPr="00533EAC">
        <w:rPr>
          <w:rFonts w:ascii="Arial" w:eastAsia="Times New Roman" w:hAnsi="Arial" w:cs="Arial"/>
          <w:i/>
          <w:color w:val="000000" w:themeColor="text1"/>
          <w:lang w:val="en-ZA"/>
        </w:rPr>
        <w:t>Johannesburg</w:t>
      </w:r>
      <w:r w:rsidRPr="00533EAC">
        <w:rPr>
          <w:rFonts w:ascii="Arial" w:eastAsia="Times New Roman" w:hAnsi="Arial" w:cs="Arial"/>
          <w:i/>
          <w:color w:val="000000" w:themeColor="text1"/>
          <w:lang w:val="en-ZA"/>
        </w:rPr>
        <w:t>, South Africa</w:t>
      </w:r>
    </w:p>
    <w:p w14:paraId="4F488887" w14:textId="37CC4FD4" w:rsidR="005633D6" w:rsidRPr="00533EAC" w:rsidRDefault="005633D6" w:rsidP="00C05A32">
      <w:pPr>
        <w:spacing w:after="0" w:line="360" w:lineRule="auto"/>
        <w:jc w:val="both"/>
        <w:rPr>
          <w:rFonts w:ascii="Arial" w:eastAsia="Times New Roman" w:hAnsi="Arial" w:cs="Arial"/>
          <w:i/>
          <w:color w:val="000000" w:themeColor="text1"/>
          <w:lang w:val="en-ZA"/>
        </w:rPr>
      </w:pPr>
      <w:r w:rsidRPr="00533EAC">
        <w:rPr>
          <w:rFonts w:ascii="Arial" w:eastAsia="Calibri" w:hAnsi="Arial" w:cs="Arial"/>
          <w:i/>
          <w:color w:val="000000" w:themeColor="text1"/>
          <w:vertAlign w:val="superscript"/>
          <w:lang w:val="en-ZA"/>
        </w:rPr>
        <w:t>2</w:t>
      </w:r>
      <w:r w:rsidR="008C5E3C" w:rsidRPr="00533EAC">
        <w:rPr>
          <w:rFonts w:ascii="Arial" w:eastAsia="Calibri" w:hAnsi="Arial" w:cs="Arial"/>
          <w:i/>
          <w:color w:val="000000" w:themeColor="text1"/>
          <w:lang w:val="en-ZA"/>
        </w:rPr>
        <w:t xml:space="preserve"> </w:t>
      </w:r>
      <w:r w:rsidR="00A56983" w:rsidRPr="00533EAC">
        <w:rPr>
          <w:rFonts w:ascii="Arial" w:eastAsia="Calibri" w:hAnsi="Arial" w:cs="Arial"/>
          <w:i/>
          <w:color w:val="000000" w:themeColor="text1"/>
          <w:lang w:val="en-ZA"/>
        </w:rPr>
        <w:t xml:space="preserve">School of </w:t>
      </w:r>
      <w:r w:rsidRPr="00533EAC">
        <w:rPr>
          <w:rFonts w:ascii="Arial" w:eastAsia="Times New Roman" w:hAnsi="Arial" w:cs="Arial"/>
          <w:i/>
          <w:color w:val="000000" w:themeColor="text1"/>
          <w:lang w:val="en-ZA"/>
        </w:rPr>
        <w:t>Ocean and Earth Science, National Oceanography Centr</w:t>
      </w:r>
      <w:r w:rsidR="008C5E3C" w:rsidRPr="00533EAC">
        <w:rPr>
          <w:rFonts w:ascii="Arial" w:eastAsia="Times New Roman" w:hAnsi="Arial" w:cs="Arial"/>
          <w:i/>
          <w:color w:val="000000" w:themeColor="text1"/>
          <w:lang w:val="en-ZA"/>
        </w:rPr>
        <w:t>e</w:t>
      </w:r>
      <w:r w:rsidRPr="00533EAC">
        <w:rPr>
          <w:rFonts w:ascii="Arial" w:eastAsia="Times New Roman" w:hAnsi="Arial" w:cs="Arial"/>
          <w:i/>
          <w:color w:val="000000" w:themeColor="text1"/>
          <w:lang w:val="en-ZA"/>
        </w:rPr>
        <w:t xml:space="preserve"> Southampton, University of Southampton, </w:t>
      </w:r>
      <w:r w:rsidR="00EB5E94" w:rsidRPr="00533EAC">
        <w:rPr>
          <w:rFonts w:ascii="Arial" w:eastAsia="Times New Roman" w:hAnsi="Arial" w:cs="Arial"/>
          <w:i/>
          <w:color w:val="000000" w:themeColor="text1"/>
          <w:lang w:val="en-ZA"/>
        </w:rPr>
        <w:t xml:space="preserve">Southampton, </w:t>
      </w:r>
      <w:r w:rsidRPr="00533EAC">
        <w:rPr>
          <w:rFonts w:ascii="Arial" w:eastAsia="Times New Roman" w:hAnsi="Arial" w:cs="Arial"/>
          <w:i/>
          <w:color w:val="000000" w:themeColor="text1"/>
          <w:lang w:val="en-ZA"/>
        </w:rPr>
        <w:t>United Kingdom</w:t>
      </w:r>
    </w:p>
    <w:p w14:paraId="333B082E" w14:textId="367B32F4" w:rsidR="005633D6" w:rsidRPr="00533EAC" w:rsidRDefault="005633D6" w:rsidP="00C05A32">
      <w:pPr>
        <w:spacing w:after="0" w:line="360" w:lineRule="auto"/>
        <w:jc w:val="both"/>
        <w:rPr>
          <w:rFonts w:ascii="Arial" w:eastAsia="Times New Roman" w:hAnsi="Arial" w:cs="Arial"/>
          <w:color w:val="000000" w:themeColor="text1"/>
          <w:shd w:val="clear" w:color="auto" w:fill="FFFFFF"/>
          <w:lang w:val="en-ZA" w:eastAsia="en-GB"/>
        </w:rPr>
      </w:pPr>
      <w:r w:rsidRPr="00533EAC">
        <w:rPr>
          <w:rFonts w:ascii="Arial" w:eastAsia="Times New Roman" w:hAnsi="Arial" w:cs="Arial"/>
          <w:i/>
          <w:color w:val="000000" w:themeColor="text1"/>
          <w:lang w:val="en-ZA"/>
        </w:rPr>
        <w:t>*</w:t>
      </w:r>
      <w:r w:rsidR="008C5E3C" w:rsidRPr="00533EAC">
        <w:rPr>
          <w:rFonts w:ascii="Arial" w:eastAsia="Calibri" w:hAnsi="Arial" w:cs="Arial"/>
          <w:i/>
          <w:color w:val="000000" w:themeColor="text1"/>
          <w:lang w:val="en-ZA"/>
        </w:rPr>
        <w:t xml:space="preserve"> </w:t>
      </w:r>
      <w:r w:rsidR="00EB5E94" w:rsidRPr="00533EAC">
        <w:rPr>
          <w:rFonts w:ascii="Arial" w:eastAsia="Times New Roman" w:hAnsi="Arial" w:cs="Arial"/>
          <w:i/>
          <w:color w:val="000000" w:themeColor="text1"/>
          <w:lang w:val="en-ZA"/>
        </w:rPr>
        <w:t>C</w:t>
      </w:r>
      <w:r w:rsidRPr="00533EAC">
        <w:rPr>
          <w:rFonts w:ascii="Arial" w:eastAsia="Times New Roman" w:hAnsi="Arial" w:cs="Arial"/>
          <w:i/>
          <w:color w:val="000000" w:themeColor="text1"/>
          <w:lang w:val="en-ZA"/>
        </w:rPr>
        <w:t>orrespond</w:t>
      </w:r>
      <w:r w:rsidR="00EB5E94" w:rsidRPr="00533EAC">
        <w:rPr>
          <w:rFonts w:ascii="Arial" w:eastAsia="Times New Roman" w:hAnsi="Arial" w:cs="Arial"/>
          <w:i/>
          <w:color w:val="000000" w:themeColor="text1"/>
          <w:lang w:val="en-ZA"/>
        </w:rPr>
        <w:t>ing author, email</w:t>
      </w:r>
      <w:r w:rsidRPr="00533EAC">
        <w:rPr>
          <w:rFonts w:ascii="Arial" w:eastAsia="Times New Roman" w:hAnsi="Arial" w:cs="Arial"/>
          <w:i/>
          <w:color w:val="000000" w:themeColor="text1"/>
          <w:lang w:val="en-ZA"/>
        </w:rPr>
        <w:t xml:space="preserve">: </w:t>
      </w:r>
      <w:r w:rsidRPr="00533EAC">
        <w:rPr>
          <w:rFonts w:ascii="Arial" w:eastAsia="Times New Roman" w:hAnsi="Arial" w:cs="Arial"/>
          <w:i/>
          <w:color w:val="000000" w:themeColor="text1"/>
          <w:shd w:val="clear" w:color="auto" w:fill="FFFFFF"/>
          <w:lang w:val="en-ZA" w:eastAsia="en-GB"/>
        </w:rPr>
        <w:t>pteske101@gmail.com</w:t>
      </w:r>
    </w:p>
    <w:p w14:paraId="7AB5AB58" w14:textId="42531BC4" w:rsidR="005633D6" w:rsidRPr="00533EAC" w:rsidRDefault="005633D6" w:rsidP="00C05A32">
      <w:pPr>
        <w:spacing w:after="0" w:line="360" w:lineRule="auto"/>
        <w:jc w:val="both"/>
        <w:rPr>
          <w:rFonts w:ascii="Arial" w:eastAsia="Times New Roman" w:hAnsi="Arial" w:cs="Arial"/>
          <w:color w:val="000000" w:themeColor="text1"/>
          <w:lang w:val="en-ZA"/>
        </w:rPr>
      </w:pPr>
    </w:p>
    <w:p w14:paraId="60E2F25E" w14:textId="2E6B9A10" w:rsidR="00F35A97" w:rsidRPr="00533EAC" w:rsidRDefault="00F35A97" w:rsidP="00C05A32">
      <w:pPr>
        <w:spacing w:after="0" w:line="360" w:lineRule="auto"/>
        <w:jc w:val="both"/>
        <w:rPr>
          <w:rFonts w:ascii="Arial" w:eastAsia="Times New Roman" w:hAnsi="Arial" w:cs="Arial"/>
          <w:color w:val="000000" w:themeColor="text1"/>
          <w:lang w:val="en-ZA"/>
        </w:rPr>
      </w:pPr>
      <w:r w:rsidRPr="00533EAC">
        <w:rPr>
          <w:rFonts w:ascii="Arial" w:eastAsia="Times New Roman" w:hAnsi="Arial" w:cs="Arial"/>
          <w:color w:val="000000" w:themeColor="text1"/>
          <w:lang w:val="en-ZA"/>
        </w:rPr>
        <w:t xml:space="preserve">Manuscript received </w:t>
      </w:r>
      <w:r w:rsidR="00EB5E94" w:rsidRPr="00533EAC">
        <w:rPr>
          <w:rFonts w:ascii="Arial" w:eastAsia="Times New Roman" w:hAnsi="Arial" w:cs="Arial"/>
          <w:color w:val="000000" w:themeColor="text1"/>
          <w:lang w:val="en-ZA"/>
        </w:rPr>
        <w:t>July 2020</w:t>
      </w:r>
      <w:r w:rsidRPr="00533EAC">
        <w:rPr>
          <w:rFonts w:ascii="Arial" w:eastAsia="Times New Roman" w:hAnsi="Arial" w:cs="Arial"/>
          <w:color w:val="000000" w:themeColor="text1"/>
          <w:lang w:val="en-ZA"/>
        </w:rPr>
        <w:t xml:space="preserve"> received </w:t>
      </w:r>
      <w:r w:rsidR="00EB5E94" w:rsidRPr="00533EAC">
        <w:rPr>
          <w:rFonts w:ascii="Arial" w:eastAsia="Times New Roman" w:hAnsi="Arial" w:cs="Arial"/>
          <w:color w:val="000000" w:themeColor="text1"/>
          <w:lang w:val="en-ZA"/>
        </w:rPr>
        <w:t>September 2020</w:t>
      </w:r>
      <w:r w:rsidRPr="00533EAC">
        <w:rPr>
          <w:rFonts w:ascii="Arial" w:eastAsia="Times New Roman" w:hAnsi="Arial" w:cs="Arial"/>
          <w:color w:val="000000" w:themeColor="text1"/>
          <w:lang w:val="en-ZA"/>
        </w:rPr>
        <w:t>; accepted</w:t>
      </w:r>
      <w:r w:rsidR="00EB5E94" w:rsidRPr="00533EAC">
        <w:rPr>
          <w:rFonts w:ascii="Arial" w:eastAsia="Times New Roman" w:hAnsi="Arial" w:cs="Arial"/>
          <w:color w:val="000000" w:themeColor="text1"/>
          <w:lang w:val="en-ZA"/>
        </w:rPr>
        <w:t xml:space="preserve"> December 2020</w:t>
      </w:r>
    </w:p>
    <w:p w14:paraId="68103141" w14:textId="77777777" w:rsidR="00F35A97" w:rsidRPr="00533EAC" w:rsidRDefault="00F35A97" w:rsidP="00C05A32">
      <w:pPr>
        <w:spacing w:after="0" w:line="360" w:lineRule="auto"/>
        <w:jc w:val="both"/>
        <w:rPr>
          <w:rFonts w:ascii="Arial" w:eastAsia="Times New Roman" w:hAnsi="Arial" w:cs="Arial"/>
          <w:color w:val="000000" w:themeColor="text1"/>
          <w:lang w:val="en-ZA"/>
        </w:rPr>
      </w:pPr>
    </w:p>
    <w:p w14:paraId="7ED60BF4" w14:textId="14D45920" w:rsidR="005633D6" w:rsidRPr="00533EAC" w:rsidRDefault="005633D6" w:rsidP="00C05A32">
      <w:pPr>
        <w:spacing w:after="0" w:line="360" w:lineRule="auto"/>
        <w:jc w:val="both"/>
        <w:rPr>
          <w:rFonts w:ascii="Arial" w:eastAsia="Calibri" w:hAnsi="Arial" w:cs="Arial"/>
          <w:color w:val="000000" w:themeColor="text1"/>
          <w:lang w:val="en-ZA"/>
        </w:rPr>
      </w:pPr>
      <w:r w:rsidRPr="00533EAC">
        <w:rPr>
          <w:rFonts w:ascii="Arial" w:eastAsia="Calibri" w:hAnsi="Arial" w:cs="Arial"/>
          <w:color w:val="000000" w:themeColor="text1"/>
          <w:lang w:val="en-ZA"/>
        </w:rPr>
        <w:t xml:space="preserve">The development of new genomic resources is key </w:t>
      </w:r>
      <w:r w:rsidR="00D51A2E" w:rsidRPr="00533EAC">
        <w:rPr>
          <w:rFonts w:ascii="Arial" w:eastAsia="Calibri" w:hAnsi="Arial" w:cs="Arial"/>
          <w:color w:val="000000" w:themeColor="text1"/>
          <w:lang w:val="en-ZA"/>
        </w:rPr>
        <w:t xml:space="preserve">for </w:t>
      </w:r>
      <w:r w:rsidR="00ED2D64" w:rsidRPr="00533EAC">
        <w:rPr>
          <w:rFonts w:ascii="Arial" w:eastAsia="Calibri" w:hAnsi="Arial" w:cs="Arial"/>
          <w:color w:val="000000" w:themeColor="text1"/>
          <w:lang w:val="en-ZA"/>
        </w:rPr>
        <w:t xml:space="preserve">biological </w:t>
      </w:r>
      <w:r w:rsidR="00D51A2E" w:rsidRPr="00533EAC">
        <w:rPr>
          <w:rFonts w:ascii="Arial" w:eastAsia="Calibri" w:hAnsi="Arial" w:cs="Arial"/>
          <w:color w:val="000000" w:themeColor="text1"/>
          <w:lang w:val="en-ZA"/>
        </w:rPr>
        <w:t>conserv</w:t>
      </w:r>
      <w:r w:rsidR="00ED2D64" w:rsidRPr="00533EAC">
        <w:rPr>
          <w:rFonts w:ascii="Arial" w:eastAsia="Calibri" w:hAnsi="Arial" w:cs="Arial"/>
          <w:color w:val="000000" w:themeColor="text1"/>
          <w:lang w:val="en-ZA"/>
        </w:rPr>
        <w:t>ation</w:t>
      </w:r>
      <w:r w:rsidRPr="00533EAC">
        <w:rPr>
          <w:rFonts w:ascii="Arial" w:eastAsia="Calibri" w:hAnsi="Arial" w:cs="Arial"/>
          <w:color w:val="000000" w:themeColor="text1"/>
          <w:lang w:val="en-ZA"/>
        </w:rPr>
        <w:t xml:space="preserve"> in </w:t>
      </w:r>
      <w:r w:rsidR="00DF711A" w:rsidRPr="00533EAC">
        <w:rPr>
          <w:rFonts w:ascii="Arial" w:eastAsia="Calibri" w:hAnsi="Arial" w:cs="Arial"/>
          <w:color w:val="000000" w:themeColor="text1"/>
          <w:lang w:val="en-ZA"/>
        </w:rPr>
        <w:t xml:space="preserve">an </w:t>
      </w:r>
      <w:r w:rsidRPr="00533EAC">
        <w:rPr>
          <w:rFonts w:ascii="Arial" w:eastAsia="Calibri" w:hAnsi="Arial" w:cs="Arial"/>
          <w:color w:val="000000" w:themeColor="text1"/>
          <w:lang w:val="en-ZA"/>
        </w:rPr>
        <w:t xml:space="preserve">era </w:t>
      </w:r>
      <w:r w:rsidR="004D7887" w:rsidRPr="00533EAC">
        <w:rPr>
          <w:rFonts w:ascii="Arial" w:eastAsia="Calibri" w:hAnsi="Arial" w:cs="Arial"/>
          <w:color w:val="000000" w:themeColor="text1"/>
          <w:lang w:val="en-ZA"/>
        </w:rPr>
        <w:t xml:space="preserve">when </w:t>
      </w:r>
      <w:r w:rsidRPr="00533EAC">
        <w:rPr>
          <w:rFonts w:ascii="Arial" w:eastAsia="Calibri" w:hAnsi="Arial" w:cs="Arial"/>
          <w:color w:val="000000" w:themeColor="text1"/>
          <w:lang w:val="en-ZA"/>
        </w:rPr>
        <w:t>the preservation of biodiversity is crucial. Here, we develop</w:t>
      </w:r>
      <w:r w:rsidR="00ED2D64" w:rsidRPr="00533EAC">
        <w:rPr>
          <w:rFonts w:ascii="Arial" w:eastAsia="Calibri" w:hAnsi="Arial" w:cs="Arial"/>
          <w:color w:val="000000" w:themeColor="text1"/>
          <w:lang w:val="en-ZA"/>
        </w:rPr>
        <w:t>ed</w:t>
      </w:r>
      <w:r w:rsidRPr="00533EAC">
        <w:rPr>
          <w:rFonts w:ascii="Arial" w:eastAsia="Calibri" w:hAnsi="Arial" w:cs="Arial"/>
          <w:color w:val="000000" w:themeColor="text1"/>
          <w:lang w:val="en-ZA"/>
        </w:rPr>
        <w:t xml:space="preserve"> microsatellites and mitochondrial markers for the redbait species,</w:t>
      </w:r>
      <w:r w:rsidR="00EB5E94" w:rsidRPr="00533EAC">
        <w:rPr>
          <w:rFonts w:ascii="Arial" w:eastAsia="Calibri" w:hAnsi="Arial" w:cs="Arial"/>
          <w:color w:val="000000" w:themeColor="text1"/>
          <w:lang w:val="en-ZA"/>
        </w:rPr>
        <w:t xml:space="preserve"> </w:t>
      </w:r>
      <w:r w:rsidRPr="00533EAC">
        <w:rPr>
          <w:rFonts w:ascii="Arial" w:eastAsia="Calibri" w:hAnsi="Arial" w:cs="Arial"/>
          <w:i/>
          <w:color w:val="000000" w:themeColor="text1"/>
          <w:lang w:val="en-ZA"/>
        </w:rPr>
        <w:t xml:space="preserve">Pyura </w:t>
      </w:r>
      <w:proofErr w:type="spellStart"/>
      <w:r w:rsidR="00707AEB" w:rsidRPr="00533EAC">
        <w:rPr>
          <w:rFonts w:ascii="Arial" w:eastAsia="Calibri" w:hAnsi="Arial" w:cs="Arial"/>
          <w:i/>
          <w:color w:val="000000" w:themeColor="text1"/>
          <w:lang w:val="en-ZA"/>
        </w:rPr>
        <w:t>herdmani</w:t>
      </w:r>
      <w:proofErr w:type="spellEnd"/>
      <w:r w:rsidR="00707AEB" w:rsidRPr="00533EAC">
        <w:rPr>
          <w:rFonts w:ascii="Arial" w:eastAsia="Calibri" w:hAnsi="Arial" w:cs="Arial"/>
          <w:i/>
          <w:color w:val="000000" w:themeColor="text1"/>
          <w:lang w:val="en-ZA"/>
        </w:rPr>
        <w:t xml:space="preserve"> </w:t>
      </w:r>
      <w:r w:rsidRPr="00533EAC">
        <w:rPr>
          <w:rFonts w:ascii="Arial" w:eastAsia="Calibri" w:hAnsi="Arial" w:cs="Arial"/>
          <w:color w:val="000000" w:themeColor="text1"/>
          <w:lang w:val="en-ZA"/>
        </w:rPr>
        <w:t xml:space="preserve">and </w:t>
      </w:r>
      <w:r w:rsidRPr="00533EAC">
        <w:rPr>
          <w:rFonts w:ascii="Arial" w:eastAsia="Calibri" w:hAnsi="Arial" w:cs="Arial"/>
          <w:i/>
          <w:color w:val="000000" w:themeColor="text1"/>
          <w:lang w:val="en-ZA"/>
        </w:rPr>
        <w:t>P</w:t>
      </w:r>
      <w:r w:rsidR="00D51A2E" w:rsidRPr="00533EAC">
        <w:rPr>
          <w:rFonts w:ascii="Arial" w:eastAsia="Calibri" w:hAnsi="Arial" w:cs="Arial"/>
          <w:i/>
          <w:color w:val="000000" w:themeColor="text1"/>
          <w:lang w:val="en-ZA"/>
        </w:rPr>
        <w:t xml:space="preserve">. </w:t>
      </w:r>
      <w:r w:rsidR="00707AEB" w:rsidRPr="00533EAC">
        <w:rPr>
          <w:rFonts w:ascii="Arial" w:eastAsia="Calibri" w:hAnsi="Arial" w:cs="Arial"/>
          <w:i/>
          <w:color w:val="000000" w:themeColor="text1"/>
          <w:lang w:val="en-ZA"/>
        </w:rPr>
        <w:t>stolonifera</w:t>
      </w:r>
      <w:r w:rsidR="00D51A2E" w:rsidRPr="00533EAC">
        <w:rPr>
          <w:rFonts w:ascii="Arial" w:eastAsia="Calibri" w:hAnsi="Arial" w:cs="Arial"/>
          <w:i/>
          <w:color w:val="000000" w:themeColor="text1"/>
          <w:lang w:val="en-ZA"/>
        </w:rPr>
        <w:t xml:space="preserve">, </w:t>
      </w:r>
      <w:r w:rsidR="00D51A2E" w:rsidRPr="00533EAC">
        <w:rPr>
          <w:rFonts w:ascii="Arial" w:eastAsia="Calibri" w:hAnsi="Arial" w:cs="Arial"/>
          <w:iCs/>
          <w:color w:val="000000" w:themeColor="text1"/>
          <w:lang w:val="en-ZA"/>
        </w:rPr>
        <w:t>both</w:t>
      </w:r>
      <w:r w:rsidR="00D51A2E" w:rsidRPr="00533EAC">
        <w:rPr>
          <w:rFonts w:ascii="Arial" w:eastAsia="Calibri" w:hAnsi="Arial" w:cs="Arial"/>
          <w:i/>
          <w:color w:val="000000" w:themeColor="text1"/>
          <w:lang w:val="en-ZA"/>
        </w:rPr>
        <w:t xml:space="preserve"> </w:t>
      </w:r>
      <w:r w:rsidRPr="00533EAC">
        <w:rPr>
          <w:rFonts w:ascii="Arial" w:eastAsia="Calibri" w:hAnsi="Arial" w:cs="Arial"/>
          <w:color w:val="000000" w:themeColor="text1"/>
          <w:lang w:val="en-ZA"/>
        </w:rPr>
        <w:t>important bioengineers along African coastline</w:t>
      </w:r>
      <w:r w:rsidR="004D7887" w:rsidRPr="00533EAC">
        <w:rPr>
          <w:rFonts w:ascii="Arial" w:eastAsia="Calibri" w:hAnsi="Arial" w:cs="Arial"/>
          <w:color w:val="000000" w:themeColor="text1"/>
          <w:lang w:val="en-ZA"/>
        </w:rPr>
        <w:t>s. Specifically, we identified</w:t>
      </w:r>
      <w:r w:rsidRPr="00533EAC">
        <w:rPr>
          <w:rFonts w:ascii="Arial" w:eastAsia="Calibri" w:hAnsi="Arial" w:cs="Arial"/>
          <w:color w:val="000000" w:themeColor="text1"/>
          <w:lang w:val="en-ZA"/>
        </w:rPr>
        <w:t xml:space="preserve"> microsatellite</w:t>
      </w:r>
      <w:r w:rsidR="004D7887" w:rsidRPr="00533EAC">
        <w:rPr>
          <w:rFonts w:ascii="Arial" w:eastAsia="Calibri" w:hAnsi="Arial" w:cs="Arial"/>
          <w:color w:val="000000" w:themeColor="text1"/>
          <w:lang w:val="en-ZA"/>
        </w:rPr>
        <w:t>s</w:t>
      </w:r>
      <w:r w:rsidRPr="00533EAC">
        <w:rPr>
          <w:rFonts w:ascii="Arial" w:eastAsia="Calibri" w:hAnsi="Arial" w:cs="Arial"/>
          <w:color w:val="000000" w:themeColor="text1"/>
          <w:lang w:val="en-ZA"/>
        </w:rPr>
        <w:t xml:space="preserve"> by means of pyrosequencing, and variable regions in the mitochondrial genome </w:t>
      </w:r>
      <w:r w:rsidR="004D7887" w:rsidRPr="00533EAC">
        <w:rPr>
          <w:rFonts w:ascii="Arial" w:eastAsia="Calibri" w:hAnsi="Arial" w:cs="Arial"/>
          <w:color w:val="000000" w:themeColor="text1"/>
          <w:lang w:val="en-ZA"/>
        </w:rPr>
        <w:t>using</w:t>
      </w:r>
      <w:r w:rsidR="000A3487" w:rsidRPr="00533EAC">
        <w:rPr>
          <w:rFonts w:ascii="Arial" w:eastAsia="Calibri" w:hAnsi="Arial" w:cs="Arial"/>
          <w:color w:val="000000" w:themeColor="text1"/>
          <w:lang w:val="en-ZA"/>
        </w:rPr>
        <w:t xml:space="preserve"> RAD-</w:t>
      </w:r>
      <w:proofErr w:type="spellStart"/>
      <w:r w:rsidR="000A3487" w:rsidRPr="00533EAC">
        <w:rPr>
          <w:rFonts w:ascii="Arial" w:eastAsia="Calibri" w:hAnsi="Arial" w:cs="Arial"/>
          <w:color w:val="000000" w:themeColor="text1"/>
          <w:lang w:val="en-ZA"/>
        </w:rPr>
        <w:t>seq</w:t>
      </w:r>
      <w:proofErr w:type="spellEnd"/>
      <w:r w:rsidR="000A3487" w:rsidRPr="00533EAC">
        <w:rPr>
          <w:rFonts w:ascii="Arial" w:eastAsia="Calibri" w:hAnsi="Arial" w:cs="Arial"/>
          <w:color w:val="000000" w:themeColor="text1"/>
          <w:lang w:val="en-ZA"/>
        </w:rPr>
        <w:t xml:space="preserve"> libraries that were generated </w:t>
      </w:r>
      <w:r w:rsidR="00090809" w:rsidRPr="00533EAC">
        <w:rPr>
          <w:rFonts w:ascii="Arial" w:eastAsia="Calibri" w:hAnsi="Arial" w:cs="Arial"/>
          <w:color w:val="000000" w:themeColor="text1"/>
          <w:lang w:val="en-ZA"/>
        </w:rPr>
        <w:t>with</w:t>
      </w:r>
      <w:r w:rsidRPr="00533EAC">
        <w:rPr>
          <w:rFonts w:ascii="Arial" w:eastAsia="Calibri" w:hAnsi="Arial" w:cs="Arial"/>
          <w:color w:val="000000" w:themeColor="text1"/>
          <w:lang w:val="en-ZA"/>
        </w:rPr>
        <w:t xml:space="preserve"> Illumina sequencing. </w:t>
      </w:r>
      <w:r w:rsidR="00486F49" w:rsidRPr="00533EAC">
        <w:rPr>
          <w:rFonts w:ascii="Arial" w:eastAsia="Calibri" w:hAnsi="Arial" w:cs="Arial"/>
          <w:color w:val="000000" w:themeColor="text1"/>
          <w:lang w:val="en-ZA"/>
        </w:rPr>
        <w:t xml:space="preserve">A total of 4 </w:t>
      </w:r>
      <w:r w:rsidRPr="00533EAC">
        <w:rPr>
          <w:rFonts w:ascii="Arial" w:eastAsia="Calibri" w:hAnsi="Arial" w:cs="Arial"/>
          <w:color w:val="000000" w:themeColor="text1"/>
          <w:lang w:val="en-ZA"/>
        </w:rPr>
        <w:t>339 putative microsatellites were found, of which 32 were tested on 52 individuals</w:t>
      </w:r>
      <w:r w:rsidR="000D5130" w:rsidRPr="00533EAC">
        <w:rPr>
          <w:rFonts w:ascii="Arial" w:eastAsia="Calibri" w:hAnsi="Arial" w:cs="Arial"/>
          <w:color w:val="000000" w:themeColor="text1"/>
          <w:lang w:val="en-ZA"/>
        </w:rPr>
        <w:t xml:space="preserve"> collected </w:t>
      </w:r>
      <w:r w:rsidR="00EA73D8" w:rsidRPr="00533EAC">
        <w:rPr>
          <w:rFonts w:ascii="Arial" w:eastAsia="Calibri" w:hAnsi="Arial" w:cs="Arial"/>
          <w:color w:val="000000" w:themeColor="text1"/>
          <w:lang w:val="en-ZA"/>
        </w:rPr>
        <w:t>along the south-east coast of</w:t>
      </w:r>
      <w:r w:rsidR="000D5130" w:rsidRPr="00533EAC">
        <w:rPr>
          <w:rFonts w:ascii="Arial" w:eastAsia="Calibri" w:hAnsi="Arial" w:cs="Arial"/>
          <w:color w:val="000000" w:themeColor="text1"/>
          <w:lang w:val="en-ZA"/>
        </w:rPr>
        <w:t xml:space="preserve"> South Africa</w:t>
      </w:r>
      <w:r w:rsidRPr="00533EAC">
        <w:rPr>
          <w:rFonts w:ascii="Arial" w:eastAsia="Calibri" w:hAnsi="Arial" w:cs="Arial"/>
          <w:color w:val="000000" w:themeColor="text1"/>
          <w:lang w:val="en-ZA"/>
        </w:rPr>
        <w:t xml:space="preserve">. </w:t>
      </w:r>
      <w:r w:rsidR="004D7887" w:rsidRPr="00533EAC">
        <w:rPr>
          <w:rFonts w:ascii="Arial" w:eastAsia="Calibri" w:hAnsi="Arial" w:cs="Arial"/>
          <w:color w:val="000000" w:themeColor="text1"/>
          <w:lang w:val="en-ZA"/>
        </w:rPr>
        <w:t xml:space="preserve">Of those, </w:t>
      </w:r>
      <w:r w:rsidRPr="00533EAC">
        <w:rPr>
          <w:rFonts w:ascii="Arial" w:eastAsia="Calibri" w:hAnsi="Arial" w:cs="Arial"/>
          <w:color w:val="000000" w:themeColor="text1"/>
          <w:lang w:val="en-ZA"/>
        </w:rPr>
        <w:t xml:space="preserve">five microsatellites cross-amplified </w:t>
      </w:r>
      <w:r w:rsidR="004D7887" w:rsidRPr="00533EAC">
        <w:rPr>
          <w:rFonts w:ascii="Arial" w:eastAsia="Calibri" w:hAnsi="Arial" w:cs="Arial"/>
          <w:color w:val="000000" w:themeColor="text1"/>
          <w:lang w:val="en-ZA"/>
        </w:rPr>
        <w:t xml:space="preserve">consistently </w:t>
      </w:r>
      <w:r w:rsidRPr="00533EAC">
        <w:rPr>
          <w:rFonts w:ascii="Arial" w:eastAsia="Calibri" w:hAnsi="Arial" w:cs="Arial"/>
          <w:color w:val="000000" w:themeColor="text1"/>
          <w:lang w:val="en-ZA"/>
        </w:rPr>
        <w:t>in both species</w:t>
      </w:r>
      <w:r w:rsidR="004D7887" w:rsidRPr="00533EAC">
        <w:rPr>
          <w:rFonts w:ascii="Arial" w:eastAsia="Calibri" w:hAnsi="Arial" w:cs="Arial"/>
          <w:color w:val="000000" w:themeColor="text1"/>
          <w:lang w:val="en-ZA"/>
        </w:rPr>
        <w:t>, and these were</w:t>
      </w:r>
      <w:r w:rsidRPr="00533EAC">
        <w:rPr>
          <w:rFonts w:ascii="Arial" w:eastAsia="Calibri" w:hAnsi="Arial" w:cs="Arial"/>
          <w:color w:val="000000" w:themeColor="text1"/>
          <w:lang w:val="en-ZA"/>
        </w:rPr>
        <w:t xml:space="preserve"> tested on a total of 260 </w:t>
      </w:r>
      <w:r w:rsidR="007943D0" w:rsidRPr="00533EAC">
        <w:rPr>
          <w:rFonts w:ascii="Arial" w:eastAsia="Calibri" w:hAnsi="Arial" w:cs="Arial"/>
          <w:color w:val="000000" w:themeColor="text1"/>
          <w:lang w:val="en-ZA"/>
        </w:rPr>
        <w:t>samples</w:t>
      </w:r>
      <w:r w:rsidRPr="00533EAC">
        <w:rPr>
          <w:rFonts w:ascii="Arial" w:eastAsia="Calibri" w:hAnsi="Arial" w:cs="Arial"/>
          <w:color w:val="000000" w:themeColor="text1"/>
          <w:lang w:val="en-ZA"/>
        </w:rPr>
        <w:t xml:space="preserve">. Additionally, we mapped the partial mitochondrial genome of </w:t>
      </w:r>
      <w:r w:rsidR="009723D3" w:rsidRPr="00533EAC">
        <w:rPr>
          <w:rFonts w:ascii="Arial" w:eastAsia="Calibri" w:hAnsi="Arial" w:cs="Arial"/>
          <w:color w:val="000000" w:themeColor="text1"/>
          <w:lang w:val="en-ZA"/>
        </w:rPr>
        <w:t>both</w:t>
      </w:r>
      <w:r w:rsidR="000D5130" w:rsidRPr="00533EAC">
        <w:rPr>
          <w:rFonts w:ascii="Arial" w:eastAsia="Calibri" w:hAnsi="Arial" w:cs="Arial"/>
          <w:color w:val="000000" w:themeColor="text1"/>
          <w:lang w:val="en-ZA"/>
        </w:rPr>
        <w:t xml:space="preserve"> species</w:t>
      </w:r>
      <w:r w:rsidRPr="00533EAC">
        <w:rPr>
          <w:rFonts w:ascii="Arial" w:eastAsia="Calibri" w:hAnsi="Arial" w:cs="Arial"/>
          <w:color w:val="000000" w:themeColor="text1"/>
          <w:lang w:val="en-ZA"/>
        </w:rPr>
        <w:t xml:space="preserve"> and identified the most variable regions</w:t>
      </w:r>
      <w:r w:rsidR="009723D3" w:rsidRPr="00533EAC">
        <w:rPr>
          <w:rFonts w:ascii="Arial" w:eastAsia="Calibri" w:hAnsi="Arial" w:cs="Arial"/>
          <w:color w:val="000000" w:themeColor="text1"/>
          <w:lang w:val="en-ZA"/>
        </w:rPr>
        <w:t xml:space="preserve"> by comparing individuals from all regions where they have been recorded (including western South Africa and northwest Africa)</w:t>
      </w:r>
      <w:r w:rsidRPr="00533EAC">
        <w:rPr>
          <w:rFonts w:ascii="Arial" w:eastAsia="Calibri" w:hAnsi="Arial" w:cs="Arial"/>
          <w:color w:val="000000" w:themeColor="text1"/>
          <w:lang w:val="en-ZA"/>
        </w:rPr>
        <w:t xml:space="preserve">. The </w:t>
      </w:r>
      <w:r w:rsidR="004D7887" w:rsidRPr="00533EAC">
        <w:rPr>
          <w:rFonts w:ascii="Arial" w:eastAsia="Calibri" w:hAnsi="Arial" w:cs="Arial"/>
          <w:color w:val="000000" w:themeColor="text1"/>
          <w:lang w:val="en-ZA"/>
        </w:rPr>
        <w:t xml:space="preserve">genetic markers developed here can </w:t>
      </w:r>
      <w:r w:rsidR="00DA22B5" w:rsidRPr="00533EAC">
        <w:rPr>
          <w:rFonts w:ascii="Arial" w:eastAsia="Calibri" w:hAnsi="Arial" w:cs="Arial"/>
          <w:color w:val="000000" w:themeColor="text1"/>
          <w:lang w:val="en-ZA"/>
        </w:rPr>
        <w:t xml:space="preserve">be </w:t>
      </w:r>
      <w:r w:rsidR="004D7887" w:rsidRPr="00533EAC">
        <w:rPr>
          <w:rFonts w:ascii="Arial" w:eastAsia="Calibri" w:hAnsi="Arial" w:cs="Arial"/>
          <w:color w:val="000000" w:themeColor="text1"/>
          <w:lang w:val="en-ZA"/>
        </w:rPr>
        <w:t xml:space="preserve">used </w:t>
      </w:r>
      <w:r w:rsidR="009723D3" w:rsidRPr="00533EAC">
        <w:rPr>
          <w:rFonts w:ascii="Arial" w:eastAsia="Calibri" w:hAnsi="Arial" w:cs="Arial"/>
          <w:color w:val="000000" w:themeColor="text1"/>
          <w:lang w:val="en-ZA"/>
        </w:rPr>
        <w:t xml:space="preserve">to conduct </w:t>
      </w:r>
      <w:r w:rsidR="004D7887" w:rsidRPr="00533EAC">
        <w:rPr>
          <w:rFonts w:ascii="Arial" w:eastAsia="Calibri" w:hAnsi="Arial" w:cs="Arial"/>
          <w:color w:val="000000" w:themeColor="text1"/>
          <w:lang w:val="en-ZA"/>
        </w:rPr>
        <w:t>population genetic studies</w:t>
      </w:r>
      <w:r w:rsidR="00523BAE" w:rsidRPr="00533EAC">
        <w:rPr>
          <w:rFonts w:ascii="Arial" w:eastAsia="Calibri" w:hAnsi="Arial" w:cs="Arial"/>
          <w:color w:val="000000" w:themeColor="text1"/>
          <w:lang w:val="en-ZA"/>
        </w:rPr>
        <w:t>,</w:t>
      </w:r>
      <w:r w:rsidR="004C739D" w:rsidRPr="00533EAC">
        <w:rPr>
          <w:rFonts w:ascii="Arial" w:eastAsia="Calibri" w:hAnsi="Arial" w:cs="Arial"/>
          <w:color w:val="000000" w:themeColor="text1"/>
          <w:lang w:val="en-ZA"/>
        </w:rPr>
        <w:t xml:space="preserve"> t</w:t>
      </w:r>
      <w:r w:rsidR="00592DD5" w:rsidRPr="00533EAC">
        <w:rPr>
          <w:rFonts w:ascii="Arial" w:eastAsia="Calibri" w:hAnsi="Arial" w:cs="Arial"/>
          <w:color w:val="000000" w:themeColor="text1"/>
          <w:lang w:val="en-ZA"/>
        </w:rPr>
        <w:t>o</w:t>
      </w:r>
      <w:r w:rsidR="004C739D" w:rsidRPr="00533EAC">
        <w:rPr>
          <w:rFonts w:ascii="Arial" w:eastAsia="Calibri" w:hAnsi="Arial" w:cs="Arial"/>
          <w:color w:val="000000" w:themeColor="text1"/>
          <w:lang w:val="en-ZA"/>
        </w:rPr>
        <w:t xml:space="preserve"> monitor range shifts </w:t>
      </w:r>
      <w:r w:rsidR="00592DD5" w:rsidRPr="00533EAC">
        <w:rPr>
          <w:rFonts w:ascii="Arial" w:eastAsia="Calibri" w:hAnsi="Arial" w:cs="Arial"/>
          <w:color w:val="000000" w:themeColor="text1"/>
          <w:lang w:val="en-ZA"/>
        </w:rPr>
        <w:t>under</w:t>
      </w:r>
      <w:r w:rsidR="004C739D" w:rsidRPr="00533EAC">
        <w:rPr>
          <w:rFonts w:ascii="Arial" w:eastAsia="Calibri" w:hAnsi="Arial" w:cs="Arial"/>
          <w:color w:val="000000" w:themeColor="text1"/>
          <w:lang w:val="en-ZA"/>
        </w:rPr>
        <w:t xml:space="preserve"> contemporary climate change, and </w:t>
      </w:r>
      <w:r w:rsidR="00523BAE" w:rsidRPr="00533EAC">
        <w:rPr>
          <w:rFonts w:ascii="Arial" w:eastAsia="Calibri" w:hAnsi="Arial" w:cs="Arial"/>
          <w:color w:val="000000" w:themeColor="text1"/>
          <w:lang w:val="en-ZA"/>
        </w:rPr>
        <w:t xml:space="preserve">to </w:t>
      </w:r>
      <w:r w:rsidR="004C739D" w:rsidRPr="00533EAC">
        <w:rPr>
          <w:rFonts w:ascii="Arial" w:eastAsia="Calibri" w:hAnsi="Arial" w:cs="Arial"/>
          <w:color w:val="000000" w:themeColor="text1"/>
          <w:lang w:val="en-ZA"/>
        </w:rPr>
        <w:t>help</w:t>
      </w:r>
      <w:r w:rsidR="000D5130" w:rsidRPr="00533EAC">
        <w:rPr>
          <w:rFonts w:ascii="Arial" w:eastAsia="Calibri" w:hAnsi="Arial" w:cs="Arial"/>
          <w:color w:val="000000" w:themeColor="text1"/>
          <w:lang w:val="en-ZA"/>
        </w:rPr>
        <w:t xml:space="preserve"> </w:t>
      </w:r>
      <w:r w:rsidR="004C739D" w:rsidRPr="00533EAC">
        <w:rPr>
          <w:rFonts w:ascii="Arial" w:eastAsia="Calibri" w:hAnsi="Arial" w:cs="Arial"/>
          <w:color w:val="000000" w:themeColor="text1"/>
          <w:lang w:val="en-ZA"/>
        </w:rPr>
        <w:t>preserv</w:t>
      </w:r>
      <w:r w:rsidR="00365263" w:rsidRPr="00533EAC">
        <w:rPr>
          <w:rFonts w:ascii="Arial" w:eastAsia="Calibri" w:hAnsi="Arial" w:cs="Arial"/>
          <w:color w:val="000000" w:themeColor="text1"/>
          <w:lang w:val="en-ZA"/>
        </w:rPr>
        <w:t>ing</w:t>
      </w:r>
      <w:r w:rsidR="004C739D" w:rsidRPr="00533EAC">
        <w:rPr>
          <w:rFonts w:ascii="Arial" w:eastAsia="Calibri" w:hAnsi="Arial" w:cs="Arial"/>
          <w:color w:val="000000" w:themeColor="text1"/>
          <w:lang w:val="en-ZA"/>
        </w:rPr>
        <w:t xml:space="preserve"> ecosystem functioning along African coastlines.</w:t>
      </w:r>
    </w:p>
    <w:p w14:paraId="749594A3" w14:textId="77777777" w:rsidR="005633D6" w:rsidRPr="00533EAC" w:rsidRDefault="005633D6" w:rsidP="00C05A32">
      <w:pPr>
        <w:spacing w:after="0" w:line="360" w:lineRule="auto"/>
        <w:jc w:val="both"/>
        <w:rPr>
          <w:rFonts w:ascii="Arial" w:eastAsia="Calibri" w:hAnsi="Arial" w:cs="Arial"/>
          <w:color w:val="000000" w:themeColor="text1"/>
          <w:lang w:val="en-ZA"/>
        </w:rPr>
      </w:pPr>
    </w:p>
    <w:p w14:paraId="29741AF1" w14:textId="77192D24" w:rsidR="005633D6" w:rsidRPr="00533EAC" w:rsidRDefault="005633D6" w:rsidP="00C05A32">
      <w:pPr>
        <w:spacing w:after="0" w:line="360" w:lineRule="auto"/>
        <w:jc w:val="both"/>
        <w:rPr>
          <w:rFonts w:ascii="Arial" w:eastAsia="Calibri" w:hAnsi="Arial" w:cs="Arial"/>
          <w:color w:val="000000" w:themeColor="text1"/>
          <w:lang w:val="en-ZA"/>
        </w:rPr>
      </w:pPr>
      <w:r w:rsidRPr="00533EAC">
        <w:rPr>
          <w:rFonts w:ascii="Arial" w:eastAsia="Calibri" w:hAnsi="Arial" w:cs="Arial"/>
          <w:b/>
          <w:color w:val="000000" w:themeColor="text1"/>
          <w:lang w:val="en-ZA"/>
        </w:rPr>
        <w:t>Keywords:</w:t>
      </w:r>
      <w:r w:rsidRPr="00533EAC">
        <w:rPr>
          <w:rFonts w:ascii="Arial" w:eastAsia="Calibri" w:hAnsi="Arial" w:cs="Arial"/>
          <w:color w:val="000000" w:themeColor="text1"/>
          <w:lang w:val="en-ZA"/>
        </w:rPr>
        <w:t xml:space="preserve"> ascidians</w:t>
      </w:r>
      <w:r w:rsidR="00C12A5A" w:rsidRPr="00533EAC">
        <w:rPr>
          <w:rFonts w:ascii="Arial" w:eastAsia="Calibri" w:hAnsi="Arial" w:cs="Arial"/>
          <w:color w:val="000000" w:themeColor="text1"/>
          <w:lang w:val="en-ZA"/>
        </w:rPr>
        <w:t>,</w:t>
      </w:r>
      <w:r w:rsidRPr="00533EAC">
        <w:rPr>
          <w:rFonts w:ascii="Arial" w:eastAsia="Calibri" w:hAnsi="Arial" w:cs="Arial"/>
          <w:color w:val="000000" w:themeColor="text1"/>
          <w:lang w:val="en-ZA"/>
        </w:rPr>
        <w:t xml:space="preserve"> Illumina sequencing</w:t>
      </w:r>
      <w:r w:rsidR="00C12A5A" w:rsidRPr="00533EAC">
        <w:rPr>
          <w:rFonts w:ascii="Arial" w:eastAsia="Calibri" w:hAnsi="Arial" w:cs="Arial"/>
          <w:color w:val="000000" w:themeColor="text1"/>
          <w:lang w:val="en-ZA"/>
        </w:rPr>
        <w:t>,</w:t>
      </w:r>
      <w:r w:rsidRPr="00533EAC">
        <w:rPr>
          <w:rFonts w:ascii="Arial" w:eastAsia="Calibri" w:hAnsi="Arial" w:cs="Arial"/>
          <w:color w:val="000000" w:themeColor="text1"/>
          <w:lang w:val="en-ZA"/>
        </w:rPr>
        <w:t xml:space="preserve"> RAD-</w:t>
      </w:r>
      <w:proofErr w:type="spellStart"/>
      <w:r w:rsidRPr="00533EAC">
        <w:rPr>
          <w:rFonts w:ascii="Arial" w:eastAsia="Calibri" w:hAnsi="Arial" w:cs="Arial"/>
          <w:color w:val="000000" w:themeColor="text1"/>
          <w:lang w:val="en-ZA"/>
        </w:rPr>
        <w:t>seq</w:t>
      </w:r>
      <w:proofErr w:type="spellEnd"/>
      <w:r w:rsidR="00C12A5A" w:rsidRPr="00533EAC">
        <w:rPr>
          <w:rFonts w:ascii="Arial" w:eastAsia="Calibri" w:hAnsi="Arial" w:cs="Arial"/>
          <w:color w:val="000000" w:themeColor="text1"/>
          <w:lang w:val="en-ZA"/>
        </w:rPr>
        <w:t xml:space="preserve">, </w:t>
      </w:r>
      <w:r w:rsidRPr="00533EAC">
        <w:rPr>
          <w:rFonts w:ascii="Arial" w:eastAsia="Calibri" w:hAnsi="Arial" w:cs="Arial"/>
          <w:color w:val="000000" w:themeColor="text1"/>
          <w:lang w:val="en-ZA"/>
        </w:rPr>
        <w:t>microsatellites</w:t>
      </w:r>
      <w:r w:rsidR="00C12A5A" w:rsidRPr="00533EAC">
        <w:rPr>
          <w:rFonts w:ascii="Arial" w:eastAsia="Calibri" w:hAnsi="Arial" w:cs="Arial"/>
          <w:color w:val="000000" w:themeColor="text1"/>
          <w:lang w:val="en-ZA"/>
        </w:rPr>
        <w:t>,</w:t>
      </w:r>
      <w:r w:rsidRPr="00533EAC">
        <w:rPr>
          <w:rFonts w:ascii="Arial" w:eastAsia="Calibri" w:hAnsi="Arial" w:cs="Arial"/>
          <w:color w:val="000000" w:themeColor="text1"/>
          <w:lang w:val="en-ZA"/>
        </w:rPr>
        <w:t xml:space="preserve"> mitogenome</w:t>
      </w:r>
      <w:r w:rsidR="00C12A5A" w:rsidRPr="00533EAC">
        <w:rPr>
          <w:rFonts w:ascii="Arial" w:eastAsia="Calibri" w:hAnsi="Arial" w:cs="Arial"/>
          <w:color w:val="000000" w:themeColor="text1"/>
          <w:lang w:val="en-ZA"/>
        </w:rPr>
        <w:t>, STRs</w:t>
      </w:r>
      <w:r w:rsidR="00365263" w:rsidRPr="00533EAC">
        <w:rPr>
          <w:rFonts w:ascii="Arial" w:eastAsia="Calibri" w:hAnsi="Arial" w:cs="Arial"/>
          <w:color w:val="000000" w:themeColor="text1"/>
          <w:lang w:val="en-ZA"/>
        </w:rPr>
        <w:t>.</w:t>
      </w:r>
    </w:p>
    <w:p w14:paraId="663A4E6A" w14:textId="77777777" w:rsidR="005633D6" w:rsidRPr="00533EAC" w:rsidRDefault="005633D6" w:rsidP="00C05A32">
      <w:pPr>
        <w:spacing w:after="0" w:line="360" w:lineRule="auto"/>
        <w:jc w:val="both"/>
        <w:rPr>
          <w:rFonts w:ascii="Arial" w:eastAsia="Calibri" w:hAnsi="Arial" w:cs="Arial"/>
          <w:color w:val="000000" w:themeColor="text1"/>
          <w:lang w:val="en-ZA"/>
        </w:rPr>
      </w:pPr>
    </w:p>
    <w:p w14:paraId="0AA30BB6" w14:textId="77777777" w:rsidR="00365263" w:rsidRPr="00533EAC" w:rsidRDefault="00365263">
      <w:pPr>
        <w:rPr>
          <w:rFonts w:ascii="Arial" w:eastAsia="Calibri" w:hAnsi="Arial" w:cs="Arial"/>
          <w:b/>
          <w:color w:val="000000" w:themeColor="text1"/>
          <w:lang w:val="en-ZA"/>
        </w:rPr>
      </w:pPr>
      <w:r w:rsidRPr="00533EAC">
        <w:rPr>
          <w:rFonts w:ascii="Arial" w:eastAsia="Calibri" w:hAnsi="Arial" w:cs="Arial"/>
          <w:b/>
          <w:color w:val="000000" w:themeColor="text1"/>
          <w:lang w:val="en-ZA"/>
        </w:rPr>
        <w:br w:type="page"/>
      </w:r>
    </w:p>
    <w:p w14:paraId="3C1737C0" w14:textId="5B4F41FA" w:rsidR="005633D6" w:rsidRPr="00533EAC" w:rsidRDefault="005633D6" w:rsidP="00C05A32">
      <w:pPr>
        <w:spacing w:after="0" w:line="360" w:lineRule="auto"/>
        <w:jc w:val="both"/>
        <w:rPr>
          <w:rFonts w:ascii="Arial" w:eastAsia="Calibri" w:hAnsi="Arial" w:cs="Arial"/>
          <w:b/>
          <w:color w:val="000000" w:themeColor="text1"/>
          <w:lang w:val="en-ZA"/>
        </w:rPr>
      </w:pPr>
      <w:r w:rsidRPr="00533EAC">
        <w:rPr>
          <w:rFonts w:ascii="Arial" w:eastAsia="Calibri" w:hAnsi="Arial" w:cs="Arial"/>
          <w:b/>
          <w:color w:val="000000" w:themeColor="text1"/>
          <w:lang w:val="en-ZA"/>
        </w:rPr>
        <w:lastRenderedPageBreak/>
        <w:t>Introduction</w:t>
      </w:r>
    </w:p>
    <w:p w14:paraId="0F0DE61D" w14:textId="77777777" w:rsidR="008815A6" w:rsidRPr="00533EAC" w:rsidRDefault="008815A6" w:rsidP="00C05A32">
      <w:pPr>
        <w:spacing w:after="0" w:line="360" w:lineRule="auto"/>
        <w:jc w:val="both"/>
        <w:rPr>
          <w:rFonts w:ascii="Arial" w:eastAsia="Calibri" w:hAnsi="Arial" w:cs="Arial"/>
          <w:color w:val="000000" w:themeColor="text1"/>
          <w:lang w:val="en-ZA"/>
        </w:rPr>
      </w:pPr>
    </w:p>
    <w:p w14:paraId="61C2A18E" w14:textId="316BE573" w:rsidR="005633D6" w:rsidRPr="00533EAC" w:rsidRDefault="005633D6" w:rsidP="00C05A32">
      <w:pPr>
        <w:spacing w:after="0" w:line="360" w:lineRule="auto"/>
        <w:jc w:val="both"/>
        <w:rPr>
          <w:rFonts w:ascii="Arial" w:eastAsia="Calibri" w:hAnsi="Arial" w:cs="Arial"/>
          <w:color w:val="000000" w:themeColor="text1"/>
          <w:lang w:val="en-ZA"/>
        </w:rPr>
      </w:pPr>
      <w:r w:rsidRPr="00533EAC">
        <w:rPr>
          <w:rFonts w:ascii="Arial" w:eastAsia="Calibri" w:hAnsi="Arial" w:cs="Arial"/>
          <w:color w:val="000000" w:themeColor="text1"/>
          <w:lang w:val="en-ZA"/>
        </w:rPr>
        <w:t>It</w:t>
      </w:r>
      <w:r w:rsidR="005F6CAB" w:rsidRPr="00533EAC">
        <w:rPr>
          <w:rFonts w:ascii="Arial" w:eastAsia="Calibri" w:hAnsi="Arial" w:cs="Arial"/>
          <w:color w:val="000000" w:themeColor="text1"/>
          <w:lang w:val="en-ZA"/>
        </w:rPr>
        <w:t xml:space="preserve"> is widely accepted that</w:t>
      </w:r>
      <w:r w:rsidRPr="00533EAC">
        <w:rPr>
          <w:rFonts w:ascii="Arial" w:eastAsia="Calibri" w:hAnsi="Arial" w:cs="Arial"/>
          <w:color w:val="000000" w:themeColor="text1"/>
          <w:lang w:val="en-ZA"/>
        </w:rPr>
        <w:t xml:space="preserve"> the development of new </w:t>
      </w:r>
      <w:r w:rsidR="0019763E" w:rsidRPr="00533EAC">
        <w:rPr>
          <w:rFonts w:ascii="Arial" w:eastAsia="Calibri" w:hAnsi="Arial" w:cs="Arial"/>
          <w:color w:val="000000" w:themeColor="text1"/>
          <w:lang w:val="en-ZA"/>
        </w:rPr>
        <w:t>molecular tools</w:t>
      </w:r>
      <w:r w:rsidRPr="00533EAC">
        <w:rPr>
          <w:rFonts w:ascii="Arial" w:eastAsia="Calibri" w:hAnsi="Arial" w:cs="Arial"/>
          <w:color w:val="000000" w:themeColor="text1"/>
          <w:lang w:val="en-ZA"/>
        </w:rPr>
        <w:t xml:space="preserve"> to investigate population genetics and phylogenetics can </w:t>
      </w:r>
      <w:r w:rsidR="00F64A62" w:rsidRPr="00533EAC">
        <w:rPr>
          <w:rFonts w:ascii="Arial" w:eastAsia="Calibri" w:hAnsi="Arial" w:cs="Arial"/>
          <w:color w:val="000000" w:themeColor="text1"/>
          <w:lang w:val="en-ZA"/>
        </w:rPr>
        <w:t xml:space="preserve">support </w:t>
      </w:r>
      <w:r w:rsidRPr="00533EAC">
        <w:rPr>
          <w:rFonts w:ascii="Arial" w:eastAsia="Calibri" w:hAnsi="Arial" w:cs="Arial"/>
          <w:color w:val="000000" w:themeColor="text1"/>
          <w:lang w:val="en-ZA"/>
        </w:rPr>
        <w:t xml:space="preserve">biodiversity </w:t>
      </w:r>
      <w:r w:rsidR="007F47C4" w:rsidRPr="00533EAC">
        <w:rPr>
          <w:rFonts w:ascii="Arial" w:eastAsia="Calibri" w:hAnsi="Arial" w:cs="Arial"/>
          <w:color w:val="000000" w:themeColor="text1"/>
          <w:lang w:val="en-ZA"/>
        </w:rPr>
        <w:t xml:space="preserve">conservation actions </w:t>
      </w:r>
      <w:r w:rsidRPr="00533EAC">
        <w:rPr>
          <w:rFonts w:ascii="Arial" w:eastAsia="Calibri" w:hAnsi="Arial" w:cs="Arial"/>
          <w:color w:val="000000" w:themeColor="text1"/>
          <w:lang w:val="en-ZA"/>
        </w:rPr>
        <w:fldChar w:fldCharType="begin" w:fldLock="1"/>
      </w:r>
      <w:r w:rsidR="0097798B" w:rsidRPr="00533EAC">
        <w:rPr>
          <w:rFonts w:ascii="Arial" w:eastAsia="Calibri" w:hAnsi="Arial" w:cs="Arial"/>
          <w:color w:val="000000" w:themeColor="text1"/>
          <w:lang w:val="en-ZA"/>
        </w:rPr>
        <w:instrText>ADDIN CSL_CITATION {"citationItems":[{"id":"ITEM-1","itemData":{"DOI":"10.3389/fmars.2017.00107","ISSN":"22967745","abstract":"Many ocean policies mandate integrated, ecosystem-based approaches to marine monitoring, driving a global need for efficient, low-cost bioindicators of marine ecological quality. Most traditional methods to assess biological quality rely on specialized expertise to provide visual identification of a limited set of specific taxonomic groups, a time-consuming process that can provide a narrow view of ecological status. In addition, microbial assemblages drive food webs but are not amenable to visual inspection and thus are largely excluded from detailed inventory. Molecular-based assessments of biodiversity and ecosystem function offer advantages over traditional methods and are increasingly being generated for a suite of taxa using a \"microbes to mammals\" or \"barcodes to biomes\" approach. Progress in these efforts coupled with continued improvements in high-throughput sequencing and bioinformatics pave the way for sequence data to be employed in formal integrated ecosystem evaluation, including food web assessments, as called for in the European Union Marine Strategy Framework Directive. DNA sequencing of bioindicators, both traditional (e.g., benthic macroinvertebrates, ichthyoplankton) and emerging (e.g., microbial assemblages, fish via eDNA), promises to improve assessment of marine biological quality by increasing the breadth, depth, and throughput of information and by reducing costs and reliance on specialized taxonomic expertise.","author":[{"dropping-particle":"","family":"Goodwin","given":"Kelly D","non-dropping-particle":"","parse-names":false,"suffix":""},{"dropping-particle":"","family":"Thompson","given":"Luke R","non-dropping-particle":"","parse-names":false,"suffix":""},{"dropping-particle":"","family":"Duarte","given":"Bernardo","non-dropping-particle":"","parse-names":false,"suffix":""},{"dropping-particle":"","family":"Kahlke","given":"Tim","non-dropping-particle":"","parse-names":false,"suffix":""},{"dropping-particle":"","family":"Thompson","given":"Andrew R","non-dropping-particle":"","parse-names":false,"suffix":""},{"dropping-particle":"","family":"Marques","given":"João C","non-dropping-particle":"","parse-names":false,"suffix":""},{"dropping-particle":"","family":"Caçador","given":"Isabel","non-dropping-particle":"","parse-names":false,"suffix":""}],"container-title":"Frontiers in Marine Science","id":"ITEM-1","issue":"MAY","issued":{"date-parts":[["2017"]]},"page":"107","title":"DNA sequencing as a tool to monitor marine ecological status","type":"article","volume":"4"},"uris":["http://www.mendeley.com/documents/?uuid=819e5e8f-f5dc-3bac-b562-16edd328c046"]}],"mendeley":{"formattedCitation":"(Goodwin et al. 2017)","plainTextFormattedCitation":"(Goodwin et al. 2017)","previouslyFormattedCitation":"(Goodwin et al. 2017)"},"properties":{"noteIndex":0},"schema":"https://github.com/citation-style-language/schema/raw/master/csl-citation.json"}</w:instrText>
      </w:r>
      <w:r w:rsidRPr="00533EAC">
        <w:rPr>
          <w:rFonts w:ascii="Arial" w:eastAsia="Calibri" w:hAnsi="Arial" w:cs="Arial"/>
          <w:color w:val="000000" w:themeColor="text1"/>
          <w:lang w:val="en-ZA"/>
        </w:rPr>
        <w:fldChar w:fldCharType="separate"/>
      </w:r>
      <w:r w:rsidR="003A4A3A" w:rsidRPr="00533EAC">
        <w:rPr>
          <w:rFonts w:ascii="Arial" w:eastAsia="Calibri" w:hAnsi="Arial" w:cs="Arial"/>
          <w:noProof/>
          <w:color w:val="000000" w:themeColor="text1"/>
          <w:lang w:val="en-ZA"/>
        </w:rPr>
        <w:t>(Goodwin et al. 2017)</w:t>
      </w:r>
      <w:r w:rsidRPr="00533EAC">
        <w:rPr>
          <w:rFonts w:ascii="Arial" w:eastAsia="Calibri" w:hAnsi="Arial" w:cs="Arial"/>
          <w:color w:val="000000" w:themeColor="text1"/>
          <w:lang w:val="en-ZA"/>
        </w:rPr>
        <w:fldChar w:fldCharType="end"/>
      </w:r>
      <w:r w:rsidRPr="00533EAC">
        <w:rPr>
          <w:rFonts w:ascii="Arial" w:eastAsia="Calibri" w:hAnsi="Arial" w:cs="Arial"/>
          <w:color w:val="000000" w:themeColor="text1"/>
          <w:lang w:val="en-ZA"/>
        </w:rPr>
        <w:t xml:space="preserve">. </w:t>
      </w:r>
      <w:r w:rsidR="004C739D" w:rsidRPr="00533EAC">
        <w:rPr>
          <w:rFonts w:ascii="Arial" w:eastAsia="Calibri" w:hAnsi="Arial" w:cs="Arial"/>
          <w:color w:val="000000" w:themeColor="text1"/>
          <w:lang w:val="en-ZA"/>
        </w:rPr>
        <w:t xml:space="preserve">This is particularly true in cases where </w:t>
      </w:r>
      <w:r w:rsidR="009B688B" w:rsidRPr="00533EAC">
        <w:rPr>
          <w:rFonts w:ascii="Arial" w:eastAsia="Calibri" w:hAnsi="Arial" w:cs="Arial"/>
          <w:color w:val="000000" w:themeColor="text1"/>
          <w:lang w:val="en-ZA"/>
        </w:rPr>
        <w:t>non-molecular</w:t>
      </w:r>
      <w:r w:rsidR="004C739D" w:rsidRPr="00533EAC">
        <w:rPr>
          <w:rFonts w:ascii="Arial" w:eastAsia="Calibri" w:hAnsi="Arial" w:cs="Arial"/>
          <w:color w:val="000000" w:themeColor="text1"/>
          <w:lang w:val="en-ZA"/>
        </w:rPr>
        <w:t xml:space="preserve"> methods </w:t>
      </w:r>
      <w:r w:rsidR="007F47C4" w:rsidRPr="00533EAC">
        <w:rPr>
          <w:rFonts w:ascii="Arial" w:eastAsia="Calibri" w:hAnsi="Arial" w:cs="Arial"/>
          <w:color w:val="000000" w:themeColor="text1"/>
          <w:lang w:val="en-ZA"/>
        </w:rPr>
        <w:t xml:space="preserve">alone </w:t>
      </w:r>
      <w:r w:rsidR="004C739D" w:rsidRPr="00533EAC">
        <w:rPr>
          <w:rFonts w:ascii="Arial" w:eastAsia="Calibri" w:hAnsi="Arial" w:cs="Arial"/>
          <w:color w:val="000000" w:themeColor="text1"/>
          <w:lang w:val="en-ZA"/>
        </w:rPr>
        <w:t xml:space="preserve">are insufficient to readily distinguish between closely related </w:t>
      </w:r>
      <w:r w:rsidR="00F42826" w:rsidRPr="00533EAC">
        <w:rPr>
          <w:rFonts w:ascii="Arial" w:eastAsia="Calibri" w:hAnsi="Arial" w:cs="Arial"/>
          <w:color w:val="000000" w:themeColor="text1"/>
          <w:lang w:val="en-ZA"/>
        </w:rPr>
        <w:t xml:space="preserve">species </w:t>
      </w:r>
      <w:r w:rsidR="004C739D" w:rsidRPr="00533EAC">
        <w:rPr>
          <w:rFonts w:ascii="Arial" w:eastAsia="Calibri" w:hAnsi="Arial" w:cs="Arial"/>
          <w:color w:val="000000" w:themeColor="text1"/>
          <w:lang w:val="en-ZA"/>
        </w:rPr>
        <w:t>and</w:t>
      </w:r>
      <w:r w:rsidR="00F42826" w:rsidRPr="00533EAC">
        <w:rPr>
          <w:rFonts w:ascii="Arial" w:eastAsia="Calibri" w:hAnsi="Arial" w:cs="Arial"/>
          <w:color w:val="000000" w:themeColor="text1"/>
          <w:lang w:val="en-ZA"/>
        </w:rPr>
        <w:t>/or</w:t>
      </w:r>
      <w:r w:rsidR="004C739D" w:rsidRPr="00533EAC">
        <w:rPr>
          <w:rFonts w:ascii="Arial" w:eastAsia="Calibri" w:hAnsi="Arial" w:cs="Arial"/>
          <w:color w:val="000000" w:themeColor="text1"/>
          <w:lang w:val="en-ZA"/>
        </w:rPr>
        <w:t xml:space="preserve"> morphologically conserved species, or </w:t>
      </w:r>
      <w:r w:rsidR="00F42826" w:rsidRPr="00533EAC">
        <w:rPr>
          <w:rFonts w:ascii="Arial" w:eastAsia="Calibri" w:hAnsi="Arial" w:cs="Arial"/>
          <w:color w:val="000000" w:themeColor="text1"/>
          <w:lang w:val="en-ZA"/>
        </w:rPr>
        <w:t>to detect</w:t>
      </w:r>
      <w:r w:rsidR="004C739D" w:rsidRPr="00533EAC">
        <w:rPr>
          <w:rFonts w:ascii="Arial" w:eastAsia="Calibri" w:hAnsi="Arial" w:cs="Arial"/>
          <w:color w:val="000000" w:themeColor="text1"/>
          <w:lang w:val="en-ZA"/>
        </w:rPr>
        <w:t xml:space="preserve"> range shifts </w:t>
      </w:r>
      <w:r w:rsidR="00F42826" w:rsidRPr="00533EAC">
        <w:rPr>
          <w:rFonts w:ascii="Arial" w:eastAsia="Calibri" w:hAnsi="Arial" w:cs="Arial"/>
          <w:color w:val="000000" w:themeColor="text1"/>
          <w:lang w:val="en-ZA"/>
        </w:rPr>
        <w:t>and</w:t>
      </w:r>
      <w:r w:rsidR="004C739D" w:rsidRPr="00533EAC">
        <w:rPr>
          <w:rFonts w:ascii="Arial" w:eastAsia="Calibri" w:hAnsi="Arial" w:cs="Arial"/>
          <w:color w:val="000000" w:themeColor="text1"/>
          <w:lang w:val="en-ZA"/>
        </w:rPr>
        <w:t xml:space="preserve"> hybridisation</w:t>
      </w:r>
      <w:r w:rsidR="00181FAC" w:rsidRPr="00533EAC">
        <w:rPr>
          <w:rFonts w:ascii="Arial" w:eastAsia="Calibri" w:hAnsi="Arial" w:cs="Arial"/>
          <w:color w:val="000000" w:themeColor="text1"/>
          <w:lang w:val="en-ZA"/>
        </w:rPr>
        <w:t xml:space="preserve"> rates</w:t>
      </w:r>
      <w:r w:rsidR="00B358AA" w:rsidRPr="00533EAC">
        <w:rPr>
          <w:rFonts w:ascii="Arial" w:eastAsia="Calibri" w:hAnsi="Arial" w:cs="Arial"/>
          <w:color w:val="000000" w:themeColor="text1"/>
          <w:lang w:val="en-ZA"/>
        </w:rPr>
        <w:t xml:space="preserve"> </w:t>
      </w:r>
      <w:r w:rsidR="00B358AA" w:rsidRPr="00533EAC">
        <w:rPr>
          <w:rFonts w:ascii="Arial" w:eastAsia="Calibri" w:hAnsi="Arial" w:cs="Arial"/>
          <w:color w:val="000000" w:themeColor="text1"/>
          <w:lang w:val="en-ZA"/>
        </w:rPr>
        <w:fldChar w:fldCharType="begin" w:fldLock="1"/>
      </w:r>
      <w:r w:rsidR="00774474" w:rsidRPr="00533EAC">
        <w:rPr>
          <w:rFonts w:ascii="Arial" w:eastAsia="Calibri" w:hAnsi="Arial" w:cs="Arial"/>
          <w:color w:val="000000" w:themeColor="text1"/>
          <w:lang w:val="en-ZA"/>
        </w:rPr>
        <w:instrText>ADDIN CSL_CITATION {"citationItems":[{"id":"ITEM-1","itemData":{"DOI":"10.1111/j.1755-0998.2009.02534.x","ISBN":"1755-098X","ISSN":"1755098X","PMID":"21564741","abstract":"We describe polymerase chain reaction primers that amplify the low-copy nuclear adenine nucleotide transporter gene in decapod crustaceans. These were tested on 35 species from 14 decapod families, and a single polymerase chain reaction product amplified in 32 species. Of 49 sequences generated, only two did not contain an intron, and the longest intron identified was more than 834 nucleotides in length. The amplified fragment is likely to be useful at various taxonomic levels. While the intron is suitable for phylogeographical/population genetic studies and to identify cryptic speciation, the second exon region is sufficiently long to provide signal at both the phylogeographical and phylogenetic levels.","author":[{"dropping-particle":"","family":"Teske","given":"Peter R.","non-dropping-particle":"","parse-names":false,"suffix":""},{"dropping-particle":"","family":"Beheregaray","given":"Luciano B.","non-dropping-particle":"","parse-names":false,"suffix":""}],"container-title":"Molecular Ecology Resources","id":"ITEM-1","issue":"3","issued":{"date-parts":[["2009"]]},"page":"774-776","title":"Intron-spanning primers for the amplification of the nuclear ANT gene in decapod crustaceans","type":"article-journal","volume":"9"},"uris":["http://www.mendeley.com/documents/?uuid=7a79bbfc-b7d8-34ed-98e1-dbefd6235f31"]}],"mendeley":{"formattedCitation":"(Teske and Beheregaray 2009)","plainTextFormattedCitation":"(Teske and Beheregaray 2009)","previouslyFormattedCitation":"(Teske and Beheregaray 2009)"},"properties":{"noteIndex":0},"schema":"https://github.com/citation-style-language/schema/raw/master/csl-citation.json"}</w:instrText>
      </w:r>
      <w:r w:rsidR="00B358AA" w:rsidRPr="00533EAC">
        <w:rPr>
          <w:rFonts w:ascii="Arial" w:eastAsia="Calibri" w:hAnsi="Arial" w:cs="Arial"/>
          <w:color w:val="000000" w:themeColor="text1"/>
          <w:lang w:val="en-ZA"/>
        </w:rPr>
        <w:fldChar w:fldCharType="separate"/>
      </w:r>
      <w:r w:rsidR="00B358AA" w:rsidRPr="00533EAC">
        <w:rPr>
          <w:rFonts w:ascii="Arial" w:eastAsia="Calibri" w:hAnsi="Arial" w:cs="Arial"/>
          <w:noProof/>
          <w:color w:val="000000" w:themeColor="text1"/>
          <w:lang w:val="en-ZA"/>
        </w:rPr>
        <w:t>(Teske and Beheregaray 2009)</w:t>
      </w:r>
      <w:r w:rsidR="00B358AA" w:rsidRPr="00533EAC">
        <w:rPr>
          <w:rFonts w:ascii="Arial" w:eastAsia="Calibri" w:hAnsi="Arial" w:cs="Arial"/>
          <w:color w:val="000000" w:themeColor="text1"/>
          <w:lang w:val="en-ZA"/>
        </w:rPr>
        <w:fldChar w:fldCharType="end"/>
      </w:r>
      <w:r w:rsidR="004C739D" w:rsidRPr="00533EAC">
        <w:rPr>
          <w:rFonts w:ascii="Arial" w:eastAsia="Calibri" w:hAnsi="Arial" w:cs="Arial"/>
          <w:color w:val="000000" w:themeColor="text1"/>
          <w:lang w:val="en-ZA"/>
        </w:rPr>
        <w:t>.</w:t>
      </w:r>
      <w:commentRangeStart w:id="1"/>
      <w:commentRangeEnd w:id="1"/>
    </w:p>
    <w:p w14:paraId="1D74CC3E" w14:textId="77777777" w:rsidR="00827176" w:rsidRPr="00533EAC" w:rsidRDefault="00827176" w:rsidP="00C05A32">
      <w:pPr>
        <w:spacing w:after="0" w:line="360" w:lineRule="auto"/>
        <w:jc w:val="both"/>
        <w:rPr>
          <w:rFonts w:ascii="Arial" w:eastAsia="Calibri" w:hAnsi="Arial" w:cs="Arial"/>
          <w:color w:val="000000" w:themeColor="text1"/>
          <w:lang w:val="en-ZA"/>
        </w:rPr>
      </w:pPr>
    </w:p>
    <w:p w14:paraId="02BCB881" w14:textId="1B526D99" w:rsidR="005633D6" w:rsidRPr="00533EAC" w:rsidRDefault="007F47C4" w:rsidP="00C05A32">
      <w:pPr>
        <w:spacing w:after="0" w:line="360" w:lineRule="auto"/>
        <w:jc w:val="both"/>
        <w:rPr>
          <w:rFonts w:ascii="Arial" w:eastAsia="Calibri" w:hAnsi="Arial" w:cs="Arial"/>
          <w:color w:val="000000" w:themeColor="text1"/>
          <w:lang w:val="en-ZA"/>
        </w:rPr>
      </w:pPr>
      <w:r w:rsidRPr="00533EAC">
        <w:rPr>
          <w:rFonts w:ascii="Arial" w:eastAsia="Calibri" w:hAnsi="Arial" w:cs="Arial"/>
          <w:color w:val="000000" w:themeColor="text1"/>
          <w:lang w:val="en-ZA"/>
        </w:rPr>
        <w:t>A widely used genetic marker for biodiversity conservation is the so-called m</w:t>
      </w:r>
      <w:r w:rsidR="005633D6" w:rsidRPr="00533EAC">
        <w:rPr>
          <w:rFonts w:ascii="Arial" w:eastAsia="Calibri" w:hAnsi="Arial" w:cs="Arial"/>
          <w:color w:val="000000" w:themeColor="text1"/>
          <w:lang w:val="en-ZA"/>
        </w:rPr>
        <w:t>icrosatellites</w:t>
      </w:r>
      <w:r w:rsidRPr="00533EAC">
        <w:rPr>
          <w:rFonts w:ascii="Arial" w:eastAsia="Calibri" w:hAnsi="Arial" w:cs="Arial"/>
          <w:color w:val="000000" w:themeColor="text1"/>
          <w:lang w:val="en-ZA"/>
        </w:rPr>
        <w:t xml:space="preserve"> or</w:t>
      </w:r>
      <w:r w:rsidR="005633D6" w:rsidRPr="00533EAC">
        <w:rPr>
          <w:rFonts w:ascii="Arial" w:eastAsia="Calibri" w:hAnsi="Arial" w:cs="Arial"/>
          <w:color w:val="000000" w:themeColor="text1"/>
          <w:lang w:val="en-ZA"/>
        </w:rPr>
        <w:t xml:space="preserve"> </w:t>
      </w:r>
      <w:r w:rsidR="00827176" w:rsidRPr="00533EAC">
        <w:rPr>
          <w:rFonts w:ascii="Arial" w:eastAsia="Calibri" w:hAnsi="Arial" w:cs="Arial"/>
          <w:color w:val="000000" w:themeColor="text1"/>
          <w:lang w:val="en-ZA"/>
        </w:rPr>
        <w:t>short tandem repeats</w:t>
      </w:r>
      <w:r w:rsidRPr="00533EAC">
        <w:rPr>
          <w:rFonts w:ascii="Arial" w:eastAsia="Calibri" w:hAnsi="Arial" w:cs="Arial"/>
          <w:color w:val="000000" w:themeColor="text1"/>
          <w:lang w:val="en-ZA"/>
        </w:rPr>
        <w:t xml:space="preserve"> </w:t>
      </w:r>
      <w:r w:rsidR="002051CB" w:rsidRPr="00533EAC">
        <w:rPr>
          <w:rFonts w:ascii="Arial" w:eastAsia="Calibri" w:hAnsi="Arial" w:cs="Arial"/>
          <w:color w:val="000000" w:themeColor="text1"/>
          <w:lang w:val="en-ZA"/>
        </w:rPr>
        <w:t>(</w:t>
      </w:r>
      <w:r w:rsidRPr="00533EAC">
        <w:rPr>
          <w:rFonts w:ascii="Arial" w:eastAsia="Calibri" w:hAnsi="Arial" w:cs="Arial"/>
          <w:color w:val="000000" w:themeColor="text1"/>
          <w:lang w:val="en-ZA"/>
        </w:rPr>
        <w:t>STRs</w:t>
      </w:r>
      <w:r w:rsidR="005633D6" w:rsidRPr="00533EAC">
        <w:rPr>
          <w:rFonts w:ascii="Arial" w:eastAsia="Calibri" w:hAnsi="Arial" w:cs="Arial"/>
          <w:color w:val="000000" w:themeColor="text1"/>
          <w:lang w:val="en-ZA"/>
        </w:rPr>
        <w:t xml:space="preserve">), </w:t>
      </w:r>
      <w:r w:rsidR="002051CB" w:rsidRPr="00533EAC">
        <w:rPr>
          <w:rFonts w:ascii="Arial" w:eastAsia="Calibri" w:hAnsi="Arial" w:cs="Arial"/>
          <w:color w:val="000000" w:themeColor="text1"/>
          <w:lang w:val="en-ZA"/>
        </w:rPr>
        <w:t xml:space="preserve">which </w:t>
      </w:r>
      <w:r w:rsidR="005633D6" w:rsidRPr="00533EAC">
        <w:rPr>
          <w:rFonts w:ascii="Arial" w:eastAsia="Calibri" w:hAnsi="Arial" w:cs="Arial"/>
          <w:color w:val="000000" w:themeColor="text1"/>
          <w:lang w:val="en-ZA"/>
        </w:rPr>
        <w:t xml:space="preserve">are </w:t>
      </w:r>
      <w:proofErr w:type="spellStart"/>
      <w:r w:rsidR="0019763E" w:rsidRPr="00533EAC">
        <w:rPr>
          <w:rFonts w:ascii="Arial" w:eastAsia="Calibri" w:hAnsi="Arial" w:cs="Arial"/>
          <w:color w:val="000000" w:themeColor="text1"/>
          <w:lang w:val="en-ZA"/>
        </w:rPr>
        <w:t>codominant</w:t>
      </w:r>
      <w:r w:rsidR="00CA17EB" w:rsidRPr="00533EAC">
        <w:rPr>
          <w:rFonts w:ascii="Arial" w:eastAsia="Calibri" w:hAnsi="Arial" w:cs="Arial"/>
          <w:color w:val="000000" w:themeColor="text1"/>
          <w:lang w:val="en-ZA"/>
        </w:rPr>
        <w:t>ly</w:t>
      </w:r>
      <w:proofErr w:type="spellEnd"/>
      <w:r w:rsidR="0019763E" w:rsidRPr="00533EAC">
        <w:rPr>
          <w:rFonts w:ascii="Arial" w:eastAsia="Calibri" w:hAnsi="Arial" w:cs="Arial"/>
          <w:color w:val="000000" w:themeColor="text1"/>
          <w:lang w:val="en-ZA"/>
        </w:rPr>
        <w:t xml:space="preserve"> inherited </w:t>
      </w:r>
      <w:r w:rsidR="005633D6" w:rsidRPr="00533EAC">
        <w:rPr>
          <w:rFonts w:ascii="Arial" w:eastAsia="Calibri" w:hAnsi="Arial" w:cs="Arial"/>
          <w:color w:val="000000" w:themeColor="text1"/>
          <w:lang w:val="en-ZA"/>
        </w:rPr>
        <w:t>markers that are</w:t>
      </w:r>
      <w:r w:rsidR="0019763E" w:rsidRPr="00533EAC">
        <w:rPr>
          <w:rFonts w:ascii="Arial" w:eastAsia="Calibri" w:hAnsi="Arial" w:cs="Arial"/>
          <w:color w:val="000000" w:themeColor="text1"/>
          <w:lang w:val="en-ZA"/>
        </w:rPr>
        <w:t xml:space="preserve"> highly polymorphic</w:t>
      </w:r>
      <w:r w:rsidR="005633D6" w:rsidRPr="00533EAC">
        <w:rPr>
          <w:rFonts w:ascii="Arial" w:eastAsia="Calibri" w:hAnsi="Arial" w:cs="Arial"/>
          <w:color w:val="000000" w:themeColor="text1"/>
          <w:lang w:val="en-ZA"/>
        </w:rPr>
        <w:t xml:space="preserve"> </w:t>
      </w:r>
      <w:r w:rsidR="005633D6" w:rsidRPr="00533EAC">
        <w:rPr>
          <w:rFonts w:ascii="Arial" w:eastAsia="Calibri" w:hAnsi="Arial" w:cs="Arial"/>
          <w:color w:val="000000" w:themeColor="text1"/>
          <w:lang w:val="en-ZA"/>
        </w:rPr>
        <w:fldChar w:fldCharType="begin" w:fldLock="1"/>
      </w:r>
      <w:r w:rsidR="0097798B" w:rsidRPr="00533EAC">
        <w:rPr>
          <w:rFonts w:ascii="Arial" w:eastAsia="Calibri" w:hAnsi="Arial" w:cs="Arial"/>
          <w:color w:val="000000" w:themeColor="text1"/>
          <w:lang w:val="en-ZA"/>
        </w:rPr>
        <w:instrText>ADDIN CSL_CITATION {"citationItems":[{"id":"ITEM-1","itemData":{"DOI":"10.1093/hmg/2.8.1123","ISSN":"09646906","abstract":"A total of 20,000 parent-offspring transfers of alleles were examined through the genotyping within 40 CEPH reference families of 28 short tandem repeat polymorphisms (STRPs) located on chromosome 19. Forty-seven initial mutation events were detected in the STRPs using DNA from transformed lymphoblastoid cell lines, but less than half (39%) could be verified using DNA from untransformed cells. None of the cases where three alleles were observed In a single Individual could be verified using DNA from untransformed cells. The average mutation rate for the chromosome 19 STRPs after correction for events which would not be detectable as Mendelian errors was 1.2 × 10-3 per locus per gamete per generation. This rate may have been Inflated by somatic as opposed to germline events. Observed mutation rates for individual STRPs ranged from 0 to 8 × 10-3. The average mutation rate for tetranucleotide STRPs was nearly four times higher than the average rate for dinucleotide STRPs. For determination of the mode of mutation, events Involving STRPs on other chromosomes were also examined. Of the events which were verified using DNA from untransformed lymphocytes or which were likely among those for which DNA from untransformed cells was not available: none were located at the sites of melotic recombination, 91% Involved the gain or loss of a single repeat unit, and 15 occurred In the male germline compared to 4 in the female germline (p = 0.01). © 1993 Oxford University Press.","author":[{"dropping-particle":"","family":"Weber","given":"James L","non-dropping-particle":"","parse-names":false,"suffix":""},{"dropping-particle":"","family":"Wong","given":"Carmen","non-dropping-particle":"","parse-names":false,"suffix":""}],"container-title":"Human Molecular Genetics","id":"ITEM-1","issue":"8","issued":{"date-parts":[["1993"]]},"page":"1123-1128","title":"Mutation of human short tandem repeats","type":"article-journal","volume":"2"},"uris":["http://www.mendeley.com/documents/?uuid=63b2545b-2f9d-3253-a01e-08fa002f55be"]}],"mendeley":{"formattedCitation":"(Weber and Wong 1993)","plainTextFormattedCitation":"(Weber and Wong 1993)","previouslyFormattedCitation":"(Weber and Wong 1993)"},"properties":{"noteIndex":0},"schema":"https://github.com/citation-style-language/schema/raw/master/csl-citation.json"}</w:instrText>
      </w:r>
      <w:r w:rsidR="005633D6" w:rsidRPr="00533EAC">
        <w:rPr>
          <w:rFonts w:ascii="Arial" w:eastAsia="Calibri" w:hAnsi="Arial" w:cs="Arial"/>
          <w:color w:val="000000" w:themeColor="text1"/>
          <w:lang w:val="en-ZA"/>
        </w:rPr>
        <w:fldChar w:fldCharType="separate"/>
      </w:r>
      <w:r w:rsidR="003A4A3A" w:rsidRPr="00533EAC">
        <w:rPr>
          <w:rFonts w:ascii="Arial" w:eastAsia="Calibri" w:hAnsi="Arial" w:cs="Arial"/>
          <w:noProof/>
          <w:color w:val="000000" w:themeColor="text1"/>
          <w:lang w:val="en-ZA"/>
        </w:rPr>
        <w:t>(Weber and Wong 1993)</w:t>
      </w:r>
      <w:r w:rsidR="005633D6" w:rsidRPr="00533EAC">
        <w:rPr>
          <w:rFonts w:ascii="Arial" w:eastAsia="Calibri" w:hAnsi="Arial" w:cs="Arial"/>
          <w:color w:val="000000" w:themeColor="text1"/>
          <w:lang w:val="en-ZA"/>
        </w:rPr>
        <w:fldChar w:fldCharType="end"/>
      </w:r>
      <w:r w:rsidR="005633D6" w:rsidRPr="00533EAC">
        <w:rPr>
          <w:rFonts w:ascii="Arial" w:eastAsia="Calibri" w:hAnsi="Arial" w:cs="Arial"/>
          <w:color w:val="000000" w:themeColor="text1"/>
          <w:lang w:val="en-ZA"/>
        </w:rPr>
        <w:t xml:space="preserve">. They provide a tool to investigate small-scale resolution of demographic events and fine-scale population structure at a recent time-scale </w:t>
      </w:r>
      <w:r w:rsidR="005633D6" w:rsidRPr="00533EAC">
        <w:rPr>
          <w:rFonts w:ascii="Arial" w:eastAsia="Calibri" w:hAnsi="Arial" w:cs="Arial"/>
          <w:color w:val="000000" w:themeColor="text1"/>
          <w:lang w:val="en-ZA"/>
        </w:rPr>
        <w:fldChar w:fldCharType="begin" w:fldLock="1"/>
      </w:r>
      <w:r w:rsidR="0097798B" w:rsidRPr="00533EAC">
        <w:rPr>
          <w:rFonts w:ascii="Arial" w:eastAsia="Calibri" w:hAnsi="Arial" w:cs="Arial"/>
          <w:color w:val="000000" w:themeColor="text1"/>
          <w:lang w:val="en-ZA"/>
        </w:rPr>
        <w:instrText xml:space="preserve">ADDIN CSL_CITATION {"citationItems":[{"id":"ITEM-1","itemData":{"DOI":"10.1007/s12526-017-0672-9","ISSN":"18671624","abstract":"© 2017 Senckenberg Gesellschaft für Naturforschung and Springer-Verlag Berlin Heidelberg Studying the geographic scale of gene flow and population structure in marine populations can be a powerful tool with which to infer patterns of larval dispersal averaged across generations. Here, we describe the development of ten novel polymorphic microsatellite markers for an important endemic ascidian, Pyura chilensis, of the southeastern Pacific, and we report the results from fine-scale genetic structure analysis of 151 P. chilensis individuals sampled from five sites constituting </w:instrText>
      </w:r>
      <w:r w:rsidR="0097798B" w:rsidRPr="00533EAC">
        <w:rPr>
          <w:rFonts w:ascii="Cambria Math" w:eastAsia="Calibri" w:hAnsi="Cambria Math" w:cs="Cambria Math"/>
          <w:color w:val="000000" w:themeColor="text1"/>
          <w:lang w:val="en-ZA"/>
        </w:rPr>
        <w:instrText>∼</w:instrText>
      </w:r>
      <w:r w:rsidR="0097798B" w:rsidRPr="00533EAC">
        <w:rPr>
          <w:rFonts w:ascii="Arial" w:eastAsia="Calibri" w:hAnsi="Arial" w:cs="Arial"/>
          <w:color w:val="000000" w:themeColor="text1"/>
          <w:lang w:val="en-ZA"/>
        </w:rPr>
        <w:instrText>80 km of coastline in southern Chile. All microsatellite markers were highly polymorphic (number of alleles ranged from 12 to 36). Our results revealed significant deviations from Hardy–Weinberg equilibrium (HWE) for most loci, suggesting the presence of either null alleles or deviations from random mating within sampled sites. However, we found a significantly higher spatial autocorrelation and higher mean pairwise relatedness among individuals sampled from the same sites than would be expected if samples were randomly distributed across all sites; this suggests that spatial configuration and reproduction might not be random within sites. Our results indicate the presence of a weak but significant genetic structure between sites (overall F ST = 0.015, p &lt; 0.001). Despite the short pelagic larval duration of this species, geographic distance does not appear to correlate with genetic distances between sites. From the results gathered here, it seems possible that genetic structure at this spatial scale is driven to some extent by local population dynamics (deviations from random mating and/or a large proportion of larvae settling in proximity of relatives), yet infrequent long-distance dispersal events might also be responsible for the relatively weak spatial heterogeneity between sites. Overall, our results both highlight the utility of this new marker set for population genetic studies of this species and provide new evidence regarding the complexity of the small-scale population structure of this species.","author":[{"dropping-particle":"","family":"Giles","given":"E. C.","non-dropping-particle":"","parse-names":false,"suffix":""},{"dropping-particle":"","family":"Petersen-Zúñiga","given":"C.","non-dropping-particle":"","parse-names":false,"suffix":""},{"dropping-particle":"","family":"Morales-González","given":"S.","non-dropping-particle":"","parse-names":false,"suffix":""},{"dropping-particle":"","family":"Quesada-Calderón","given":"S.","non-dropping-particle":"","parse-names":false,"suffix":""},{"dropping-particle":"","family":"Saenz-Agudelo","given":"Pablo","non-dropping-particle":"","parse-names":false,"suffix":""}],"container-title":"Marine Biodiversity","id":"ITEM-1","issue":"4","issued":{"date-parts":[["2018","12","14"]]},"page":"1777-1786","title":"Novel microsatellite markers for &lt;i&gt;Pyura chilensis&lt;/i&gt; reveal fine-scale genetic structure along the southern coast of Chile","type":"article-journal","volume":"48"},"uris":["http://www.mendeley.com/documents/?uuid=530e7aff-27db-361d-917e-d6434f50c030"]}],"mendeley":{"formattedCitation":"(Giles et al. 2018)","plainTextFormattedCitation":"(Giles et al. 2018)","previouslyFormattedCitation":"(Giles et al. 2018)"},"properties":{"noteIndex":0},"schema":"https://github.com/citation-style-language/schema/raw/master/csl-citation.json"}</w:instrText>
      </w:r>
      <w:r w:rsidR="005633D6" w:rsidRPr="00533EAC">
        <w:rPr>
          <w:rFonts w:ascii="Arial" w:eastAsia="Calibri" w:hAnsi="Arial" w:cs="Arial"/>
          <w:color w:val="000000" w:themeColor="text1"/>
          <w:lang w:val="en-ZA"/>
        </w:rPr>
        <w:fldChar w:fldCharType="separate"/>
      </w:r>
      <w:r w:rsidR="003A4A3A" w:rsidRPr="00533EAC">
        <w:rPr>
          <w:rFonts w:ascii="Arial" w:eastAsia="Calibri" w:hAnsi="Arial" w:cs="Arial"/>
          <w:noProof/>
          <w:color w:val="000000" w:themeColor="text1"/>
          <w:lang w:val="en-ZA"/>
        </w:rPr>
        <w:t>(Giles et al. 2018)</w:t>
      </w:r>
      <w:r w:rsidR="005633D6" w:rsidRPr="00533EAC">
        <w:rPr>
          <w:rFonts w:ascii="Arial" w:eastAsia="Calibri" w:hAnsi="Arial" w:cs="Arial"/>
          <w:color w:val="000000" w:themeColor="text1"/>
          <w:lang w:val="en-ZA"/>
        </w:rPr>
        <w:fldChar w:fldCharType="end"/>
      </w:r>
      <w:r w:rsidR="005633D6" w:rsidRPr="00533EAC">
        <w:rPr>
          <w:rFonts w:ascii="Arial" w:eastAsia="Calibri" w:hAnsi="Arial" w:cs="Arial"/>
          <w:color w:val="000000" w:themeColor="text1"/>
          <w:lang w:val="en-ZA"/>
        </w:rPr>
        <w:t xml:space="preserve">. </w:t>
      </w:r>
      <w:r w:rsidR="002051CB" w:rsidRPr="00533EAC">
        <w:rPr>
          <w:rFonts w:ascii="Arial" w:eastAsia="Calibri" w:hAnsi="Arial" w:cs="Arial"/>
          <w:color w:val="000000" w:themeColor="text1"/>
          <w:lang w:val="en-ZA"/>
        </w:rPr>
        <w:t>Another invaluable genetic markers is the m</w:t>
      </w:r>
      <w:r w:rsidR="005633D6" w:rsidRPr="00533EAC">
        <w:rPr>
          <w:rFonts w:ascii="Arial" w:eastAsia="Calibri" w:hAnsi="Arial" w:cs="Arial"/>
          <w:color w:val="000000" w:themeColor="text1"/>
          <w:lang w:val="en-ZA"/>
        </w:rPr>
        <w:t>itochondrial DNA (</w:t>
      </w:r>
      <w:proofErr w:type="spellStart"/>
      <w:r w:rsidR="005633D6" w:rsidRPr="00533EAC">
        <w:rPr>
          <w:rFonts w:ascii="Arial" w:eastAsia="Calibri" w:hAnsi="Arial" w:cs="Arial"/>
          <w:color w:val="000000" w:themeColor="text1"/>
          <w:lang w:val="en-ZA"/>
        </w:rPr>
        <w:t>mtDNA</w:t>
      </w:r>
      <w:proofErr w:type="spellEnd"/>
      <w:r w:rsidR="005633D6" w:rsidRPr="00533EAC">
        <w:rPr>
          <w:rFonts w:ascii="Arial" w:eastAsia="Calibri" w:hAnsi="Arial" w:cs="Arial"/>
          <w:color w:val="000000" w:themeColor="text1"/>
          <w:lang w:val="en-ZA"/>
        </w:rPr>
        <w:t xml:space="preserve">), </w:t>
      </w:r>
      <w:r w:rsidR="002051CB" w:rsidRPr="00533EAC">
        <w:rPr>
          <w:rFonts w:ascii="Arial" w:eastAsia="Calibri" w:hAnsi="Arial" w:cs="Arial"/>
          <w:color w:val="000000" w:themeColor="text1"/>
          <w:lang w:val="en-ZA"/>
        </w:rPr>
        <w:t>which is generally used to</w:t>
      </w:r>
      <w:r w:rsidR="005633D6" w:rsidRPr="00533EAC">
        <w:rPr>
          <w:rFonts w:ascii="Arial" w:eastAsia="Calibri" w:hAnsi="Arial" w:cs="Arial"/>
          <w:color w:val="000000" w:themeColor="text1"/>
          <w:lang w:val="en-ZA"/>
        </w:rPr>
        <w:t xml:space="preserve"> study the distribution of </w:t>
      </w:r>
      <w:r w:rsidR="008F5104" w:rsidRPr="00533EAC">
        <w:rPr>
          <w:rFonts w:ascii="Arial" w:eastAsia="Calibri" w:hAnsi="Arial" w:cs="Arial"/>
          <w:color w:val="000000" w:themeColor="text1"/>
          <w:lang w:val="en-ZA"/>
        </w:rPr>
        <w:t xml:space="preserve">genetic variation across </w:t>
      </w:r>
      <w:r w:rsidR="0019123D" w:rsidRPr="00533EAC">
        <w:rPr>
          <w:rFonts w:ascii="Arial" w:eastAsia="Calibri" w:hAnsi="Arial" w:cs="Arial"/>
          <w:color w:val="000000" w:themeColor="text1"/>
          <w:lang w:val="en-ZA"/>
        </w:rPr>
        <w:t>populations</w:t>
      </w:r>
      <w:r w:rsidR="00CA17EB" w:rsidRPr="00533EAC">
        <w:rPr>
          <w:rFonts w:ascii="Arial" w:eastAsia="Calibri" w:hAnsi="Arial" w:cs="Arial"/>
          <w:color w:val="000000" w:themeColor="text1"/>
          <w:lang w:val="en-ZA"/>
        </w:rPr>
        <w:t xml:space="preserve">, and as a tool for </w:t>
      </w:r>
      <w:r w:rsidR="00827176" w:rsidRPr="00533EAC">
        <w:rPr>
          <w:rFonts w:ascii="Arial" w:eastAsia="Calibri" w:hAnsi="Arial" w:cs="Arial"/>
          <w:color w:val="000000" w:themeColor="text1"/>
          <w:lang w:val="en-ZA"/>
        </w:rPr>
        <w:t>reconstructin</w:t>
      </w:r>
      <w:r w:rsidR="008F5104" w:rsidRPr="00533EAC">
        <w:rPr>
          <w:rFonts w:ascii="Arial" w:eastAsia="Calibri" w:hAnsi="Arial" w:cs="Arial"/>
          <w:color w:val="000000" w:themeColor="text1"/>
          <w:lang w:val="en-ZA"/>
        </w:rPr>
        <w:t>g</w:t>
      </w:r>
      <w:r w:rsidR="00827176" w:rsidRPr="00533EAC">
        <w:rPr>
          <w:rFonts w:ascii="Arial" w:eastAsia="Calibri" w:hAnsi="Arial" w:cs="Arial"/>
          <w:color w:val="000000" w:themeColor="text1"/>
          <w:lang w:val="en-ZA"/>
        </w:rPr>
        <w:t xml:space="preserve"> </w:t>
      </w:r>
      <w:r w:rsidR="0019123D" w:rsidRPr="00533EAC">
        <w:rPr>
          <w:rFonts w:ascii="Arial" w:eastAsia="Calibri" w:hAnsi="Arial" w:cs="Arial"/>
          <w:color w:val="000000" w:themeColor="text1"/>
          <w:lang w:val="en-ZA"/>
        </w:rPr>
        <w:t>phylogenetic relationships between</w:t>
      </w:r>
      <w:r w:rsidR="005633D6" w:rsidRPr="00533EAC">
        <w:rPr>
          <w:rFonts w:ascii="Arial" w:eastAsia="Calibri" w:hAnsi="Arial" w:cs="Arial"/>
          <w:color w:val="000000" w:themeColor="text1"/>
          <w:lang w:val="en-ZA"/>
        </w:rPr>
        <w:t xml:space="preserve"> species </w:t>
      </w:r>
      <w:r w:rsidR="005633D6" w:rsidRPr="00533EAC">
        <w:rPr>
          <w:rFonts w:ascii="Arial" w:eastAsia="Calibri" w:hAnsi="Arial" w:cs="Arial"/>
          <w:color w:val="000000" w:themeColor="text1"/>
          <w:lang w:val="en-ZA"/>
        </w:rPr>
        <w:fldChar w:fldCharType="begin" w:fldLock="1"/>
      </w:r>
      <w:r w:rsidR="0097798B" w:rsidRPr="00533EAC">
        <w:rPr>
          <w:rFonts w:ascii="Arial" w:eastAsia="Calibri" w:hAnsi="Arial" w:cs="Arial"/>
          <w:color w:val="000000" w:themeColor="text1"/>
          <w:lang w:val="en-ZA"/>
        </w:rPr>
        <w:instrText>ADDIN CSL_CITATION {"citationItems":[{"id":"ITEM-1","itemData":{"DOI":"10.1093/gbe/evu041","ISBN":"1759-6653 (Electronic)\\r1759-6653 (Linking)","ISSN":"1759-6653","PMID":"24572017","abstract":"Ascidians are a fascinating group of filter-feeding marine chordates characterized by rapid evolution of both sequences and structure of their nuclear and mitochondrial genomes. Moreover, they include several model organisms used to investigate complex biological processes in chordates. To study the evolutionary dynamics of ascidians at short phylogenetic distances, we sequenced 13 new mitogenomes and analyzed them, together with 15 other available mitogenomes, using a novel approach involving detailed whole mitogenome comparisons of conspecific and congeneric pairs. The evolutionary rate was quite homogeneous at both intraspecific and congeneric level, and the lowest congeneric rates were found in cryptic (morphologically undistinguishable) and inmorphologically very similar species pairs. Moreover, congeneric nonsynonymous rates (dN) were up to two orders of magnitude higher than in intraspecies pairs. Overall, a clear-cut gap sets apart conspecific from congeneric pairs. These evolutionary peculiarities allowed easily identifying an extraordinary intraspecific variability in the model ascidian Botryllus schlosseri, where most pairs show a dN value between that observed at intraspecies and congeneric level, yet consistently lower than that of the Ciona intestinalis cryptic species pair. These data suggest ongoing speciation events producing genetically distinct B. schlosseri entities. Remarkably, these ongoing speciation events were undetectable by the cox1 barcode fragment, demonstrating that, at low phylogenetic distances, the whole mitogenomehas a higher resolving power than cox1. Our study shows that whole-mito genome comparative analyses, performedon a suitable sample of congeneric and intraspecies pairs, may allow detecting not only cryptic species but also ongoing speciation events. © The Author(s) 2014.","author":[{"dropping-particle":"","family":"Griggio","given":"Francesca","non-dropping-particle":"","parse-names":false,"suffix":""},{"dropping-particle":"","family":"Voskoboynik","given":"Ayelet","non-dropping-particle":"","parse-names":false,"suffix":""},{"dropping-particle":"","family":"Iannelli","given":"Fabio","non-dropping-particle":"","parse-names":false,"suffix":""},{"dropping-particle":"","family":"Justy","given":"Fabienne","non-dropping-particle":"","parse-names":false,"suffix":""},{"dropping-particle":"","family":"Tilak","given":"Marie-Ka","non-dropping-particle":"","parse-names":false,"suffix":""},{"dropping-particle":"","family":"Xavier","given":"Turon","non-dropping-particle":"","parse-names":false,"suffix":""},{"dropping-particle":"","family":"Pesole","given":"Graziano","non-dropping-particle":"","parse-names":false,"suffix":""},{"dropping-particle":"","family":"Douzery","given":"Emmanuel J.P.","non-dropping-particle":"","parse-names":false,"suffix":""},{"dropping-particle":"","family":"Mastrototaro","given":"Francesco","non-dropping-particle":"","parse-names":false,"suffix":""},{"dropping-particle":"","family":"Gissi","given":"Carmela","non-dropping-particle":"","parse-names":false,"suffix":""}],"container-title":"Genome Biology and Evolution","id":"ITEM-1","issue":"3","issued":{"date-parts":[["2014","3"]]},"page":"591-605","title":"Ascidian mitogenomics: comparison of evolutionary rates in closely related taxa provides evidence of ongoing speciation events","type":"article-journal","volume":"6"},"uris":["http://www.mendeley.com/documents/?uuid=a5e4df40-20fb-3fed-a2ad-35e9ff5cf10e"]}],"mendeley":{"formattedCitation":"(Griggio et al. 2014)","plainTextFormattedCitation":"(Griggio et al. 2014)","previouslyFormattedCitation":"(Griggio et al. 2014)"},"properties":{"noteIndex":0},"schema":"https://github.com/citation-style-language/schema/raw/master/csl-citation.json"}</w:instrText>
      </w:r>
      <w:r w:rsidR="005633D6" w:rsidRPr="00533EAC">
        <w:rPr>
          <w:rFonts w:ascii="Arial" w:eastAsia="Calibri" w:hAnsi="Arial" w:cs="Arial"/>
          <w:color w:val="000000" w:themeColor="text1"/>
          <w:lang w:val="en-ZA"/>
        </w:rPr>
        <w:fldChar w:fldCharType="separate"/>
      </w:r>
      <w:r w:rsidR="003A4A3A" w:rsidRPr="00533EAC">
        <w:rPr>
          <w:rFonts w:ascii="Arial" w:eastAsia="Calibri" w:hAnsi="Arial" w:cs="Arial"/>
          <w:noProof/>
          <w:color w:val="000000" w:themeColor="text1"/>
          <w:lang w:val="en-ZA"/>
        </w:rPr>
        <w:t>(Griggio et al. 2014)</w:t>
      </w:r>
      <w:r w:rsidR="005633D6" w:rsidRPr="00533EAC">
        <w:rPr>
          <w:rFonts w:ascii="Arial" w:eastAsia="Calibri" w:hAnsi="Arial" w:cs="Arial"/>
          <w:color w:val="000000" w:themeColor="text1"/>
          <w:lang w:val="en-ZA"/>
        </w:rPr>
        <w:fldChar w:fldCharType="end"/>
      </w:r>
      <w:r w:rsidR="005633D6" w:rsidRPr="00533EAC">
        <w:rPr>
          <w:rFonts w:ascii="Arial" w:eastAsia="Calibri" w:hAnsi="Arial" w:cs="Arial"/>
          <w:color w:val="000000" w:themeColor="text1"/>
          <w:lang w:val="en-ZA"/>
        </w:rPr>
        <w:t xml:space="preserve">. </w:t>
      </w:r>
      <w:r w:rsidR="008D5121" w:rsidRPr="00533EAC">
        <w:rPr>
          <w:rFonts w:ascii="Arial" w:eastAsia="Calibri" w:hAnsi="Arial" w:cs="Arial"/>
          <w:color w:val="000000" w:themeColor="text1"/>
          <w:lang w:val="en-ZA"/>
        </w:rPr>
        <w:t xml:space="preserve">However, its maternal inheritance creates a bias towards female-mediated processes </w:t>
      </w:r>
      <w:r w:rsidR="008D5121" w:rsidRPr="00533EAC">
        <w:rPr>
          <w:rFonts w:ascii="Arial" w:eastAsia="Calibri" w:hAnsi="Arial" w:cs="Arial"/>
          <w:color w:val="000000" w:themeColor="text1"/>
          <w:lang w:val="en-ZA"/>
        </w:rPr>
        <w:fldChar w:fldCharType="begin" w:fldLock="1"/>
      </w:r>
      <w:r w:rsidR="008D5121" w:rsidRPr="00533EAC">
        <w:rPr>
          <w:rFonts w:ascii="Arial" w:eastAsia="Calibri" w:hAnsi="Arial" w:cs="Arial"/>
          <w:color w:val="000000" w:themeColor="text1"/>
          <w:lang w:val="en-ZA"/>
        </w:rPr>
        <w:instrText>ADDIN CSL_CITATION {"citationItems":[{"id":"ITEM-1","itemData":{"author":[{"dropping-particle":"","family":"Avise","given":"John C","non-dropping-particle":"","parse-names":false,"suffix":""}],"container-title":"-","id":"ITEM-1","issued":{"date-parts":[["1994"]]},"page":"-","title":"Molecular markers, natural history and evolution. Chapter 5. Chapman and Hall, New York, USA","type":"article-journal","volume":"-"},"uris":["http://www.mendeley.com/documents/?uuid=5787e320-9320-3e5c-ab78-4bbb88eb3b5d"]},{"id":"ITEM-2","itemData":{"DOI":"10.1111/j.1365-294X.1996.tb00358.x","ISSN":"09621083","abstract":"The yellow-footed rock-wallaby Petrogale xanthopus is considered to be potentially vulnerable to extinction. This wallaby inhabits naturally disjunct rocky outcrops which could restrict dispersal between populations, but the extent to which that occurs is unknown. Genetic differences between populations were assessed using mitochondrial DNA (control region) sequencing and analysis of variation at four microsatellite loci among three geographically close sites in south-west Queensland (P. x. celeris) and, for mtDNA only, samples from South Australia (P. x. xanthopus) as well. Populations from South Australia and Queensland had phylogenetically distinct mtDNA, supporting the present classification of these two groups as evolutionarily distinct entities. Within Queensland, populations separated by 70 km of unsuitable habitat differed significantly for mtDNA and at microsatellite loci. Populations separated by 10 km of apparently suitable habitat had statistically homogeneous mtDNA, but a significant difference in allele frequency at one microsatellite locus. Tests for Hardy-Weinberg equilibrium and microgeographical variation at microsatellite loci did not detect any substructuring between two wallaby aggregations within a colony encircling a single rock outcrop. Although the present study was limited by small sample sizes at two of the three Queensland locations examined, the genetic results suggest that dispersal between colonies is limited, consistent with an ecological study of dispersal at one of the sites. Considering both the genetic and ecological data, we suggest that management of yellow-footed rock-wallabies should treat each colony as an independent unit and that conservation of the Queensland and South Australian populations as separate entities is warranted.","author":[{"dropping-particle":"","family":"Pope","given":"L. C.","non-dropping-particle":"","parse-names":false,"suffix":""},{"dropping-particle":"","family":"Sharp","given":"A.","non-dropping-particle":"","parse-names":false,"suffix":""},{"dropping-particle":"","family":"Moritz","given":"C.","non-dropping-particle":"","parse-names":false,"suffix":""}],"container-title":"Molecular Ecology","id":"ITEM-2","issue":"5","issued":{"date-parts":[["1996","10","1"]]},"note":"doi: 10.1111/j.1365-294X.1996.tb00358.x","page":"629-640","publisher":"John Wiley &amp; Sons, Ltd","title":"Population structure of the yellow-footed rock-wallaby &lt;i&gt;Petrogale xanthopus&lt;/i&gt; (Gray, 1854) inferred from mtDNA sequences and microsatellite loci","type":"article-journal","volume":"5"},"uris":["http://www.mendeley.com/documents/?uuid=61ed676f-eae6-3fa1-b4ae-8cf5e050a51d"]},{"id":"ITEM-3","itemData":{"DOI":"10.1046/j.1365-294X.2003.01773.x","ISSN":"09621083","PMID":"12675814","abstract":"Population-genetic studies have been remarkably productive and successful in the last decade following the invention of PCR technology and the introduction of mitochondrial and microsatellite DNA markers. While mitochondrial DNA has proven powerful for genealogical and evolutionary studies of animal populations, and microsatellite sequences are the most revealing DNA markers available so far for inferring population structure and dynamics, they both have important and unavoidable limitations. To obtain a fuller picture of the history and evolutionary potential of populations, genealogical data from nuclear loci are essential, and the inclusion of other nuclear markers, i.e. single copy nuclear polymorphic (scnp) sequences, is clearly needed. Four major uncertainties for nuclear DNA analyses of populations have been facing us, i.e. the availability of scnp markers for carrying out such analysis, technical laboratory hurdles for resolving haplotypes, difficulty in data analysis because of recombination, low divergence levels and intraspecific multifurcation evolution, and the utility of scnp markers for addressing population-genetic questions. In this review, we discuss the availability of highly polymorphic single copy DNA in the nuclear genome, describe patterns and rate of evolution of nuclear sequences, summarize past empirical and theoretical efforts to recover and analyse data from scnp markers, and examine the difficulties, challenges and opportunities faced in such studies. We show that although challenges still exist, the above-mentioned obstacles are now being removed. Recent advances in technology and increases in statistical power provide the prospect of nuclear DNA analyses becoming routine practice, allowing allele-discriminating characterization of scnp loci and microsatellite loci. This certainly will increase our ability to address more complex questions, and thereby the sophistication of genetic analyses of populations.","author":[{"dropping-particle":"","family":"Zhang","given":"De Xing","non-dropping-particle":"","parse-names":false,"suffix":""},{"dropping-particle":"","family":"Hewitt","given":"Godfrey M","non-dropping-particle":"","parse-names":false,"suffix":""}],"container-title":"Molecular Ecology","id":"ITEM-3","issue":"3","issued":{"date-parts":[["2003","3","1"]]},"note":"doi: 10.1046/j.1365-294X.2003.01773.x","page":"563-584","publisher":"John Wiley &amp; Sons, Ltd","title":"Nuclear DNA analyses in genetic studies of populations: Practice, problems and prospects","type":"article","volume":"12"},"uris":["http://www.mendeley.com/documents/?uuid=178a748c-f18b-3010-bed5-1ea0d3c582a3"]}],"mendeley":{"formattedCitation":"(Avise 1994; Pope et al. 1996; Zhang and Hewitt 2003)","plainTextFormattedCitation":"(Avise 1994; Pope et al. 1996; Zhang and Hewitt 2003)","previouslyFormattedCitation":"(Avise 1994; Pope et al. 1996; Zhang and Hewitt 2003)"},"properties":{"noteIndex":0},"schema":"https://github.com/citation-style-language/schema/raw/master/csl-citation.json"}</w:instrText>
      </w:r>
      <w:r w:rsidR="008D5121" w:rsidRPr="00533EAC">
        <w:rPr>
          <w:rFonts w:ascii="Arial" w:eastAsia="Calibri" w:hAnsi="Arial" w:cs="Arial"/>
          <w:color w:val="000000" w:themeColor="text1"/>
          <w:lang w:val="en-ZA"/>
        </w:rPr>
        <w:fldChar w:fldCharType="separate"/>
      </w:r>
      <w:r w:rsidR="008D5121" w:rsidRPr="00533EAC">
        <w:rPr>
          <w:rFonts w:ascii="Arial" w:eastAsia="Calibri" w:hAnsi="Arial" w:cs="Arial"/>
          <w:noProof/>
          <w:color w:val="000000" w:themeColor="text1"/>
          <w:lang w:val="en-ZA"/>
        </w:rPr>
        <w:t>(Avise 1994; Pope et al. 1996; Zhang and Hewitt 2003)</w:t>
      </w:r>
      <w:r w:rsidR="008D5121" w:rsidRPr="00533EAC">
        <w:rPr>
          <w:rFonts w:ascii="Arial" w:eastAsia="Calibri" w:hAnsi="Arial" w:cs="Arial"/>
          <w:color w:val="000000" w:themeColor="text1"/>
          <w:lang w:val="en-ZA"/>
        </w:rPr>
        <w:fldChar w:fldCharType="end"/>
      </w:r>
      <w:r w:rsidR="008D5121" w:rsidRPr="00533EAC">
        <w:rPr>
          <w:rFonts w:ascii="Arial" w:eastAsia="Calibri" w:hAnsi="Arial" w:cs="Arial"/>
          <w:color w:val="000000" w:themeColor="text1"/>
          <w:lang w:val="en-ZA"/>
        </w:rPr>
        <w:t xml:space="preserve">. </w:t>
      </w:r>
      <w:r w:rsidR="005633D6" w:rsidRPr="00533EAC">
        <w:rPr>
          <w:rFonts w:ascii="Arial" w:eastAsia="Calibri" w:hAnsi="Arial" w:cs="Arial"/>
          <w:color w:val="000000" w:themeColor="text1"/>
          <w:lang w:val="en-ZA"/>
        </w:rPr>
        <w:t>The</w:t>
      </w:r>
      <w:r w:rsidR="008F5104" w:rsidRPr="00533EAC">
        <w:rPr>
          <w:rFonts w:ascii="Arial" w:eastAsia="Calibri" w:hAnsi="Arial" w:cs="Arial"/>
          <w:color w:val="000000" w:themeColor="text1"/>
          <w:lang w:val="en-ZA"/>
        </w:rPr>
        <w:t>refore, the</w:t>
      </w:r>
      <w:r w:rsidR="005633D6" w:rsidRPr="00533EAC">
        <w:rPr>
          <w:rFonts w:ascii="Arial" w:eastAsia="Calibri" w:hAnsi="Arial" w:cs="Arial"/>
          <w:color w:val="000000" w:themeColor="text1"/>
          <w:lang w:val="en-ZA"/>
        </w:rPr>
        <w:t xml:space="preserve"> employment </w:t>
      </w:r>
      <w:r w:rsidR="0019123D" w:rsidRPr="00533EAC">
        <w:rPr>
          <w:rFonts w:ascii="Arial" w:eastAsia="Calibri" w:hAnsi="Arial" w:cs="Arial"/>
          <w:color w:val="000000" w:themeColor="text1"/>
          <w:lang w:val="en-ZA"/>
        </w:rPr>
        <w:t xml:space="preserve">of </w:t>
      </w:r>
      <w:r w:rsidR="00402FBF" w:rsidRPr="00533EAC">
        <w:rPr>
          <w:rFonts w:ascii="Arial" w:eastAsia="Calibri" w:hAnsi="Arial" w:cs="Arial"/>
          <w:color w:val="000000" w:themeColor="text1"/>
          <w:lang w:val="en-ZA"/>
        </w:rPr>
        <w:t xml:space="preserve">both </w:t>
      </w:r>
      <w:r w:rsidR="005633D6" w:rsidRPr="00533EAC">
        <w:rPr>
          <w:rFonts w:ascii="Arial" w:eastAsia="Calibri" w:hAnsi="Arial" w:cs="Arial"/>
          <w:color w:val="000000" w:themeColor="text1"/>
          <w:lang w:val="en-ZA"/>
        </w:rPr>
        <w:t xml:space="preserve">microsatellites and </w:t>
      </w:r>
      <w:proofErr w:type="spellStart"/>
      <w:r w:rsidR="005633D6" w:rsidRPr="00533EAC">
        <w:rPr>
          <w:rFonts w:ascii="Arial" w:eastAsia="Calibri" w:hAnsi="Arial" w:cs="Arial"/>
          <w:color w:val="000000" w:themeColor="text1"/>
          <w:lang w:val="en-ZA"/>
        </w:rPr>
        <w:t>mtDNA</w:t>
      </w:r>
      <w:proofErr w:type="spellEnd"/>
      <w:r w:rsidR="005633D6" w:rsidRPr="00533EAC">
        <w:rPr>
          <w:rFonts w:ascii="Arial" w:eastAsia="Calibri" w:hAnsi="Arial" w:cs="Arial"/>
          <w:color w:val="000000" w:themeColor="text1"/>
          <w:lang w:val="en-ZA"/>
        </w:rPr>
        <w:t xml:space="preserve"> markers allows </w:t>
      </w:r>
      <w:r w:rsidR="00B7678E" w:rsidRPr="00533EAC">
        <w:rPr>
          <w:rFonts w:ascii="Arial" w:eastAsia="Calibri" w:hAnsi="Arial" w:cs="Arial"/>
          <w:color w:val="000000" w:themeColor="text1"/>
          <w:lang w:val="en-ZA"/>
        </w:rPr>
        <w:t xml:space="preserve">for </w:t>
      </w:r>
      <w:r w:rsidR="005633D6" w:rsidRPr="00533EAC">
        <w:rPr>
          <w:rFonts w:ascii="Arial" w:eastAsia="Calibri" w:hAnsi="Arial" w:cs="Arial"/>
          <w:color w:val="000000" w:themeColor="text1"/>
          <w:lang w:val="en-ZA"/>
        </w:rPr>
        <w:t>a robust understanding of population structure</w:t>
      </w:r>
      <w:r w:rsidR="00254744" w:rsidRPr="00533EAC">
        <w:rPr>
          <w:rFonts w:ascii="Arial" w:eastAsia="Calibri" w:hAnsi="Arial" w:cs="Arial"/>
          <w:color w:val="000000" w:themeColor="text1"/>
          <w:lang w:val="en-ZA"/>
        </w:rPr>
        <w:t xml:space="preserve"> </w:t>
      </w:r>
      <w:r w:rsidR="00774474" w:rsidRPr="00533EAC">
        <w:rPr>
          <w:rFonts w:ascii="Arial" w:eastAsia="Calibri" w:hAnsi="Arial" w:cs="Arial"/>
          <w:color w:val="000000" w:themeColor="text1"/>
          <w:lang w:val="en-ZA"/>
        </w:rPr>
        <w:fldChar w:fldCharType="begin" w:fldLock="1"/>
      </w:r>
      <w:r w:rsidR="00774474" w:rsidRPr="00533EAC">
        <w:rPr>
          <w:rFonts w:ascii="Arial" w:eastAsia="Calibri" w:hAnsi="Arial" w:cs="Arial"/>
          <w:color w:val="000000" w:themeColor="text1"/>
          <w:lang w:val="en-ZA"/>
        </w:rPr>
        <w:instrText>ADDIN CSL_CITATION {"citationItems":[{"id":"ITEM-1","itemData":{"DOI":"10.1002/ece3.5597","ISSN":"20457758","abstract":"Knowledge of population structure, connectivity, and effective population size remains limited for many marine apex predators, including the bull shark Carcharhinus leucas. This large-bodied coastal shark is distributed worldwide in warm temperate and tropical waters, and uses estuaries and rivers as nurseries. As an apex predator, the bull shark likely plays a vital ecological role within marine food webs, but is at risk due to inshore habitat degradation and various fishing pressures. We investigated the bull shark's global population structure and demographic history by analyzing the genetic diversity of 370 individuals from 11 different locations using 25 microsatellite loci and three mitochondrial genes (CR, nd4, and cytb). Both types of markers revealed clustering between sharks from the Western Atlantic and those from the Western Pacific and the Western Indian Ocean, with no contemporary gene flow. Microsatellite data suggested low differentiation between the Western Indian Ocean and the Western Pacific, but substantial differentiation was found using mitochondrial DNA. Integrating information from both types of markers and using Bayesian computation with a random forest procedure (ABC-RF), this discordance was found to be due to a complete lack of contemporary gene flow. High genetic connectivity was found both within the Western Indian Ocean and within the Western Pacific. In conclusion, these results suggest important structuring of bull shark populations globally with important gene flow occurring along coastlines, highlighting the need for management and conservation plans on regional scales rather than oceanic basin scale.","author":[{"dropping-particle":"","family":"Pirog","given":"Agathe","non-dropping-particle":"","parse-names":false,"suffix":""},{"dropping-particle":"","family":"Ravigné","given":"Virginie","non-dropping-particle":"","parse-names":false,"suffix":""},{"dropping-particle":"","family":"Fontaine","given":"Michaël C","non-dropping-particle":"","parse-names":false,"suffix":""},{"dropping-particle":"","family":"Rieux","given":"Adrien","non-dropping-particle":"","parse-names":false,"suffix":""},{"dropping-particle":"","family":"Gilabert","given":"Aude","non-dropping-particle":"","parse-names":false,"suffix":""},{"dropping-particle":"","family":"Cliff","given":"Geremy","non-dropping-particle":"","parse-names":false,"suffix":""},{"dropping-particle":"","family":"Clua","given":"Eric","non-dropping-particle":"","parse-names":false,"suffix":""},{"dropping-particle":"","family":"Daly","given":"Ryan","non-dropping-particle":"","parse-names":false,"suffix":""},{"dropping-particle":"","family":"Heithaus","given":"Michael R","non-dropping-particle":"","parse-names":false,"suffix":""},{"dropping-particle":"","family":"Kiszka","given":"Jeremy J","non-dropping-particle":"","parse-names":false,"suffix":""},{"dropping-particle":"","family":"Matich","given":"Philip","non-dropping-particle":"","parse-names":false,"suffix":""},{"dropping-particle":"","family":"Nevill","given":"John E.G.","non-dropping-particle":"","parse-names":false,"suffix":""},{"dropping-particle":"","family":"Smoothey","given":"Amy F","non-dropping-particle":"","parse-names":false,"suffix":""},{"dropping-particle":"","family":"Temple","given":"Andrew J","non-dropping-particle":"","parse-names":false,"suffix":""},{"dropping-particle":"","family":"Berggren","given":"Per","non-dropping-particle":"","parse-names":false,"suffix":""},{"dropping-particle":"","family":"Jaquemet","given":"Sébastien","non-dropping-particle":"","parse-names":false,"suffix":""},{"dropping-particle":"","family":"Magalon","given":"Hélène","non-dropping-particle":"","parse-names":false,"suffix":""}],"container-title":"Ecology and Evolution","id":"ITEM-1","issue":"23","issued":{"date-parts":[["2019"]]},"page":"12980-13000","title":"Population structure, connectivity, and demographic history of an apex marine predator, the bull shark Carcharhinus leucas","type":"article-journal","volume":"9"},"uris":["http://www.mendeley.com/documents/?uuid=59c0c0fb-b772-3a7d-84c7-13bff3fe9e80"]},{"id":"ITEM-2","itemData":{"DOI":"10.1111/maec.12389","ISSN":"14390485","abstract":"Mitochondrial DNA (mtDNA) is a single, usually non-recombining locus, and often uniparentally inherited. Therefore, its ability to reveal recent gene flow among populations is usually questioned. In this study, the genetic population structure of 16 populations of Tridacna crocea (n = 366) from the Indo-Malay Archipelago (IMA) was examined with 10 microsatellite markers and compared to previous studies using mtDNA, in order to test if the revealed population structure was congruent between the two marker systems. The results showed that the genetic population structure revealed by the two marker systems was mostly congruent, with a high correlation between cytochrome c oxidase subunit I (COI) and microsatellites. The studied populations could be divided by both marker systems as follows: (i) Eastern Indian Ocean, (ii) Central IMA, and (iii) Western Pacific. Populations in the Central IMA showed high gene flow. However, populations in the Java Sea (Karimunjava, Pulau Seribu) were grouped into a separate cluster by mtDNA analysis, while this grouping was not detected by microsatellites. It was also noteworthy that there is obvious heterozygosity deficiency in most of the populations, which may be caused by null alleles, inbreeding or population expansion. Overall, these results indicate that the mitochondrial COI gene is applicable for population genetic analysis and precise recovery of connectivity patterns of giant clams. Therefore, the combination of mtDNA and nuclear DNA markers can lead to a more complete understanding of population genetics. Moreover, this study is expected to facilitate fully displaying the population genetic structure of giant clams combining with other researchers' results.","author":[{"dropping-particle":"","family":"Hui","given":"Min","non-dropping-particle":"","parse-names":false,"suffix":""},{"dropping-particle":"","family":"Nuryanto","given":"Agus","non-dropping-particle":"","parse-names":false,"suffix":""},{"dropping-particle":"","family":"Kochzius","given":"Marc","non-dropping-particle":"","parse-names":false,"suffix":""}],"container-title":"Marine Ecology","id":"ITEM-2","issue":"1","issued":{"date-parts":[["2017"]]},"page":"e12389","title":"Concordance of microsatellite and mitochondrial DNA markers in detecting genetic population structure in the boring giant clam Tridacna crocea across the Indo-Malay Archipelago","type":"article-journal","volume":"38"},"uris":["http://www.mendeley.com/documents/?uuid=bece93f5-8296-36cf-8e5b-2e23ee6a45c9"]}],"mendeley":{"formattedCitation":"(Hui et al. 2017; Pirog et al. 2019)","plainTextFormattedCitation":"(Hui et al. 2017; Pirog et al. 2019)"},"properties":{"noteIndex":0},"schema":"https://github.com/citation-style-language/schema/raw/master/csl-citation.json"}</w:instrText>
      </w:r>
      <w:r w:rsidR="00774474" w:rsidRPr="00533EAC">
        <w:rPr>
          <w:rFonts w:ascii="Arial" w:eastAsia="Calibri" w:hAnsi="Arial" w:cs="Arial"/>
          <w:color w:val="000000" w:themeColor="text1"/>
          <w:lang w:val="en-ZA"/>
        </w:rPr>
        <w:fldChar w:fldCharType="separate"/>
      </w:r>
      <w:r w:rsidR="00774474" w:rsidRPr="00533EAC">
        <w:rPr>
          <w:rFonts w:ascii="Arial" w:eastAsia="Calibri" w:hAnsi="Arial" w:cs="Arial"/>
          <w:noProof/>
          <w:color w:val="000000" w:themeColor="text1"/>
          <w:lang w:val="en-ZA"/>
        </w:rPr>
        <w:t>(Hui et al. 2017; Pirog et al. 2019)</w:t>
      </w:r>
      <w:r w:rsidR="00774474" w:rsidRPr="00533EAC">
        <w:rPr>
          <w:rFonts w:ascii="Arial" w:eastAsia="Calibri" w:hAnsi="Arial" w:cs="Arial"/>
          <w:color w:val="000000" w:themeColor="text1"/>
          <w:lang w:val="en-ZA"/>
        </w:rPr>
        <w:fldChar w:fldCharType="end"/>
      </w:r>
      <w:r w:rsidR="005633D6" w:rsidRPr="00533EAC">
        <w:rPr>
          <w:rFonts w:ascii="Arial" w:eastAsia="Calibri" w:hAnsi="Arial" w:cs="Arial"/>
          <w:color w:val="000000" w:themeColor="text1"/>
          <w:lang w:val="en-ZA"/>
        </w:rPr>
        <w:t xml:space="preserve">. </w:t>
      </w:r>
    </w:p>
    <w:p w14:paraId="196B20C0" w14:textId="77777777" w:rsidR="00094D89" w:rsidRPr="00533EAC" w:rsidRDefault="00094D89" w:rsidP="00C05A32">
      <w:pPr>
        <w:spacing w:after="0" w:line="360" w:lineRule="auto"/>
        <w:jc w:val="both"/>
        <w:rPr>
          <w:rFonts w:ascii="Arial" w:eastAsia="Calibri" w:hAnsi="Arial" w:cs="Arial"/>
          <w:color w:val="000000" w:themeColor="text1"/>
          <w:lang w:val="en-ZA"/>
        </w:rPr>
      </w:pPr>
    </w:p>
    <w:p w14:paraId="1CFEE044" w14:textId="0CCCD528" w:rsidR="005633D6" w:rsidRPr="00533EAC" w:rsidRDefault="004768E9" w:rsidP="00C05A32">
      <w:pPr>
        <w:spacing w:after="0" w:line="360" w:lineRule="auto"/>
        <w:jc w:val="both"/>
        <w:rPr>
          <w:rFonts w:ascii="Arial" w:eastAsia="Calibri" w:hAnsi="Arial" w:cs="Arial"/>
          <w:color w:val="000000" w:themeColor="text1"/>
          <w:lang w:val="en-ZA"/>
        </w:rPr>
      </w:pPr>
      <w:r w:rsidRPr="00533EAC">
        <w:rPr>
          <w:rFonts w:ascii="Arial" w:eastAsia="Calibri" w:hAnsi="Arial" w:cs="Arial"/>
          <w:color w:val="000000" w:themeColor="text1"/>
          <w:lang w:val="en-ZA"/>
        </w:rPr>
        <w:t xml:space="preserve">The class Ascidiacea (Tunicata, </w:t>
      </w:r>
      <w:r w:rsidR="00D13884" w:rsidRPr="00533EAC">
        <w:rPr>
          <w:rFonts w:ascii="Arial" w:eastAsia="Calibri" w:hAnsi="Arial" w:cs="Arial"/>
          <w:color w:val="000000" w:themeColor="text1"/>
          <w:lang w:val="en-ZA"/>
        </w:rPr>
        <w:t>Chordata</w:t>
      </w:r>
      <w:r w:rsidRPr="00533EAC">
        <w:rPr>
          <w:rFonts w:ascii="Arial" w:eastAsia="Calibri" w:hAnsi="Arial" w:cs="Arial"/>
          <w:color w:val="000000" w:themeColor="text1"/>
          <w:lang w:val="en-ZA"/>
        </w:rPr>
        <w:t>)</w:t>
      </w:r>
      <w:r w:rsidR="000E31FF" w:rsidRPr="00533EAC">
        <w:rPr>
          <w:rFonts w:ascii="Arial" w:eastAsia="Calibri" w:hAnsi="Arial" w:cs="Arial"/>
          <w:color w:val="000000" w:themeColor="text1"/>
          <w:lang w:val="en-ZA"/>
        </w:rPr>
        <w:t xml:space="preserve"> is</w:t>
      </w:r>
      <w:r w:rsidR="005633D6" w:rsidRPr="00533EAC">
        <w:rPr>
          <w:rFonts w:ascii="Arial" w:eastAsia="Calibri" w:hAnsi="Arial" w:cs="Arial"/>
          <w:color w:val="000000" w:themeColor="text1"/>
          <w:lang w:val="en-ZA"/>
        </w:rPr>
        <w:t xml:space="preserve"> ubiquitous in most marine ecosystems </w:t>
      </w:r>
      <w:r w:rsidR="005633D6" w:rsidRPr="00533EAC">
        <w:rPr>
          <w:rFonts w:ascii="Arial" w:eastAsia="Calibri" w:hAnsi="Arial" w:cs="Arial"/>
          <w:color w:val="000000" w:themeColor="text1"/>
          <w:lang w:val="en-ZA"/>
        </w:rPr>
        <w:fldChar w:fldCharType="begin" w:fldLock="1"/>
      </w:r>
      <w:r w:rsidR="0097798B" w:rsidRPr="00533EAC">
        <w:rPr>
          <w:rFonts w:ascii="Arial" w:eastAsia="Calibri" w:hAnsi="Arial" w:cs="Arial"/>
          <w:color w:val="000000" w:themeColor="text1"/>
          <w:lang w:val="en-ZA"/>
        </w:rPr>
        <w:instrText>ADDIN CSL_CITATION {"citationItems":[{"id":"ITEM-1","itemData":{"DOI":"10.1371/journal.pone.0020657","ISSN":"19326203","PMID":"21701684","abstract":"The class Ascidiacea presents fundamental opportunities for research in the fields of development, evolution, ecology, natural products and more. This review provides a comprehensive overview of the current knowledge regarding the global biodiversity of the class Ascidiacea, focusing in their taxonomy, main regions of biodiversity, and distribution patterns. Based on analysis of the literature and the species registered in the online World Register of Marine Species, we assembled a list of 2815 described species. The highest number of species and families is found in the order Aplousobranchia. Didemnidae and Styelidae families have the highest number of species with more than 500 within each group. Sixty percent of described species are colonial. Species richness is highest in tropical regions, where colonial species predominate. In higher latitudes solitary species gradually contribute more to the total species richness. We emphasize the strong association between species richness and sampling efforts, and discuss the risks of invasive species. Our inventory is certainly incomplete as the ascidian fauna in many areas around the world is relatively poorly known, and many new species continue to be discovered and described each year. © 2011 Shenkar, Swalla.","author":[{"dropping-particle":"","family":"Shenkar","given":"Noa","non-dropping-particle":"","parse-names":false,"suffix":""},{"dropping-particle":"","family":"Swalla","given":"Billie J","non-dropping-particle":"","parse-names":false,"suffix":""}],"container-title":"PLoS ONE","edition":"2011/06/20","id":"ITEM-1","issue":"6","issued":{"date-parts":[["2011"]]},"language":"eng","page":"e20657-e20657","publisher":"Public Library of Science","title":"Global diversity of Ascidiacea","type":"article","volume":"6"},"uris":["http://www.mendeley.com/documents/?uuid=21d9b813-9c69-307e-96bb-056b22b3fc97"]}],"mendeley":{"formattedCitation":"(Shenkar and Swalla 2011)","plainTextFormattedCitation":"(Shenkar and Swalla 2011)","previouslyFormattedCitation":"(Shenkar and Swalla 2011)"},"properties":{"noteIndex":0},"schema":"https://github.com/citation-style-language/schema/raw/master/csl-citation.json"}</w:instrText>
      </w:r>
      <w:r w:rsidR="005633D6" w:rsidRPr="00533EAC">
        <w:rPr>
          <w:rFonts w:ascii="Arial" w:eastAsia="Calibri" w:hAnsi="Arial" w:cs="Arial"/>
          <w:color w:val="000000" w:themeColor="text1"/>
          <w:lang w:val="en-ZA"/>
        </w:rPr>
        <w:fldChar w:fldCharType="separate"/>
      </w:r>
      <w:r w:rsidR="003A4A3A" w:rsidRPr="00533EAC">
        <w:rPr>
          <w:rFonts w:ascii="Arial" w:eastAsia="Calibri" w:hAnsi="Arial" w:cs="Arial"/>
          <w:noProof/>
          <w:color w:val="000000" w:themeColor="text1"/>
          <w:lang w:val="en-ZA"/>
        </w:rPr>
        <w:t>(Shenkar and Swalla 2011)</w:t>
      </w:r>
      <w:r w:rsidR="005633D6" w:rsidRPr="00533EAC">
        <w:rPr>
          <w:rFonts w:ascii="Arial" w:eastAsia="Calibri" w:hAnsi="Arial" w:cs="Arial"/>
          <w:color w:val="000000" w:themeColor="text1"/>
          <w:lang w:val="en-ZA"/>
        </w:rPr>
        <w:fldChar w:fldCharType="end"/>
      </w:r>
      <w:r w:rsidR="00F64A62" w:rsidRPr="00533EAC">
        <w:rPr>
          <w:rFonts w:ascii="Arial" w:eastAsia="Calibri" w:hAnsi="Arial" w:cs="Arial"/>
          <w:color w:val="000000" w:themeColor="text1"/>
          <w:lang w:val="en-ZA"/>
        </w:rPr>
        <w:t>, and many of its species</w:t>
      </w:r>
      <w:r w:rsidR="004C739D" w:rsidRPr="00533EAC">
        <w:rPr>
          <w:rFonts w:ascii="Arial" w:eastAsia="Calibri" w:hAnsi="Arial" w:cs="Arial"/>
          <w:color w:val="000000" w:themeColor="text1"/>
          <w:lang w:val="en-ZA"/>
        </w:rPr>
        <w:t xml:space="preserve"> play</w:t>
      </w:r>
      <w:r w:rsidR="0058572A" w:rsidRPr="00533EAC">
        <w:rPr>
          <w:rFonts w:ascii="Arial" w:eastAsia="Calibri" w:hAnsi="Arial" w:cs="Arial"/>
          <w:color w:val="000000" w:themeColor="text1"/>
          <w:lang w:val="en-ZA"/>
        </w:rPr>
        <w:t xml:space="preserve"> a</w:t>
      </w:r>
      <w:r w:rsidR="004C739D" w:rsidRPr="00533EAC">
        <w:rPr>
          <w:rFonts w:ascii="Arial" w:eastAsia="Calibri" w:hAnsi="Arial" w:cs="Arial"/>
          <w:color w:val="000000" w:themeColor="text1"/>
          <w:lang w:val="en-ZA"/>
        </w:rPr>
        <w:t xml:space="preserve"> critical role in ecosystem functioning</w:t>
      </w:r>
      <w:r w:rsidR="000E31FF" w:rsidRPr="00533EAC">
        <w:rPr>
          <w:rFonts w:ascii="Arial" w:eastAsia="Calibri" w:hAnsi="Arial" w:cs="Arial"/>
          <w:color w:val="000000" w:themeColor="text1"/>
          <w:lang w:val="en-ZA"/>
        </w:rPr>
        <w:t xml:space="preserve"> </w:t>
      </w:r>
      <w:r w:rsidR="000E31FF" w:rsidRPr="00533EAC">
        <w:rPr>
          <w:rFonts w:ascii="Arial" w:eastAsia="Calibri" w:hAnsi="Arial" w:cs="Arial"/>
          <w:color w:val="000000" w:themeColor="text1"/>
          <w:lang w:val="en-ZA"/>
        </w:rPr>
        <w:fldChar w:fldCharType="begin" w:fldLock="1"/>
      </w:r>
      <w:r w:rsidR="000E31FF" w:rsidRPr="00533EAC">
        <w:rPr>
          <w:rFonts w:ascii="Arial" w:eastAsia="Calibri" w:hAnsi="Arial" w:cs="Arial"/>
          <w:color w:val="000000" w:themeColor="text1"/>
          <w:lang w:val="en-ZA"/>
        </w:rPr>
        <w:instrText>ADDIN CSL_CITATION {"citationItems":[{"id":"ITEM-1","itemData":{"DOI":"10.1016/S1385-1101(96)90747-9","ISSN":"13851101","abstract":"The pelagic primary production and the secondary production of four species of benthic suspension feeders were frequently measured over a period of approximately one year in four different habitats. Simplified energy budgets over one-year periods are presented including ingestion, absorption, faeces production, respiration and secondary production. The production of a Mytilus edulis culture exceeded primary production by about 6.25 times, whereas semi-exposed shallow-water populations of Cerastoderma edule and Mya arenaria had a production roughly equal to primary production. In an exposed area, the latter species had a secondary production:primary production ratio of 0.15:1, whereas for a deeper-living (40 m) Amphiura filiformis population this relation was 0.0034:1. M. edulis followed by C. edule and M. arenaria in the semi-exposed habitat had the comparatively lowest Respiration: Absorption ratios and the highest Production:Absorption ratios. This study emphasizes the ecological importance of horizontal advective processes for energy transfer from the pelagic to the benthic system.","author":[{"dropping-particle":"","family":"Loo","given":"Lars-Ove","non-dropping-particle":"","parse-names":false,"suffix":""},{"dropping-particle":"","family":"Rosenberg","given":"Rutger","non-dropping-particle":"","parse-names":false,"suffix":""}],"container-title":"Journal of Sea Research","id":"ITEM-1","issue":"1-3","issued":{"date-parts":[["1996","2"]]},"page":"199-207","title":"Production and energy budget in marine suspension feeding populations: &lt;i&gt;Mytilus edulis&lt;/i&gt;, &lt;i&gt;Cerastoderma edule&lt;/i&gt;, &lt;i&gt;Mya arenaria&lt;/i&gt; and &lt;i&gt;Amphiura filiformis&lt;/i&gt;","type":"article-journal","volume":"35"},"uris":["http://www.mendeley.com/documents/?uuid=c230cc78-17d4-396a-84d5-1ffe8228eaf7"]},{"id":"ITEM-2","itemData":{"DOI":"10.3354/meps022153","ISBN":"30.88387.251","ISSN":"0171-8630","abstract":"The influence of physical factors on the trophic structure of rocky intertidal communities in the Cape of Good Hope was investigated by examining species composition and biomass on shores subject to different conditions of substratum, sea temperature and wave exposure. Biomass of herbivores on shores with an unstable substratum was particularly high while the sessile filter-feeders and algae were impoverished, but actual rock type did not affect trophic structure. Sea temperature influenced species composition but not trophic structure which was most strongly affected by the degree of wave exposure. Exposure influenced both vertical distribution of biomass and trophic composition of total biomass. Total biomass showed a simple decrease upshore on sheltered shores but the pattern was more complex with greater exposure. Filter-feeders, carnivores and omnivores all exhibited significantly higher biornass under exposed conditions. Consequently the balance between consumers and primary producers shifted, implying alterations in the net balance between importation and exportation of production between these communities and the inshore marine system. The addition of huge filter-feeder components to the intertidal system resulted in significantly higher total biomass under exposed conditions. This allows the importation of production from the water column to a community in which consumers exhibit considerably higher standing crops than primary producers. Benthic carnivores exhibited a positive correlation with filter-feeder biomass. It is therefore suggested that domination of exposed shores by sessile filter-feeders and of sheltered shores by algae and mobile herbivores may explain divergent views in the literature on the relative importance of competition and disturbance/predation to community structure on rocky shores.","author":[{"dropping-particle":"","family":"McQuaid","given":"CD","non-dropping-particle":"","parse-names":false,"suffix":""},{"dropping-particle":"","family":"Branch","given":"GM","non-dropping-particle":"","parse-names":false,"suffix":""}],"container-title":"Marine Ecology Progress Series","id":"ITEM-2","issued":{"date-parts":[["1985"]]},"page":"153-161","title":"Trophic structure of rocky intertidal communities response to wave action and implications for energy flow","type":"article-journal","volume":"22"},"uris":["http://www.mendeley.com/documents/?uuid=824aecd9-ce4a-31d6-b1b1-6039aa72c89b"]},{"id":"ITEM-3","itemData":{"DOI":"10.1016/S0169-5347(98)01365-2","ISSN":"01695347","abstract":"In recent years, particular attention has been paid to coupling and energy transfer between benthos and plankton. Because of their abundance, certain benthic suspension feeders have been shown to have a major impact in marine ecosystems. They capture large quantities of particles and might directly regulate primary production and indirectly regulate secondary production in littoral food chains. Suspension feeders develop dense, three- dimensional communities whose structural complexity depends on flow speed. It has been postulated that these communities can self-organize to enhance food capture and thus establish boundary systems capable of successfully exploiting a less structured system, namely, the plankton.","author":[{"dropping-particle":"","family":"Gili","given":"Josep Maria","non-dropping-particle":"","parse-names":false,"suffix":""},{"dropping-particle":"","family":"Coma","given":"Rafel","non-dropping-particle":"","parse-names":false,"suffix":""}],"container-title":"Trends in Ecology and Evolution","id":"ITEM-3","issue":"8","issued":{"date-parts":[["1998"]]},"page":"316-321","title":"Benthic suspension feeders: Their paramount role in littoral marine food webs","type":"article","volume":"13"},"uris":["http://www.mendeley.com/documents/?uuid=ee4d8fcf-01fc-3efc-b452-41092d282103"]}],"mendeley":{"formattedCitation":"(Gili and Coma 1998; Loo and Rosenberg 1996; McQuaid and Branch 1985)","plainTextFormattedCitation":"(Gili and Coma 1998; Loo and Rosenberg 1996; McQuaid and Branch 1985)","previouslyFormattedCitation":"(Gili and Coma 1998; Loo and Rosenberg 1996; McQuaid and Branch 1985)"},"properties":{"noteIndex":0},"schema":"https://github.com/citation-style-language/schema/raw/master/csl-citation.json"}</w:instrText>
      </w:r>
      <w:r w:rsidR="000E31FF" w:rsidRPr="00533EAC">
        <w:rPr>
          <w:rFonts w:ascii="Arial" w:eastAsia="Calibri" w:hAnsi="Arial" w:cs="Arial"/>
          <w:color w:val="000000" w:themeColor="text1"/>
          <w:lang w:val="en-ZA"/>
        </w:rPr>
        <w:fldChar w:fldCharType="separate"/>
      </w:r>
      <w:r w:rsidR="000E31FF" w:rsidRPr="00533EAC">
        <w:rPr>
          <w:rFonts w:ascii="Arial" w:eastAsia="Calibri" w:hAnsi="Arial" w:cs="Arial"/>
          <w:noProof/>
          <w:color w:val="000000" w:themeColor="text1"/>
          <w:lang w:val="en-ZA"/>
        </w:rPr>
        <w:t>(Gili and Coma 1998; Loo and Rosenberg 1996; McQuaid and Branch 1985)</w:t>
      </w:r>
      <w:r w:rsidR="000E31FF" w:rsidRPr="00533EAC">
        <w:rPr>
          <w:rFonts w:ascii="Arial" w:eastAsia="Calibri" w:hAnsi="Arial" w:cs="Arial"/>
          <w:color w:val="000000" w:themeColor="text1"/>
          <w:lang w:val="en-ZA"/>
        </w:rPr>
        <w:fldChar w:fldCharType="end"/>
      </w:r>
      <w:r w:rsidR="000E31FF" w:rsidRPr="00533EAC">
        <w:rPr>
          <w:rFonts w:ascii="Arial" w:eastAsia="Calibri" w:hAnsi="Arial" w:cs="Arial"/>
          <w:color w:val="000000" w:themeColor="text1"/>
          <w:lang w:val="en-ZA"/>
        </w:rPr>
        <w:t xml:space="preserve">. </w:t>
      </w:r>
      <w:r w:rsidR="00B7678E" w:rsidRPr="00533EAC">
        <w:rPr>
          <w:rFonts w:ascii="Arial" w:eastAsia="Calibri" w:hAnsi="Arial" w:cs="Arial"/>
          <w:color w:val="000000" w:themeColor="text1"/>
          <w:lang w:val="en-ZA"/>
        </w:rPr>
        <w:t>T</w:t>
      </w:r>
      <w:r w:rsidR="005633D6" w:rsidRPr="00533EAC">
        <w:rPr>
          <w:rFonts w:ascii="Arial" w:eastAsia="Calibri" w:hAnsi="Arial" w:cs="Arial"/>
          <w:color w:val="000000" w:themeColor="text1"/>
          <w:lang w:val="en-ZA"/>
        </w:rPr>
        <w:t xml:space="preserve">he </w:t>
      </w:r>
      <w:r w:rsidR="00B7678E" w:rsidRPr="00533EAC">
        <w:rPr>
          <w:rFonts w:ascii="Arial" w:eastAsia="Calibri" w:hAnsi="Arial" w:cs="Arial"/>
          <w:color w:val="000000" w:themeColor="text1"/>
          <w:lang w:val="en-ZA"/>
        </w:rPr>
        <w:t xml:space="preserve">Ascidiacea </w:t>
      </w:r>
      <w:r w:rsidR="005633D6" w:rsidRPr="00533EAC">
        <w:rPr>
          <w:rFonts w:ascii="Arial" w:eastAsia="Calibri" w:hAnsi="Arial" w:cs="Arial"/>
          <w:color w:val="000000" w:themeColor="text1"/>
          <w:lang w:val="en-ZA"/>
        </w:rPr>
        <w:t xml:space="preserve">species </w:t>
      </w:r>
      <w:r w:rsidR="005633D6" w:rsidRPr="00533EAC">
        <w:rPr>
          <w:rFonts w:ascii="Arial" w:eastAsia="Calibri" w:hAnsi="Arial" w:cs="Arial"/>
          <w:i/>
          <w:color w:val="000000" w:themeColor="text1"/>
          <w:lang w:val="en-ZA"/>
        </w:rPr>
        <w:t xml:space="preserve">Pyura </w:t>
      </w:r>
      <w:proofErr w:type="spellStart"/>
      <w:r w:rsidR="00D13884" w:rsidRPr="00533EAC">
        <w:rPr>
          <w:rFonts w:ascii="Arial" w:eastAsia="Calibri" w:hAnsi="Arial" w:cs="Arial"/>
          <w:i/>
          <w:color w:val="000000" w:themeColor="text1"/>
          <w:lang w:val="en-ZA"/>
        </w:rPr>
        <w:t>herdmani</w:t>
      </w:r>
      <w:proofErr w:type="spellEnd"/>
      <w:r w:rsidR="00D13884" w:rsidRPr="00533EAC">
        <w:rPr>
          <w:rFonts w:ascii="Arial" w:eastAsia="Calibri" w:hAnsi="Arial" w:cs="Arial"/>
          <w:i/>
          <w:color w:val="000000" w:themeColor="text1"/>
          <w:lang w:val="en-ZA"/>
        </w:rPr>
        <w:t xml:space="preserve"> and P</w:t>
      </w:r>
      <w:r w:rsidR="00B7678E" w:rsidRPr="00533EAC">
        <w:rPr>
          <w:rFonts w:ascii="Arial" w:eastAsia="Calibri" w:hAnsi="Arial" w:cs="Arial"/>
          <w:i/>
          <w:color w:val="000000" w:themeColor="text1"/>
          <w:lang w:val="en-ZA"/>
        </w:rPr>
        <w:t xml:space="preserve">yura </w:t>
      </w:r>
      <w:r w:rsidR="005633D6" w:rsidRPr="00533EAC">
        <w:rPr>
          <w:rFonts w:ascii="Arial" w:eastAsia="Calibri" w:hAnsi="Arial" w:cs="Arial"/>
          <w:i/>
          <w:color w:val="000000" w:themeColor="text1"/>
          <w:lang w:val="en-ZA"/>
        </w:rPr>
        <w:t>stolonifera</w:t>
      </w:r>
      <w:r w:rsidR="005633D6" w:rsidRPr="00533EAC">
        <w:rPr>
          <w:rFonts w:ascii="Arial" w:eastAsia="Calibri" w:hAnsi="Arial" w:cs="Arial"/>
          <w:color w:val="000000" w:themeColor="text1"/>
          <w:lang w:val="en-ZA"/>
        </w:rPr>
        <w:t xml:space="preserve"> are </w:t>
      </w:r>
      <w:r w:rsidR="0058572A" w:rsidRPr="00533EAC">
        <w:rPr>
          <w:rFonts w:ascii="Arial" w:eastAsia="Calibri" w:hAnsi="Arial" w:cs="Arial"/>
          <w:color w:val="000000" w:themeColor="text1"/>
          <w:lang w:val="en-ZA"/>
        </w:rPr>
        <w:t xml:space="preserve">collectively </w:t>
      </w:r>
      <w:r w:rsidR="005633D6" w:rsidRPr="00533EAC">
        <w:rPr>
          <w:rFonts w:ascii="Arial" w:eastAsia="Calibri" w:hAnsi="Arial" w:cs="Arial"/>
          <w:color w:val="000000" w:themeColor="text1"/>
          <w:lang w:val="en-ZA"/>
        </w:rPr>
        <w:t>known as redbait</w:t>
      </w:r>
      <w:r w:rsidR="00B7678E" w:rsidRPr="00533EAC">
        <w:rPr>
          <w:rFonts w:ascii="Arial" w:eastAsia="Calibri" w:hAnsi="Arial" w:cs="Arial"/>
          <w:color w:val="000000" w:themeColor="text1"/>
          <w:lang w:val="en-ZA"/>
        </w:rPr>
        <w:t xml:space="preserve"> in South Africa</w:t>
      </w:r>
      <w:r w:rsidR="00254744" w:rsidRPr="00533EAC">
        <w:rPr>
          <w:rFonts w:ascii="Arial" w:eastAsia="Calibri" w:hAnsi="Arial" w:cs="Arial"/>
          <w:color w:val="000000" w:themeColor="text1"/>
          <w:lang w:val="en-ZA"/>
        </w:rPr>
        <w:t xml:space="preserve">. </w:t>
      </w:r>
      <w:r w:rsidR="00254744" w:rsidRPr="00533EAC">
        <w:rPr>
          <w:rFonts w:ascii="Arial" w:eastAsia="Calibri" w:hAnsi="Arial" w:cs="Arial"/>
          <w:i/>
          <w:iCs/>
          <w:color w:val="000000" w:themeColor="text1"/>
          <w:lang w:val="en-ZA"/>
        </w:rPr>
        <w:t xml:space="preserve">Pyura </w:t>
      </w:r>
      <w:proofErr w:type="spellStart"/>
      <w:r w:rsidR="00254744" w:rsidRPr="00533EAC">
        <w:rPr>
          <w:rFonts w:ascii="Arial" w:eastAsia="Calibri" w:hAnsi="Arial" w:cs="Arial"/>
          <w:i/>
          <w:iCs/>
          <w:color w:val="000000" w:themeColor="text1"/>
          <w:lang w:val="en-ZA"/>
        </w:rPr>
        <w:t>herdmani</w:t>
      </w:r>
      <w:proofErr w:type="spellEnd"/>
      <w:r w:rsidR="00254744" w:rsidRPr="00533EAC">
        <w:rPr>
          <w:rFonts w:ascii="Arial" w:eastAsia="Calibri" w:hAnsi="Arial" w:cs="Arial"/>
          <w:color w:val="000000" w:themeColor="text1"/>
          <w:lang w:val="en-ZA"/>
        </w:rPr>
        <w:t xml:space="preserve"> is also present in northwest Africa </w:t>
      </w:r>
      <w:r w:rsidR="00475C54" w:rsidRPr="00533EAC">
        <w:rPr>
          <w:rFonts w:ascii="Arial" w:eastAsia="Calibri" w:hAnsi="Arial" w:cs="Arial"/>
          <w:color w:val="000000" w:themeColor="text1"/>
          <w:lang w:val="en-ZA"/>
        </w:rPr>
        <w:fldChar w:fldCharType="begin" w:fldLock="1"/>
      </w:r>
      <w:r w:rsidR="00475C54" w:rsidRPr="00533EAC">
        <w:rPr>
          <w:rFonts w:ascii="Arial" w:eastAsia="Calibri" w:hAnsi="Arial" w:cs="Arial"/>
          <w:color w:val="000000" w:themeColor="text1"/>
          <w:lang w:val="en-ZA"/>
        </w:rPr>
        <w:instrText>ADDIN CSL_CITATION {"citationItems":[{"id":"ITEM-1","itemData":{"DOI":"10.1111/zoj.12036","abstract":"Cryptic diversity represents a major challenge to the accurate\\nassessment of biodiversity, but the combined use of genetic and\\nmorphological analyses has proven to be a powerful approach to detect\\nit. This is especially important for groups for which genetic\\ninformation is not yet available. Here, we studied the highly\\nconspicuous habitat-forming Pyura stolonifera species complex\\n(Tunicata), which, as has recently been revealed, shows surprising\\nlevels of cryptic diversity, but whose systematics and biogeographical\\npatterns in Australasia nonetheless remain poorly understood. We first\\npresent detailed taxonomic information of all the species associated\\nwith the P.stolonifera species complex. We then proceed to describe the\\nresults of an exhaustive survey that included south-east Australia,\\nTasmania, and New Zealand. Subsequently, we present morphological and\\nmitonuclear genetic analysis of two unresolved lineages that comprise\\nthe species Pyura praeputialis and a species that is formally described\\nhere (Pyura doppelgangerasp. nov.). Although the ranges of these two\\nspecies overlap on mainland Australia, we found no sites at which both\\nspecies live in sympatry, and there was no morphological or genetic\\nevidence of hybridization. Taken together, the present study illustrates\\nthe usefulness of a combined morphogenetic approach in unravelling\\noverlooked marine diversity in a relatively well-studied region.(c) 2013\\nThe Linnean Society of London","author":[{"dropping-particle":"","family":"Rius","given":"Marc","non-dropping-particle":"","parse-names":false,"suffix":""},{"dropping-particle":"","family":"Teske","given":"Peter R.","non-dropping-particle":"","parse-names":false,"suffix":""}],"container-title":"Zoological Journal of the Linnean Society","id":"ITEM-1","issue":"3","issued":{"date-parts":[["2013","7"]]},"page":"597-611","title":"Cryptic diversity in coastal Australasia: a morphological and mitonuclear genetic analysis of habitat-forming sibling species","type":"article-journal","volume":"168"},"uris":["http://www.mendeley.com/documents/?uuid=65ee8069-da84-3e71-aef1-dccc1909aa2c"]},{"id":"ITEM-2","itemData":{"ISSN":"11755334","abstract":"Pyura stolonifera is a large solitary ascidian found in Africa, Australasia and South America. The taxonomic status of different populations of this species is disputed, especially since there is evidence for several distinct morphological and genetic units that point towards the existence of multiple cryptic species. While some researchers still recognize P. stolonifera as a single species, others treat the different populations as distinct species. Here, we present a revision of the P. stolonifera species complex based on the examination of samples from all regions where there are reliable reports of this taxon. We recognize four species that are both morphologically and genetically distinct, one of which is new to science and is formally described here. This species is morphologically distinct from the other three members of the species complex in terms of the colour and texture of the tunic, the arrangement of the gonads within the gut and the shape of the dorsal tubercle, among other characters. We name the new species Pyura dalbyi after Dr. J.E. Dalby Jr., whose research on its ecology and distribution provided the incentive for examining this species more closely.","author":[{"dropping-particle":"","family":"Rius","given":"Marc","non-dropping-particle":"","parse-names":false,"suffix":""},{"dropping-particle":"","family":"Teske","given":"Peter R","non-dropping-particle":"","parse-names":false,"suffix":""}],"container-title":"Zootaxa","id":"ITEM-2","issue":"2754","issued":{"date-parts":[["2011"]]},"page":"27-40","title":"A revision of the &lt;i&gt;Pyura stolonifera&lt;/i&gt; species complex (Tunicata, Ascidiacea), with a description of a new species from Australia","type":"article-journal","volume":"2754"},"uris":["http://www.mendeley.com/documents/?uuid=2fb396ad-7091-30f4-aa5e-4ff7ab8e4fd8"]},{"id":"ITEM-3","itemData":{"DOI":"10.1186/1471-2148-11-176","ISBN":"1471-2148","ISSN":"1471-2148","PMID":"21693014","abstract":"Ecosystem engineers facilitate habitat formation and enhance biodiversity, but when they become invasive, they present a critical threat to native communities because they can drastically alter the receiving habitat. Management of such species thus needs to be a priority, but the poorly resolved taxonomy of many ecosystem engineers represents a major obstacle to correctly identifying them as being either native or introduced. We address this dilemma by studying the sea squirt Pyura stolonifera, an important ecosystem engineer that dominates coastal communities particularly in the southern hemisphere. Using DNA sequence data from four independently evolving loci, we aimed to determine levels of cryptic diversity, the invasive or native status of each regional population, and the most appropriate sampling design for identifying the geographic ranges of each evolutionary unit.","author":[{"dropping-particle":"","family":"Teske","given":"Peter R.","non-dropping-particle":"","parse-names":false,"suffix":""},{"dropping-particle":"","family":"Rius","given":"Marc","non-dropping-particle":"","parse-names":false,"suffix":""},{"dropping-particle":"","family":"McQuaid","given":"Christopher D.","non-dropping-particle":"","parse-names":false,"suffix":""},{"dropping-particle":"","family":"Styan","given":"Craig A.","non-dropping-particle":"","parse-names":false,"suffix":""},{"dropping-particle":"","family":"Piggott","given":"Maxine P.","non-dropping-particle":"","parse-names":false,"suffix":""},{"dropping-particle":"","family":"Benhissoune","given":"Saïd","non-dropping-particle":"","parse-names":false,"suffix":""},{"dropping-particle":"","family":"Fuentes-Grünewald","given":"Claudio","non-dropping-particle":"","parse-names":false,"suffix":""},{"dropping-particle":"","family":"Walls","given":"Kathy","non-dropping-particle":"","parse-names":false,"suffix":""},{"dropping-particle":"","family":"Page","given":"Mike","non-dropping-particle":"","parse-names":false,"suffix":""},{"dropping-particle":"","family":"Attard","given":"Catherine R.M.","non-dropping-particle":"","parse-names":false,"suffix":""},{"dropping-particle":"","family":"Cooke","given":"Georgina M.","non-dropping-particle":"","parse-names":false,"suffix":""},{"dropping-particle":"","family":"McClusky","given":"Claire F.","non-dropping-particle":"","parse-names":false,"suffix":""},{"dropping-particle":"","family":"Banks","given":"Sam C.","non-dropping-particle":"","parse-names":false,"suffix":""},{"dropping-particle":"","family":"Barker","given":"Nigel P.","non-dropping-particle":"","parse-names":false,"suffix":""},{"dropping-particle":"","family":"Beheregaray","given":"Luciano B.","non-dropping-particle":"","parse-names":false,"suffix":""}],"container-title":"BMC Evolutionary Biology","id":"ITEM-3","issue":"1","issued":{"date-parts":[["2011","12","21"]]},"page":"176","title":"\"Nested\" cryptic diversity in a widespread marine ecosystem engineer: a challenge for detecting biological invasions","type":"article-journal","volume":"11"},"uris":["http://www.mendeley.com/documents/?uuid=33defdbe-1589-366a-9be1-3e615968068d"]},{"id":"ITEM-4","itemData":{"abstract":"Various molecular dynamics simulations have been performed in order to clarify friction and wear mechanism in their transition region at an atomic level. The specimen and the slider are assumed to consist of monocrystalline copper and rigid diamond, respectively, and the Morse potential is postulated between a pair of atoms. The atomic behaviors in a plane corresponding to the (111) plane of the copper are simulated dealing with a plane strain problem. In the simulations, the influence of the indentation depth on friction-and-wear phenomena was investigated. As a result, the friction-and-wear process of copper by the hard particle were classified into four regions as follows: (1) friction process by atomic-scale stick-slip phenomenon, (2) friction process with elastic deformation, (3) wear process with ploughing due to removal of atoms, and (4) wear process with ploughing due to plastic deformation. Each feature was clarified. © 2004 by Allerton Press, Inc.","author":[{"dropping-particle":"","family":"Lafargue","given":"F.","non-dropping-particle":"","parse-names":false,"suffix":""},{"dropping-particle":"","family":"Wahl","given":"M.","non-dropping-particle":"","parse-names":false,"suffix":""}],"container-title":"Bulletin de l'Institut français d'Afrique noire","id":"ITEM-4","issue":"3-4","issued":{"date-parts":[["1986"]]},"page":"385-402","title":"Contribution to the knowledge of littoral ascidians (Ascidiacea, Tunicata) of the Senegalese coast","type":"article-journal","volume":"46A"},"uris":["http://www.mendeley.com/documents/?uuid=ca4aa90d-9930-3654-8ae6-192837d51a92"]},{"id":"ITEM-5","itemData":{"DOI":"10.1007/s13398-014-0173-7.2","ISBN":"9780874216561","ISSN":"13514180","PMID":"15991970","author":[{"dropping-particle":"","family":"Monniot","given":"Claude","non-dropping-particle":"","parse-names":false,"suffix":""},{"dropping-particle":"","family":"Bitar","given":"Ghazi","non-dropping-particle":"","parse-names":false,"suffix":""}],"container-title":"Bulletin de l'Institut Scientifique,","id":"ITEM-5","issue":"Rabat","issued":{"date-parts":[["1983"]]},"page":"83-91","title":"Sur la presence de Pyura stolonifera (Tunicata, Ascidiacea) a ras achaccar (cot Nord Atlantique Marocaine). Comparaison anatomique distinctive avec Pyura praeputialis","type":"article-journal","volume":"7"},"uris":["http://www.mendeley.com/documents/?uuid=4c1d6594-b561-3c01-9dfb-52719ec14ca8"]}],"mendeley":{"formattedCitation":"(Lafargue and Wahl 1986; Monniot and Bitar 1983; Rius and Teske 2011, 2013; Teske et al. 2011)","plainTextFormattedCitation":"(Lafargue and Wahl 1986; Monniot and Bitar 1983; Rius and Teske 2011, 2013; Teske et al. 2011)","previouslyFormattedCitation":"(Lafargue and Wahl 1986; Monniot and Bitar 1983; Rius and Teske 2011, 2013; Teske et al. 2011)"},"properties":{"noteIndex":0},"schema":"https://github.com/citation-style-language/schema/raw/master/csl-citation.json"}</w:instrText>
      </w:r>
      <w:r w:rsidR="00475C54" w:rsidRPr="00533EAC">
        <w:rPr>
          <w:rFonts w:ascii="Arial" w:eastAsia="Calibri" w:hAnsi="Arial" w:cs="Arial"/>
          <w:color w:val="000000" w:themeColor="text1"/>
          <w:lang w:val="en-ZA"/>
        </w:rPr>
        <w:fldChar w:fldCharType="separate"/>
      </w:r>
      <w:r w:rsidR="00475C54" w:rsidRPr="00533EAC">
        <w:rPr>
          <w:rFonts w:ascii="Arial" w:eastAsia="Calibri" w:hAnsi="Arial" w:cs="Arial"/>
          <w:noProof/>
          <w:color w:val="000000" w:themeColor="text1"/>
          <w:lang w:val="en-ZA"/>
        </w:rPr>
        <w:t>(Lafargue and Wahl 1986; Monniot and Bitar 1983; Rius and Teske 2011, 2013; Teske et al. 2011)</w:t>
      </w:r>
      <w:r w:rsidR="00475C54" w:rsidRPr="00533EAC">
        <w:rPr>
          <w:rFonts w:ascii="Arial" w:eastAsia="Calibri" w:hAnsi="Arial" w:cs="Arial"/>
          <w:color w:val="000000" w:themeColor="text1"/>
          <w:lang w:val="en-ZA"/>
        </w:rPr>
        <w:fldChar w:fldCharType="end"/>
      </w:r>
      <w:r w:rsidR="00475C54" w:rsidRPr="00533EAC">
        <w:rPr>
          <w:rFonts w:ascii="Arial" w:eastAsia="Calibri" w:hAnsi="Arial" w:cs="Arial"/>
          <w:color w:val="000000" w:themeColor="text1"/>
          <w:lang w:val="en-ZA"/>
        </w:rPr>
        <w:t xml:space="preserve">. </w:t>
      </w:r>
      <w:r w:rsidR="005633D6" w:rsidRPr="00533EAC">
        <w:rPr>
          <w:rFonts w:ascii="Arial" w:eastAsia="Calibri" w:hAnsi="Arial" w:cs="Arial"/>
          <w:color w:val="000000" w:themeColor="text1"/>
          <w:lang w:val="en-ZA"/>
        </w:rPr>
        <w:t>These</w:t>
      </w:r>
      <w:r w:rsidR="00094D89" w:rsidRPr="00533EAC">
        <w:rPr>
          <w:rFonts w:ascii="Arial" w:eastAsia="Calibri" w:hAnsi="Arial" w:cs="Arial"/>
          <w:color w:val="000000" w:themeColor="text1"/>
          <w:lang w:val="en-ZA"/>
        </w:rPr>
        <w:t xml:space="preserve"> filter-feeding</w:t>
      </w:r>
      <w:r w:rsidR="005633D6" w:rsidRPr="00533EAC">
        <w:rPr>
          <w:rFonts w:ascii="Arial" w:eastAsia="Calibri" w:hAnsi="Arial" w:cs="Arial"/>
          <w:color w:val="000000" w:themeColor="text1"/>
          <w:lang w:val="en-ZA"/>
        </w:rPr>
        <w:t xml:space="preserve"> sessile species live in intertidal </w:t>
      </w:r>
      <w:r w:rsidR="000E31FF" w:rsidRPr="00533EAC">
        <w:rPr>
          <w:rFonts w:ascii="Arial" w:eastAsia="Calibri" w:hAnsi="Arial" w:cs="Arial"/>
          <w:color w:val="000000" w:themeColor="text1"/>
          <w:lang w:val="en-ZA"/>
        </w:rPr>
        <w:t xml:space="preserve">and subtidal </w:t>
      </w:r>
      <w:r w:rsidR="005633D6" w:rsidRPr="00533EAC">
        <w:rPr>
          <w:rFonts w:ascii="Arial" w:eastAsia="Calibri" w:hAnsi="Arial" w:cs="Arial"/>
          <w:color w:val="000000" w:themeColor="text1"/>
          <w:lang w:val="en-ZA"/>
        </w:rPr>
        <w:t>habitats where</w:t>
      </w:r>
      <w:r w:rsidR="00402FBF" w:rsidRPr="00533EAC">
        <w:rPr>
          <w:rFonts w:ascii="Arial" w:eastAsia="Calibri" w:hAnsi="Arial" w:cs="Arial"/>
          <w:b/>
          <w:color w:val="000000" w:themeColor="text1"/>
          <w:lang w:val="en-ZA"/>
        </w:rPr>
        <w:t xml:space="preserve"> </w:t>
      </w:r>
      <w:r w:rsidR="005633D6" w:rsidRPr="00533EAC">
        <w:rPr>
          <w:rFonts w:ascii="Arial" w:eastAsia="Calibri" w:hAnsi="Arial" w:cs="Arial"/>
          <w:color w:val="000000" w:themeColor="text1"/>
          <w:lang w:val="en-ZA"/>
        </w:rPr>
        <w:t xml:space="preserve">they </w:t>
      </w:r>
      <w:r w:rsidR="000E31FF" w:rsidRPr="00533EAC">
        <w:rPr>
          <w:rFonts w:ascii="Arial" w:eastAsia="Calibri" w:hAnsi="Arial" w:cs="Arial"/>
          <w:color w:val="000000" w:themeColor="text1"/>
          <w:lang w:val="en-ZA"/>
        </w:rPr>
        <w:t>often form</w:t>
      </w:r>
      <w:r w:rsidR="005633D6" w:rsidRPr="00533EAC">
        <w:rPr>
          <w:rFonts w:ascii="Arial" w:eastAsia="Calibri" w:hAnsi="Arial" w:cs="Arial"/>
          <w:color w:val="000000" w:themeColor="text1"/>
          <w:lang w:val="en-ZA"/>
        </w:rPr>
        <w:t xml:space="preserve"> vast </w:t>
      </w:r>
      <w:r w:rsidR="000E31FF" w:rsidRPr="00533EAC">
        <w:rPr>
          <w:rFonts w:ascii="Arial" w:eastAsia="Calibri" w:hAnsi="Arial" w:cs="Arial"/>
          <w:color w:val="000000" w:themeColor="text1"/>
          <w:lang w:val="en-ZA"/>
        </w:rPr>
        <w:t>aggregations of densely spaced individuals</w:t>
      </w:r>
      <w:r w:rsidR="005633D6" w:rsidRPr="00533EAC">
        <w:rPr>
          <w:rFonts w:ascii="Arial" w:eastAsia="Calibri" w:hAnsi="Arial" w:cs="Arial"/>
          <w:color w:val="000000" w:themeColor="text1"/>
          <w:lang w:val="en-ZA"/>
        </w:rPr>
        <w:t xml:space="preserve"> </w:t>
      </w:r>
      <w:r w:rsidR="005633D6" w:rsidRPr="00533EAC">
        <w:rPr>
          <w:rFonts w:ascii="Arial" w:eastAsia="Calibri" w:hAnsi="Arial" w:cs="Arial"/>
          <w:color w:val="000000" w:themeColor="text1"/>
          <w:lang w:val="en-ZA"/>
        </w:rPr>
        <w:fldChar w:fldCharType="begin" w:fldLock="1"/>
      </w:r>
      <w:r w:rsidR="00450022" w:rsidRPr="00533EAC">
        <w:rPr>
          <w:rFonts w:ascii="Arial" w:eastAsia="Calibri" w:hAnsi="Arial" w:cs="Arial"/>
          <w:color w:val="000000" w:themeColor="text1"/>
          <w:lang w:val="en-ZA"/>
        </w:rPr>
        <w:instrText>ADDIN CSL_CITATION {"citationItems":[{"id":"ITEM-1","itemData":{"DOI":"10.1016/S0022-0981(02)00020-5","ISSN":"00220981","abstract":"Beds of the ascidian Pyura stolonifera on rocky shores around Sydney, Australia, provide an important habitat for many organisms, such as algae, chitons, limpets and snails. Fishermen collect Pyura for bait, which can change the structure of those beds. This may, in turn, cause changes in their associated biota. To predict the effects of such disturbances, it is necessary to understand the relationship between the structure of the habitat provided by beds of Pyura and their associated assemblages. Beds of Pyura can provide two types of habitat: Clumped, with &gt; 50% cover of closely packed individuals or Sparse, with &lt; 50% cover, where individuals are mostly isolated from contact with others. The spaces amongst the Pyura can be bare rock or rock covered by numerous species of algae and sessile animals. Nineteen algal species and 45 species of animals were identified in the field in Clumped and Sparse habitats. Assemblages differed significantly between patches of Clumped and Sparse habitat and much of the difference was attributable to relatively few species. In addition, a number of species of algae and animals live on the surface of the Pyura themselves. Eighty-four taxa were found at the scale of individual Pyura, many of which were relatively small and cryptic. Organisms on Pyura differed between individual ascidians that were isolated from other Pyura (i.e. a more common situation in Sparse habitat) and those that were surrounded by and in contact with other Pyura (i.e. more common in Clumped habitat). These differences were mostly attributed to a few families of small molluscs. It appears that changes in the structure of beds of Pyura have the potential to make significant alterations to intertidal assemblages at the scale of individual Pyura and at the scale of the habitats formed by beds of Pyura. © 2002 Elsevier Science B.V. All rights reserved.","author":[{"dropping-particle":"","family":"Monteiro","given":"S M","non-dropping-particle":"","parse-names":false,"suffix":""},{"dropping-particle":"","family":"Chapman","given":"M G","non-dropping-particle":"","parse-names":false,"suffix":""},{"dropping-particle":"","family":"Underwood","given":"A J","non-dropping-particle":"","parse-names":false,"suffix":""}],"container-title":"Journal of Experimental Marine Biology and Ecology","id":"ITEM-1","issue":"2","issued":{"date-parts":[["2002"]]},"page":"171-189","title":"Patches of the ascidian Pyura stolonifera (Heller, 1878): Structure of habitat and associated intertidal assemblages","type":"article-journal","volume":"270"},"uris":["http://www.mendeley.com/documents/?uuid=697e4537-6c73-3cbf-b497-fbd64cb8eda7"]},{"id":"ITEM-2","itemData":{"author":[{"dropping-particle":"","family":"Castilla","given":"J. C.","non-dropping-particle":"","parse-names":false,"suffix":""},{"dropping-particle":"","family":"Lagos","given":"Nelson A.","non-dropping-particle":"","parse-names":false,"suffix":""},{"dropping-particle":"","family":"Cerda","given":"Mauricio","non-dropping-particle":"","parse-names":false,"suffix":""}],"container-title":"Marine Ecology Progress Series","id":"ITEM-2","issued":{"date-parts":[["2004"]]},"page":"119-130","title":"Marine ecosystem engineering by the alien ascidian &lt;i&gt;Pyura praeputialis&lt;/i&gt; on a mid-intertidal rocky shore","type":"article-journal","volume":"268"},"uris":["http://www.mendeley.com/documents/?uuid=8eddc66c-1955-3cde-808b-d15c21124840"]}],"mendeley":{"formattedCitation":"(Castilla et al. 2004; Monteiro et al. 2002)","plainTextFormattedCitation":"(Castilla et al. 2004; Monteiro et al. 2002)","previouslyFormattedCitation":"(Castilla et al. 2004; Monteiro et al. 2002)"},"properties":{"noteIndex":0},"schema":"https://github.com/citation-style-language/schema/raw/master/csl-citation.json"}</w:instrText>
      </w:r>
      <w:r w:rsidR="005633D6" w:rsidRPr="00533EAC">
        <w:rPr>
          <w:rFonts w:ascii="Arial" w:eastAsia="Calibri" w:hAnsi="Arial" w:cs="Arial"/>
          <w:color w:val="000000" w:themeColor="text1"/>
          <w:lang w:val="en-ZA"/>
        </w:rPr>
        <w:fldChar w:fldCharType="separate"/>
      </w:r>
      <w:r w:rsidR="002E2E55" w:rsidRPr="00533EAC">
        <w:rPr>
          <w:rFonts w:ascii="Arial" w:eastAsia="Calibri" w:hAnsi="Arial" w:cs="Arial"/>
          <w:noProof/>
          <w:color w:val="000000" w:themeColor="text1"/>
          <w:lang w:val="en-ZA"/>
        </w:rPr>
        <w:t>(Castilla et al. 2004; Monteiro et al. 2002)</w:t>
      </w:r>
      <w:r w:rsidR="005633D6" w:rsidRPr="00533EAC">
        <w:rPr>
          <w:rFonts w:ascii="Arial" w:eastAsia="Calibri" w:hAnsi="Arial" w:cs="Arial"/>
          <w:color w:val="000000" w:themeColor="text1"/>
          <w:lang w:val="en-ZA"/>
        </w:rPr>
        <w:fldChar w:fldCharType="end"/>
      </w:r>
      <w:r w:rsidR="005633D6" w:rsidRPr="00533EAC">
        <w:rPr>
          <w:rFonts w:ascii="Arial" w:eastAsia="Calibri" w:hAnsi="Arial" w:cs="Arial"/>
          <w:color w:val="000000" w:themeColor="text1"/>
          <w:lang w:val="en-ZA"/>
        </w:rPr>
        <w:t xml:space="preserve">. </w:t>
      </w:r>
      <w:r w:rsidR="000E31FF" w:rsidRPr="00533EAC">
        <w:rPr>
          <w:rFonts w:ascii="Arial" w:eastAsia="Calibri" w:hAnsi="Arial" w:cs="Arial"/>
          <w:color w:val="000000" w:themeColor="text1"/>
          <w:lang w:val="en-ZA"/>
        </w:rPr>
        <w:t>They</w:t>
      </w:r>
      <w:r w:rsidR="008E084B" w:rsidRPr="00533EAC">
        <w:rPr>
          <w:rFonts w:ascii="Arial" w:eastAsia="Calibri" w:hAnsi="Arial" w:cs="Arial"/>
          <w:color w:val="000000" w:themeColor="text1"/>
          <w:lang w:val="en-ZA"/>
        </w:rPr>
        <w:t xml:space="preserve"> </w:t>
      </w:r>
      <w:r w:rsidR="000E31FF" w:rsidRPr="00533EAC">
        <w:rPr>
          <w:rFonts w:ascii="Arial" w:eastAsia="Calibri" w:hAnsi="Arial" w:cs="Arial"/>
          <w:color w:val="000000" w:themeColor="text1"/>
          <w:lang w:val="en-ZA"/>
        </w:rPr>
        <w:t>are among the most important</w:t>
      </w:r>
      <w:r w:rsidR="005633D6" w:rsidRPr="00533EAC">
        <w:rPr>
          <w:rFonts w:ascii="Arial" w:eastAsia="Calibri" w:hAnsi="Arial" w:cs="Arial"/>
          <w:color w:val="000000" w:themeColor="text1"/>
          <w:lang w:val="en-ZA"/>
        </w:rPr>
        <w:t xml:space="preserve"> bioengineers on rocky shores along </w:t>
      </w:r>
      <w:r w:rsidR="0058572A" w:rsidRPr="00533EAC">
        <w:rPr>
          <w:rFonts w:ascii="Arial" w:eastAsia="Calibri" w:hAnsi="Arial" w:cs="Arial"/>
          <w:color w:val="000000" w:themeColor="text1"/>
          <w:lang w:val="en-ZA"/>
        </w:rPr>
        <w:t>southern and north-western</w:t>
      </w:r>
      <w:r w:rsidR="005633D6" w:rsidRPr="00533EAC">
        <w:rPr>
          <w:rFonts w:ascii="Arial" w:eastAsia="Calibri" w:hAnsi="Arial" w:cs="Arial"/>
          <w:color w:val="000000" w:themeColor="text1"/>
          <w:lang w:val="en-ZA"/>
        </w:rPr>
        <w:t xml:space="preserve"> African coastline</w:t>
      </w:r>
      <w:r w:rsidR="0058572A" w:rsidRPr="00533EAC">
        <w:rPr>
          <w:rFonts w:ascii="Arial" w:eastAsia="Calibri" w:hAnsi="Arial" w:cs="Arial"/>
          <w:color w:val="000000" w:themeColor="text1"/>
          <w:lang w:val="en-ZA"/>
        </w:rPr>
        <w:t>s</w:t>
      </w:r>
      <w:r w:rsidR="005633D6" w:rsidRPr="00533EAC">
        <w:rPr>
          <w:rFonts w:ascii="Arial" w:eastAsia="Calibri" w:hAnsi="Arial" w:cs="Arial"/>
          <w:color w:val="000000" w:themeColor="text1"/>
          <w:lang w:val="en-ZA"/>
        </w:rPr>
        <w:t xml:space="preserve"> </w:t>
      </w:r>
      <w:r w:rsidR="005633D6" w:rsidRPr="00533EAC">
        <w:rPr>
          <w:rFonts w:ascii="Arial" w:eastAsia="Calibri" w:hAnsi="Arial" w:cs="Arial"/>
          <w:color w:val="000000" w:themeColor="text1"/>
          <w:lang w:val="en-ZA"/>
        </w:rPr>
        <w:fldChar w:fldCharType="begin" w:fldLock="1"/>
      </w:r>
      <w:r w:rsidR="0097798B" w:rsidRPr="00533EAC">
        <w:rPr>
          <w:rFonts w:ascii="Arial" w:eastAsia="Calibri" w:hAnsi="Arial" w:cs="Arial"/>
          <w:color w:val="000000" w:themeColor="text1"/>
          <w:lang w:val="en-ZA"/>
        </w:rPr>
        <w:instrText>ADDIN CSL_CITATION {"citationItems":[{"id":"ITEM-1","itemData":{"DOI":"10.1186/1471-2148-11-176","ISBN":"1471-2148","ISSN":"1471-2148","PMID":"21693014","abstract":"Ecosystem engineers facilitate habitat formation and enhance biodiversity, but when they become invasive, they present a critical threat to native communities because they can drastically alter the receiving habitat. Management of such species thus needs to be a priority, but the poorly resolved taxonomy of many ecosystem engineers represents a major obstacle to correctly identifying them as being either native or introduced. We address this dilemma by studying the sea squirt Pyura stolonifera, an important ecosystem engineer that dominates coastal communities particularly in the southern hemisphere. Using DNA sequence data from four independently evolving loci, we aimed to determine levels of cryptic diversity, the invasive or native status of each regional population, and the most appropriate sampling design for identifying the geographic ranges of each evolutionary unit.","author":[{"dropping-particle":"","family":"Teske","given":"Peter R.","non-dropping-particle":"","parse-names":false,"suffix":""},{"dropping-particle":"","family":"Rius","given":"Marc","non-dropping-particle":"","parse-names":false,"suffix":""},{"dropping-particle":"","family":"McQuaid","given":"Christopher D.","non-dropping-particle":"","parse-names":false,"suffix":""},{"dropping-particle":"","family":"Styan","given":"Craig A.","non-dropping-particle":"","parse-names":false,"suffix":""},{"dropping-particle":"","family":"Piggott","given":"Maxine P.","non-dropping-particle":"","parse-names":false,"suffix":""},{"dropping-particle":"","family":"Benhissoune","given":"Saïd","non-dropping-particle":"","parse-names":false,"suffix":""},{"dropping-particle":"","family":"Fuentes-Grünewald","given":"Claudio","non-dropping-particle":"","parse-names":false,"suffix":""},{"dropping-particle":"","family":"Walls","given":"Kathy","non-dropping-particle":"","parse-names":false,"suffix":""},{"dropping-particle":"","family":"Page","given":"Mike","non-dropping-particle":"","parse-names":false,"suffix":""},{"dropping-particle":"","family":"Attard","given":"Catherine R.M.","non-dropping-particle":"","parse-names":false,"suffix":""},{"dropping-particle":"","family":"Cooke","given":"Georgina M.","non-dropping-particle":"","parse-names":false,"suffix":""},{"dropping-particle":"","family":"McClusky","given":"Claire F.","non-dropping-particle":"","parse-names":false,"suffix":""},{"dropping-particle":"","family":"Banks","given":"Sam C.","non-dropping-particle":"","parse-names":false,"suffix":""},{"dropping-particle":"","family":"Barker","given":"Nigel P.","non-dropping-particle":"","parse-names":false,"suffix":""},{"dropping-particle":"","family":"Beheregaray","given":"Luciano B.","non-dropping-particle":"","parse-names":false,"suffix":""}],"container-title":"BMC Evolutionary Biology","id":"ITEM-1","issue":"1","issued":{"date-parts":[["2011","12","21"]]},"page":"176","title":"\"Nested\" cryptic diversity in a widespread marine ecosystem engineer: a challenge for detecting biological invasions","type":"article-journal","volume":"11"},"uris":["http://www.mendeley.com/documents/?uuid=33defdbe-1589-366a-9be1-3e615968068d"]}],"mendeley":{"formattedCitation":"(Teske et al. 2011)","plainTextFormattedCitation":"(Teske et al. 2011)","previouslyFormattedCitation":"(Teske et al. 2011)"},"properties":{"noteIndex":0},"schema":"https://github.com/citation-style-language/schema/raw/master/csl-citation.json"}</w:instrText>
      </w:r>
      <w:r w:rsidR="005633D6" w:rsidRPr="00533EAC">
        <w:rPr>
          <w:rFonts w:ascii="Arial" w:eastAsia="Calibri" w:hAnsi="Arial" w:cs="Arial"/>
          <w:color w:val="000000" w:themeColor="text1"/>
          <w:lang w:val="en-ZA"/>
        </w:rPr>
        <w:fldChar w:fldCharType="separate"/>
      </w:r>
      <w:r w:rsidR="003A4A3A" w:rsidRPr="00533EAC">
        <w:rPr>
          <w:rFonts w:ascii="Arial" w:eastAsia="Calibri" w:hAnsi="Arial" w:cs="Arial"/>
          <w:noProof/>
          <w:color w:val="000000" w:themeColor="text1"/>
          <w:lang w:val="en-ZA"/>
        </w:rPr>
        <w:t>(Teske et al. 2011)</w:t>
      </w:r>
      <w:r w:rsidR="005633D6" w:rsidRPr="00533EAC">
        <w:rPr>
          <w:rFonts w:ascii="Arial" w:eastAsia="Calibri" w:hAnsi="Arial" w:cs="Arial"/>
          <w:color w:val="000000" w:themeColor="text1"/>
          <w:lang w:val="en-ZA"/>
        </w:rPr>
        <w:fldChar w:fldCharType="end"/>
      </w:r>
      <w:r w:rsidR="005633D6" w:rsidRPr="00533EAC">
        <w:rPr>
          <w:rFonts w:ascii="Arial" w:eastAsia="Calibri" w:hAnsi="Arial" w:cs="Arial"/>
          <w:color w:val="000000" w:themeColor="text1"/>
          <w:lang w:val="en-ZA"/>
        </w:rPr>
        <w:t>. Being a dominant component of benthic communities</w:t>
      </w:r>
      <w:bookmarkStart w:id="2" w:name="_GoBack"/>
      <w:bookmarkEnd w:id="2"/>
      <w:r w:rsidR="005633D6" w:rsidRPr="00533EAC">
        <w:rPr>
          <w:rFonts w:ascii="Arial" w:eastAsia="Calibri" w:hAnsi="Arial" w:cs="Arial"/>
          <w:color w:val="000000" w:themeColor="text1"/>
          <w:lang w:val="en-ZA"/>
        </w:rPr>
        <w:t xml:space="preserve">, they act as bioengineers </w:t>
      </w:r>
      <w:r w:rsidR="005633D6" w:rsidRPr="00533EAC">
        <w:rPr>
          <w:rFonts w:ascii="Arial" w:eastAsia="Calibri" w:hAnsi="Arial" w:cs="Arial"/>
          <w:color w:val="000000" w:themeColor="text1"/>
          <w:lang w:val="en-ZA"/>
        </w:rPr>
        <w:fldChar w:fldCharType="begin" w:fldLock="1"/>
      </w:r>
      <w:r w:rsidR="0097798B" w:rsidRPr="00533EAC">
        <w:rPr>
          <w:rFonts w:ascii="Arial" w:eastAsia="Calibri" w:hAnsi="Arial" w:cs="Arial"/>
          <w:color w:val="000000" w:themeColor="text1"/>
          <w:lang w:val="en-ZA"/>
        </w:rPr>
        <w:instrText>ADDIN CSL_CITATION {"citationItems":[{"id":"ITEM-1","itemData":{"DOI":"10.1007/978-1-4615-1773-3_14","ISBN":"978-1-4615-1773-3","abstract":"Ecosystem engineers are organisms that directly or indirectly modulate the availability of resources to other species, by causing physical state changes in biotic or abiotic materials. In so doing they modify, maintain, and create habitats. Autogenic engineers (e.g corals, trees) change the environment via their own physical structures. Allogenic engineers (woodpeckers, beavers) change their environment by transforming living or non-living materials from one physical state to another, mechanically or otherwise.","author":[{"dropping-particle":"","family":"Lawton","given":"John H.","non-dropping-particle":"","parse-names":false,"suffix":""},{"dropping-particle":"","family":"Jones","given":"Clive G.","non-dropping-particle":"","parse-names":false,"suffix":""}],"container-title":"Linking Species &amp; Ecosystems","editor":[{"dropping-particle":"","family":"Jones Clive G.","given":"","non-dropping-particle":"","parse-names":false,"suffix":""},{"dropping-particle":"","family":"and Lawton","given":"John H","non-dropping-particle":"","parse-names":false,"suffix":""}],"id":"ITEM-1","issued":{"date-parts":[["1995"]]},"page":"141-150","publisher":"Springer US","publisher-place":"Boston, MA","title":"Linking Species and Ecosystems: Organisms as Ecosystem Engineers","type":"chapter"},"uris":["http://www.mendeley.com/documents/?uuid=e34023d0-4d53-3487-9d43-b04f4d4096b4"]}],"mendeley":{"formattedCitation":"(Lawton and Jones 1995)","plainTextFormattedCitation":"(Lawton and Jones 1995)","previouslyFormattedCitation":"(Lawton and Jones 1995)"},"properties":{"noteIndex":0},"schema":"https://github.com/citation-style-language/schema/raw/master/csl-citation.json"}</w:instrText>
      </w:r>
      <w:r w:rsidR="005633D6" w:rsidRPr="00533EAC">
        <w:rPr>
          <w:rFonts w:ascii="Arial" w:eastAsia="Calibri" w:hAnsi="Arial" w:cs="Arial"/>
          <w:color w:val="000000" w:themeColor="text1"/>
          <w:lang w:val="en-ZA"/>
        </w:rPr>
        <w:fldChar w:fldCharType="separate"/>
      </w:r>
      <w:r w:rsidR="003A4A3A" w:rsidRPr="00533EAC">
        <w:rPr>
          <w:rFonts w:ascii="Arial" w:eastAsia="Calibri" w:hAnsi="Arial" w:cs="Arial"/>
          <w:noProof/>
          <w:color w:val="000000" w:themeColor="text1"/>
          <w:lang w:val="en-ZA"/>
        </w:rPr>
        <w:t>(Lawton and Jones 1995)</w:t>
      </w:r>
      <w:r w:rsidR="005633D6" w:rsidRPr="00533EAC">
        <w:rPr>
          <w:rFonts w:ascii="Arial" w:eastAsia="Calibri" w:hAnsi="Arial" w:cs="Arial"/>
          <w:color w:val="000000" w:themeColor="text1"/>
          <w:lang w:val="en-ZA"/>
        </w:rPr>
        <w:fldChar w:fldCharType="end"/>
      </w:r>
      <w:r w:rsidR="005633D6" w:rsidRPr="00533EAC">
        <w:rPr>
          <w:rFonts w:ascii="Arial" w:eastAsia="Calibri" w:hAnsi="Arial" w:cs="Arial"/>
          <w:color w:val="000000" w:themeColor="text1"/>
          <w:lang w:val="en-ZA"/>
        </w:rPr>
        <w:t xml:space="preserve">, occupying </w:t>
      </w:r>
      <w:r w:rsidR="000E31FF" w:rsidRPr="00533EAC">
        <w:rPr>
          <w:rFonts w:ascii="Arial" w:eastAsia="Calibri" w:hAnsi="Arial" w:cs="Arial"/>
          <w:color w:val="000000" w:themeColor="text1"/>
          <w:lang w:val="en-ZA"/>
        </w:rPr>
        <w:t xml:space="preserve">much of the </w:t>
      </w:r>
      <w:r w:rsidR="005633D6" w:rsidRPr="00533EAC">
        <w:rPr>
          <w:rFonts w:ascii="Arial" w:eastAsia="Calibri" w:hAnsi="Arial" w:cs="Arial"/>
          <w:color w:val="000000" w:themeColor="text1"/>
          <w:lang w:val="en-ZA"/>
        </w:rPr>
        <w:t xml:space="preserve">available space </w:t>
      </w:r>
      <w:r w:rsidR="005633D6" w:rsidRPr="00533EAC">
        <w:rPr>
          <w:rFonts w:ascii="Arial" w:eastAsia="Calibri" w:hAnsi="Arial" w:cs="Arial"/>
          <w:color w:val="000000" w:themeColor="text1"/>
          <w:lang w:val="en-ZA"/>
        </w:rPr>
        <w:fldChar w:fldCharType="begin" w:fldLock="1"/>
      </w:r>
      <w:r w:rsidR="0097798B" w:rsidRPr="00533EAC">
        <w:rPr>
          <w:rFonts w:ascii="Arial" w:eastAsia="Calibri" w:hAnsi="Arial" w:cs="Arial"/>
          <w:color w:val="000000" w:themeColor="text1"/>
          <w:lang w:val="en-ZA"/>
        </w:rPr>
        <w:instrText>ADDIN CSL_CITATION {"citationItems":[{"id":"ITEM-1","itemData":{"author":[{"dropping-particle":"","family":"Castilla","given":"J. C.","non-dropping-particle":"","parse-names":false,"suffix":""},{"dropping-particle":"","family":"Lagos","given":"Nelson A.","non-dropping-particle":"","parse-names":false,"suffix":""},{"dropping-particle":"","family":"Cerda","given":"Mauricio","non-dropping-particle":"","parse-names":false,"suffix":""}],"container-title":"Marine Ecology Progress Series","id":"ITEM-1","issued":{"date-parts":[["2004"]]},"page":"119-130","title":"Marine ecosystem engineering by the alien ascidian &lt;i&gt;Pyura praeputialis&lt;/i&gt; on a mid-intertidal rocky shore","type":"article-journal","volume":"268"},"uris":["http://www.mendeley.com/documents/?uuid=8eddc66c-1955-3cde-808b-d15c21124840"]}],"mendeley":{"formattedCitation":"(Castilla et al. 2004)","plainTextFormattedCitation":"(Castilla et al. 2004)","previouslyFormattedCitation":"(Castilla et al. 2004)"},"properties":{"noteIndex":0},"schema":"https://github.com/citation-style-language/schema/raw/master/csl-citation.json"}</w:instrText>
      </w:r>
      <w:r w:rsidR="005633D6" w:rsidRPr="00533EAC">
        <w:rPr>
          <w:rFonts w:ascii="Arial" w:eastAsia="Calibri" w:hAnsi="Arial" w:cs="Arial"/>
          <w:color w:val="000000" w:themeColor="text1"/>
          <w:lang w:val="en-ZA"/>
        </w:rPr>
        <w:fldChar w:fldCharType="separate"/>
      </w:r>
      <w:r w:rsidR="003A4A3A" w:rsidRPr="00533EAC">
        <w:rPr>
          <w:rFonts w:ascii="Arial" w:eastAsia="Calibri" w:hAnsi="Arial" w:cs="Arial"/>
          <w:noProof/>
          <w:color w:val="000000" w:themeColor="text1"/>
          <w:lang w:val="en-ZA"/>
        </w:rPr>
        <w:t>(Castilla et al. 2004)</w:t>
      </w:r>
      <w:r w:rsidR="005633D6" w:rsidRPr="00533EAC">
        <w:rPr>
          <w:rFonts w:ascii="Arial" w:eastAsia="Calibri" w:hAnsi="Arial" w:cs="Arial"/>
          <w:color w:val="000000" w:themeColor="text1"/>
          <w:lang w:val="en-ZA"/>
        </w:rPr>
        <w:fldChar w:fldCharType="end"/>
      </w:r>
      <w:r w:rsidR="005633D6" w:rsidRPr="00533EAC">
        <w:rPr>
          <w:rFonts w:ascii="Arial" w:eastAsia="Calibri" w:hAnsi="Arial" w:cs="Arial"/>
          <w:color w:val="000000" w:themeColor="text1"/>
          <w:lang w:val="en-ZA"/>
        </w:rPr>
        <w:t xml:space="preserve">, increasing architectural complexity </w:t>
      </w:r>
      <w:r w:rsidR="005633D6" w:rsidRPr="00533EAC">
        <w:rPr>
          <w:rFonts w:ascii="Arial" w:eastAsia="Calibri" w:hAnsi="Arial" w:cs="Arial"/>
          <w:color w:val="000000" w:themeColor="text1"/>
          <w:lang w:val="en-ZA"/>
        </w:rPr>
        <w:fldChar w:fldCharType="begin" w:fldLock="1"/>
      </w:r>
      <w:r w:rsidR="0097798B" w:rsidRPr="00533EAC">
        <w:rPr>
          <w:rFonts w:ascii="Arial" w:eastAsia="Calibri" w:hAnsi="Arial" w:cs="Arial"/>
          <w:color w:val="000000" w:themeColor="text1"/>
          <w:lang w:val="en-ZA"/>
        </w:rPr>
        <w:instrText>ADDIN CSL_CITATION {"citationItems":[{"id":"ITEM-1","itemData":{"DOI":"10.1890/0012-9658(2001)082[2331:AATMOS]2.0.CO;2","ISSN":"00129658","abstract":"A tridimensional allometric model of self-thinning was tested in a tunicate population of Pyura praeputialis in the Antofagasta Bay, northern Chile. The theory tested follows the bidimensionzil allometric theory of Osawa and Allen for the self-thinning rule proposed for plants, except that in addition to mean individual mass we included three new concepts: the number of layers (an equivalent of the leaf area index, [LAI] used in plants), the effective unit area, and the density per unit effective area. We assumed constant tunicate mass per effective unit area and allometry for mean dimensions of the population: The tridimensional model can be reduced to a bidimensional one if density is expressed as the density per unit effective area, which corresponds to the number of individuals relative to the effective area occupied by individuals when they conform a monolayer. The model allows for random sampling and rules out the selection for samples or stands at maximum crowding. The self-thinning of P. praeputialis through a tridimensional model showed an exponent of -1.518 (95% CI, -1.635 to -1.401) for mean tunicate visceral mass, and an exponent of -1.489 (95% CI, -1.588 to -1.390) for the corrected bidimensional model. The two exponents were identical to those predicted from tridimensional allometric theory. The results of this new approach increase the variance explained in comparison to that of classical bidimensional models.","author":[{"dropping-particle":"","family":"Guiñez","given":"Ricardo","non-dropping-particle":"","parse-names":false,"suffix":""},{"dropping-particle":"","family":"Castilla","given":"Juan Carlos","non-dropping-particle":"","parse-names":false,"suffix":""}],"container-title":"Ecology","id":"ITEM-1","issue":"8","issued":{"date-parts":[["2001","8","1"]]},"note":"doi: 10.1890/0012-9658(2001)082[2331:AATMOS]2.0.CO;2","page":"2331-2341","publisher":"John Wiley &amp; Sons, Ltd","title":"An allometric tridimensional model of self-thinning for a gregarious tunicate","type":"article-journal","volume":"82"},"uris":["http://www.mendeley.com/documents/?uuid=0e3749d7-8c7f-311f-9e62-db3027d1749a"]}],"mendeley":{"formattedCitation":"(Guiñez and Castilla 2001)","plainTextFormattedCitation":"(Guiñez and Castilla 2001)","previouslyFormattedCitation":"(Guiñez and Castilla 2001)"},"properties":{"noteIndex":0},"schema":"https://github.com/citation-style-language/schema/raw/master/csl-citation.json"}</w:instrText>
      </w:r>
      <w:r w:rsidR="005633D6" w:rsidRPr="00533EAC">
        <w:rPr>
          <w:rFonts w:ascii="Arial" w:eastAsia="Calibri" w:hAnsi="Arial" w:cs="Arial"/>
          <w:color w:val="000000" w:themeColor="text1"/>
          <w:lang w:val="en-ZA"/>
        </w:rPr>
        <w:fldChar w:fldCharType="separate"/>
      </w:r>
      <w:r w:rsidR="003A4A3A" w:rsidRPr="00533EAC">
        <w:rPr>
          <w:rFonts w:ascii="Arial" w:eastAsia="Calibri" w:hAnsi="Arial" w:cs="Arial"/>
          <w:noProof/>
          <w:color w:val="000000" w:themeColor="text1"/>
          <w:lang w:val="en-ZA"/>
        </w:rPr>
        <w:t>(Guiñez and Castilla 2001)</w:t>
      </w:r>
      <w:r w:rsidR="005633D6" w:rsidRPr="00533EAC">
        <w:rPr>
          <w:rFonts w:ascii="Arial" w:eastAsia="Calibri" w:hAnsi="Arial" w:cs="Arial"/>
          <w:color w:val="000000" w:themeColor="text1"/>
          <w:lang w:val="en-ZA"/>
        </w:rPr>
        <w:fldChar w:fldCharType="end"/>
      </w:r>
      <w:r w:rsidR="005633D6" w:rsidRPr="00533EAC">
        <w:rPr>
          <w:rFonts w:ascii="Arial" w:eastAsia="Calibri" w:hAnsi="Arial" w:cs="Arial"/>
          <w:color w:val="000000" w:themeColor="text1"/>
          <w:lang w:val="en-ZA"/>
        </w:rPr>
        <w:t xml:space="preserve"> and enhancing species richness </w:t>
      </w:r>
      <w:r w:rsidR="005633D6" w:rsidRPr="00533EAC">
        <w:rPr>
          <w:rFonts w:ascii="Arial" w:eastAsia="Calibri" w:hAnsi="Arial" w:cs="Arial"/>
          <w:color w:val="000000" w:themeColor="text1"/>
          <w:lang w:val="en-ZA"/>
        </w:rPr>
        <w:fldChar w:fldCharType="begin" w:fldLock="1"/>
      </w:r>
      <w:r w:rsidR="0097798B" w:rsidRPr="00533EAC">
        <w:rPr>
          <w:rFonts w:ascii="Arial" w:eastAsia="Calibri" w:hAnsi="Arial" w:cs="Arial"/>
          <w:color w:val="000000" w:themeColor="text1"/>
          <w:lang w:val="en-ZA"/>
        </w:rPr>
        <w:instrText>ADDIN CSL_CITATION {"citationItems":[{"id":"ITEM-1","itemData":{"DOI":"10.1890/09-2152.1","ISSN":"00129658","abstract":"Temperature and primary production (often linked to nutrient supply) are two of the few factors influencing species diversity and abundances across mesoscale gradients, while at smaller scales the habitat complexity offered by bioengineers is important. Previous studies have illustrated effects of upwelling and biogeography on intertidal bioengineers, but it is not known if these processes influence assemblages associated with those bioengineers in a similar way. We examined the habitat structure offered by two species of mussels and their associated fauna in five regions across 3000 km and three biogeographic provinces of the South African coast, replicating upwelling and non-upwelling areas within each region. Upwelling and region influenced the structure of mussel beds (the density and size of mussels). In contrast, upwelling did not influence mesoscale differences in composition, abundance, and numbers of species of crustaceans, mollusks, or polychaetes in mussel beds. Regardless of trophic level or mode of reproduction, mussel bed fauna were influenced only by region. Regional differences were strongly influenced by biogeography. The associated fauna was, however, also strongly correlated with the structure of the habitats created by mussels. Our results support the importance of upwelling to a critical ecosystem engineer, but show that these effects do not extend directly to the assemblages of associated fauna, which are more influenced by regional-scale effects and biogeography. We suggest that mesoscale patterns in the associated fauna of this bioengineered habitat are driven by the direct effects of biogeography, combined with the influence of biogeography and upwelling on mussel bed structure. © 2010 by the Ecological Society of America.","author":[{"dropping-particle":"","family":"Cole","given":"Victoria J","non-dropping-particle":"","parse-names":false,"suffix":""},{"dropping-particle":"","family":"McQuaid","given":"Christopher D.","non-dropping-particle":"","parse-names":false,"suffix":""}],"container-title":"Ecology","id":"ITEM-1","issue":"12","issued":{"date-parts":[["2010","12","1"]]},"note":"doi: 10.1890/09-2152.1","page":"3549-3562","publisher":"John Wiley &amp; Sons, Ltd","title":"Bioengineers and their associated fauna respond differently to the effects of biogeography and upwelling","type":"article-journal","volume":"91"},"uris":["http://www.mendeley.com/documents/?uuid=88ecb397-f899-397b-91d2-16dec6abaa2c"]}],"mendeley":{"formattedCitation":"(Cole and McQuaid 2010)","plainTextFormattedCitation":"(Cole and McQuaid 2010)","previouslyFormattedCitation":"(Cole and McQuaid 2010)"},"properties":{"noteIndex":0},"schema":"https://github.com/citation-style-language/schema/raw/master/csl-citation.json"}</w:instrText>
      </w:r>
      <w:r w:rsidR="005633D6" w:rsidRPr="00533EAC">
        <w:rPr>
          <w:rFonts w:ascii="Arial" w:eastAsia="Calibri" w:hAnsi="Arial" w:cs="Arial"/>
          <w:color w:val="000000" w:themeColor="text1"/>
          <w:lang w:val="en-ZA"/>
        </w:rPr>
        <w:fldChar w:fldCharType="separate"/>
      </w:r>
      <w:r w:rsidR="003A4A3A" w:rsidRPr="00533EAC">
        <w:rPr>
          <w:rFonts w:ascii="Arial" w:eastAsia="Calibri" w:hAnsi="Arial" w:cs="Arial"/>
          <w:noProof/>
          <w:color w:val="000000" w:themeColor="text1"/>
          <w:lang w:val="en-ZA"/>
        </w:rPr>
        <w:t>(Cole and McQuaid 2010)</w:t>
      </w:r>
      <w:r w:rsidR="005633D6" w:rsidRPr="00533EAC">
        <w:rPr>
          <w:rFonts w:ascii="Arial" w:eastAsia="Calibri" w:hAnsi="Arial" w:cs="Arial"/>
          <w:color w:val="000000" w:themeColor="text1"/>
          <w:lang w:val="en-ZA"/>
        </w:rPr>
        <w:fldChar w:fldCharType="end"/>
      </w:r>
      <w:r w:rsidR="005633D6" w:rsidRPr="00533EAC">
        <w:rPr>
          <w:rFonts w:ascii="Arial" w:eastAsia="Calibri" w:hAnsi="Arial" w:cs="Arial"/>
          <w:color w:val="000000" w:themeColor="text1"/>
          <w:lang w:val="en-ZA"/>
        </w:rPr>
        <w:t xml:space="preserve">. The monitoring of </w:t>
      </w:r>
      <w:r w:rsidR="00B5647E" w:rsidRPr="00533EAC">
        <w:rPr>
          <w:rFonts w:ascii="Arial" w:eastAsia="Calibri" w:hAnsi="Arial" w:cs="Arial"/>
          <w:color w:val="000000" w:themeColor="text1"/>
          <w:lang w:val="en-ZA"/>
        </w:rPr>
        <w:t xml:space="preserve">population dynamics </w:t>
      </w:r>
      <w:r w:rsidR="005633D6" w:rsidRPr="00533EAC">
        <w:rPr>
          <w:rFonts w:ascii="Arial" w:eastAsia="Calibri" w:hAnsi="Arial" w:cs="Arial"/>
          <w:color w:val="000000" w:themeColor="text1"/>
          <w:lang w:val="en-ZA"/>
        </w:rPr>
        <w:t>of the</w:t>
      </w:r>
      <w:r w:rsidR="008E084B" w:rsidRPr="00533EAC">
        <w:rPr>
          <w:rFonts w:ascii="Arial" w:eastAsia="Calibri" w:hAnsi="Arial" w:cs="Arial"/>
          <w:color w:val="000000" w:themeColor="text1"/>
          <w:lang w:val="en-ZA"/>
        </w:rPr>
        <w:t>se</w:t>
      </w:r>
      <w:r w:rsidR="005633D6" w:rsidRPr="00533EAC">
        <w:rPr>
          <w:rFonts w:ascii="Arial" w:eastAsia="Calibri" w:hAnsi="Arial" w:cs="Arial"/>
          <w:color w:val="000000" w:themeColor="text1"/>
          <w:lang w:val="en-ZA"/>
        </w:rPr>
        <w:t xml:space="preserve"> dominant species is important to assess the status of rocky shore ecosystem, which </w:t>
      </w:r>
      <w:r w:rsidR="00B664BA" w:rsidRPr="00533EAC">
        <w:rPr>
          <w:rFonts w:ascii="Arial" w:eastAsia="Calibri" w:hAnsi="Arial" w:cs="Arial"/>
          <w:color w:val="000000" w:themeColor="text1"/>
          <w:lang w:val="en-ZA"/>
        </w:rPr>
        <w:t xml:space="preserve">can </w:t>
      </w:r>
      <w:r w:rsidR="005633D6" w:rsidRPr="00533EAC">
        <w:rPr>
          <w:rFonts w:ascii="Arial" w:eastAsia="Calibri" w:hAnsi="Arial" w:cs="Arial"/>
          <w:color w:val="000000" w:themeColor="text1"/>
          <w:lang w:val="en-ZA"/>
        </w:rPr>
        <w:t xml:space="preserve">be affected by a variety of stressors and diseases </w:t>
      </w:r>
      <w:r w:rsidR="005633D6" w:rsidRPr="00533EAC">
        <w:rPr>
          <w:rFonts w:ascii="Arial" w:eastAsia="Calibri" w:hAnsi="Arial" w:cs="Arial"/>
          <w:color w:val="000000" w:themeColor="text1"/>
          <w:lang w:val="en-ZA"/>
        </w:rPr>
        <w:fldChar w:fldCharType="begin" w:fldLock="1"/>
      </w:r>
      <w:r w:rsidR="0097798B" w:rsidRPr="00533EAC">
        <w:rPr>
          <w:rFonts w:ascii="Arial" w:eastAsia="Calibri" w:hAnsi="Arial" w:cs="Arial"/>
          <w:color w:val="000000" w:themeColor="text1"/>
          <w:lang w:val="en-ZA"/>
        </w:rPr>
        <w:instrText>ADDIN CSL_CITATION {"citationItems":[{"id":"ITEM-1","itemData":{"DOI":"10.2989/025776199784125953","ISSN":"02577615","abstract":"A mass mortality of the ascidian Pyura stolonifera (red-bait) was recorded along the Tsitsikamma coast of South Africa in May 1991, following the infection of a large proportion of the population with a white microbial growth. At nine subtidal red-bait beds, reductions in percentage cover of red-bait were greatest on the crests of reefs (42 ± 17%:1SD) and lowest on the landward edges (17 ± 8%). The test of P. stolonifera appeared to be the main site of the microbial infection. Scanning electron and epifluorescent microscopy revealed much higher numbers of bacteria on the tests of infected individuals (64.3 ± 5.5 x 106·mm-2) compared to healthy ones (5.1 ± 0.1 x 106·mm-2). Fat, curved rod bacteria and thick chains, which accounted for more than 45% of the bacteria on infected red-bait tests, were absent from the tests of healthy red-bait. Standard characterization techniques, coupled with API tests, showed that the isolates from infected red-bait tests belonged exclusively to the genus Vibrio, whereas isolates from healthy tests included the genera Vibrio, Pseudomonas, Aeromonas and Flavobacterium/Cytophaga. The mass mortality therefore appeared to be associated with the proliferation of large curved rod bacteria of the genus Vibrio. Recolonization by P. stolonifera into areas naturally denuded of red-bait was significantly faster than for experimental plots cleared of all organisms during the mid 1980s. A mean cover of 33 ± 4% was recorded for P. stolonifera after 38 months following natural mortality, whereas it took 71 months to achieve a comparable recovery of 35 ± 20% in experimental plots. Possible reasons for this difference (viz. substratum, recruitment and predation) are explored.","author":[{"dropping-particle":"","family":"Hanekom","given":"N.","non-dropping-particle":"","parse-names":false,"suffix":""},{"dropping-particle":"","family":"Harris","given":"J. M.","non-dropping-particle":"","parse-names":false,"suffix":""},{"dropping-particle":"","family":"Branch","given":"G. M.","non-dropping-particle":"","parse-names":false,"suffix":""},{"dropping-particle":"","family":"Allen","given":"J. C.","non-dropping-particle":"","parse-names":false,"suffix":""}],"container-title":"South African Journal of Marine Science","id":"ITEM-1","issue":"21","issued":{"date-parts":[["1999"]]},"page":"117-133","title":"Mass mortality and recolonization of&lt;i&gt; Pyura stolonifera&lt;/i&gt; (Heller) on the South Coast of South Africa","type":"article-journal"},"uris":["http://www.mendeley.com/documents/?uuid=e15e3deb-6be5-3c69-ae4b-d6cab3b398bf"]}],"mendeley":{"formattedCitation":"(Hanekom et al. 1999)","plainTextFormattedCitation":"(Hanekom et al. 1999)","previouslyFormattedCitation":"(Hanekom et al. 1999)"},"properties":{"noteIndex":0},"schema":"https://github.com/citation-style-language/schema/raw/master/csl-citation.json"}</w:instrText>
      </w:r>
      <w:r w:rsidR="005633D6" w:rsidRPr="00533EAC">
        <w:rPr>
          <w:rFonts w:ascii="Arial" w:eastAsia="Calibri" w:hAnsi="Arial" w:cs="Arial"/>
          <w:color w:val="000000" w:themeColor="text1"/>
          <w:lang w:val="en-ZA"/>
        </w:rPr>
        <w:fldChar w:fldCharType="separate"/>
      </w:r>
      <w:r w:rsidR="003A4A3A" w:rsidRPr="00533EAC">
        <w:rPr>
          <w:rFonts w:ascii="Arial" w:eastAsia="Calibri" w:hAnsi="Arial" w:cs="Arial"/>
          <w:noProof/>
          <w:color w:val="000000" w:themeColor="text1"/>
          <w:lang w:val="en-ZA"/>
        </w:rPr>
        <w:t>(Hanekom et al. 1999)</w:t>
      </w:r>
      <w:r w:rsidR="005633D6" w:rsidRPr="00533EAC">
        <w:rPr>
          <w:rFonts w:ascii="Arial" w:eastAsia="Calibri" w:hAnsi="Arial" w:cs="Arial"/>
          <w:color w:val="000000" w:themeColor="text1"/>
          <w:lang w:val="en-ZA"/>
        </w:rPr>
        <w:fldChar w:fldCharType="end"/>
      </w:r>
      <w:r w:rsidR="00B5647E" w:rsidRPr="00533EAC">
        <w:rPr>
          <w:rFonts w:ascii="Arial" w:eastAsia="Calibri" w:hAnsi="Arial" w:cs="Arial"/>
          <w:color w:val="000000" w:themeColor="text1"/>
          <w:lang w:val="en-ZA"/>
        </w:rPr>
        <w:t xml:space="preserve"> and thus</w:t>
      </w:r>
      <w:r w:rsidR="005633D6" w:rsidRPr="00533EAC">
        <w:rPr>
          <w:rFonts w:ascii="Arial" w:eastAsia="Calibri" w:hAnsi="Arial" w:cs="Arial"/>
          <w:color w:val="000000" w:themeColor="text1"/>
          <w:lang w:val="en-ZA"/>
        </w:rPr>
        <w:t xml:space="preserve"> impact ecosystem services </w:t>
      </w:r>
      <w:r w:rsidR="005633D6" w:rsidRPr="00533EAC">
        <w:rPr>
          <w:rFonts w:ascii="Arial" w:eastAsia="Calibri" w:hAnsi="Arial" w:cs="Arial"/>
          <w:color w:val="000000" w:themeColor="text1"/>
          <w:lang w:val="en-ZA"/>
        </w:rPr>
        <w:fldChar w:fldCharType="begin" w:fldLock="1"/>
      </w:r>
      <w:r w:rsidR="0097798B" w:rsidRPr="00533EAC">
        <w:rPr>
          <w:rFonts w:ascii="Arial" w:eastAsia="Calibri" w:hAnsi="Arial" w:cs="Arial"/>
          <w:color w:val="000000" w:themeColor="text1"/>
          <w:lang w:val="en-ZA"/>
        </w:rPr>
        <w:instrText>ADDIN CSL_CITATION {"citationItems":[{"id":"ITEM-1","itemData":{"DOI":"10.1111/aec.12359","ISSN":"14429993","abstract":"In northern Chile, Pyura praeputialis is an invasive species inhabiting rocky intertidal and subtidal habitats restricted exclusively to the Bay of Antofagasta where it forms extensive aggregations. The negative impact of Pyura gathering on mid-intertidal abundances of this species has recently been reported at the south-eastern end of this bay. In the present study we have increased sampling sites to cover the entire bay toward the north-western end and the northern section, where a coastal marine reserve for the scallop fishery partially restricts shellfish gathering. Therefore, the sampling sites were chosen to represent different levels of shellfish gathering access along the northern shore of the bay. Long-term monitoring (1999–2014) of changes in tunicate cover and the abundances of larvae and recruits at seven sites are reported. The opening of a remodelled artificial and recreational beach in 2012, on the central-eastern shore of the bay, has increased accessibility to rocky intertidal platforms that started to be massively visited by Pyura gatherers from the summer of 2013. This allowed for the implementation of an intensive short-term monitoring program of changes in tunicate cover and the abundances of their larvae and recruits. When gathering access was present the reduction in intertidal cover was generalized to the entire bay and followed by reductions in larvae and recruits. However, these reductions were not found in sites with more restricted gathering access. We conclude that continuous extraction by Pyura gatherers followed by reductions of conspecific larvae and recruits are the main drivers behind the reduced abundance of P. praeputialis in the entire bay of Antofagasta. Thus, if gathering is not stopped important ecosystem services provided by this tunicate in the bay may be threatened. Similar consequences may be expected if other massive and irreversible reductions in other species of the Pyura complex, that inhabit other coasts in the southern hemisphere, occur. The controversy concerning the impacts of invasive species and whether they cause negative, positive or neutral impacts to original ecosystems and fisheries is discussed.","author":[{"dropping-particle":"","family":"Manríquez","given":"Patricio H","non-dropping-particle":"","parse-names":false,"suffix":""},{"dropping-particle":"","family":"Castilla","given":"Juan Carlos","non-dropping-particle":"","parse-names":false,"suffix":""},{"dropping-particle":"","family":"Ortiz","given":"Verónica","non-dropping-particle":"","parse-names":false,"suffix":""},{"dropping-particle":"","family":"Jara","given":"María Elisa","non-dropping-particle":"","parse-names":false,"suffix":""}],"container-title":"Austral Ecology","id":"ITEM-1","issue":"6","issued":{"date-parts":[["2016","9","1"]]},"note":"doi: 10.1111/aec.12359","page":"701-714","publisher":"John Wiley &amp; Sons, Ltd (10.1111)","title":"Empirical evidence for large-scale human impact on intertidal aggregations, larval supply and recruitment of &lt;i&gt;Pyura praeputialis&lt;/i&gt; around the Bay of Antofagasta, Chile","type":"article-journal","volume":"41"},"uris":["http://www.mendeley.com/documents/?uuid=0ccbe641-196a-37d4-b83e-85b41e39b09d"]}],"mendeley":{"formattedCitation":"(Manríquez et al. 2016)","plainTextFormattedCitation":"(Manríquez et al. 2016)","previouslyFormattedCitation":"(Manríquez et al. 2016)"},"properties":{"noteIndex":0},"schema":"https://github.com/citation-style-language/schema/raw/master/csl-citation.json"}</w:instrText>
      </w:r>
      <w:r w:rsidR="005633D6" w:rsidRPr="00533EAC">
        <w:rPr>
          <w:rFonts w:ascii="Arial" w:eastAsia="Calibri" w:hAnsi="Arial" w:cs="Arial"/>
          <w:color w:val="000000" w:themeColor="text1"/>
          <w:lang w:val="en-ZA"/>
        </w:rPr>
        <w:fldChar w:fldCharType="separate"/>
      </w:r>
      <w:r w:rsidR="003A4A3A" w:rsidRPr="00533EAC">
        <w:rPr>
          <w:rFonts w:ascii="Arial" w:eastAsia="Calibri" w:hAnsi="Arial" w:cs="Arial"/>
          <w:noProof/>
          <w:color w:val="000000" w:themeColor="text1"/>
          <w:lang w:val="en-ZA"/>
        </w:rPr>
        <w:t>(Manríquez et al. 2016)</w:t>
      </w:r>
      <w:r w:rsidR="005633D6" w:rsidRPr="00533EAC">
        <w:rPr>
          <w:rFonts w:ascii="Arial" w:eastAsia="Calibri" w:hAnsi="Arial" w:cs="Arial"/>
          <w:color w:val="000000" w:themeColor="text1"/>
          <w:lang w:val="en-ZA"/>
        </w:rPr>
        <w:fldChar w:fldCharType="end"/>
      </w:r>
      <w:r w:rsidR="005633D6" w:rsidRPr="00533EAC">
        <w:rPr>
          <w:rFonts w:ascii="Arial" w:eastAsia="Calibri" w:hAnsi="Arial" w:cs="Arial"/>
          <w:color w:val="000000" w:themeColor="text1"/>
          <w:lang w:val="en-ZA"/>
        </w:rPr>
        <w:t xml:space="preserve">. </w:t>
      </w:r>
      <w:r w:rsidR="00F91FC6" w:rsidRPr="00533EAC">
        <w:rPr>
          <w:rFonts w:ascii="Arial" w:eastAsia="Calibri" w:hAnsi="Arial" w:cs="Arial"/>
          <w:color w:val="000000" w:themeColor="text1"/>
          <w:lang w:val="en-ZA"/>
        </w:rPr>
        <w:t>In addition,</w:t>
      </w:r>
      <w:r w:rsidR="005633D6" w:rsidRPr="00533EAC">
        <w:rPr>
          <w:rFonts w:ascii="Arial" w:eastAsia="Calibri" w:hAnsi="Arial" w:cs="Arial"/>
          <w:color w:val="000000" w:themeColor="text1"/>
          <w:lang w:val="en-ZA"/>
        </w:rPr>
        <w:t xml:space="preserve"> disturbance</w:t>
      </w:r>
      <w:r w:rsidR="000D5130" w:rsidRPr="00533EAC">
        <w:rPr>
          <w:rFonts w:ascii="Arial" w:eastAsia="Calibri" w:hAnsi="Arial" w:cs="Arial"/>
          <w:color w:val="000000" w:themeColor="text1"/>
          <w:lang w:val="en-ZA"/>
        </w:rPr>
        <w:t xml:space="preserve">s such as </w:t>
      </w:r>
      <w:r w:rsidR="00F91FC6" w:rsidRPr="00533EAC">
        <w:rPr>
          <w:rFonts w:ascii="Arial" w:eastAsia="Calibri" w:hAnsi="Arial" w:cs="Arial"/>
          <w:color w:val="000000" w:themeColor="text1"/>
          <w:lang w:val="en-ZA"/>
        </w:rPr>
        <w:t xml:space="preserve"> human </w:t>
      </w:r>
      <w:r w:rsidR="00F91FC6" w:rsidRPr="00533EAC">
        <w:rPr>
          <w:rFonts w:ascii="Arial" w:eastAsia="Calibri" w:hAnsi="Arial" w:cs="Arial"/>
          <w:color w:val="000000" w:themeColor="text1"/>
          <w:lang w:val="en-ZA"/>
        </w:rPr>
        <w:lastRenderedPageBreak/>
        <w:t>harvesting</w:t>
      </w:r>
      <w:r w:rsidR="005633D6" w:rsidRPr="00533EAC">
        <w:rPr>
          <w:rFonts w:ascii="Arial" w:eastAsia="Calibri" w:hAnsi="Arial" w:cs="Arial"/>
          <w:color w:val="000000" w:themeColor="text1"/>
          <w:lang w:val="en-ZA"/>
        </w:rPr>
        <w:t xml:space="preserve"> </w:t>
      </w:r>
      <w:r w:rsidR="00F91FC6" w:rsidRPr="00533EAC">
        <w:rPr>
          <w:rFonts w:ascii="Arial" w:eastAsia="Calibri" w:hAnsi="Arial" w:cs="Arial"/>
          <w:color w:val="000000" w:themeColor="text1"/>
          <w:lang w:val="en-ZA"/>
        </w:rPr>
        <w:t>may</w:t>
      </w:r>
      <w:r w:rsidR="005633D6" w:rsidRPr="00533EAC">
        <w:rPr>
          <w:rFonts w:ascii="Arial" w:eastAsia="Calibri" w:hAnsi="Arial" w:cs="Arial"/>
          <w:color w:val="000000" w:themeColor="text1"/>
          <w:lang w:val="en-ZA"/>
        </w:rPr>
        <w:t xml:space="preserve"> affect the complexity of community assembl</w:t>
      </w:r>
      <w:r w:rsidR="008E084B" w:rsidRPr="00533EAC">
        <w:rPr>
          <w:rFonts w:ascii="Arial" w:eastAsia="Calibri" w:hAnsi="Arial" w:cs="Arial"/>
          <w:color w:val="000000" w:themeColor="text1"/>
          <w:lang w:val="en-ZA"/>
        </w:rPr>
        <w:t>ies</w:t>
      </w:r>
      <w:r w:rsidR="005633D6" w:rsidRPr="00533EAC">
        <w:rPr>
          <w:rFonts w:ascii="Arial" w:eastAsia="Calibri" w:hAnsi="Arial" w:cs="Arial"/>
          <w:color w:val="000000" w:themeColor="text1"/>
          <w:lang w:val="en-ZA"/>
        </w:rPr>
        <w:t xml:space="preserve"> in intertidal </w:t>
      </w:r>
      <w:r w:rsidR="00365987" w:rsidRPr="00533EAC">
        <w:rPr>
          <w:rFonts w:ascii="Arial" w:eastAsia="Calibri" w:hAnsi="Arial" w:cs="Arial"/>
          <w:color w:val="000000" w:themeColor="text1"/>
          <w:lang w:val="en-ZA"/>
        </w:rPr>
        <w:t xml:space="preserve">and subtidal </w:t>
      </w:r>
      <w:r w:rsidR="005633D6" w:rsidRPr="00533EAC">
        <w:rPr>
          <w:rFonts w:ascii="Arial" w:eastAsia="Calibri" w:hAnsi="Arial" w:cs="Arial"/>
          <w:color w:val="000000" w:themeColor="text1"/>
          <w:lang w:val="en-ZA"/>
        </w:rPr>
        <w:t xml:space="preserve">areas </w:t>
      </w:r>
      <w:r w:rsidR="005633D6" w:rsidRPr="00533EAC">
        <w:rPr>
          <w:rFonts w:ascii="Arial" w:eastAsia="Calibri" w:hAnsi="Arial" w:cs="Arial"/>
          <w:color w:val="000000" w:themeColor="text1"/>
          <w:lang w:val="en-ZA"/>
        </w:rPr>
        <w:fldChar w:fldCharType="begin" w:fldLock="1"/>
      </w:r>
      <w:r w:rsidR="0097798B" w:rsidRPr="00533EAC">
        <w:rPr>
          <w:rFonts w:ascii="Arial" w:eastAsia="Calibri" w:hAnsi="Arial" w:cs="Arial"/>
          <w:color w:val="000000" w:themeColor="text1"/>
          <w:lang w:val="en-ZA"/>
        </w:rPr>
        <w:instrText>ADDIN CSL_CITATION {"citationItems":[{"id":"ITEM-1","itemData":{"DOI":"10.1201/b21944","ISBN":"9781351987592","abstract":"The role of dominant species is of central importance in ecology. Such species play a key role in ecosystem structure, stability and function, regulating resource allocation across trophic levels and overall ecosystem productivity. Although ecological interactions between dominant and subordinate species are often considered to influence the latter negatively, the presence of dominant species can also be beneficial. These species commonly act as ecosystem engineers and enhance biodiversity by creating habitat for other species. Along rocky coastlines, dominant species are often sessile suspension-feeding organisms that can monopolize all available substrata. This is particularly noticeable in intertidal and shallow subtidal habitats where the number of species that achieve ecological dominance is limited. Here, we review the ecological and evolutionary mechanisms that facilitate dominance along rocky coastlines. We then focus on a prominent example, the members of the Pyura stolonifera species complex (Tunicata), which are an emerging model system for studying ecological dominance. These ascidians achieve the highest biomass levels ever reported in rocky intertidal habitats and, when invasive, can fundamentally transform entire ecosystems. Finally, we discuss conservation implications and conclude with directions for future research.","author":[{"dropping-particle":"","family":"Rius","given":"Marc","non-dropping-particle":"","parse-names":false,"suffix":""},{"dropping-particle":"","family":"Teske","given":"Peter R.","non-dropping-particle":"","parse-names":false,"suffix":""},{"dropping-particle":"","family":"Manríquez","given":"Patricio H.","non-dropping-particle":"","parse-names":false,"suffix":""},{"dropping-particle":"","family":"Suárez-Jiménez","given":"Rocío","non-dropping-particle":"","parse-names":false,"suffix":""},{"dropping-particle":"","family":"McQuaid","given":"Christopher D.","non-dropping-particle":"","parse-names":false,"suffix":""},{"dropping-particle":"","family":"Castilla","given":"Juan Carlos","non-dropping-particle":"","parse-names":false,"suffix":""}],"container-title":"Oceanography and Marine Biology: An Annual Review","id":"ITEM-1","issued":{"date-parts":[["2017"]]},"title":"Ecological dominance along rocky shores, with a focus on intertidal ascidians","type":"chapter"},"uris":["http://www.mendeley.com/documents/?uuid=bfe8a740-6e5e-39d4-bac1-617f755bb054"]}],"mendeley":{"formattedCitation":"(Rius et al. 2017)","plainTextFormattedCitation":"(Rius et al. 2017)","previouslyFormattedCitation":"(Rius et al. 2017)"},"properties":{"noteIndex":0},"schema":"https://github.com/citation-style-language/schema/raw/master/csl-citation.json"}</w:instrText>
      </w:r>
      <w:r w:rsidR="005633D6" w:rsidRPr="00533EAC">
        <w:rPr>
          <w:rFonts w:ascii="Arial" w:eastAsia="Calibri" w:hAnsi="Arial" w:cs="Arial"/>
          <w:color w:val="000000" w:themeColor="text1"/>
          <w:lang w:val="en-ZA"/>
        </w:rPr>
        <w:fldChar w:fldCharType="separate"/>
      </w:r>
      <w:r w:rsidR="003A4A3A" w:rsidRPr="00533EAC">
        <w:rPr>
          <w:rFonts w:ascii="Arial" w:eastAsia="Calibri" w:hAnsi="Arial" w:cs="Arial"/>
          <w:noProof/>
          <w:color w:val="000000" w:themeColor="text1"/>
          <w:lang w:val="en-ZA"/>
        </w:rPr>
        <w:t>(Rius et al. 2017)</w:t>
      </w:r>
      <w:r w:rsidR="005633D6" w:rsidRPr="00533EAC">
        <w:rPr>
          <w:rFonts w:ascii="Arial" w:eastAsia="Calibri" w:hAnsi="Arial" w:cs="Arial"/>
          <w:color w:val="000000" w:themeColor="text1"/>
          <w:lang w:val="en-ZA"/>
        </w:rPr>
        <w:fldChar w:fldCharType="end"/>
      </w:r>
      <w:r w:rsidR="005633D6" w:rsidRPr="00533EAC">
        <w:rPr>
          <w:rFonts w:ascii="Arial" w:eastAsia="Calibri" w:hAnsi="Arial" w:cs="Arial"/>
          <w:color w:val="000000" w:themeColor="text1"/>
          <w:lang w:val="en-ZA"/>
        </w:rPr>
        <w:t xml:space="preserve">. </w:t>
      </w:r>
    </w:p>
    <w:p w14:paraId="1D1C24DA" w14:textId="77777777" w:rsidR="000D5130" w:rsidRPr="00533EAC" w:rsidRDefault="000D5130" w:rsidP="00C05A32">
      <w:pPr>
        <w:spacing w:after="0" w:line="360" w:lineRule="auto"/>
        <w:jc w:val="both"/>
        <w:rPr>
          <w:rFonts w:ascii="Arial" w:eastAsia="Calibri" w:hAnsi="Arial" w:cs="Arial"/>
          <w:color w:val="000000" w:themeColor="text1"/>
          <w:lang w:val="en-ZA"/>
        </w:rPr>
      </w:pPr>
    </w:p>
    <w:p w14:paraId="0246BD79" w14:textId="3C7F5A11" w:rsidR="005633D6" w:rsidRPr="00533EAC" w:rsidRDefault="005633D6" w:rsidP="00C05A32">
      <w:pPr>
        <w:spacing w:after="0" w:line="360" w:lineRule="auto"/>
        <w:jc w:val="both"/>
        <w:rPr>
          <w:rFonts w:ascii="Arial" w:eastAsia="Calibri" w:hAnsi="Arial" w:cs="Arial"/>
          <w:color w:val="000000" w:themeColor="text1"/>
          <w:lang w:val="en-ZA"/>
        </w:rPr>
      </w:pPr>
      <w:r w:rsidRPr="00533EAC">
        <w:rPr>
          <w:rFonts w:ascii="Arial" w:eastAsia="Calibri" w:hAnsi="Arial" w:cs="Arial"/>
          <w:color w:val="000000" w:themeColor="text1"/>
          <w:lang w:val="en-ZA"/>
        </w:rPr>
        <w:t xml:space="preserve">Here, we describe the development of microsatellites and mitochondrial genetic markers </w:t>
      </w:r>
      <w:r w:rsidR="0058572A" w:rsidRPr="00533EAC">
        <w:rPr>
          <w:rFonts w:ascii="Arial" w:eastAsia="Calibri" w:hAnsi="Arial" w:cs="Arial"/>
          <w:color w:val="000000" w:themeColor="text1"/>
          <w:lang w:val="en-ZA"/>
        </w:rPr>
        <w:t xml:space="preserve">for </w:t>
      </w:r>
      <w:r w:rsidR="00BB6CB5" w:rsidRPr="00533EAC">
        <w:rPr>
          <w:rFonts w:ascii="Arial" w:eastAsia="Calibri" w:hAnsi="Arial" w:cs="Arial"/>
          <w:i/>
          <w:color w:val="000000" w:themeColor="text1"/>
          <w:lang w:val="en-ZA"/>
        </w:rPr>
        <w:t>P.</w:t>
      </w:r>
      <w:r w:rsidR="00255582" w:rsidRPr="00533EAC">
        <w:rPr>
          <w:rFonts w:ascii="Arial" w:eastAsia="Calibri" w:hAnsi="Arial" w:cs="Arial"/>
          <w:i/>
          <w:color w:val="000000" w:themeColor="text1"/>
          <w:lang w:val="en-ZA"/>
        </w:rPr>
        <w:t xml:space="preserve"> herdmani</w:t>
      </w:r>
      <w:r w:rsidR="00BB6CB5" w:rsidRPr="00533EAC">
        <w:rPr>
          <w:rFonts w:ascii="Arial" w:eastAsia="Calibri" w:hAnsi="Arial" w:cs="Arial"/>
          <w:i/>
          <w:color w:val="000000" w:themeColor="text1"/>
          <w:lang w:val="en-ZA"/>
        </w:rPr>
        <w:t xml:space="preserve"> </w:t>
      </w:r>
      <w:r w:rsidR="00BB6CB5" w:rsidRPr="00533EAC">
        <w:rPr>
          <w:rFonts w:ascii="Arial" w:eastAsia="Calibri" w:hAnsi="Arial" w:cs="Arial"/>
          <w:color w:val="000000" w:themeColor="text1"/>
          <w:lang w:val="en-ZA"/>
        </w:rPr>
        <w:t>and</w:t>
      </w:r>
      <w:r w:rsidR="00BB6CB5" w:rsidRPr="00533EAC">
        <w:rPr>
          <w:rFonts w:ascii="Arial" w:eastAsia="Calibri" w:hAnsi="Arial" w:cs="Arial"/>
          <w:i/>
          <w:color w:val="000000" w:themeColor="text1"/>
          <w:lang w:val="en-ZA"/>
        </w:rPr>
        <w:t xml:space="preserve"> P. </w:t>
      </w:r>
      <w:r w:rsidR="00255582" w:rsidRPr="00533EAC">
        <w:rPr>
          <w:rFonts w:ascii="Arial" w:eastAsia="Calibri" w:hAnsi="Arial" w:cs="Arial"/>
          <w:i/>
          <w:color w:val="000000" w:themeColor="text1"/>
          <w:lang w:val="en-ZA"/>
        </w:rPr>
        <w:t>stolonifera</w:t>
      </w:r>
      <w:r w:rsidR="0058572A" w:rsidRPr="00533EAC">
        <w:rPr>
          <w:rFonts w:ascii="Arial" w:eastAsia="Calibri" w:hAnsi="Arial" w:cs="Arial"/>
          <w:color w:val="000000" w:themeColor="text1"/>
          <w:lang w:val="en-ZA"/>
        </w:rPr>
        <w:t xml:space="preserve">. </w:t>
      </w:r>
      <w:r w:rsidR="00EA6713" w:rsidRPr="00533EAC">
        <w:rPr>
          <w:rFonts w:ascii="Arial" w:eastAsia="Calibri" w:hAnsi="Arial" w:cs="Arial"/>
          <w:color w:val="000000" w:themeColor="text1"/>
          <w:lang w:val="en-ZA"/>
        </w:rPr>
        <w:t>The microsatellite data were tested on a large number of samples from South Africa’s south-eastern coastline</w:t>
      </w:r>
      <w:r w:rsidR="007943D0" w:rsidRPr="00533EAC">
        <w:rPr>
          <w:rFonts w:ascii="Arial" w:eastAsia="Calibri" w:hAnsi="Arial" w:cs="Arial"/>
          <w:color w:val="000000" w:themeColor="text1"/>
          <w:lang w:val="en-ZA"/>
        </w:rPr>
        <w:t xml:space="preserve">, </w:t>
      </w:r>
      <w:r w:rsidR="008C4B69" w:rsidRPr="00533EAC">
        <w:rPr>
          <w:rFonts w:ascii="Arial" w:eastAsia="Calibri" w:hAnsi="Arial" w:cs="Arial"/>
          <w:color w:val="000000" w:themeColor="text1"/>
          <w:lang w:val="en-ZA"/>
        </w:rPr>
        <w:t>whereas</w:t>
      </w:r>
      <w:r w:rsidR="00EA6713" w:rsidRPr="00533EAC">
        <w:rPr>
          <w:rFonts w:ascii="Arial" w:eastAsia="Calibri" w:hAnsi="Arial" w:cs="Arial"/>
          <w:color w:val="000000" w:themeColor="text1"/>
          <w:lang w:val="en-ZA"/>
        </w:rPr>
        <w:t xml:space="preserve"> the mitochondrial markers were developed using a small number of individuals </w:t>
      </w:r>
      <w:r w:rsidR="009E432E" w:rsidRPr="00533EAC">
        <w:rPr>
          <w:rFonts w:ascii="Arial" w:eastAsia="Calibri" w:hAnsi="Arial" w:cs="Arial"/>
          <w:color w:val="000000" w:themeColor="text1"/>
          <w:lang w:val="en-ZA"/>
        </w:rPr>
        <w:t>across their range</w:t>
      </w:r>
      <w:r w:rsidR="00EA6713" w:rsidRPr="00533EAC">
        <w:rPr>
          <w:rFonts w:ascii="Arial" w:eastAsia="Calibri" w:hAnsi="Arial" w:cs="Arial"/>
          <w:color w:val="000000" w:themeColor="text1"/>
          <w:lang w:val="en-ZA"/>
        </w:rPr>
        <w:t xml:space="preserve">, including </w:t>
      </w:r>
      <w:r w:rsidR="00EA6713" w:rsidRPr="00533EAC">
        <w:rPr>
          <w:rFonts w:ascii="Arial" w:eastAsia="Calibri" w:hAnsi="Arial" w:cs="Arial"/>
          <w:i/>
          <w:iCs/>
          <w:color w:val="000000" w:themeColor="text1"/>
          <w:lang w:val="en-ZA"/>
        </w:rPr>
        <w:t>P. herdmani</w:t>
      </w:r>
      <w:r w:rsidR="00EA6713" w:rsidRPr="00533EAC">
        <w:rPr>
          <w:rFonts w:ascii="Arial" w:eastAsia="Calibri" w:hAnsi="Arial" w:cs="Arial"/>
          <w:color w:val="000000" w:themeColor="text1"/>
          <w:lang w:val="en-ZA"/>
        </w:rPr>
        <w:t xml:space="preserve"> from </w:t>
      </w:r>
      <w:r w:rsidR="008C4B69" w:rsidRPr="00533EAC">
        <w:rPr>
          <w:rFonts w:ascii="Arial" w:eastAsia="Calibri" w:hAnsi="Arial" w:cs="Arial"/>
          <w:color w:val="000000" w:themeColor="text1"/>
          <w:lang w:val="en-ZA"/>
        </w:rPr>
        <w:t>northwest Africa</w:t>
      </w:r>
      <w:r w:rsidR="00EA6713" w:rsidRPr="00533EAC">
        <w:rPr>
          <w:rFonts w:ascii="Arial" w:eastAsia="Calibri" w:hAnsi="Arial" w:cs="Arial"/>
          <w:color w:val="000000" w:themeColor="text1"/>
          <w:lang w:val="en-ZA"/>
        </w:rPr>
        <w:t xml:space="preserve">. </w:t>
      </w:r>
      <w:r w:rsidRPr="00533EAC">
        <w:rPr>
          <w:rFonts w:ascii="Arial" w:eastAsia="Calibri" w:hAnsi="Arial" w:cs="Arial"/>
          <w:color w:val="000000" w:themeColor="text1"/>
          <w:lang w:val="en-ZA"/>
        </w:rPr>
        <w:t>These genetic resources can</w:t>
      </w:r>
      <w:r w:rsidR="00D6720C" w:rsidRPr="00533EAC">
        <w:rPr>
          <w:rFonts w:ascii="Arial" w:eastAsia="Calibri" w:hAnsi="Arial" w:cs="Arial"/>
          <w:color w:val="000000" w:themeColor="text1"/>
          <w:lang w:val="en-ZA"/>
        </w:rPr>
        <w:t xml:space="preserve"> be used to</w:t>
      </w:r>
      <w:r w:rsidRPr="00533EAC">
        <w:rPr>
          <w:rFonts w:ascii="Arial" w:eastAsia="Calibri" w:hAnsi="Arial" w:cs="Arial"/>
          <w:color w:val="000000" w:themeColor="text1"/>
          <w:lang w:val="en-ZA"/>
        </w:rPr>
        <w:t xml:space="preserve"> characteri</w:t>
      </w:r>
      <w:r w:rsidR="00D6720C" w:rsidRPr="00533EAC">
        <w:rPr>
          <w:rFonts w:ascii="Arial" w:eastAsia="Calibri" w:hAnsi="Arial" w:cs="Arial"/>
          <w:color w:val="000000" w:themeColor="text1"/>
          <w:lang w:val="en-ZA"/>
        </w:rPr>
        <w:t>s</w:t>
      </w:r>
      <w:r w:rsidRPr="00533EAC">
        <w:rPr>
          <w:rFonts w:ascii="Arial" w:eastAsia="Calibri" w:hAnsi="Arial" w:cs="Arial"/>
          <w:color w:val="000000" w:themeColor="text1"/>
          <w:lang w:val="en-ZA"/>
        </w:rPr>
        <w:t xml:space="preserve">e genetic diversity, demographic history, and spatial structure of </w:t>
      </w:r>
      <w:r w:rsidR="00A158F7" w:rsidRPr="00533EAC">
        <w:rPr>
          <w:rFonts w:ascii="Arial" w:eastAsia="Calibri" w:hAnsi="Arial" w:cs="Arial"/>
          <w:color w:val="000000" w:themeColor="text1"/>
          <w:lang w:val="en-ZA"/>
        </w:rPr>
        <w:t>both</w:t>
      </w:r>
      <w:r w:rsidRPr="00533EAC">
        <w:rPr>
          <w:rFonts w:ascii="Arial" w:eastAsia="Calibri" w:hAnsi="Arial" w:cs="Arial"/>
          <w:color w:val="000000" w:themeColor="text1"/>
          <w:lang w:val="en-ZA"/>
        </w:rPr>
        <w:t>.</w:t>
      </w:r>
    </w:p>
    <w:p w14:paraId="6EDF7BBC" w14:textId="30575312" w:rsidR="005633D6" w:rsidRPr="00533EAC" w:rsidRDefault="005633D6" w:rsidP="00C05A32">
      <w:pPr>
        <w:spacing w:after="0" w:line="360" w:lineRule="auto"/>
        <w:jc w:val="both"/>
        <w:rPr>
          <w:rFonts w:ascii="Arial" w:eastAsia="Calibri" w:hAnsi="Arial" w:cs="Arial"/>
          <w:color w:val="000000" w:themeColor="text1"/>
          <w:lang w:val="en-ZA"/>
        </w:rPr>
      </w:pPr>
    </w:p>
    <w:p w14:paraId="0E9ABEA8" w14:textId="7E371603" w:rsidR="005633D6" w:rsidRPr="00533EAC" w:rsidRDefault="005633D6" w:rsidP="00C05A32">
      <w:pPr>
        <w:spacing w:after="0" w:line="360" w:lineRule="auto"/>
        <w:jc w:val="both"/>
        <w:rPr>
          <w:rFonts w:ascii="Arial" w:eastAsia="Calibri" w:hAnsi="Arial" w:cs="Arial"/>
          <w:b/>
          <w:color w:val="000000" w:themeColor="text1"/>
          <w:lang w:val="en-ZA"/>
        </w:rPr>
      </w:pPr>
      <w:r w:rsidRPr="00533EAC">
        <w:rPr>
          <w:rFonts w:ascii="Arial" w:eastAsia="Calibri" w:hAnsi="Arial" w:cs="Arial"/>
          <w:b/>
          <w:color w:val="000000" w:themeColor="text1"/>
          <w:lang w:val="en-ZA"/>
        </w:rPr>
        <w:t>Material and methods</w:t>
      </w:r>
    </w:p>
    <w:p w14:paraId="6190F80A" w14:textId="211AA60B" w:rsidR="005633D6" w:rsidRPr="00533EAC" w:rsidRDefault="005633D6" w:rsidP="00C05A32">
      <w:pPr>
        <w:spacing w:after="0" w:line="360" w:lineRule="auto"/>
        <w:jc w:val="both"/>
        <w:rPr>
          <w:rFonts w:ascii="Arial" w:eastAsia="Calibri" w:hAnsi="Arial" w:cs="Arial"/>
          <w:b/>
          <w:i/>
          <w:iCs/>
          <w:color w:val="000000" w:themeColor="text1"/>
          <w:lang w:val="en-ZA"/>
        </w:rPr>
      </w:pPr>
      <w:r w:rsidRPr="00533EAC">
        <w:rPr>
          <w:rFonts w:ascii="Arial" w:eastAsia="Calibri" w:hAnsi="Arial" w:cs="Arial"/>
          <w:b/>
          <w:i/>
          <w:iCs/>
          <w:color w:val="000000" w:themeColor="text1"/>
          <w:lang w:val="en-ZA"/>
        </w:rPr>
        <w:t>Sampl</w:t>
      </w:r>
      <w:r w:rsidR="002D38CF" w:rsidRPr="00533EAC">
        <w:rPr>
          <w:rFonts w:ascii="Arial" w:eastAsia="Calibri" w:hAnsi="Arial" w:cs="Arial"/>
          <w:b/>
          <w:i/>
          <w:iCs/>
          <w:color w:val="000000" w:themeColor="text1"/>
          <w:lang w:val="en-ZA"/>
        </w:rPr>
        <w:t>e</w:t>
      </w:r>
      <w:r w:rsidRPr="00533EAC">
        <w:rPr>
          <w:rFonts w:ascii="Arial" w:eastAsia="Calibri" w:hAnsi="Arial" w:cs="Arial"/>
          <w:b/>
          <w:i/>
          <w:iCs/>
          <w:color w:val="000000" w:themeColor="text1"/>
          <w:lang w:val="en-ZA"/>
        </w:rPr>
        <w:t xml:space="preserve"> acquisition and DNA extraction</w:t>
      </w:r>
    </w:p>
    <w:p w14:paraId="51468C9E" w14:textId="0F4B12BE" w:rsidR="0058572A" w:rsidRPr="00533EAC" w:rsidRDefault="008E031E" w:rsidP="00C05A32">
      <w:pPr>
        <w:spacing w:after="0" w:line="360" w:lineRule="auto"/>
        <w:jc w:val="both"/>
        <w:rPr>
          <w:rFonts w:ascii="Arial" w:eastAsia="Calibri" w:hAnsi="Arial" w:cs="Arial"/>
          <w:color w:val="000000" w:themeColor="text1"/>
          <w:lang w:val="en-ZA"/>
        </w:rPr>
      </w:pPr>
      <w:r w:rsidRPr="00533EAC">
        <w:rPr>
          <w:rFonts w:ascii="Arial" w:eastAsia="Calibri" w:hAnsi="Arial" w:cs="Arial"/>
          <w:color w:val="000000" w:themeColor="text1"/>
          <w:lang w:val="en-ZA"/>
        </w:rPr>
        <w:t>Samples</w:t>
      </w:r>
      <w:r w:rsidR="005633D6" w:rsidRPr="00533EAC">
        <w:rPr>
          <w:rFonts w:ascii="Arial" w:eastAsia="Calibri" w:hAnsi="Arial" w:cs="Arial"/>
          <w:color w:val="000000" w:themeColor="text1"/>
          <w:lang w:val="en-ZA"/>
        </w:rPr>
        <w:t xml:space="preserve"> </w:t>
      </w:r>
      <w:r w:rsidR="00A800A8" w:rsidRPr="00533EAC">
        <w:rPr>
          <w:rFonts w:ascii="Arial" w:eastAsia="Calibri" w:hAnsi="Arial" w:cs="Arial"/>
          <w:color w:val="000000" w:themeColor="text1"/>
          <w:lang w:val="en-ZA"/>
        </w:rPr>
        <w:t xml:space="preserve">for microsatellite development </w:t>
      </w:r>
      <w:r w:rsidR="005633D6" w:rsidRPr="00533EAC">
        <w:rPr>
          <w:rFonts w:ascii="Arial" w:eastAsia="Calibri" w:hAnsi="Arial" w:cs="Arial"/>
          <w:color w:val="000000" w:themeColor="text1"/>
          <w:lang w:val="en-ZA"/>
        </w:rPr>
        <w:t xml:space="preserve">were </w:t>
      </w:r>
      <w:r w:rsidR="009119F5" w:rsidRPr="00533EAC">
        <w:rPr>
          <w:rFonts w:ascii="Arial" w:eastAsia="Calibri" w:hAnsi="Arial" w:cs="Arial"/>
          <w:color w:val="000000" w:themeColor="text1"/>
          <w:lang w:val="en-ZA"/>
        </w:rPr>
        <w:t>co</w:t>
      </w:r>
      <w:r w:rsidRPr="00533EAC">
        <w:rPr>
          <w:rFonts w:ascii="Arial" w:eastAsia="Calibri" w:hAnsi="Arial" w:cs="Arial"/>
          <w:color w:val="000000" w:themeColor="text1"/>
          <w:lang w:val="en-ZA"/>
        </w:rPr>
        <w:t>llected</w:t>
      </w:r>
      <w:r w:rsidR="00A800A8" w:rsidRPr="00533EAC">
        <w:rPr>
          <w:rFonts w:ascii="Arial" w:eastAsia="Calibri" w:hAnsi="Arial" w:cs="Arial"/>
          <w:color w:val="000000" w:themeColor="text1"/>
          <w:lang w:val="en-ZA"/>
        </w:rPr>
        <w:t xml:space="preserve"> </w:t>
      </w:r>
      <w:r w:rsidR="005633D6" w:rsidRPr="00533EAC">
        <w:rPr>
          <w:rFonts w:ascii="Arial" w:eastAsia="Calibri" w:hAnsi="Arial" w:cs="Arial"/>
          <w:color w:val="000000" w:themeColor="text1"/>
          <w:lang w:val="en-ZA"/>
        </w:rPr>
        <w:t xml:space="preserve">in September and November </w:t>
      </w:r>
      <w:r w:rsidRPr="00533EAC">
        <w:rPr>
          <w:rFonts w:ascii="Arial" w:eastAsia="Calibri" w:hAnsi="Arial" w:cs="Arial"/>
          <w:color w:val="000000" w:themeColor="text1"/>
          <w:lang w:val="en-ZA"/>
        </w:rPr>
        <w:t xml:space="preserve">2016 </w:t>
      </w:r>
      <w:r w:rsidR="005633D6" w:rsidRPr="00533EAC">
        <w:rPr>
          <w:rFonts w:ascii="Arial" w:eastAsia="Calibri" w:hAnsi="Arial" w:cs="Arial"/>
          <w:color w:val="000000" w:themeColor="text1"/>
          <w:lang w:val="en-ZA"/>
        </w:rPr>
        <w:t>along the</w:t>
      </w:r>
      <w:r w:rsidR="002D38CF" w:rsidRPr="00533EAC">
        <w:rPr>
          <w:rFonts w:ascii="Arial" w:eastAsia="Calibri" w:hAnsi="Arial" w:cs="Arial"/>
          <w:color w:val="000000" w:themeColor="text1"/>
          <w:lang w:val="en-ZA"/>
        </w:rPr>
        <w:t xml:space="preserve"> </w:t>
      </w:r>
      <w:r w:rsidR="00DF40B1" w:rsidRPr="00533EAC">
        <w:rPr>
          <w:rFonts w:ascii="Arial" w:eastAsia="Calibri" w:hAnsi="Arial" w:cs="Arial"/>
          <w:color w:val="000000" w:themeColor="text1"/>
          <w:lang w:val="en-ZA"/>
        </w:rPr>
        <w:t>south-eastern coastline of</w:t>
      </w:r>
      <w:r w:rsidR="005633D6" w:rsidRPr="00533EAC">
        <w:rPr>
          <w:rFonts w:ascii="Arial" w:eastAsia="Calibri" w:hAnsi="Arial" w:cs="Arial"/>
          <w:color w:val="000000" w:themeColor="text1"/>
          <w:lang w:val="en-ZA"/>
        </w:rPr>
        <w:t xml:space="preserve"> South Africa</w:t>
      </w:r>
      <w:r w:rsidR="002D38CF" w:rsidRPr="00533EAC">
        <w:rPr>
          <w:rFonts w:ascii="Arial" w:eastAsia="Calibri" w:hAnsi="Arial" w:cs="Arial"/>
          <w:color w:val="000000" w:themeColor="text1"/>
          <w:lang w:val="en-ZA"/>
        </w:rPr>
        <w:t>, with a focus on the Wild Coast</w:t>
      </w:r>
      <w:r w:rsidR="005633D6" w:rsidRPr="00533EAC">
        <w:rPr>
          <w:rFonts w:ascii="Arial" w:eastAsia="Calibri" w:hAnsi="Arial" w:cs="Arial"/>
          <w:color w:val="000000" w:themeColor="text1"/>
          <w:lang w:val="en-ZA"/>
        </w:rPr>
        <w:t xml:space="preserve">. </w:t>
      </w:r>
      <w:r w:rsidR="0058572A" w:rsidRPr="00533EAC">
        <w:rPr>
          <w:rFonts w:ascii="Arial" w:eastAsia="Calibri" w:hAnsi="Arial" w:cs="Arial"/>
          <w:color w:val="000000" w:themeColor="text1"/>
          <w:lang w:val="en-ZA"/>
        </w:rPr>
        <w:t xml:space="preserve">This region is located in a transitional zone between the subtropical and warm-temperate coastal bioregions </w:t>
      </w:r>
      <w:r w:rsidR="0058572A" w:rsidRPr="00533EAC">
        <w:rPr>
          <w:rFonts w:ascii="Arial" w:eastAsia="Calibri" w:hAnsi="Arial" w:cs="Arial"/>
          <w:color w:val="000000" w:themeColor="text1"/>
          <w:lang w:val="en-ZA"/>
        </w:rPr>
        <w:fldChar w:fldCharType="begin" w:fldLock="1"/>
      </w:r>
      <w:r w:rsidR="0058572A" w:rsidRPr="00533EAC">
        <w:rPr>
          <w:rFonts w:ascii="Arial" w:eastAsia="Calibri" w:hAnsi="Arial" w:cs="Arial"/>
          <w:color w:val="000000" w:themeColor="text1"/>
          <w:lang w:val="en-ZA"/>
        </w:rPr>
        <w:instrText>ADDIN CSL_CITATION {"citationItems":[{"id":"ITEM-1","itemData":{"DOI":"10.1016/S0006-3207(99)00063-4","ISSN":"00063207","abstract":"Prioritisation of areas for biodiversity conservation has been debated largely in the terrestrial realm. In response to the increasing need for conservation efforts in the marine environment, this study compiles and analyses available data on species distributions and compares different approaches to the selection of marine protected area sites for the conservation of South Africa's coastal fish diversity. Species richness decreases from Mozambique southwards to the Cape, due mainly to a subtropical subtraction effect, and is uniformly low along the west coast. The number of species endemic to southern Africa is also higher in the east than the west, and peaks in the region of Port Elizabeth. Hotspot analysis does not provide a useful site-selection tool in a linear (coastal) analysis, at least in the absence of abundance data. Cluster analysis shows that coastal fishes conform to the same three biogeographical provinces as other marine taxa, although the zonal boundaries vary between groups and are particularly difficult to determine for fishes. Multidimensional scaling better illustrates the fairly even rate of species turnover east of Cape Point. The selection of sites at the centre and boundaries of vaguely-defined biogeographical zones is thus relatively difficult, and excludes several localised endemics. These problems can be resolved by using complementarity analysis. In the absence of abundance data, to avoid 'reserving' species at the periphery of their ranges, a pragmatic approach is developed, in which data are refined to include species' core distributions only. The roles of existing marine protected areas are also considered in assessing future conservation needs.","author":[{"dropping-particle":"","family":"Turpie","given":"Jane K.","non-dropping-particle":"","parse-names":false,"suffix":""},{"dropping-particle":"","family":"Beckley","given":"Lynnath E.","non-dropping-particle":"","parse-names":false,"suffix":""},{"dropping-particle":"","family":"Katua","given":"Stephen M.","non-dropping-particle":"","parse-names":false,"suffix":""}],"container-title":"Biological Conservation","id":"ITEM-1","issue":"1","issued":{"date-parts":[["2000","1"]]},"page":"59-72","title":"Biogeography and the selection of priority areas for conservation of South African coastal fishes","type":"article-journal","volume":"92"},"uris":["http://www.mendeley.com/documents/?uuid=1e36c492-eb05-324f-a5c7-8c61b8f4a430"]},{"id":"ITEM-2","itemData":{"DOI":"10.2989/02577619209504710","ISSN":"02577615","abstract":"Three objective criteria for assessing sites being considered as marine nature reserves are developed and applied to a region of the west coast of South Africa, between the Groen and the Spoeg rivers, that has been mooted as a possible nature reserve. On a national and regional macroscale, zoogeographic analyses of 2 000 species of invertebrates were used to reappraise accepted marine biogeographic provinces. On a mesoscale and local scale, the intertidal community composition of rocky shores was examined and related to the physiographic habitat diversity. Five major zoogeographic regions are identified around the southern African coast, including a distinct Namaqua province. The Groen-Spoeg area, which receives no adequate conservation, is representative of both the major zoogeographic province that it falls in and the Northern Namaqua sub-province. A long period of limited human access as a result of diamond-mining has kept the shore near-pristine. On a global scale, the region is unique in the extent to which the system is dominated by dense assemblages of limpets. The species-composition of intertidal rocky-shore communities varies greatly according to the degree of wave exposure, and this small-scale variation, reflecting physiographic heterogeneity of the shore, can exceed large-scale zoogeographic variations. Therefore, in order to be representative, a reserve will need to incorporate small-scale variations in physical conditions and biotic composition, as well as large-scale geographic representativeness. The approaches used demonstrate that the Groen-Spoeg has a high priority for conservation; they are also generally applicable to the objective assessment of potential reserves, although they need to be coupled with other criteria, including socio-economic issues. © 1992 Taylor &amp; Francis Group, LLC.","author":[{"dropping-particle":"","family":"Emanuel","given":"B. P.","non-dropping-particle":"","parse-names":false,"suffix":""},{"dropping-particle":"","family":"Bustamante","given":"R. H.","non-dropping-particle":"","parse-names":false,"suffix":""},{"dropping-particle":"","family":"Branch","given":"G. M.","non-dropping-particle":"","parse-names":false,"suffix":""},{"dropping-particle":"","family":"Eekhout","given":"S.","non-dropping-particle":"","parse-names":false,"suffix":""},{"dropping-particle":"","family":"Odendaal","given":"F. J.","non-dropping-particle":"","parse-names":false,"suffix":""}],"container-title":"South African Journal of Marine Science","id":"ITEM-2","issue":"1","issued":{"date-parts":[["1992"]]},"page":"341-354","title":"A zoogeographic and functional approach to the selection of marine reserves on the west coast of South Africa","type":"article-journal","volume":"12"},"uris":["http://www.mendeley.com/documents/?uuid=73247447-9282-32d9-bb67-37012eab8909"]}],"mendeley":{"formattedCitation":"(Emanuel et al. 1992; Turpie et al. 2000)","plainTextFormattedCitation":"(Emanuel et al. 1992; Turpie et al. 2000)","previouslyFormattedCitation":"(Emanuel et al. 1992; Turpie et al. 2000)"},"properties":{"noteIndex":0},"schema":"https://github.com/citation-style-language/schema/raw/master/csl-citation.json"}</w:instrText>
      </w:r>
      <w:r w:rsidR="0058572A" w:rsidRPr="00533EAC">
        <w:rPr>
          <w:rFonts w:ascii="Arial" w:eastAsia="Calibri" w:hAnsi="Arial" w:cs="Arial"/>
          <w:color w:val="000000" w:themeColor="text1"/>
          <w:lang w:val="en-ZA"/>
        </w:rPr>
        <w:fldChar w:fldCharType="separate"/>
      </w:r>
      <w:r w:rsidR="0058572A" w:rsidRPr="00533EAC">
        <w:rPr>
          <w:rFonts w:ascii="Arial" w:eastAsia="Calibri" w:hAnsi="Arial" w:cs="Arial"/>
          <w:noProof/>
          <w:color w:val="000000" w:themeColor="text1"/>
          <w:lang w:val="en-ZA"/>
        </w:rPr>
        <w:t>(Emanuel et al. 1992; Turpie et al. 2000)</w:t>
      </w:r>
      <w:r w:rsidR="0058572A" w:rsidRPr="00533EAC">
        <w:rPr>
          <w:rFonts w:ascii="Arial" w:eastAsia="Calibri" w:hAnsi="Arial" w:cs="Arial"/>
          <w:color w:val="000000" w:themeColor="text1"/>
          <w:lang w:val="en-ZA"/>
        </w:rPr>
        <w:fldChar w:fldCharType="end"/>
      </w:r>
      <w:r w:rsidR="00D41B3C" w:rsidRPr="00533EAC">
        <w:rPr>
          <w:rFonts w:ascii="Arial" w:eastAsia="Calibri" w:hAnsi="Arial" w:cs="Arial"/>
          <w:color w:val="000000" w:themeColor="text1"/>
          <w:lang w:val="en-ZA"/>
        </w:rPr>
        <w:t xml:space="preserve"> and may represent a distinct bioregion rather than merely </w:t>
      </w:r>
      <w:r w:rsidR="00DF40B1" w:rsidRPr="00533EAC">
        <w:rPr>
          <w:rFonts w:ascii="Arial" w:eastAsia="Calibri" w:hAnsi="Arial" w:cs="Arial"/>
          <w:color w:val="000000" w:themeColor="text1"/>
          <w:lang w:val="en-ZA"/>
        </w:rPr>
        <w:t>an area of faunal overlap</w:t>
      </w:r>
      <w:r w:rsidR="00D41B3C" w:rsidRPr="00533EAC">
        <w:rPr>
          <w:rFonts w:ascii="Arial" w:eastAsia="Calibri" w:hAnsi="Arial" w:cs="Arial"/>
          <w:color w:val="000000" w:themeColor="text1"/>
          <w:lang w:val="en-ZA"/>
        </w:rPr>
        <w:t xml:space="preserve"> </w:t>
      </w:r>
      <w:r w:rsidR="00450022" w:rsidRPr="00533EAC">
        <w:rPr>
          <w:rFonts w:ascii="Arial" w:eastAsia="Calibri" w:hAnsi="Arial" w:cs="Arial"/>
          <w:color w:val="000000" w:themeColor="text1"/>
          <w:lang w:val="en-ZA"/>
        </w:rPr>
        <w:fldChar w:fldCharType="begin" w:fldLock="1"/>
      </w:r>
      <w:r w:rsidR="00FF50B3" w:rsidRPr="00533EAC">
        <w:rPr>
          <w:rFonts w:ascii="Arial" w:eastAsia="Calibri" w:hAnsi="Arial" w:cs="Arial"/>
          <w:color w:val="000000" w:themeColor="text1"/>
          <w:lang w:val="en-ZA"/>
        </w:rPr>
        <w:instrText>ADDIN CSL_CITATION {"citationItems":[{"id":"ITEM-1","itemData":{"DOI":"10.1186/s10152-018-0509-3","ISSN":"14383888","abstract":"The South African coastline can be divided into at least four temperature-defined marine bioregions, including the tropical north-east coast, the subtropical east coast, the warm-temperate south coast, and the cool-temperate west coast. There are also two biogeographical transition zones, the south-west coast and the south-east coast (or Wild Coast). The former is sometimes considered a distinct marine bioregion, but no such status has yet been suggested for the Wild Coast. Previous data on the distribution of a recently described but very common coastal crab, Hymenosoma longicrure, indicated that this species could be a Wild Coast endemic. If confirmed, this would be a first indication that this region harbours unique fauna, and that additional research is required to determine whether the Wild Coast constitutes a distinct bioregion that needs to be managed separately from other coastal regions. In the present study, we generated novel genetic data for H. longicrure and compared the species' range with that of its southern African congeners. We found that H. longicrure occurs north of the Wild Coast, where its range overlaps with that of H. projectum. This finding rejects the idea that the Wild Coast harbours endemic fauna and suggests that the ranges of the two species may be linked to the subtropical and tropical bioregions, respectively, with some southward dispersal facilitated by the southward-flowing Agulhas Current. We conclude that there is as yet no compelling evidence that the Wild Coast is a distinct marine bioregion, and concur with previous biogeographical studies which have suggested that the Wild Coast is an area in which species from the subtropical and warm-temperate bioregions have overlapping ranges. Nonetheless, that fact that no biological information is available for the majority of the region's estuaries highlights the necessity of comprehensively documenting the biodiversity of this understudied region to fully resolve this issue.","author":[{"dropping-particle":"","family":"Jooste","given":"Candice M.","non-dropping-particle":"","parse-names":false,"suffix":""},{"dropping-particle":"","family":"Oliver","given":"Jody","non-dropping-particle":"","parse-names":false,"suffix":""},{"dropping-particle":"","family":"Emami-Khoyi","given":"Arsalan","non-dropping-particle":"","parse-names":false,"suffix":""},{"dropping-particle":"","family":"Teske","given":"Peter R.","non-dropping-particle":"","parse-names":false,"suffix":""}],"container-title":"Helgoland Marine Research","id":"ITEM-1","issue":"1","issued":{"date-parts":[["2018"]]},"title":"Is the Wild Coast in eastern South Africa a distinct marine bioregion?","type":"article-journal","volume":"72"},"uris":["http://www.mendeley.com/documents/?uuid=c1929089-385f-36c9-8ae2-71024dbd1c9e"]},{"id":"ITEM-2","itemData":{"DOI":"10.1111/ddi.13162","ISSN":"14724642","abstract":"Aim: Biogeographical transition zones are areas of overlap between the faunas of adjacent biogeographical entities. Particularly the well-defined transition zones along linear coastlines are interesting natural laboratories to study dispersal and incipient speciation. Few studies have explored whether marine biogeographical transition zones harbour biodiversity that is distinct from that of the biogeographical entities they separate. The Wild Coast in eastern South Africa is a poorly studied transition zone between the region's warm-temperate and subtropical faunas, and is generally considered to be an area of faunal overlap. Location: The South African portion of the Western Indian Ocean. Methods: Sequences of the DNA barcoding marker COI were generated from 306 estuarine sandprawns (Kraussillichirus kraussi) collected at 13 sites. Genetic structure and evolutionary history were assessed using a haplotype network and a Bayesian discrete phylogeographic analysis. Result: Two populations were identified whose ranges are centred on the Wild Coast, a rare one in the northern portion and a more common one in the central and southern portion of this biogeographical transition zone. These populations are not closely related to each other, but descend from subtropical and warm-temperate sister populations, respectively. Although genetic distances between populations were low, they exceeded within-population distances, indicating the presence of a \"barcoding gap.\". Conclusions: This is the first study to indicate that the Wild Coast marine biogeographical transition zone is not merely an area of faunal overlap, and one of very few studies to have discovered genetically unique populations within a marine biogeographical transition zone. The Wild Coast may harbour additional unique biodiversity that remains to be discovered, including rare species that require protection. More research is required to understand how this environmentally dynamic marine biogeographical transition zone differs from the adjacent biogeographical provinces.","author":[{"dropping-particle":"","family":"Golla","given":"Tirupathi Rao","non-dropping-particle":"","parse-names":false,"suffix":""},{"dropping-particle":"","family":"Pieterse","given":"Leishe","non-dropping-particle":"","parse-names":false,"suffix":""},{"dropping-particle":"","family":"Jooste","given":"Candice M.","non-dropping-particle":"","parse-names":false,"suffix":""},{"dropping-particle":"","family":"Teske","given":"Peter R.","non-dropping-particle":"","parse-names":false,"suffix":""}],"container-title":"Diversity and Distributions","id":"ITEM-2","issue":"12","issued":{"date-parts":[["2020"]]},"page":"1825-1832","title":"Discovery of populations endemic to a marine biogeographical transition zone","type":"article-journal","volume":"26"},"uris":["http://www.mendeley.com/documents/?uuid=e8170505-4600-3236-a615-1575dd7a1520"]}],"mendeley":{"formattedCitation":"(Golla et al. 2020; Jooste et al. 2018)","plainTextFormattedCitation":"(Golla et al. 2020; Jooste et al. 2018)","previouslyFormattedCitation":"(Golla et al. 2020; Jooste et al. 2018)"},"properties":{"noteIndex":0},"schema":"https://github.com/citation-style-language/schema/raw/master/csl-citation.json"}</w:instrText>
      </w:r>
      <w:r w:rsidR="00450022" w:rsidRPr="00533EAC">
        <w:rPr>
          <w:rFonts w:ascii="Arial" w:eastAsia="Calibri" w:hAnsi="Arial" w:cs="Arial"/>
          <w:color w:val="000000" w:themeColor="text1"/>
          <w:lang w:val="en-ZA"/>
        </w:rPr>
        <w:fldChar w:fldCharType="separate"/>
      </w:r>
      <w:r w:rsidR="00450022" w:rsidRPr="00533EAC">
        <w:rPr>
          <w:rFonts w:ascii="Arial" w:eastAsia="Calibri" w:hAnsi="Arial" w:cs="Arial"/>
          <w:noProof/>
          <w:color w:val="000000" w:themeColor="text1"/>
          <w:lang w:val="en-ZA"/>
        </w:rPr>
        <w:t>(Golla et al. 2020; Jooste et al. 2018)</w:t>
      </w:r>
      <w:r w:rsidR="00450022" w:rsidRPr="00533EAC">
        <w:rPr>
          <w:rFonts w:ascii="Arial" w:eastAsia="Calibri" w:hAnsi="Arial" w:cs="Arial"/>
          <w:color w:val="000000" w:themeColor="text1"/>
          <w:lang w:val="en-ZA"/>
        </w:rPr>
        <w:fldChar w:fldCharType="end"/>
      </w:r>
      <w:r w:rsidR="002712F8" w:rsidRPr="00533EAC">
        <w:rPr>
          <w:rFonts w:ascii="Arial" w:eastAsia="Calibri" w:hAnsi="Arial" w:cs="Arial"/>
          <w:color w:val="000000" w:themeColor="text1"/>
          <w:lang w:val="en-ZA"/>
        </w:rPr>
        <w:t>. In addition</w:t>
      </w:r>
      <w:r w:rsidR="007B2E37" w:rsidRPr="00533EAC">
        <w:rPr>
          <w:rFonts w:ascii="Arial" w:eastAsia="Calibri" w:hAnsi="Arial" w:cs="Arial"/>
          <w:color w:val="000000" w:themeColor="text1"/>
          <w:lang w:val="en-ZA"/>
        </w:rPr>
        <w:t xml:space="preserve">, </w:t>
      </w:r>
      <w:r w:rsidR="00A800A8" w:rsidRPr="00533EAC">
        <w:rPr>
          <w:rFonts w:ascii="Arial" w:eastAsia="Calibri" w:hAnsi="Arial" w:cs="Arial"/>
          <w:color w:val="000000" w:themeColor="text1"/>
          <w:lang w:val="en-ZA"/>
        </w:rPr>
        <w:t xml:space="preserve">the Wild </w:t>
      </w:r>
      <w:r w:rsidR="007B2E37" w:rsidRPr="00533EAC">
        <w:rPr>
          <w:rFonts w:ascii="Arial" w:eastAsia="Calibri" w:hAnsi="Arial" w:cs="Arial"/>
          <w:color w:val="000000" w:themeColor="text1"/>
          <w:lang w:val="en-ZA"/>
        </w:rPr>
        <w:t>c</w:t>
      </w:r>
      <w:r w:rsidR="00A800A8" w:rsidRPr="00533EAC">
        <w:rPr>
          <w:rFonts w:ascii="Arial" w:eastAsia="Calibri" w:hAnsi="Arial" w:cs="Arial"/>
          <w:color w:val="000000" w:themeColor="text1"/>
          <w:lang w:val="en-ZA"/>
        </w:rPr>
        <w:t>oast was</w:t>
      </w:r>
      <w:r w:rsidR="0058572A" w:rsidRPr="00533EAC">
        <w:rPr>
          <w:rFonts w:ascii="Arial" w:eastAsia="Calibri" w:hAnsi="Arial" w:cs="Arial"/>
          <w:color w:val="000000" w:themeColor="text1"/>
          <w:lang w:val="en-ZA"/>
        </w:rPr>
        <w:t xml:space="preserve"> not well represented in previous studies of</w:t>
      </w:r>
      <w:r w:rsidR="00DF40B1" w:rsidRPr="00533EAC">
        <w:rPr>
          <w:rFonts w:ascii="Arial" w:eastAsia="Calibri" w:hAnsi="Arial" w:cs="Arial"/>
          <w:color w:val="000000" w:themeColor="text1"/>
          <w:lang w:val="en-ZA"/>
        </w:rPr>
        <w:t xml:space="preserve"> </w:t>
      </w:r>
      <w:r w:rsidR="00DF40B1" w:rsidRPr="00533EAC">
        <w:rPr>
          <w:rFonts w:ascii="Arial" w:eastAsia="Calibri" w:hAnsi="Arial" w:cs="Arial"/>
          <w:i/>
          <w:iCs/>
          <w:color w:val="000000" w:themeColor="text1"/>
          <w:lang w:val="en-ZA"/>
        </w:rPr>
        <w:t>Pyura</w:t>
      </w:r>
      <w:r w:rsidR="00DF40B1" w:rsidRPr="00533EAC">
        <w:rPr>
          <w:rFonts w:ascii="Arial" w:eastAsia="Calibri" w:hAnsi="Arial" w:cs="Arial"/>
          <w:color w:val="000000" w:themeColor="text1"/>
          <w:lang w:val="en-ZA"/>
        </w:rPr>
        <w:t xml:space="preserve"> spp.</w:t>
      </w:r>
      <w:r w:rsidR="0058572A" w:rsidRPr="00533EAC">
        <w:rPr>
          <w:rFonts w:ascii="Arial" w:eastAsia="Calibri" w:hAnsi="Arial" w:cs="Arial"/>
          <w:color w:val="000000" w:themeColor="text1"/>
          <w:lang w:val="en-ZA"/>
        </w:rPr>
        <w:t xml:space="preserve"> </w:t>
      </w:r>
      <w:r w:rsidR="00FF50B3" w:rsidRPr="00533EAC">
        <w:rPr>
          <w:rFonts w:ascii="Arial" w:eastAsia="Calibri" w:hAnsi="Arial" w:cs="Arial"/>
          <w:color w:val="000000" w:themeColor="text1"/>
          <w:lang w:val="en-ZA"/>
        </w:rPr>
        <w:fldChar w:fldCharType="begin" w:fldLock="1"/>
      </w:r>
      <w:r w:rsidR="00B358AA" w:rsidRPr="00533EAC">
        <w:rPr>
          <w:rFonts w:ascii="Arial" w:eastAsia="Calibri" w:hAnsi="Arial" w:cs="Arial"/>
          <w:color w:val="000000" w:themeColor="text1"/>
          <w:lang w:val="en-ZA"/>
        </w:rPr>
        <w:instrText>ADDIN CSL_CITATION {"citationItems":[{"id":"ITEM-1","itemData":{"DOI":"10.1186/1471-2148-11-176","ISBN":"1471-2148","ISSN":"1471-2148","PMID":"21693014","abstract":"Ecosystem engineers facilitate habitat formation and enhance biodiversity, but when they become invasive, they present a critical threat to native communities because they can drastically alter the receiving habitat. Management of such species thus needs to be a priority, but the poorly resolved taxonomy of many ecosystem engineers represents a major obstacle to correctly identifying them as being either native or introduced. We address this dilemma by studying the sea squirt Pyura stolonifera, an important ecosystem engineer that dominates coastal communities particularly in the southern hemisphere. Using DNA sequence data from four independently evolving loci, we aimed to determine levels of cryptic diversity, the invasive or native status of each regional population, and the most appropriate sampling design for identifying the geographic ranges of each evolutionary unit.","author":[{"dropping-particle":"","family":"Teske","given":"Peter R.","non-dropping-particle":"","parse-names":false,"suffix":""},{"dropping-particle":"","family":"Rius","given":"Marc","non-dropping-particle":"","parse-names":false,"suffix":""},{"dropping-particle":"","family":"McQuaid","given":"Christopher D.","non-dropping-particle":"","parse-names":false,"suffix":""},{"dropping-particle":"","family":"Styan","given":"Craig A.","non-dropping-particle":"","parse-names":false,"suffix":""},{"dropping-particle":"","family":"Piggott","given":"Maxine P.","non-dropping-particle":"","parse-names":false,"suffix":""},{"dropping-particle":"","family":"Benhissoune","given":"Saïd","non-dropping-particle":"","parse-names":false,"suffix":""},{"dropping-particle":"","family":"Fuentes-Grünewald","given":"Claudio","non-dropping-particle":"","parse-names":false,"suffix":""},{"dropping-particle":"","family":"Walls","given":"Kathy","non-dropping-particle":"","parse-names":false,"suffix":""},{"dropping-particle":"","family":"Page","given":"Mike","non-dropping-particle":"","parse-names":false,"suffix":""},{"dropping-particle":"","family":"Attard","given":"Catherine R.M.","non-dropping-particle":"","parse-names":false,"suffix":""},{"dropping-particle":"","family":"Cooke","given":"Georgina M.","non-dropping-particle":"","parse-names":false,"suffix":""},{"dropping-particle":"","family":"McClusky","given":"Claire F.","non-dropping-particle":"","parse-names":false,"suffix":""},{"dropping-particle":"","family":"Banks","given":"Sam C.","non-dropping-particle":"","parse-names":false,"suffix":""},{"dropping-particle":"","family":"Barker","given":"Nigel P.","non-dropping-particle":"","parse-names":false,"suffix":""},{"dropping-particle":"","family":"Beheregaray","given":"Luciano B.","non-dropping-particle":"","parse-names":false,"suffix":""}],"container-title":"BMC Evolutionary Biology","id":"ITEM-1","issue":"1","issued":{"date-parts":[["2011","12","21"]]},"page":"176","title":"\"Nested\" cryptic diversity in a widespread marine ecosystem engineer: a challenge for detecting biological invasions","type":"article-journal","volume":"11"},"uris":["http://www.mendeley.com/documents/?uuid=33defdbe-1589-366a-9be1-3e615968068d"]}],"mendeley":{"formattedCitation":"(Teske et al. 2011)","plainTextFormattedCitation":"(Teske et al. 2011)","previouslyFormattedCitation":"(Teske et al. 2011)"},"properties":{"noteIndex":0},"schema":"https://github.com/citation-style-language/schema/raw/master/csl-citation.json"}</w:instrText>
      </w:r>
      <w:r w:rsidR="00FF50B3" w:rsidRPr="00533EAC">
        <w:rPr>
          <w:rFonts w:ascii="Arial" w:eastAsia="Calibri" w:hAnsi="Arial" w:cs="Arial"/>
          <w:color w:val="000000" w:themeColor="text1"/>
          <w:lang w:val="en-ZA"/>
        </w:rPr>
        <w:fldChar w:fldCharType="separate"/>
      </w:r>
      <w:r w:rsidR="00FF50B3" w:rsidRPr="00533EAC">
        <w:rPr>
          <w:rFonts w:ascii="Arial" w:eastAsia="Calibri" w:hAnsi="Arial" w:cs="Arial"/>
          <w:noProof/>
          <w:color w:val="000000" w:themeColor="text1"/>
          <w:lang w:val="en-ZA"/>
        </w:rPr>
        <w:t>(</w:t>
      </w:r>
      <w:r w:rsidR="00AF72C3" w:rsidRPr="00533EAC">
        <w:rPr>
          <w:rFonts w:ascii="Arial" w:eastAsia="Calibri" w:hAnsi="Arial" w:cs="Arial"/>
          <w:noProof/>
          <w:color w:val="000000" w:themeColor="text1"/>
          <w:lang w:val="en-ZA"/>
        </w:rPr>
        <w:t xml:space="preserve">e.g. </w:t>
      </w:r>
      <w:r w:rsidR="00FF50B3" w:rsidRPr="00533EAC">
        <w:rPr>
          <w:rFonts w:ascii="Arial" w:eastAsia="Calibri" w:hAnsi="Arial" w:cs="Arial"/>
          <w:noProof/>
          <w:color w:val="000000" w:themeColor="text1"/>
          <w:lang w:val="en-ZA"/>
        </w:rPr>
        <w:t>Teske et al. 2011)</w:t>
      </w:r>
      <w:r w:rsidR="00FF50B3" w:rsidRPr="00533EAC">
        <w:rPr>
          <w:rFonts w:ascii="Arial" w:eastAsia="Calibri" w:hAnsi="Arial" w:cs="Arial"/>
          <w:color w:val="000000" w:themeColor="text1"/>
          <w:lang w:val="en-ZA"/>
        </w:rPr>
        <w:fldChar w:fldCharType="end"/>
      </w:r>
      <w:r w:rsidR="0058572A" w:rsidRPr="00533EAC">
        <w:rPr>
          <w:rFonts w:ascii="Arial" w:eastAsia="Calibri" w:hAnsi="Arial" w:cs="Arial"/>
          <w:color w:val="000000" w:themeColor="text1"/>
          <w:lang w:val="en-ZA"/>
        </w:rPr>
        <w:t xml:space="preserve">. </w:t>
      </w:r>
      <w:r w:rsidR="00D41B3C" w:rsidRPr="00533EAC">
        <w:rPr>
          <w:rFonts w:ascii="Arial" w:eastAsia="Calibri" w:hAnsi="Arial" w:cs="Arial"/>
          <w:color w:val="000000" w:themeColor="text1"/>
          <w:lang w:val="en-ZA"/>
        </w:rPr>
        <w:t xml:space="preserve">The study area </w:t>
      </w:r>
      <w:r w:rsidR="00AF72C3" w:rsidRPr="00533EAC">
        <w:rPr>
          <w:rFonts w:ascii="Arial" w:eastAsia="Calibri" w:hAnsi="Arial" w:cs="Arial"/>
          <w:color w:val="000000" w:themeColor="text1"/>
          <w:lang w:val="en-ZA"/>
        </w:rPr>
        <w:t xml:space="preserve">has seen </w:t>
      </w:r>
      <w:r w:rsidR="00D41B3C" w:rsidRPr="00533EAC">
        <w:rPr>
          <w:rFonts w:ascii="Arial" w:eastAsia="Calibri" w:hAnsi="Arial" w:cs="Arial"/>
          <w:color w:val="000000" w:themeColor="text1"/>
          <w:lang w:val="en-ZA"/>
        </w:rPr>
        <w:t xml:space="preserve">effects of contemporary </w:t>
      </w:r>
      <w:r w:rsidR="0058572A" w:rsidRPr="00533EAC">
        <w:rPr>
          <w:rFonts w:ascii="Arial" w:eastAsia="Calibri" w:hAnsi="Arial" w:cs="Arial"/>
          <w:color w:val="000000" w:themeColor="text1"/>
          <w:lang w:val="en-ZA"/>
        </w:rPr>
        <w:t xml:space="preserve">climate change </w:t>
      </w:r>
      <w:r w:rsidR="0058572A" w:rsidRPr="00533EAC">
        <w:rPr>
          <w:rFonts w:ascii="Arial" w:eastAsia="Calibri" w:hAnsi="Arial" w:cs="Arial"/>
          <w:color w:val="000000" w:themeColor="text1"/>
          <w:lang w:val="en-ZA"/>
        </w:rPr>
        <w:fldChar w:fldCharType="begin" w:fldLock="1"/>
      </w:r>
      <w:r w:rsidR="0058572A" w:rsidRPr="00533EAC">
        <w:rPr>
          <w:rFonts w:ascii="Arial" w:eastAsia="Calibri" w:hAnsi="Arial" w:cs="Arial"/>
          <w:color w:val="000000" w:themeColor="text1"/>
          <w:lang w:val="en-ZA"/>
        </w:rPr>
        <w:instrText>ADDIN CSL_CITATION {"citationItems":[{"id":"ITEM-1","itemData":{"DOI":"10.1111/gcb.13247","ISSN":"13652486","abstract":"© 2016 John Wiley &amp; Sons Ltd.Ocean warming 'hotspots' are regions characterized by above-average temperature increases over recent years, for which there are significant consequences for both living marine resources and the societies that depend on them. As such, they represent early warning systems for understanding the impacts of marine climate change, and test-beds for developing adaptation options for coping with those impacts. Here, we examine five hotspots off the coasts of eastern Australia, South Africa, Madagascar, India and Brazil. These particular hotspots have underpinned a large international partnership that is working towards improving community adaptation by characterizing, assessing and projecting the likely future of coastal-marine food resources through the provision and sharing of knowledge. To inform this effort, we employ a high-resolution global ocean model forced by Representative Concentration Pathway 8.5 and simulated to year 2099. In addition to the sea surface temperature, we analyse projected stratification, nutrient supply, primary production, anthropogenic CO2-driven ocean acidification, deoxygenation and ocean circulation. Our simulation finds that the temperature-defined hotspots studied here will continue to experience warming but, with the exception of eastern Australia, may not remain the fastest warming ocean areas over the next century as the strongest warming is projected to occur in the subpolar and polar areas of the Northern Hemisphere. Additionally, we find that recent rapid change in SST is not necessarily an indicator that these areas are also hotspots of the other climatic stressors examined. However, a consistent facet of the hotspots studied here is that they are all strongly influenced by ocean circulation, which has already shown changes in the recent past and is projected to undergo further strong change into the future. In addition to the fast warming, change in local ocean circulation represents a distinct feature of present and future climate change impacting marine ecosystems in these areas.","author":[{"dropping-particle":"","family":"Popova","given":"Ekaterina","non-dropping-particle":"","parse-names":false,"suffix":""},{"dropping-particle":"","family":"Yool","given":"Andrew","non-dropping-particle":"","parse-names":false,"suffix":""},{"dropping-particle":"","family":"Byfield","given":"Valborg","non-dropping-particle":"","parse-names":false,"suffix":""},{"dropping-particle":"","family":"Cochrane","given":"Kevern","non-dropping-particle":"","parse-names":false,"suffix":""},{"dropping-particle":"","family":"Coward","given":"Andrew C.","non-dropping-particle":"","parse-names":false,"suffix":""},{"dropping-particle":"","family":"Salim","given":"Shyam S.","non-dropping-particle":"","parse-names":false,"suffix":""},{"dropping-particle":"","family":"Gasalla","given":"Maria A.","non-dropping-particle":"","parse-names":false,"suffix":""},{"dropping-particle":"","family":"Henson","given":"Stephanie A.","non-dropping-particle":"","parse-names":false,"suffix":""},{"dropping-particle":"","family":"Hobday","given":"Alistair J.","non-dropping-particle":"","parse-names":false,"suffix":""},{"dropping-particle":"","family":"Pecl","given":"Gretta T.","non-dropping-particle":"","parse-names":false,"suffix":""},{"dropping-particle":"","family":"Sauer","given":"Warwick H.","non-dropping-particle":"","parse-names":false,"suffix":""},{"dropping-particle":"","family":"Roberts","given":"Michael J.","non-dropping-particle":"","parse-names":false,"suffix":""}],"container-title":"Global Change Biology","id":"ITEM-1","issue":"6","issued":{"date-parts":[["2016","6","1"]]},"page":"2038-2053","publisher":"Blackwell Publishing Ltd","title":"From global to regional and back again: Common climate stressors of marine ecosystems relevant for adaptation across five ocean warming hotspots","type":"article-journal","volume":"22"},"uris":["http://www.mendeley.com/documents/?uuid=30da874d-b91e-35b9-9636-b142c46568d8"]}],"mendeley":{"formattedCitation":"(Popova et al. 2016)","plainTextFormattedCitation":"(Popova et al. 2016)","previouslyFormattedCitation":"(Popova et al. 2016)"},"properties":{"noteIndex":0},"schema":"https://github.com/citation-style-language/schema/raw/master/csl-citation.json"}</w:instrText>
      </w:r>
      <w:r w:rsidR="0058572A" w:rsidRPr="00533EAC">
        <w:rPr>
          <w:rFonts w:ascii="Arial" w:eastAsia="Calibri" w:hAnsi="Arial" w:cs="Arial"/>
          <w:color w:val="000000" w:themeColor="text1"/>
          <w:lang w:val="en-ZA"/>
        </w:rPr>
        <w:fldChar w:fldCharType="separate"/>
      </w:r>
      <w:r w:rsidR="0058572A" w:rsidRPr="00533EAC">
        <w:rPr>
          <w:rFonts w:ascii="Arial" w:eastAsia="Calibri" w:hAnsi="Arial" w:cs="Arial"/>
          <w:noProof/>
          <w:color w:val="000000" w:themeColor="text1"/>
          <w:lang w:val="en-ZA"/>
        </w:rPr>
        <w:t>(Popova et al. 2016)</w:t>
      </w:r>
      <w:r w:rsidR="0058572A" w:rsidRPr="00533EAC">
        <w:rPr>
          <w:rFonts w:ascii="Arial" w:eastAsia="Calibri" w:hAnsi="Arial" w:cs="Arial"/>
          <w:color w:val="000000" w:themeColor="text1"/>
          <w:lang w:val="en-ZA"/>
        </w:rPr>
        <w:fldChar w:fldCharType="end"/>
      </w:r>
      <w:r w:rsidR="0058572A" w:rsidRPr="00533EAC">
        <w:rPr>
          <w:rFonts w:ascii="Arial" w:eastAsia="Calibri" w:hAnsi="Arial" w:cs="Arial"/>
          <w:color w:val="000000" w:themeColor="text1"/>
          <w:lang w:val="en-ZA"/>
        </w:rPr>
        <w:t xml:space="preserve">, where marine species are adapting in order to survive </w:t>
      </w:r>
      <w:r w:rsidR="0058572A" w:rsidRPr="00533EAC">
        <w:rPr>
          <w:rFonts w:ascii="Arial" w:eastAsia="Calibri" w:hAnsi="Arial" w:cs="Arial"/>
          <w:color w:val="000000" w:themeColor="text1"/>
          <w:lang w:val="en-ZA"/>
        </w:rPr>
        <w:fldChar w:fldCharType="begin" w:fldLock="1"/>
      </w:r>
      <w:r w:rsidR="0058572A" w:rsidRPr="00533EAC">
        <w:rPr>
          <w:rFonts w:ascii="Arial" w:eastAsia="Calibri" w:hAnsi="Arial" w:cs="Arial"/>
          <w:color w:val="000000" w:themeColor="text1"/>
          <w:lang w:val="en-ZA"/>
        </w:rPr>
        <w:instrText>ADDIN CSL_CITATION {"citationItems":[{"id":"ITEM-1","itemData":{"DOI":"10.7717/peerj.5003","abstract":"Environmentally induced epigenetic changes may contribute to phenotypic plasticity, increase adaptive potential in changing environments, and play a key role in the establishment and spread of invasive species in new habitats. In this study, we used methylation-sensitive amplified polymorphism (MSAP) to assess environmentally induced DNA methylation changes in a globally invasive clonal ascidian, Didemnum vexillum . We tested the effect of increasing temperature (19, 25 and 27 °C) and decreasing salinity (34, 32, 30, 28 and 26 practical salinity units (PSU)) on global DNA methylation, growth and survival rates. Exposure to 27 °C resulted in significant changes in DNA methylation over time. Growth also decreased in colonies exposed to high temperatures, suggesting they were under thermal stress. In contrast, no differences in growth nor DNA methylation patterns were observed in colonies exposed to a decreasing salinity gradient, potentially due to prior adaptation. The results of this study show that environmental stress can induce significant global DNA methylation changes in an invasive marine invertebrate on very rapid timescales, and that this response varies depending on the type, magnitude, and duration of the stressor. Changes in genomic DNA methylation and the rate of growth may act to ‘buy survival time’ under stressful conditions, expanding the distribution limits of this globally invasive species.","author":[{"dropping-particle":"","family":"Hawes","given":"Nicola A.","non-dropping-particle":"","parse-names":false,"suffix":""},{"dropping-particle":"","family":"Tremblay","given":"Louis A.","non-dropping-particle":"","parse-names":false,"suffix":""},{"dropping-particle":"","family":"Pochon","given":"Xavier","non-dropping-particle":"","parse-names":false,"suffix":""},{"dropping-particle":"","family":"Dunphy","given":"Brendon","non-dropping-particle":"","parse-names":false,"suffix":""},{"dropping-particle":"","family":"Fidler","given":"Andrew E.","non-dropping-particle":"","parse-names":false,"suffix":""},{"dropping-particle":"","family":"Smith","given":"Kirsty F.","non-dropping-particle":"","parse-names":false,"suffix":""}],"container-title":"PeerJ","id":"ITEM-1","issued":{"date-parts":[["2018","6","25"]]},"page":"e5003","publisher":"PeerJ","title":"Effects of temperature and salinity stress on DNA methylation in a highly invasive marine invertebrate, the colonial ascidian &lt;i&gt;Didemnum vexillum&lt;/i&gt;","type":"article-journal","volume":"6"},"uris":["http://www.mendeley.com/documents/?uuid=a630d665-77d1-3834-8778-2c3612e99ea0"]},{"id":"ITEM-2","itemData":{"DOI":"10.1111/gcb.13829","ISSN":"13541013","abstract":"© 2017 John Wiley &amp; Sons Ltd The world's oceans are highly impacted by climate change and other human pressures, with significant implications for marine ecosystems and the livelihoods that they support. Adaptation for both natural and human systems is increasingly important as a coping strategy due to the rate and scale of ongoing and potential future change. Here, we conduct a review of literature concerning specific case studies of adaptation in marine systems, and discuss associated characteristics and influencing factors, including drivers, strategy, timeline, costs, and limitations. We found ample evidence in the literature that shows that marine species are adapting to climate change through shifting distributions and timing of biological events, while evidence for adaptation through evolutionary processes is limited. For human systems, existing studies focus on frameworks and principles of adaptation planning, but examples of implemented adaptation actions and evaluation of outcomes are scarce. These findings highlight potentially useful strategies given specific social–ecological contexts, as well as key barriers and specific information gaps requiring further research and actions.","author":[{"dropping-particle":"","family":"Miller","given":"Dana D.","non-dropping-particle":"","parse-names":false,"suffix":""},{"dropping-particle":"","family":"Ota","given":"Yoshitaka","non-dropping-particle":"","parse-names":false,"suffix":""},{"dropping-particle":"","family":"Sumaila","given":"Ussif Rashid","non-dropping-particle":"","parse-names":false,"suffix":""},{"dropping-particle":"","family":"Cisneros-Montemayor","given":"Andrés M.","non-dropping-particle":"","parse-names":false,"suffix":""},{"dropping-particle":"","family":"Cheung","given":"William W. L.","non-dropping-particle":"","parse-names":false,"suffix":""}],"container-title":"Global Change Biology","id":"ITEM-2","issue":"1","issued":{"date-parts":[["2018","1","1"]]},"page":"e1-e14","publisher":"Blackwell Publishing Ltd","title":"Adaptation strategies to climate change in marine systems","type":"article-journal","volume":"24"},"uris":["http://www.mendeley.com/documents/?uuid=ba7367d0-623c-3d1a-99eb-5d5fe553cfe8"]}],"mendeley":{"formattedCitation":"(Hawes et al. 2018; Miller et al. 2018)","plainTextFormattedCitation":"(Hawes et al. 2018; Miller et al. 2018)","previouslyFormattedCitation":"(Hawes et al. 2018; Miller et al. 2018)"},"properties":{"noteIndex":0},"schema":"https://github.com/citation-style-language/schema/raw/master/csl-citation.json"}</w:instrText>
      </w:r>
      <w:r w:rsidR="0058572A" w:rsidRPr="00533EAC">
        <w:rPr>
          <w:rFonts w:ascii="Arial" w:eastAsia="Calibri" w:hAnsi="Arial" w:cs="Arial"/>
          <w:color w:val="000000" w:themeColor="text1"/>
          <w:lang w:val="en-ZA"/>
        </w:rPr>
        <w:fldChar w:fldCharType="separate"/>
      </w:r>
      <w:r w:rsidR="0058572A" w:rsidRPr="00533EAC">
        <w:rPr>
          <w:rFonts w:ascii="Arial" w:eastAsia="Calibri" w:hAnsi="Arial" w:cs="Arial"/>
          <w:noProof/>
          <w:color w:val="000000" w:themeColor="text1"/>
          <w:lang w:val="en-ZA"/>
        </w:rPr>
        <w:t>(Hawes et al. 2018; Miller et al. 2018)</w:t>
      </w:r>
      <w:r w:rsidR="0058572A" w:rsidRPr="00533EAC">
        <w:rPr>
          <w:rFonts w:ascii="Arial" w:eastAsia="Calibri" w:hAnsi="Arial" w:cs="Arial"/>
          <w:color w:val="000000" w:themeColor="text1"/>
          <w:lang w:val="en-ZA"/>
        </w:rPr>
        <w:fldChar w:fldCharType="end"/>
      </w:r>
      <w:r w:rsidR="0058572A" w:rsidRPr="00533EAC">
        <w:rPr>
          <w:rFonts w:ascii="Arial" w:eastAsia="Calibri" w:hAnsi="Arial" w:cs="Arial"/>
          <w:color w:val="000000" w:themeColor="text1"/>
          <w:lang w:val="en-ZA"/>
        </w:rPr>
        <w:t>.</w:t>
      </w:r>
    </w:p>
    <w:p w14:paraId="61068ECF" w14:textId="77777777" w:rsidR="0058572A" w:rsidRPr="00533EAC" w:rsidRDefault="0058572A" w:rsidP="00C05A32">
      <w:pPr>
        <w:spacing w:after="0" w:line="360" w:lineRule="auto"/>
        <w:jc w:val="both"/>
        <w:rPr>
          <w:rFonts w:ascii="Arial" w:eastAsia="Calibri" w:hAnsi="Arial" w:cs="Arial"/>
          <w:color w:val="000000" w:themeColor="text1"/>
          <w:lang w:val="en-ZA"/>
        </w:rPr>
      </w:pPr>
    </w:p>
    <w:p w14:paraId="3C224D5C" w14:textId="2191DB1B" w:rsidR="005633D6" w:rsidRPr="00533EAC" w:rsidRDefault="005633D6" w:rsidP="00C05A32">
      <w:pPr>
        <w:spacing w:after="0" w:line="360" w:lineRule="auto"/>
        <w:jc w:val="both"/>
        <w:rPr>
          <w:rFonts w:ascii="Arial" w:eastAsia="Calibri" w:hAnsi="Arial" w:cs="Arial"/>
          <w:color w:val="000000" w:themeColor="text1"/>
          <w:lang w:val="en-ZA"/>
        </w:rPr>
      </w:pPr>
      <w:r w:rsidRPr="00533EAC">
        <w:rPr>
          <w:rFonts w:ascii="Arial" w:eastAsia="Calibri" w:hAnsi="Arial" w:cs="Arial"/>
          <w:color w:val="000000" w:themeColor="text1"/>
          <w:lang w:val="en-ZA"/>
        </w:rPr>
        <w:t>Samples were collected at 13 different sites</w:t>
      </w:r>
      <w:r w:rsidR="009119F5" w:rsidRPr="00533EAC">
        <w:rPr>
          <w:rFonts w:ascii="Arial" w:eastAsia="Calibri" w:hAnsi="Arial" w:cs="Arial"/>
          <w:color w:val="000000" w:themeColor="text1"/>
          <w:lang w:val="en-ZA"/>
        </w:rPr>
        <w:t xml:space="preserve"> and identified to species level</w:t>
      </w:r>
      <w:r w:rsidR="00E6568D" w:rsidRPr="00533EAC">
        <w:rPr>
          <w:rFonts w:ascii="Arial" w:eastAsia="Calibri" w:hAnsi="Arial" w:cs="Arial"/>
          <w:color w:val="000000" w:themeColor="text1"/>
          <w:lang w:val="en-ZA"/>
        </w:rPr>
        <w:t xml:space="preserve"> (Table 1)</w:t>
      </w:r>
      <w:r w:rsidR="000E4D47" w:rsidRPr="00533EAC">
        <w:rPr>
          <w:rFonts w:ascii="Arial" w:eastAsia="Calibri" w:hAnsi="Arial" w:cs="Arial"/>
          <w:color w:val="000000" w:themeColor="text1"/>
          <w:lang w:val="en-ZA"/>
        </w:rPr>
        <w:t xml:space="preserve"> following  </w:t>
      </w:r>
      <w:r w:rsidR="000E4D47" w:rsidRPr="00533EAC">
        <w:rPr>
          <w:rFonts w:ascii="Arial" w:eastAsia="Calibri" w:hAnsi="Arial" w:cs="Arial"/>
          <w:color w:val="000000" w:themeColor="text1"/>
          <w:lang w:val="en-ZA"/>
        </w:rPr>
        <w:fldChar w:fldCharType="begin" w:fldLock="1"/>
      </w:r>
      <w:r w:rsidR="000E4D47" w:rsidRPr="00533EAC">
        <w:rPr>
          <w:rFonts w:ascii="Arial" w:eastAsia="Calibri" w:hAnsi="Arial" w:cs="Arial"/>
          <w:color w:val="000000" w:themeColor="text1"/>
          <w:lang w:val="en-ZA"/>
        </w:rPr>
        <w:instrText>ADDIN CSL_CITATION {"citationItems":[{"id":"ITEM-1","itemData":{"ISSN":"11755334","abstract":"Pyura stolonifera is a large solitary ascidian found in Africa, Australasia and South America. The taxonomic status of different populations of this species is disputed, especially since there is evidence for several distinct morphological and genetic units that point towards the existence of multiple cryptic species. While some researchers still recognize P. stolonifera as a single species, others treat the different populations as distinct species. Here, we present a revision of the P. stolonifera species complex based on the examination of samples from all regions where there are reliable reports of this taxon. We recognize four species that are both morphologically and genetically distinct, one of which is new to science and is formally described here. This species is morphologically distinct from the other three members of the species complex in terms of the colour and texture of the tunic, the arrangement of the gonads within the gut and the shape of the dorsal tubercle, among other characters. We name the new species Pyura dalbyi after Dr. J.E. Dalby Jr., whose research on its ecology and distribution provided the incentive for examining this species more closely.","author":[{"dropping-particle":"","family":"Rius","given":"Marc","non-dropping-particle":"","parse-names":false,"suffix":""},{"dropping-particle":"","family":"Teske","given":"Peter R","non-dropping-particle":"","parse-names":false,"suffix":""}],"container-title":"Zootaxa","id":"ITEM-1","issue":"2754","issued":{"date-parts":[["2011"]]},"page":"27-40","title":"A revision of the &lt;i&gt;Pyura stolonifera&lt;/i&gt; species complex (Tunicata, Ascidiacea), with a description of a new species from Australia","type":"article-journal","volume":"2754"},"uris":["http://www.mendeley.com/documents/?uuid=2fb396ad-7091-30f4-aa5e-4ff7ab8e4fd8"]}],"mendeley":{"formattedCitation":"(Rius and Teske 2011)","plainTextFormattedCitation":"(Rius and Teske 2011)","previouslyFormattedCitation":"(Rius and Teske 2011)"},"properties":{"noteIndex":0},"schema":"https://github.com/citation-style-language/schema/raw/master/csl-citation.json"}</w:instrText>
      </w:r>
      <w:r w:rsidR="000E4D47" w:rsidRPr="00533EAC">
        <w:rPr>
          <w:rFonts w:ascii="Arial" w:eastAsia="Calibri" w:hAnsi="Arial" w:cs="Arial"/>
          <w:color w:val="000000" w:themeColor="text1"/>
          <w:lang w:val="en-ZA"/>
        </w:rPr>
        <w:fldChar w:fldCharType="separate"/>
      </w:r>
      <w:r w:rsidR="000E4D47" w:rsidRPr="00533EAC">
        <w:rPr>
          <w:rFonts w:ascii="Arial" w:eastAsia="Calibri" w:hAnsi="Arial" w:cs="Arial"/>
          <w:noProof/>
          <w:color w:val="000000" w:themeColor="text1"/>
          <w:lang w:val="en-ZA"/>
        </w:rPr>
        <w:t>(Rius and Teske 2011)</w:t>
      </w:r>
      <w:r w:rsidR="000E4D47" w:rsidRPr="00533EAC">
        <w:rPr>
          <w:rFonts w:ascii="Arial" w:eastAsia="Calibri" w:hAnsi="Arial" w:cs="Arial"/>
          <w:color w:val="000000" w:themeColor="text1"/>
          <w:lang w:val="en-ZA"/>
        </w:rPr>
        <w:fldChar w:fldCharType="end"/>
      </w:r>
      <w:r w:rsidR="009119F5" w:rsidRPr="00533EAC">
        <w:rPr>
          <w:rFonts w:ascii="Arial" w:eastAsia="Calibri" w:hAnsi="Arial" w:cs="Arial"/>
          <w:color w:val="000000" w:themeColor="text1"/>
          <w:lang w:val="en-ZA"/>
        </w:rPr>
        <w:t xml:space="preserve">. </w:t>
      </w:r>
      <w:r w:rsidRPr="00533EAC">
        <w:rPr>
          <w:rFonts w:ascii="Arial" w:eastAsia="Calibri" w:hAnsi="Arial" w:cs="Arial"/>
          <w:color w:val="000000" w:themeColor="text1"/>
          <w:lang w:val="en-ZA"/>
        </w:rPr>
        <w:t>Mant</w:t>
      </w:r>
      <w:r w:rsidR="002D38CF" w:rsidRPr="00533EAC">
        <w:rPr>
          <w:rFonts w:ascii="Arial" w:eastAsia="Calibri" w:hAnsi="Arial" w:cs="Arial"/>
          <w:color w:val="000000" w:themeColor="text1"/>
          <w:lang w:val="en-ZA"/>
        </w:rPr>
        <w:t>l</w:t>
      </w:r>
      <w:r w:rsidRPr="00533EAC">
        <w:rPr>
          <w:rFonts w:ascii="Arial" w:eastAsia="Calibri" w:hAnsi="Arial" w:cs="Arial"/>
          <w:color w:val="000000" w:themeColor="text1"/>
          <w:lang w:val="en-ZA"/>
        </w:rPr>
        <w:t xml:space="preserve">e tissue samples of </w:t>
      </w:r>
      <w:r w:rsidRPr="00533EAC">
        <w:rPr>
          <w:rFonts w:ascii="Arial" w:eastAsia="Calibri" w:hAnsi="Arial" w:cs="Arial"/>
          <w:i/>
          <w:color w:val="000000" w:themeColor="text1"/>
          <w:lang w:val="en-ZA"/>
        </w:rPr>
        <w:t xml:space="preserve">Pyura </w:t>
      </w:r>
      <w:r w:rsidRPr="00533EAC">
        <w:rPr>
          <w:rFonts w:ascii="Arial" w:eastAsia="Calibri" w:hAnsi="Arial" w:cs="Arial"/>
          <w:iCs/>
          <w:color w:val="000000" w:themeColor="text1"/>
          <w:lang w:val="en-ZA"/>
        </w:rPr>
        <w:t>spp</w:t>
      </w:r>
      <w:r w:rsidRPr="00533EAC">
        <w:rPr>
          <w:rFonts w:ascii="Arial" w:eastAsia="Calibri" w:hAnsi="Arial" w:cs="Arial"/>
          <w:i/>
          <w:color w:val="000000" w:themeColor="text1"/>
          <w:lang w:val="en-ZA"/>
        </w:rPr>
        <w:t xml:space="preserve">. </w:t>
      </w:r>
      <w:r w:rsidRPr="00533EAC">
        <w:rPr>
          <w:rFonts w:ascii="Arial" w:eastAsia="Calibri" w:hAnsi="Arial" w:cs="Arial"/>
          <w:iCs/>
          <w:color w:val="000000" w:themeColor="text1"/>
          <w:lang w:val="en-ZA"/>
        </w:rPr>
        <w:t>were</w:t>
      </w:r>
      <w:r w:rsidRPr="00533EAC">
        <w:rPr>
          <w:rFonts w:ascii="Arial" w:eastAsia="Calibri" w:hAnsi="Arial" w:cs="Arial"/>
          <w:color w:val="000000" w:themeColor="text1"/>
          <w:lang w:val="en-ZA"/>
        </w:rPr>
        <w:t xml:space="preserve"> stored in absolute ethanol. DNA was extracted using the CTAB protocol </w:t>
      </w:r>
      <w:r w:rsidRPr="00533EAC">
        <w:rPr>
          <w:rFonts w:ascii="Arial" w:eastAsia="Calibri" w:hAnsi="Arial" w:cs="Arial"/>
          <w:color w:val="000000" w:themeColor="text1"/>
          <w:lang w:val="en-ZA"/>
        </w:rPr>
        <w:fldChar w:fldCharType="begin" w:fldLock="1"/>
      </w:r>
      <w:r w:rsidR="0097798B" w:rsidRPr="00533EAC">
        <w:rPr>
          <w:rFonts w:ascii="Arial" w:eastAsia="Calibri" w:hAnsi="Arial" w:cs="Arial"/>
          <w:color w:val="000000" w:themeColor="text1"/>
          <w:lang w:val="en-ZA"/>
        </w:rPr>
        <w:instrText>ADDIN CSL_CITATION {"citationItems":[{"id":"ITEM-1","itemData":{"abstract":"Of the several rapid and inexpensive DNA isolation procedures that have been described recently, one of the most popular is that of Saghai-Maroof et al. (1984), a procedure using hexadecyltrimethylammonium bromide (CTAB) and lyophilized tissue. We here describe a simple modification of this procedure that has been found to be efficient for nucleic acid isolations from fresh leaf tissue, and which we have also used for dried herbarium specimens.","author":[{"dropping-particle":"","family":"Doyle","given":"J J","non-dropping-particle":"","parse-names":false,"suffix":""},{"dropping-particle":"","family":"Doyle","given":"J L","non-dropping-particle":"","parse-names":false,"suffix":""}],"container-title":"Phytochemical Bulletin","id":"ITEM-1","issued":{"date-parts":[["1987"]]},"page":"11-15","title":"A rapid DNA isolation procedure for small quantities of fresh leaf tissue","type":"article-journal","volume":"19"},"uris":["http://www.mendeley.com/documents/?uuid=4943b94e-8e53-34a4-8371-33c7bfa26036"]}],"mendeley":{"formattedCitation":"(Doyle and Doyle 1987)","plainTextFormattedCitation":"(Doyle and Doyle 1987)","previouslyFormattedCitation":"(Doyle and Doyle 1987)"},"properties":{"noteIndex":0},"schema":"https://github.com/citation-style-language/schema/raw/master/csl-citation.json"}</w:instrText>
      </w:r>
      <w:r w:rsidRPr="00533EAC">
        <w:rPr>
          <w:rFonts w:ascii="Arial" w:eastAsia="Calibri" w:hAnsi="Arial" w:cs="Arial"/>
          <w:color w:val="000000" w:themeColor="text1"/>
          <w:lang w:val="en-ZA"/>
        </w:rPr>
        <w:fldChar w:fldCharType="separate"/>
      </w:r>
      <w:r w:rsidR="003A4A3A" w:rsidRPr="00533EAC">
        <w:rPr>
          <w:rFonts w:ascii="Arial" w:eastAsia="Calibri" w:hAnsi="Arial" w:cs="Arial"/>
          <w:noProof/>
          <w:color w:val="000000" w:themeColor="text1"/>
          <w:lang w:val="en-ZA"/>
        </w:rPr>
        <w:t>(Doyle and Doyle 1987)</w:t>
      </w:r>
      <w:r w:rsidRPr="00533EAC">
        <w:rPr>
          <w:rFonts w:ascii="Arial" w:eastAsia="Calibri" w:hAnsi="Arial" w:cs="Arial"/>
          <w:color w:val="000000" w:themeColor="text1"/>
          <w:lang w:val="en-ZA"/>
        </w:rPr>
        <w:fldChar w:fldCharType="end"/>
      </w:r>
      <w:r w:rsidRPr="00533EAC">
        <w:rPr>
          <w:rFonts w:ascii="Arial" w:eastAsia="Calibri" w:hAnsi="Arial" w:cs="Arial"/>
          <w:color w:val="000000" w:themeColor="text1"/>
          <w:lang w:val="en-ZA"/>
        </w:rPr>
        <w:t xml:space="preserve">, and purified using the </w:t>
      </w:r>
      <w:proofErr w:type="spellStart"/>
      <w:r w:rsidRPr="00533EAC">
        <w:rPr>
          <w:rFonts w:ascii="Arial" w:eastAsia="Calibri" w:hAnsi="Arial" w:cs="Arial"/>
          <w:color w:val="000000" w:themeColor="text1"/>
          <w:lang w:val="en-ZA"/>
        </w:rPr>
        <w:t>QIAquick</w:t>
      </w:r>
      <w:proofErr w:type="spellEnd"/>
      <w:r w:rsidRPr="00533EAC">
        <w:rPr>
          <w:rFonts w:ascii="Arial" w:eastAsia="Calibri" w:hAnsi="Arial" w:cs="Arial"/>
          <w:color w:val="000000" w:themeColor="text1"/>
          <w:lang w:val="en-ZA"/>
        </w:rPr>
        <w:t xml:space="preserve"> PCR Purification Kit, following the manufacturer’s instructions (Qiagen, Hilden, Germany). The purity and concentration of the DNA was evaluated by measurement of the 260/280 ratio using a </w:t>
      </w:r>
      <w:proofErr w:type="spellStart"/>
      <w:r w:rsidRPr="00533EAC">
        <w:rPr>
          <w:rFonts w:ascii="Arial" w:eastAsia="Calibri" w:hAnsi="Arial" w:cs="Arial"/>
          <w:color w:val="000000" w:themeColor="text1"/>
          <w:lang w:val="en-ZA"/>
        </w:rPr>
        <w:t>NanoDrop</w:t>
      </w:r>
      <w:proofErr w:type="spellEnd"/>
      <w:r w:rsidRPr="00533EAC">
        <w:rPr>
          <w:rFonts w:ascii="Arial" w:eastAsia="Calibri" w:hAnsi="Arial" w:cs="Arial"/>
          <w:color w:val="000000" w:themeColor="text1"/>
          <w:vertAlign w:val="superscript"/>
          <w:lang w:val="en-ZA"/>
        </w:rPr>
        <w:sym w:font="Symbol" w:char="F0E2"/>
      </w:r>
      <w:r w:rsidRPr="00533EAC">
        <w:rPr>
          <w:rFonts w:ascii="Arial" w:eastAsia="Calibri" w:hAnsi="Arial" w:cs="Arial"/>
          <w:color w:val="000000" w:themeColor="text1"/>
          <w:lang w:val="en-ZA"/>
        </w:rPr>
        <w:t>1000 Spectrophotometer 3.7.</w:t>
      </w:r>
    </w:p>
    <w:p w14:paraId="243298ED" w14:textId="77777777" w:rsidR="003812DD" w:rsidRPr="00533EAC" w:rsidRDefault="003812DD" w:rsidP="00C05A32">
      <w:pPr>
        <w:spacing w:after="0" w:line="360" w:lineRule="auto"/>
        <w:jc w:val="both"/>
        <w:rPr>
          <w:rFonts w:ascii="Arial" w:eastAsia="Calibri" w:hAnsi="Arial" w:cs="Arial"/>
          <w:i/>
          <w:iCs/>
          <w:color w:val="000000" w:themeColor="text1"/>
          <w:lang w:val="en-ZA"/>
        </w:rPr>
      </w:pPr>
    </w:p>
    <w:p w14:paraId="0AFE9B97" w14:textId="7DDD0C6C" w:rsidR="005633D6" w:rsidRPr="00533EAC" w:rsidRDefault="005633D6" w:rsidP="00C05A32">
      <w:pPr>
        <w:spacing w:after="0" w:line="360" w:lineRule="auto"/>
        <w:jc w:val="both"/>
        <w:rPr>
          <w:rFonts w:ascii="Arial" w:eastAsia="Calibri" w:hAnsi="Arial" w:cs="Arial"/>
          <w:color w:val="000000" w:themeColor="text1"/>
          <w:lang w:val="en-ZA"/>
        </w:rPr>
      </w:pPr>
      <w:r w:rsidRPr="00533EAC">
        <w:rPr>
          <w:rFonts w:ascii="Arial" w:eastAsia="Calibri" w:hAnsi="Arial" w:cs="Arial"/>
          <w:i/>
          <w:iCs/>
          <w:color w:val="000000" w:themeColor="text1"/>
          <w:lang w:val="en-ZA"/>
        </w:rPr>
        <w:t>Microsatellite detection</w:t>
      </w:r>
    </w:p>
    <w:p w14:paraId="64A3A92C" w14:textId="4DEC1610" w:rsidR="005633D6" w:rsidRPr="00533EAC" w:rsidRDefault="005633D6" w:rsidP="00C05A32">
      <w:pPr>
        <w:spacing w:after="0" w:line="360" w:lineRule="auto"/>
        <w:jc w:val="both"/>
        <w:rPr>
          <w:rFonts w:ascii="Arial" w:eastAsia="Calibri" w:hAnsi="Arial" w:cs="Arial"/>
          <w:color w:val="000000" w:themeColor="text1"/>
          <w:lang w:val="en-ZA"/>
        </w:rPr>
      </w:pPr>
      <w:r w:rsidRPr="00533EAC">
        <w:rPr>
          <w:rFonts w:ascii="Arial" w:eastAsia="Calibri" w:hAnsi="Arial" w:cs="Arial"/>
          <w:color w:val="000000" w:themeColor="text1"/>
          <w:lang w:val="en-ZA"/>
        </w:rPr>
        <w:t xml:space="preserve">Four samples of genomic DNA, two for each species of </w:t>
      </w:r>
      <w:r w:rsidRPr="00533EAC">
        <w:rPr>
          <w:rFonts w:ascii="Arial" w:eastAsia="Calibri" w:hAnsi="Arial" w:cs="Arial"/>
          <w:i/>
          <w:color w:val="000000" w:themeColor="text1"/>
          <w:lang w:val="en-ZA"/>
        </w:rPr>
        <w:t>Pyura</w:t>
      </w:r>
      <w:r w:rsidRPr="00533EAC">
        <w:rPr>
          <w:rFonts w:ascii="Arial" w:eastAsia="Calibri" w:hAnsi="Arial" w:cs="Arial"/>
          <w:color w:val="000000" w:themeColor="text1"/>
          <w:lang w:val="en-ZA"/>
        </w:rPr>
        <w:t xml:space="preserve">, were sequenced at </w:t>
      </w:r>
      <w:proofErr w:type="spellStart"/>
      <w:r w:rsidRPr="00533EAC">
        <w:rPr>
          <w:rFonts w:ascii="Arial" w:eastAsia="Calibri" w:hAnsi="Arial" w:cs="Arial"/>
          <w:color w:val="000000" w:themeColor="text1"/>
          <w:lang w:val="en-ZA"/>
        </w:rPr>
        <w:t>GenoScreen</w:t>
      </w:r>
      <w:proofErr w:type="spellEnd"/>
      <w:r w:rsidRPr="00533EAC">
        <w:rPr>
          <w:rFonts w:ascii="Arial" w:eastAsia="Calibri" w:hAnsi="Arial" w:cs="Arial"/>
          <w:color w:val="000000" w:themeColor="text1"/>
          <w:lang w:val="en-ZA"/>
        </w:rPr>
        <w:t xml:space="preserve">, Lille, France (www.genoscreen.fr). The development of </w:t>
      </w:r>
      <w:r w:rsidR="009119F5" w:rsidRPr="00533EAC">
        <w:rPr>
          <w:rFonts w:ascii="Arial" w:eastAsia="Calibri" w:hAnsi="Arial" w:cs="Arial"/>
          <w:color w:val="000000" w:themeColor="text1"/>
          <w:lang w:val="en-ZA"/>
        </w:rPr>
        <w:t xml:space="preserve">a </w:t>
      </w:r>
      <w:r w:rsidRPr="00533EAC">
        <w:rPr>
          <w:rFonts w:ascii="Arial" w:eastAsia="Calibri" w:hAnsi="Arial" w:cs="Arial"/>
          <w:color w:val="000000" w:themeColor="text1"/>
          <w:lang w:val="en-ZA"/>
        </w:rPr>
        <w:t>microsatellite library required 1</w:t>
      </w:r>
      <w:r w:rsidR="001808F6" w:rsidRPr="00533EAC">
        <w:rPr>
          <w:rFonts w:ascii="Arial" w:eastAsia="Calibri" w:hAnsi="Arial" w:cs="Arial"/>
          <w:color w:val="000000" w:themeColor="text1"/>
          <w:lang w:val="en-ZA"/>
        </w:rPr>
        <w:t xml:space="preserve"> </w:t>
      </w:r>
      <w:proofErr w:type="spellStart"/>
      <w:r w:rsidRPr="00533EAC">
        <w:rPr>
          <w:rFonts w:ascii="Arial" w:eastAsia="Calibri" w:hAnsi="Arial" w:cs="Arial"/>
          <w:color w:val="000000" w:themeColor="text1"/>
          <w:lang w:val="en-ZA"/>
        </w:rPr>
        <w:t>μg</w:t>
      </w:r>
      <w:proofErr w:type="spellEnd"/>
      <w:r w:rsidRPr="00533EAC">
        <w:rPr>
          <w:rFonts w:ascii="Arial" w:eastAsia="Calibri" w:hAnsi="Arial" w:cs="Arial"/>
          <w:color w:val="000000" w:themeColor="text1"/>
          <w:lang w:val="en-ZA"/>
        </w:rPr>
        <w:t xml:space="preserve"> of DNA</w:t>
      </w:r>
      <w:r w:rsidR="009119F5" w:rsidRPr="00533EAC">
        <w:rPr>
          <w:rFonts w:ascii="Arial" w:eastAsia="Calibri" w:hAnsi="Arial" w:cs="Arial"/>
          <w:color w:val="000000" w:themeColor="text1"/>
          <w:lang w:val="en-ZA"/>
        </w:rPr>
        <w:t xml:space="preserve"> from each sample</w:t>
      </w:r>
      <w:r w:rsidRPr="00533EAC">
        <w:rPr>
          <w:rFonts w:ascii="Arial" w:eastAsia="Calibri" w:hAnsi="Arial" w:cs="Arial"/>
          <w:color w:val="000000" w:themeColor="text1"/>
          <w:lang w:val="en-ZA"/>
        </w:rPr>
        <w:t xml:space="preserve">, and 454 GS-FLX Titanium pyrosequencing of enriched DNA libraries was performed as described in </w:t>
      </w:r>
      <w:proofErr w:type="spellStart"/>
      <w:r w:rsidRPr="00533EAC">
        <w:rPr>
          <w:rFonts w:ascii="Arial" w:eastAsia="Calibri" w:hAnsi="Arial" w:cs="Arial"/>
          <w:color w:val="000000" w:themeColor="text1"/>
          <w:lang w:val="en-ZA"/>
        </w:rPr>
        <w:t>Malausa</w:t>
      </w:r>
      <w:proofErr w:type="spellEnd"/>
      <w:r w:rsidRPr="00533EAC">
        <w:rPr>
          <w:rFonts w:ascii="Arial" w:eastAsia="Calibri" w:hAnsi="Arial" w:cs="Arial"/>
          <w:color w:val="000000" w:themeColor="text1"/>
          <w:lang w:val="en-ZA"/>
        </w:rPr>
        <w:t xml:space="preserve"> et al</w:t>
      </w:r>
      <w:r w:rsidR="00256C97" w:rsidRPr="00533EAC">
        <w:rPr>
          <w:rFonts w:ascii="Arial" w:eastAsia="Calibri" w:hAnsi="Arial" w:cs="Arial"/>
          <w:color w:val="000000" w:themeColor="text1"/>
          <w:lang w:val="en-ZA"/>
        </w:rPr>
        <w:t xml:space="preserve">. </w:t>
      </w:r>
      <w:r w:rsidR="000C0944" w:rsidRPr="00533EAC">
        <w:rPr>
          <w:rFonts w:ascii="Arial" w:eastAsia="Calibri" w:hAnsi="Arial" w:cs="Arial"/>
          <w:color w:val="000000" w:themeColor="text1"/>
          <w:lang w:val="en-ZA"/>
        </w:rPr>
        <w:t>(2011)</w:t>
      </w:r>
      <w:r w:rsidRPr="00533EAC">
        <w:rPr>
          <w:rFonts w:ascii="Arial" w:eastAsia="Calibri" w:hAnsi="Arial" w:cs="Arial"/>
          <w:color w:val="000000" w:themeColor="text1"/>
          <w:lang w:val="en-ZA"/>
        </w:rPr>
        <w:t xml:space="preserve">. In short, total DNA was mechanically fragmented and enriched with AG, AC, AAC, AAG, AGG, ACG, ACAT and ATCT repeat motifs. Thereafter, enriched fragments were amplified, and PCR products were purified and quantified using the </w:t>
      </w:r>
      <w:proofErr w:type="spellStart"/>
      <w:r w:rsidRPr="00533EAC">
        <w:rPr>
          <w:rFonts w:ascii="Arial" w:eastAsia="Calibri" w:hAnsi="Arial" w:cs="Arial"/>
          <w:color w:val="000000" w:themeColor="text1"/>
          <w:lang w:val="en-ZA"/>
        </w:rPr>
        <w:t>QIAquick</w:t>
      </w:r>
      <w:proofErr w:type="spellEnd"/>
      <w:r w:rsidRPr="00533EAC">
        <w:rPr>
          <w:rFonts w:ascii="Arial" w:eastAsia="Calibri" w:hAnsi="Arial" w:cs="Arial"/>
          <w:color w:val="000000" w:themeColor="text1"/>
          <w:lang w:val="en-ZA"/>
        </w:rPr>
        <w:t xml:space="preserve"> PCR Purification Kit. </w:t>
      </w:r>
    </w:p>
    <w:p w14:paraId="42EF991B" w14:textId="77777777" w:rsidR="001808F6" w:rsidRPr="00533EAC" w:rsidRDefault="001808F6" w:rsidP="00C05A32">
      <w:pPr>
        <w:spacing w:after="0" w:line="360" w:lineRule="auto"/>
        <w:jc w:val="both"/>
        <w:rPr>
          <w:rFonts w:ascii="Arial" w:eastAsia="Calibri" w:hAnsi="Arial" w:cs="Arial"/>
          <w:color w:val="000000" w:themeColor="text1"/>
          <w:lang w:val="en-ZA"/>
        </w:rPr>
      </w:pPr>
    </w:p>
    <w:p w14:paraId="759DFB76" w14:textId="5781035C" w:rsidR="005633D6" w:rsidRPr="00533EAC" w:rsidRDefault="00F76C68" w:rsidP="00C05A32">
      <w:pPr>
        <w:spacing w:after="0" w:line="360" w:lineRule="auto"/>
        <w:jc w:val="both"/>
        <w:rPr>
          <w:rFonts w:ascii="Arial" w:eastAsia="Calibri" w:hAnsi="Arial" w:cs="Arial"/>
          <w:color w:val="000000" w:themeColor="text1"/>
          <w:lang w:val="en-ZA"/>
        </w:rPr>
      </w:pPr>
      <w:r w:rsidRPr="00533EAC">
        <w:rPr>
          <w:rFonts w:ascii="Arial" w:eastAsia="Calibri" w:hAnsi="Arial" w:cs="Arial"/>
          <w:color w:val="000000" w:themeColor="text1"/>
          <w:lang w:val="en-ZA"/>
        </w:rPr>
        <w:lastRenderedPageBreak/>
        <w:t xml:space="preserve">Reads containing microsatellites </w:t>
      </w:r>
      <w:r w:rsidR="005633D6" w:rsidRPr="00533EAC">
        <w:rPr>
          <w:rFonts w:ascii="Arial" w:eastAsia="Calibri" w:hAnsi="Arial" w:cs="Arial"/>
          <w:color w:val="000000" w:themeColor="text1"/>
          <w:lang w:val="en-ZA"/>
        </w:rPr>
        <w:t xml:space="preserve">were </w:t>
      </w:r>
      <w:r w:rsidR="001808F6" w:rsidRPr="00533EAC">
        <w:rPr>
          <w:rFonts w:ascii="Arial" w:eastAsia="Calibri" w:hAnsi="Arial" w:cs="Arial"/>
          <w:color w:val="000000" w:themeColor="text1"/>
          <w:lang w:val="en-ZA"/>
        </w:rPr>
        <w:t xml:space="preserve">analysed </w:t>
      </w:r>
      <w:r w:rsidR="005633D6" w:rsidRPr="00533EAC">
        <w:rPr>
          <w:rFonts w:ascii="Arial" w:eastAsia="Calibri" w:hAnsi="Arial" w:cs="Arial"/>
          <w:color w:val="000000" w:themeColor="text1"/>
          <w:lang w:val="en-ZA"/>
        </w:rPr>
        <w:t xml:space="preserve">using the QDD bioinformatics software </w:t>
      </w:r>
      <w:r w:rsidR="005633D6" w:rsidRPr="00533EAC">
        <w:rPr>
          <w:rFonts w:ascii="Arial" w:eastAsia="Calibri" w:hAnsi="Arial" w:cs="Arial"/>
          <w:color w:val="000000" w:themeColor="text1"/>
          <w:lang w:val="en-ZA"/>
        </w:rPr>
        <w:fldChar w:fldCharType="begin" w:fldLock="1"/>
      </w:r>
      <w:r w:rsidR="0097798B" w:rsidRPr="00533EAC">
        <w:rPr>
          <w:rFonts w:ascii="Arial" w:eastAsia="Calibri" w:hAnsi="Arial" w:cs="Arial"/>
          <w:color w:val="000000" w:themeColor="text1"/>
          <w:lang w:val="en-ZA"/>
        </w:rPr>
        <w:instrText>ADDIN CSL_CITATION {"citationItems":[{"id":"ITEM-1","itemData":{"DOI":"10.1093/bioinformatics/btp670","ISBN":"1367-4811 (Electronic)\\n1367-4803 (Linking)","ISSN":"14602059","PMID":"20007741","abstract":"QDD is an open access program providing a user-friendly tool for microsatellite detection and primer design from large sets of DNA sequences. The program is designed to deal with all steps of treatment of raw sequences obtained from pyrosequencing of enriched DNA libraries, but it is also applicable to data obtained through other sequencing methods, using FASTA files as input. The following tasks are completed by QDD: tag sorting, adapter/vector removal, elimination of redundant sequences, detection of possible genomic multicopies (duplicated loci or transposable elements), stringent selection of target microsatellites and customizable primer design. It can treat up to one million sequences of a few hundred base pairs in the tag-sorting step, and up to 50,000 sequences in a single input file for the steps involving estimation of sequence similarity.","author":[{"dropping-particle":"","family":"Meglécz","given":"Emese","non-dropping-particle":"","parse-names":false,"suffix":""},{"dropping-particle":"","family":"Costedoat","given":"Caroline","non-dropping-particle":"","parse-names":false,"suffix":""},{"dropping-particle":"","family":"Dubut","given":"Vincent","non-dropping-particle":"","parse-names":false,"suffix":""},{"dropping-particle":"","family":"Gilles","given":"André","non-dropping-particle":"","parse-names":false,"suffix":""},{"dropping-particle":"","family":"Malausa","given":"Thibaut","non-dropping-particle":"","parse-names":false,"suffix":""},{"dropping-particle":"","family":"Pech","given":"Nicolas","non-dropping-particle":"","parse-names":false,"suffix":""},{"dropping-particle":"","family":"Martin","given":"Jean François","non-dropping-particle":"","parse-names":false,"suffix":""}],"container-title":"Bioinformatics","id":"ITEM-1","issue":"3","issued":{"date-parts":[["2009"]]},"page":"403-404","title":"QDD: A user-friendly program to select microsatellite markers and design primers from large sequencing projects","type":"article-journal","volume":"26"},"uris":["http://www.mendeley.com/documents/?uuid=4a347b8d-b5ea-341e-aad2-b40547aa6185"]}],"mendeley":{"formattedCitation":"(Meglécz et al. 2009)","plainTextFormattedCitation":"(Meglécz et al. 2009)","previouslyFormattedCitation":"(Meglécz et al. 2009)"},"properties":{"noteIndex":0},"schema":"https://github.com/citation-style-language/schema/raw/master/csl-citation.json"}</w:instrText>
      </w:r>
      <w:r w:rsidR="005633D6" w:rsidRPr="00533EAC">
        <w:rPr>
          <w:rFonts w:ascii="Arial" w:eastAsia="Calibri" w:hAnsi="Arial" w:cs="Arial"/>
          <w:color w:val="000000" w:themeColor="text1"/>
          <w:lang w:val="en-ZA"/>
        </w:rPr>
        <w:fldChar w:fldCharType="separate"/>
      </w:r>
      <w:r w:rsidR="003A4A3A" w:rsidRPr="00533EAC">
        <w:rPr>
          <w:rFonts w:ascii="Arial" w:eastAsia="Calibri" w:hAnsi="Arial" w:cs="Arial"/>
          <w:noProof/>
          <w:color w:val="000000" w:themeColor="text1"/>
          <w:lang w:val="en-ZA"/>
        </w:rPr>
        <w:t>(Meglécz et al. 2009)</w:t>
      </w:r>
      <w:r w:rsidR="005633D6" w:rsidRPr="00533EAC">
        <w:rPr>
          <w:rFonts w:ascii="Arial" w:eastAsia="Calibri" w:hAnsi="Arial" w:cs="Arial"/>
          <w:color w:val="000000" w:themeColor="text1"/>
          <w:lang w:val="en-ZA"/>
        </w:rPr>
        <w:fldChar w:fldCharType="end"/>
      </w:r>
      <w:r w:rsidR="005633D6" w:rsidRPr="00533EAC">
        <w:rPr>
          <w:rFonts w:ascii="Arial" w:eastAsia="Calibri" w:hAnsi="Arial" w:cs="Arial"/>
          <w:color w:val="000000" w:themeColor="text1"/>
          <w:lang w:val="en-ZA"/>
        </w:rPr>
        <w:t xml:space="preserve">. QDD performs all bioinformatics processes from raw sequences to acquiring PCR primers: removal of adapters/vectors, identification of microsatellites, redundancy detection/possible association of mobile components, collection of target microsatellite sequences and first design using BLAST </w:t>
      </w:r>
      <w:r w:rsidR="005633D6" w:rsidRPr="00533EAC">
        <w:rPr>
          <w:rFonts w:ascii="Arial" w:eastAsia="Calibri" w:hAnsi="Arial" w:cs="Arial"/>
          <w:color w:val="000000" w:themeColor="text1"/>
          <w:lang w:val="en-ZA"/>
        </w:rPr>
        <w:fldChar w:fldCharType="begin" w:fldLock="1"/>
      </w:r>
      <w:r w:rsidR="0097798B" w:rsidRPr="00533EAC">
        <w:rPr>
          <w:rFonts w:ascii="Arial" w:eastAsia="Calibri" w:hAnsi="Arial" w:cs="Arial"/>
          <w:color w:val="000000" w:themeColor="text1"/>
          <w:lang w:val="en-ZA"/>
        </w:rPr>
        <w:instrText>ADDIN CSL_CITATION {"citationItems":[{"id":"ITEM-1","itemData":{"DOI":"10.1016/S0022-2836(05)80360-2","ISSN":"00222836","PMID":"2231712","abstract":"A new approach to rapid sequence comparison, basic local alignment search tool (BLAST), directly approximates alignments that optimize a measure of local similarity, the maximal segment pair (MSP) score. Recent mathematical results on the stochastic properties of MSP scores allow an analysis of the performance of this method as well as the statistical significance of alignments it generates. The basic algorithm is simple and robust; it can be implemented in a number of ways and applied in a variety of contexts including straight-forward DNA and protein sequence database searches, motif searches, gene identification searches, and in the analysis of multiple regions of similarity in long DNA sequences. In addition to its flexibility and tractability to mathematical analysis, BLAST is an order of magnitude faster than existing sequence comparison tools of comparable sensitivity. © 1990, Academic Press Limited. All rights reserved.","author":[{"dropping-particle":"","family":"Altschul","given":"Stephen F.","non-dropping-particle":"","parse-names":false,"suffix":""},{"dropping-particle":"","family":"Gish","given":"Warren","non-dropping-particle":"","parse-names":false,"suffix":""},{"dropping-particle":"","family":"Miller","given":"Webb","non-dropping-particle":"","parse-names":false,"suffix":""},{"dropping-particle":"","family":"Myers","given":"Eugene W.","non-dropping-particle":"","parse-names":false,"suffix":""},{"dropping-particle":"","family":"Lipman","given":"David J.","non-dropping-particle":"","parse-names":false,"suffix":""}],"container-title":"Journal of Molecular Biology","id":"ITEM-1","issue":"3","issued":{"date-parts":[["1990"]]},"page":"403-410","title":"Basic local alignment search tool","type":"article-journal","volume":"215"},"uris":["http://www.mendeley.com/documents/?uuid=a3f6c18c-aeda-3043-85ed-b3e42754045b"]}],"mendeley":{"formattedCitation":"(Altschul et al. 1990)","plainTextFormattedCitation":"(Altschul et al. 1990)","previouslyFormattedCitation":"(Altschul et al. 1990)"},"properties":{"noteIndex":0},"schema":"https://github.com/citation-style-language/schema/raw/master/csl-citation.json"}</w:instrText>
      </w:r>
      <w:r w:rsidR="005633D6" w:rsidRPr="00533EAC">
        <w:rPr>
          <w:rFonts w:ascii="Arial" w:eastAsia="Calibri" w:hAnsi="Arial" w:cs="Arial"/>
          <w:color w:val="000000" w:themeColor="text1"/>
          <w:lang w:val="en-ZA"/>
        </w:rPr>
        <w:fldChar w:fldCharType="separate"/>
      </w:r>
      <w:r w:rsidR="003A4A3A" w:rsidRPr="00533EAC">
        <w:rPr>
          <w:rFonts w:ascii="Arial" w:eastAsia="Calibri" w:hAnsi="Arial" w:cs="Arial"/>
          <w:noProof/>
          <w:color w:val="000000" w:themeColor="text1"/>
          <w:lang w:val="en-ZA"/>
        </w:rPr>
        <w:t>(Altschul et al. 1990)</w:t>
      </w:r>
      <w:r w:rsidR="005633D6" w:rsidRPr="00533EAC">
        <w:rPr>
          <w:rFonts w:ascii="Arial" w:eastAsia="Calibri" w:hAnsi="Arial" w:cs="Arial"/>
          <w:color w:val="000000" w:themeColor="text1"/>
          <w:lang w:val="en-ZA"/>
        </w:rPr>
        <w:fldChar w:fldCharType="end"/>
      </w:r>
      <w:r w:rsidR="005633D6" w:rsidRPr="00533EAC">
        <w:rPr>
          <w:rFonts w:ascii="Arial" w:eastAsia="Calibri" w:hAnsi="Arial" w:cs="Arial"/>
          <w:color w:val="000000" w:themeColor="text1"/>
          <w:lang w:val="en-ZA"/>
        </w:rPr>
        <w:t xml:space="preserve">, </w:t>
      </w:r>
      <w:proofErr w:type="spellStart"/>
      <w:r w:rsidR="005633D6" w:rsidRPr="00533EAC">
        <w:rPr>
          <w:rFonts w:ascii="Arial" w:eastAsia="Calibri" w:hAnsi="Arial" w:cs="Arial"/>
          <w:color w:val="000000" w:themeColor="text1"/>
          <w:lang w:val="en-ZA"/>
        </w:rPr>
        <w:t>ClustalW</w:t>
      </w:r>
      <w:proofErr w:type="spellEnd"/>
      <w:r w:rsidR="005633D6" w:rsidRPr="00533EAC">
        <w:rPr>
          <w:rFonts w:ascii="Arial" w:eastAsia="Calibri" w:hAnsi="Arial" w:cs="Arial"/>
          <w:color w:val="000000" w:themeColor="text1"/>
          <w:lang w:val="en-ZA"/>
        </w:rPr>
        <w:t xml:space="preserve"> </w:t>
      </w:r>
      <w:r w:rsidR="005633D6" w:rsidRPr="00533EAC">
        <w:rPr>
          <w:rFonts w:ascii="Arial" w:eastAsia="Calibri" w:hAnsi="Arial" w:cs="Arial"/>
          <w:color w:val="000000" w:themeColor="text1"/>
          <w:lang w:val="en-ZA"/>
        </w:rPr>
        <w:fldChar w:fldCharType="begin" w:fldLock="1"/>
      </w:r>
      <w:r w:rsidR="0097798B" w:rsidRPr="00533EAC">
        <w:rPr>
          <w:rFonts w:ascii="Arial" w:eastAsia="Calibri" w:hAnsi="Arial" w:cs="Arial"/>
          <w:color w:val="000000" w:themeColor="text1"/>
          <w:lang w:val="en-ZA"/>
        </w:rPr>
        <w:instrText>ADDIN CSL_CITATION {"citationItems":[{"id":"ITEM-1","itemData":{"DOI":"10.1002/0471250953.bi0203s00","ISSN":"1934-340X","PMID":"18792934","abstract":"The Clustal programs are widely used for carrying out automatic multiple alignment of nucleotide or amino acid sequences. The most familiar version is ClustalW, which uses a simple text menu system that is portable to more or less all computer systems. ClustalX features a graphical user interface and some powerful graphical utilities for aiding the interpretation of alignments and is the preferred version for interactive usage. Users may run Clustal remotely from several sites using the Web or the programs may be downloaded and run locally on PCs, Macintosh, or Unix computers. The protocols in this unit discuss how to use ClustalX and ClustalW to construct an alignment, and create profile alignments by merging existing alignments.","author":[{"dropping-particle":"","family":"Thompson","given":"Julie D.","non-dropping-particle":"","parse-names":false,"suffix":""},{"dropping-particle":"","family":"Gibson","given":"Toby. J.","non-dropping-particle":"","parse-names":false,"suffix":""},{"dropping-particle":"","family":"Higgins","given":"Des G.","non-dropping-particle":"","parse-names":false,"suffix":""}],"container-title":"Current Protocols in Bioinformatics","id":"ITEM-1","issue":"1","issued":{"date-parts":[["2003"]]},"page":"2.3.1-2.3.22","title":"Multiple Sequence Alignment Using ClustalW and ClustalX","type":"article-journal","volume":"00"},"uris":["http://www.mendeley.com/documents/?uuid=0acb278c-a51e-3040-a2ed-8a873ea6b152"]}],"mendeley":{"formattedCitation":"(Thompson et al. 2003)","plainTextFormattedCitation":"(Thompson et al. 2003)","previouslyFormattedCitation":"(Thompson et al. 2003)"},"properties":{"noteIndex":0},"schema":"https://github.com/citation-style-language/schema/raw/master/csl-citation.json"}</w:instrText>
      </w:r>
      <w:r w:rsidR="005633D6" w:rsidRPr="00533EAC">
        <w:rPr>
          <w:rFonts w:ascii="Arial" w:eastAsia="Calibri" w:hAnsi="Arial" w:cs="Arial"/>
          <w:color w:val="000000" w:themeColor="text1"/>
          <w:lang w:val="en-ZA"/>
        </w:rPr>
        <w:fldChar w:fldCharType="separate"/>
      </w:r>
      <w:r w:rsidR="003A4A3A" w:rsidRPr="00533EAC">
        <w:rPr>
          <w:rFonts w:ascii="Arial" w:eastAsia="Calibri" w:hAnsi="Arial" w:cs="Arial"/>
          <w:noProof/>
          <w:color w:val="000000" w:themeColor="text1"/>
          <w:lang w:val="en-ZA"/>
        </w:rPr>
        <w:t>(Thompson et al. 2003)</w:t>
      </w:r>
      <w:r w:rsidR="005633D6" w:rsidRPr="00533EAC">
        <w:rPr>
          <w:rFonts w:ascii="Arial" w:eastAsia="Calibri" w:hAnsi="Arial" w:cs="Arial"/>
          <w:color w:val="000000" w:themeColor="text1"/>
          <w:lang w:val="en-ZA"/>
        </w:rPr>
        <w:fldChar w:fldCharType="end"/>
      </w:r>
      <w:r w:rsidR="005633D6" w:rsidRPr="00533EAC">
        <w:rPr>
          <w:rFonts w:ascii="Arial" w:eastAsia="Calibri" w:hAnsi="Arial" w:cs="Arial"/>
          <w:color w:val="000000" w:themeColor="text1"/>
          <w:lang w:val="en-ZA"/>
        </w:rPr>
        <w:t xml:space="preserve"> and Primer3 </w:t>
      </w:r>
      <w:r w:rsidR="005633D6" w:rsidRPr="00533EAC">
        <w:rPr>
          <w:rFonts w:ascii="Arial" w:eastAsia="Calibri" w:hAnsi="Arial" w:cs="Arial"/>
          <w:color w:val="000000" w:themeColor="text1"/>
          <w:lang w:val="en-ZA"/>
        </w:rPr>
        <w:fldChar w:fldCharType="begin" w:fldLock="1"/>
      </w:r>
      <w:r w:rsidR="00450022" w:rsidRPr="00533EAC">
        <w:rPr>
          <w:rFonts w:ascii="Arial" w:eastAsia="Calibri" w:hAnsi="Arial" w:cs="Arial"/>
          <w:color w:val="000000" w:themeColor="text1"/>
          <w:lang w:val="en-ZA"/>
        </w:rPr>
        <w:instrText>ADDIN CSL_CITATION {"citationItems":[{"id":"ITEM-1","itemData":{"DOI":"10.1002/9780471650126.dob0560.pub2","abstract":"Primer3 is a widely used program for designing PCR primers (PCR = \"Polymerase Chain Reaction\"). PCR is an essential and ubiquitous tool in genetics and molecular biology. Primer3 can also design hybridization probes and sequencing primers. PCR is used for many different goals. Consequently, primer3 has many different input parameters that you control and that tell primer3 exactly what characteristics make good primers for your goals. Primer3 - the C code, the web interface, and the documentation - are an open source, community-development project hosted by SourceForge.","author":[{"dropping-particle":"","family":"Hancock","given":"John M.","non-dropping-particle":"","parse-names":false,"suffix":""},{"dropping-particle":"","family":"Zvelebil","given":"Marketa J.","non-dropping-particle":"","parse-names":false,"suffix":""},{"dropping-particle":"","family":"Hancock","given":"John M.","non-dropping-particle":"","parse-names":false,"suffix":""}],"container-title":"Dictionary of Bioinformatics and Computational Biology","id":"ITEM-1","issued":{"date-parts":[["2004"]]},"title":"PRIMER3","type":"chapter"},"uris":["http://www.mendeley.com/documents/?uuid=cacfdfe7-bb81-3bfc-8540-928ece38243e"]}],"mendeley":{"formattedCitation":"(Hancock et al. 2004)","plainTextFormattedCitation":"(Hancock et al. 2004)","previouslyFormattedCitation":"(Hancock et al. 2004)"},"properties":{"noteIndex":0},"schema":"https://github.com/citation-style-language/schema/raw/master/csl-citation.json"}</w:instrText>
      </w:r>
      <w:r w:rsidR="005633D6" w:rsidRPr="00533EAC">
        <w:rPr>
          <w:rFonts w:ascii="Arial" w:eastAsia="Calibri" w:hAnsi="Arial" w:cs="Arial"/>
          <w:color w:val="000000" w:themeColor="text1"/>
          <w:lang w:val="en-ZA"/>
        </w:rPr>
        <w:fldChar w:fldCharType="separate"/>
      </w:r>
      <w:r w:rsidR="002E2E55" w:rsidRPr="00533EAC">
        <w:rPr>
          <w:rFonts w:ascii="Arial" w:eastAsia="Calibri" w:hAnsi="Arial" w:cs="Arial"/>
          <w:noProof/>
          <w:color w:val="000000" w:themeColor="text1"/>
          <w:lang w:val="en-ZA"/>
        </w:rPr>
        <w:t>(Hancock et al. 2004)</w:t>
      </w:r>
      <w:r w:rsidR="005633D6" w:rsidRPr="00533EAC">
        <w:rPr>
          <w:rFonts w:ascii="Arial" w:eastAsia="Calibri" w:hAnsi="Arial" w:cs="Arial"/>
          <w:color w:val="000000" w:themeColor="text1"/>
          <w:lang w:val="en-ZA"/>
        </w:rPr>
        <w:fldChar w:fldCharType="end"/>
      </w:r>
      <w:r w:rsidR="005633D6" w:rsidRPr="00533EAC">
        <w:rPr>
          <w:rFonts w:ascii="Arial" w:eastAsia="Calibri" w:hAnsi="Arial" w:cs="Arial"/>
          <w:color w:val="000000" w:themeColor="text1"/>
          <w:lang w:val="en-ZA"/>
        </w:rPr>
        <w:t xml:space="preserve">. </w:t>
      </w:r>
    </w:p>
    <w:p w14:paraId="36E20BCB" w14:textId="77777777" w:rsidR="001808F6" w:rsidRPr="00533EAC" w:rsidRDefault="001808F6" w:rsidP="00C05A32">
      <w:pPr>
        <w:spacing w:after="0" w:line="360" w:lineRule="auto"/>
        <w:jc w:val="both"/>
        <w:rPr>
          <w:rFonts w:ascii="Arial" w:eastAsia="Calibri" w:hAnsi="Arial" w:cs="Arial"/>
          <w:color w:val="000000" w:themeColor="text1"/>
          <w:lang w:val="en-ZA"/>
        </w:rPr>
      </w:pPr>
    </w:p>
    <w:p w14:paraId="48C4CF15" w14:textId="347AC531" w:rsidR="005633D6" w:rsidRPr="00533EAC" w:rsidRDefault="00BD498A" w:rsidP="00C05A32">
      <w:pPr>
        <w:spacing w:after="0" w:line="360" w:lineRule="auto"/>
        <w:jc w:val="both"/>
        <w:rPr>
          <w:rFonts w:ascii="Arial" w:eastAsia="Calibri" w:hAnsi="Arial" w:cs="Arial"/>
          <w:b/>
          <w:bCs/>
          <w:color w:val="000000" w:themeColor="text1"/>
          <w:lang w:val="en-ZA"/>
        </w:rPr>
      </w:pPr>
      <w:r w:rsidRPr="00533EAC">
        <w:rPr>
          <w:rFonts w:ascii="Arial" w:eastAsia="Calibri" w:hAnsi="Arial" w:cs="Arial"/>
          <w:color w:val="000000" w:themeColor="text1"/>
          <w:lang w:val="en-ZA"/>
        </w:rPr>
        <w:t>We detected a</w:t>
      </w:r>
      <w:r w:rsidR="005633D6" w:rsidRPr="00533EAC">
        <w:rPr>
          <w:rFonts w:ascii="Arial" w:eastAsia="Calibri" w:hAnsi="Arial" w:cs="Arial"/>
          <w:color w:val="000000" w:themeColor="text1"/>
          <w:lang w:val="en-ZA"/>
        </w:rPr>
        <w:t xml:space="preserve"> group of </w:t>
      </w:r>
      <w:r w:rsidR="00292870" w:rsidRPr="00533EAC">
        <w:rPr>
          <w:rFonts w:ascii="Arial" w:eastAsia="Calibri" w:hAnsi="Arial" w:cs="Arial"/>
          <w:color w:val="000000" w:themeColor="text1"/>
          <w:lang w:val="en-ZA"/>
        </w:rPr>
        <w:t>32</w:t>
      </w:r>
      <w:r w:rsidR="005633D6" w:rsidRPr="00533EAC">
        <w:rPr>
          <w:rFonts w:ascii="Arial" w:eastAsia="Calibri" w:hAnsi="Arial" w:cs="Arial"/>
          <w:color w:val="000000" w:themeColor="text1"/>
          <w:lang w:val="en-ZA"/>
        </w:rPr>
        <w:t xml:space="preserve"> microsatellites, which had a minimum number of seven repeats. </w:t>
      </w:r>
      <w:r w:rsidRPr="00533EAC">
        <w:rPr>
          <w:rFonts w:ascii="Arial" w:eastAsia="Calibri" w:hAnsi="Arial" w:cs="Arial"/>
          <w:color w:val="000000" w:themeColor="text1"/>
          <w:lang w:val="en-ZA"/>
        </w:rPr>
        <w:t xml:space="preserve">We then tested the </w:t>
      </w:r>
      <w:r w:rsidR="005633D6" w:rsidRPr="00533EAC">
        <w:rPr>
          <w:rFonts w:ascii="Arial" w:eastAsia="Calibri" w:hAnsi="Arial" w:cs="Arial"/>
          <w:color w:val="000000" w:themeColor="text1"/>
          <w:lang w:val="en-ZA"/>
        </w:rPr>
        <w:t>microsatellite primers</w:t>
      </w:r>
      <w:r w:rsidR="00EC585B" w:rsidRPr="00533EAC">
        <w:rPr>
          <w:rFonts w:ascii="Arial" w:eastAsia="Calibri" w:hAnsi="Arial" w:cs="Arial"/>
          <w:color w:val="000000" w:themeColor="text1"/>
          <w:lang w:val="en-ZA"/>
        </w:rPr>
        <w:t xml:space="preserve"> using </w:t>
      </w:r>
      <w:r w:rsidR="00B34525" w:rsidRPr="00533EAC">
        <w:rPr>
          <w:rFonts w:ascii="Arial" w:eastAsia="Calibri" w:hAnsi="Arial" w:cs="Arial"/>
          <w:color w:val="000000" w:themeColor="text1"/>
          <w:lang w:val="en-ZA"/>
        </w:rPr>
        <w:t>a</w:t>
      </w:r>
      <w:r w:rsidR="00EC585B" w:rsidRPr="00533EAC">
        <w:rPr>
          <w:rFonts w:ascii="Arial" w:eastAsia="Calibri" w:hAnsi="Arial" w:cs="Arial"/>
          <w:color w:val="000000" w:themeColor="text1"/>
          <w:lang w:val="en-ZA"/>
        </w:rPr>
        <w:t xml:space="preserve"> three-primer amplification protocol </w:t>
      </w:r>
      <w:r w:rsidR="00EC585B" w:rsidRPr="00533EAC">
        <w:rPr>
          <w:rFonts w:ascii="Arial" w:eastAsia="Calibri" w:hAnsi="Arial" w:cs="Arial"/>
          <w:color w:val="000000" w:themeColor="text1"/>
          <w:lang w:val="en-ZA"/>
        </w:rPr>
        <w:fldChar w:fldCharType="begin" w:fldLock="1"/>
      </w:r>
      <w:r w:rsidR="00EC585B" w:rsidRPr="00533EAC">
        <w:rPr>
          <w:rFonts w:ascii="Arial" w:eastAsia="Calibri" w:hAnsi="Arial" w:cs="Arial"/>
          <w:color w:val="000000" w:themeColor="text1"/>
          <w:lang w:val="en-ZA"/>
        </w:rPr>
        <w:instrText>ADDIN CSL_CITATION {"citationItems":[{"id":"ITEM-1","itemData":{"abstract":"Genotyping with microsatellite markers was first described by Litt and Luty, and is now a widely used method in molecular biology1. It has a firm place in forensic, diagnostic, and scientific applications where haplotyping is employed in linkage analyses.In this article I describe a reliable single-reac- tion nested PCR method by which genotyp ing projects can be performed at a fraction of the cost previously mentioned.","author":[{"dropping-particle":"","family":"Schuelke","given":"Markus","non-dropping-particle":"","parse-names":false,"suffix":""}],"container-title":"Nature Biotechnology","id":"ITEM-1","issue":"18","issued":{"date-parts":[["2000"]]},"page":"233-234","title":"An economic method for the fluorescent labeling of PCR fragments - A poor man’ s approach to genotyping for research and high-throughput diagnostics","type":"article-journal","volume":"18"},"uris":["http://www.mendeley.com/documents/?uuid=a425282e-f22d-3eb2-95c3-01de8e568adb","http://www.mendeley.com/documents/?uuid=62266243-dd72-4c99-aeb6-6498f8a4c37c"]}],"mendeley":{"formattedCitation":"(Schuelke 2000)","plainTextFormattedCitation":"(Schuelke 2000)","previouslyFormattedCitation":"(Schuelke 2000)"},"properties":{"noteIndex":0},"schema":"https://github.com/citation-style-language/schema/raw/master/csl-citation.json"}</w:instrText>
      </w:r>
      <w:r w:rsidR="00EC585B" w:rsidRPr="00533EAC">
        <w:rPr>
          <w:rFonts w:ascii="Arial" w:eastAsia="Calibri" w:hAnsi="Arial" w:cs="Arial"/>
          <w:color w:val="000000" w:themeColor="text1"/>
          <w:lang w:val="en-ZA"/>
        </w:rPr>
        <w:fldChar w:fldCharType="separate"/>
      </w:r>
      <w:r w:rsidR="00EC585B" w:rsidRPr="00533EAC">
        <w:rPr>
          <w:rFonts w:ascii="Arial" w:eastAsia="Calibri" w:hAnsi="Arial" w:cs="Arial"/>
          <w:noProof/>
          <w:color w:val="000000" w:themeColor="text1"/>
          <w:lang w:val="en-ZA"/>
        </w:rPr>
        <w:t>(Schuelke 2000)</w:t>
      </w:r>
      <w:r w:rsidR="00EC585B" w:rsidRPr="00533EAC">
        <w:rPr>
          <w:rFonts w:ascii="Arial" w:eastAsia="Calibri" w:hAnsi="Arial" w:cs="Arial"/>
          <w:color w:val="000000" w:themeColor="text1"/>
          <w:lang w:val="en-ZA"/>
        </w:rPr>
        <w:fldChar w:fldCharType="end"/>
      </w:r>
      <w:r w:rsidR="00EC585B" w:rsidRPr="00533EAC">
        <w:rPr>
          <w:rFonts w:ascii="Arial" w:eastAsia="Calibri" w:hAnsi="Arial" w:cs="Arial"/>
          <w:color w:val="000000" w:themeColor="text1"/>
          <w:lang w:val="en-ZA"/>
        </w:rPr>
        <w:t xml:space="preserve">, where the forward primer is </w:t>
      </w:r>
      <w:r w:rsidR="005633D6" w:rsidRPr="00533EAC">
        <w:rPr>
          <w:rFonts w:ascii="Arial" w:eastAsia="Calibri" w:hAnsi="Arial" w:cs="Arial"/>
          <w:color w:val="000000" w:themeColor="text1"/>
          <w:lang w:val="en-ZA"/>
        </w:rPr>
        <w:t>modified by adding an M13 sequence (TGTAAAACGACGGCCAGT)</w:t>
      </w:r>
      <w:r w:rsidR="00EC585B" w:rsidRPr="00533EAC">
        <w:rPr>
          <w:rFonts w:ascii="Arial" w:eastAsia="Calibri" w:hAnsi="Arial" w:cs="Arial"/>
          <w:color w:val="000000" w:themeColor="text1"/>
          <w:lang w:val="en-ZA"/>
        </w:rPr>
        <w:t xml:space="preserve"> and its role is taken over by a fluorescently labelled M13 primer once it is used up. In addition, </w:t>
      </w:r>
      <w:r w:rsidR="005633D6" w:rsidRPr="00533EAC">
        <w:rPr>
          <w:rFonts w:ascii="Arial" w:eastAsia="Calibri" w:hAnsi="Arial" w:cs="Arial"/>
          <w:color w:val="000000" w:themeColor="text1"/>
          <w:lang w:val="en-ZA"/>
        </w:rPr>
        <w:t xml:space="preserve">a GTTT PIG-tail </w:t>
      </w:r>
      <w:r w:rsidR="005633D6" w:rsidRPr="00533EAC">
        <w:rPr>
          <w:rFonts w:ascii="Arial" w:eastAsia="Calibri" w:hAnsi="Arial" w:cs="Arial"/>
          <w:color w:val="000000" w:themeColor="text1"/>
          <w:lang w:val="en-ZA"/>
        </w:rPr>
        <w:fldChar w:fldCharType="begin" w:fldLock="1"/>
      </w:r>
      <w:r w:rsidR="0097798B" w:rsidRPr="00533EAC">
        <w:rPr>
          <w:rFonts w:ascii="Arial" w:eastAsia="Calibri" w:hAnsi="Arial" w:cs="Arial"/>
          <w:color w:val="000000" w:themeColor="text1"/>
          <w:lang w:val="en-ZA"/>
        </w:rPr>
        <w:instrText>ADDIN CSL_CITATION {"citationItems":[{"id":"ITEM-1","itemData":{"ISSN":"07366205","abstract":"Taq DNA polymerase can catalyze non-templated addition of a nucleotide (principally adenosine) to the 3' end of PCR-amplified products. Recently, we showed that this activity, which is primer-specific, presents a potential source of error in genotyping studies based on the use of short tandem repeat (STR) markers. Furthermore, in reviewing our data, we found that non-templated nucleotide addition adjacent to a 3' terminal C is favored and that addition adjacent to a 3' terminal A is not. It was clear, however, that features of the template in addition to the 3' terminal base also affect the fraction of product adenylated. To define consensus sequences that promote or inhibit product adenylation, we transplanted sequences between the 5' ends of the reverse primers of markers that are adenylated and those of markers that are not adenylated. It proved difficult to identify a single sequence capable of protecting the products of all markers from non-templated addition of nucleotide. On the other hand, placing the sequence GTTTCTT on the 5' end of reverse primers resulted in nearly 100% adenylation of the 3' end of the forward strand. This modification or related ones (called \"PIG-tailing\") should facilitate accurate genotyping and efficient T/A cloning.","author":[{"dropping-particle":"","family":"Brownstein","given":"Michael J.","non-dropping-particle":"","parse-names":false,"suffix":""},{"dropping-particle":"","family":"Carpten","given":"John D.","non-dropping-particle":"","parse-names":false,"suffix":""},{"dropping-particle":"","family":"Smith","given":"Jeffrey R.","non-dropping-particle":"","parse-names":false,"suffix":""}],"container-title":"BioTechniques","id":"ITEM-1","issue":"6","issued":{"date-parts":[["1996"]]},"page":"1004-1010","title":"Modulation of non-templated nucleotide addition by Taq DNA polymerase: Primer modifications that facilitate genotyping","type":"article-journal","volume":"20"},"uris":["http://www.mendeley.com/documents/?uuid=174c8961-e3a6-33b0-b0bc-dae22a0a19a4","http://www.mendeley.com/documents/?uuid=d1991b59-54fe-4cf7-8cb8-064f3fa6e988"]}],"mendeley":{"formattedCitation":"(Brownstein et al. 1996)","plainTextFormattedCitation":"(Brownstein et al. 1996)","previouslyFormattedCitation":"(Brownstein et al. 1996)"},"properties":{"noteIndex":0},"schema":"https://github.com/citation-style-language/schema/raw/master/csl-citation.json"}</w:instrText>
      </w:r>
      <w:r w:rsidR="005633D6" w:rsidRPr="00533EAC">
        <w:rPr>
          <w:rFonts w:ascii="Arial" w:eastAsia="Calibri" w:hAnsi="Arial" w:cs="Arial"/>
          <w:color w:val="000000" w:themeColor="text1"/>
          <w:lang w:val="en-ZA"/>
        </w:rPr>
        <w:fldChar w:fldCharType="separate"/>
      </w:r>
      <w:r w:rsidR="003A4A3A" w:rsidRPr="00533EAC">
        <w:rPr>
          <w:rFonts w:ascii="Arial" w:eastAsia="Calibri" w:hAnsi="Arial" w:cs="Arial"/>
          <w:noProof/>
          <w:color w:val="000000" w:themeColor="text1"/>
          <w:lang w:val="en-ZA"/>
        </w:rPr>
        <w:t>(Brownstein et al. 1996)</w:t>
      </w:r>
      <w:r w:rsidR="005633D6" w:rsidRPr="00533EAC">
        <w:rPr>
          <w:rFonts w:ascii="Arial" w:eastAsia="Calibri" w:hAnsi="Arial" w:cs="Arial"/>
          <w:color w:val="000000" w:themeColor="text1"/>
          <w:lang w:val="en-ZA"/>
        </w:rPr>
        <w:fldChar w:fldCharType="end"/>
      </w:r>
      <w:r w:rsidR="005633D6" w:rsidRPr="00533EAC">
        <w:rPr>
          <w:rFonts w:ascii="Arial" w:eastAsia="Calibri" w:hAnsi="Arial" w:cs="Arial"/>
          <w:color w:val="000000" w:themeColor="text1"/>
          <w:lang w:val="en-ZA"/>
        </w:rPr>
        <w:t xml:space="preserve"> </w:t>
      </w:r>
      <w:r w:rsidR="00EC585B" w:rsidRPr="00533EAC">
        <w:rPr>
          <w:rFonts w:ascii="Arial" w:eastAsia="Calibri" w:hAnsi="Arial" w:cs="Arial"/>
          <w:color w:val="000000" w:themeColor="text1"/>
          <w:lang w:val="en-ZA"/>
        </w:rPr>
        <w:t xml:space="preserve">was added </w:t>
      </w:r>
      <w:r w:rsidR="005633D6" w:rsidRPr="00533EAC">
        <w:rPr>
          <w:rFonts w:ascii="Arial" w:eastAsia="Calibri" w:hAnsi="Arial" w:cs="Arial"/>
          <w:color w:val="000000" w:themeColor="text1"/>
          <w:lang w:val="en-ZA"/>
        </w:rPr>
        <w:t>to the reverse primer.</w:t>
      </w:r>
      <w:r w:rsidR="005633D6" w:rsidRPr="00533EAC">
        <w:rPr>
          <w:rFonts w:ascii="Arial" w:eastAsia="Calibri" w:hAnsi="Arial" w:cs="Arial"/>
          <w:b/>
          <w:color w:val="000000" w:themeColor="text1"/>
          <w:lang w:val="en-ZA"/>
        </w:rPr>
        <w:t xml:space="preserve"> </w:t>
      </w:r>
      <w:r w:rsidR="005633D6" w:rsidRPr="00533EAC">
        <w:rPr>
          <w:rFonts w:ascii="Arial" w:eastAsia="Calibri" w:hAnsi="Arial" w:cs="Arial"/>
          <w:color w:val="000000" w:themeColor="text1"/>
          <w:lang w:val="en-ZA"/>
        </w:rPr>
        <w:t>Each 10 µl of PCR reaction contained 0.1 µM of deoxyribonucleotide triphosphates (dNTPs), 1 µM of 10</w:t>
      </w:r>
      <w:r w:rsidR="00D13A59" w:rsidRPr="00533EAC">
        <w:rPr>
          <w:rFonts w:ascii="Arial" w:eastAsia="Calibri" w:hAnsi="Arial" w:cs="Arial"/>
          <w:color w:val="000000" w:themeColor="text1"/>
          <w:lang w:val="en-ZA"/>
        </w:rPr>
        <w:t xml:space="preserve"> </w:t>
      </w:r>
      <w:r w:rsidR="005633D6" w:rsidRPr="00533EAC">
        <w:rPr>
          <w:rFonts w:ascii="Arial" w:eastAsia="Calibri" w:hAnsi="Arial" w:cs="Arial"/>
          <w:color w:val="000000" w:themeColor="text1"/>
          <w:lang w:val="en-ZA"/>
        </w:rPr>
        <w:t>x</w:t>
      </w:r>
      <w:r w:rsidR="00D13A59" w:rsidRPr="00533EAC">
        <w:rPr>
          <w:rFonts w:ascii="Arial" w:eastAsia="Calibri" w:hAnsi="Arial" w:cs="Arial"/>
          <w:color w:val="000000" w:themeColor="text1"/>
          <w:lang w:val="en-ZA"/>
        </w:rPr>
        <w:t xml:space="preserve"> </w:t>
      </w:r>
      <w:r w:rsidR="005633D6" w:rsidRPr="00533EAC">
        <w:rPr>
          <w:rFonts w:ascii="Arial" w:eastAsia="Calibri" w:hAnsi="Arial" w:cs="Arial"/>
          <w:color w:val="000000" w:themeColor="text1"/>
          <w:lang w:val="en-ZA"/>
        </w:rPr>
        <w:t xml:space="preserve">PCR </w:t>
      </w:r>
      <w:r w:rsidR="001808F6" w:rsidRPr="00533EAC">
        <w:rPr>
          <w:rFonts w:ascii="Arial" w:eastAsia="Calibri" w:hAnsi="Arial" w:cs="Arial"/>
          <w:color w:val="000000" w:themeColor="text1"/>
          <w:lang w:val="en-ZA"/>
        </w:rPr>
        <w:t xml:space="preserve">buffer </w:t>
      </w:r>
      <w:r w:rsidR="005633D6" w:rsidRPr="00533EAC">
        <w:rPr>
          <w:rFonts w:ascii="Arial" w:eastAsia="Calibri" w:hAnsi="Arial" w:cs="Arial"/>
          <w:color w:val="000000" w:themeColor="text1"/>
          <w:lang w:val="en-ZA"/>
        </w:rPr>
        <w:t>solution (NH</w:t>
      </w:r>
      <w:r w:rsidR="005633D6" w:rsidRPr="00533EAC">
        <w:rPr>
          <w:rFonts w:ascii="Arial" w:eastAsia="Calibri" w:hAnsi="Arial" w:cs="Arial"/>
          <w:color w:val="000000" w:themeColor="text1"/>
          <w:vertAlign w:val="subscript"/>
          <w:lang w:val="en-ZA"/>
        </w:rPr>
        <w:t>4</w:t>
      </w:r>
      <w:r w:rsidR="005633D6" w:rsidRPr="00533EAC">
        <w:rPr>
          <w:rFonts w:ascii="Arial" w:eastAsia="Calibri" w:hAnsi="Arial" w:cs="Arial"/>
          <w:color w:val="000000" w:themeColor="text1"/>
          <w:lang w:val="en-ZA"/>
        </w:rPr>
        <w:t>), 1.9 mM of MgCl</w:t>
      </w:r>
      <w:r w:rsidR="005633D6" w:rsidRPr="00533EAC">
        <w:rPr>
          <w:rFonts w:ascii="Arial" w:eastAsia="Calibri" w:hAnsi="Arial" w:cs="Arial"/>
          <w:color w:val="000000" w:themeColor="text1"/>
          <w:vertAlign w:val="subscript"/>
          <w:lang w:val="en-ZA"/>
        </w:rPr>
        <w:t>2</w:t>
      </w:r>
      <w:r w:rsidR="007C50E1" w:rsidRPr="00533EAC">
        <w:rPr>
          <w:rFonts w:ascii="Arial" w:eastAsia="Calibri" w:hAnsi="Arial" w:cs="Arial"/>
          <w:color w:val="000000" w:themeColor="text1"/>
          <w:lang w:val="en-ZA"/>
        </w:rPr>
        <w:t>,</w:t>
      </w:r>
      <w:r w:rsidR="005633D6" w:rsidRPr="00533EAC">
        <w:rPr>
          <w:rFonts w:ascii="Arial" w:eastAsia="Calibri" w:hAnsi="Arial" w:cs="Arial"/>
          <w:color w:val="000000" w:themeColor="text1"/>
          <w:lang w:val="en-ZA"/>
        </w:rPr>
        <w:t xml:space="preserve"> 0.24 mg</w:t>
      </w:r>
      <w:r w:rsidR="001808F6" w:rsidRPr="00533EAC">
        <w:rPr>
          <w:rFonts w:ascii="Arial" w:eastAsia="Calibri" w:hAnsi="Arial" w:cs="Arial"/>
          <w:color w:val="000000" w:themeColor="text1"/>
          <w:lang w:val="en-ZA"/>
        </w:rPr>
        <w:t xml:space="preserve"> </w:t>
      </w:r>
      <w:r w:rsidR="005633D6" w:rsidRPr="00533EAC">
        <w:rPr>
          <w:rFonts w:ascii="Arial" w:eastAsia="Calibri" w:hAnsi="Arial" w:cs="Arial"/>
          <w:color w:val="000000" w:themeColor="text1"/>
          <w:lang w:val="en-ZA"/>
        </w:rPr>
        <w:t>ml</w:t>
      </w:r>
      <w:r w:rsidR="007C50E1" w:rsidRPr="00533EAC">
        <w:rPr>
          <w:rFonts w:ascii="Arial" w:eastAsia="Calibri" w:hAnsi="Arial" w:cs="Arial"/>
          <w:color w:val="000000" w:themeColor="text1"/>
          <w:vertAlign w:val="superscript"/>
          <w:lang w:val="en-ZA"/>
        </w:rPr>
        <w:sym w:font="Symbol" w:char="F02D"/>
      </w:r>
      <w:r w:rsidR="001808F6" w:rsidRPr="00533EAC">
        <w:rPr>
          <w:rFonts w:ascii="Arial" w:eastAsia="Calibri" w:hAnsi="Arial" w:cs="Arial"/>
          <w:color w:val="000000" w:themeColor="text1"/>
          <w:vertAlign w:val="superscript"/>
          <w:lang w:val="en-ZA"/>
        </w:rPr>
        <w:t>1</w:t>
      </w:r>
      <w:r w:rsidR="005633D6" w:rsidRPr="00533EAC">
        <w:rPr>
          <w:rFonts w:ascii="Arial" w:eastAsia="Calibri" w:hAnsi="Arial" w:cs="Arial"/>
          <w:color w:val="000000" w:themeColor="text1"/>
          <w:lang w:val="en-ZA"/>
        </w:rPr>
        <w:t xml:space="preserve"> of bovine serum albumin (BSA), 0.1</w:t>
      </w:r>
      <w:r w:rsidR="00D13A59" w:rsidRPr="00533EAC">
        <w:rPr>
          <w:rFonts w:ascii="Arial" w:eastAsia="Calibri" w:hAnsi="Arial" w:cs="Arial"/>
          <w:color w:val="000000" w:themeColor="text1"/>
          <w:lang w:val="en-ZA"/>
        </w:rPr>
        <w:t>3</w:t>
      </w:r>
      <w:r w:rsidR="005633D6" w:rsidRPr="00533EAC">
        <w:rPr>
          <w:rFonts w:ascii="Arial" w:eastAsia="Calibri" w:hAnsi="Arial" w:cs="Arial"/>
          <w:color w:val="000000" w:themeColor="text1"/>
          <w:lang w:val="en-ZA"/>
        </w:rPr>
        <w:t xml:space="preserve"> µM of forward primer, 0.2 µM of reverse primer, 0.06 µM of fluorescently labell</w:t>
      </w:r>
      <w:r w:rsidR="00C96673" w:rsidRPr="00533EAC">
        <w:rPr>
          <w:rFonts w:ascii="Arial" w:eastAsia="Calibri" w:hAnsi="Arial" w:cs="Arial"/>
          <w:color w:val="000000" w:themeColor="text1"/>
          <w:lang w:val="en-ZA"/>
        </w:rPr>
        <w:t xml:space="preserve">ed (NED/VIC/FAM/PET) M13 primer, </w:t>
      </w:r>
      <w:r w:rsidR="003D6F0A" w:rsidRPr="00533EAC">
        <w:rPr>
          <w:rFonts w:ascii="Arial" w:eastAsia="Calibri" w:hAnsi="Arial" w:cs="Arial"/>
          <w:color w:val="000000" w:themeColor="text1"/>
          <w:lang w:val="en-ZA"/>
        </w:rPr>
        <w:t xml:space="preserve">0.04 </w:t>
      </w:r>
      <w:r w:rsidR="00B34525" w:rsidRPr="00533EAC">
        <w:rPr>
          <w:rFonts w:ascii="Arial" w:eastAsia="Calibri" w:hAnsi="Arial" w:cs="Arial"/>
          <w:color w:val="000000" w:themeColor="text1"/>
          <w:lang w:val="en-ZA"/>
        </w:rPr>
        <w:t>U</w:t>
      </w:r>
      <w:r w:rsidR="003D6F0A" w:rsidRPr="00533EAC">
        <w:rPr>
          <w:rFonts w:ascii="Arial" w:eastAsia="Calibri" w:hAnsi="Arial" w:cs="Arial"/>
          <w:color w:val="000000" w:themeColor="text1"/>
          <w:lang w:val="en-ZA"/>
        </w:rPr>
        <w:t xml:space="preserve"> of </w:t>
      </w:r>
      <w:r w:rsidR="007B0D25" w:rsidRPr="00533EAC">
        <w:rPr>
          <w:rFonts w:ascii="Arial" w:eastAsia="Calibri" w:hAnsi="Arial" w:cs="Arial"/>
          <w:color w:val="000000" w:themeColor="text1"/>
          <w:lang w:val="en-ZA"/>
        </w:rPr>
        <w:t xml:space="preserve">Super </w:t>
      </w:r>
      <w:proofErr w:type="spellStart"/>
      <w:r w:rsidR="007B0D25" w:rsidRPr="00533EAC">
        <w:rPr>
          <w:rFonts w:ascii="Arial" w:eastAsia="Calibri" w:hAnsi="Arial" w:cs="Arial"/>
          <w:color w:val="000000" w:themeColor="text1"/>
          <w:lang w:val="en-ZA"/>
        </w:rPr>
        <w:t>Therm</w:t>
      </w:r>
      <w:proofErr w:type="spellEnd"/>
      <w:r w:rsidR="007B0D25" w:rsidRPr="00533EAC">
        <w:rPr>
          <w:rFonts w:ascii="Arial" w:eastAsia="Calibri" w:hAnsi="Arial" w:cs="Arial"/>
          <w:color w:val="000000" w:themeColor="text1"/>
          <w:lang w:val="en-ZA"/>
        </w:rPr>
        <w:t xml:space="preserve"> </w:t>
      </w:r>
      <w:proofErr w:type="spellStart"/>
      <w:r w:rsidR="007B0D25" w:rsidRPr="00533EAC">
        <w:rPr>
          <w:rFonts w:ascii="Arial" w:eastAsia="Calibri" w:hAnsi="Arial" w:cs="Arial"/>
          <w:color w:val="000000" w:themeColor="text1"/>
          <w:lang w:val="en-ZA"/>
        </w:rPr>
        <w:t>Taq</w:t>
      </w:r>
      <w:proofErr w:type="spellEnd"/>
      <w:r w:rsidR="007B0D25" w:rsidRPr="00533EAC">
        <w:rPr>
          <w:rFonts w:ascii="Arial" w:eastAsia="Calibri" w:hAnsi="Arial" w:cs="Arial"/>
          <w:color w:val="000000" w:themeColor="text1"/>
          <w:lang w:val="en-ZA"/>
        </w:rPr>
        <w:t xml:space="preserve"> polymerase (Separation Scientific</w:t>
      </w:r>
      <w:r w:rsidR="00582B3A" w:rsidRPr="00533EAC">
        <w:rPr>
          <w:rFonts w:ascii="Arial" w:eastAsia="Calibri" w:hAnsi="Arial" w:cs="Arial"/>
          <w:color w:val="000000" w:themeColor="text1"/>
          <w:lang w:val="en-ZA"/>
        </w:rPr>
        <w:t>, South Africa</w:t>
      </w:r>
      <w:r w:rsidR="007B0D25" w:rsidRPr="00533EAC">
        <w:rPr>
          <w:rFonts w:ascii="Arial" w:eastAsia="Calibri" w:hAnsi="Arial" w:cs="Arial"/>
          <w:color w:val="000000" w:themeColor="text1"/>
          <w:lang w:val="en-ZA"/>
        </w:rPr>
        <w:t>)</w:t>
      </w:r>
      <w:r w:rsidR="003D6F0A" w:rsidRPr="00533EAC">
        <w:rPr>
          <w:rFonts w:ascii="Arial" w:eastAsia="Calibri" w:hAnsi="Arial" w:cs="Arial"/>
          <w:color w:val="000000" w:themeColor="text1"/>
          <w:lang w:val="en-ZA"/>
        </w:rPr>
        <w:t xml:space="preserve"> </w:t>
      </w:r>
      <w:r w:rsidR="005633D6" w:rsidRPr="00533EAC">
        <w:rPr>
          <w:rFonts w:ascii="Arial" w:eastAsia="Calibri" w:hAnsi="Arial" w:cs="Arial"/>
          <w:color w:val="000000" w:themeColor="text1"/>
          <w:lang w:val="en-ZA"/>
        </w:rPr>
        <w:t>and 5 ng</w:t>
      </w:r>
      <w:r w:rsidR="001808F6" w:rsidRPr="00533EAC">
        <w:rPr>
          <w:rFonts w:ascii="Arial" w:eastAsia="Calibri" w:hAnsi="Arial" w:cs="Arial"/>
          <w:color w:val="000000" w:themeColor="text1"/>
          <w:lang w:val="en-ZA"/>
        </w:rPr>
        <w:t xml:space="preserve"> </w:t>
      </w:r>
      <w:r w:rsidR="005633D6" w:rsidRPr="00533EAC">
        <w:rPr>
          <w:rFonts w:ascii="Arial" w:eastAsia="Calibri" w:hAnsi="Arial" w:cs="Arial"/>
          <w:color w:val="000000" w:themeColor="text1"/>
          <w:lang w:val="en-ZA"/>
        </w:rPr>
        <w:t>µl</w:t>
      </w:r>
      <w:r w:rsidR="007C50E1" w:rsidRPr="00533EAC">
        <w:rPr>
          <w:rFonts w:ascii="Arial" w:eastAsia="Calibri" w:hAnsi="Arial" w:cs="Arial"/>
          <w:color w:val="000000" w:themeColor="text1"/>
          <w:vertAlign w:val="superscript"/>
          <w:lang w:val="en-ZA"/>
        </w:rPr>
        <w:sym w:font="Symbol" w:char="F02D"/>
      </w:r>
      <w:r w:rsidR="001808F6" w:rsidRPr="00533EAC">
        <w:rPr>
          <w:rFonts w:ascii="Arial" w:eastAsia="Calibri" w:hAnsi="Arial" w:cs="Arial"/>
          <w:color w:val="000000" w:themeColor="text1"/>
          <w:vertAlign w:val="superscript"/>
          <w:lang w:val="en-ZA"/>
        </w:rPr>
        <w:t>1</w:t>
      </w:r>
      <w:r w:rsidR="005633D6" w:rsidRPr="00533EAC">
        <w:rPr>
          <w:rFonts w:ascii="Arial" w:eastAsia="Calibri" w:hAnsi="Arial" w:cs="Arial"/>
          <w:color w:val="000000" w:themeColor="text1"/>
          <w:lang w:val="en-ZA"/>
        </w:rPr>
        <w:t xml:space="preserve"> of template DNA. The PCR profile consisted of initial denaturation (94 °C for 3 min), 35 </w:t>
      </w:r>
      <w:r w:rsidR="00582B3A" w:rsidRPr="00533EAC">
        <w:rPr>
          <w:rFonts w:ascii="Arial" w:eastAsia="Calibri" w:hAnsi="Arial" w:cs="Arial"/>
          <w:color w:val="000000" w:themeColor="text1"/>
          <w:lang w:val="en-ZA"/>
        </w:rPr>
        <w:t xml:space="preserve">cycles of </w:t>
      </w:r>
      <w:r w:rsidR="005633D6" w:rsidRPr="00533EAC">
        <w:rPr>
          <w:rFonts w:ascii="Arial" w:eastAsia="Calibri" w:hAnsi="Arial" w:cs="Arial"/>
          <w:color w:val="000000" w:themeColor="text1"/>
          <w:lang w:val="en-ZA"/>
        </w:rPr>
        <w:t xml:space="preserve">denaturing (94 °C for 45 sec), annealing (1 min at a primer-specific annealing temperature, </w:t>
      </w:r>
      <w:r w:rsidR="005633D6" w:rsidRPr="00533EAC">
        <w:rPr>
          <w:rFonts w:ascii="Arial" w:eastAsia="Calibri" w:hAnsi="Arial" w:cs="Arial"/>
          <w:i/>
          <w:color w:val="000000" w:themeColor="text1"/>
          <w:lang w:val="en-ZA"/>
        </w:rPr>
        <w:t>T</w:t>
      </w:r>
      <w:r w:rsidR="005633D6" w:rsidRPr="00533EAC">
        <w:rPr>
          <w:rFonts w:ascii="Arial" w:eastAsia="Calibri" w:hAnsi="Arial" w:cs="Arial"/>
          <w:i/>
          <w:color w:val="000000" w:themeColor="text1"/>
          <w:vertAlign w:val="subscript"/>
          <w:lang w:val="en-ZA"/>
        </w:rPr>
        <w:t>a</w:t>
      </w:r>
      <w:r w:rsidR="005633D6" w:rsidRPr="00533EAC">
        <w:rPr>
          <w:rFonts w:ascii="Arial" w:eastAsia="Calibri" w:hAnsi="Arial" w:cs="Arial"/>
          <w:color w:val="000000" w:themeColor="text1"/>
          <w:lang w:val="en-ZA"/>
        </w:rPr>
        <w:t xml:space="preserve">; Table 2) and extension (72 °C for 45 sec), </w:t>
      </w:r>
      <w:r w:rsidR="00582B3A" w:rsidRPr="00533EAC">
        <w:rPr>
          <w:rFonts w:ascii="Arial" w:eastAsia="Calibri" w:hAnsi="Arial" w:cs="Arial"/>
          <w:color w:val="000000" w:themeColor="text1"/>
          <w:lang w:val="en-ZA"/>
        </w:rPr>
        <w:t xml:space="preserve">followed by </w:t>
      </w:r>
      <w:r w:rsidR="005633D6" w:rsidRPr="00533EAC">
        <w:rPr>
          <w:rFonts w:ascii="Arial" w:eastAsia="Calibri" w:hAnsi="Arial" w:cs="Arial"/>
          <w:color w:val="000000" w:themeColor="text1"/>
          <w:lang w:val="en-ZA"/>
        </w:rPr>
        <w:t>a final extension step (72 °C for 10 min). PCR products were genotyped by the Central Analytical Facility (CAF) at Stellenbosch University, South Africa.</w:t>
      </w:r>
    </w:p>
    <w:p w14:paraId="71E94231" w14:textId="77777777" w:rsidR="001808F6" w:rsidRPr="00533EAC" w:rsidRDefault="001808F6" w:rsidP="00C05A32">
      <w:pPr>
        <w:spacing w:after="0" w:line="360" w:lineRule="auto"/>
        <w:jc w:val="both"/>
        <w:rPr>
          <w:rFonts w:ascii="Arial" w:eastAsia="Calibri" w:hAnsi="Arial" w:cs="Arial"/>
          <w:color w:val="000000" w:themeColor="text1"/>
          <w:lang w:val="en-ZA"/>
        </w:rPr>
      </w:pPr>
    </w:p>
    <w:p w14:paraId="32C858BF" w14:textId="3AA8101E" w:rsidR="0091696A" w:rsidRPr="00533EAC" w:rsidRDefault="005633D6" w:rsidP="00C05A32">
      <w:pPr>
        <w:spacing w:after="0" w:line="360" w:lineRule="auto"/>
        <w:jc w:val="both"/>
        <w:rPr>
          <w:rFonts w:ascii="Arial" w:eastAsia="Calibri" w:hAnsi="Arial" w:cs="Arial"/>
          <w:color w:val="000000" w:themeColor="text1"/>
          <w:lang w:val="en-ZA"/>
        </w:rPr>
      </w:pPr>
      <w:r w:rsidRPr="00533EAC">
        <w:rPr>
          <w:rFonts w:ascii="Arial" w:eastAsia="Calibri" w:hAnsi="Arial" w:cs="Arial"/>
          <w:color w:val="000000" w:themeColor="text1"/>
          <w:lang w:val="en-ZA"/>
        </w:rPr>
        <w:t>Two</w:t>
      </w:r>
      <w:r w:rsidR="001808F6" w:rsidRPr="00533EAC">
        <w:rPr>
          <w:rFonts w:ascii="Arial" w:eastAsia="Calibri" w:hAnsi="Arial" w:cs="Arial"/>
          <w:color w:val="000000" w:themeColor="text1"/>
          <w:lang w:val="en-ZA"/>
        </w:rPr>
        <w:t xml:space="preserve"> </w:t>
      </w:r>
      <w:r w:rsidRPr="00533EAC">
        <w:rPr>
          <w:rFonts w:ascii="Arial" w:eastAsia="Calibri" w:hAnsi="Arial" w:cs="Arial"/>
          <w:color w:val="000000" w:themeColor="text1"/>
          <w:lang w:val="en-ZA"/>
        </w:rPr>
        <w:t>hundred</w:t>
      </w:r>
      <w:r w:rsidR="001808F6" w:rsidRPr="00533EAC">
        <w:rPr>
          <w:rFonts w:ascii="Arial" w:eastAsia="Calibri" w:hAnsi="Arial" w:cs="Arial"/>
          <w:color w:val="000000" w:themeColor="text1"/>
          <w:lang w:val="en-ZA"/>
        </w:rPr>
        <w:t xml:space="preserve"> and </w:t>
      </w:r>
      <w:r w:rsidRPr="00533EAC">
        <w:rPr>
          <w:rFonts w:ascii="Arial" w:eastAsia="Calibri" w:hAnsi="Arial" w:cs="Arial"/>
          <w:color w:val="000000" w:themeColor="text1"/>
          <w:lang w:val="en-ZA"/>
        </w:rPr>
        <w:t xml:space="preserve">sixty individual samples of </w:t>
      </w:r>
      <w:r w:rsidRPr="00533EAC">
        <w:rPr>
          <w:rFonts w:ascii="Arial" w:eastAsia="Calibri" w:hAnsi="Arial" w:cs="Arial"/>
          <w:i/>
          <w:color w:val="000000" w:themeColor="text1"/>
          <w:lang w:val="en-ZA"/>
        </w:rPr>
        <w:t>Pyura</w:t>
      </w:r>
      <w:r w:rsidRPr="00533EAC">
        <w:rPr>
          <w:rFonts w:ascii="Arial" w:eastAsia="Calibri" w:hAnsi="Arial" w:cs="Arial"/>
          <w:color w:val="000000" w:themeColor="text1"/>
          <w:lang w:val="en-ZA"/>
        </w:rPr>
        <w:t xml:space="preserve"> spp. were genotyped for the characteri</w:t>
      </w:r>
      <w:r w:rsidR="001808F6" w:rsidRPr="00533EAC">
        <w:rPr>
          <w:rFonts w:ascii="Arial" w:eastAsia="Calibri" w:hAnsi="Arial" w:cs="Arial"/>
          <w:color w:val="000000" w:themeColor="text1"/>
          <w:lang w:val="en-ZA"/>
        </w:rPr>
        <w:t>s</w:t>
      </w:r>
      <w:r w:rsidRPr="00533EAC">
        <w:rPr>
          <w:rFonts w:ascii="Arial" w:eastAsia="Calibri" w:hAnsi="Arial" w:cs="Arial"/>
          <w:color w:val="000000" w:themeColor="text1"/>
          <w:lang w:val="en-ZA"/>
        </w:rPr>
        <w:t>ation of the five microsatellite makers</w:t>
      </w:r>
      <w:r w:rsidR="00535B6E" w:rsidRPr="00533EAC">
        <w:rPr>
          <w:rFonts w:ascii="Arial" w:eastAsia="Calibri" w:hAnsi="Arial" w:cs="Arial"/>
          <w:color w:val="000000" w:themeColor="text1"/>
          <w:lang w:val="en-ZA"/>
        </w:rPr>
        <w:t xml:space="preserve"> that amplified reliably in all samples. These were characterised by perfect repeat patterns </w:t>
      </w:r>
      <w:r w:rsidR="00535B6E" w:rsidRPr="00533EAC">
        <w:rPr>
          <w:rFonts w:ascii="Arial" w:eastAsia="Calibri" w:hAnsi="Arial" w:cs="Arial"/>
          <w:color w:val="000000" w:themeColor="text1"/>
          <w:lang w:val="en-ZA"/>
        </w:rPr>
        <w:fldChar w:fldCharType="begin" w:fldLock="1"/>
      </w:r>
      <w:r w:rsidR="00450022" w:rsidRPr="00533EAC">
        <w:rPr>
          <w:rFonts w:ascii="Arial" w:eastAsia="Calibri" w:hAnsi="Arial" w:cs="Arial"/>
          <w:color w:val="000000" w:themeColor="text1"/>
          <w:lang w:val="en-ZA"/>
        </w:rPr>
        <w:instrText>ADDIN CSL_CITATION {"citationItems":[{"id":"ITEM-1","itemData":{"DOI":"10.1046/j.0962-1083.2001.01418.x","ISSN":"0962-1083","abstract":"In the last few years microsatellites have become one of the most popular molecular markers used with applications in many different fields. High polymorphism and the relative ease of scoring represent the two major features that make microsatellites of large interest for many genetic studies. The major drawback of microsatellites is that they need to be isolated de novo from species that are being examined for the first time. The aim of the present paper is to review the various methods of microsatellite isolation described in the literature with the purpose of providing useful guidelines in making appropriate choices among the large number of currently available options. In addition, we propose a fast and easy protocol which is a combination of different published methods.","author":[{"dropping-particle":"","family":"Zane","given":"L.","non-dropping-particle":"","parse-names":false,"suffix":""},{"dropping-particle":"","family":"Bargelloni","given":"L.","non-dropping-particle":"","parse-names":false,"suffix":""},{"dropping-particle":"","family":"Patarnello","given":"T.","non-dropping-particle":"","parse-names":false,"suffix":""}],"container-title":"Molecular Ecology","id":"ITEM-1","issue":"1","issued":{"date-parts":[["2002","1"]]},"page":"1-16","title":"Strategies for microsatellite isolation: a review","type":"article-journal","volume":"11"},"uris":["http://www.mendeley.com/documents/?uuid=91294df3-7a77-3437-808c-3fed25ab00bd"]},{"id":"ITEM-2","itemData":{"DOI":"10.1111/1755-0998.12594","ISBN":"1120100119","ISSN":"17550998","abstract":"Microsatellite markers have played a major role in ecological, evolutionary and conservation research during the past 20 years. However, technical constrains related to the use of capillary electrophoresis and a recent technological revolution that has impacted other marker types have brought to question the continued use of microsatellites for certain applications. We present a study for improving microsatellite genotyping in ecology using high-throughput sequencing (HTS). This approach entails selection of short markers suitable for HTS, sequencing PCR-amplified microsatellites on an Illumina platform and bioinformatic treatment of the sequence data to obtain multilocus genotypes. It takes advantage of the fact that HTS gives direct access to microsatellite sequences, allowing unambiguous allele identification and enabling automation of the genotyping process through bioinformatics. In addition, the massive parallel sequencing abilities expand the information content of single experimental runs far beyond capillary electrophoresis. We illustrated the method by genotyping brown bear samples amplified with a multiplex PCR of 13 new microsatellite markers and a sex marker. HTS of microsatellites provided accurate individual identification and parentage assignment and resulted in a significant improvement of genotyping success (84%) of faecal degraded DNA and costs reduction compared to capillary electrophoresis. The HTS approach holds vast potential for improving success, accuracy, efficiency and standardization of microsatellite genotyping in ecological and conservation applications, especially those that rely on profiling of low-quantity/quality DNA and on the construction of genetic databases. We discuss and give perspectives for the implementation of the method in the light of the challenges encountered in wildlife studies.","author":[{"dropping-particle":"","family":"Barba","given":"M.","non-dropping-particle":"De","parse-names":false,"suffix":""},{"dropping-particle":"","family":"Miquel","given":"C.","non-dropping-particle":"","parse-names":false,"suffix":""},{"dropping-particle":"","family":"Lobréaux","given":"S.","non-dropping-particle":"","parse-names":false,"suffix":""},{"dropping-particle":"","family":"Quenette","given":"P. Y.","non-dropping-particle":"","parse-names":false,"suffix":""},{"dropping-particle":"","family":"Swenson","given":"J. E.","non-dropping-particle":"","parse-names":false,"suffix":""},{"dropping-particle":"","family":"Taberlet","given":"P.","non-dropping-particle":"","parse-names":false,"suffix":""}],"container-title":"Molecular Ecology Resources","id":"ITEM-2","issue":"3","issued":{"date-parts":[["2017"]]},"page":"492-507","title":"High-throughput microsatellite genotyping in ecology: improved accuracy, efficiency, standardization and success with low-quantity and degraded DNA","type":"article-journal","volume":"17"},"uris":["http://www.mendeley.com/documents/?uuid=8d651837-a30a-3261-a697-1424f7c7f4b5"]}],"mendeley":{"formattedCitation":"(De Barba et al. 2017; Zane et al. 2002)","plainTextFormattedCitation":"(De Barba et al. 2017; Zane et al. 2002)","previouslyFormattedCitation":"(De Barba et al. 2017; Zane et al. 2002)"},"properties":{"noteIndex":0},"schema":"https://github.com/citation-style-language/schema/raw/master/csl-citation.json"}</w:instrText>
      </w:r>
      <w:r w:rsidR="00535B6E" w:rsidRPr="00533EAC">
        <w:rPr>
          <w:rFonts w:ascii="Arial" w:eastAsia="Calibri" w:hAnsi="Arial" w:cs="Arial"/>
          <w:color w:val="000000" w:themeColor="text1"/>
          <w:lang w:val="en-ZA"/>
        </w:rPr>
        <w:fldChar w:fldCharType="separate"/>
      </w:r>
      <w:r w:rsidR="002E2E55" w:rsidRPr="00533EAC">
        <w:rPr>
          <w:rFonts w:ascii="Arial" w:eastAsia="Calibri" w:hAnsi="Arial" w:cs="Arial"/>
          <w:noProof/>
          <w:color w:val="000000" w:themeColor="text1"/>
          <w:lang w:val="en-ZA"/>
        </w:rPr>
        <w:t>(De Barba et al. 2017; Zane et al. 2002)</w:t>
      </w:r>
      <w:r w:rsidR="00535B6E" w:rsidRPr="00533EAC">
        <w:rPr>
          <w:rFonts w:ascii="Arial" w:eastAsia="Calibri" w:hAnsi="Arial" w:cs="Arial"/>
          <w:color w:val="000000" w:themeColor="text1"/>
          <w:lang w:val="en-ZA"/>
        </w:rPr>
        <w:fldChar w:fldCharType="end"/>
      </w:r>
      <w:r w:rsidR="00535B6E" w:rsidRPr="00533EAC">
        <w:rPr>
          <w:rFonts w:ascii="Arial" w:eastAsia="Calibri" w:hAnsi="Arial" w:cs="Arial"/>
          <w:color w:val="000000" w:themeColor="text1"/>
          <w:lang w:val="en-ZA"/>
        </w:rPr>
        <w:t xml:space="preserve">, and three of them were trinucleotides, which can be scored more reliably than dinucleotides. </w:t>
      </w:r>
      <w:r w:rsidRPr="00533EAC">
        <w:rPr>
          <w:rFonts w:ascii="Arial" w:eastAsia="Calibri" w:hAnsi="Arial" w:cs="Arial"/>
          <w:color w:val="000000" w:themeColor="text1"/>
          <w:lang w:val="en-ZA"/>
        </w:rPr>
        <w:t xml:space="preserve">Alleles were scored using </w:t>
      </w:r>
      <w:proofErr w:type="spellStart"/>
      <w:r w:rsidRPr="00533EAC">
        <w:rPr>
          <w:rFonts w:ascii="Arial" w:eastAsia="Calibri" w:hAnsi="Arial" w:cs="Arial"/>
          <w:color w:val="000000" w:themeColor="text1"/>
          <w:lang w:val="en-ZA"/>
        </w:rPr>
        <w:t>Geneious</w:t>
      </w:r>
      <w:proofErr w:type="spellEnd"/>
      <w:r w:rsidRPr="00533EAC">
        <w:rPr>
          <w:rFonts w:ascii="Arial" w:eastAsia="Calibri" w:hAnsi="Arial" w:cs="Arial"/>
          <w:color w:val="000000" w:themeColor="text1"/>
          <w:lang w:val="en-ZA"/>
        </w:rPr>
        <w:t xml:space="preserve"> R11 </w:t>
      </w:r>
      <w:r w:rsidRPr="00533EAC">
        <w:rPr>
          <w:rFonts w:ascii="Arial" w:eastAsia="Calibri" w:hAnsi="Arial" w:cs="Arial"/>
          <w:color w:val="000000" w:themeColor="text1"/>
          <w:lang w:val="en-ZA"/>
        </w:rPr>
        <w:fldChar w:fldCharType="begin" w:fldLock="1"/>
      </w:r>
      <w:r w:rsidR="0097798B" w:rsidRPr="00533EAC">
        <w:rPr>
          <w:rFonts w:ascii="Arial" w:eastAsia="Calibri" w:hAnsi="Arial" w:cs="Arial"/>
          <w:color w:val="000000" w:themeColor="text1"/>
          <w:lang w:val="en-ZA"/>
        </w:rPr>
        <w:instrText>ADDIN CSL_CITATION {"citationItems":[{"id":"ITEM-1","itemData":{"DOI":"10.1093/bioinformatics/bts199","ISSN":"13674803","abstract":"UNLABELLED The two main functions of bioinformatics are the organization and analysis of biological data using computational resources. Geneious Basic has been designed to be an easy-to-use and flexible desktop software application framework for the organization and analysis of biological data, with a focus on molecular sequences and related data types. It integrates numerous industry-standard discovery analysis tools, with interactive visualizations to generate publication-ready images. One key contribution to researchers in the life sciences is the Geneious public application programming interface (API) that affords the ability to leverage the existing framework of the Geneious Basic software platform for virtually unlimited extension and customization. The result is an increase in the speed and quality of development of computation tools for the life sciences, due to the functionality and graphical user interface available to the developer through the public API. Geneious Basic represents an ideal platform for the bioinformatics community to leverage existing components and to integrate their own specific requirements for the discovery, analysis and visualization of biological data. AVAILABILITY AND IMPLEMENTATION Binaries and public API freely available for download at http://www.geneious.com/basic, implemented in Java and supported on Linux, Apple OSX and MS Windows. The software is also available from the Bio-Linux package repository at http://nebc.nerc.ac.uk/news/geneiousonbl.","author":[{"dropping-particle":"","family":"Kearse","given":"Matthew","non-dropping-particle":"","parse-names":false,"suffix":""},{"dropping-particle":"","family":"Moir","given":"Richard","non-dropping-particle":"","parse-names":false,"suffix":""},{"dropping-particle":"","family":"Wilson","given":"Amy","non-dropping-particle":"","parse-names":false,"suffix":""},{"dropping-particle":"","family":"Stones-Havas","given":"Steven","non-dropping-particle":"","parse-names":false,"suffix":""},{"dropping-particle":"","family":"Cheung","given":"Matthew","non-dropping-particle":"","parse-names":false,"suffix":""},{"dropping-particle":"","family":"Sturrock","given":"Shane","non-dropping-particle":"","parse-names":false,"suffix":""},{"dropping-particle":"","family":"Buxton","given":"Simon","non-dropping-particle":"","parse-names":false,"suffix":""},{"dropping-particle":"","family":"Cooper","given":"Alex","non-dropping-particle":"","parse-names":false,"suffix":""},{"dropping-particle":"","family":"Markowitz","given":"Sidney","non-dropping-particle":"","parse-names":false,"suffix":""},{"dropping-particle":"","family":"Duran","given":"Chris","non-dropping-particle":"","parse-names":false,"suffix":""},{"dropping-particle":"","family":"Thierer","given":"Tobias","non-dropping-particle":"","parse-names":false,"suffix":""},{"dropping-particle":"","family":"Ashton","given":"Bruce","non-dropping-particle":"","parse-names":false,"suffix":""},{"dropping-particle":"","family":"Meintjes","given":"Peter","non-dropping-particle":"","parse-names":false,"suffix":""},{"dropping-particle":"","family":"Drummond","given":"Alexei","non-dropping-particle":"","parse-names":false,"suffix":""}],"container-title":"Bioinformatics","id":"ITEM-1","issue":"12","issued":{"date-parts":[["2012","6"]]},"page":"1647-1649","title":"Geneious Basic: An integrated and extendable desktop software platform for the organization and analysis of sequence data","type":"article-journal","volume":"28"},"uris":["http://www.mendeley.com/documents/?uuid=7d289012-3bed-30c9-9220-859e15ecd7c5","http://www.mendeley.com/documents/?uuid=02563203-8e45-4734-aec7-a0230f5e1926"]}],"mendeley":{"formattedCitation":"(Kearse et al. 2012)","plainTextFormattedCitation":"(Kearse et al. 2012)","previouslyFormattedCitation":"(Kearse et al. 2012)"},"properties":{"noteIndex":0},"schema":"https://github.com/citation-style-language/schema/raw/master/csl-citation.json"}</w:instrText>
      </w:r>
      <w:r w:rsidRPr="00533EAC">
        <w:rPr>
          <w:rFonts w:ascii="Arial" w:eastAsia="Calibri" w:hAnsi="Arial" w:cs="Arial"/>
          <w:color w:val="000000" w:themeColor="text1"/>
          <w:lang w:val="en-ZA"/>
        </w:rPr>
        <w:fldChar w:fldCharType="separate"/>
      </w:r>
      <w:r w:rsidR="003A4A3A" w:rsidRPr="00533EAC">
        <w:rPr>
          <w:rFonts w:ascii="Arial" w:eastAsia="Calibri" w:hAnsi="Arial" w:cs="Arial"/>
          <w:noProof/>
          <w:color w:val="000000" w:themeColor="text1"/>
          <w:lang w:val="en-ZA"/>
        </w:rPr>
        <w:t>(Kearse et al. 2012)</w:t>
      </w:r>
      <w:r w:rsidRPr="00533EAC">
        <w:rPr>
          <w:rFonts w:ascii="Arial" w:eastAsia="Calibri" w:hAnsi="Arial" w:cs="Arial"/>
          <w:color w:val="000000" w:themeColor="text1"/>
          <w:lang w:val="en-ZA"/>
        </w:rPr>
        <w:fldChar w:fldCharType="end"/>
      </w:r>
      <w:r w:rsidRPr="00533EAC">
        <w:rPr>
          <w:rFonts w:ascii="Arial" w:eastAsia="Calibri" w:hAnsi="Arial" w:cs="Arial"/>
          <w:color w:val="000000" w:themeColor="text1"/>
          <w:lang w:val="en-ZA"/>
        </w:rPr>
        <w:t xml:space="preserve">, and individual genotypes were manually checked and edited. A subset of samples (10%) </w:t>
      </w:r>
      <w:r w:rsidR="001808F6" w:rsidRPr="00533EAC">
        <w:rPr>
          <w:rFonts w:ascii="Arial" w:eastAsia="Calibri" w:hAnsi="Arial" w:cs="Arial"/>
          <w:color w:val="000000" w:themeColor="text1"/>
          <w:lang w:val="en-ZA"/>
        </w:rPr>
        <w:t xml:space="preserve">were </w:t>
      </w:r>
      <w:r w:rsidRPr="00533EAC">
        <w:rPr>
          <w:rFonts w:ascii="Arial" w:eastAsia="Calibri" w:hAnsi="Arial" w:cs="Arial"/>
          <w:color w:val="000000" w:themeColor="text1"/>
          <w:lang w:val="en-ZA"/>
        </w:rPr>
        <w:t>genotyped independently by another researcher using a different software (</w:t>
      </w:r>
      <w:proofErr w:type="spellStart"/>
      <w:r w:rsidR="001808F6" w:rsidRPr="00533EAC">
        <w:rPr>
          <w:rFonts w:ascii="Arial" w:eastAsia="Calibri" w:hAnsi="Arial" w:cs="Arial"/>
          <w:color w:val="000000" w:themeColor="text1"/>
          <w:lang w:val="en-ZA"/>
        </w:rPr>
        <w:t>GeneMapper</w:t>
      </w:r>
      <w:proofErr w:type="spellEnd"/>
      <w:r w:rsidR="001808F6" w:rsidRPr="00533EAC">
        <w:rPr>
          <w:rFonts w:ascii="Arial" w:eastAsia="Calibri" w:hAnsi="Arial" w:cs="Arial"/>
          <w:color w:val="000000" w:themeColor="text1"/>
          <w:lang w:val="en-ZA"/>
        </w:rPr>
        <w:t xml:space="preserve"> </w:t>
      </w:r>
      <w:r w:rsidRPr="00533EAC">
        <w:rPr>
          <w:rFonts w:ascii="Arial" w:eastAsia="Calibri" w:hAnsi="Arial" w:cs="Arial"/>
          <w:color w:val="000000" w:themeColor="text1"/>
          <w:lang w:val="en-ZA"/>
        </w:rPr>
        <w:t>5, Applied Biosystems) to check for genotyping error</w:t>
      </w:r>
      <w:r w:rsidR="00945114" w:rsidRPr="00533EAC">
        <w:rPr>
          <w:rFonts w:ascii="Arial" w:eastAsia="Calibri" w:hAnsi="Arial" w:cs="Arial"/>
          <w:color w:val="000000" w:themeColor="text1"/>
          <w:lang w:val="en-ZA"/>
        </w:rPr>
        <w:t>s</w:t>
      </w:r>
      <w:r w:rsidRPr="00533EAC">
        <w:rPr>
          <w:rFonts w:ascii="Arial" w:eastAsia="Calibri" w:hAnsi="Arial" w:cs="Arial"/>
          <w:color w:val="000000" w:themeColor="text1"/>
          <w:lang w:val="en-ZA"/>
        </w:rPr>
        <w:t xml:space="preserve">. </w:t>
      </w:r>
      <w:r w:rsidR="00F04666" w:rsidRPr="00533EAC">
        <w:rPr>
          <w:rFonts w:ascii="Arial" w:eastAsia="Calibri" w:hAnsi="Arial" w:cs="Arial"/>
          <w:color w:val="000000" w:themeColor="text1"/>
          <w:lang w:val="en-ZA"/>
        </w:rPr>
        <w:t>MICRO-CHECKER</w:t>
      </w:r>
      <w:r w:rsidRPr="00533EAC">
        <w:rPr>
          <w:rFonts w:ascii="Arial" w:eastAsia="Calibri" w:hAnsi="Arial" w:cs="Arial"/>
          <w:color w:val="000000" w:themeColor="text1"/>
          <w:lang w:val="en-ZA"/>
        </w:rPr>
        <w:t xml:space="preserve"> 2.2.3 </w:t>
      </w:r>
      <w:r w:rsidRPr="00533EAC">
        <w:rPr>
          <w:rFonts w:ascii="Arial" w:eastAsia="Calibri" w:hAnsi="Arial" w:cs="Arial"/>
          <w:color w:val="000000" w:themeColor="text1"/>
          <w:lang w:val="en-ZA"/>
        </w:rPr>
        <w:fldChar w:fldCharType="begin" w:fldLock="1"/>
      </w:r>
      <w:r w:rsidR="0097798B" w:rsidRPr="00533EAC">
        <w:rPr>
          <w:rFonts w:ascii="Arial" w:eastAsia="Calibri" w:hAnsi="Arial" w:cs="Arial"/>
          <w:color w:val="000000" w:themeColor="text1"/>
          <w:lang w:val="en-ZA"/>
        </w:rPr>
        <w:instrText>ADDIN CSL_CITATION {"citationItems":[{"id":"ITEM-1","itemData":{"DOI":"10.1111/j.1471-8286.2004.00684.x","ISSN":"14718278","abstract":"DNA degradation, low DNA concentrations and primer-site mutations may result in the incorrect assignment of microsatellite genotypes, potentially biasing population genetic analyses. micro-checker is windows®-based software that tests the genotyping of microsatellites from diploid populations. The program aids identification of genotyping errors due to nonamplified alleles (null alleles), short allele dominance (large allele dropout) and the scoring of stutter peaks, and also detects typographic errors. micro-checker estimates the frequency of null alleles and, importantly, can adjust the allele and genotype frequencies of the amplified alleles, permitting their use in further population genetic analysis. micro-checker can be freely downloaded from http://www.microchecker.hull.ac.uk/.","author":[{"dropping-particle":"","family":"Oosterhout","given":"Cock","non-dropping-particle":"Van","parse-names":false,"suffix":""},{"dropping-particle":"","family":"Hutchinson","given":"William F.","non-dropping-particle":"","parse-names":false,"suffix":""},{"dropping-particle":"","family":"Wills","given":"Derek P M","non-dropping-particle":"","parse-names":false,"suffix":""},{"dropping-particle":"","family":"Shipley","given":"Peter","non-dropping-particle":"","parse-names":false,"suffix":""}],"container-title":"Molecular Ecology Notes","id":"ITEM-1","issue":"3","issued":{"date-parts":[["2004","9"]]},"page":"535-538","title":"MICRO-CHECKER: Software for identifying and correcting genotyping errors in microsatellite data","type":"article-journal","volume":"4"},"uris":["http://www.mendeley.com/documents/?uuid=c8aeb884-ebb2-379b-a5a5-b6a952a71417","http://www.mendeley.com/documents/?uuid=0d80b1ce-1ac6-4d9c-9f68-7da2de1b29ca"]}],"mendeley":{"formattedCitation":"(Van Oosterhout et al. 2004)","plainTextFormattedCitation":"(Van Oosterhout et al. 2004)","previouslyFormattedCitation":"(Van Oosterhout et al. 2004)"},"properties":{"noteIndex":0},"schema":"https://github.com/citation-style-language/schema/raw/master/csl-citation.json"}</w:instrText>
      </w:r>
      <w:r w:rsidRPr="00533EAC">
        <w:rPr>
          <w:rFonts w:ascii="Arial" w:eastAsia="Calibri" w:hAnsi="Arial" w:cs="Arial"/>
          <w:color w:val="000000" w:themeColor="text1"/>
          <w:lang w:val="en-ZA"/>
        </w:rPr>
        <w:fldChar w:fldCharType="separate"/>
      </w:r>
      <w:r w:rsidR="003A4A3A" w:rsidRPr="00533EAC">
        <w:rPr>
          <w:rFonts w:ascii="Arial" w:eastAsia="Calibri" w:hAnsi="Arial" w:cs="Arial"/>
          <w:noProof/>
          <w:color w:val="000000" w:themeColor="text1"/>
          <w:lang w:val="en-ZA"/>
        </w:rPr>
        <w:t>(Van Oosterhout et al. 2004)</w:t>
      </w:r>
      <w:r w:rsidRPr="00533EAC">
        <w:rPr>
          <w:rFonts w:ascii="Arial" w:eastAsia="Calibri" w:hAnsi="Arial" w:cs="Arial"/>
          <w:color w:val="000000" w:themeColor="text1"/>
          <w:lang w:val="en-ZA"/>
        </w:rPr>
        <w:fldChar w:fldCharType="end"/>
      </w:r>
      <w:r w:rsidRPr="00533EAC">
        <w:rPr>
          <w:rFonts w:ascii="Arial" w:eastAsia="Calibri" w:hAnsi="Arial" w:cs="Arial"/>
          <w:color w:val="000000" w:themeColor="text1"/>
          <w:lang w:val="en-ZA"/>
        </w:rPr>
        <w:t xml:space="preserve"> was used to check for the presence of stutter, null alleles and large allele dropout. The number of alleles (</w:t>
      </w:r>
      <w:r w:rsidR="001808F6" w:rsidRPr="00533EAC">
        <w:rPr>
          <w:rFonts w:ascii="Arial" w:eastAsia="Calibri" w:hAnsi="Arial" w:cs="Arial"/>
          <w:i/>
          <w:color w:val="000000" w:themeColor="text1"/>
          <w:lang w:val="en-ZA"/>
        </w:rPr>
        <w:t>N</w:t>
      </w:r>
      <w:r w:rsidR="001808F6" w:rsidRPr="00533EAC">
        <w:rPr>
          <w:rFonts w:ascii="Arial" w:eastAsia="Calibri" w:hAnsi="Arial" w:cs="Arial"/>
          <w:color w:val="000000" w:themeColor="text1"/>
          <w:vertAlign w:val="subscript"/>
          <w:lang w:val="en-ZA"/>
        </w:rPr>
        <w:t>A</w:t>
      </w:r>
      <w:r w:rsidRPr="00533EAC">
        <w:rPr>
          <w:rFonts w:ascii="Arial" w:eastAsia="Calibri" w:hAnsi="Arial" w:cs="Arial"/>
          <w:color w:val="000000" w:themeColor="text1"/>
          <w:lang w:val="en-ZA"/>
        </w:rPr>
        <w:t>), observed heterozygosity (</w:t>
      </w:r>
      <w:r w:rsidRPr="00533EAC">
        <w:rPr>
          <w:rFonts w:ascii="Arial" w:eastAsia="Calibri" w:hAnsi="Arial" w:cs="Arial"/>
          <w:i/>
          <w:iCs/>
          <w:color w:val="000000" w:themeColor="text1"/>
          <w:lang w:val="en-ZA"/>
        </w:rPr>
        <w:t>H</w:t>
      </w:r>
      <w:r w:rsidRPr="00533EAC">
        <w:rPr>
          <w:rFonts w:ascii="Arial" w:eastAsia="Calibri" w:hAnsi="Arial" w:cs="Arial"/>
          <w:iCs/>
          <w:color w:val="000000" w:themeColor="text1"/>
          <w:vertAlign w:val="subscript"/>
          <w:lang w:val="en-ZA"/>
        </w:rPr>
        <w:t>O</w:t>
      </w:r>
      <w:r w:rsidRPr="00533EAC">
        <w:rPr>
          <w:rFonts w:ascii="Arial" w:eastAsia="Calibri" w:hAnsi="Arial" w:cs="Arial"/>
          <w:color w:val="000000" w:themeColor="text1"/>
          <w:lang w:val="en-ZA"/>
        </w:rPr>
        <w:t>), expected heterozygosity (</w:t>
      </w:r>
      <w:r w:rsidRPr="00533EAC">
        <w:rPr>
          <w:rFonts w:ascii="Arial" w:eastAsia="Calibri" w:hAnsi="Arial" w:cs="Arial"/>
          <w:i/>
          <w:iCs/>
          <w:color w:val="000000" w:themeColor="text1"/>
          <w:lang w:val="en-ZA"/>
        </w:rPr>
        <w:t>H</w:t>
      </w:r>
      <w:r w:rsidRPr="00533EAC">
        <w:rPr>
          <w:rFonts w:ascii="Arial" w:eastAsia="Calibri" w:hAnsi="Arial" w:cs="Arial"/>
          <w:iCs/>
          <w:color w:val="000000" w:themeColor="text1"/>
          <w:vertAlign w:val="subscript"/>
          <w:lang w:val="en-ZA"/>
        </w:rPr>
        <w:t>E</w:t>
      </w:r>
      <w:r w:rsidRPr="00533EAC">
        <w:rPr>
          <w:rFonts w:ascii="Arial" w:eastAsia="Calibri" w:hAnsi="Arial" w:cs="Arial"/>
          <w:color w:val="000000" w:themeColor="text1"/>
          <w:lang w:val="en-ZA"/>
        </w:rPr>
        <w:t xml:space="preserve">) and tests for deviation from Hardy-Weinberg </w:t>
      </w:r>
      <w:r w:rsidR="001808F6" w:rsidRPr="00533EAC">
        <w:rPr>
          <w:rFonts w:ascii="Arial" w:eastAsia="Calibri" w:hAnsi="Arial" w:cs="Arial"/>
          <w:color w:val="000000" w:themeColor="text1"/>
          <w:lang w:val="en-ZA"/>
        </w:rPr>
        <w:t xml:space="preserve">equilibrium </w:t>
      </w:r>
      <w:r w:rsidRPr="00533EAC">
        <w:rPr>
          <w:rFonts w:ascii="Arial" w:eastAsia="Calibri" w:hAnsi="Arial" w:cs="Arial"/>
          <w:color w:val="000000" w:themeColor="text1"/>
          <w:lang w:val="en-ZA"/>
        </w:rPr>
        <w:t xml:space="preserve">(HWE) were </w:t>
      </w:r>
      <w:r w:rsidR="00945114" w:rsidRPr="00533EAC">
        <w:rPr>
          <w:rFonts w:ascii="Arial" w:eastAsia="Calibri" w:hAnsi="Arial" w:cs="Arial"/>
          <w:color w:val="000000" w:themeColor="text1"/>
          <w:lang w:val="en-ZA"/>
        </w:rPr>
        <w:t xml:space="preserve">conducted </w:t>
      </w:r>
      <w:r w:rsidRPr="00533EAC">
        <w:rPr>
          <w:rFonts w:ascii="Arial" w:eastAsia="Calibri" w:hAnsi="Arial" w:cs="Arial"/>
          <w:color w:val="000000" w:themeColor="text1"/>
          <w:lang w:val="en-ZA"/>
        </w:rPr>
        <w:t xml:space="preserve">in </w:t>
      </w:r>
      <w:proofErr w:type="spellStart"/>
      <w:r w:rsidRPr="00533EAC">
        <w:rPr>
          <w:rFonts w:ascii="Arial" w:eastAsia="Calibri" w:hAnsi="Arial" w:cs="Arial"/>
          <w:color w:val="000000" w:themeColor="text1"/>
          <w:lang w:val="en-ZA"/>
        </w:rPr>
        <w:t>Genalex</w:t>
      </w:r>
      <w:proofErr w:type="spellEnd"/>
      <w:r w:rsidRPr="00533EAC">
        <w:rPr>
          <w:rFonts w:ascii="Arial" w:eastAsia="Calibri" w:hAnsi="Arial" w:cs="Arial"/>
          <w:color w:val="000000" w:themeColor="text1"/>
          <w:lang w:val="en-ZA"/>
        </w:rPr>
        <w:t xml:space="preserve"> 6.5 </w:t>
      </w:r>
      <w:r w:rsidRPr="00533EAC">
        <w:rPr>
          <w:rFonts w:ascii="Arial" w:eastAsia="Calibri" w:hAnsi="Arial" w:cs="Arial"/>
          <w:color w:val="000000" w:themeColor="text1"/>
          <w:lang w:val="en-ZA"/>
        </w:rPr>
        <w:fldChar w:fldCharType="begin" w:fldLock="1"/>
      </w:r>
      <w:r w:rsidR="0097798B" w:rsidRPr="00533EAC">
        <w:rPr>
          <w:rFonts w:ascii="Arial" w:eastAsia="Calibri" w:hAnsi="Arial" w:cs="Arial"/>
          <w:color w:val="000000" w:themeColor="text1"/>
          <w:lang w:val="en-ZA"/>
        </w:rPr>
        <w:instrText>ADDIN CSL_CITATION {"citationItems":[{"id":"ITEM-1","itemData":{"DOI":"10.1093/bioinformatics/bts460","ISBN":"1367-4811 (Electronic)\\r1367-4803 (Linking)","ISSN":"13674803","PMID":"22820204","abstract":"GENALEX is a user-friendly cross-platform package that runs within Microsoft Excel, enabling population genetic analyses of codominant, haploid and binary data. Allele frequency-based analyses include heterozygosity, F statistics, Nei’s genetic distance, population assignment, probabilities of identity and pairwise relatedness. Distance-based calculations include AMOVA , principal coordinates analysis (PCA), Mantel tests, multivariate and 2D spatial autocorrelation and TWOGENER . More than 20 different graphs summarize data and aid exploration. Sequence and genotype data can be imported from automated sequencers, and exported to other software. Initially designed as tool for teaching, GENALEX 6 now offers features for researchers as well. Documentation and the program are available at http://www.anu.edu.au/BoZo/GenAlEx/","author":[{"dropping-particle":"","family":"Peakall","given":"Rod","non-dropping-particle":"","parse-names":false,"suffix":""},{"dropping-particle":"","family":"Smouse","given":"Peter E.","non-dropping-particle":"","parse-names":false,"suffix":""}],"container-title":"Bioinformatics","id":"ITEM-1","issue":"19","issued":{"date-parts":[["2012"]]},"page":"2537-2539","title":"GenALEx 6.5: Genetic analysis in Excel. Population genetic software for teaching and research-an update","type":"article-journal","volume":"28"},"uris":["http://www.mendeley.com/documents/?uuid=ab280ca1-5e09-3367-aa1b-5261dfc3911d"]}],"mendeley":{"formattedCitation":"(Peakall and Smouse 2012)","plainTextFormattedCitation":"(Peakall and Smouse 2012)","previouslyFormattedCitation":"(Peakall and Smouse 2012)"},"properties":{"noteIndex":0},"schema":"https://github.com/citation-style-language/schema/raw/master/csl-citation.json"}</w:instrText>
      </w:r>
      <w:r w:rsidRPr="00533EAC">
        <w:rPr>
          <w:rFonts w:ascii="Arial" w:eastAsia="Calibri" w:hAnsi="Arial" w:cs="Arial"/>
          <w:color w:val="000000" w:themeColor="text1"/>
          <w:lang w:val="en-ZA"/>
        </w:rPr>
        <w:fldChar w:fldCharType="separate"/>
      </w:r>
      <w:r w:rsidR="003A4A3A" w:rsidRPr="00533EAC">
        <w:rPr>
          <w:rFonts w:ascii="Arial" w:eastAsia="Calibri" w:hAnsi="Arial" w:cs="Arial"/>
          <w:noProof/>
          <w:color w:val="000000" w:themeColor="text1"/>
          <w:lang w:val="en-ZA"/>
        </w:rPr>
        <w:t>(Peakall and Smouse 2012)</w:t>
      </w:r>
      <w:r w:rsidRPr="00533EAC">
        <w:rPr>
          <w:rFonts w:ascii="Arial" w:eastAsia="Calibri" w:hAnsi="Arial" w:cs="Arial"/>
          <w:color w:val="000000" w:themeColor="text1"/>
          <w:lang w:val="en-ZA"/>
        </w:rPr>
        <w:fldChar w:fldCharType="end"/>
      </w:r>
      <w:r w:rsidRPr="00533EAC">
        <w:rPr>
          <w:rFonts w:ascii="Arial" w:eastAsia="Calibri" w:hAnsi="Arial" w:cs="Arial"/>
          <w:color w:val="000000" w:themeColor="text1"/>
          <w:lang w:val="en-ZA"/>
        </w:rPr>
        <w:t xml:space="preserve">. </w:t>
      </w:r>
      <w:proofErr w:type="spellStart"/>
      <w:r w:rsidRPr="00533EAC">
        <w:rPr>
          <w:rFonts w:ascii="Arial" w:eastAsia="Calibri" w:hAnsi="Arial" w:cs="Arial"/>
          <w:color w:val="000000" w:themeColor="text1"/>
          <w:lang w:val="en-ZA"/>
        </w:rPr>
        <w:t>Genetix</w:t>
      </w:r>
      <w:proofErr w:type="spellEnd"/>
      <w:r w:rsidRPr="00533EAC">
        <w:rPr>
          <w:rFonts w:ascii="Arial" w:eastAsia="Calibri" w:hAnsi="Arial" w:cs="Arial"/>
          <w:color w:val="000000" w:themeColor="text1"/>
          <w:lang w:val="en-ZA"/>
        </w:rPr>
        <w:t xml:space="preserve"> 4.05.2 </w:t>
      </w:r>
      <w:r w:rsidRPr="00533EAC">
        <w:rPr>
          <w:rFonts w:ascii="Arial" w:eastAsia="Calibri" w:hAnsi="Arial" w:cs="Arial"/>
          <w:color w:val="000000" w:themeColor="text1"/>
          <w:lang w:val="en-ZA"/>
        </w:rPr>
        <w:fldChar w:fldCharType="begin" w:fldLock="1"/>
      </w:r>
      <w:r w:rsidR="0097798B" w:rsidRPr="00533EAC">
        <w:rPr>
          <w:rFonts w:ascii="Arial" w:eastAsia="Calibri" w:hAnsi="Arial" w:cs="Arial"/>
          <w:color w:val="000000" w:themeColor="text1"/>
          <w:lang w:val="en-ZA"/>
        </w:rPr>
        <w:instrText>ADDIN CSL_CITATION {"citationItems":[{"id":"ITEM-1","itemData":{"abstract":"Belkhir K, Borsa P, Chikhi L, Raufaste N, Bonhomme F: GENETIX 4.05, logiciel sous Windows TM pour la génétique des populations. 1996-2004. Laboratoire Génome, Populations, Interactions, CNRS UMR 5000, Université de Montpellier II, Montpellier, France","author":[{"dropping-particle":"","family":"Belkhir","given":"K.","non-dropping-particle":"","parse-names":false,"suffix":""},{"dropping-particle":"","family":"Borsa","given":"NP.","non-dropping-particle":"","parse-names":false,"suffix":""},{"dropping-particle":"","family":"Chikhi","given":"L.","non-dropping-particle":"","parse-names":false,"suffix":""},{"dropping-particle":"","family":"Raufaste","given":"N.","non-dropping-particle":"","parse-names":false,"suffix":""},{"dropping-particle":"","family":"Bonhomme","given":"F.","non-dropping-particle":"","parse-names":false,"suffix":""}],"container-title":"Laboratoire Génome, Populations, Interactions, CNRS UMR 5000","id":"ITEM-1","issued":{"date-parts":[["2004"]]},"page":"19","title":"GENETIX 4.05, logiciel sous Windows TM pour la génétique des populations","type":"article-journal"},"uris":["http://www.mendeley.com/documents/?uuid=096d7921-7001-311a-95b4-51bf5464da72"]}],"mendeley":{"formattedCitation":"(Belkhir et al. 2004)","plainTextFormattedCitation":"(Belkhir et al. 2004)","previouslyFormattedCitation":"(Belkhir et al. 2004)"},"properties":{"noteIndex":0},"schema":"https://github.com/citation-style-language/schema/raw/master/csl-citation.json"}</w:instrText>
      </w:r>
      <w:r w:rsidRPr="00533EAC">
        <w:rPr>
          <w:rFonts w:ascii="Arial" w:eastAsia="Calibri" w:hAnsi="Arial" w:cs="Arial"/>
          <w:color w:val="000000" w:themeColor="text1"/>
          <w:lang w:val="en-ZA"/>
        </w:rPr>
        <w:fldChar w:fldCharType="separate"/>
      </w:r>
      <w:r w:rsidR="003A4A3A" w:rsidRPr="00533EAC">
        <w:rPr>
          <w:rFonts w:ascii="Arial" w:eastAsia="Calibri" w:hAnsi="Arial" w:cs="Arial"/>
          <w:noProof/>
          <w:color w:val="000000" w:themeColor="text1"/>
          <w:lang w:val="en-ZA"/>
        </w:rPr>
        <w:t>(Belkhir et al. 2004)</w:t>
      </w:r>
      <w:r w:rsidRPr="00533EAC">
        <w:rPr>
          <w:rFonts w:ascii="Arial" w:eastAsia="Calibri" w:hAnsi="Arial" w:cs="Arial"/>
          <w:color w:val="000000" w:themeColor="text1"/>
          <w:lang w:val="en-ZA"/>
        </w:rPr>
        <w:fldChar w:fldCharType="end"/>
      </w:r>
      <w:r w:rsidRPr="00533EAC">
        <w:rPr>
          <w:rFonts w:ascii="Arial" w:eastAsia="Calibri" w:hAnsi="Arial" w:cs="Arial"/>
          <w:color w:val="000000" w:themeColor="text1"/>
          <w:lang w:val="en-ZA"/>
        </w:rPr>
        <w:t xml:space="preserve"> was used to calculate the inbreeding coefficient </w:t>
      </w:r>
      <w:r w:rsidRPr="00533EAC">
        <w:rPr>
          <w:rFonts w:ascii="Arial" w:eastAsia="Calibri" w:hAnsi="Arial" w:cs="Arial"/>
          <w:i/>
          <w:iCs/>
          <w:color w:val="000000" w:themeColor="text1"/>
          <w:lang w:val="en-ZA"/>
        </w:rPr>
        <w:t>F</w:t>
      </w:r>
      <w:r w:rsidRPr="00533EAC">
        <w:rPr>
          <w:rFonts w:ascii="Arial" w:eastAsia="Calibri" w:hAnsi="Arial" w:cs="Arial"/>
          <w:iCs/>
          <w:color w:val="000000" w:themeColor="text1"/>
          <w:vertAlign w:val="subscript"/>
          <w:lang w:val="en-ZA"/>
        </w:rPr>
        <w:t xml:space="preserve">IS </w:t>
      </w:r>
      <w:r w:rsidRPr="00533EAC">
        <w:rPr>
          <w:rFonts w:ascii="Arial" w:eastAsia="Calibri" w:hAnsi="Arial" w:cs="Arial"/>
          <w:color w:val="000000" w:themeColor="text1"/>
          <w:lang w:val="en-ZA"/>
        </w:rPr>
        <w:t>with 95% confidence intervals generated over 1</w:t>
      </w:r>
      <w:r w:rsidR="00B75C6B" w:rsidRPr="00533EAC">
        <w:rPr>
          <w:rFonts w:ascii="Arial" w:eastAsia="Calibri" w:hAnsi="Arial" w:cs="Arial"/>
          <w:color w:val="000000" w:themeColor="text1"/>
          <w:lang w:val="en-ZA"/>
        </w:rPr>
        <w:t xml:space="preserve"> </w:t>
      </w:r>
      <w:r w:rsidRPr="00533EAC">
        <w:rPr>
          <w:rFonts w:ascii="Arial" w:eastAsia="Calibri" w:hAnsi="Arial" w:cs="Arial"/>
          <w:color w:val="000000" w:themeColor="text1"/>
          <w:lang w:val="en-ZA"/>
        </w:rPr>
        <w:t xml:space="preserve">000 bootstrap replicates. </w:t>
      </w:r>
      <w:r w:rsidR="00EA6713" w:rsidRPr="00533EAC">
        <w:rPr>
          <w:rFonts w:ascii="Arial" w:eastAsia="Calibri" w:hAnsi="Arial" w:cs="Arial"/>
          <w:color w:val="000000" w:themeColor="text1"/>
          <w:lang w:val="en-ZA"/>
        </w:rPr>
        <w:t xml:space="preserve">GENEPOP </w:t>
      </w:r>
      <w:r w:rsidRPr="00533EAC">
        <w:rPr>
          <w:rFonts w:ascii="Arial" w:eastAsia="Calibri" w:hAnsi="Arial" w:cs="Arial"/>
          <w:color w:val="000000" w:themeColor="text1"/>
          <w:lang w:val="en-ZA"/>
        </w:rPr>
        <w:t>4</w:t>
      </w:r>
      <w:r w:rsidR="00EA6713" w:rsidRPr="00533EAC">
        <w:rPr>
          <w:rFonts w:ascii="Arial" w:eastAsia="Calibri" w:hAnsi="Arial" w:cs="Arial"/>
          <w:color w:val="000000" w:themeColor="text1"/>
          <w:lang w:val="en-ZA"/>
        </w:rPr>
        <w:t>.7</w:t>
      </w:r>
      <w:r w:rsidR="007C50E1" w:rsidRPr="00533EAC">
        <w:rPr>
          <w:rFonts w:ascii="Arial" w:eastAsia="Calibri" w:hAnsi="Arial" w:cs="Arial"/>
          <w:color w:val="000000" w:themeColor="text1"/>
          <w:lang w:val="en-ZA"/>
        </w:rPr>
        <w:t xml:space="preserve"> </w:t>
      </w:r>
      <w:r w:rsidRPr="00533EAC">
        <w:rPr>
          <w:rFonts w:ascii="Arial" w:eastAsia="Calibri" w:hAnsi="Arial" w:cs="Arial"/>
          <w:color w:val="000000" w:themeColor="text1"/>
          <w:lang w:val="en-ZA"/>
        </w:rPr>
        <w:fldChar w:fldCharType="begin" w:fldLock="1"/>
      </w:r>
      <w:r w:rsidR="0097798B" w:rsidRPr="00533EAC">
        <w:rPr>
          <w:rFonts w:ascii="Arial" w:eastAsia="Calibri" w:hAnsi="Arial" w:cs="Arial"/>
          <w:color w:val="000000" w:themeColor="text1"/>
          <w:lang w:val="en-ZA"/>
        </w:rPr>
        <w:instrText>ADDIN CSL_CITATION {"citationItems":[{"id":"ITEM-1","itemData":{"DOI":"10.1111/j.1471-8286.2007.01931.x","ISSN":"1755098X","abstract":"This note summarizes developments of the genepop software since its first description in 1995, and in particular those new to version 4.0: an extended input format, several estimators of neighbourhood size under isolation by distance, new estimators and confidence intervals for null allele frequency, and less important extensions to previous options. genepop now runs under Linux as well as under Windows, and can be entirely controlled by batch calls.","author":[{"dropping-particle":"","family":"Rousset","given":"François","non-dropping-particle":"","parse-names":false,"suffix":""}],"container-title":"Molecular Ecology Resources","id":"ITEM-1","issue":"1","issued":{"date-parts":[["2008","1"]]},"page":"103-106","title":"GENEPOP'007: A complete re-implementation of the GENEPOP software for Windows and Linux","type":"article-journal","volume":"8"},"uris":["http://www.mendeley.com/documents/?uuid=04f0470d-0953-3aeb-94a9-114b433eda65","http://www.mendeley.com/documents/?uuid=23f803c1-20af-4aa3-9f73-a27496d7030f"]}],"mendeley":{"formattedCitation":"(Rousset 2008)","plainTextFormattedCitation":"(Rousset 2008)","previouslyFormattedCitation":"(Rousset 2008)"},"properties":{"noteIndex":0},"schema":"https://github.com/citation-style-language/schema/raw/master/csl-citation.json"}</w:instrText>
      </w:r>
      <w:r w:rsidRPr="00533EAC">
        <w:rPr>
          <w:rFonts w:ascii="Arial" w:eastAsia="Calibri" w:hAnsi="Arial" w:cs="Arial"/>
          <w:color w:val="000000" w:themeColor="text1"/>
          <w:lang w:val="en-ZA"/>
        </w:rPr>
        <w:fldChar w:fldCharType="separate"/>
      </w:r>
      <w:r w:rsidR="003A4A3A" w:rsidRPr="00533EAC">
        <w:rPr>
          <w:rFonts w:ascii="Arial" w:eastAsia="Calibri" w:hAnsi="Arial" w:cs="Arial"/>
          <w:noProof/>
          <w:color w:val="000000" w:themeColor="text1"/>
          <w:lang w:val="en-ZA"/>
        </w:rPr>
        <w:t>(Rousset 2008)</w:t>
      </w:r>
      <w:r w:rsidRPr="00533EAC">
        <w:rPr>
          <w:rFonts w:ascii="Arial" w:eastAsia="Calibri" w:hAnsi="Arial" w:cs="Arial"/>
          <w:color w:val="000000" w:themeColor="text1"/>
          <w:lang w:val="en-ZA"/>
        </w:rPr>
        <w:fldChar w:fldCharType="end"/>
      </w:r>
      <w:r w:rsidRPr="00533EAC">
        <w:rPr>
          <w:rFonts w:ascii="Arial" w:eastAsia="Calibri" w:hAnsi="Arial" w:cs="Arial"/>
          <w:color w:val="000000" w:themeColor="text1"/>
          <w:lang w:val="en-ZA"/>
        </w:rPr>
        <w:t xml:space="preserve"> was used to test for </w:t>
      </w:r>
      <w:r w:rsidR="00B75C6B" w:rsidRPr="00533EAC">
        <w:rPr>
          <w:rFonts w:ascii="Arial" w:eastAsia="Calibri" w:hAnsi="Arial" w:cs="Arial"/>
          <w:color w:val="000000" w:themeColor="text1"/>
          <w:lang w:val="en-ZA"/>
        </w:rPr>
        <w:t xml:space="preserve">linkage </w:t>
      </w:r>
      <w:r w:rsidRPr="00533EAC">
        <w:rPr>
          <w:rFonts w:ascii="Arial" w:eastAsia="Calibri" w:hAnsi="Arial" w:cs="Arial"/>
          <w:color w:val="000000" w:themeColor="text1"/>
          <w:lang w:val="en-ZA"/>
        </w:rPr>
        <w:t>disequilibrium (LD) between pairs of loci with</w:t>
      </w:r>
      <w:r w:rsidR="00B75C6B" w:rsidRPr="00533EAC">
        <w:rPr>
          <w:rFonts w:ascii="Arial" w:eastAsia="Calibri" w:hAnsi="Arial" w:cs="Arial"/>
          <w:color w:val="000000" w:themeColor="text1"/>
          <w:lang w:val="en-ZA"/>
        </w:rPr>
        <w:t xml:space="preserve"> </w:t>
      </w:r>
      <w:r w:rsidR="00A868E5" w:rsidRPr="00533EAC">
        <w:rPr>
          <w:rFonts w:ascii="Arial" w:eastAsia="Calibri" w:hAnsi="Arial" w:cs="Arial"/>
          <w:color w:val="000000" w:themeColor="text1"/>
          <w:lang w:val="en-ZA"/>
        </w:rPr>
        <w:t>1</w:t>
      </w:r>
      <w:r w:rsidRPr="00533EAC">
        <w:rPr>
          <w:rFonts w:ascii="Arial" w:eastAsia="Calibri" w:hAnsi="Arial" w:cs="Arial"/>
          <w:color w:val="000000" w:themeColor="text1"/>
          <w:lang w:val="en-ZA"/>
        </w:rPr>
        <w:t xml:space="preserve">000 </w:t>
      </w:r>
      <w:proofErr w:type="spellStart"/>
      <w:r w:rsidRPr="00533EAC">
        <w:rPr>
          <w:rFonts w:ascii="Arial" w:eastAsia="Calibri" w:hAnsi="Arial" w:cs="Arial"/>
          <w:color w:val="000000" w:themeColor="text1"/>
          <w:lang w:val="en-ZA"/>
        </w:rPr>
        <w:t>dememori</w:t>
      </w:r>
      <w:r w:rsidR="00B75C6B" w:rsidRPr="00533EAC">
        <w:rPr>
          <w:rFonts w:ascii="Arial" w:eastAsia="Calibri" w:hAnsi="Arial" w:cs="Arial"/>
          <w:color w:val="000000" w:themeColor="text1"/>
          <w:lang w:val="en-ZA"/>
        </w:rPr>
        <w:t>s</w:t>
      </w:r>
      <w:r w:rsidRPr="00533EAC">
        <w:rPr>
          <w:rFonts w:ascii="Arial" w:eastAsia="Calibri" w:hAnsi="Arial" w:cs="Arial"/>
          <w:color w:val="000000" w:themeColor="text1"/>
          <w:lang w:val="en-ZA"/>
        </w:rPr>
        <w:t>ations</w:t>
      </w:r>
      <w:proofErr w:type="spellEnd"/>
      <w:r w:rsidRPr="00533EAC">
        <w:rPr>
          <w:rFonts w:ascii="Arial" w:eastAsia="Calibri" w:hAnsi="Arial" w:cs="Arial"/>
          <w:color w:val="000000" w:themeColor="text1"/>
          <w:lang w:val="en-ZA"/>
        </w:rPr>
        <w:t xml:space="preserve">, 500 batches and </w:t>
      </w:r>
      <w:r w:rsidR="00A868E5" w:rsidRPr="00533EAC">
        <w:rPr>
          <w:rFonts w:ascii="Arial" w:eastAsia="Calibri" w:hAnsi="Arial" w:cs="Arial"/>
          <w:color w:val="000000" w:themeColor="text1"/>
          <w:lang w:val="en-ZA"/>
        </w:rPr>
        <w:t>10</w:t>
      </w:r>
      <w:r w:rsidR="00114273" w:rsidRPr="00533EAC">
        <w:rPr>
          <w:rFonts w:ascii="Arial" w:eastAsia="Calibri" w:hAnsi="Arial" w:cs="Arial"/>
          <w:color w:val="000000" w:themeColor="text1"/>
          <w:lang w:val="en-ZA"/>
        </w:rPr>
        <w:t xml:space="preserve"> </w:t>
      </w:r>
      <w:r w:rsidRPr="00533EAC">
        <w:rPr>
          <w:rFonts w:ascii="Arial" w:eastAsia="Calibri" w:hAnsi="Arial" w:cs="Arial"/>
          <w:color w:val="000000" w:themeColor="text1"/>
          <w:lang w:val="en-ZA"/>
        </w:rPr>
        <w:t xml:space="preserve">000 interactions per batch (investigating per individual </w:t>
      </w:r>
      <w:r w:rsidRPr="00533EAC">
        <w:rPr>
          <w:rFonts w:ascii="Arial" w:eastAsia="Calibri" w:hAnsi="Arial" w:cs="Arial"/>
          <w:color w:val="000000" w:themeColor="text1"/>
          <w:lang w:val="en-ZA"/>
        </w:rPr>
        <w:lastRenderedPageBreak/>
        <w:t xml:space="preserve">site and per study population). In order to adjust the </w:t>
      </w:r>
      <w:r w:rsidRPr="00533EAC">
        <w:rPr>
          <w:rFonts w:ascii="Arial" w:eastAsia="Calibri" w:hAnsi="Arial" w:cs="Arial"/>
          <w:i/>
          <w:color w:val="000000" w:themeColor="text1"/>
          <w:lang w:val="en-ZA"/>
        </w:rPr>
        <w:t>p</w:t>
      </w:r>
      <w:r w:rsidRPr="00533EAC">
        <w:rPr>
          <w:rFonts w:ascii="Arial" w:eastAsia="Calibri" w:hAnsi="Arial" w:cs="Arial"/>
          <w:color w:val="000000" w:themeColor="text1"/>
          <w:lang w:val="en-ZA"/>
        </w:rPr>
        <w:t>-values of tests for HWE and LD for multiple comparison</w:t>
      </w:r>
      <w:r w:rsidR="00EA6713" w:rsidRPr="00533EAC">
        <w:rPr>
          <w:rFonts w:ascii="Arial" w:eastAsia="Calibri" w:hAnsi="Arial" w:cs="Arial"/>
          <w:color w:val="000000" w:themeColor="text1"/>
          <w:lang w:val="en-ZA"/>
        </w:rPr>
        <w:t>s</w:t>
      </w:r>
      <w:r w:rsidRPr="00533EAC">
        <w:rPr>
          <w:rFonts w:ascii="Arial" w:eastAsia="Calibri" w:hAnsi="Arial" w:cs="Arial"/>
          <w:color w:val="000000" w:themeColor="text1"/>
          <w:lang w:val="en-ZA"/>
        </w:rPr>
        <w:t xml:space="preserve">, Bonferroni correction </w:t>
      </w:r>
      <w:r w:rsidRPr="00533EAC">
        <w:rPr>
          <w:rFonts w:ascii="Arial" w:eastAsia="Calibri" w:hAnsi="Arial" w:cs="Arial"/>
          <w:color w:val="000000" w:themeColor="text1"/>
          <w:lang w:val="en-ZA"/>
        </w:rPr>
        <w:fldChar w:fldCharType="begin" w:fldLock="1"/>
      </w:r>
      <w:r w:rsidR="00450022" w:rsidRPr="00533EAC">
        <w:rPr>
          <w:rFonts w:ascii="Arial" w:eastAsia="Calibri" w:hAnsi="Arial" w:cs="Arial"/>
          <w:color w:val="000000" w:themeColor="text1"/>
          <w:lang w:val="en-ZA"/>
        </w:rPr>
        <w:instrText>ADDIN CSL_CITATION {"citationItems":[{"id":"ITEM-1","itemData":{"DOI":"10.2307/2409177","ISSN":"00143820","abstract":"testing for the statistical significance of com- ponent tests is routinely carried out in a biased fashion that liberally judges far too many tests to be significant The standard Bonferroni technique is described in many general statistics texts. It can be readily shown (e.g., see Miller, 1981) that, if a collection of k tests is simultaneously carried out at the a/k significance level, the probability, on H0,c that at least one component H0,i will be erroneously rejected is less than or equal to a. This inequality does not require that component tests be independent. A major disadvantage of the stan- dard Bonferroni method, however, occurs when more than one component H0,i is false. For example, suppose in the hypothetical correlation table described above that four of the ten correlations were actually different from zero. The standard Bonferroni test has substantially reduced power in detecting more than one false H0,i (see Holm, 1979). To increase power in detecting more than one false Ho0, Holm ( 1979) introduced the sequential Bonferroni technique. To begin the test, select a significance level (a). Next, replace each test statistic by its corresponding P value and rank the P values from smallest (P,) to largest (Pk). First consider the smallest P value (PI). If P, =/&lt; a/k, then judge that the corresponding test in- dicates significance at the \"table-wide\" a level; if the inequality is not met, declare that all tests indicate nonsignificance at the table-wide a level. If and only if P, c? a/k, proceed to the second smallest P value (P2). If P2 '? a/(k - 1), then judge this test also to indicate statistical significance at the a table-wide level of significance and proceed to the third smallest P value (P3). If P2 &gt; a/(k - 1), then declare the corresponding test and all other tests with larger P values to indicate nonsignificance at the table-wide a level. Continue in this fashion until the inequality P, c? a/(I + k - i) is not met.","author":[{"dropping-particle":"","family":"Rice","given":"William R.","non-dropping-particle":"","parse-names":false,"suffix":""}],"container-title":"Evolution","id":"ITEM-1","issue":"1","issued":{"date-parts":[["2006"]]},"page":"223","title":"Analyzing Tables of Statistical Tests","type":"article-journal","volume":"43"},"uris":["http://www.mendeley.com/documents/?uuid=459890d9-9636-373e-bc9f-bc121b762291","http://www.mendeley.com/documents/?uuid=95fad133-ad27-4c3b-91d6-a2eeb52e1f0c"]}],"mendeley":{"formattedCitation":"(Rice 2006)","plainTextFormattedCitation":"(Rice 2006)","previouslyFormattedCitation":"(Rice 2006)"},"properties":{"noteIndex":0},"schema":"https://github.com/citation-style-language/schema/raw/master/csl-citation.json"}</w:instrText>
      </w:r>
      <w:r w:rsidRPr="00533EAC">
        <w:rPr>
          <w:rFonts w:ascii="Arial" w:eastAsia="Calibri" w:hAnsi="Arial" w:cs="Arial"/>
          <w:color w:val="000000" w:themeColor="text1"/>
          <w:lang w:val="en-ZA"/>
        </w:rPr>
        <w:fldChar w:fldCharType="separate"/>
      </w:r>
      <w:r w:rsidR="002E2E55" w:rsidRPr="00533EAC">
        <w:rPr>
          <w:rFonts w:ascii="Arial" w:eastAsia="Calibri" w:hAnsi="Arial" w:cs="Arial"/>
          <w:noProof/>
          <w:color w:val="000000" w:themeColor="text1"/>
          <w:lang w:val="en-ZA"/>
        </w:rPr>
        <w:t>(Rice 2006)</w:t>
      </w:r>
      <w:r w:rsidRPr="00533EAC">
        <w:rPr>
          <w:rFonts w:ascii="Arial" w:eastAsia="Calibri" w:hAnsi="Arial" w:cs="Arial"/>
          <w:color w:val="000000" w:themeColor="text1"/>
          <w:lang w:val="en-ZA"/>
        </w:rPr>
        <w:fldChar w:fldCharType="end"/>
      </w:r>
      <w:r w:rsidR="0091696A" w:rsidRPr="00533EAC">
        <w:rPr>
          <w:rFonts w:ascii="Arial" w:eastAsia="Calibri" w:hAnsi="Arial" w:cs="Arial"/>
          <w:color w:val="000000" w:themeColor="text1"/>
          <w:lang w:val="en-ZA"/>
        </w:rPr>
        <w:t xml:space="preserve"> was applied.</w:t>
      </w:r>
    </w:p>
    <w:p w14:paraId="76ADDFBE" w14:textId="77777777" w:rsidR="00B75C6B" w:rsidRPr="00533EAC" w:rsidRDefault="00B75C6B" w:rsidP="00C05A32">
      <w:pPr>
        <w:spacing w:after="0" w:line="360" w:lineRule="auto"/>
        <w:jc w:val="both"/>
        <w:rPr>
          <w:rFonts w:ascii="Arial" w:eastAsia="Calibri" w:hAnsi="Arial" w:cs="Arial"/>
          <w:i/>
          <w:iCs/>
          <w:color w:val="000000" w:themeColor="text1"/>
          <w:lang w:val="en-ZA"/>
        </w:rPr>
      </w:pPr>
    </w:p>
    <w:p w14:paraId="4B01634A" w14:textId="216A66A1" w:rsidR="005633D6" w:rsidRPr="00533EAC" w:rsidRDefault="00BE6EA8" w:rsidP="00C05A32">
      <w:pPr>
        <w:spacing w:after="0" w:line="360" w:lineRule="auto"/>
        <w:jc w:val="both"/>
        <w:rPr>
          <w:rFonts w:ascii="Arial" w:eastAsia="Calibri" w:hAnsi="Arial" w:cs="Arial"/>
          <w:i/>
          <w:iCs/>
          <w:color w:val="000000" w:themeColor="text1"/>
          <w:lang w:val="en-ZA"/>
        </w:rPr>
      </w:pPr>
      <w:r w:rsidRPr="00533EAC">
        <w:rPr>
          <w:rFonts w:ascii="Arial" w:eastAsia="Calibri" w:hAnsi="Arial" w:cs="Arial"/>
          <w:i/>
          <w:iCs/>
          <w:color w:val="000000" w:themeColor="text1"/>
          <w:lang w:val="en-ZA"/>
        </w:rPr>
        <w:t>Partial m</w:t>
      </w:r>
      <w:r w:rsidR="005633D6" w:rsidRPr="00533EAC">
        <w:rPr>
          <w:rFonts w:ascii="Arial" w:eastAsia="Calibri" w:hAnsi="Arial" w:cs="Arial"/>
          <w:i/>
          <w:iCs/>
          <w:color w:val="000000" w:themeColor="text1"/>
          <w:lang w:val="en-ZA"/>
        </w:rPr>
        <w:t>itogenome assembly</w:t>
      </w:r>
    </w:p>
    <w:p w14:paraId="0F4AE7CD" w14:textId="2C68697D" w:rsidR="005633D6" w:rsidRPr="00533EAC" w:rsidRDefault="005633D6" w:rsidP="00C05A32">
      <w:pPr>
        <w:spacing w:after="0" w:line="360" w:lineRule="auto"/>
        <w:jc w:val="both"/>
        <w:rPr>
          <w:rFonts w:ascii="Arial" w:eastAsia="Calibri" w:hAnsi="Arial" w:cs="Arial"/>
          <w:color w:val="000000" w:themeColor="text1"/>
          <w:lang w:val="en-ZA"/>
        </w:rPr>
      </w:pPr>
      <w:r w:rsidRPr="00533EAC">
        <w:rPr>
          <w:rFonts w:ascii="Arial" w:eastAsia="Calibri" w:hAnsi="Arial" w:cs="Arial"/>
          <w:color w:val="000000" w:themeColor="text1"/>
          <w:lang w:val="en-ZA"/>
        </w:rPr>
        <w:t xml:space="preserve">Ten extracted DNA samples, eight from South Africa and two from Morocco, were used to </w:t>
      </w:r>
      <w:r w:rsidRPr="00533EAC">
        <w:rPr>
          <w:rFonts w:ascii="Arial" w:eastAsia="Times New Roman" w:hAnsi="Arial" w:cs="Arial"/>
          <w:color w:val="000000" w:themeColor="text1"/>
          <w:lang w:val="en-ZA" w:eastAsia="en-GB"/>
        </w:rPr>
        <w:t xml:space="preserve">create </w:t>
      </w:r>
      <w:r w:rsidRPr="00533EAC">
        <w:rPr>
          <w:rFonts w:ascii="Arial" w:eastAsia="Calibri" w:hAnsi="Arial" w:cs="Arial"/>
          <w:color w:val="000000" w:themeColor="text1"/>
          <w:lang w:val="en-ZA"/>
        </w:rPr>
        <w:t xml:space="preserve">libraries </w:t>
      </w:r>
      <w:r w:rsidRPr="00533EAC">
        <w:rPr>
          <w:rFonts w:ascii="Arial" w:eastAsia="Times New Roman" w:hAnsi="Arial" w:cs="Arial"/>
          <w:color w:val="000000" w:themeColor="text1"/>
          <w:lang w:val="en-ZA" w:eastAsia="en-GB"/>
        </w:rPr>
        <w:t xml:space="preserve">using </w:t>
      </w:r>
      <w:proofErr w:type="spellStart"/>
      <w:r w:rsidRPr="00533EAC">
        <w:rPr>
          <w:rFonts w:ascii="Arial" w:eastAsia="Times New Roman" w:hAnsi="Arial" w:cs="Arial"/>
          <w:color w:val="000000" w:themeColor="text1"/>
          <w:lang w:val="en-ZA" w:eastAsia="en-GB"/>
        </w:rPr>
        <w:t>ezRAD</w:t>
      </w:r>
      <w:proofErr w:type="spellEnd"/>
      <w:r w:rsidRPr="00533EAC">
        <w:rPr>
          <w:rFonts w:ascii="Arial" w:eastAsia="Times New Roman" w:hAnsi="Arial" w:cs="Arial"/>
          <w:color w:val="000000" w:themeColor="text1"/>
          <w:lang w:val="en-ZA" w:eastAsia="en-GB"/>
        </w:rPr>
        <w:t xml:space="preserve"> </w:t>
      </w:r>
      <w:r w:rsidRPr="00533EAC">
        <w:rPr>
          <w:rFonts w:ascii="Arial" w:eastAsia="Times New Roman" w:hAnsi="Arial" w:cs="Arial"/>
          <w:color w:val="000000" w:themeColor="text1"/>
          <w:lang w:val="en-ZA" w:eastAsia="en-GB"/>
        </w:rPr>
        <w:fldChar w:fldCharType="begin" w:fldLock="1"/>
      </w:r>
      <w:r w:rsidR="0097798B" w:rsidRPr="00533EAC">
        <w:rPr>
          <w:rFonts w:ascii="Arial" w:eastAsia="Times New Roman" w:hAnsi="Arial" w:cs="Arial"/>
          <w:color w:val="000000" w:themeColor="text1"/>
          <w:lang w:val="en-ZA" w:eastAsia="en-GB"/>
        </w:rPr>
        <w:instrText>ADDIN CSL_CITATION {"citationItems":[{"id":"ITEM-1","itemData":{"DOI":"10.7717/peerj.203","ISSN":"21678359","abstract":"Here, we introduce ezRAD, a novel strategy for restriction site-associated DNA (RAD) that requires little technical expertise or investment in laboratory equipment, and demonstrate its utility for ten non-model organisms across a wide taxonomic range. ezRAD differs fromother RAD methods primarily through its use of standard Illumina TruSeq library preparation kits, which makes it possible for any laboratory to send out to a commercial genomic core facility for library preparation and next-generation sequencing with virtually no additional investment beyond the cost of the service itself. This simplification opens RADseq to any lab with the ability to extract DNA and perform a restriction digest. ezRAD also differs from others in its flexibility to use any restriction enzyme (or combination of enzymes) that cuts frequently enough to generate fragments of the desired size range, without requiring the purchase of separate adapters for each enzyme or a sonication step, which can further decrease the cost involved in choosing optimal enzymes for particular species and research questions. We apply this method across a wide taxonomic diversity of non-model organisms to demonstrate the utility and flexibility of our approach. The simplicity of ezRAD makes it particularly useful for the discovery of single nucleotide polymorphisms and targeted amplicon sequencing in natural populations of nonmodel organisms that have been historically understudied because of lack of genomic information. © 2013 Fuertes et al.","author":[{"dropping-particle":"","family":"Toonen","given":"Robert J.","non-dropping-particle":"","parse-names":false,"suffix":""},{"dropping-particle":"","family":"Puritz","given":"Jonathan B.","non-dropping-particle":"","parse-names":false,"suffix":""},{"dropping-particle":"","family":"Forsman","given":"Zac H.","non-dropping-particle":"","parse-names":false,"suffix":""},{"dropping-particle":"","family":"Whitney","given":"Jonathan L.","non-dropping-particle":"","parse-names":false,"suffix":""},{"dropping-particle":"","family":"Fernandez-Silva","given":"Iria","non-dropping-particle":"","parse-names":false,"suffix":""},{"dropping-particle":"","family":"Andrews","given":"Kimberly R.","non-dropping-particle":"","parse-names":false,"suffix":""},{"dropping-particle":"","family":"Bird","given":"Christopher E.","non-dropping-particle":"","parse-names":false,"suffix":""}],"container-title":"PeerJ","id":"ITEM-1","issue":"1","issued":{"date-parts":[["2013"]]},"title":"ezRAD: A simplified method for genomic genotyping in non-model organisms","type":"article-journal","volume":"2013"},"uris":["http://www.mendeley.com/documents/?uuid=97d1ae6c-13a6-3e59-a28d-1664530e99f4"]}],"mendeley":{"formattedCitation":"(Toonen et al. 2013)","plainTextFormattedCitation":"(Toonen et al. 2013)","previouslyFormattedCitation":"(Toonen et al. 2013)"},"properties":{"noteIndex":0},"schema":"https://github.com/citation-style-language/schema/raw/master/csl-citation.json"}</w:instrText>
      </w:r>
      <w:r w:rsidRPr="00533EAC">
        <w:rPr>
          <w:rFonts w:ascii="Arial" w:eastAsia="Times New Roman" w:hAnsi="Arial" w:cs="Arial"/>
          <w:color w:val="000000" w:themeColor="text1"/>
          <w:lang w:val="en-ZA" w:eastAsia="en-GB"/>
        </w:rPr>
        <w:fldChar w:fldCharType="separate"/>
      </w:r>
      <w:r w:rsidR="003A4A3A" w:rsidRPr="00533EAC">
        <w:rPr>
          <w:rFonts w:ascii="Arial" w:eastAsia="Times New Roman" w:hAnsi="Arial" w:cs="Arial"/>
          <w:noProof/>
          <w:color w:val="000000" w:themeColor="text1"/>
          <w:lang w:val="en-ZA" w:eastAsia="en-GB"/>
        </w:rPr>
        <w:t>(Toonen et al. 2013)</w:t>
      </w:r>
      <w:r w:rsidRPr="00533EAC">
        <w:rPr>
          <w:rFonts w:ascii="Arial" w:eastAsia="Times New Roman" w:hAnsi="Arial" w:cs="Arial"/>
          <w:color w:val="000000" w:themeColor="text1"/>
          <w:lang w:val="en-ZA" w:eastAsia="en-GB"/>
        </w:rPr>
        <w:fldChar w:fldCharType="end"/>
      </w:r>
      <w:r w:rsidRPr="00533EAC">
        <w:rPr>
          <w:rFonts w:ascii="Arial" w:eastAsia="Calibri" w:hAnsi="Arial" w:cs="Arial"/>
          <w:color w:val="000000" w:themeColor="text1"/>
          <w:lang w:val="en-ZA"/>
        </w:rPr>
        <w:t xml:space="preserve">, </w:t>
      </w:r>
      <w:r w:rsidR="00330F0A" w:rsidRPr="00533EAC">
        <w:rPr>
          <w:rFonts w:ascii="Arial" w:eastAsia="Calibri" w:hAnsi="Arial" w:cs="Arial"/>
          <w:color w:val="000000" w:themeColor="text1"/>
          <w:lang w:val="en-ZA"/>
        </w:rPr>
        <w:t xml:space="preserve">and </w:t>
      </w:r>
      <w:r w:rsidRPr="00533EAC">
        <w:rPr>
          <w:rFonts w:ascii="Arial" w:eastAsia="Calibri" w:hAnsi="Arial" w:cs="Arial"/>
          <w:color w:val="000000" w:themeColor="text1"/>
          <w:lang w:val="en-ZA"/>
        </w:rPr>
        <w:t xml:space="preserve">were sequenced at the </w:t>
      </w:r>
      <w:r w:rsidR="00760127" w:rsidRPr="00533EAC">
        <w:rPr>
          <w:rFonts w:ascii="Arial" w:eastAsia="Calibri" w:hAnsi="Arial" w:cs="Arial"/>
          <w:color w:val="000000" w:themeColor="text1"/>
          <w:lang w:val="en-ZA"/>
        </w:rPr>
        <w:t>Genome Centre at the Max Planck Institute for Plant Breeding Research</w:t>
      </w:r>
      <w:r w:rsidR="00460F3A" w:rsidRPr="00533EAC">
        <w:rPr>
          <w:rFonts w:ascii="Arial" w:eastAsia="Calibri" w:hAnsi="Arial" w:cs="Arial"/>
          <w:color w:val="000000" w:themeColor="text1"/>
          <w:lang w:val="en-ZA"/>
        </w:rPr>
        <w:t xml:space="preserve"> (</w:t>
      </w:r>
      <w:r w:rsidRPr="00533EAC">
        <w:rPr>
          <w:rFonts w:ascii="Arial" w:eastAsia="Calibri" w:hAnsi="Arial" w:cs="Arial"/>
          <w:color w:val="000000" w:themeColor="text1"/>
          <w:lang w:val="en-ZA"/>
        </w:rPr>
        <w:t>Cologne</w:t>
      </w:r>
      <w:r w:rsidR="00460F3A" w:rsidRPr="00533EAC">
        <w:rPr>
          <w:rFonts w:ascii="Arial" w:eastAsia="Calibri" w:hAnsi="Arial" w:cs="Arial"/>
          <w:color w:val="000000" w:themeColor="text1"/>
          <w:lang w:val="en-ZA"/>
        </w:rPr>
        <w:t>, Germany),</w:t>
      </w:r>
      <w:r w:rsidRPr="00533EAC">
        <w:rPr>
          <w:rFonts w:ascii="Arial" w:eastAsia="Times New Roman" w:hAnsi="Arial" w:cs="Arial"/>
          <w:color w:val="000000" w:themeColor="text1"/>
          <w:lang w:val="en-ZA" w:eastAsia="en-GB"/>
        </w:rPr>
        <w:t xml:space="preserve"> </w:t>
      </w:r>
      <w:r w:rsidRPr="00533EAC">
        <w:rPr>
          <w:rFonts w:ascii="Arial" w:eastAsia="Calibri" w:hAnsi="Arial" w:cs="Arial"/>
          <w:color w:val="000000" w:themeColor="text1"/>
          <w:lang w:val="en-ZA"/>
        </w:rPr>
        <w:t xml:space="preserve">on an Illumina Hiseq3000 platform (Illumina, USA) using 150 base pair (bp) paired-end chemistry. The </w:t>
      </w:r>
      <w:proofErr w:type="spellStart"/>
      <w:r w:rsidRPr="00533EAC">
        <w:rPr>
          <w:rFonts w:ascii="Arial" w:eastAsia="Calibri" w:hAnsi="Arial" w:cs="Arial"/>
          <w:color w:val="000000" w:themeColor="text1"/>
          <w:lang w:val="en-ZA"/>
        </w:rPr>
        <w:t>ezRAD</w:t>
      </w:r>
      <w:proofErr w:type="spellEnd"/>
      <w:r w:rsidRPr="00533EAC">
        <w:rPr>
          <w:rFonts w:ascii="Arial" w:eastAsia="Calibri" w:hAnsi="Arial" w:cs="Arial"/>
          <w:color w:val="000000" w:themeColor="text1"/>
          <w:lang w:val="en-ZA"/>
        </w:rPr>
        <w:t xml:space="preserve"> method does not amplify the whole mitogenome but only the regions fla</w:t>
      </w:r>
      <w:r w:rsidR="00FD23C8" w:rsidRPr="00533EAC">
        <w:rPr>
          <w:rFonts w:ascii="Arial" w:eastAsia="Calibri" w:hAnsi="Arial" w:cs="Arial"/>
          <w:color w:val="000000" w:themeColor="text1"/>
          <w:lang w:val="en-ZA"/>
        </w:rPr>
        <w:t>n</w:t>
      </w:r>
      <w:r w:rsidRPr="00533EAC">
        <w:rPr>
          <w:rFonts w:ascii="Arial" w:eastAsia="Calibri" w:hAnsi="Arial" w:cs="Arial"/>
          <w:color w:val="000000" w:themeColor="text1"/>
          <w:lang w:val="en-ZA"/>
        </w:rPr>
        <w:t xml:space="preserve">ked by two restriction enzymes </w:t>
      </w:r>
      <w:r w:rsidRPr="00533EAC">
        <w:rPr>
          <w:rFonts w:ascii="Arial" w:eastAsia="Times New Roman" w:hAnsi="Arial" w:cs="Arial"/>
          <w:color w:val="000000" w:themeColor="text1"/>
          <w:lang w:val="en-ZA" w:eastAsia="en-GB"/>
        </w:rPr>
        <w:fldChar w:fldCharType="begin" w:fldLock="1"/>
      </w:r>
      <w:r w:rsidR="0097798B" w:rsidRPr="00533EAC">
        <w:rPr>
          <w:rFonts w:ascii="Arial" w:eastAsia="Times New Roman" w:hAnsi="Arial" w:cs="Arial"/>
          <w:color w:val="000000" w:themeColor="text1"/>
          <w:lang w:val="en-ZA" w:eastAsia="en-GB"/>
        </w:rPr>
        <w:instrText>ADDIN CSL_CITATION {"citationItems":[{"id":"ITEM-1","itemData":{"DOI":"10.7717/peerj.203","ISSN":"21678359","abstract":"Here, we introduce ezRAD, a novel strategy for restriction site-associated DNA (RAD) that requires little technical expertise or investment in laboratory equipment, and demonstrate its utility for ten non-model organisms across a wide taxonomic range. ezRAD differs fromother RAD methods primarily through its use of standard Illumina TruSeq library preparation kits, which makes it possible for any laboratory to send out to a commercial genomic core facility for library preparation and next-generation sequencing with virtually no additional investment beyond the cost of the service itself. This simplification opens RADseq to any lab with the ability to extract DNA and perform a restriction digest. ezRAD also differs from others in its flexibility to use any restriction enzyme (or combination of enzymes) that cuts frequently enough to generate fragments of the desired size range, without requiring the purchase of separate adapters for each enzyme or a sonication step, which can further decrease the cost involved in choosing optimal enzymes for particular species and research questions. We apply this method across a wide taxonomic diversity of non-model organisms to demonstrate the utility and flexibility of our approach. The simplicity of ezRAD makes it particularly useful for the discovery of single nucleotide polymorphisms and targeted amplicon sequencing in natural populations of nonmodel organisms that have been historically understudied because of lack of genomic information. © 2013 Fuertes et al.","author":[{"dropping-particle":"","family":"Toonen","given":"Robert J.","non-dropping-particle":"","parse-names":false,"suffix":""},{"dropping-particle":"","family":"Puritz","given":"Jonathan B.","non-dropping-particle":"","parse-names":false,"suffix":""},{"dropping-particle":"","family":"Forsman","given":"Zac H.","non-dropping-particle":"","parse-names":false,"suffix":""},{"dropping-particle":"","family":"Whitney","given":"Jonathan L.","non-dropping-particle":"","parse-names":false,"suffix":""},{"dropping-particle":"","family":"Fernandez-Silva","given":"Iria","non-dropping-particle":"","parse-names":false,"suffix":""},{"dropping-particle":"","family":"Andrews","given":"Kimberly R.","non-dropping-particle":"","parse-names":false,"suffix":""},{"dropping-particle":"","family":"Bird","given":"Christopher E.","non-dropping-particle":"","parse-names":false,"suffix":""}],"container-title":"PeerJ","id":"ITEM-1","issue":"1","issued":{"date-parts":[["2013"]]},"title":"ezRAD: A simplified method for genomic genotyping in non-model organisms","type":"article-journal","volume":"2013"},"uris":["http://www.mendeley.com/documents/?uuid=97d1ae6c-13a6-3e59-a28d-1664530e99f4"]}],"mendeley":{"formattedCitation":"(Toonen et al. 2013)","plainTextFormattedCitation":"(Toonen et al. 2013)","previouslyFormattedCitation":"(Toonen et al. 2013)"},"properties":{"noteIndex":0},"schema":"https://github.com/citation-style-language/schema/raw/master/csl-citation.json"}</w:instrText>
      </w:r>
      <w:r w:rsidRPr="00533EAC">
        <w:rPr>
          <w:rFonts w:ascii="Arial" w:eastAsia="Times New Roman" w:hAnsi="Arial" w:cs="Arial"/>
          <w:color w:val="000000" w:themeColor="text1"/>
          <w:lang w:val="en-ZA" w:eastAsia="en-GB"/>
        </w:rPr>
        <w:fldChar w:fldCharType="separate"/>
      </w:r>
      <w:r w:rsidR="003A4A3A" w:rsidRPr="00533EAC">
        <w:rPr>
          <w:rFonts w:ascii="Arial" w:eastAsia="Times New Roman" w:hAnsi="Arial" w:cs="Arial"/>
          <w:noProof/>
          <w:color w:val="000000" w:themeColor="text1"/>
          <w:lang w:val="en-ZA" w:eastAsia="en-GB"/>
        </w:rPr>
        <w:t>(Toonen et al. 2013)</w:t>
      </w:r>
      <w:r w:rsidRPr="00533EAC">
        <w:rPr>
          <w:rFonts w:ascii="Arial" w:eastAsia="Times New Roman" w:hAnsi="Arial" w:cs="Arial"/>
          <w:color w:val="000000" w:themeColor="text1"/>
          <w:lang w:val="en-ZA" w:eastAsia="en-GB"/>
        </w:rPr>
        <w:fldChar w:fldCharType="end"/>
      </w:r>
      <w:r w:rsidRPr="00533EAC">
        <w:rPr>
          <w:rFonts w:ascii="Arial" w:eastAsia="Calibri" w:hAnsi="Arial" w:cs="Arial"/>
          <w:color w:val="000000" w:themeColor="text1"/>
          <w:lang w:val="en-ZA"/>
        </w:rPr>
        <w:t xml:space="preserve">. </w:t>
      </w:r>
      <w:r w:rsidR="005D15DC" w:rsidRPr="00533EAC">
        <w:rPr>
          <w:rFonts w:ascii="Arial" w:eastAsia="Calibri" w:hAnsi="Arial" w:cs="Arial"/>
          <w:color w:val="000000" w:themeColor="text1"/>
          <w:lang w:val="en-ZA"/>
        </w:rPr>
        <w:t>Raw reads were analysed with</w:t>
      </w:r>
      <w:r w:rsidRPr="00533EAC">
        <w:rPr>
          <w:rFonts w:ascii="Arial" w:eastAsia="Calibri" w:hAnsi="Arial" w:cs="Arial"/>
          <w:color w:val="000000" w:themeColor="text1"/>
          <w:lang w:val="en-ZA"/>
        </w:rPr>
        <w:t xml:space="preserve"> </w:t>
      </w:r>
      <w:proofErr w:type="spellStart"/>
      <w:r w:rsidRPr="00533EAC">
        <w:rPr>
          <w:rFonts w:ascii="Arial" w:eastAsia="Calibri" w:hAnsi="Arial" w:cs="Arial"/>
          <w:color w:val="000000" w:themeColor="text1"/>
          <w:lang w:val="en-ZA"/>
        </w:rPr>
        <w:t>FastQC</w:t>
      </w:r>
      <w:proofErr w:type="spellEnd"/>
      <w:r w:rsidRPr="00533EAC">
        <w:rPr>
          <w:rFonts w:ascii="Arial" w:eastAsia="Calibri" w:hAnsi="Arial" w:cs="Arial"/>
          <w:color w:val="000000" w:themeColor="text1"/>
          <w:lang w:val="en-ZA"/>
        </w:rPr>
        <w:t xml:space="preserve"> </w:t>
      </w:r>
      <w:r w:rsidRPr="00533EAC">
        <w:rPr>
          <w:rFonts w:ascii="Arial" w:eastAsia="Calibri" w:hAnsi="Arial" w:cs="Arial"/>
          <w:color w:val="000000" w:themeColor="text1"/>
          <w:lang w:val="en-ZA"/>
        </w:rPr>
        <w:fldChar w:fldCharType="begin" w:fldLock="1"/>
      </w:r>
      <w:r w:rsidR="0097798B" w:rsidRPr="00533EAC">
        <w:rPr>
          <w:rFonts w:ascii="Arial" w:eastAsia="Calibri" w:hAnsi="Arial" w:cs="Arial"/>
          <w:color w:val="000000" w:themeColor="text1"/>
          <w:lang w:val="en-ZA"/>
        </w:rPr>
        <w:instrText>ADDIN CSL_CITATION {"citationItems":[{"id":"ITEM-1","itemData":{"DOI":"10.1093/nar/gkp1137","ISSN":"0305-1048","abstract":"FASTQ has emerged as a common file format for sharing sequencing read data combining both the sequence and an associated per base quality score, despite lacking any formal definition to date, and existing in at least three incompatible variants. This article defines the FASTQ format, covering the original Sanger standard, the Solexa/Illumina variants and conversion between them, based on publicly available information such as the MAQ documentation and conventions recently agreed by the Open Bioinformatics Foundation projects Biopython, BioPerl, BioRuby, BioJava and EMBOSS. Being an open access publication, it is hoped that this description, with the example files provided as Supplementary Data, will serve in future as a reference for this important file format.","author":[{"dropping-particle":"","family":"Cock","given":"Peter J A","non-dropping-particle":"","parse-names":false,"suffix":""},{"dropping-particle":"","family":"Fields","given":"Christopher J","non-dropping-particle":"","parse-names":false,"suffix":""},{"dropping-particle":"","family":"Goto","given":"Naohisa","non-dropping-particle":"","parse-names":false,"suffix":""},{"dropping-particle":"","family":"Heuer","given":"Michael L","non-dropping-particle":"","parse-names":false,"suffix":""},{"dropping-particle":"","family":"Rice","given":"Peter M","non-dropping-particle":"","parse-names":false,"suffix":""}],"container-title":"Nucleic Acids Research","id":"ITEM-1","issue":"6","issued":{"date-parts":[["2009","12","16"]]},"page":"1767-1771","title":"The Sanger FASTQ file format for sequences with quality scores, and the Solexa/Illumina FASTQ variants","type":"article-journal","volume":"38"},"uris":["http://www.mendeley.com/documents/?uuid=07ee8e91-2cbc-3da0-abd3-91ae91ffee7d"]}],"mendeley":{"formattedCitation":"(Cock et al. 2009)","plainTextFormattedCitation":"(Cock et al. 2009)","previouslyFormattedCitation":"(Cock et al. 2009)"},"properties":{"noteIndex":0},"schema":"https://github.com/citation-style-language/schema/raw/master/csl-citation.json"}</w:instrText>
      </w:r>
      <w:r w:rsidRPr="00533EAC">
        <w:rPr>
          <w:rFonts w:ascii="Arial" w:eastAsia="Calibri" w:hAnsi="Arial" w:cs="Arial"/>
          <w:color w:val="000000" w:themeColor="text1"/>
          <w:lang w:val="en-ZA"/>
        </w:rPr>
        <w:fldChar w:fldCharType="separate"/>
      </w:r>
      <w:r w:rsidR="003A4A3A" w:rsidRPr="00533EAC">
        <w:rPr>
          <w:rFonts w:ascii="Arial" w:eastAsia="Calibri" w:hAnsi="Arial" w:cs="Arial"/>
          <w:noProof/>
          <w:color w:val="000000" w:themeColor="text1"/>
          <w:lang w:val="en-ZA"/>
        </w:rPr>
        <w:t>(Cock et al. 2009)</w:t>
      </w:r>
      <w:r w:rsidRPr="00533EAC">
        <w:rPr>
          <w:rFonts w:ascii="Arial" w:eastAsia="Calibri" w:hAnsi="Arial" w:cs="Arial"/>
          <w:color w:val="000000" w:themeColor="text1"/>
          <w:lang w:val="en-ZA"/>
        </w:rPr>
        <w:fldChar w:fldCharType="end"/>
      </w:r>
      <w:r w:rsidR="005D15DC" w:rsidRPr="00533EAC">
        <w:rPr>
          <w:rFonts w:ascii="Arial" w:eastAsia="Calibri" w:hAnsi="Arial" w:cs="Arial"/>
          <w:color w:val="000000" w:themeColor="text1"/>
          <w:lang w:val="en-ZA"/>
        </w:rPr>
        <w:t xml:space="preserve">, and where removed when the following conditions were met: </w:t>
      </w:r>
      <w:r w:rsidRPr="00533EAC">
        <w:rPr>
          <w:rFonts w:ascii="Arial" w:eastAsia="Calibri" w:hAnsi="Arial" w:cs="Arial"/>
          <w:color w:val="000000" w:themeColor="text1"/>
          <w:lang w:val="en-ZA"/>
        </w:rPr>
        <w:sym w:font="Symbol" w:char="F0B3"/>
      </w:r>
      <w:r w:rsidRPr="00533EAC">
        <w:rPr>
          <w:rFonts w:ascii="Arial" w:eastAsia="Calibri" w:hAnsi="Arial" w:cs="Arial"/>
          <w:color w:val="000000" w:themeColor="text1"/>
          <w:lang w:val="en-ZA"/>
        </w:rPr>
        <w:t xml:space="preserve">10% unidentified nucleotides, </w:t>
      </w:r>
      <w:r w:rsidRPr="00533EAC">
        <w:rPr>
          <w:rFonts w:ascii="Arial" w:eastAsia="Calibri" w:hAnsi="Arial" w:cs="Arial"/>
          <w:color w:val="000000" w:themeColor="text1"/>
          <w:lang w:val="en-ZA"/>
        </w:rPr>
        <w:sym w:font="Symbol" w:char="F03E"/>
      </w:r>
      <w:r w:rsidRPr="00533EAC">
        <w:rPr>
          <w:rFonts w:ascii="Arial" w:eastAsia="Calibri" w:hAnsi="Arial" w:cs="Arial"/>
          <w:color w:val="000000" w:themeColor="text1"/>
          <w:lang w:val="en-ZA"/>
        </w:rPr>
        <w:t xml:space="preserve">50% of bases having </w:t>
      </w:r>
      <w:proofErr w:type="spellStart"/>
      <w:r w:rsidRPr="00533EAC">
        <w:rPr>
          <w:rFonts w:ascii="Arial" w:eastAsia="Calibri" w:hAnsi="Arial" w:cs="Arial"/>
          <w:color w:val="000000" w:themeColor="text1"/>
          <w:lang w:val="en-ZA"/>
        </w:rPr>
        <w:t>phred</w:t>
      </w:r>
      <w:proofErr w:type="spellEnd"/>
      <w:r w:rsidRPr="00533EAC">
        <w:rPr>
          <w:rFonts w:ascii="Arial" w:eastAsia="Calibri" w:hAnsi="Arial" w:cs="Arial"/>
          <w:color w:val="000000" w:themeColor="text1"/>
          <w:lang w:val="en-ZA"/>
        </w:rPr>
        <w:t xml:space="preserve"> quality </w:t>
      </w:r>
      <w:r w:rsidRPr="00533EAC">
        <w:rPr>
          <w:rFonts w:ascii="Arial" w:eastAsia="Calibri" w:hAnsi="Arial" w:cs="Arial"/>
          <w:color w:val="000000" w:themeColor="text1"/>
          <w:lang w:val="en-ZA"/>
        </w:rPr>
        <w:sym w:font="Symbol" w:char="F03C"/>
      </w:r>
      <w:r w:rsidRPr="00533EAC">
        <w:rPr>
          <w:rFonts w:ascii="Arial" w:eastAsia="Calibri" w:hAnsi="Arial" w:cs="Arial"/>
          <w:color w:val="000000" w:themeColor="text1"/>
          <w:lang w:val="en-ZA"/>
        </w:rPr>
        <w:t>20</w:t>
      </w:r>
      <w:r w:rsidR="005D15DC" w:rsidRPr="00533EAC">
        <w:rPr>
          <w:rFonts w:ascii="Arial" w:eastAsia="Calibri" w:hAnsi="Arial" w:cs="Arial"/>
          <w:color w:val="000000" w:themeColor="text1"/>
          <w:lang w:val="en-ZA"/>
        </w:rPr>
        <w:t>,</w:t>
      </w:r>
      <w:r w:rsidRPr="00533EAC">
        <w:rPr>
          <w:rFonts w:ascii="Arial" w:eastAsia="Calibri" w:hAnsi="Arial" w:cs="Arial"/>
          <w:color w:val="000000" w:themeColor="text1"/>
          <w:lang w:val="en-ZA"/>
        </w:rPr>
        <w:t xml:space="preserve"> and reads with </w:t>
      </w:r>
      <w:r w:rsidRPr="00533EAC">
        <w:rPr>
          <w:rFonts w:ascii="Arial" w:eastAsia="Calibri" w:hAnsi="Arial" w:cs="Arial"/>
          <w:color w:val="000000" w:themeColor="text1"/>
          <w:lang w:val="en-ZA"/>
        </w:rPr>
        <w:sym w:font="Symbol" w:char="F03E"/>
      </w:r>
      <w:r w:rsidRPr="00533EAC">
        <w:rPr>
          <w:rFonts w:ascii="Arial" w:eastAsia="Calibri" w:hAnsi="Arial" w:cs="Arial"/>
          <w:color w:val="000000" w:themeColor="text1"/>
          <w:lang w:val="en-ZA"/>
        </w:rPr>
        <w:t xml:space="preserve">10 </w:t>
      </w:r>
      <w:proofErr w:type="spellStart"/>
      <w:r w:rsidRPr="00533EAC">
        <w:rPr>
          <w:rFonts w:ascii="Arial" w:eastAsia="Calibri" w:hAnsi="Arial" w:cs="Arial"/>
          <w:color w:val="000000" w:themeColor="text1"/>
          <w:lang w:val="en-ZA"/>
        </w:rPr>
        <w:t>nt</w:t>
      </w:r>
      <w:proofErr w:type="spellEnd"/>
      <w:r w:rsidRPr="00533EAC">
        <w:rPr>
          <w:rFonts w:ascii="Arial" w:eastAsia="Calibri" w:hAnsi="Arial" w:cs="Arial"/>
          <w:color w:val="000000" w:themeColor="text1"/>
          <w:lang w:val="en-ZA"/>
        </w:rPr>
        <w:t xml:space="preserve"> aligned to the adapter (allowing </w:t>
      </w:r>
      <m:oMath>
        <m:r>
          <w:rPr>
            <w:rFonts w:ascii="Cambria Math" w:eastAsia="Calibri" w:hAnsi="Cambria Math" w:cs="Arial"/>
            <w:color w:val="000000" w:themeColor="text1"/>
            <w:lang w:val="en-ZA"/>
          </w:rPr>
          <m:t>≤</m:t>
        </m:r>
      </m:oMath>
      <w:r w:rsidRPr="00533EAC">
        <w:rPr>
          <w:rFonts w:ascii="Arial" w:eastAsia="Calibri" w:hAnsi="Arial" w:cs="Arial"/>
          <w:color w:val="000000" w:themeColor="text1"/>
          <w:lang w:val="en-ZA"/>
        </w:rPr>
        <w:t xml:space="preserve">10% mismatches). Presumed duplicates generated by PCR amplification in the library construction process were </w:t>
      </w:r>
      <w:r w:rsidR="005D15DC" w:rsidRPr="00533EAC">
        <w:rPr>
          <w:rFonts w:ascii="Arial" w:eastAsia="Calibri" w:hAnsi="Arial" w:cs="Arial"/>
          <w:color w:val="000000" w:themeColor="text1"/>
          <w:lang w:val="en-ZA"/>
        </w:rPr>
        <w:t xml:space="preserve">also </w:t>
      </w:r>
      <w:r w:rsidRPr="00533EAC">
        <w:rPr>
          <w:rFonts w:ascii="Arial" w:eastAsia="Calibri" w:hAnsi="Arial" w:cs="Arial"/>
          <w:color w:val="000000" w:themeColor="text1"/>
          <w:lang w:val="en-ZA"/>
        </w:rPr>
        <w:t xml:space="preserve">discarded. TRIMMOMATIC </w:t>
      </w:r>
      <w:r w:rsidRPr="00533EAC">
        <w:rPr>
          <w:rFonts w:ascii="Arial" w:eastAsia="Calibri" w:hAnsi="Arial" w:cs="Arial"/>
          <w:color w:val="000000" w:themeColor="text1"/>
          <w:lang w:val="en-ZA"/>
        </w:rPr>
        <w:fldChar w:fldCharType="begin" w:fldLock="1"/>
      </w:r>
      <w:r w:rsidR="0097798B" w:rsidRPr="00533EAC">
        <w:rPr>
          <w:rFonts w:ascii="Arial" w:eastAsia="Calibri" w:hAnsi="Arial" w:cs="Arial"/>
          <w:color w:val="000000" w:themeColor="text1"/>
          <w:lang w:val="en-ZA"/>
        </w:rPr>
        <w:instrText>ADDIN CSL_CITATION {"citationItems":[{"id":"ITEM-1","itemData":{"DOI":"10.1093/bioinformatics/btu170","ISSN":"14602059","abstract":"MOTIVATION Although many next-generation sequencing (NGS) read preprocessing tools already existed, we could not find any tool or combination of tools that met our requirements in terms of flexibility, correct handling of paired-end data and high performance. We have developed Trimmomatic as a more flexible and efficient preprocessing tool, which could correctly handle paired-end data. RESULTS The value of NGS read preprocessing is demonstrated for both reference-based and reference-free tasks. Trimmomatic is shown to produce output that is at least competitive with, and in many cases superior to, that produced by other tools, in all scenarios tested. AVAILABILITY AND IMPLEMENTATION Trimmomatic is licensed under GPL V3. It is cross-platform (Java 1.5+ required) and available at http://www.usadellab.org/cms/index.php?page=trimmomatic CONTACT usadel@bio1.rwth-aachen.de SUPPLEMENTARY INFORMATION Supplementary data are available at Bioinformatics online.","author":[{"dropping-particle":"","family":"Bolger","given":"Anthony M.","non-dropping-particle":"","parse-names":false,"suffix":""},{"dropping-particle":"","family":"Lohse","given":"Marc","non-dropping-particle":"","parse-names":false,"suffix":""},{"dropping-particle":"","family":"Usadel","given":"Bjoern","non-dropping-particle":"","parse-names":false,"suffix":""}],"container-title":"Bioinformatics","id":"ITEM-1","issue":"15","issued":{"date-parts":[["2014","8","1"]]},"page":"2114-2120","publisher":"Oxford University Press","title":"Trimmomatic: A flexible trimmer for Illumina sequence data","type":"article-journal","volume":"30"},"uris":["http://www.mendeley.com/documents/?uuid=3c7532e3-4436-3fe1-b562-eb16c2522135"]}],"mendeley":{"formattedCitation":"(Bolger et al. 2014)","plainTextFormattedCitation":"(Bolger et al. 2014)","previouslyFormattedCitation":"(Bolger et al. 2014)"},"properties":{"noteIndex":0},"schema":"https://github.com/citation-style-language/schema/raw/master/csl-citation.json"}</w:instrText>
      </w:r>
      <w:r w:rsidRPr="00533EAC">
        <w:rPr>
          <w:rFonts w:ascii="Arial" w:eastAsia="Calibri" w:hAnsi="Arial" w:cs="Arial"/>
          <w:color w:val="000000" w:themeColor="text1"/>
          <w:lang w:val="en-ZA"/>
        </w:rPr>
        <w:fldChar w:fldCharType="separate"/>
      </w:r>
      <w:r w:rsidR="003A4A3A" w:rsidRPr="00533EAC">
        <w:rPr>
          <w:rFonts w:ascii="Arial" w:eastAsia="Calibri" w:hAnsi="Arial" w:cs="Arial"/>
          <w:noProof/>
          <w:color w:val="000000" w:themeColor="text1"/>
          <w:lang w:val="en-ZA"/>
        </w:rPr>
        <w:t>(Bolger et al. 2014)</w:t>
      </w:r>
      <w:r w:rsidRPr="00533EAC">
        <w:rPr>
          <w:rFonts w:ascii="Arial" w:eastAsia="Calibri" w:hAnsi="Arial" w:cs="Arial"/>
          <w:color w:val="000000" w:themeColor="text1"/>
          <w:lang w:val="en-ZA"/>
        </w:rPr>
        <w:fldChar w:fldCharType="end"/>
      </w:r>
      <w:r w:rsidRPr="00533EAC">
        <w:rPr>
          <w:rFonts w:ascii="Arial" w:eastAsia="Calibri" w:hAnsi="Arial" w:cs="Arial"/>
          <w:color w:val="000000" w:themeColor="text1"/>
          <w:lang w:val="en-ZA"/>
        </w:rPr>
        <w:t xml:space="preserve"> was used to remove adapters, and reads shorter than 150bp were discarded. </w:t>
      </w:r>
      <w:r w:rsidR="00460F3A" w:rsidRPr="00533EAC">
        <w:rPr>
          <w:rFonts w:ascii="Arial" w:eastAsia="Calibri" w:hAnsi="Arial" w:cs="Arial"/>
          <w:color w:val="000000" w:themeColor="text1"/>
          <w:lang w:val="en-ZA"/>
        </w:rPr>
        <w:t xml:space="preserve">The </w:t>
      </w:r>
      <w:r w:rsidRPr="00533EAC">
        <w:rPr>
          <w:rFonts w:ascii="Arial" w:eastAsia="Calibri" w:hAnsi="Arial" w:cs="Arial"/>
          <w:color w:val="000000" w:themeColor="text1"/>
          <w:lang w:val="en-ZA"/>
        </w:rPr>
        <w:t>CLC GENOMIC WORKBENCH 12.0 (CLC Inc., Aarhus, Denmark) with default settings</w:t>
      </w:r>
      <w:r w:rsidR="005D15DC" w:rsidRPr="00533EAC">
        <w:rPr>
          <w:rFonts w:ascii="Arial" w:eastAsia="Calibri" w:hAnsi="Arial" w:cs="Arial"/>
          <w:color w:val="000000" w:themeColor="text1"/>
          <w:lang w:val="en-ZA"/>
        </w:rPr>
        <w:t xml:space="preserve"> was used for quality control and read assembly</w:t>
      </w:r>
      <w:r w:rsidRPr="00533EAC">
        <w:rPr>
          <w:rFonts w:ascii="Arial" w:eastAsia="Calibri" w:hAnsi="Arial" w:cs="Arial"/>
          <w:color w:val="000000" w:themeColor="text1"/>
          <w:lang w:val="en-ZA"/>
        </w:rPr>
        <w:t xml:space="preserve">. All the </w:t>
      </w:r>
      <w:r w:rsidR="005D15DC" w:rsidRPr="00533EAC">
        <w:rPr>
          <w:rFonts w:ascii="Arial" w:eastAsia="Calibri" w:hAnsi="Arial" w:cs="Arial"/>
          <w:color w:val="000000" w:themeColor="text1"/>
          <w:lang w:val="en-ZA"/>
        </w:rPr>
        <w:t>resulting reads</w:t>
      </w:r>
      <w:r w:rsidR="000B59AC" w:rsidRPr="00533EAC">
        <w:rPr>
          <w:rFonts w:ascii="Arial" w:eastAsia="Calibri" w:hAnsi="Arial" w:cs="Arial"/>
          <w:color w:val="000000" w:themeColor="text1"/>
          <w:lang w:val="en-ZA"/>
        </w:rPr>
        <w:t xml:space="preserve"> were mapped against</w:t>
      </w:r>
      <w:r w:rsidR="005D15DC" w:rsidRPr="00533EAC">
        <w:rPr>
          <w:rFonts w:ascii="Arial" w:eastAsia="Calibri" w:hAnsi="Arial" w:cs="Arial"/>
          <w:color w:val="000000" w:themeColor="text1"/>
          <w:lang w:val="en-ZA"/>
        </w:rPr>
        <w:t xml:space="preserve"> the complete mitochondrial genome of</w:t>
      </w:r>
      <w:r w:rsidR="000B59AC" w:rsidRPr="00533EAC">
        <w:rPr>
          <w:rFonts w:ascii="Arial" w:eastAsia="Calibri" w:hAnsi="Arial" w:cs="Arial"/>
          <w:color w:val="000000" w:themeColor="text1"/>
          <w:lang w:val="en-ZA"/>
        </w:rPr>
        <w:t xml:space="preserve"> </w:t>
      </w:r>
      <w:r w:rsidR="000B59AC" w:rsidRPr="00533EAC">
        <w:rPr>
          <w:rFonts w:ascii="Arial" w:eastAsia="Calibri" w:hAnsi="Arial" w:cs="Arial"/>
          <w:i/>
          <w:color w:val="000000" w:themeColor="text1"/>
          <w:lang w:val="en-ZA"/>
        </w:rPr>
        <w:t xml:space="preserve">P. </w:t>
      </w:r>
      <w:proofErr w:type="spellStart"/>
      <w:r w:rsidR="000B59AC" w:rsidRPr="00533EAC">
        <w:rPr>
          <w:rFonts w:ascii="Arial" w:eastAsia="Calibri" w:hAnsi="Arial" w:cs="Arial"/>
          <w:i/>
          <w:color w:val="000000" w:themeColor="text1"/>
          <w:lang w:val="en-ZA"/>
        </w:rPr>
        <w:t>gangelion</w:t>
      </w:r>
      <w:proofErr w:type="spellEnd"/>
      <w:r w:rsidR="000B59AC" w:rsidRPr="00533EAC">
        <w:rPr>
          <w:rFonts w:ascii="Arial" w:eastAsia="Calibri" w:hAnsi="Arial" w:cs="Arial"/>
          <w:color w:val="000000" w:themeColor="text1"/>
          <w:lang w:val="en-ZA"/>
        </w:rPr>
        <w:t xml:space="preserve"> </w:t>
      </w:r>
      <w:r w:rsidR="000B59AC" w:rsidRPr="00533EAC">
        <w:rPr>
          <w:rFonts w:ascii="Arial" w:eastAsia="Calibri" w:hAnsi="Arial" w:cs="Arial"/>
          <w:iCs/>
          <w:color w:val="000000" w:themeColor="text1"/>
          <w:lang w:val="en-ZA"/>
        </w:rPr>
        <w:t>(</w:t>
      </w:r>
      <w:r w:rsidR="000B59AC" w:rsidRPr="00533EAC">
        <w:rPr>
          <w:rFonts w:ascii="Arial" w:eastAsia="Calibri" w:hAnsi="Arial" w:cs="Arial"/>
          <w:color w:val="000000" w:themeColor="text1"/>
          <w:lang w:val="en-ZA"/>
        </w:rPr>
        <w:t xml:space="preserve">GenBank accession number NC_021465; </w:t>
      </w:r>
      <w:r w:rsidR="000B59AC" w:rsidRPr="00533EAC">
        <w:rPr>
          <w:rFonts w:ascii="Arial" w:eastAsia="Calibri" w:hAnsi="Arial" w:cs="Arial"/>
          <w:color w:val="000000" w:themeColor="text1"/>
          <w:lang w:val="en-ZA"/>
        </w:rPr>
        <w:fldChar w:fldCharType="begin" w:fldLock="1"/>
      </w:r>
      <w:r w:rsidR="000B59AC" w:rsidRPr="00533EAC">
        <w:rPr>
          <w:rFonts w:ascii="Arial" w:eastAsia="Calibri" w:hAnsi="Arial" w:cs="Arial"/>
          <w:color w:val="000000" w:themeColor="text1"/>
          <w:lang w:val="en-ZA"/>
        </w:rPr>
        <w:instrText>ADDIN CSL_CITATION {"citationItems":[{"id":"ITEM-1","itemData":{"DOI":"10.1093/gbe/evt081","ISBN":"1759-6653 (Electronic)\\r1759-6653 (Linking)","ISSN":"17596653","PMID":"23709623","abstract":"Ascidians or sea squirts form a diverse group within chordates, which includes a few thousand members of marine sessile filter-feeding animals. Their mitochondrial genomes are characterized by particularly high evolutionary rates and rampant gene rearrangements. This extreme variability complicates standard polymerase chain reaction (PCR) based techniques for molecular characterization studies, and consequently only a few complete Ascidian mitochondrial genome sequences are available. Using the standard PCR and Sanger sequencing approach, we produced the mitochondrial genome of Ascidiella aspersa only after a great effort. In contrast, we produced five additional mitogenomes (Botrylloides aff. leachii, Halocynthia spinosa, Polycarpa mytiligera, Pyura gangelion, and Rhodosoma turcicum) with a novel strategy, consisting in sequencing the pooled total DNA samples of these five species using one Illumina HiSeq 2000 flow cell lane. Each mitogenome was efficiently assembled in a single contig using de novo transcriptome assembly, as de novo genome assembly generally performed poorly for this task. Each of the new six mitogenomes presents a different and novel gene order, showing that no syntenic block has been conserved at the ordinal level (in Stolidobranchia and in Phlebobranchia). Phylogenetic analyses support the paraphyly of both Ascidiacea and Phlebobranchia, with Thaliacea nested inside Phlebobranchia, although the deepest nodes of the Phlebobranchia-Thaliacea clade are not well resolved. The strategy described here thus provides a cost-effective approach to obtain complete mitogenomes characterized by a highly plastic gene order and a fast nucleotide/amino acid substitution rate.","author":[{"dropping-particle":"","family":"Rubinstein","given":"Nimrod D.","non-dropping-particle":"","parse-names":false,"suffix":""},{"dropping-particle":"","family":"Feldstein","given":"Tamar","non-dropping-particle":"","parse-names":false,"suffix":""},{"dropping-particle":"","family":"Shenkar","given":"Noa","non-dropping-particle":"","parse-names":false,"suffix":""},{"dropping-particle":"","family":"Botero-Castro","given":"Fidel","non-dropping-particle":"","parse-names":false,"suffix":""},{"dropping-particle":"","family":"Griggio","given":"Francesca","non-dropping-particle":"","parse-names":false,"suffix":""},{"dropping-particle":"","family":"Mastrototaro","given":"Francesco","non-dropping-particle":"","parse-names":false,"suffix":""},{"dropping-particle":"","family":"Delsuc","given":"Frédéric","non-dropping-particle":"","parse-names":false,"suffix":""},{"dropping-particle":"","family":"Douzery","given":"Emmanuel J.P.","non-dropping-particle":"","parse-names":false,"suffix":""},{"dropping-particle":"","family":"Gissi","given":"Carmela","non-dropping-particle":"","parse-names":false,"suffix":""},{"dropping-particle":"","family":"Huchon","given":"Dorothée","non-dropping-particle":"","parse-names":false,"suffix":""}],"container-title":"Genome Biology and Evolution","id":"ITEM-1","issue":"6","issued":{"date-parts":[["2013"]]},"page":"1185-1199","title":"Deep sequencing of mixed total DNA without barcodes allows efficient assembly of highly plastic Ascidian mitochondrial genomes","type":"article-journal","volume":"5"},"uris":["http://www.mendeley.com/documents/?uuid=09ae5828-0fd4-4974-960e-f602fdfbb131"]}],"mendeley":{"formattedCitation":"(Rubinstein et al. 2013)","manualFormatting":"Rubinstein et al. 2013)","plainTextFormattedCitation":"(Rubinstein et al. 2013)","previouslyFormattedCitation":"(Rubinstein et al. 2013)"},"properties":{"noteIndex":0},"schema":"https://github.com/citation-style-language/schema/raw/master/csl-citation.json"}</w:instrText>
      </w:r>
      <w:r w:rsidR="000B59AC" w:rsidRPr="00533EAC">
        <w:rPr>
          <w:rFonts w:ascii="Arial" w:eastAsia="Calibri" w:hAnsi="Arial" w:cs="Arial"/>
          <w:color w:val="000000" w:themeColor="text1"/>
          <w:lang w:val="en-ZA"/>
        </w:rPr>
        <w:fldChar w:fldCharType="separate"/>
      </w:r>
      <w:r w:rsidR="000B59AC" w:rsidRPr="00533EAC">
        <w:rPr>
          <w:rFonts w:ascii="Arial" w:eastAsia="Calibri" w:hAnsi="Arial" w:cs="Arial"/>
          <w:noProof/>
          <w:color w:val="000000" w:themeColor="text1"/>
          <w:lang w:val="en-ZA"/>
        </w:rPr>
        <w:t>Rubinstein et al. 2013)</w:t>
      </w:r>
      <w:r w:rsidR="000B59AC" w:rsidRPr="00533EAC">
        <w:rPr>
          <w:rFonts w:ascii="Arial" w:eastAsia="Calibri" w:hAnsi="Arial" w:cs="Arial"/>
          <w:color w:val="000000" w:themeColor="text1"/>
          <w:lang w:val="en-ZA"/>
        </w:rPr>
        <w:fldChar w:fldCharType="end"/>
      </w:r>
      <w:r w:rsidR="000B59AC" w:rsidRPr="00533EAC">
        <w:rPr>
          <w:rFonts w:ascii="Arial" w:eastAsia="Calibri" w:hAnsi="Arial" w:cs="Arial"/>
          <w:color w:val="000000" w:themeColor="text1"/>
          <w:lang w:val="en-ZA"/>
        </w:rPr>
        <w:t xml:space="preserve">. </w:t>
      </w:r>
      <w:r w:rsidRPr="00533EAC">
        <w:rPr>
          <w:rFonts w:ascii="Arial" w:eastAsia="Calibri" w:hAnsi="Arial" w:cs="Arial"/>
          <w:color w:val="000000" w:themeColor="text1"/>
          <w:lang w:val="en-ZA"/>
        </w:rPr>
        <w:t xml:space="preserve">In order to identify the most variable regions, partial mitogenomes were aligned using </w:t>
      </w:r>
      <w:r w:rsidR="005D15DC" w:rsidRPr="00533EAC">
        <w:rPr>
          <w:rFonts w:ascii="Arial" w:eastAsia="Calibri" w:hAnsi="Arial" w:cs="Arial"/>
          <w:color w:val="000000" w:themeColor="text1"/>
          <w:lang w:val="en-ZA"/>
        </w:rPr>
        <w:t>MUSCLE</w:t>
      </w:r>
      <w:r w:rsidR="00533EAC">
        <w:rPr>
          <w:rFonts w:ascii="Arial" w:eastAsia="Calibri" w:hAnsi="Arial" w:cs="Arial"/>
          <w:color w:val="000000" w:themeColor="text1"/>
          <w:lang w:val="en-ZA"/>
        </w:rPr>
        <w:t xml:space="preserve"> </w:t>
      </w:r>
      <w:r w:rsidRPr="00533EAC">
        <w:rPr>
          <w:rFonts w:ascii="Arial" w:eastAsia="Calibri" w:hAnsi="Arial" w:cs="Arial"/>
          <w:color w:val="000000" w:themeColor="text1"/>
          <w:lang w:val="en-ZA"/>
        </w:rPr>
        <w:fldChar w:fldCharType="begin" w:fldLock="1"/>
      </w:r>
      <w:r w:rsidR="0097798B" w:rsidRPr="00533EAC">
        <w:rPr>
          <w:rFonts w:ascii="Arial" w:eastAsia="Calibri" w:hAnsi="Arial" w:cs="Arial"/>
          <w:color w:val="000000" w:themeColor="text1"/>
          <w:lang w:val="en-ZA"/>
        </w:rPr>
        <w:instrText>ADDIN CSL_CITATION {"citationItems":[{"id":"ITEM-1","itemData":{"DOI":"10.1093/nar/gkh340","ISSN":"1362-4962","PMID":"15034147","abstract":"We describe MUSCLE, a new computer program for creating multiple alignments of protein sequences. Elements of the algorithm include fast distance estimation using kmer counting, progressive alignment using a new profile function we call the log-expectation score, and refinement using tree-dependent restricted partitioning. The speed and accuracy of MUSCLE are compared with T-Coffee, MAFFT and CLUSTALW on four test sets of reference alignments: BAliBASE, SABmark, SMART and a new benchmark, PREFAB. MUSCLE achieves the highest, or joint highest, rank in accuracy on each of these sets. Without refinement, MUSCLE achieves average accuracy statistically indistinguishable from T-Coffee and MAFFT, and is the fastest of the tested methods for large numbers of sequences, aligning 5000 sequences of average length 350 in 7 min on a current desktop computer. The MUSCLE program, source code and PREFAB test data are freely available at http://www.drive5. com/muscle.","author":[{"dropping-particle":"","family":"Edgar","given":"Robert C","non-dropping-particle":"","parse-names":false,"suffix":""}],"container-title":"Nucleic acids research","id":"ITEM-1","issue":"5","issued":{"date-parts":[["2004"]]},"page":"1792-7","title":"MUSCLE: multiple sequence alignment with high accuracy and high throughput.","type":"article-journal","volume":"32"},"uris":["http://www.mendeley.com/documents/?uuid=6ec9e50d-ea16-328a-b3f0-526ee51069dc","http://www.mendeley.com/documents/?uuid=faa4b419-643d-460a-a851-4cf1f82cedf5"]}],"mendeley":{"formattedCitation":"(Edgar 2004)","plainTextFormattedCitation":"(Edgar 2004)","previouslyFormattedCitation":"(Edgar 2004)"},"properties":{"noteIndex":0},"schema":"https://github.com/citation-style-language/schema/raw/master/csl-citation.json"}</w:instrText>
      </w:r>
      <w:r w:rsidRPr="00533EAC">
        <w:rPr>
          <w:rFonts w:ascii="Arial" w:eastAsia="Calibri" w:hAnsi="Arial" w:cs="Arial"/>
          <w:color w:val="000000" w:themeColor="text1"/>
          <w:lang w:val="en-ZA"/>
        </w:rPr>
        <w:fldChar w:fldCharType="separate"/>
      </w:r>
      <w:r w:rsidR="003A4A3A" w:rsidRPr="00533EAC">
        <w:rPr>
          <w:rFonts w:ascii="Arial" w:eastAsia="Calibri" w:hAnsi="Arial" w:cs="Arial"/>
          <w:noProof/>
          <w:color w:val="000000" w:themeColor="text1"/>
          <w:lang w:val="en-ZA"/>
        </w:rPr>
        <w:t>(Edgar 2004)</w:t>
      </w:r>
      <w:r w:rsidRPr="00533EAC">
        <w:rPr>
          <w:rFonts w:ascii="Arial" w:eastAsia="Calibri" w:hAnsi="Arial" w:cs="Arial"/>
          <w:color w:val="000000" w:themeColor="text1"/>
          <w:lang w:val="en-ZA"/>
        </w:rPr>
        <w:fldChar w:fldCharType="end"/>
      </w:r>
      <w:r w:rsidRPr="00533EAC">
        <w:rPr>
          <w:rFonts w:ascii="Arial" w:eastAsia="Calibri" w:hAnsi="Arial" w:cs="Arial"/>
          <w:color w:val="000000" w:themeColor="text1"/>
          <w:lang w:val="en-ZA"/>
        </w:rPr>
        <w:t xml:space="preserve"> in </w:t>
      </w:r>
      <w:r w:rsidR="005D15DC" w:rsidRPr="00533EAC">
        <w:rPr>
          <w:rFonts w:ascii="Arial" w:eastAsia="Calibri" w:hAnsi="Arial" w:cs="Arial"/>
          <w:color w:val="000000" w:themeColor="text1"/>
          <w:lang w:val="en-ZA"/>
        </w:rPr>
        <w:t xml:space="preserve">MEGA </w:t>
      </w:r>
      <w:r w:rsidRPr="00533EAC">
        <w:rPr>
          <w:rFonts w:ascii="Arial" w:eastAsia="Calibri" w:hAnsi="Arial" w:cs="Arial"/>
          <w:color w:val="000000" w:themeColor="text1"/>
          <w:lang w:val="en-ZA"/>
        </w:rPr>
        <w:t>7</w:t>
      </w:r>
      <w:r w:rsidR="00C037ED" w:rsidRPr="00533EAC">
        <w:rPr>
          <w:rFonts w:ascii="Arial" w:eastAsia="Calibri" w:hAnsi="Arial" w:cs="Arial"/>
          <w:color w:val="000000" w:themeColor="text1"/>
          <w:lang w:val="en-ZA"/>
        </w:rPr>
        <w:t xml:space="preserve"> </w:t>
      </w:r>
      <w:r w:rsidRPr="00533EAC">
        <w:rPr>
          <w:rFonts w:ascii="Arial" w:eastAsia="Calibri" w:hAnsi="Arial" w:cs="Arial"/>
          <w:color w:val="000000" w:themeColor="text1"/>
          <w:lang w:val="en-ZA"/>
        </w:rPr>
        <w:fldChar w:fldCharType="begin" w:fldLock="1"/>
      </w:r>
      <w:r w:rsidR="0097798B" w:rsidRPr="00533EAC">
        <w:rPr>
          <w:rFonts w:ascii="Arial" w:eastAsia="Calibri" w:hAnsi="Arial" w:cs="Arial"/>
          <w:color w:val="000000" w:themeColor="text1"/>
          <w:lang w:val="en-ZA"/>
        </w:rPr>
        <w:instrText>ADDIN CSL_CITATION {"citationItems":[{"id":"ITEM-1","itemData":{"DOI":"10.1093/molbev/msw054","ISSN":"1537-1719","PMID":"27004904","abstract":"We present the latest version of the Molecular Evolutionary Genetics Analysis (Mega) software, which contains many sophisticated methods and tools for phylogenomics and phylomedicine. In this major upgrade, Mega has been optimized for use on 64-bit computing systems for analyzing larger datasets. Researchers can now explore and analyze tens of thousands of sequences in Mega The new version also provides an advanced wizard for building timetrees and includes a new functionality to automatically predict gene duplication events in gene family trees. The 64-bit Mega is made available in two interfaces: graphical and command line. The graphical user interface (GUI) is a native Microsoft Windows application that can also be used on Mac OS X. The command line Mega is available as native applications for Windows, Linux, and Mac OS X. They are intended for use in high-throughput and scripted analysis. Both versions are available from www.megasoftware.net free of charge.","author":[{"dropping-particle":"","family":"Kumar","given":"Sudhir","non-dropping-particle":"","parse-names":false,"suffix":""},{"dropping-particle":"","family":"Stecher","given":"Glen","non-dropping-particle":"","parse-names":false,"suffix":""},{"dropping-particle":"","family":"Tamura","given":"Koichiro","non-dropping-particle":"","parse-names":false,"suffix":""}],"container-title":"Molecular biology and evolution","id":"ITEM-1","issue":"7","issued":{"date-parts":[["2016"]]},"page":"1870-4","title":"MEGA7: Molecular Evolutionary Genetics Analysis Version 7.0 for Bigger Datasets.","type":"article-journal","volume":"33"},"uris":["http://www.mendeley.com/documents/?uuid=3a53fb2a-d5f0-3fd5-9965-fdf471d24a66"]}],"mendeley":{"formattedCitation":"(Kumar et al. 2016)","plainTextFormattedCitation":"(Kumar et al. 2016)","previouslyFormattedCitation":"(Kumar et al. 2016)"},"properties":{"noteIndex":0},"schema":"https://github.com/citation-style-language/schema/raw/master/csl-citation.json"}</w:instrText>
      </w:r>
      <w:r w:rsidRPr="00533EAC">
        <w:rPr>
          <w:rFonts w:ascii="Arial" w:eastAsia="Calibri" w:hAnsi="Arial" w:cs="Arial"/>
          <w:color w:val="000000" w:themeColor="text1"/>
          <w:lang w:val="en-ZA"/>
        </w:rPr>
        <w:fldChar w:fldCharType="separate"/>
      </w:r>
      <w:r w:rsidR="003A4A3A" w:rsidRPr="00533EAC">
        <w:rPr>
          <w:rFonts w:ascii="Arial" w:eastAsia="Calibri" w:hAnsi="Arial" w:cs="Arial"/>
          <w:noProof/>
          <w:color w:val="000000" w:themeColor="text1"/>
          <w:lang w:val="en-ZA"/>
        </w:rPr>
        <w:t>(Kumar et al. 2016)</w:t>
      </w:r>
      <w:r w:rsidRPr="00533EAC">
        <w:rPr>
          <w:rFonts w:ascii="Arial" w:eastAsia="Calibri" w:hAnsi="Arial" w:cs="Arial"/>
          <w:color w:val="000000" w:themeColor="text1"/>
          <w:lang w:val="en-ZA"/>
        </w:rPr>
        <w:fldChar w:fldCharType="end"/>
      </w:r>
      <w:r w:rsidRPr="00533EAC">
        <w:rPr>
          <w:rFonts w:ascii="Arial" w:eastAsia="Calibri" w:hAnsi="Arial" w:cs="Arial"/>
          <w:color w:val="000000" w:themeColor="text1"/>
          <w:lang w:val="en-ZA"/>
        </w:rPr>
        <w:t xml:space="preserve">. A Bayesian </w:t>
      </w:r>
      <w:r w:rsidR="005D15DC" w:rsidRPr="00533EAC">
        <w:rPr>
          <w:rFonts w:ascii="Arial" w:eastAsia="Calibri" w:hAnsi="Arial" w:cs="Arial"/>
          <w:color w:val="000000" w:themeColor="text1"/>
          <w:lang w:val="en-ZA"/>
        </w:rPr>
        <w:t xml:space="preserve">phylogenetic </w:t>
      </w:r>
      <w:r w:rsidRPr="00533EAC">
        <w:rPr>
          <w:rFonts w:ascii="Arial" w:eastAsia="Calibri" w:hAnsi="Arial" w:cs="Arial"/>
          <w:color w:val="000000" w:themeColor="text1"/>
          <w:lang w:val="en-ZA"/>
        </w:rPr>
        <w:t xml:space="preserve">tree was constructed in BEAST 2.5.0 </w:t>
      </w:r>
      <w:r w:rsidRPr="00533EAC">
        <w:rPr>
          <w:rFonts w:ascii="Arial" w:eastAsia="Calibri" w:hAnsi="Arial" w:cs="Arial"/>
          <w:color w:val="000000" w:themeColor="text1"/>
          <w:lang w:val="en-ZA"/>
        </w:rPr>
        <w:fldChar w:fldCharType="begin" w:fldLock="1"/>
      </w:r>
      <w:r w:rsidR="0097798B" w:rsidRPr="00533EAC">
        <w:rPr>
          <w:rFonts w:ascii="Arial" w:eastAsia="Calibri" w:hAnsi="Arial" w:cs="Arial"/>
          <w:color w:val="000000" w:themeColor="text1"/>
          <w:lang w:val="en-ZA"/>
        </w:rPr>
        <w:instrText>ADDIN CSL_CITATION {"citationItems":[{"id":"ITEM-1","itemData":{"DOI":"10.1371/journal.pcbi.1003537","ISBN":"1553-734X","ISSN":"1553-7358","PMID":"24722319","abstract":"We present a new open source, extensible and flexible software platform for Bayesian evolutionary analysis called BEAST 2. This software platform is a re-design of the popular BEAST 1 platform to correct structural deficiencies that became evident as the BEAST 1 software evolved. Key among those deficiencies was the lack of post-deployment extensibility. BEAST 2 now has a fully developed package management system that allows third party developers to write additional functionality that can be directly installed to the BEAST 2 analysis platform via a package manager without requiring a new software release of the platform. This package architecture is showcased with a number of recently published new models encompassing birth-death-sampling tree priors, phylodynamics and model averaging for substitution models and site partitioning. A second major improvement is the ability to read/write the entire state of the MCMC chain to/from disk allowing it to be easily shared between multiple instances of the BEAST software. This facilitates checkpointing and better support for multi-processor and high-end computing extensions. Finally, the functionality in new packages can be easily added to the user interface (BEAUti 2) by a simple XML template-based mechanism because BEAST 2 has been re-designed to provide greater integration between the analysis engine and the user interface so that, for example BEAST and BEAUti use exactly the same XML file format.","author":[{"dropping-particle":"","family":"Bouckaert","given":"Remco","non-dropping-particle":"","parse-names":false,"suffix":""},{"dropping-particle":"","family":"Heled","given":"Joseph","non-dropping-particle":"","parse-names":false,"suffix":""},{"dropping-particle":"","family":"Kühnert","given":"Denise","non-dropping-particle":"","parse-names":false,"suffix":""},{"dropping-particle":"","family":"Vaughan","given":"Tim","non-dropping-particle":"","parse-names":false,"suffix":""},{"dropping-particle":"","family":"Wu","given":"Chieh-Hsi","non-dropping-particle":"","parse-names":false,"suffix":""},{"dropping-particle":"","family":"Xie","given":"Dong","non-dropping-particle":"","parse-names":false,"suffix":""},{"dropping-particle":"","family":"Suchard","given":"Marc A.","non-dropping-particle":"","parse-names":false,"suffix":""},{"dropping-particle":"","family":"Rambaut","given":"Andrew","non-dropping-particle":"","parse-names":false,"suffix":""},{"dropping-particle":"","family":"Drummond","given":"Alexei J.","non-dropping-particle":"","parse-names":false,"suffix":""}],"container-title":"PLoS Computational Biology","editor":[{"dropping-particle":"","family":"Prlic","given":"Andreas","non-dropping-particle":"","parse-names":false,"suffix":""}],"id":"ITEM-1","issue":"4","issued":{"date-parts":[["2014","4","10"]]},"page":"e1003537","title":"BEAST 2: A Software Platform for Bayesian Evolutionary Analysis","type":"article-journal","volume":"10"},"uris":["http://www.mendeley.com/documents/?uuid=5ab9ec58-9a49-38df-bf47-689b2fac2a8d"]}],"mendeley":{"formattedCitation":"(Bouckaert et al. 2014)","plainTextFormattedCitation":"(Bouckaert et al. 2014)","previouslyFormattedCitation":"(Bouckaert et al. 2014)"},"properties":{"noteIndex":0},"schema":"https://github.com/citation-style-language/schema/raw/master/csl-citation.json"}</w:instrText>
      </w:r>
      <w:r w:rsidRPr="00533EAC">
        <w:rPr>
          <w:rFonts w:ascii="Arial" w:eastAsia="Calibri" w:hAnsi="Arial" w:cs="Arial"/>
          <w:color w:val="000000" w:themeColor="text1"/>
          <w:lang w:val="en-ZA"/>
        </w:rPr>
        <w:fldChar w:fldCharType="separate"/>
      </w:r>
      <w:r w:rsidR="003A4A3A" w:rsidRPr="00533EAC">
        <w:rPr>
          <w:rFonts w:ascii="Arial" w:eastAsia="Calibri" w:hAnsi="Arial" w:cs="Arial"/>
          <w:noProof/>
          <w:color w:val="000000" w:themeColor="text1"/>
          <w:lang w:val="en-ZA"/>
        </w:rPr>
        <w:t>(Bouckaert et al. 2014)</w:t>
      </w:r>
      <w:r w:rsidRPr="00533EAC">
        <w:rPr>
          <w:rFonts w:ascii="Arial" w:eastAsia="Calibri" w:hAnsi="Arial" w:cs="Arial"/>
          <w:color w:val="000000" w:themeColor="text1"/>
          <w:lang w:val="en-ZA"/>
        </w:rPr>
        <w:fldChar w:fldCharType="end"/>
      </w:r>
      <w:r w:rsidRPr="00533EAC">
        <w:rPr>
          <w:rFonts w:ascii="Arial" w:eastAsia="Calibri" w:hAnsi="Arial" w:cs="Arial"/>
          <w:color w:val="000000" w:themeColor="text1"/>
          <w:lang w:val="en-ZA"/>
        </w:rPr>
        <w:t xml:space="preserve"> </w:t>
      </w:r>
      <w:r w:rsidR="00905AF2" w:rsidRPr="00533EAC">
        <w:rPr>
          <w:rFonts w:ascii="Arial" w:eastAsia="Calibri" w:hAnsi="Arial" w:cs="Arial"/>
          <w:color w:val="000000" w:themeColor="text1"/>
          <w:lang w:val="en-ZA"/>
        </w:rPr>
        <w:t xml:space="preserve">using the HKY substitution model </w:t>
      </w:r>
      <w:r w:rsidR="00905AF2" w:rsidRPr="00533EAC">
        <w:rPr>
          <w:rFonts w:ascii="Arial" w:eastAsia="Calibri" w:hAnsi="Arial" w:cs="Arial"/>
          <w:color w:val="000000" w:themeColor="text1"/>
          <w:lang w:val="en-ZA"/>
        </w:rPr>
        <w:fldChar w:fldCharType="begin" w:fldLock="1"/>
      </w:r>
      <w:r w:rsidR="00905AF2" w:rsidRPr="00533EAC">
        <w:rPr>
          <w:rFonts w:ascii="Arial" w:eastAsia="Calibri" w:hAnsi="Arial" w:cs="Arial"/>
          <w:color w:val="000000" w:themeColor="text1"/>
          <w:lang w:val="en-ZA"/>
        </w:rPr>
        <w:instrText>ADDIN CSL_CITATION {"citationItems":[{"id":"ITEM-1","itemData":{"abstract":"A new statistical method for estimating divergence dates of species from DNA sequence data by a molecular clock approach is developed. This method takes into account effectively the information contained in a set of DNA sequence data. The molecular clock of mitochondrial DNA (mtDNA) was calibrated by setting the date of divergence between primates and ungulates at the Cretaceous-Tertiary boundary (65 million years ago), when the extinction of dinosaurs occurred. A generalized least-squares method was applied in fitting a model to mtDNA sequence data, and the clock gave dates of 92.3 ___ 11.7, 13.3 + 1.5, 10.9 +_ 1.2,3.7 +__ 0.6, and 2.7 _ 0.6 million years ago (where the second of each pair of numbers is the standard deviation) for the separation of mouse, gibbon, orangutan, gorilla, and chimpanzee, respectively, from the line leading to humans. Although there is some uncertainty in the clock, this dating may pose a problem for the widely believed hypothesis that the bipedal creature Australopithecus afarensis, which lived some 3.7 million years ago at Laetoli in Tanzania and at Had-ar in Ethiopia, was ancestral to man and evolved after the human-ape splitting. Another likelier possibility is that mtDNA was transferred through hybridization between a proto-human and a proto-chimpanzee after the former had developed bipedal-ism.","author":[{"dropping-particle":"","family":"Hasegawa","given":"Masami","non-dropping-particle":"","parse-names":false,"suffix":""},{"dropping-particle":"","family":"Kishino","given":"Hirohisa","non-dropping-particle":"","parse-names":false,"suffix":""},{"dropping-particle":"","family":"Yano","given":"Takaaki","non-dropping-particle":"","parse-names":false,"suffix":""}],"container-title":"Japjgen","id":"ITEM-1","issue":"6","issued":{"date-parts":[["1984"]]},"page":"616","title":"Dating of the Human-Ape Splitting by a Molecular Clock","type":"article-journal","volume":"59"},"uris":["http://www.mendeley.com/documents/?uuid=418e94aa-26cc-39c1-870e-72b1c7d10eb5"]}],"mendeley":{"formattedCitation":"(Hasegawa et al. 1984)","plainTextFormattedCitation":"(Hasegawa et al. 1984)","previouslyFormattedCitation":"(Hasegawa et al. 1984)"},"properties":{"noteIndex":0},"schema":"https://github.com/citation-style-language/schema/raw/master/csl-citation.json"}</w:instrText>
      </w:r>
      <w:r w:rsidR="00905AF2" w:rsidRPr="00533EAC">
        <w:rPr>
          <w:rFonts w:ascii="Arial" w:eastAsia="Calibri" w:hAnsi="Arial" w:cs="Arial"/>
          <w:color w:val="000000" w:themeColor="text1"/>
          <w:lang w:val="en-ZA"/>
        </w:rPr>
        <w:fldChar w:fldCharType="separate"/>
      </w:r>
      <w:r w:rsidR="00905AF2" w:rsidRPr="00533EAC">
        <w:rPr>
          <w:rFonts w:ascii="Arial" w:eastAsia="Calibri" w:hAnsi="Arial" w:cs="Arial"/>
          <w:noProof/>
          <w:color w:val="000000" w:themeColor="text1"/>
          <w:lang w:val="en-ZA"/>
        </w:rPr>
        <w:t>(Hasegawa et al. 1984)</w:t>
      </w:r>
      <w:r w:rsidR="00905AF2" w:rsidRPr="00533EAC">
        <w:rPr>
          <w:rFonts w:ascii="Arial" w:eastAsia="Calibri" w:hAnsi="Arial" w:cs="Arial"/>
          <w:color w:val="000000" w:themeColor="text1"/>
          <w:lang w:val="en-ZA"/>
        </w:rPr>
        <w:fldChar w:fldCharType="end"/>
      </w:r>
      <w:r w:rsidR="00905AF2" w:rsidRPr="00533EAC">
        <w:rPr>
          <w:rFonts w:ascii="Arial" w:eastAsia="Calibri" w:hAnsi="Arial" w:cs="Arial"/>
          <w:color w:val="000000" w:themeColor="text1"/>
          <w:lang w:val="en-ZA"/>
        </w:rPr>
        <w:t xml:space="preserve"> and 10 million Markov chain Monte Carlo (MCMC) iterations with 20% burn-in. Following an earlier study of ascidian mitogenomes </w:t>
      </w:r>
      <w:r w:rsidR="00905AF2" w:rsidRPr="00533EAC">
        <w:rPr>
          <w:rFonts w:ascii="Arial" w:eastAsia="Calibri" w:hAnsi="Arial" w:cs="Arial"/>
          <w:color w:val="000000" w:themeColor="text1"/>
          <w:lang w:val="en-ZA"/>
        </w:rPr>
        <w:fldChar w:fldCharType="begin" w:fldLock="1"/>
      </w:r>
      <w:r w:rsidR="00905AF2" w:rsidRPr="00533EAC">
        <w:rPr>
          <w:rFonts w:ascii="Arial" w:eastAsia="Calibri" w:hAnsi="Arial" w:cs="Arial"/>
          <w:color w:val="000000" w:themeColor="text1"/>
          <w:lang w:val="en-ZA"/>
        </w:rPr>
        <w:instrText>ADDIN CSL_CITATION {"citationItems":[{"id":"ITEM-1","itemData":{"DOI":"10.1093/gbe/evu041","ISBN":"1759-6653 (Electronic)\\r1759-6653 (Linking)","ISSN":"1759-6653","PMID":"24572017","abstract":"Ascidians are a fascinating group of filter-feeding marine chordates characterized by rapid evolution of both sequences and structure of their nuclear and mitochondrial genomes. Moreover, they include several model organisms used to investigate complex biological processes in chordates. To study the evolutionary dynamics of ascidians at short phylogenetic distances, we sequenced 13 new mitogenomes and analyzed them, together with 15 other available mitogenomes, using a novel approach involving detailed whole mitogenome comparisons of conspecific and congeneric pairs. The evolutionary rate was quite homogeneous at both intraspecific and congeneric level, and the lowest congeneric rates were found in cryptic (morphologically undistinguishable) and inmorphologically very similar species pairs. Moreover, congeneric nonsynonymous rates (dN) were up to two orders of magnitude higher than in intraspecies pairs. Overall, a clear-cut gap sets apart conspecific from congeneric pairs. These evolutionary peculiarities allowed easily identifying an extraordinary intraspecific variability in the model ascidian Botryllus schlosseri, where most pairs show a dN value between that observed at intraspecies and congeneric level, yet consistently lower than that of the Ciona intestinalis cryptic species pair. These data suggest ongoing speciation events producing genetically distinct B. schlosseri entities. Remarkably, these ongoing speciation events were undetectable by the cox1 barcode fragment, demonstrating that, at low phylogenetic distances, the whole mitogenomehas a higher resolving power than cox1. Our study shows that whole-mito genome comparative analyses, performedon a suitable sample of congeneric and intraspecies pairs, may allow detecting not only cryptic species but also ongoing speciation events. © The Author(s) 2014.","author":[{"dropping-particle":"","family":"Griggio","given":"Francesca","non-dropping-particle":"","parse-names":false,"suffix":""},{"dropping-particle":"","family":"Voskoboynik","given":"Ayelet","non-dropping-particle":"","parse-names":false,"suffix":""},{"dropping-particle":"","family":"Iannelli","given":"Fabio","non-dropping-particle":"","parse-names":false,"suffix":""},{"dropping-particle":"","family":"Justy","given":"Fabienne","non-dropping-particle":"","parse-names":false,"suffix":""},{"dropping-particle":"","family":"Tilak","given":"Marie-Ka","non-dropping-particle":"","parse-names":false,"suffix":""},{"dropping-particle":"","family":"Xavier","given":"Turon","non-dropping-particle":"","parse-names":false,"suffix":""},{"dropping-particle":"","family":"Pesole","given":"Graziano","non-dropping-particle":"","parse-names":false,"suffix":""},{"dropping-particle":"","family":"Douzery","given":"Emmanuel J.P.","non-dropping-particle":"","parse-names":false,"suffix":""},{"dropping-particle":"","family":"Mastrototaro","given":"Francesco","non-dropping-particle":"","parse-names":false,"suffix":""},{"dropping-particle":"","family":"Gissi","given":"Carmela","non-dropping-particle":"","parse-names":false,"suffix":""}],"container-title":"Genome Biology and Evolution","id":"ITEM-1","issue":"3","issued":{"date-parts":[["2014","3"]]},"page":"591-605","title":"Ascidian mitogenomics: comparison of evolutionary rates in closely related taxa provides evidence of ongoing speciation events","type":"article-journal","volume":"6"},"uris":["http://www.mendeley.com/documents/?uuid=a5e4df40-20fb-3fed-a2ad-35e9ff5cf10e"]}],"mendeley":{"formattedCitation":"(Griggio et al. 2014)","plainTextFormattedCitation":"(Griggio et al. 2014)","previouslyFormattedCitation":"(Griggio et al. 2014)"},"properties":{"noteIndex":0},"schema":"https://github.com/citation-style-language/schema/raw/master/csl-citation.json"}</w:instrText>
      </w:r>
      <w:r w:rsidR="00905AF2" w:rsidRPr="00533EAC">
        <w:rPr>
          <w:rFonts w:ascii="Arial" w:eastAsia="Calibri" w:hAnsi="Arial" w:cs="Arial"/>
          <w:color w:val="000000" w:themeColor="text1"/>
          <w:lang w:val="en-ZA"/>
        </w:rPr>
        <w:fldChar w:fldCharType="separate"/>
      </w:r>
      <w:r w:rsidR="00905AF2" w:rsidRPr="00533EAC">
        <w:rPr>
          <w:rFonts w:ascii="Arial" w:eastAsia="Calibri" w:hAnsi="Arial" w:cs="Arial"/>
          <w:noProof/>
          <w:color w:val="000000" w:themeColor="text1"/>
          <w:lang w:val="en-ZA"/>
        </w:rPr>
        <w:t>(Griggio et al. 2014)</w:t>
      </w:r>
      <w:r w:rsidR="00905AF2" w:rsidRPr="00533EAC">
        <w:rPr>
          <w:rFonts w:ascii="Arial" w:eastAsia="Calibri" w:hAnsi="Arial" w:cs="Arial"/>
          <w:color w:val="000000" w:themeColor="text1"/>
          <w:lang w:val="en-ZA"/>
        </w:rPr>
        <w:fldChar w:fldCharType="end"/>
      </w:r>
      <w:r w:rsidR="00460F3A" w:rsidRPr="00533EAC">
        <w:rPr>
          <w:rFonts w:ascii="Arial" w:eastAsia="Calibri" w:hAnsi="Arial" w:cs="Arial"/>
          <w:color w:val="000000" w:themeColor="text1"/>
          <w:lang w:val="en-ZA"/>
        </w:rPr>
        <w:t>,</w:t>
      </w:r>
      <w:r w:rsidR="00905AF2" w:rsidRPr="00533EAC">
        <w:rPr>
          <w:rFonts w:ascii="Arial" w:eastAsia="Calibri" w:hAnsi="Arial" w:cs="Arial"/>
          <w:color w:val="000000" w:themeColor="text1"/>
          <w:lang w:val="en-ZA"/>
        </w:rPr>
        <w:t xml:space="preserve"> only </w:t>
      </w:r>
      <w:r w:rsidRPr="00533EAC">
        <w:rPr>
          <w:rFonts w:ascii="Arial" w:eastAsia="Calibri" w:hAnsi="Arial" w:cs="Arial"/>
          <w:color w:val="000000" w:themeColor="text1"/>
          <w:lang w:val="en-ZA"/>
        </w:rPr>
        <w:t>the concatenated sequences of 13 partial protein-coding genes (PCGs)</w:t>
      </w:r>
      <w:r w:rsidR="00905AF2" w:rsidRPr="00533EAC">
        <w:rPr>
          <w:rFonts w:ascii="Arial" w:eastAsia="Calibri" w:hAnsi="Arial" w:cs="Arial"/>
          <w:color w:val="000000" w:themeColor="text1"/>
          <w:lang w:val="en-ZA"/>
        </w:rPr>
        <w:t xml:space="preserve"> were used in this analyses, </w:t>
      </w:r>
      <w:r w:rsidR="003D4583" w:rsidRPr="00533EAC">
        <w:rPr>
          <w:rFonts w:ascii="Arial" w:eastAsia="Calibri" w:hAnsi="Arial" w:cs="Arial"/>
          <w:color w:val="000000" w:themeColor="text1"/>
          <w:lang w:val="en-ZA"/>
        </w:rPr>
        <w:t>because</w:t>
      </w:r>
      <w:r w:rsidR="00905AF2" w:rsidRPr="00533EAC">
        <w:rPr>
          <w:rFonts w:ascii="Arial" w:eastAsia="Calibri" w:hAnsi="Arial" w:cs="Arial"/>
          <w:color w:val="000000" w:themeColor="text1"/>
          <w:lang w:val="en-ZA"/>
        </w:rPr>
        <w:t xml:space="preserve"> the </w:t>
      </w:r>
      <w:r w:rsidR="005B3FDE" w:rsidRPr="00533EAC">
        <w:rPr>
          <w:rFonts w:ascii="Arial" w:eastAsia="Calibri" w:hAnsi="Arial" w:cs="Arial"/>
          <w:color w:val="000000" w:themeColor="text1"/>
          <w:lang w:val="en-ZA"/>
        </w:rPr>
        <w:t>large number of missing and ambiguous sites</w:t>
      </w:r>
      <w:r w:rsidR="00905AF2" w:rsidRPr="00533EAC">
        <w:rPr>
          <w:rFonts w:ascii="Arial" w:eastAsia="Calibri" w:hAnsi="Arial" w:cs="Arial"/>
          <w:color w:val="000000" w:themeColor="text1"/>
          <w:lang w:val="en-ZA"/>
        </w:rPr>
        <w:t xml:space="preserve"> in</w:t>
      </w:r>
      <w:r w:rsidR="00DC6EC6" w:rsidRPr="00533EAC">
        <w:rPr>
          <w:rFonts w:ascii="Arial" w:eastAsia="Calibri" w:hAnsi="Arial" w:cs="Arial"/>
          <w:color w:val="000000" w:themeColor="text1"/>
          <w:lang w:val="en-ZA"/>
        </w:rPr>
        <w:t xml:space="preserve"> the</w:t>
      </w:r>
      <w:r w:rsidR="005B3FDE" w:rsidRPr="00533EAC">
        <w:rPr>
          <w:rFonts w:ascii="Arial" w:eastAsia="Calibri" w:hAnsi="Arial" w:cs="Arial"/>
          <w:color w:val="000000" w:themeColor="text1"/>
          <w:lang w:val="en-ZA"/>
        </w:rPr>
        <w:t xml:space="preserve"> rRNAs and tRNAs </w:t>
      </w:r>
      <w:r w:rsidR="00905AF2" w:rsidRPr="00533EAC">
        <w:rPr>
          <w:rFonts w:ascii="Arial" w:eastAsia="Calibri" w:hAnsi="Arial" w:cs="Arial"/>
          <w:color w:val="000000" w:themeColor="text1"/>
          <w:lang w:val="en-ZA"/>
        </w:rPr>
        <w:t>resulted in these markers being difficult to align</w:t>
      </w:r>
      <w:r w:rsidR="005B3FDE" w:rsidRPr="00533EAC">
        <w:rPr>
          <w:rFonts w:ascii="Arial" w:eastAsia="Calibri" w:hAnsi="Arial" w:cs="Arial"/>
          <w:color w:val="000000" w:themeColor="text1"/>
          <w:lang w:val="en-ZA"/>
        </w:rPr>
        <w:t xml:space="preserve">. </w:t>
      </w:r>
      <w:r w:rsidRPr="00533EAC">
        <w:rPr>
          <w:rFonts w:ascii="Arial" w:eastAsia="Calibri" w:hAnsi="Arial" w:cs="Arial"/>
          <w:color w:val="000000" w:themeColor="text1"/>
          <w:lang w:val="en-ZA"/>
        </w:rPr>
        <w:t>The tree was visuali</w:t>
      </w:r>
      <w:r w:rsidR="00C037ED" w:rsidRPr="00533EAC">
        <w:rPr>
          <w:rFonts w:ascii="Arial" w:eastAsia="Calibri" w:hAnsi="Arial" w:cs="Arial"/>
          <w:color w:val="000000" w:themeColor="text1"/>
          <w:lang w:val="en-ZA"/>
        </w:rPr>
        <w:t>s</w:t>
      </w:r>
      <w:r w:rsidRPr="00533EAC">
        <w:rPr>
          <w:rFonts w:ascii="Arial" w:eastAsia="Calibri" w:hAnsi="Arial" w:cs="Arial"/>
          <w:color w:val="000000" w:themeColor="text1"/>
          <w:lang w:val="en-ZA"/>
        </w:rPr>
        <w:t xml:space="preserve">ed in Figtree 1.4.3 </w:t>
      </w:r>
      <w:r w:rsidR="00FE2A7C" w:rsidRPr="00533EAC">
        <w:rPr>
          <w:rFonts w:ascii="Arial" w:eastAsia="Calibri" w:hAnsi="Arial" w:cs="Arial"/>
          <w:color w:val="000000" w:themeColor="text1"/>
          <w:lang w:val="en-ZA"/>
        </w:rPr>
        <w:fldChar w:fldCharType="begin" w:fldLock="1"/>
      </w:r>
      <w:r w:rsidR="002E2E55" w:rsidRPr="00533EAC">
        <w:rPr>
          <w:rFonts w:ascii="Arial" w:eastAsia="Calibri" w:hAnsi="Arial" w:cs="Arial"/>
          <w:color w:val="000000" w:themeColor="text1"/>
          <w:lang w:val="en-ZA"/>
        </w:rPr>
        <w:instrText>ADDIN CSL_CITATION {"citationItems":[{"id":"ITEM-1","itemData":{"author":[{"dropping-particle":"","family":"Rambaut","given":"A","non-dropping-particle":"","parse-names":false,"suffix":""},{"dropping-particle":"","family":"Drummond","given":"A J","non-dropping-particle":"","parse-names":false,"suffix":""}],"id":"ITEM-1","issued":{"date-parts":[["2019"]]},"title":"FigTree v1. 4.3. 2016","type":"article"},"uris":["http://www.mendeley.com/documents/?uuid=910bead3-dee3-333d-829d-a9bff12b06ae"]}],"mendeley":{"formattedCitation":"(Rambaut and Drummond 2019)","plainTextFormattedCitation":"(Rambaut and Drummond 2019)","previouslyFormattedCitation":"(Rambaut and Drummond 2019)"},"properties":{"noteIndex":0},"schema":"https://github.com/citation-style-language/schema/raw/master/csl-citation.json"}</w:instrText>
      </w:r>
      <w:r w:rsidR="00FE2A7C" w:rsidRPr="00533EAC">
        <w:rPr>
          <w:rFonts w:ascii="Arial" w:eastAsia="Calibri" w:hAnsi="Arial" w:cs="Arial"/>
          <w:color w:val="000000" w:themeColor="text1"/>
          <w:lang w:val="en-ZA"/>
        </w:rPr>
        <w:fldChar w:fldCharType="separate"/>
      </w:r>
      <w:r w:rsidR="00FE2A7C" w:rsidRPr="00533EAC">
        <w:rPr>
          <w:rFonts w:ascii="Arial" w:eastAsia="Calibri" w:hAnsi="Arial" w:cs="Arial"/>
          <w:noProof/>
          <w:color w:val="000000" w:themeColor="text1"/>
          <w:lang w:val="en-ZA"/>
        </w:rPr>
        <w:t>(Rambaut and Drummond 2019)</w:t>
      </w:r>
      <w:r w:rsidR="00FE2A7C" w:rsidRPr="00533EAC">
        <w:rPr>
          <w:rFonts w:ascii="Arial" w:eastAsia="Calibri" w:hAnsi="Arial" w:cs="Arial"/>
          <w:color w:val="000000" w:themeColor="text1"/>
          <w:lang w:val="en-ZA"/>
        </w:rPr>
        <w:fldChar w:fldCharType="end"/>
      </w:r>
      <w:r w:rsidRPr="00533EAC">
        <w:rPr>
          <w:rFonts w:ascii="Arial" w:eastAsia="Calibri" w:hAnsi="Arial" w:cs="Arial"/>
          <w:color w:val="000000" w:themeColor="text1"/>
          <w:lang w:val="en-ZA"/>
        </w:rPr>
        <w:t>.</w:t>
      </w:r>
    </w:p>
    <w:p w14:paraId="47AB55C0" w14:textId="6E540EF3" w:rsidR="005633D6" w:rsidRPr="00533EAC" w:rsidRDefault="005633D6" w:rsidP="00C05A32">
      <w:pPr>
        <w:spacing w:after="0" w:line="360" w:lineRule="auto"/>
        <w:jc w:val="both"/>
        <w:rPr>
          <w:rFonts w:ascii="Arial" w:eastAsia="Calibri" w:hAnsi="Arial" w:cs="Arial"/>
          <w:color w:val="000000" w:themeColor="text1"/>
          <w:lang w:val="en-ZA"/>
        </w:rPr>
      </w:pPr>
    </w:p>
    <w:p w14:paraId="13057C05" w14:textId="77777777" w:rsidR="005633D6" w:rsidRPr="00533EAC" w:rsidRDefault="005633D6" w:rsidP="00C05A32">
      <w:pPr>
        <w:spacing w:after="0" w:line="360" w:lineRule="auto"/>
        <w:jc w:val="both"/>
        <w:rPr>
          <w:rFonts w:ascii="Arial" w:eastAsia="Calibri" w:hAnsi="Arial" w:cs="Arial"/>
          <w:b/>
          <w:color w:val="000000" w:themeColor="text1"/>
          <w:lang w:val="en-ZA"/>
        </w:rPr>
      </w:pPr>
      <w:r w:rsidRPr="00533EAC">
        <w:rPr>
          <w:rFonts w:ascii="Arial" w:eastAsia="Calibri" w:hAnsi="Arial" w:cs="Arial"/>
          <w:b/>
          <w:color w:val="000000" w:themeColor="text1"/>
          <w:lang w:val="en-ZA"/>
        </w:rPr>
        <w:t xml:space="preserve">Results </w:t>
      </w:r>
    </w:p>
    <w:p w14:paraId="67E5748D" w14:textId="77777777" w:rsidR="000766BB" w:rsidRPr="00533EAC" w:rsidRDefault="000766BB" w:rsidP="00C05A32">
      <w:pPr>
        <w:spacing w:after="0" w:line="360" w:lineRule="auto"/>
        <w:jc w:val="both"/>
        <w:rPr>
          <w:rFonts w:ascii="Arial" w:eastAsia="Calibri" w:hAnsi="Arial" w:cs="Arial"/>
          <w:i/>
          <w:iCs/>
          <w:color w:val="000000" w:themeColor="text1"/>
          <w:lang w:val="en-ZA"/>
        </w:rPr>
      </w:pPr>
    </w:p>
    <w:p w14:paraId="54739A6A" w14:textId="658985F8" w:rsidR="005633D6" w:rsidRPr="00533EAC" w:rsidRDefault="005633D6" w:rsidP="00C05A32">
      <w:pPr>
        <w:spacing w:after="0" w:line="360" w:lineRule="auto"/>
        <w:jc w:val="both"/>
        <w:rPr>
          <w:rFonts w:ascii="Arial" w:eastAsia="Calibri" w:hAnsi="Arial" w:cs="Arial"/>
          <w:bCs/>
          <w:i/>
          <w:iCs/>
          <w:color w:val="000000" w:themeColor="text1"/>
          <w:lang w:val="en-ZA"/>
        </w:rPr>
      </w:pPr>
      <w:r w:rsidRPr="00533EAC">
        <w:rPr>
          <w:rFonts w:ascii="Arial" w:eastAsia="Calibri" w:hAnsi="Arial" w:cs="Arial"/>
          <w:bCs/>
          <w:i/>
          <w:iCs/>
          <w:color w:val="000000" w:themeColor="text1"/>
          <w:lang w:val="en-ZA"/>
        </w:rPr>
        <w:t>Microsatellites</w:t>
      </w:r>
    </w:p>
    <w:p w14:paraId="71F7C319" w14:textId="35C3FC3D" w:rsidR="005633D6" w:rsidRPr="00533EAC" w:rsidRDefault="005633D6" w:rsidP="00C05A32">
      <w:pPr>
        <w:spacing w:after="0" w:line="360" w:lineRule="auto"/>
        <w:jc w:val="both"/>
        <w:rPr>
          <w:rFonts w:ascii="Arial" w:eastAsia="Calibri" w:hAnsi="Arial" w:cs="Arial"/>
          <w:iCs/>
          <w:color w:val="000000" w:themeColor="text1"/>
          <w:lang w:val="en-ZA"/>
        </w:rPr>
      </w:pPr>
      <w:r w:rsidRPr="00533EAC">
        <w:rPr>
          <w:rFonts w:ascii="Arial" w:eastAsia="Times New Roman" w:hAnsi="Arial" w:cs="Arial"/>
          <w:color w:val="000000" w:themeColor="text1"/>
          <w:lang w:val="en-ZA" w:eastAsia="de-DE"/>
        </w:rPr>
        <w:t xml:space="preserve">A total of </w:t>
      </w:r>
      <w:r w:rsidR="00BD498A" w:rsidRPr="00533EAC">
        <w:rPr>
          <w:rFonts w:ascii="Arial" w:eastAsia="Calibri" w:hAnsi="Arial" w:cs="Arial"/>
          <w:color w:val="000000" w:themeColor="text1"/>
          <w:lang w:val="en-ZA"/>
        </w:rPr>
        <w:t>4,</w:t>
      </w:r>
      <w:r w:rsidRPr="00533EAC">
        <w:rPr>
          <w:rFonts w:ascii="Arial" w:eastAsia="Calibri" w:hAnsi="Arial" w:cs="Arial"/>
          <w:color w:val="000000" w:themeColor="text1"/>
          <w:lang w:val="en-ZA"/>
        </w:rPr>
        <w:t xml:space="preserve">339 </w:t>
      </w:r>
      <w:r w:rsidRPr="00533EAC">
        <w:rPr>
          <w:rFonts w:ascii="Arial" w:eastAsia="Times New Roman" w:hAnsi="Arial" w:cs="Arial"/>
          <w:color w:val="000000" w:themeColor="text1"/>
          <w:lang w:val="en-ZA" w:eastAsia="de-DE"/>
        </w:rPr>
        <w:t>putative microsatellites were detected. Of the 3</w:t>
      </w:r>
      <w:r w:rsidR="00FC63FE" w:rsidRPr="00533EAC">
        <w:rPr>
          <w:rFonts w:ascii="Arial" w:eastAsia="Times New Roman" w:hAnsi="Arial" w:cs="Arial"/>
          <w:color w:val="000000" w:themeColor="text1"/>
          <w:lang w:val="en-ZA" w:eastAsia="de-DE"/>
        </w:rPr>
        <w:t>2 primers that were tested,</w:t>
      </w:r>
      <w:r w:rsidR="00FC63FE" w:rsidRPr="00533EAC">
        <w:rPr>
          <w:rFonts w:ascii="Arial" w:eastAsia="Calibri" w:hAnsi="Arial" w:cs="Arial"/>
          <w:color w:val="000000" w:themeColor="text1"/>
          <w:lang w:val="en-ZA"/>
        </w:rPr>
        <w:t xml:space="preserve"> five </w:t>
      </w:r>
      <w:r w:rsidR="003D4583" w:rsidRPr="00533EAC">
        <w:rPr>
          <w:rFonts w:ascii="Arial" w:eastAsia="Calibri" w:hAnsi="Arial" w:cs="Arial"/>
          <w:color w:val="000000" w:themeColor="text1"/>
          <w:lang w:val="en-ZA"/>
        </w:rPr>
        <w:t xml:space="preserve">that </w:t>
      </w:r>
      <w:r w:rsidR="00FC63FE" w:rsidRPr="00533EAC">
        <w:rPr>
          <w:rFonts w:ascii="Arial" w:eastAsia="Calibri" w:hAnsi="Arial" w:cs="Arial"/>
          <w:color w:val="000000" w:themeColor="text1"/>
          <w:lang w:val="en-ZA"/>
        </w:rPr>
        <w:t>amplified reliably in both species</w:t>
      </w:r>
      <w:r w:rsidR="003D4583" w:rsidRPr="00533EAC">
        <w:rPr>
          <w:rFonts w:ascii="Arial" w:eastAsia="Calibri" w:hAnsi="Arial" w:cs="Arial"/>
          <w:color w:val="000000" w:themeColor="text1"/>
          <w:lang w:val="en-ZA"/>
        </w:rPr>
        <w:t xml:space="preserve"> and </w:t>
      </w:r>
      <w:r w:rsidR="00D20B73" w:rsidRPr="00533EAC">
        <w:rPr>
          <w:rFonts w:ascii="Arial" w:eastAsia="Calibri" w:hAnsi="Arial" w:cs="Arial"/>
          <w:color w:val="000000" w:themeColor="text1"/>
          <w:lang w:val="en-ZA"/>
        </w:rPr>
        <w:t>showed</w:t>
      </w:r>
      <w:r w:rsidR="00FC63FE" w:rsidRPr="00533EAC">
        <w:rPr>
          <w:rFonts w:ascii="Arial" w:eastAsia="Calibri" w:hAnsi="Arial" w:cs="Arial"/>
          <w:color w:val="000000" w:themeColor="text1"/>
          <w:lang w:val="en-ZA"/>
        </w:rPr>
        <w:t xml:space="preserve"> polymorphism and heterozygosity features</w:t>
      </w:r>
      <w:r w:rsidR="00D20B73" w:rsidRPr="00533EAC">
        <w:rPr>
          <w:rFonts w:ascii="Arial" w:eastAsia="Times New Roman" w:hAnsi="Arial" w:cs="Arial"/>
          <w:color w:val="000000" w:themeColor="text1"/>
          <w:lang w:val="en-ZA" w:eastAsia="de-DE"/>
        </w:rPr>
        <w:t xml:space="preserve"> </w:t>
      </w:r>
      <w:r w:rsidR="00FC63FE" w:rsidRPr="00533EAC">
        <w:rPr>
          <w:rFonts w:ascii="Arial" w:eastAsia="Times New Roman" w:hAnsi="Arial" w:cs="Arial"/>
          <w:color w:val="000000" w:themeColor="text1"/>
          <w:lang w:val="en-ZA" w:eastAsia="de-DE"/>
        </w:rPr>
        <w:t xml:space="preserve">were chosen for detailed analyses. </w:t>
      </w:r>
      <w:r w:rsidR="00C221DD" w:rsidRPr="00533EAC">
        <w:rPr>
          <w:rFonts w:ascii="Arial" w:eastAsia="Times New Roman" w:hAnsi="Arial" w:cs="Arial"/>
          <w:color w:val="000000" w:themeColor="text1"/>
          <w:lang w:val="en-ZA" w:eastAsia="de-DE"/>
        </w:rPr>
        <w:t>The characteristics of the</w:t>
      </w:r>
      <w:r w:rsidR="003D4583" w:rsidRPr="00533EAC">
        <w:rPr>
          <w:rFonts w:ascii="Arial" w:eastAsia="Times New Roman" w:hAnsi="Arial" w:cs="Arial"/>
          <w:color w:val="000000" w:themeColor="text1"/>
          <w:lang w:val="en-ZA" w:eastAsia="de-DE"/>
        </w:rPr>
        <w:t>se</w:t>
      </w:r>
      <w:r w:rsidR="00C221DD" w:rsidRPr="00533EAC">
        <w:rPr>
          <w:rFonts w:ascii="Arial" w:eastAsia="Times New Roman" w:hAnsi="Arial" w:cs="Arial"/>
          <w:color w:val="000000" w:themeColor="text1"/>
          <w:lang w:val="en-ZA" w:eastAsia="de-DE"/>
        </w:rPr>
        <w:t xml:space="preserve"> microsatellites </w:t>
      </w:r>
      <w:r w:rsidRPr="00533EAC">
        <w:rPr>
          <w:rFonts w:ascii="Arial" w:eastAsia="Calibri" w:hAnsi="Arial" w:cs="Arial"/>
          <w:color w:val="000000" w:themeColor="text1"/>
          <w:lang w:val="en-ZA"/>
        </w:rPr>
        <w:t xml:space="preserve">are presented in Table 2. No markers displayed stuttering, null alleles or large allele dropout. A total of 61 alleles were detected across all markers, with an average number of alleles per locus of 12.2. Loci Pstol2 </w:t>
      </w:r>
      <w:r w:rsidRPr="00533EAC">
        <w:rPr>
          <w:rFonts w:ascii="Arial" w:eastAsia="Calibri" w:hAnsi="Arial" w:cs="Arial"/>
          <w:iCs/>
          <w:color w:val="000000" w:themeColor="text1"/>
          <w:lang w:val="en-ZA"/>
        </w:rPr>
        <w:t>and</w:t>
      </w:r>
      <w:r w:rsidRPr="00533EAC">
        <w:rPr>
          <w:rFonts w:ascii="Arial" w:eastAsia="Calibri" w:hAnsi="Arial" w:cs="Arial"/>
          <w:color w:val="000000" w:themeColor="text1"/>
          <w:lang w:val="en-ZA"/>
        </w:rPr>
        <w:t xml:space="preserve"> Pherd2</w:t>
      </w:r>
      <w:r w:rsidR="00EC5FBB" w:rsidRPr="00533EAC">
        <w:rPr>
          <w:rFonts w:ascii="Arial" w:eastAsia="Calibri" w:hAnsi="Arial" w:cs="Arial"/>
          <w:b/>
          <w:color w:val="000000" w:themeColor="text1"/>
          <w:lang w:val="en-ZA"/>
        </w:rPr>
        <w:t xml:space="preserve"> </w:t>
      </w:r>
      <w:r w:rsidRPr="00533EAC">
        <w:rPr>
          <w:rFonts w:ascii="Arial" w:eastAsia="Calibri" w:hAnsi="Arial" w:cs="Arial"/>
          <w:color w:val="000000" w:themeColor="text1"/>
          <w:lang w:val="en-ZA"/>
        </w:rPr>
        <w:t xml:space="preserve">had the lowest number of alleles (6 and 11, respectively), and locus </w:t>
      </w:r>
      <w:r w:rsidRPr="00533EAC">
        <w:rPr>
          <w:rFonts w:ascii="Arial" w:eastAsia="Calibri" w:hAnsi="Arial" w:cs="Arial"/>
          <w:color w:val="000000" w:themeColor="text1"/>
          <w:lang w:val="en-ZA"/>
        </w:rPr>
        <w:lastRenderedPageBreak/>
        <w:t>Pherd3</w:t>
      </w:r>
      <w:r w:rsidRPr="00533EAC">
        <w:rPr>
          <w:rFonts w:ascii="Arial" w:eastAsia="Calibri" w:hAnsi="Arial" w:cs="Arial"/>
          <w:i/>
          <w:color w:val="000000" w:themeColor="text1"/>
          <w:lang w:val="en-ZA"/>
        </w:rPr>
        <w:t xml:space="preserve"> </w:t>
      </w:r>
      <w:r w:rsidRPr="00533EAC">
        <w:rPr>
          <w:rFonts w:ascii="Arial" w:eastAsia="Calibri" w:hAnsi="Arial" w:cs="Arial"/>
          <w:color w:val="000000" w:themeColor="text1"/>
          <w:lang w:val="en-ZA"/>
        </w:rPr>
        <w:t xml:space="preserve">the highest (17). </w:t>
      </w:r>
      <w:r w:rsidRPr="00533EAC">
        <w:rPr>
          <w:rFonts w:ascii="Arial" w:eastAsia="Calibri" w:hAnsi="Arial" w:cs="Arial"/>
          <w:i/>
          <w:color w:val="000000" w:themeColor="text1"/>
          <w:lang w:val="en-ZA"/>
        </w:rPr>
        <w:t>H</w:t>
      </w:r>
      <w:r w:rsidRPr="00533EAC">
        <w:rPr>
          <w:rFonts w:ascii="Arial" w:eastAsia="Calibri" w:hAnsi="Arial" w:cs="Arial"/>
          <w:color w:val="000000" w:themeColor="text1"/>
          <w:vertAlign w:val="subscript"/>
          <w:lang w:val="en-ZA"/>
        </w:rPr>
        <w:t>O</w:t>
      </w:r>
      <w:r w:rsidRPr="00533EAC">
        <w:rPr>
          <w:rFonts w:ascii="Arial" w:eastAsia="Calibri" w:hAnsi="Arial" w:cs="Arial"/>
          <w:color w:val="000000" w:themeColor="text1"/>
          <w:lang w:val="en-ZA"/>
        </w:rPr>
        <w:t xml:space="preserve"> ranged from 0.120 in Pherd2 to </w:t>
      </w:r>
      <w:r w:rsidRPr="00533EAC">
        <w:rPr>
          <w:rFonts w:ascii="Arial" w:eastAsia="Times New Roman" w:hAnsi="Arial" w:cs="Arial"/>
          <w:color w:val="000000" w:themeColor="text1"/>
          <w:lang w:val="en-ZA" w:eastAsia="de-DE"/>
        </w:rPr>
        <w:t xml:space="preserve">0.561 in </w:t>
      </w:r>
      <w:r w:rsidRPr="00533EAC">
        <w:rPr>
          <w:rFonts w:ascii="Arial" w:eastAsia="Calibri" w:hAnsi="Arial" w:cs="Arial"/>
          <w:color w:val="000000" w:themeColor="text1"/>
          <w:lang w:val="en-ZA"/>
        </w:rPr>
        <w:t>Pherd3</w:t>
      </w:r>
      <w:r w:rsidRPr="00533EAC">
        <w:rPr>
          <w:rFonts w:ascii="Arial" w:eastAsia="Times New Roman" w:hAnsi="Arial" w:cs="Arial"/>
          <w:color w:val="000000" w:themeColor="text1"/>
          <w:lang w:val="en-ZA" w:eastAsia="de-DE"/>
        </w:rPr>
        <w:t xml:space="preserve">, and </w:t>
      </w:r>
      <w:r w:rsidRPr="00533EAC">
        <w:rPr>
          <w:rFonts w:ascii="Arial" w:eastAsia="Calibri" w:hAnsi="Arial" w:cs="Arial"/>
          <w:i/>
          <w:color w:val="000000" w:themeColor="text1"/>
          <w:lang w:val="en-ZA"/>
        </w:rPr>
        <w:t>H</w:t>
      </w:r>
      <w:r w:rsidRPr="00533EAC">
        <w:rPr>
          <w:rFonts w:ascii="Arial" w:eastAsia="Calibri" w:hAnsi="Arial" w:cs="Arial"/>
          <w:color w:val="000000" w:themeColor="text1"/>
          <w:vertAlign w:val="subscript"/>
          <w:lang w:val="en-ZA"/>
        </w:rPr>
        <w:t xml:space="preserve">E </w:t>
      </w:r>
      <w:r w:rsidRPr="00533EAC">
        <w:rPr>
          <w:rFonts w:ascii="Arial" w:eastAsia="Calibri" w:hAnsi="Arial" w:cs="Arial"/>
          <w:color w:val="000000" w:themeColor="text1"/>
          <w:lang w:val="en-ZA"/>
        </w:rPr>
        <w:t xml:space="preserve">ranged </w:t>
      </w:r>
      <w:r w:rsidRPr="00533EAC">
        <w:rPr>
          <w:rFonts w:ascii="Arial" w:eastAsia="Times New Roman" w:hAnsi="Arial" w:cs="Arial"/>
          <w:color w:val="000000" w:themeColor="text1"/>
          <w:lang w:val="en-ZA" w:eastAsia="de-DE"/>
        </w:rPr>
        <w:t xml:space="preserve">from 0.190 </w:t>
      </w:r>
      <w:r w:rsidRPr="00533EAC">
        <w:rPr>
          <w:rFonts w:ascii="Arial" w:eastAsia="Calibri" w:hAnsi="Arial" w:cs="Arial"/>
          <w:color w:val="000000" w:themeColor="text1"/>
          <w:lang w:val="en-ZA"/>
        </w:rPr>
        <w:t>in</w:t>
      </w:r>
      <w:r w:rsidRPr="00533EAC">
        <w:rPr>
          <w:rFonts w:ascii="Arial" w:eastAsia="Calibri" w:hAnsi="Arial" w:cs="Arial"/>
          <w:i/>
          <w:color w:val="000000" w:themeColor="text1"/>
          <w:lang w:val="en-ZA"/>
        </w:rPr>
        <w:t xml:space="preserve"> </w:t>
      </w:r>
      <w:r w:rsidRPr="00533EAC">
        <w:rPr>
          <w:rFonts w:ascii="Arial" w:eastAsia="Calibri" w:hAnsi="Arial" w:cs="Arial"/>
          <w:color w:val="000000" w:themeColor="text1"/>
          <w:lang w:val="en-ZA"/>
        </w:rPr>
        <w:t>Pherd2</w:t>
      </w:r>
      <w:r w:rsidRPr="00533EAC">
        <w:rPr>
          <w:rFonts w:ascii="Arial" w:eastAsia="Times New Roman" w:hAnsi="Arial" w:cs="Arial"/>
          <w:color w:val="000000" w:themeColor="text1"/>
          <w:lang w:val="en-ZA" w:eastAsia="de-DE"/>
        </w:rPr>
        <w:t xml:space="preserve"> to 0.757 in </w:t>
      </w:r>
      <w:r w:rsidRPr="00533EAC">
        <w:rPr>
          <w:rFonts w:ascii="Arial" w:eastAsia="Calibri" w:hAnsi="Arial" w:cs="Arial"/>
          <w:color w:val="000000" w:themeColor="text1"/>
          <w:lang w:val="en-ZA"/>
        </w:rPr>
        <w:t>Pherd3</w:t>
      </w:r>
      <w:r w:rsidRPr="00533EAC">
        <w:rPr>
          <w:rFonts w:ascii="Arial" w:eastAsia="Times New Roman" w:hAnsi="Arial" w:cs="Arial"/>
          <w:color w:val="000000" w:themeColor="text1"/>
          <w:lang w:val="en-ZA" w:eastAsia="de-DE"/>
        </w:rPr>
        <w:t xml:space="preserve">. Locus </w:t>
      </w:r>
      <w:r w:rsidRPr="00533EAC">
        <w:rPr>
          <w:rFonts w:ascii="Arial" w:eastAsia="Calibri" w:hAnsi="Arial" w:cs="Arial"/>
          <w:color w:val="000000" w:themeColor="text1"/>
          <w:lang w:val="en-ZA"/>
        </w:rPr>
        <w:t>Pstol1</w:t>
      </w:r>
      <w:r w:rsidRPr="00533EAC">
        <w:rPr>
          <w:rFonts w:ascii="Arial" w:eastAsia="Calibri" w:hAnsi="Arial" w:cs="Arial"/>
          <w:i/>
          <w:color w:val="000000" w:themeColor="text1"/>
          <w:lang w:val="en-ZA"/>
        </w:rPr>
        <w:t xml:space="preserve"> </w:t>
      </w:r>
      <w:r w:rsidRPr="00533EAC">
        <w:rPr>
          <w:rFonts w:ascii="Arial" w:eastAsia="Calibri" w:hAnsi="Arial" w:cs="Arial"/>
          <w:color w:val="000000" w:themeColor="text1"/>
          <w:lang w:val="en-ZA"/>
        </w:rPr>
        <w:t xml:space="preserve">showed evidence for outbreeding in both populations of </w:t>
      </w:r>
      <w:r w:rsidRPr="00533EAC">
        <w:rPr>
          <w:rFonts w:ascii="Arial" w:eastAsia="Times New Roman" w:hAnsi="Arial" w:cs="Arial"/>
          <w:i/>
          <w:iCs/>
          <w:color w:val="000000" w:themeColor="text1"/>
          <w:lang w:val="en-ZA" w:eastAsia="de-DE"/>
        </w:rPr>
        <w:t>P. herdmani</w:t>
      </w:r>
      <w:r w:rsidRPr="00533EAC">
        <w:rPr>
          <w:rFonts w:ascii="Arial" w:eastAsia="Calibri" w:hAnsi="Arial" w:cs="Arial"/>
          <w:color w:val="000000" w:themeColor="text1"/>
          <w:lang w:val="en-ZA"/>
        </w:rPr>
        <w:t xml:space="preserve"> and a significant inbreeding coefficient (</w:t>
      </w:r>
      <w:r w:rsidRPr="00533EAC">
        <w:rPr>
          <w:rFonts w:ascii="Arial" w:eastAsia="Times New Roman" w:hAnsi="Arial" w:cs="Arial"/>
          <w:i/>
          <w:color w:val="000000" w:themeColor="text1"/>
          <w:lang w:val="en-ZA" w:eastAsia="de-DE"/>
        </w:rPr>
        <w:t>F</w:t>
      </w:r>
      <w:r w:rsidRPr="00533EAC">
        <w:rPr>
          <w:rFonts w:ascii="Arial" w:eastAsia="Times New Roman" w:hAnsi="Arial" w:cs="Arial"/>
          <w:color w:val="000000" w:themeColor="text1"/>
          <w:vertAlign w:val="subscript"/>
          <w:lang w:val="en-ZA" w:eastAsia="de-DE"/>
        </w:rPr>
        <w:t>IS</w:t>
      </w:r>
      <w:r w:rsidRPr="00533EAC">
        <w:rPr>
          <w:rFonts w:ascii="Arial" w:eastAsia="Calibri" w:hAnsi="Arial" w:cs="Arial"/>
          <w:color w:val="000000" w:themeColor="text1"/>
          <w:lang w:val="en-ZA"/>
        </w:rPr>
        <w:t>) was found at locus</w:t>
      </w:r>
      <w:r w:rsidRPr="00533EAC">
        <w:rPr>
          <w:rFonts w:ascii="Arial" w:eastAsia="Calibri" w:hAnsi="Arial" w:cs="Arial"/>
          <w:i/>
          <w:color w:val="000000" w:themeColor="text1"/>
          <w:lang w:val="en-ZA"/>
        </w:rPr>
        <w:t xml:space="preserve"> </w:t>
      </w:r>
      <w:r w:rsidRPr="00533EAC">
        <w:rPr>
          <w:rFonts w:ascii="Arial" w:eastAsia="Calibri" w:hAnsi="Arial" w:cs="Arial"/>
          <w:color w:val="000000" w:themeColor="text1"/>
          <w:lang w:val="en-ZA"/>
        </w:rPr>
        <w:t xml:space="preserve">Pstol2, while </w:t>
      </w:r>
      <w:r w:rsidRPr="00533EAC">
        <w:rPr>
          <w:rFonts w:ascii="Arial" w:eastAsia="Times New Roman" w:hAnsi="Arial" w:cs="Arial"/>
          <w:i/>
          <w:iCs/>
          <w:color w:val="000000" w:themeColor="text1"/>
          <w:lang w:val="en-ZA" w:eastAsia="de-DE"/>
        </w:rPr>
        <w:t xml:space="preserve">P. stolonifera </w:t>
      </w:r>
      <w:r w:rsidRPr="00533EAC">
        <w:rPr>
          <w:rFonts w:ascii="Arial" w:eastAsia="Times New Roman" w:hAnsi="Arial" w:cs="Arial"/>
          <w:color w:val="000000" w:themeColor="text1"/>
          <w:lang w:val="en-ZA" w:eastAsia="de-DE"/>
        </w:rPr>
        <w:t>sho</w:t>
      </w:r>
      <w:r w:rsidR="00D20B73" w:rsidRPr="00533EAC">
        <w:rPr>
          <w:rFonts w:ascii="Arial" w:eastAsia="Times New Roman" w:hAnsi="Arial" w:cs="Arial"/>
          <w:color w:val="000000" w:themeColor="text1"/>
          <w:lang w:val="en-ZA" w:eastAsia="de-DE"/>
        </w:rPr>
        <w:t xml:space="preserve">wed significant outbreeding at </w:t>
      </w:r>
      <w:r w:rsidRPr="00533EAC">
        <w:rPr>
          <w:rFonts w:ascii="Arial" w:eastAsia="Times New Roman" w:hAnsi="Arial" w:cs="Arial"/>
          <w:color w:val="000000" w:themeColor="text1"/>
          <w:lang w:val="en-ZA" w:eastAsia="de-DE"/>
        </w:rPr>
        <w:t xml:space="preserve">locus </w:t>
      </w:r>
      <w:r w:rsidRPr="00533EAC">
        <w:rPr>
          <w:rFonts w:ascii="Arial" w:eastAsia="Calibri" w:hAnsi="Arial" w:cs="Arial"/>
          <w:color w:val="000000" w:themeColor="text1"/>
          <w:lang w:val="en-ZA"/>
        </w:rPr>
        <w:t>Pherd3 and evidence of inbreeding at locus Pherd2.</w:t>
      </w:r>
      <w:r w:rsidRPr="00533EAC">
        <w:rPr>
          <w:rFonts w:ascii="Arial" w:eastAsia="Times New Roman" w:hAnsi="Arial" w:cs="Arial"/>
          <w:color w:val="000000" w:themeColor="text1"/>
          <w:lang w:val="en-ZA" w:eastAsia="de-DE"/>
        </w:rPr>
        <w:t xml:space="preserve"> Genotype frequencies at each locus conformed to expectations under HWE, except for </w:t>
      </w:r>
      <w:r w:rsidRPr="00533EAC">
        <w:rPr>
          <w:rFonts w:ascii="Arial" w:eastAsia="Calibri" w:hAnsi="Arial" w:cs="Arial"/>
          <w:color w:val="000000" w:themeColor="text1"/>
          <w:lang w:val="en-ZA"/>
        </w:rPr>
        <w:t xml:space="preserve">Pherd3 </w:t>
      </w:r>
      <w:r w:rsidRPr="00533EAC">
        <w:rPr>
          <w:rFonts w:ascii="Arial" w:eastAsia="Times New Roman" w:hAnsi="Arial" w:cs="Arial"/>
          <w:color w:val="000000" w:themeColor="text1"/>
          <w:lang w:val="en-ZA" w:eastAsia="de-DE"/>
        </w:rPr>
        <w:t>(</w:t>
      </w:r>
      <w:r w:rsidRPr="00533EAC">
        <w:rPr>
          <w:rFonts w:ascii="Arial" w:eastAsia="Times New Roman" w:hAnsi="Arial" w:cs="Arial"/>
          <w:i/>
          <w:color w:val="000000" w:themeColor="text1"/>
          <w:lang w:val="en-ZA" w:eastAsia="de-DE"/>
        </w:rPr>
        <w:t>p</w:t>
      </w:r>
      <w:r w:rsidRPr="00533EAC">
        <w:rPr>
          <w:rFonts w:ascii="Arial" w:eastAsia="Times New Roman" w:hAnsi="Arial" w:cs="Arial"/>
          <w:color w:val="000000" w:themeColor="text1"/>
          <w:lang w:val="en-ZA" w:eastAsia="de-DE"/>
        </w:rPr>
        <w:t xml:space="preserve"> = 0.003) in </w:t>
      </w:r>
      <w:r w:rsidRPr="00533EAC">
        <w:rPr>
          <w:rFonts w:ascii="Arial" w:eastAsia="Times New Roman" w:hAnsi="Arial" w:cs="Arial"/>
          <w:i/>
          <w:iCs/>
          <w:color w:val="000000" w:themeColor="text1"/>
          <w:lang w:val="en-ZA" w:eastAsia="de-DE"/>
        </w:rPr>
        <w:t>P. stolonifera</w:t>
      </w:r>
      <w:r w:rsidRPr="00533EAC">
        <w:rPr>
          <w:rFonts w:ascii="Arial" w:eastAsia="Times New Roman" w:hAnsi="Arial" w:cs="Arial"/>
          <w:color w:val="000000" w:themeColor="text1"/>
          <w:lang w:val="en-ZA" w:eastAsia="de-DE"/>
        </w:rPr>
        <w:t xml:space="preserve"> and </w:t>
      </w:r>
      <w:r w:rsidRPr="00533EAC">
        <w:rPr>
          <w:rFonts w:ascii="Arial" w:eastAsia="Calibri" w:hAnsi="Arial" w:cs="Arial"/>
          <w:color w:val="000000" w:themeColor="text1"/>
          <w:lang w:val="en-ZA"/>
        </w:rPr>
        <w:t>Pherd2</w:t>
      </w:r>
      <w:r w:rsidRPr="00533EAC">
        <w:rPr>
          <w:rFonts w:ascii="Arial" w:eastAsia="Calibri" w:hAnsi="Arial" w:cs="Arial"/>
          <w:i/>
          <w:color w:val="000000" w:themeColor="text1"/>
          <w:lang w:val="en-ZA"/>
        </w:rPr>
        <w:t xml:space="preserve"> </w:t>
      </w:r>
      <w:r w:rsidRPr="00533EAC">
        <w:rPr>
          <w:rFonts w:ascii="Arial" w:eastAsia="Calibri" w:hAnsi="Arial" w:cs="Arial"/>
          <w:color w:val="000000" w:themeColor="text1"/>
          <w:lang w:val="en-ZA"/>
        </w:rPr>
        <w:t xml:space="preserve">in </w:t>
      </w:r>
      <w:r w:rsidRPr="00533EAC">
        <w:rPr>
          <w:rFonts w:ascii="Arial" w:eastAsia="Times New Roman" w:hAnsi="Arial" w:cs="Arial"/>
          <w:i/>
          <w:iCs/>
          <w:color w:val="000000" w:themeColor="text1"/>
          <w:lang w:val="en-ZA" w:eastAsia="de-DE"/>
        </w:rPr>
        <w:t xml:space="preserve">P. herdmani </w:t>
      </w:r>
      <w:r w:rsidRPr="00533EAC">
        <w:rPr>
          <w:rFonts w:ascii="Arial" w:eastAsia="Times New Roman" w:hAnsi="Arial" w:cs="Arial"/>
          <w:color w:val="000000" w:themeColor="text1"/>
          <w:lang w:val="en-ZA" w:eastAsia="de-DE"/>
        </w:rPr>
        <w:t>from the subtropical bioregion (</w:t>
      </w:r>
      <w:r w:rsidRPr="00533EAC">
        <w:rPr>
          <w:rFonts w:ascii="Arial" w:eastAsia="Times New Roman" w:hAnsi="Arial" w:cs="Arial"/>
          <w:i/>
          <w:color w:val="000000" w:themeColor="text1"/>
          <w:lang w:val="en-ZA" w:eastAsia="de-DE"/>
        </w:rPr>
        <w:t>p</w:t>
      </w:r>
      <w:r w:rsidRPr="00533EAC">
        <w:rPr>
          <w:rFonts w:ascii="Arial" w:eastAsia="Times New Roman" w:hAnsi="Arial" w:cs="Arial"/>
          <w:color w:val="000000" w:themeColor="text1"/>
          <w:lang w:val="en-ZA" w:eastAsia="de-DE"/>
        </w:rPr>
        <w:t xml:space="preserve"> = 0.0002) </w:t>
      </w:r>
      <w:r w:rsidRPr="00533EAC">
        <w:rPr>
          <w:rFonts w:ascii="Arial" w:eastAsia="Calibri" w:hAnsi="Arial" w:cs="Arial"/>
          <w:iCs/>
          <w:color w:val="000000" w:themeColor="text1"/>
          <w:lang w:val="en-ZA"/>
        </w:rPr>
        <w:t>(</w:t>
      </w:r>
      <w:r w:rsidRPr="00533EAC">
        <w:rPr>
          <w:rFonts w:ascii="Arial" w:eastAsia="Calibri" w:hAnsi="Arial" w:cs="Arial"/>
          <w:color w:val="000000" w:themeColor="text1"/>
          <w:lang w:val="en-ZA"/>
        </w:rPr>
        <w:t>Table 3)</w:t>
      </w:r>
      <w:r w:rsidRPr="00533EAC">
        <w:rPr>
          <w:rFonts w:ascii="Arial" w:eastAsia="Calibri" w:hAnsi="Arial" w:cs="Arial"/>
          <w:iCs/>
          <w:color w:val="000000" w:themeColor="text1"/>
          <w:lang w:val="en-ZA"/>
        </w:rPr>
        <w:t>.</w:t>
      </w:r>
      <w:r w:rsidRPr="00533EAC">
        <w:rPr>
          <w:rFonts w:ascii="Arial" w:eastAsia="Times New Roman" w:hAnsi="Arial" w:cs="Arial"/>
          <w:color w:val="000000" w:themeColor="text1"/>
          <w:lang w:val="en-ZA" w:eastAsia="de-DE"/>
        </w:rPr>
        <w:t xml:space="preserve"> </w:t>
      </w:r>
      <w:r w:rsidRPr="00533EAC">
        <w:rPr>
          <w:rFonts w:ascii="Arial" w:eastAsia="Calibri" w:hAnsi="Arial" w:cs="Arial"/>
          <w:color w:val="000000" w:themeColor="text1"/>
          <w:lang w:val="en-ZA"/>
        </w:rPr>
        <w:t xml:space="preserve">No significant linkage disequilibrium was detected between the locus pairs, except for </w:t>
      </w:r>
      <w:r w:rsidR="003D4583" w:rsidRPr="00533EAC">
        <w:rPr>
          <w:rFonts w:ascii="Arial" w:eastAsia="Calibri" w:hAnsi="Arial" w:cs="Arial"/>
          <w:color w:val="000000" w:themeColor="text1"/>
          <w:lang w:val="en-ZA"/>
        </w:rPr>
        <w:t xml:space="preserve">loci </w:t>
      </w:r>
      <w:r w:rsidRPr="00533EAC">
        <w:rPr>
          <w:rFonts w:ascii="Arial" w:eastAsia="Calibri" w:hAnsi="Arial" w:cs="Arial"/>
          <w:color w:val="000000" w:themeColor="text1"/>
          <w:lang w:val="en-ZA"/>
        </w:rPr>
        <w:t xml:space="preserve">Pstol1 </w:t>
      </w:r>
      <w:r w:rsidR="003D4583" w:rsidRPr="00533EAC">
        <w:rPr>
          <w:rFonts w:ascii="Arial" w:eastAsia="Calibri" w:hAnsi="Arial" w:cs="Arial"/>
          <w:iCs/>
          <w:color w:val="000000" w:themeColor="text1"/>
          <w:lang w:val="en-ZA"/>
        </w:rPr>
        <w:t>and</w:t>
      </w:r>
      <w:r w:rsidRPr="00533EAC">
        <w:rPr>
          <w:rFonts w:ascii="Arial" w:eastAsia="Calibri" w:hAnsi="Arial" w:cs="Arial"/>
          <w:color w:val="000000" w:themeColor="text1"/>
          <w:lang w:val="en-ZA"/>
        </w:rPr>
        <w:t xml:space="preserve"> Pherd2</w:t>
      </w:r>
      <w:r w:rsidR="003D4583" w:rsidRPr="00533EAC">
        <w:rPr>
          <w:rFonts w:ascii="Arial" w:eastAsia="Calibri" w:hAnsi="Arial" w:cs="Arial"/>
          <w:color w:val="000000" w:themeColor="text1"/>
          <w:lang w:val="en-ZA"/>
        </w:rPr>
        <w:t>, but this was only found</w:t>
      </w:r>
      <w:r w:rsidRPr="00533EAC">
        <w:rPr>
          <w:rFonts w:ascii="Arial" w:eastAsia="Calibri" w:hAnsi="Arial" w:cs="Arial"/>
          <w:i/>
          <w:color w:val="000000" w:themeColor="text1"/>
          <w:lang w:val="en-ZA"/>
        </w:rPr>
        <w:t xml:space="preserve"> </w:t>
      </w:r>
      <w:r w:rsidRPr="00533EAC">
        <w:rPr>
          <w:rFonts w:ascii="Arial" w:eastAsia="Calibri" w:hAnsi="Arial" w:cs="Arial"/>
          <w:iCs/>
          <w:color w:val="000000" w:themeColor="text1"/>
          <w:lang w:val="en-ZA"/>
        </w:rPr>
        <w:t xml:space="preserve">in samples of </w:t>
      </w:r>
      <w:r w:rsidRPr="00533EAC">
        <w:rPr>
          <w:rFonts w:ascii="Arial" w:eastAsia="Calibri" w:hAnsi="Arial" w:cs="Arial"/>
          <w:i/>
          <w:iCs/>
          <w:color w:val="000000" w:themeColor="text1"/>
          <w:lang w:val="en-ZA"/>
        </w:rPr>
        <w:t xml:space="preserve">P. herdmani </w:t>
      </w:r>
      <w:r w:rsidRPr="00533EAC">
        <w:rPr>
          <w:rFonts w:ascii="Arial" w:eastAsia="Calibri" w:hAnsi="Arial" w:cs="Arial"/>
          <w:iCs/>
          <w:color w:val="000000" w:themeColor="text1"/>
          <w:lang w:val="en-ZA"/>
        </w:rPr>
        <w:t>from the subtropical bioregi</w:t>
      </w:r>
      <w:bookmarkStart w:id="3" w:name="_Ref518370249"/>
      <w:r w:rsidRPr="00533EAC">
        <w:rPr>
          <w:rFonts w:ascii="Arial" w:eastAsia="Calibri" w:hAnsi="Arial" w:cs="Arial"/>
          <w:iCs/>
          <w:color w:val="000000" w:themeColor="text1"/>
          <w:lang w:val="en-ZA"/>
        </w:rPr>
        <w:t>on.</w:t>
      </w:r>
    </w:p>
    <w:p w14:paraId="0151FCDE" w14:textId="5607F215" w:rsidR="00F35A97" w:rsidRPr="00533EAC" w:rsidRDefault="00F35A97" w:rsidP="00C05A32">
      <w:pPr>
        <w:spacing w:after="0" w:line="360" w:lineRule="auto"/>
        <w:jc w:val="both"/>
        <w:rPr>
          <w:rFonts w:ascii="Arial" w:eastAsia="Calibri" w:hAnsi="Arial" w:cs="Arial"/>
          <w:iCs/>
          <w:color w:val="000000" w:themeColor="text1"/>
          <w:lang w:val="en-ZA"/>
        </w:rPr>
      </w:pPr>
    </w:p>
    <w:bookmarkEnd w:id="3"/>
    <w:p w14:paraId="49049A2E" w14:textId="77777777" w:rsidR="005633D6" w:rsidRPr="00533EAC" w:rsidRDefault="005633D6" w:rsidP="00C05A32">
      <w:pPr>
        <w:spacing w:after="0" w:line="360" w:lineRule="auto"/>
        <w:jc w:val="both"/>
        <w:rPr>
          <w:rFonts w:ascii="Arial" w:eastAsia="Calibri" w:hAnsi="Arial" w:cs="Arial"/>
          <w:iCs/>
          <w:color w:val="000000" w:themeColor="text1"/>
          <w:lang w:val="en-ZA"/>
        </w:rPr>
      </w:pPr>
      <w:r w:rsidRPr="00533EAC">
        <w:rPr>
          <w:rFonts w:ascii="Arial" w:eastAsia="Times New Roman" w:hAnsi="Arial" w:cs="Arial"/>
          <w:i/>
          <w:iCs/>
          <w:color w:val="000000" w:themeColor="text1"/>
          <w:lang w:val="en-ZA" w:eastAsia="de-DE"/>
        </w:rPr>
        <w:t xml:space="preserve">Mitogenome </w:t>
      </w:r>
    </w:p>
    <w:p w14:paraId="509BB98A" w14:textId="1C9FA2FF" w:rsidR="005633D6" w:rsidRPr="00533EAC" w:rsidRDefault="005633D6" w:rsidP="00C05A32">
      <w:pPr>
        <w:spacing w:after="0" w:line="360" w:lineRule="auto"/>
        <w:jc w:val="both"/>
        <w:rPr>
          <w:rFonts w:ascii="Arial" w:eastAsia="Calibri" w:hAnsi="Arial" w:cs="Arial"/>
          <w:color w:val="000000" w:themeColor="text1"/>
          <w:lang w:val="en-ZA"/>
        </w:rPr>
      </w:pPr>
      <w:r w:rsidRPr="00533EAC">
        <w:rPr>
          <w:rFonts w:ascii="Arial" w:eastAsia="Calibri" w:hAnsi="Arial" w:cs="Arial"/>
          <w:color w:val="000000" w:themeColor="text1"/>
          <w:lang w:val="en-ZA"/>
        </w:rPr>
        <w:t>The seque</w:t>
      </w:r>
      <w:r w:rsidR="00486F49" w:rsidRPr="00533EAC">
        <w:rPr>
          <w:rFonts w:ascii="Arial" w:eastAsia="Calibri" w:hAnsi="Arial" w:cs="Arial"/>
          <w:color w:val="000000" w:themeColor="text1"/>
          <w:lang w:val="en-ZA"/>
        </w:rPr>
        <w:t xml:space="preserve">ncing resulted in a total of </w:t>
      </w:r>
      <w:r w:rsidR="00EF4181" w:rsidRPr="00533EAC">
        <w:rPr>
          <w:rFonts w:ascii="Arial" w:eastAsia="Calibri" w:hAnsi="Arial" w:cs="Arial"/>
          <w:color w:val="000000" w:themeColor="text1"/>
          <w:lang w:val="en-ZA"/>
        </w:rPr>
        <w:t>49,327,</w:t>
      </w:r>
      <w:r w:rsidRPr="00533EAC">
        <w:rPr>
          <w:rFonts w:ascii="Arial" w:eastAsia="Calibri" w:hAnsi="Arial" w:cs="Arial"/>
          <w:color w:val="000000" w:themeColor="text1"/>
          <w:lang w:val="en-ZA"/>
        </w:rPr>
        <w:t>633 paired-end short reads with an</w:t>
      </w:r>
      <w:r w:rsidRPr="00533EAC">
        <w:rPr>
          <w:rFonts w:ascii="Arial" w:eastAsia="Times New Roman" w:hAnsi="Arial" w:cs="Arial"/>
          <w:color w:val="000000" w:themeColor="text1"/>
          <w:lang w:val="en-ZA" w:eastAsia="de-DE"/>
        </w:rPr>
        <w:t xml:space="preserve"> average sequence length of 150 bp and a GC content of 45%.</w:t>
      </w:r>
      <w:r w:rsidR="0091696A" w:rsidRPr="00533EAC">
        <w:rPr>
          <w:rFonts w:ascii="Arial" w:eastAsia="Times New Roman" w:hAnsi="Arial" w:cs="Arial"/>
          <w:color w:val="000000" w:themeColor="text1"/>
          <w:lang w:val="en-ZA" w:eastAsia="de-DE"/>
        </w:rPr>
        <w:t xml:space="preserve"> </w:t>
      </w:r>
      <w:r w:rsidRPr="00533EAC">
        <w:rPr>
          <w:rFonts w:ascii="Arial" w:eastAsia="Calibri" w:hAnsi="Arial" w:cs="Arial"/>
          <w:color w:val="000000" w:themeColor="text1"/>
          <w:lang w:val="en-ZA"/>
        </w:rPr>
        <w:t xml:space="preserve">The length of the </w:t>
      </w:r>
      <w:r w:rsidR="00292870" w:rsidRPr="00533EAC">
        <w:rPr>
          <w:rFonts w:ascii="Arial" w:eastAsia="Calibri" w:hAnsi="Arial" w:cs="Arial"/>
          <w:color w:val="000000" w:themeColor="text1"/>
          <w:lang w:val="en-ZA"/>
        </w:rPr>
        <w:t xml:space="preserve">partial </w:t>
      </w:r>
      <w:r w:rsidRPr="00533EAC">
        <w:rPr>
          <w:rFonts w:ascii="Arial" w:eastAsia="Calibri" w:hAnsi="Arial" w:cs="Arial"/>
          <w:color w:val="000000" w:themeColor="text1"/>
          <w:lang w:val="en-ZA"/>
        </w:rPr>
        <w:t xml:space="preserve">mapped mitogenome for the concatenated sequences of 13 protein-coding genes (PCGs) of </w:t>
      </w:r>
      <w:r w:rsidRPr="00533EAC">
        <w:rPr>
          <w:rFonts w:ascii="Arial" w:eastAsia="Calibri" w:hAnsi="Arial" w:cs="Arial"/>
          <w:i/>
          <w:color w:val="000000" w:themeColor="text1"/>
          <w:lang w:val="en-ZA"/>
        </w:rPr>
        <w:t xml:space="preserve">P. stolonifera </w:t>
      </w:r>
      <w:r w:rsidRPr="00533EAC">
        <w:rPr>
          <w:rFonts w:ascii="Arial" w:eastAsia="Calibri" w:hAnsi="Arial" w:cs="Arial"/>
          <w:color w:val="000000" w:themeColor="text1"/>
          <w:lang w:val="en-ZA"/>
        </w:rPr>
        <w:t xml:space="preserve">and four populations of </w:t>
      </w:r>
      <w:r w:rsidRPr="00533EAC">
        <w:rPr>
          <w:rFonts w:ascii="Arial" w:eastAsia="Calibri" w:hAnsi="Arial" w:cs="Arial"/>
          <w:i/>
          <w:color w:val="000000" w:themeColor="text1"/>
          <w:lang w:val="en-ZA"/>
        </w:rPr>
        <w:t xml:space="preserve">P. herdmani </w:t>
      </w:r>
      <w:r w:rsidRPr="00533EAC">
        <w:rPr>
          <w:rFonts w:ascii="Arial" w:eastAsia="Calibri" w:hAnsi="Arial" w:cs="Arial"/>
          <w:color w:val="000000" w:themeColor="text1"/>
          <w:lang w:val="en-ZA"/>
        </w:rPr>
        <w:t xml:space="preserve">are shown in Table </w:t>
      </w:r>
      <w:r w:rsidR="00292870" w:rsidRPr="00533EAC">
        <w:rPr>
          <w:rFonts w:ascii="Arial" w:eastAsia="Calibri" w:hAnsi="Arial" w:cs="Arial"/>
          <w:color w:val="000000" w:themeColor="text1"/>
          <w:lang w:val="en-ZA"/>
        </w:rPr>
        <w:t>4</w:t>
      </w:r>
      <w:r w:rsidR="00B23267" w:rsidRPr="00533EAC">
        <w:rPr>
          <w:rFonts w:ascii="Arial" w:eastAsia="Calibri" w:hAnsi="Arial" w:cs="Arial"/>
          <w:color w:val="000000" w:themeColor="text1"/>
          <w:lang w:val="en-ZA"/>
        </w:rPr>
        <w:t xml:space="preserve"> </w:t>
      </w:r>
      <w:r w:rsidR="005337A7" w:rsidRPr="00533EAC">
        <w:rPr>
          <w:rFonts w:ascii="Arial" w:eastAsia="Calibri" w:hAnsi="Arial" w:cs="Arial"/>
          <w:color w:val="000000" w:themeColor="text1"/>
          <w:lang w:val="en-ZA"/>
        </w:rPr>
        <w:t>(GenBank</w:t>
      </w:r>
      <w:r w:rsidR="00470948" w:rsidRPr="00533EAC">
        <w:rPr>
          <w:rFonts w:ascii="Arial" w:eastAsia="Calibri" w:hAnsi="Arial" w:cs="Arial"/>
          <w:color w:val="000000" w:themeColor="text1"/>
          <w:lang w:val="en-ZA"/>
        </w:rPr>
        <w:t xml:space="preserve"> accession numbers</w:t>
      </w:r>
      <w:r w:rsidR="005337A7" w:rsidRPr="00533EAC">
        <w:rPr>
          <w:rFonts w:ascii="Arial" w:eastAsia="Calibri" w:hAnsi="Arial" w:cs="Arial"/>
          <w:color w:val="000000" w:themeColor="text1"/>
          <w:lang w:val="en-ZA"/>
        </w:rPr>
        <w:t xml:space="preserve"> MT840149-MT840183).</w:t>
      </w:r>
      <w:r w:rsidR="005337A7" w:rsidRPr="00533EAC" w:rsidDel="005337A7">
        <w:rPr>
          <w:rFonts w:ascii="Arial" w:eastAsia="Calibri" w:hAnsi="Arial" w:cs="Arial"/>
          <w:color w:val="000000" w:themeColor="text1"/>
          <w:lang w:val="en-ZA"/>
        </w:rPr>
        <w:t xml:space="preserve"> </w:t>
      </w:r>
      <w:r w:rsidRPr="00533EAC">
        <w:rPr>
          <w:rFonts w:ascii="Arial" w:eastAsia="Calibri" w:hAnsi="Arial" w:cs="Arial"/>
          <w:color w:val="000000" w:themeColor="text1"/>
          <w:lang w:val="en-ZA"/>
        </w:rPr>
        <w:t xml:space="preserve">Comparing the partial reconstruction to </w:t>
      </w:r>
      <w:r w:rsidRPr="00533EAC">
        <w:rPr>
          <w:rFonts w:ascii="Arial" w:eastAsia="Calibri" w:hAnsi="Arial" w:cs="Arial"/>
          <w:i/>
          <w:color w:val="000000" w:themeColor="text1"/>
          <w:lang w:val="en-ZA"/>
        </w:rPr>
        <w:t xml:space="preserve">P. </w:t>
      </w:r>
      <w:proofErr w:type="spellStart"/>
      <w:r w:rsidRPr="00533EAC">
        <w:rPr>
          <w:rFonts w:ascii="Arial" w:eastAsia="Calibri" w:hAnsi="Arial" w:cs="Arial"/>
          <w:i/>
          <w:color w:val="000000" w:themeColor="text1"/>
          <w:lang w:val="en-ZA"/>
        </w:rPr>
        <w:t>gangelion</w:t>
      </w:r>
      <w:proofErr w:type="spellEnd"/>
      <w:r w:rsidRPr="00533EAC">
        <w:rPr>
          <w:rFonts w:ascii="Arial" w:eastAsia="Calibri" w:hAnsi="Arial" w:cs="Arial"/>
          <w:color w:val="000000" w:themeColor="text1"/>
          <w:lang w:val="en-ZA"/>
        </w:rPr>
        <w:t xml:space="preserve">, </w:t>
      </w:r>
      <w:r w:rsidRPr="00533EAC">
        <w:rPr>
          <w:rFonts w:ascii="Arial" w:eastAsia="Calibri" w:hAnsi="Arial" w:cs="Arial"/>
          <w:i/>
          <w:color w:val="000000" w:themeColor="text1"/>
          <w:lang w:val="en-ZA"/>
        </w:rPr>
        <w:t>P. stolonifera</w:t>
      </w:r>
      <w:r w:rsidRPr="00533EAC">
        <w:rPr>
          <w:rFonts w:ascii="Arial" w:eastAsia="Calibri" w:hAnsi="Arial" w:cs="Arial"/>
          <w:color w:val="000000" w:themeColor="text1"/>
          <w:lang w:val="en-ZA"/>
        </w:rPr>
        <w:t xml:space="preserve"> recovered 47</w:t>
      </w:r>
      <w:r w:rsidR="00496B01" w:rsidRPr="00533EAC">
        <w:rPr>
          <w:rFonts w:ascii="Arial" w:eastAsia="Calibri" w:hAnsi="Arial" w:cs="Arial"/>
          <w:color w:val="000000" w:themeColor="text1"/>
          <w:lang w:val="en-ZA"/>
        </w:rPr>
        <w:t>.</w:t>
      </w:r>
      <w:r w:rsidR="00486F49" w:rsidRPr="00533EAC">
        <w:rPr>
          <w:rFonts w:ascii="Arial" w:eastAsia="Calibri" w:hAnsi="Arial" w:cs="Arial"/>
          <w:color w:val="000000" w:themeColor="text1"/>
          <w:lang w:val="en-ZA"/>
        </w:rPr>
        <w:t>2</w:t>
      </w:r>
      <w:r w:rsidRPr="00533EAC">
        <w:rPr>
          <w:rFonts w:ascii="Arial" w:eastAsia="Calibri" w:hAnsi="Arial" w:cs="Arial"/>
          <w:color w:val="000000" w:themeColor="text1"/>
          <w:lang w:val="en-ZA"/>
        </w:rPr>
        <w:t>% of the total sequence</w:t>
      </w:r>
      <w:r w:rsidR="00C00101" w:rsidRPr="00533EAC">
        <w:rPr>
          <w:rFonts w:ascii="Arial" w:eastAsia="Calibri" w:hAnsi="Arial" w:cs="Arial"/>
          <w:color w:val="000000" w:themeColor="text1"/>
          <w:lang w:val="en-ZA"/>
        </w:rPr>
        <w:t>,</w:t>
      </w:r>
      <w:r w:rsidR="003D4583" w:rsidRPr="00533EAC">
        <w:rPr>
          <w:rFonts w:ascii="Arial" w:eastAsia="Calibri" w:hAnsi="Arial" w:cs="Arial"/>
          <w:color w:val="000000" w:themeColor="text1"/>
          <w:lang w:val="en-ZA"/>
        </w:rPr>
        <w:t xml:space="preserve"> the</w:t>
      </w:r>
      <w:r w:rsidR="00C00101" w:rsidRPr="00533EAC">
        <w:rPr>
          <w:rFonts w:ascii="Arial" w:eastAsia="Calibri" w:hAnsi="Arial" w:cs="Arial"/>
          <w:color w:val="000000" w:themeColor="text1"/>
          <w:lang w:val="en-ZA"/>
        </w:rPr>
        <w:t xml:space="preserve"> </w:t>
      </w:r>
      <w:r w:rsidRPr="00533EAC">
        <w:rPr>
          <w:rFonts w:ascii="Arial" w:eastAsia="Calibri" w:hAnsi="Arial" w:cs="Arial"/>
          <w:i/>
          <w:color w:val="000000" w:themeColor="text1"/>
          <w:lang w:val="en-ZA"/>
        </w:rPr>
        <w:t xml:space="preserve">P. </w:t>
      </w:r>
      <w:proofErr w:type="spellStart"/>
      <w:r w:rsidRPr="00533EAC">
        <w:rPr>
          <w:rFonts w:ascii="Arial" w:eastAsia="Calibri" w:hAnsi="Arial" w:cs="Arial"/>
          <w:i/>
          <w:color w:val="000000" w:themeColor="text1"/>
          <w:lang w:val="en-ZA"/>
        </w:rPr>
        <w:t>herdmani</w:t>
      </w:r>
      <w:proofErr w:type="spellEnd"/>
      <w:r w:rsidRPr="00533EAC">
        <w:rPr>
          <w:rFonts w:ascii="Arial" w:eastAsia="Calibri" w:hAnsi="Arial" w:cs="Arial"/>
          <w:i/>
          <w:color w:val="000000" w:themeColor="text1"/>
          <w:lang w:val="en-ZA"/>
        </w:rPr>
        <w:t xml:space="preserve"> </w:t>
      </w:r>
      <w:r w:rsidR="003D4583" w:rsidRPr="00533EAC">
        <w:rPr>
          <w:rFonts w:ascii="Arial" w:eastAsia="Calibri" w:hAnsi="Arial" w:cs="Arial"/>
          <w:color w:val="000000" w:themeColor="text1"/>
          <w:lang w:val="en-ZA"/>
        </w:rPr>
        <w:t xml:space="preserve">population </w:t>
      </w:r>
      <w:r w:rsidRPr="00533EAC">
        <w:rPr>
          <w:rFonts w:ascii="Arial" w:eastAsia="Calibri" w:hAnsi="Arial" w:cs="Arial"/>
          <w:color w:val="000000" w:themeColor="text1"/>
          <w:lang w:val="en-ZA"/>
        </w:rPr>
        <w:t>defined</w:t>
      </w:r>
      <w:r w:rsidR="00C00101" w:rsidRPr="00533EAC">
        <w:rPr>
          <w:rFonts w:ascii="Arial" w:eastAsia="Calibri" w:hAnsi="Arial" w:cs="Arial"/>
          <w:color w:val="000000" w:themeColor="text1"/>
          <w:lang w:val="en-ZA"/>
        </w:rPr>
        <w:t xml:space="preserve"> as</w:t>
      </w:r>
      <w:r w:rsidRPr="00533EAC">
        <w:rPr>
          <w:rFonts w:ascii="Arial" w:eastAsia="Calibri" w:hAnsi="Arial" w:cs="Arial"/>
          <w:color w:val="000000" w:themeColor="text1"/>
          <w:lang w:val="en-ZA"/>
        </w:rPr>
        <w:t xml:space="preserve"> </w:t>
      </w:r>
      <w:r w:rsidR="00A6502B" w:rsidRPr="00533EAC">
        <w:rPr>
          <w:rFonts w:ascii="Arial" w:eastAsia="Calibri" w:hAnsi="Arial" w:cs="Arial"/>
          <w:color w:val="000000" w:themeColor="text1"/>
          <w:lang w:val="en-ZA"/>
        </w:rPr>
        <w:t xml:space="preserve">common </w:t>
      </w:r>
      <w:r w:rsidRPr="00533EAC">
        <w:rPr>
          <w:rFonts w:ascii="Arial" w:eastAsia="Calibri" w:hAnsi="Arial" w:cs="Arial"/>
          <w:color w:val="000000" w:themeColor="text1"/>
          <w:lang w:val="en-ZA"/>
        </w:rPr>
        <w:t>temperate 32</w:t>
      </w:r>
      <w:r w:rsidR="00496B01" w:rsidRPr="00533EAC">
        <w:rPr>
          <w:rFonts w:ascii="Arial" w:eastAsia="Calibri" w:hAnsi="Arial" w:cs="Arial"/>
          <w:color w:val="000000" w:themeColor="text1"/>
          <w:lang w:val="en-ZA"/>
        </w:rPr>
        <w:t>.</w:t>
      </w:r>
      <w:r w:rsidR="00486F49" w:rsidRPr="00533EAC">
        <w:rPr>
          <w:rFonts w:ascii="Arial" w:eastAsia="Calibri" w:hAnsi="Arial" w:cs="Arial"/>
          <w:color w:val="000000" w:themeColor="text1"/>
          <w:lang w:val="en-ZA"/>
        </w:rPr>
        <w:t>6</w:t>
      </w:r>
      <w:r w:rsidRPr="00533EAC">
        <w:rPr>
          <w:rFonts w:ascii="Arial" w:eastAsia="Calibri" w:hAnsi="Arial" w:cs="Arial"/>
          <w:color w:val="000000" w:themeColor="text1"/>
          <w:lang w:val="en-ZA"/>
        </w:rPr>
        <w:t xml:space="preserve">%, </w:t>
      </w:r>
      <w:r w:rsidR="00A6502B" w:rsidRPr="00533EAC">
        <w:rPr>
          <w:rFonts w:ascii="Arial" w:eastAsia="Calibri" w:hAnsi="Arial" w:cs="Arial"/>
          <w:color w:val="000000" w:themeColor="text1"/>
          <w:lang w:val="en-ZA"/>
        </w:rPr>
        <w:t xml:space="preserve">rare </w:t>
      </w:r>
      <w:r w:rsidRPr="00533EAC">
        <w:rPr>
          <w:rFonts w:ascii="Arial" w:eastAsia="Calibri" w:hAnsi="Arial" w:cs="Arial"/>
          <w:color w:val="000000" w:themeColor="text1"/>
          <w:lang w:val="en-ZA"/>
        </w:rPr>
        <w:t xml:space="preserve">temperate </w:t>
      </w:r>
      <w:r w:rsidR="00EA4243" w:rsidRPr="00533EAC">
        <w:rPr>
          <w:rFonts w:ascii="Arial" w:eastAsia="Calibri" w:hAnsi="Arial" w:cs="Arial"/>
          <w:i/>
          <w:color w:val="000000" w:themeColor="text1"/>
          <w:lang w:val="en-ZA"/>
        </w:rPr>
        <w:t>P. herdmani</w:t>
      </w:r>
      <w:r w:rsidR="00EA4243" w:rsidRPr="00533EAC">
        <w:rPr>
          <w:rFonts w:ascii="Arial" w:eastAsia="Calibri" w:hAnsi="Arial" w:cs="Arial"/>
          <w:color w:val="000000" w:themeColor="text1"/>
          <w:lang w:val="en-ZA"/>
        </w:rPr>
        <w:t xml:space="preserve"> </w:t>
      </w:r>
      <w:r w:rsidR="00486F49" w:rsidRPr="00533EAC">
        <w:rPr>
          <w:rFonts w:ascii="Arial" w:eastAsia="Calibri" w:hAnsi="Arial" w:cs="Arial"/>
          <w:color w:val="000000" w:themeColor="text1"/>
          <w:lang w:val="en-ZA"/>
        </w:rPr>
        <w:t>28.1</w:t>
      </w:r>
      <w:r w:rsidRPr="00533EAC">
        <w:rPr>
          <w:rFonts w:ascii="Arial" w:eastAsia="Calibri" w:hAnsi="Arial" w:cs="Arial"/>
          <w:color w:val="000000" w:themeColor="text1"/>
          <w:lang w:val="en-ZA"/>
        </w:rPr>
        <w:t xml:space="preserve">%, subtropical </w:t>
      </w:r>
      <w:r w:rsidR="00EA4243" w:rsidRPr="00533EAC">
        <w:rPr>
          <w:rFonts w:ascii="Arial" w:eastAsia="Calibri" w:hAnsi="Arial" w:cs="Arial"/>
          <w:i/>
          <w:color w:val="000000" w:themeColor="text1"/>
          <w:lang w:val="en-ZA"/>
        </w:rPr>
        <w:t>P. herdmani</w:t>
      </w:r>
      <w:r w:rsidR="00EA4243" w:rsidRPr="00533EAC">
        <w:rPr>
          <w:rFonts w:ascii="Arial" w:eastAsia="Calibri" w:hAnsi="Arial" w:cs="Arial"/>
          <w:color w:val="000000" w:themeColor="text1"/>
          <w:lang w:val="en-ZA"/>
        </w:rPr>
        <w:t xml:space="preserve"> </w:t>
      </w:r>
      <w:r w:rsidR="00496B01" w:rsidRPr="00533EAC">
        <w:rPr>
          <w:rFonts w:ascii="Arial" w:eastAsia="Calibri" w:hAnsi="Arial" w:cs="Arial"/>
          <w:color w:val="000000" w:themeColor="text1"/>
          <w:lang w:val="en-ZA"/>
        </w:rPr>
        <w:t>36.</w:t>
      </w:r>
      <w:r w:rsidRPr="00533EAC">
        <w:rPr>
          <w:rFonts w:ascii="Arial" w:eastAsia="Calibri" w:hAnsi="Arial" w:cs="Arial"/>
          <w:color w:val="000000" w:themeColor="text1"/>
          <w:lang w:val="en-ZA"/>
        </w:rPr>
        <w:t xml:space="preserve">9%, and </w:t>
      </w:r>
      <w:r w:rsidR="00EA4243" w:rsidRPr="00533EAC">
        <w:rPr>
          <w:rFonts w:ascii="Arial" w:eastAsia="Calibri" w:hAnsi="Arial" w:cs="Arial"/>
          <w:color w:val="000000" w:themeColor="text1"/>
          <w:lang w:val="en-ZA"/>
        </w:rPr>
        <w:t>Moroccan</w:t>
      </w:r>
      <w:r w:rsidR="00EA4243" w:rsidRPr="00533EAC">
        <w:rPr>
          <w:rFonts w:ascii="Arial" w:eastAsia="Calibri" w:hAnsi="Arial" w:cs="Arial"/>
          <w:i/>
          <w:color w:val="000000" w:themeColor="text1"/>
          <w:lang w:val="en-ZA"/>
        </w:rPr>
        <w:t xml:space="preserve"> </w:t>
      </w:r>
      <w:r w:rsidRPr="00533EAC">
        <w:rPr>
          <w:rFonts w:ascii="Arial" w:eastAsia="Calibri" w:hAnsi="Arial" w:cs="Arial"/>
          <w:i/>
          <w:color w:val="000000" w:themeColor="text1"/>
          <w:lang w:val="en-ZA"/>
        </w:rPr>
        <w:t xml:space="preserve">P. </w:t>
      </w:r>
      <w:proofErr w:type="spellStart"/>
      <w:r w:rsidRPr="00533EAC">
        <w:rPr>
          <w:rFonts w:ascii="Arial" w:eastAsia="Calibri" w:hAnsi="Arial" w:cs="Arial"/>
          <w:i/>
          <w:color w:val="000000" w:themeColor="text1"/>
          <w:lang w:val="en-ZA"/>
        </w:rPr>
        <w:t>herdmani</w:t>
      </w:r>
      <w:proofErr w:type="spellEnd"/>
      <w:r w:rsidR="00486F49" w:rsidRPr="00533EAC">
        <w:rPr>
          <w:rFonts w:ascii="Arial" w:eastAsia="Calibri" w:hAnsi="Arial" w:cs="Arial"/>
          <w:color w:val="000000" w:themeColor="text1"/>
          <w:lang w:val="en-ZA"/>
        </w:rPr>
        <w:t xml:space="preserve"> 49.9</w:t>
      </w:r>
      <w:r w:rsidRPr="00533EAC">
        <w:rPr>
          <w:rFonts w:ascii="Arial" w:eastAsia="Calibri" w:hAnsi="Arial" w:cs="Arial"/>
          <w:color w:val="000000" w:themeColor="text1"/>
          <w:lang w:val="en-ZA"/>
        </w:rPr>
        <w:t>%.</w:t>
      </w:r>
    </w:p>
    <w:p w14:paraId="2506F866" w14:textId="77777777" w:rsidR="00C00101" w:rsidRPr="00533EAC" w:rsidRDefault="00C00101" w:rsidP="00C05A32">
      <w:pPr>
        <w:spacing w:after="0" w:line="360" w:lineRule="auto"/>
        <w:jc w:val="both"/>
        <w:rPr>
          <w:rFonts w:ascii="Arial" w:eastAsia="Calibri" w:hAnsi="Arial" w:cs="Arial"/>
          <w:color w:val="000000" w:themeColor="text1"/>
          <w:lang w:val="en-ZA"/>
        </w:rPr>
      </w:pPr>
    </w:p>
    <w:p w14:paraId="0129D361" w14:textId="212E932A" w:rsidR="005633D6" w:rsidRPr="00533EAC" w:rsidRDefault="005633D6" w:rsidP="00C05A32">
      <w:pPr>
        <w:spacing w:after="0" w:line="360" w:lineRule="auto"/>
        <w:jc w:val="both"/>
        <w:rPr>
          <w:rFonts w:ascii="Arial" w:eastAsia="Calibri" w:hAnsi="Arial" w:cs="Arial"/>
          <w:color w:val="000000" w:themeColor="text1"/>
          <w:lang w:val="en-ZA"/>
        </w:rPr>
      </w:pPr>
      <w:r w:rsidRPr="00533EAC">
        <w:rPr>
          <w:rFonts w:ascii="Arial" w:eastAsia="Calibri" w:hAnsi="Arial" w:cs="Arial"/>
          <w:color w:val="000000" w:themeColor="text1"/>
          <w:lang w:val="en-ZA"/>
        </w:rPr>
        <w:t>The number of single nucleotide polymorphisms (SNPs) per gene region, and the relative variation when taking</w:t>
      </w:r>
      <w:r w:rsidR="00C00101" w:rsidRPr="00533EAC">
        <w:rPr>
          <w:rFonts w:ascii="Arial" w:eastAsia="Calibri" w:hAnsi="Arial" w:cs="Arial"/>
          <w:color w:val="000000" w:themeColor="text1"/>
          <w:lang w:val="en-ZA"/>
        </w:rPr>
        <w:t xml:space="preserve"> the</w:t>
      </w:r>
      <w:r w:rsidRPr="00533EAC">
        <w:rPr>
          <w:rFonts w:ascii="Arial" w:eastAsia="Calibri" w:hAnsi="Arial" w:cs="Arial"/>
          <w:color w:val="000000" w:themeColor="text1"/>
          <w:lang w:val="en-ZA"/>
        </w:rPr>
        <w:t xml:space="preserve"> length of each gene fragment into account, are listed in Table</w:t>
      </w:r>
      <w:r w:rsidR="006A002A" w:rsidRPr="00533EAC">
        <w:rPr>
          <w:rFonts w:ascii="Arial" w:eastAsia="Calibri" w:hAnsi="Arial" w:cs="Arial"/>
          <w:color w:val="000000" w:themeColor="text1"/>
          <w:lang w:val="en-ZA"/>
        </w:rPr>
        <w:t xml:space="preserve"> </w:t>
      </w:r>
      <w:r w:rsidR="00292870" w:rsidRPr="00533EAC">
        <w:rPr>
          <w:rFonts w:ascii="Arial" w:eastAsia="Calibri" w:hAnsi="Arial" w:cs="Arial"/>
          <w:color w:val="000000" w:themeColor="text1"/>
          <w:lang w:val="en-ZA"/>
        </w:rPr>
        <w:t>5</w:t>
      </w:r>
      <w:r w:rsidRPr="00533EAC">
        <w:rPr>
          <w:rFonts w:ascii="Arial" w:eastAsia="Calibri" w:hAnsi="Arial" w:cs="Arial"/>
          <w:color w:val="000000" w:themeColor="text1"/>
          <w:lang w:val="en-ZA"/>
        </w:rPr>
        <w:t>. Am</w:t>
      </w:r>
      <w:r w:rsidR="00486F49" w:rsidRPr="00533EAC">
        <w:rPr>
          <w:rFonts w:ascii="Arial" w:eastAsia="Calibri" w:hAnsi="Arial" w:cs="Arial"/>
          <w:color w:val="000000" w:themeColor="text1"/>
          <w:lang w:val="en-ZA"/>
        </w:rPr>
        <w:t xml:space="preserve">ong all protein-coding genes, </w:t>
      </w:r>
      <w:r w:rsidR="00EF4181" w:rsidRPr="00533EAC">
        <w:rPr>
          <w:rFonts w:ascii="Arial" w:eastAsia="Calibri" w:hAnsi="Arial" w:cs="Arial"/>
          <w:color w:val="000000" w:themeColor="text1"/>
          <w:lang w:val="en-ZA"/>
        </w:rPr>
        <w:t>2,</w:t>
      </w:r>
      <w:r w:rsidR="005B3FDE" w:rsidRPr="00533EAC">
        <w:rPr>
          <w:rFonts w:ascii="Arial" w:eastAsia="Calibri" w:hAnsi="Arial" w:cs="Arial"/>
          <w:color w:val="000000" w:themeColor="text1"/>
          <w:lang w:val="en-ZA"/>
        </w:rPr>
        <w:t>042 SNPs were detected</w:t>
      </w:r>
      <w:r w:rsidR="003D4583" w:rsidRPr="00533EAC">
        <w:rPr>
          <w:rFonts w:ascii="Arial" w:eastAsia="Calibri" w:hAnsi="Arial" w:cs="Arial"/>
          <w:color w:val="000000" w:themeColor="text1"/>
          <w:lang w:val="en-ZA"/>
        </w:rPr>
        <w:t xml:space="preserve">, of which </w:t>
      </w:r>
      <w:r w:rsidRPr="00533EAC">
        <w:rPr>
          <w:rFonts w:ascii="Arial" w:eastAsia="Calibri" w:hAnsi="Arial" w:cs="Arial"/>
          <w:color w:val="000000" w:themeColor="text1"/>
          <w:lang w:val="en-ZA"/>
        </w:rPr>
        <w:t xml:space="preserve">757 were parsimony informative. Cox1 was the most variable gene in terms of total number of SNPs (404), </w:t>
      </w:r>
      <w:r w:rsidR="00C00101" w:rsidRPr="00533EAC">
        <w:rPr>
          <w:rFonts w:ascii="Arial" w:eastAsia="Calibri" w:hAnsi="Arial" w:cs="Arial"/>
          <w:color w:val="000000" w:themeColor="text1"/>
          <w:lang w:val="en-ZA"/>
        </w:rPr>
        <w:t xml:space="preserve">and </w:t>
      </w:r>
      <w:r w:rsidRPr="00533EAC">
        <w:rPr>
          <w:rFonts w:ascii="Arial" w:eastAsia="Calibri" w:hAnsi="Arial" w:cs="Arial"/>
          <w:color w:val="000000" w:themeColor="text1"/>
          <w:lang w:val="en-ZA"/>
        </w:rPr>
        <w:t xml:space="preserve">was followed by Nad5 with 288 SNPs, </w:t>
      </w:r>
      <w:r w:rsidR="00C00101" w:rsidRPr="00533EAC">
        <w:rPr>
          <w:rFonts w:ascii="Arial" w:eastAsia="Calibri" w:hAnsi="Arial" w:cs="Arial"/>
          <w:color w:val="000000" w:themeColor="text1"/>
          <w:lang w:val="en-ZA"/>
        </w:rPr>
        <w:t xml:space="preserve">whereas </w:t>
      </w:r>
      <w:r w:rsidRPr="00533EAC">
        <w:rPr>
          <w:rFonts w:ascii="Arial" w:eastAsia="Calibri" w:hAnsi="Arial" w:cs="Arial"/>
          <w:color w:val="000000" w:themeColor="text1"/>
          <w:lang w:val="en-ZA"/>
        </w:rPr>
        <w:t xml:space="preserve">Atp8 had the lowest variability, with only 35 SNPs. However, when length of the gene fragment was taken into account, Atp8 </w:t>
      </w:r>
      <w:r w:rsidR="00C00101" w:rsidRPr="00533EAC">
        <w:rPr>
          <w:rFonts w:ascii="Arial" w:eastAsia="Calibri" w:hAnsi="Arial" w:cs="Arial"/>
          <w:color w:val="000000" w:themeColor="text1"/>
          <w:lang w:val="en-ZA"/>
        </w:rPr>
        <w:t>was</w:t>
      </w:r>
      <w:r w:rsidR="00486F49" w:rsidRPr="00533EAC">
        <w:rPr>
          <w:rFonts w:ascii="Arial" w:eastAsia="Calibri" w:hAnsi="Arial" w:cs="Arial"/>
          <w:color w:val="000000" w:themeColor="text1"/>
          <w:lang w:val="en-ZA"/>
        </w:rPr>
        <w:t xml:space="preserve"> the most variable gene (35</w:t>
      </w:r>
      <w:r w:rsidRPr="00533EAC">
        <w:rPr>
          <w:rFonts w:ascii="Arial" w:eastAsia="Calibri" w:hAnsi="Arial" w:cs="Arial"/>
          <w:color w:val="000000" w:themeColor="text1"/>
          <w:lang w:val="en-ZA"/>
        </w:rPr>
        <w:t>%), followed by Cox2</w:t>
      </w:r>
      <w:r w:rsidR="00486F49" w:rsidRPr="00533EAC">
        <w:rPr>
          <w:rFonts w:ascii="Arial" w:eastAsia="Calibri" w:hAnsi="Arial" w:cs="Arial"/>
          <w:color w:val="000000" w:themeColor="text1"/>
          <w:lang w:val="en-ZA"/>
        </w:rPr>
        <w:t xml:space="preserve"> (27</w:t>
      </w:r>
      <w:r w:rsidRPr="00533EAC">
        <w:rPr>
          <w:rFonts w:ascii="Arial" w:eastAsia="Calibri" w:hAnsi="Arial" w:cs="Arial"/>
          <w:color w:val="000000" w:themeColor="text1"/>
          <w:lang w:val="en-ZA"/>
        </w:rPr>
        <w:t>%) and Cox1</w:t>
      </w:r>
      <w:r w:rsidR="00486F49" w:rsidRPr="00533EAC">
        <w:rPr>
          <w:rFonts w:ascii="Arial" w:eastAsia="Calibri" w:hAnsi="Arial" w:cs="Arial"/>
          <w:color w:val="000000" w:themeColor="text1"/>
          <w:lang w:val="en-ZA"/>
        </w:rPr>
        <w:t xml:space="preserve"> (26</w:t>
      </w:r>
      <w:r w:rsidRPr="00533EAC">
        <w:rPr>
          <w:rFonts w:ascii="Arial" w:eastAsia="Calibri" w:hAnsi="Arial" w:cs="Arial"/>
          <w:color w:val="000000" w:themeColor="text1"/>
          <w:lang w:val="en-ZA"/>
        </w:rPr>
        <w:t>%).</w:t>
      </w:r>
    </w:p>
    <w:p w14:paraId="5D1F703B" w14:textId="77777777" w:rsidR="00F35A97" w:rsidRPr="00533EAC" w:rsidRDefault="00F35A97" w:rsidP="00C05A32">
      <w:pPr>
        <w:spacing w:after="0" w:line="360" w:lineRule="auto"/>
        <w:jc w:val="both"/>
        <w:rPr>
          <w:rFonts w:ascii="Arial" w:eastAsia="Calibri" w:hAnsi="Arial" w:cs="Arial"/>
          <w:color w:val="000000" w:themeColor="text1"/>
          <w:lang w:val="en-ZA"/>
        </w:rPr>
      </w:pPr>
    </w:p>
    <w:p w14:paraId="3EFD2C8E" w14:textId="32D044F6" w:rsidR="005633D6" w:rsidRPr="00533EAC" w:rsidRDefault="005633D6" w:rsidP="00C05A32">
      <w:pPr>
        <w:spacing w:after="0" w:line="360" w:lineRule="auto"/>
        <w:jc w:val="both"/>
        <w:rPr>
          <w:rFonts w:ascii="Arial" w:eastAsia="Calibri" w:hAnsi="Arial" w:cs="Arial"/>
          <w:color w:val="000000" w:themeColor="text1"/>
          <w:lang w:val="en-ZA"/>
        </w:rPr>
      </w:pPr>
      <w:r w:rsidRPr="00533EAC">
        <w:rPr>
          <w:rFonts w:ascii="Arial" w:eastAsia="Calibri" w:hAnsi="Arial" w:cs="Arial"/>
          <w:color w:val="000000" w:themeColor="text1"/>
          <w:lang w:val="en-ZA"/>
        </w:rPr>
        <w:t xml:space="preserve">The phylogenetic tree shown in Figure 1 was inferred using the concatenated partial sequences of the 13 PCGs. It provided a well-resolved phylogeny, with all nodes being strongly supported (posterior probability [PP] &gt; 0.99). </w:t>
      </w:r>
      <w:r w:rsidRPr="00533EAC">
        <w:rPr>
          <w:rFonts w:ascii="Arial" w:eastAsia="Calibri" w:hAnsi="Arial" w:cs="Arial"/>
          <w:i/>
          <w:iCs/>
          <w:color w:val="000000" w:themeColor="text1"/>
          <w:lang w:val="en-ZA"/>
        </w:rPr>
        <w:t xml:space="preserve">Pyura </w:t>
      </w:r>
      <w:proofErr w:type="spellStart"/>
      <w:r w:rsidRPr="00533EAC">
        <w:rPr>
          <w:rFonts w:ascii="Arial" w:eastAsia="Calibri" w:hAnsi="Arial" w:cs="Arial"/>
          <w:i/>
          <w:iCs/>
          <w:color w:val="000000" w:themeColor="text1"/>
          <w:lang w:val="en-ZA"/>
        </w:rPr>
        <w:t>gangelion</w:t>
      </w:r>
      <w:proofErr w:type="spellEnd"/>
      <w:r w:rsidRPr="00533EAC">
        <w:rPr>
          <w:rFonts w:ascii="Arial" w:eastAsia="Calibri" w:hAnsi="Arial" w:cs="Arial"/>
          <w:color w:val="000000" w:themeColor="text1"/>
          <w:lang w:val="en-ZA"/>
        </w:rPr>
        <w:t xml:space="preserve"> was used as the outgroup species and </w:t>
      </w:r>
      <w:r w:rsidR="00D20B73" w:rsidRPr="00533EAC">
        <w:rPr>
          <w:rFonts w:ascii="Arial" w:eastAsia="Calibri" w:hAnsi="Arial" w:cs="Arial"/>
          <w:i/>
          <w:color w:val="000000" w:themeColor="text1"/>
          <w:lang w:val="en-ZA"/>
        </w:rPr>
        <w:t>P.</w:t>
      </w:r>
      <w:r w:rsidRPr="00533EAC">
        <w:rPr>
          <w:rFonts w:ascii="Arial" w:eastAsia="Calibri" w:hAnsi="Arial" w:cs="Arial"/>
          <w:i/>
          <w:color w:val="000000" w:themeColor="text1"/>
          <w:lang w:val="en-ZA"/>
        </w:rPr>
        <w:t xml:space="preserve"> stolonifera</w:t>
      </w:r>
      <w:r w:rsidRPr="00533EAC">
        <w:rPr>
          <w:rFonts w:ascii="Arial" w:eastAsia="Calibri" w:hAnsi="Arial" w:cs="Arial"/>
          <w:color w:val="000000" w:themeColor="text1"/>
          <w:lang w:val="en-ZA"/>
        </w:rPr>
        <w:t xml:space="preserve"> and </w:t>
      </w:r>
      <w:r w:rsidRPr="00533EAC">
        <w:rPr>
          <w:rFonts w:ascii="Arial" w:eastAsia="Calibri" w:hAnsi="Arial" w:cs="Arial"/>
          <w:i/>
          <w:color w:val="000000" w:themeColor="text1"/>
          <w:lang w:val="en-ZA"/>
        </w:rPr>
        <w:t xml:space="preserve">P. herdmani </w:t>
      </w:r>
      <w:r w:rsidRPr="00533EAC">
        <w:rPr>
          <w:rFonts w:ascii="Arial" w:eastAsia="Calibri" w:hAnsi="Arial" w:cs="Arial"/>
          <w:color w:val="000000" w:themeColor="text1"/>
          <w:lang w:val="en-ZA"/>
        </w:rPr>
        <w:t>form</w:t>
      </w:r>
      <w:r w:rsidR="00535B6E" w:rsidRPr="00533EAC">
        <w:rPr>
          <w:rFonts w:ascii="Arial" w:eastAsia="Calibri" w:hAnsi="Arial" w:cs="Arial"/>
          <w:color w:val="000000" w:themeColor="text1"/>
          <w:lang w:val="en-ZA"/>
        </w:rPr>
        <w:t>ed</w:t>
      </w:r>
      <w:r w:rsidRPr="00533EAC">
        <w:rPr>
          <w:rFonts w:ascii="Arial" w:eastAsia="Calibri" w:hAnsi="Arial" w:cs="Arial"/>
          <w:color w:val="000000" w:themeColor="text1"/>
          <w:lang w:val="en-ZA"/>
        </w:rPr>
        <w:t xml:space="preserve"> two distinct monophyletic groups</w:t>
      </w:r>
      <w:r w:rsidR="0073251E" w:rsidRPr="00533EAC">
        <w:rPr>
          <w:rFonts w:ascii="Arial" w:eastAsia="Calibri" w:hAnsi="Arial" w:cs="Arial"/>
          <w:color w:val="000000" w:themeColor="text1"/>
          <w:lang w:val="en-ZA"/>
        </w:rPr>
        <w:t xml:space="preserve">, and </w:t>
      </w:r>
      <w:r w:rsidR="0073251E" w:rsidRPr="00533EAC">
        <w:rPr>
          <w:rFonts w:ascii="Arial" w:eastAsia="Calibri" w:hAnsi="Arial" w:cs="Arial"/>
          <w:i/>
          <w:iCs/>
          <w:color w:val="000000" w:themeColor="text1"/>
          <w:lang w:val="en-ZA"/>
        </w:rPr>
        <w:t>P. herdmani</w:t>
      </w:r>
      <w:r w:rsidR="0073251E" w:rsidRPr="00533EAC">
        <w:rPr>
          <w:rFonts w:ascii="Arial" w:eastAsia="Calibri" w:hAnsi="Arial" w:cs="Arial"/>
          <w:color w:val="000000" w:themeColor="text1"/>
          <w:lang w:val="en-ZA"/>
        </w:rPr>
        <w:t xml:space="preserve"> is further subdivided into distinct populations</w:t>
      </w:r>
      <w:r w:rsidRPr="00533EAC">
        <w:rPr>
          <w:rFonts w:ascii="Arial" w:eastAsia="Calibri" w:hAnsi="Arial" w:cs="Arial"/>
          <w:color w:val="000000" w:themeColor="text1"/>
          <w:lang w:val="en-ZA"/>
        </w:rPr>
        <w:t xml:space="preserve">. </w:t>
      </w:r>
    </w:p>
    <w:p w14:paraId="11A31C87" w14:textId="6452B7D7" w:rsidR="005633D6" w:rsidRPr="00533EAC" w:rsidRDefault="005633D6" w:rsidP="00C05A32">
      <w:pPr>
        <w:spacing w:after="0" w:line="360" w:lineRule="auto"/>
        <w:jc w:val="both"/>
        <w:rPr>
          <w:rFonts w:ascii="Arial" w:eastAsia="Calibri" w:hAnsi="Arial" w:cs="Arial"/>
          <w:color w:val="000000" w:themeColor="text1"/>
          <w:lang w:val="en-ZA"/>
        </w:rPr>
      </w:pPr>
    </w:p>
    <w:p w14:paraId="45435953" w14:textId="527F9251" w:rsidR="001D4F11" w:rsidRPr="00533EAC" w:rsidRDefault="005633D6" w:rsidP="00C05A32">
      <w:pPr>
        <w:spacing w:after="0" w:line="360" w:lineRule="auto"/>
        <w:jc w:val="both"/>
        <w:rPr>
          <w:rFonts w:ascii="Arial" w:eastAsia="Calibri" w:hAnsi="Arial" w:cs="Arial"/>
          <w:b/>
          <w:color w:val="000000" w:themeColor="text1"/>
          <w:lang w:val="en-ZA"/>
        </w:rPr>
      </w:pPr>
      <w:r w:rsidRPr="00533EAC">
        <w:rPr>
          <w:rFonts w:ascii="Arial" w:eastAsia="Calibri" w:hAnsi="Arial" w:cs="Arial"/>
          <w:b/>
          <w:color w:val="000000" w:themeColor="text1"/>
          <w:lang w:val="en-ZA"/>
        </w:rPr>
        <w:t>Discussion</w:t>
      </w:r>
    </w:p>
    <w:p w14:paraId="031D02A0" w14:textId="2B81C61C" w:rsidR="00F35A97" w:rsidRPr="00533EAC" w:rsidRDefault="00F35A97" w:rsidP="00C05A32">
      <w:pPr>
        <w:spacing w:after="0" w:line="360" w:lineRule="auto"/>
        <w:jc w:val="both"/>
        <w:rPr>
          <w:rFonts w:ascii="Arial" w:eastAsia="Calibri" w:hAnsi="Arial" w:cs="Arial"/>
          <w:color w:val="000000" w:themeColor="text1"/>
          <w:lang w:val="en-ZA"/>
        </w:rPr>
      </w:pPr>
    </w:p>
    <w:p w14:paraId="529D344C" w14:textId="4A869543" w:rsidR="005633D6" w:rsidRPr="00533EAC" w:rsidRDefault="005633D6" w:rsidP="00A15233">
      <w:pPr>
        <w:spacing w:after="0" w:line="360" w:lineRule="auto"/>
        <w:jc w:val="both"/>
        <w:rPr>
          <w:rFonts w:ascii="Arial" w:eastAsia="Calibri" w:hAnsi="Arial" w:cs="Arial"/>
          <w:color w:val="000000" w:themeColor="text1"/>
          <w:lang w:val="en-ZA"/>
        </w:rPr>
      </w:pPr>
      <w:r w:rsidRPr="00533EAC">
        <w:rPr>
          <w:rFonts w:ascii="Arial" w:eastAsia="Calibri" w:hAnsi="Arial" w:cs="Arial"/>
          <w:color w:val="000000" w:themeColor="text1"/>
          <w:lang w:val="en-ZA"/>
        </w:rPr>
        <w:lastRenderedPageBreak/>
        <w:t xml:space="preserve">In this study, we </w:t>
      </w:r>
      <w:r w:rsidR="00EF4181" w:rsidRPr="00533EAC">
        <w:rPr>
          <w:rFonts w:ascii="Arial" w:eastAsia="Calibri" w:hAnsi="Arial" w:cs="Arial"/>
          <w:color w:val="000000" w:themeColor="text1"/>
          <w:lang w:val="en-ZA"/>
        </w:rPr>
        <w:t>tested</w:t>
      </w:r>
      <w:r w:rsidRPr="00533EAC">
        <w:rPr>
          <w:rFonts w:ascii="Arial" w:eastAsia="Calibri" w:hAnsi="Arial" w:cs="Arial"/>
          <w:color w:val="000000" w:themeColor="text1"/>
          <w:lang w:val="en-ZA"/>
        </w:rPr>
        <w:t xml:space="preserve"> new genetic markers </w:t>
      </w:r>
      <w:r w:rsidR="00EF4181" w:rsidRPr="00533EAC">
        <w:rPr>
          <w:rFonts w:ascii="Arial" w:eastAsia="Calibri" w:hAnsi="Arial" w:cs="Arial"/>
          <w:color w:val="000000" w:themeColor="text1"/>
          <w:lang w:val="en-ZA"/>
        </w:rPr>
        <w:t>with</w:t>
      </w:r>
      <w:r w:rsidRPr="00533EAC">
        <w:rPr>
          <w:rFonts w:ascii="Arial" w:eastAsia="Calibri" w:hAnsi="Arial" w:cs="Arial"/>
          <w:color w:val="000000" w:themeColor="text1"/>
          <w:lang w:val="en-ZA"/>
        </w:rPr>
        <w:t xml:space="preserve"> South African and northwest African </w:t>
      </w:r>
      <w:r w:rsidR="00EF4181" w:rsidRPr="00533EAC">
        <w:rPr>
          <w:rFonts w:ascii="Arial" w:eastAsia="Calibri" w:hAnsi="Arial" w:cs="Arial"/>
          <w:color w:val="000000" w:themeColor="text1"/>
          <w:lang w:val="en-ZA"/>
        </w:rPr>
        <w:t xml:space="preserve">individuals </w:t>
      </w:r>
      <w:r w:rsidRPr="00533EAC">
        <w:rPr>
          <w:rFonts w:ascii="Arial" w:eastAsia="Calibri" w:hAnsi="Arial" w:cs="Arial"/>
          <w:color w:val="000000" w:themeColor="text1"/>
          <w:lang w:val="en-ZA"/>
        </w:rPr>
        <w:t xml:space="preserve">of </w:t>
      </w:r>
      <w:r w:rsidR="00A868E5" w:rsidRPr="00533EAC">
        <w:rPr>
          <w:rFonts w:ascii="Arial" w:eastAsia="Calibri" w:hAnsi="Arial" w:cs="Arial"/>
          <w:i/>
          <w:iCs/>
          <w:color w:val="000000" w:themeColor="text1"/>
          <w:lang w:val="en-ZA"/>
        </w:rPr>
        <w:t xml:space="preserve">P. </w:t>
      </w:r>
      <w:r w:rsidRPr="00533EAC">
        <w:rPr>
          <w:rFonts w:ascii="Arial" w:eastAsia="Calibri" w:hAnsi="Arial" w:cs="Arial"/>
          <w:i/>
          <w:iCs/>
          <w:color w:val="000000" w:themeColor="text1"/>
          <w:lang w:val="en-ZA"/>
        </w:rPr>
        <w:t xml:space="preserve">stolonifera </w:t>
      </w:r>
      <w:r w:rsidRPr="00533EAC">
        <w:rPr>
          <w:rFonts w:ascii="Arial" w:eastAsia="Calibri" w:hAnsi="Arial" w:cs="Arial"/>
          <w:color w:val="000000" w:themeColor="text1"/>
          <w:lang w:val="en-ZA"/>
        </w:rPr>
        <w:t xml:space="preserve">and </w:t>
      </w:r>
      <w:r w:rsidRPr="00533EAC">
        <w:rPr>
          <w:rFonts w:ascii="Arial" w:eastAsia="Calibri" w:hAnsi="Arial" w:cs="Arial"/>
          <w:i/>
          <w:iCs/>
          <w:color w:val="000000" w:themeColor="text1"/>
          <w:lang w:val="en-ZA"/>
        </w:rPr>
        <w:t>P. herdmani</w:t>
      </w:r>
      <w:r w:rsidRPr="00533EAC">
        <w:rPr>
          <w:rFonts w:ascii="Arial" w:eastAsia="Calibri" w:hAnsi="Arial" w:cs="Arial"/>
          <w:i/>
          <w:color w:val="000000" w:themeColor="text1"/>
          <w:lang w:val="en-ZA"/>
        </w:rPr>
        <w:t>.</w:t>
      </w:r>
      <w:r w:rsidRPr="00533EAC">
        <w:rPr>
          <w:rFonts w:ascii="Arial" w:eastAsia="Calibri" w:hAnsi="Arial" w:cs="Arial"/>
          <w:color w:val="000000" w:themeColor="text1"/>
          <w:lang w:val="en-ZA"/>
        </w:rPr>
        <w:t xml:space="preserve"> </w:t>
      </w:r>
      <w:r w:rsidR="00184927" w:rsidRPr="00533EAC">
        <w:rPr>
          <w:rFonts w:ascii="Arial" w:eastAsia="Calibri" w:hAnsi="Arial" w:cs="Arial"/>
          <w:color w:val="000000" w:themeColor="text1"/>
          <w:lang w:val="en-ZA"/>
        </w:rPr>
        <w:t>T</w:t>
      </w:r>
      <w:r w:rsidRPr="00533EAC">
        <w:rPr>
          <w:rFonts w:ascii="Arial" w:eastAsia="Calibri" w:hAnsi="Arial" w:cs="Arial"/>
          <w:color w:val="000000" w:themeColor="text1"/>
          <w:lang w:val="en-ZA"/>
        </w:rPr>
        <w:t>he microsatellites</w:t>
      </w:r>
      <w:r w:rsidR="00792BBD" w:rsidRPr="00533EAC">
        <w:rPr>
          <w:rFonts w:ascii="Arial" w:eastAsia="Calibri" w:hAnsi="Arial" w:cs="Arial"/>
          <w:color w:val="000000" w:themeColor="text1"/>
          <w:lang w:val="en-ZA"/>
        </w:rPr>
        <w:t xml:space="preserve"> could </w:t>
      </w:r>
      <w:r w:rsidR="00184927" w:rsidRPr="00533EAC">
        <w:rPr>
          <w:rFonts w:ascii="Arial" w:eastAsia="Calibri" w:hAnsi="Arial" w:cs="Arial"/>
          <w:color w:val="000000" w:themeColor="text1"/>
          <w:lang w:val="en-ZA"/>
        </w:rPr>
        <w:t xml:space="preserve">be used to </w:t>
      </w:r>
      <w:r w:rsidRPr="00533EAC">
        <w:rPr>
          <w:rFonts w:ascii="Arial" w:eastAsia="Calibri" w:hAnsi="Arial" w:cs="Arial"/>
          <w:color w:val="000000" w:themeColor="text1"/>
          <w:lang w:val="en-ZA"/>
        </w:rPr>
        <w:t xml:space="preserve">detect </w:t>
      </w:r>
      <w:r w:rsidR="00470948" w:rsidRPr="00533EAC">
        <w:rPr>
          <w:rFonts w:ascii="Arial" w:eastAsia="Calibri" w:hAnsi="Arial" w:cs="Arial"/>
          <w:color w:val="000000" w:themeColor="text1"/>
          <w:lang w:val="en-ZA"/>
        </w:rPr>
        <w:t>fine-scale population structure and very recent evolutionary changes</w:t>
      </w:r>
      <w:r w:rsidRPr="00533EAC">
        <w:rPr>
          <w:rFonts w:ascii="Arial" w:eastAsia="Calibri" w:hAnsi="Arial" w:cs="Arial"/>
          <w:color w:val="000000" w:themeColor="text1"/>
          <w:lang w:val="en-ZA"/>
        </w:rPr>
        <w:t xml:space="preserve"> </w:t>
      </w:r>
      <w:r w:rsidRPr="00533EAC">
        <w:rPr>
          <w:rFonts w:ascii="Arial" w:eastAsia="Calibri" w:hAnsi="Arial" w:cs="Arial"/>
          <w:color w:val="000000" w:themeColor="text1"/>
          <w:lang w:val="en-ZA"/>
        </w:rPr>
        <w:fldChar w:fldCharType="begin" w:fldLock="1"/>
      </w:r>
      <w:r w:rsidR="002E2E55" w:rsidRPr="00533EAC">
        <w:rPr>
          <w:rFonts w:ascii="Arial" w:eastAsia="Calibri" w:hAnsi="Arial" w:cs="Arial"/>
          <w:color w:val="000000" w:themeColor="text1"/>
          <w:lang w:val="en-ZA"/>
        </w:rPr>
        <w:instrText xml:space="preserve">ADDIN CSL_CITATION {"citationItems":[{"id":"ITEM-1","itemData":{"DOI":"10.1590/1678-4685-GMB-2016-0027","ISSN":"16784685","abstract":"Microsatellites or Single Sequence Repeats (SSRs) are extensively employed in plant genetics studies, using both low and high throughput genotyping approaches. Motivated by the importance of these sequences over the last decades this review aims to address some theoretical aspects of SSRs, including definition, characterization and biological function. The methodologies for the development of SSR loci, genotyping and their applications as molecular markers are also reviewed. Finally, two data surveys are presented. The first was conducted using the main database of Web of Science, prospecting for articles published over the period from 2010 to 2015, resulting in approximately 930 records. The second survey was focused on papers that aimed at SSR marker development, published in the American Journal of Botany’s Primer Notes and Protocols in Plant Sciences (over 2013 up to 2015), resulting in a total of 87 publications. This scenario confirms the current relevance of SSRs and indicates their continuous utilization in plant science.","author":[{"dropping-particle":"","family":"Vieira","given":"Maria Lucia Carneiro","non-dropping-particle":"","parse-names":false,"suffix":""},{"dropping-particle":"","family":"Santini","given":"Luciane","non-dropping-particle":"","parse-names":false,"suffix":""},{"dropping-particle":"","family":"Diniz","given":"Augusto Lima","non-dropping-particle":"","parse-names":false,"suffix":""},{"dropping-particle":"","family":"Munhoz","given":"Carla de Freitas","non-dropping-particle":"","parse-names":false,"suffix":""}],"container-title":"Genetics and Molecular Biology","id":"ITEM-1","issue":"3","issued":{"date-parts":[["2016","7","1"]]},"page":"312-328","publisher":"Brazilian Journal of Genetics","title":"Microsatellite markers: What they mean and why they are so useful","type":"article","volume":"39"},"uris":["http://www.mendeley.com/documents/?uuid=225ea69d-cc54-36e0-8e08-d1a9e6ae1d03"]},{"id":"ITEM-2","itemData":{"DOI":"10.1007/s12526-017-0672-9","ISSN":"18671624","abstract":"© 2017 Senckenberg Gesellschaft für Naturforschung and Springer-Verlag Berlin Heidelberg Studying the geographic scale of gene flow and population structure in marine populations can be a powerful tool with which to infer patterns of larval dispersal averaged across generations. Here, we describe the development of ten novel polymorphic microsatellite markers for an important endemic ascidian, Pyura chilensis, of the southeastern Pacific, and we report the results from fine-scale genetic structure analysis of 151 P. chilensis individuals sampled from five sites constituting </w:instrText>
      </w:r>
      <w:r w:rsidR="002E2E55" w:rsidRPr="00533EAC">
        <w:rPr>
          <w:rFonts w:ascii="Cambria Math" w:eastAsia="Calibri" w:hAnsi="Cambria Math" w:cs="Cambria Math"/>
          <w:color w:val="000000" w:themeColor="text1"/>
          <w:lang w:val="en-ZA"/>
        </w:rPr>
        <w:instrText>∼</w:instrText>
      </w:r>
      <w:r w:rsidR="002E2E55" w:rsidRPr="00533EAC">
        <w:rPr>
          <w:rFonts w:ascii="Arial" w:eastAsia="Calibri" w:hAnsi="Arial" w:cs="Arial"/>
          <w:color w:val="000000" w:themeColor="text1"/>
          <w:lang w:val="en-ZA"/>
        </w:rPr>
        <w:instrText>80 km of coastline in southern Chile. All microsatellite markers were highly polymorphic (number of alleles ranged from 12 to 36). Our results revealed significant deviations from Hardy–Weinberg equilibrium (HWE) for most loci, suggesting the presence of either null alleles or deviations from random mating within sampled sites. However, we found a significantly higher spatial autocorrelation and higher mean pairwise relatedness among individuals sampled from the same sites than would be expected if samples were randomly distributed across all sites; this suggests that spatial configuration and reproduction might not be random within sites. Our results indicate the presence of a weak but significant genetic structure between sites (overall F ST = 0.015, p &lt; 0.001). Despite the short pelagic larval duration of this species, geographic distance does not appear to correlate with genetic distances between sites. From the results gathered here, it seems possible that genetic structure at this spatial scale is driven to some extent by local population dynamics (deviations from random mating and/or a large proportion of larvae settling in proximity of relatives), yet infrequent long-distance dispersal events might also be responsible for the relatively weak spatial heterogeneity between sites. Overall, our results both highlight the utility of this new marker set for population genetic studies of this species and provide new evidence regarding the complexity of the small-scale population structure of this species.","author":[{"dropping-particle":"","family":"Giles","given":"E. C.","non-dropping-particle":"","parse-names":false,"suffix":""},{"dropping-particle":"","family":"Petersen-Zúñiga","given":"C.","non-dropping-particle":"","parse-names":false,"suffix":""},{"dropping-particle":"","family":"Morales-González","given":"S.","non-dropping-particle":"","parse-names":false,"suffix":""},{"dropping-particle":"","family":"Quesada-Calderón","given":"S.","non-dropping-particle":"","parse-names":false,"suffix":""},{"dropping-particle":"","family":"Saenz-Agudelo","given":"Pablo","non-dropping-particle":"","parse-names":false,"suffix":""}],"container-title":"Marine Biodiversity","id":"ITEM-2","issue":"4","issued":{"date-parts":[["2018","12","14"]]},"page":"1777-1786","title":"Novel microsatellite markers for &lt;i&gt;Pyura chilensis&lt;/i&gt; reveal fine-scale genetic structure along the southern coast of Chile","type":"article-journal","volume":"48"},"uris":["http://www.mendeley.com/documents/?uuid=530e7aff-27db-361d-917e-d6434f50c030"]}],"mendeley":{"formattedCitation":"(Giles et al. 2018; Vieira et al. 2016)","manualFormatting":"(Vieira et al. 2016; Giles et al. 2018)","plainTextFormattedCitation":"(Giles et al. 2018; Vieira et al. 2016)","previouslyFormattedCitation":"(Giles et al. 2018; Vieira et al. 2016)"},"properties":{"noteIndex":0},"schema":"https://github.com/citation-style-language/schema/raw/master/csl-citation.json"}</w:instrText>
      </w:r>
      <w:r w:rsidRPr="00533EAC">
        <w:rPr>
          <w:rFonts w:ascii="Arial" w:eastAsia="Calibri" w:hAnsi="Arial" w:cs="Arial"/>
          <w:color w:val="000000" w:themeColor="text1"/>
          <w:lang w:val="en-ZA"/>
        </w:rPr>
        <w:fldChar w:fldCharType="separate"/>
      </w:r>
      <w:r w:rsidR="003A4A3A" w:rsidRPr="00533EAC">
        <w:rPr>
          <w:rFonts w:ascii="Arial" w:eastAsia="Calibri" w:hAnsi="Arial" w:cs="Arial"/>
          <w:noProof/>
          <w:color w:val="000000" w:themeColor="text1"/>
          <w:lang w:val="en-ZA"/>
        </w:rPr>
        <w:t>(</w:t>
      </w:r>
      <w:r w:rsidR="00792BBD" w:rsidRPr="00533EAC">
        <w:rPr>
          <w:rFonts w:ascii="Arial" w:eastAsia="Calibri" w:hAnsi="Arial" w:cs="Arial"/>
          <w:noProof/>
          <w:color w:val="000000" w:themeColor="text1"/>
          <w:lang w:val="en-ZA"/>
        </w:rPr>
        <w:t xml:space="preserve">Vieira et al. 2016; </w:t>
      </w:r>
      <w:r w:rsidR="003A4A3A" w:rsidRPr="00533EAC">
        <w:rPr>
          <w:rFonts w:ascii="Arial" w:eastAsia="Calibri" w:hAnsi="Arial" w:cs="Arial"/>
          <w:noProof/>
          <w:color w:val="000000" w:themeColor="text1"/>
          <w:lang w:val="en-ZA"/>
        </w:rPr>
        <w:t>Giles et al. 2018)</w:t>
      </w:r>
      <w:r w:rsidRPr="00533EAC">
        <w:rPr>
          <w:rFonts w:ascii="Arial" w:eastAsia="Calibri" w:hAnsi="Arial" w:cs="Arial"/>
          <w:color w:val="000000" w:themeColor="text1"/>
          <w:lang w:val="en-ZA"/>
        </w:rPr>
        <w:fldChar w:fldCharType="end"/>
      </w:r>
      <w:r w:rsidRPr="00533EAC">
        <w:rPr>
          <w:rFonts w:ascii="Arial" w:eastAsia="Calibri" w:hAnsi="Arial" w:cs="Arial"/>
          <w:color w:val="000000" w:themeColor="text1"/>
          <w:lang w:val="en-ZA"/>
        </w:rPr>
        <w:t xml:space="preserve"> </w:t>
      </w:r>
      <w:r w:rsidR="00792BBD" w:rsidRPr="00533EAC">
        <w:rPr>
          <w:rFonts w:ascii="Arial" w:eastAsia="Calibri" w:hAnsi="Arial" w:cs="Arial"/>
          <w:color w:val="000000" w:themeColor="text1"/>
          <w:lang w:val="en-ZA"/>
        </w:rPr>
        <w:t xml:space="preserve">in order to gain </w:t>
      </w:r>
      <w:r w:rsidR="00263A14" w:rsidRPr="00533EAC">
        <w:rPr>
          <w:rFonts w:ascii="Arial" w:eastAsia="Calibri" w:hAnsi="Arial" w:cs="Arial"/>
          <w:color w:val="000000" w:themeColor="text1"/>
          <w:lang w:val="en-ZA"/>
        </w:rPr>
        <w:t xml:space="preserve">a </w:t>
      </w:r>
      <w:r w:rsidRPr="00533EAC">
        <w:rPr>
          <w:rFonts w:ascii="Arial" w:eastAsia="Calibri" w:hAnsi="Arial" w:cs="Arial"/>
          <w:color w:val="000000" w:themeColor="text1"/>
          <w:lang w:val="en-ZA"/>
        </w:rPr>
        <w:t>better understand</w:t>
      </w:r>
      <w:r w:rsidR="00184927" w:rsidRPr="00533EAC">
        <w:rPr>
          <w:rFonts w:ascii="Arial" w:eastAsia="Calibri" w:hAnsi="Arial" w:cs="Arial"/>
          <w:color w:val="000000" w:themeColor="text1"/>
          <w:lang w:val="en-ZA"/>
        </w:rPr>
        <w:t>ing</w:t>
      </w:r>
      <w:r w:rsidR="00792BBD" w:rsidRPr="00533EAC">
        <w:rPr>
          <w:rFonts w:ascii="Arial" w:eastAsia="Calibri" w:hAnsi="Arial" w:cs="Arial"/>
          <w:color w:val="000000" w:themeColor="text1"/>
          <w:lang w:val="en-ZA"/>
        </w:rPr>
        <w:t xml:space="preserve"> of</w:t>
      </w:r>
      <w:r w:rsidRPr="00533EAC">
        <w:rPr>
          <w:rFonts w:ascii="Arial" w:eastAsia="Calibri" w:hAnsi="Arial" w:cs="Arial"/>
          <w:color w:val="000000" w:themeColor="text1"/>
          <w:lang w:val="en-ZA"/>
        </w:rPr>
        <w:t xml:space="preserve"> the status of the marine ecosystem in the context of climate change, as </w:t>
      </w:r>
      <w:r w:rsidRPr="00533EAC">
        <w:rPr>
          <w:rFonts w:ascii="Arial" w:eastAsia="Calibri" w:hAnsi="Arial" w:cs="Arial"/>
          <w:strike/>
          <w:color w:val="000000" w:themeColor="text1"/>
          <w:lang w:val="en-ZA"/>
        </w:rPr>
        <w:t xml:space="preserve">was </w:t>
      </w:r>
      <w:r w:rsidR="00792BBD" w:rsidRPr="00533EAC">
        <w:rPr>
          <w:rFonts w:ascii="Arial" w:eastAsia="Calibri" w:hAnsi="Arial" w:cs="Arial"/>
          <w:color w:val="000000" w:themeColor="text1"/>
          <w:lang w:val="en-ZA"/>
        </w:rPr>
        <w:t xml:space="preserve">has been </w:t>
      </w:r>
      <w:r w:rsidRPr="00533EAC">
        <w:rPr>
          <w:rFonts w:ascii="Arial" w:eastAsia="Calibri" w:hAnsi="Arial" w:cs="Arial"/>
          <w:color w:val="000000" w:themeColor="text1"/>
          <w:lang w:val="en-ZA"/>
        </w:rPr>
        <w:t xml:space="preserve">done for other species </w:t>
      </w:r>
      <w:r w:rsidRPr="00533EAC">
        <w:rPr>
          <w:rFonts w:ascii="Arial" w:eastAsia="Calibri" w:hAnsi="Arial" w:cs="Arial"/>
          <w:color w:val="000000" w:themeColor="text1"/>
          <w:lang w:val="en-ZA"/>
        </w:rPr>
        <w:fldChar w:fldCharType="begin" w:fldLock="1"/>
      </w:r>
      <w:r w:rsidR="0097798B" w:rsidRPr="00533EAC">
        <w:rPr>
          <w:rFonts w:ascii="Arial" w:eastAsia="Calibri" w:hAnsi="Arial" w:cs="Arial"/>
          <w:color w:val="000000" w:themeColor="text1"/>
          <w:lang w:val="en-ZA"/>
        </w:rPr>
        <w:instrText>ADDIN CSL_CITATION {"citationItems":[{"id":"ITEM-1","itemData":{"DOI":"10.1007/s11033-018-4353-y","ISSN":"15734978","abstract":"We report the development of nine polymorphic microsatellite markers for Corallina officinalis (Linnaeus, 1758), a calcifying intertidal red alga and important ecosystem engineer spread along the North East Atlantic. Characterization and analysis of loci were made using 15 individuals of C. officinalis from populations in Iceland and the UK. The average number of alleles per locus was 3.78 (range 2–6) and mean of gene diversity was 0.58 (range 0.38–0.77). The set of microsatellites developed here will provide a useful molecular tool for population genetic and conservation studies.","author":[{"dropping-particle":"","family":"Tavares","given":"Ana I.","non-dropping-particle":"","parse-names":false,"suffix":""},{"dropping-particle":"","family":"Nicastro","given":"Katy R.","non-dropping-particle":"","parse-names":false,"suffix":""},{"dropping-particle":"","family":"Kolzenburg","given":"Regina","non-dropping-particle":"","parse-names":false,"suffix":""},{"dropping-particle":"","family":"Ragazzola","given":"Federica","non-dropping-particle":"","parse-names":false,"suffix":""},{"dropping-particle":"","family":"Jacinto","given":"Rita","non-dropping-particle":"","parse-names":false,"suffix":""},{"dropping-particle":"","family":"Zardi","given":"Gerardo I.","non-dropping-particle":"","parse-names":false,"suffix":""}],"container-title":"Molecular Biology Reports","id":"ITEM-1","issue":"6","issued":{"date-parts":[["2018","12","1"]]},"page":"2791-2794","publisher":"Springer Netherlands","title":"Isolation and characterization of nine microsatellite markers for the red alga &lt;i&gt;Corallina officinalis&lt;/i&gt;","type":"article-journal","volume":"45"},"uris":["http://www.mendeley.com/documents/?uuid=913475dc-1d49-3c62-9215-e617268be31d"]}],"mendeley":{"formattedCitation":"(Tavares et al. 2018)","plainTextFormattedCitation":"(Tavares et al. 2018)","previouslyFormattedCitation":"(Tavares et al. 2018)"},"properties":{"noteIndex":0},"schema":"https://github.com/citation-style-language/schema/raw/master/csl-citation.json"}</w:instrText>
      </w:r>
      <w:r w:rsidRPr="00533EAC">
        <w:rPr>
          <w:rFonts w:ascii="Arial" w:eastAsia="Calibri" w:hAnsi="Arial" w:cs="Arial"/>
          <w:color w:val="000000" w:themeColor="text1"/>
          <w:lang w:val="en-ZA"/>
        </w:rPr>
        <w:fldChar w:fldCharType="separate"/>
      </w:r>
      <w:r w:rsidR="003A4A3A" w:rsidRPr="00533EAC">
        <w:rPr>
          <w:rFonts w:ascii="Arial" w:eastAsia="Calibri" w:hAnsi="Arial" w:cs="Arial"/>
          <w:noProof/>
          <w:color w:val="000000" w:themeColor="text1"/>
          <w:lang w:val="en-ZA"/>
        </w:rPr>
        <w:t>(Tavares et al. 2018)</w:t>
      </w:r>
      <w:r w:rsidRPr="00533EAC">
        <w:rPr>
          <w:rFonts w:ascii="Arial" w:eastAsia="Calibri" w:hAnsi="Arial" w:cs="Arial"/>
          <w:color w:val="000000" w:themeColor="text1"/>
          <w:lang w:val="en-ZA"/>
        </w:rPr>
        <w:fldChar w:fldCharType="end"/>
      </w:r>
      <w:r w:rsidRPr="00533EAC">
        <w:rPr>
          <w:rFonts w:ascii="Arial" w:eastAsia="Calibri" w:hAnsi="Arial" w:cs="Arial"/>
          <w:color w:val="000000" w:themeColor="text1"/>
          <w:lang w:val="en-ZA"/>
        </w:rPr>
        <w:t xml:space="preserve">. </w:t>
      </w:r>
      <w:r w:rsidR="008325EB" w:rsidRPr="00533EAC">
        <w:rPr>
          <w:rFonts w:ascii="Arial" w:eastAsia="Calibri" w:hAnsi="Arial" w:cs="Arial"/>
          <w:color w:val="000000" w:themeColor="text1"/>
          <w:lang w:val="en-ZA"/>
        </w:rPr>
        <w:t>I</w:t>
      </w:r>
      <w:r w:rsidR="00225491" w:rsidRPr="00533EAC">
        <w:rPr>
          <w:rFonts w:ascii="Arial" w:eastAsia="Calibri" w:hAnsi="Arial" w:cs="Arial"/>
          <w:color w:val="000000" w:themeColor="text1"/>
          <w:lang w:val="en-ZA"/>
        </w:rPr>
        <w:t>n the study area</w:t>
      </w:r>
      <w:r w:rsidR="00792BBD" w:rsidRPr="00533EAC">
        <w:rPr>
          <w:rFonts w:ascii="Arial" w:eastAsia="Calibri" w:hAnsi="Arial" w:cs="Arial"/>
          <w:color w:val="000000" w:themeColor="text1"/>
          <w:lang w:val="en-ZA"/>
        </w:rPr>
        <w:t xml:space="preserve"> in particular</w:t>
      </w:r>
      <w:r w:rsidR="00225491" w:rsidRPr="00533EAC">
        <w:rPr>
          <w:rFonts w:ascii="Arial" w:eastAsia="Calibri" w:hAnsi="Arial" w:cs="Arial"/>
          <w:color w:val="000000" w:themeColor="text1"/>
          <w:lang w:val="en-ZA"/>
        </w:rPr>
        <w:t xml:space="preserve">, </w:t>
      </w:r>
      <w:r w:rsidR="00263A14" w:rsidRPr="00533EAC">
        <w:rPr>
          <w:rFonts w:ascii="Arial" w:eastAsia="Calibri" w:hAnsi="Arial" w:cs="Arial"/>
          <w:color w:val="000000" w:themeColor="text1"/>
          <w:lang w:val="en-ZA"/>
        </w:rPr>
        <w:t>much of which is located in a biogeographical</w:t>
      </w:r>
      <w:r w:rsidR="00184927" w:rsidRPr="00533EAC">
        <w:rPr>
          <w:rFonts w:ascii="Arial" w:eastAsia="Calibri" w:hAnsi="Arial" w:cs="Arial"/>
          <w:color w:val="000000" w:themeColor="text1"/>
          <w:lang w:val="en-ZA"/>
        </w:rPr>
        <w:t xml:space="preserve"> transition zone between </w:t>
      </w:r>
      <w:r w:rsidR="00263A14" w:rsidRPr="00533EAC">
        <w:rPr>
          <w:rFonts w:ascii="Arial" w:eastAsia="Calibri" w:hAnsi="Arial" w:cs="Arial"/>
          <w:color w:val="000000" w:themeColor="text1"/>
          <w:lang w:val="en-ZA"/>
        </w:rPr>
        <w:t xml:space="preserve">the </w:t>
      </w:r>
      <w:r w:rsidR="00184927" w:rsidRPr="00533EAC">
        <w:rPr>
          <w:rFonts w:ascii="Arial" w:eastAsia="Calibri" w:hAnsi="Arial" w:cs="Arial"/>
          <w:color w:val="000000" w:themeColor="text1"/>
          <w:lang w:val="en-ZA"/>
        </w:rPr>
        <w:t>subtropical an</w:t>
      </w:r>
      <w:r w:rsidR="00225491" w:rsidRPr="00533EAC">
        <w:rPr>
          <w:rFonts w:ascii="Arial" w:eastAsia="Calibri" w:hAnsi="Arial" w:cs="Arial"/>
          <w:color w:val="000000" w:themeColor="text1"/>
          <w:lang w:val="en-ZA"/>
        </w:rPr>
        <w:t>d</w:t>
      </w:r>
      <w:r w:rsidR="00263A14" w:rsidRPr="00533EAC">
        <w:rPr>
          <w:rFonts w:ascii="Arial" w:eastAsia="Calibri" w:hAnsi="Arial" w:cs="Arial"/>
          <w:color w:val="000000" w:themeColor="text1"/>
          <w:lang w:val="en-ZA"/>
        </w:rPr>
        <w:t xml:space="preserve"> warm-</w:t>
      </w:r>
      <w:r w:rsidR="00225491" w:rsidRPr="00533EAC">
        <w:rPr>
          <w:rFonts w:ascii="Arial" w:eastAsia="Calibri" w:hAnsi="Arial" w:cs="Arial"/>
          <w:color w:val="000000" w:themeColor="text1"/>
          <w:lang w:val="en-ZA"/>
        </w:rPr>
        <w:t xml:space="preserve">temperate </w:t>
      </w:r>
      <w:r w:rsidR="0073231C" w:rsidRPr="00533EAC">
        <w:rPr>
          <w:rFonts w:ascii="Arial" w:eastAsia="Calibri" w:hAnsi="Arial" w:cs="Arial"/>
          <w:color w:val="000000" w:themeColor="text1"/>
          <w:lang w:val="en-ZA"/>
        </w:rPr>
        <w:t xml:space="preserve">coastal </w:t>
      </w:r>
      <w:r w:rsidR="00225491" w:rsidRPr="00533EAC">
        <w:rPr>
          <w:rFonts w:ascii="Arial" w:eastAsia="Calibri" w:hAnsi="Arial" w:cs="Arial"/>
          <w:color w:val="000000" w:themeColor="text1"/>
          <w:lang w:val="en-ZA"/>
        </w:rPr>
        <w:t>bioregions,</w:t>
      </w:r>
      <w:r w:rsidR="00D13A59" w:rsidRPr="00533EAC">
        <w:rPr>
          <w:rFonts w:ascii="Arial" w:eastAsia="Calibri" w:hAnsi="Arial" w:cs="Arial"/>
          <w:color w:val="000000" w:themeColor="text1"/>
          <w:lang w:val="en-ZA"/>
        </w:rPr>
        <w:t xml:space="preserve"> </w:t>
      </w:r>
      <w:r w:rsidR="00181FAC" w:rsidRPr="00533EAC">
        <w:rPr>
          <w:rFonts w:ascii="Arial" w:eastAsia="Calibri" w:hAnsi="Arial" w:cs="Arial"/>
          <w:color w:val="000000" w:themeColor="text1"/>
          <w:lang w:val="en-ZA"/>
        </w:rPr>
        <w:t xml:space="preserve">and </w:t>
      </w:r>
      <w:r w:rsidR="00D13A59" w:rsidRPr="00533EAC">
        <w:rPr>
          <w:rFonts w:ascii="Arial" w:eastAsia="Calibri" w:hAnsi="Arial" w:cs="Arial"/>
          <w:color w:val="000000" w:themeColor="text1"/>
          <w:lang w:val="en-ZA"/>
        </w:rPr>
        <w:t>contemporary climate change has</w:t>
      </w:r>
      <w:r w:rsidR="00A15233" w:rsidRPr="00533EAC">
        <w:rPr>
          <w:rFonts w:ascii="Arial" w:eastAsia="Calibri" w:hAnsi="Arial" w:cs="Arial"/>
          <w:color w:val="000000" w:themeColor="text1"/>
          <w:lang w:val="en-ZA"/>
        </w:rPr>
        <w:t xml:space="preserve"> increased the sea temperature and intensified the warm, southward-flowing Agulhas Current</w:t>
      </w:r>
      <w:r w:rsidR="00792BBD" w:rsidRPr="00533EAC">
        <w:rPr>
          <w:rFonts w:ascii="Arial" w:eastAsia="Calibri" w:hAnsi="Arial" w:cs="Arial"/>
          <w:color w:val="000000" w:themeColor="text1"/>
          <w:lang w:val="en-ZA"/>
        </w:rPr>
        <w:t xml:space="preserve"> </w:t>
      </w:r>
      <w:r w:rsidR="00184927" w:rsidRPr="00533EAC">
        <w:rPr>
          <w:rFonts w:ascii="Arial" w:eastAsia="Calibri" w:hAnsi="Arial" w:cs="Arial"/>
          <w:color w:val="000000" w:themeColor="text1"/>
          <w:lang w:val="en-ZA"/>
        </w:rPr>
        <w:fldChar w:fldCharType="begin" w:fldLock="1"/>
      </w:r>
      <w:r w:rsidR="00184927" w:rsidRPr="00533EAC">
        <w:rPr>
          <w:rFonts w:ascii="Arial" w:eastAsia="Calibri" w:hAnsi="Arial" w:cs="Arial"/>
          <w:color w:val="000000" w:themeColor="text1"/>
          <w:lang w:val="en-ZA"/>
        </w:rPr>
        <w:instrText>ADDIN CSL_CITATION {"citationItems":[{"id":"ITEM-1","itemData":{"DOI":"10.1111/gcb.13247","ISSN":"13652486","abstract":"© 2016 John Wiley &amp; Sons Ltd.Ocean warming 'hotspots' are regions characterized by above-average temperature increases over recent years, for which there are significant consequences for both living marine resources and the societies that depend on them. As such, they represent early warning systems for understanding the impacts of marine climate change, and test-beds for developing adaptation options for coping with those impacts. Here, we examine five hotspots off the coasts of eastern Australia, South Africa, Madagascar, India and Brazil. These particular hotspots have underpinned a large international partnership that is working towards improving community adaptation by characterizing, assessing and projecting the likely future of coastal-marine food resources through the provision and sharing of knowledge. To inform this effort, we employ a high-resolution global ocean model forced by Representative Concentration Pathway 8.5 and simulated to year 2099. In addition to the sea surface temperature, we analyse projected stratification, nutrient supply, primary production, anthropogenic CO2-driven ocean acidification, deoxygenation and ocean circulation. Our simulation finds that the temperature-defined hotspots studied here will continue to experience warming but, with the exception of eastern Australia, may not remain the fastest warming ocean areas over the next century as the strongest warming is projected to occur in the subpolar and polar areas of the Northern Hemisphere. Additionally, we find that recent rapid change in SST is not necessarily an indicator that these areas are also hotspots of the other climatic stressors examined. However, a consistent facet of the hotspots studied here is that they are all strongly influenced by ocean circulation, which has already shown changes in the recent past and is projected to undergo further strong change into the future. In addition to the fast warming, change in local ocean circulation represents a distinct feature of present and future climate change impacting marine ecosystems in these areas.","author":[{"dropping-particle":"","family":"Popova","given":"Ekaterina","non-dropping-particle":"","parse-names":false,"suffix":""},{"dropping-particle":"","family":"Yool","given":"Andrew","non-dropping-particle":"","parse-names":false,"suffix":""},{"dropping-particle":"","family":"Byfield","given":"Valborg","non-dropping-particle":"","parse-names":false,"suffix":""},{"dropping-particle":"","family":"Cochrane","given":"Kevern","non-dropping-particle":"","parse-names":false,"suffix":""},{"dropping-particle":"","family":"Coward","given":"Andrew C.","non-dropping-particle":"","parse-names":false,"suffix":""},{"dropping-particle":"","family":"Salim","given":"Shyam S.","non-dropping-particle":"","parse-names":false,"suffix":""},{"dropping-particle":"","family":"Gasalla","given":"Maria A.","non-dropping-particle":"","parse-names":false,"suffix":""},{"dropping-particle":"","family":"Henson","given":"Stephanie A.","non-dropping-particle":"","parse-names":false,"suffix":""},{"dropping-particle":"","family":"Hobday","given":"Alistair J.","non-dropping-particle":"","parse-names":false,"suffix":""},{"dropping-particle":"","family":"Pecl","given":"Gretta T.","non-dropping-particle":"","parse-names":false,"suffix":""},{"dropping-particle":"","family":"Sauer","given":"Warwick H.","non-dropping-particle":"","parse-names":false,"suffix":""},{"dropping-particle":"","family":"Roberts","given":"Michael J.","non-dropping-particle":"","parse-names":false,"suffix":""}],"container-title":"Global Change Biology","id":"ITEM-1","issue":"6","issued":{"date-parts":[["2016","6","1"]]},"page":"2038-2053","publisher":"Blackwell Publishing Ltd","title":"From global to regional and back again: Common climate stressors of marine ecosystems relevant for adaptation across five ocean warming hotspots","type":"article-journal","volume":"22"},"uris":["http://www.mendeley.com/documents/?uuid=30da874d-b91e-35b9-9636-b142c46568d8"]}],"mendeley":{"formattedCitation":"(Popova et al. 2016)","plainTextFormattedCitation":"(Popova et al. 2016)","previouslyFormattedCitation":"(Popova et al. 2016)"},"properties":{"noteIndex":0},"schema":"https://github.com/citation-style-language/schema/raw/master/csl-citation.json"}</w:instrText>
      </w:r>
      <w:r w:rsidR="00184927" w:rsidRPr="00533EAC">
        <w:rPr>
          <w:rFonts w:ascii="Arial" w:eastAsia="Calibri" w:hAnsi="Arial" w:cs="Arial"/>
          <w:color w:val="000000" w:themeColor="text1"/>
          <w:lang w:val="en-ZA"/>
        </w:rPr>
        <w:fldChar w:fldCharType="separate"/>
      </w:r>
      <w:r w:rsidR="00184927" w:rsidRPr="00533EAC">
        <w:rPr>
          <w:rFonts w:ascii="Arial" w:eastAsia="Calibri" w:hAnsi="Arial" w:cs="Arial"/>
          <w:noProof/>
          <w:color w:val="000000" w:themeColor="text1"/>
          <w:lang w:val="en-ZA"/>
        </w:rPr>
        <w:t>(Popova et al. 2016)</w:t>
      </w:r>
      <w:r w:rsidR="00184927" w:rsidRPr="00533EAC">
        <w:rPr>
          <w:rFonts w:ascii="Arial" w:eastAsia="Calibri" w:hAnsi="Arial" w:cs="Arial"/>
          <w:color w:val="000000" w:themeColor="text1"/>
          <w:lang w:val="en-ZA"/>
        </w:rPr>
        <w:fldChar w:fldCharType="end"/>
      </w:r>
      <w:r w:rsidR="00225491" w:rsidRPr="00533EAC">
        <w:rPr>
          <w:rFonts w:ascii="Arial" w:eastAsia="Calibri" w:hAnsi="Arial" w:cs="Arial"/>
          <w:color w:val="000000" w:themeColor="text1"/>
          <w:lang w:val="en-ZA"/>
        </w:rPr>
        <w:t>.</w:t>
      </w:r>
      <w:r w:rsidR="00D40849" w:rsidRPr="00533EAC">
        <w:rPr>
          <w:rFonts w:ascii="Arial" w:eastAsia="Calibri" w:hAnsi="Arial" w:cs="Arial"/>
          <w:color w:val="000000" w:themeColor="text1"/>
          <w:lang w:val="en-ZA"/>
        </w:rPr>
        <w:t xml:space="preserve"> </w:t>
      </w:r>
      <w:r w:rsidR="00946455" w:rsidRPr="00533EAC">
        <w:rPr>
          <w:rFonts w:ascii="Arial" w:eastAsia="Calibri" w:hAnsi="Arial" w:cs="Arial"/>
          <w:color w:val="000000" w:themeColor="text1"/>
          <w:lang w:val="en-ZA"/>
        </w:rPr>
        <w:t>The studied species have a relatively narrow t</w:t>
      </w:r>
      <w:r w:rsidR="00D40849" w:rsidRPr="00533EAC">
        <w:rPr>
          <w:rFonts w:ascii="Arial" w:eastAsia="Calibri" w:hAnsi="Arial" w:cs="Arial"/>
          <w:color w:val="000000" w:themeColor="text1"/>
          <w:lang w:val="en-ZA"/>
        </w:rPr>
        <w:t>emperature tolerance range (Hudson et al. 2021)</w:t>
      </w:r>
      <w:r w:rsidR="00946455" w:rsidRPr="00533EAC">
        <w:rPr>
          <w:rFonts w:ascii="Arial" w:eastAsia="Calibri" w:hAnsi="Arial" w:cs="Arial"/>
          <w:color w:val="000000" w:themeColor="text1"/>
          <w:lang w:val="en-ZA"/>
        </w:rPr>
        <w:t xml:space="preserve">, suggesting high vulnerability to </w:t>
      </w:r>
      <w:r w:rsidR="00816CBE" w:rsidRPr="00533EAC">
        <w:rPr>
          <w:rFonts w:ascii="Arial" w:eastAsia="Calibri" w:hAnsi="Arial" w:cs="Arial"/>
          <w:color w:val="000000" w:themeColor="text1"/>
          <w:lang w:val="en-ZA"/>
        </w:rPr>
        <w:t>warming</w:t>
      </w:r>
      <w:r w:rsidR="00D40849" w:rsidRPr="00533EAC">
        <w:rPr>
          <w:rFonts w:ascii="Arial" w:eastAsia="Calibri" w:hAnsi="Arial" w:cs="Arial"/>
          <w:color w:val="000000" w:themeColor="text1"/>
          <w:lang w:val="en-ZA"/>
        </w:rPr>
        <w:t xml:space="preserve">. </w:t>
      </w:r>
      <w:r w:rsidR="00A15233" w:rsidRPr="00533EAC">
        <w:rPr>
          <w:rFonts w:ascii="Arial" w:eastAsia="Calibri" w:hAnsi="Arial" w:cs="Arial"/>
          <w:color w:val="000000" w:themeColor="text1"/>
          <w:lang w:val="en-US"/>
        </w:rPr>
        <w:t xml:space="preserve">The partial reconstruction of the </w:t>
      </w:r>
      <w:proofErr w:type="spellStart"/>
      <w:r w:rsidR="00A15233" w:rsidRPr="00533EAC">
        <w:rPr>
          <w:rFonts w:ascii="Arial" w:eastAsia="Calibri" w:hAnsi="Arial" w:cs="Arial"/>
          <w:color w:val="000000" w:themeColor="text1"/>
          <w:lang w:val="en-US"/>
        </w:rPr>
        <w:t>mtDNA</w:t>
      </w:r>
      <w:proofErr w:type="spellEnd"/>
      <w:r w:rsidR="00A15233" w:rsidRPr="00533EAC">
        <w:rPr>
          <w:rFonts w:ascii="Arial" w:eastAsia="Calibri" w:hAnsi="Arial" w:cs="Arial"/>
          <w:color w:val="000000" w:themeColor="text1"/>
          <w:lang w:val="en-US"/>
        </w:rPr>
        <w:t xml:space="preserve"> from NGS data allowed a comparison of genetic variation contained within different </w:t>
      </w:r>
      <w:proofErr w:type="spellStart"/>
      <w:r w:rsidR="00A15233" w:rsidRPr="00533EAC">
        <w:rPr>
          <w:rFonts w:ascii="Arial" w:eastAsia="Calibri" w:hAnsi="Arial" w:cs="Arial"/>
          <w:color w:val="000000" w:themeColor="text1"/>
          <w:lang w:val="en-US"/>
        </w:rPr>
        <w:t>mtDNA</w:t>
      </w:r>
      <w:proofErr w:type="spellEnd"/>
      <w:r w:rsidR="00A15233" w:rsidRPr="00533EAC">
        <w:rPr>
          <w:rFonts w:ascii="Arial" w:eastAsia="Calibri" w:hAnsi="Arial" w:cs="Arial"/>
          <w:color w:val="000000" w:themeColor="text1"/>
          <w:lang w:val="en-US"/>
        </w:rPr>
        <w:t xml:space="preserve"> markers. </w:t>
      </w:r>
      <w:r w:rsidR="003567FD" w:rsidRPr="00533EAC">
        <w:rPr>
          <w:rFonts w:ascii="Arial" w:eastAsia="Calibri" w:hAnsi="Arial" w:cs="Arial"/>
          <w:color w:val="000000" w:themeColor="text1"/>
          <w:lang w:val="en-ZA"/>
        </w:rPr>
        <w:t xml:space="preserve">While </w:t>
      </w:r>
      <w:proofErr w:type="spellStart"/>
      <w:r w:rsidR="003567FD" w:rsidRPr="00533EAC">
        <w:rPr>
          <w:rFonts w:ascii="Arial" w:eastAsia="Calibri" w:hAnsi="Arial" w:cs="Arial"/>
          <w:color w:val="000000" w:themeColor="text1"/>
          <w:lang w:val="en-ZA"/>
        </w:rPr>
        <w:t>ezRAD</w:t>
      </w:r>
      <w:proofErr w:type="spellEnd"/>
      <w:r w:rsidR="003567FD" w:rsidRPr="00533EAC">
        <w:rPr>
          <w:rFonts w:ascii="Arial" w:eastAsia="Calibri" w:hAnsi="Arial" w:cs="Arial"/>
          <w:color w:val="000000" w:themeColor="text1"/>
          <w:lang w:val="en-ZA"/>
        </w:rPr>
        <w:t xml:space="preserve"> and similar methods are not suitable for the reconstruction of complete mitogenomes</w:t>
      </w:r>
      <w:r w:rsidRPr="00533EAC">
        <w:rPr>
          <w:rFonts w:ascii="Arial" w:eastAsia="Calibri" w:hAnsi="Arial" w:cs="Arial"/>
          <w:color w:val="000000" w:themeColor="text1"/>
          <w:lang w:val="en-ZA"/>
        </w:rPr>
        <w:t xml:space="preserve"> </w:t>
      </w:r>
      <w:r w:rsidRPr="00533EAC">
        <w:rPr>
          <w:rFonts w:ascii="Arial" w:eastAsia="Calibri" w:hAnsi="Arial" w:cs="Arial"/>
          <w:color w:val="000000" w:themeColor="text1"/>
          <w:lang w:val="en-ZA"/>
        </w:rPr>
        <w:fldChar w:fldCharType="begin" w:fldLock="1"/>
      </w:r>
      <w:r w:rsidR="0097798B" w:rsidRPr="00533EAC">
        <w:rPr>
          <w:rFonts w:ascii="Arial" w:eastAsia="Calibri" w:hAnsi="Arial" w:cs="Arial"/>
          <w:color w:val="000000" w:themeColor="text1"/>
          <w:lang w:val="en-ZA"/>
        </w:rPr>
        <w:instrText>ADDIN CSL_CITATION {"citationItems":[{"id":"ITEM-1","itemData":{"DOI":"10.1111/2041-210X.12700","ISSN":"2041210X","abstract":"Restriction site-associated DNA sequencing (RAD-seq) provides high-resolution population genomic data at low cost, and has become an important component in ecological and evolutionary studies. As with all high-throughput technologies, analytic strategies require critical validation to ensure precise and unbiased interpretation. To test the impact of bioinformatic data processing on downstream population genetic inferences, we analysed mammalian RAD-seq data (&gt;100 individuals) with 312 combinations of methodology (de novo vs. mapping to references of increasing divergence) and filtering criteria (missing data, HWE, FIS, coverage, mapping and genotype quality). In an effort to identify commonalities and biases in all pipelines, we computed summary statistics (nr. loci, nr. SNP, π, Hetobs, FIS, FST, Ne and m) and compared the results to independent null expectations (isolation-by-distance correlation, expected transition-to-transversion ratio Ts/Tv and Mendelian mismatch rates of known parent–offspring trios). We observed large differences between reference-based and de novo approaches, the former generally calling more SNPs and reducing FIS and Ts/Tv. Data completion levels showed little impact on most summary statistics, and FST estimates were robust across all pipelines. The site frequency spectrum was highly sensitive to the chosen approach as reflected in large variance of parameter estimates across demographic scenarios (single-population bottlenecks and isolation-with-migration model). Null expectations were best met by reference-based approaches, although contingent on the specific criteria. We recommend that RAD-seq studies employ reference-based approaches to a closely related genome, and due to the high stochasticity associated with the pipeline advocate the use of multiple pipelines to ensure robust population genetic and demographic inferences.","author":[{"dropping-particle":"","family":"Shafer","given":"Aaron B.A.","non-dropping-particle":"","parse-names":false,"suffix":""},{"dropping-particle":"","family":"Peart","given":"Claire R.","non-dropping-particle":"","parse-names":false,"suffix":""},{"dropping-particle":"","family":"Tusso","given":"Sergio","non-dropping-particle":"","parse-names":false,"suffix":""},{"dropping-particle":"","family":"Maayan","given":"Inbar","non-dropping-particle":"","parse-names":false,"suffix":""},{"dropping-particle":"","family":"Brelsford","given":"Alan","non-dropping-particle":"","parse-names":false,"suffix":""},{"dropping-particle":"","family":"Wheat","given":"Christopher W.","non-dropping-particle":"","parse-names":false,"suffix":""},{"dropping-particle":"","family":"Wolf","given":"Jochen B.W.","non-dropping-particle":"","parse-names":false,"suffix":""}],"container-title":"Methods in Ecology and Evolution","id":"ITEM-1","issue":"8","issued":{"date-parts":[["2017","8","1"]]},"page":"907-917","publisher":"British Ecological Society","title":"Bioinformatic processing of RAD-seq data dramatically impacts downstream population genetic inference","type":"article-journal","volume":"8"},"uris":["http://www.mendeley.com/documents/?uuid=a0040807-ded6-3d3a-9870-d7597d3d8075"]}],"mendeley":{"formattedCitation":"(Shafer et al. 2017)","plainTextFormattedCitation":"(Shafer et al. 2017)","previouslyFormattedCitation":"(Shafer et al. 2017)"},"properties":{"noteIndex":0},"schema":"https://github.com/citation-style-language/schema/raw/master/csl-citation.json"}</w:instrText>
      </w:r>
      <w:r w:rsidRPr="00533EAC">
        <w:rPr>
          <w:rFonts w:ascii="Arial" w:eastAsia="Calibri" w:hAnsi="Arial" w:cs="Arial"/>
          <w:color w:val="000000" w:themeColor="text1"/>
          <w:lang w:val="en-ZA"/>
        </w:rPr>
        <w:fldChar w:fldCharType="separate"/>
      </w:r>
      <w:r w:rsidR="003A4A3A" w:rsidRPr="00533EAC">
        <w:rPr>
          <w:rFonts w:ascii="Arial" w:eastAsia="Calibri" w:hAnsi="Arial" w:cs="Arial"/>
          <w:noProof/>
          <w:color w:val="000000" w:themeColor="text1"/>
          <w:lang w:val="en-ZA"/>
        </w:rPr>
        <w:t>(Shafer et al. 2017)</w:t>
      </w:r>
      <w:r w:rsidRPr="00533EAC">
        <w:rPr>
          <w:rFonts w:ascii="Arial" w:eastAsia="Calibri" w:hAnsi="Arial" w:cs="Arial"/>
          <w:color w:val="000000" w:themeColor="text1"/>
          <w:lang w:val="en-ZA"/>
        </w:rPr>
        <w:fldChar w:fldCharType="end"/>
      </w:r>
      <w:r w:rsidRPr="00533EAC">
        <w:rPr>
          <w:rFonts w:ascii="Arial" w:eastAsia="Calibri" w:hAnsi="Arial" w:cs="Arial"/>
          <w:color w:val="000000" w:themeColor="text1"/>
          <w:lang w:val="en-ZA"/>
        </w:rPr>
        <w:t xml:space="preserve">, they </w:t>
      </w:r>
      <w:r w:rsidR="003567FD" w:rsidRPr="00533EAC">
        <w:rPr>
          <w:rFonts w:ascii="Arial" w:eastAsia="Calibri" w:hAnsi="Arial" w:cs="Arial"/>
          <w:color w:val="000000" w:themeColor="text1"/>
          <w:lang w:val="en-ZA"/>
        </w:rPr>
        <w:t>are</w:t>
      </w:r>
      <w:r w:rsidRPr="00533EAC">
        <w:rPr>
          <w:rFonts w:ascii="Arial" w:eastAsia="Calibri" w:hAnsi="Arial" w:cs="Arial"/>
          <w:color w:val="000000" w:themeColor="text1"/>
          <w:lang w:val="en-ZA"/>
        </w:rPr>
        <w:t xml:space="preserve"> a useful tool in phylogeny reconstruction </w:t>
      </w:r>
      <w:r w:rsidRPr="00533EAC">
        <w:rPr>
          <w:rFonts w:ascii="Arial" w:eastAsia="Calibri" w:hAnsi="Arial" w:cs="Arial"/>
          <w:color w:val="000000" w:themeColor="text1"/>
          <w:lang w:val="en-ZA"/>
        </w:rPr>
        <w:fldChar w:fldCharType="begin" w:fldLock="1"/>
      </w:r>
      <w:r w:rsidR="0097798B" w:rsidRPr="00533EAC">
        <w:rPr>
          <w:rFonts w:ascii="Arial" w:eastAsia="Calibri" w:hAnsi="Arial" w:cs="Arial"/>
          <w:color w:val="000000" w:themeColor="text1"/>
          <w:lang w:val="en-ZA"/>
        </w:rPr>
        <w:instrText>ADDIN CSL_CITATION {"citationItems":[{"id":"ITEM-1","itemData":{"DOI":"10.1002/ece3.512","ISSN":"20457758","abstract":"Inferring phylogenetic relationships between closely related taxa can be hindered by three factors: (1) the lack of informative molecular variation at short evolutionary timescale; (2) the lack of established markers in poorly studied taxa; and (3) the potential phylogenetic conflicts among different genomic regions due to incomplete lineage sorting or introgression. In this context, Restriction site Associated DNA sequencing (RAD-seq) seems promising as this technique can generate sequence data from numerous DNA fragments scattered throughout the genome, from a large number of samples, and without preliminary knowledge on the taxa under study. However, divergence beyond the within-species level will necessarily reduce the number of conserved and non-duplicated restriction sites, and therefore the number of loci usable for phylogenetic inference. Here, we assess the suitability of RAD-seq for phylogeny using a simulated experiment on the 12 Drosophila genomes, with divergence times ranging from 5 to 63 million years. These simulations show that RAD-seq allows the recovery of the known Drosophila phylogeny with strong statistical support, even for relatively ancient nodes. Notably, this conclusion is robust to the potentially confounding effects of sequencing errors, heterozygosity, and low coverage. We further show that clustering RAD-seq data using the BLASTN and SiLiX programs significantly improves the recovery of orthologous RAD loci compared with previously proposed approaches, especially for distantly related species. This study therefore validates the view that RAD sequencing is a powerful tool for phylogenetic inference. © 2013 The Authors. Ecology and Evolution.","author":[{"dropping-particle":"","family":"Cariou","given":"Marie","non-dropping-particle":"","parse-names":false,"suffix":""},{"dropping-particle":"","family":"Duret","given":"Laurent","non-dropping-particle":"","parse-names":false,"suffix":""},{"dropping-particle":"","family":"Charlat","given":"Sylvain","non-dropping-particle":"","parse-names":false,"suffix":""}],"container-title":"Ecology and Evolution","id":"ITEM-1","issue":"4","issued":{"date-parts":[["2013","4"]]},"page":"846-852","title":"Is RAD-seq suitable for phylogenetic inference? An in silico assessment and optimization","type":"article-journal","volume":"3"},"uris":["http://www.mendeley.com/documents/?uuid=52ab219b-2f83-3740-a2b7-76399c1fbd52"]}],"mendeley":{"formattedCitation":"(Cariou et al. 2013)","plainTextFormattedCitation":"(Cariou et al. 2013)","previouslyFormattedCitation":"(Cariou et al. 2013)"},"properties":{"noteIndex":0},"schema":"https://github.com/citation-style-language/schema/raw/master/csl-citation.json"}</w:instrText>
      </w:r>
      <w:r w:rsidRPr="00533EAC">
        <w:rPr>
          <w:rFonts w:ascii="Arial" w:eastAsia="Calibri" w:hAnsi="Arial" w:cs="Arial"/>
          <w:color w:val="000000" w:themeColor="text1"/>
          <w:lang w:val="en-ZA"/>
        </w:rPr>
        <w:fldChar w:fldCharType="separate"/>
      </w:r>
      <w:r w:rsidR="003A4A3A" w:rsidRPr="00533EAC">
        <w:rPr>
          <w:rFonts w:ascii="Arial" w:eastAsia="Calibri" w:hAnsi="Arial" w:cs="Arial"/>
          <w:noProof/>
          <w:color w:val="000000" w:themeColor="text1"/>
          <w:lang w:val="en-ZA"/>
        </w:rPr>
        <w:t>(Cariou et al. 2013)</w:t>
      </w:r>
      <w:r w:rsidRPr="00533EAC">
        <w:rPr>
          <w:rFonts w:ascii="Arial" w:eastAsia="Calibri" w:hAnsi="Arial" w:cs="Arial"/>
          <w:color w:val="000000" w:themeColor="text1"/>
          <w:lang w:val="en-ZA"/>
        </w:rPr>
        <w:fldChar w:fldCharType="end"/>
      </w:r>
      <w:r w:rsidRPr="00533EAC">
        <w:rPr>
          <w:rFonts w:ascii="Arial" w:eastAsia="Calibri" w:hAnsi="Arial" w:cs="Arial"/>
          <w:color w:val="000000" w:themeColor="text1"/>
          <w:lang w:val="en-ZA"/>
        </w:rPr>
        <w:t>. Utili</w:t>
      </w:r>
      <w:r w:rsidR="006E286A" w:rsidRPr="00533EAC">
        <w:rPr>
          <w:rFonts w:ascii="Arial" w:eastAsia="Calibri" w:hAnsi="Arial" w:cs="Arial"/>
          <w:color w:val="000000" w:themeColor="text1"/>
          <w:lang w:val="en-ZA"/>
        </w:rPr>
        <w:t>s</w:t>
      </w:r>
      <w:r w:rsidRPr="00533EAC">
        <w:rPr>
          <w:rFonts w:ascii="Arial" w:eastAsia="Calibri" w:hAnsi="Arial" w:cs="Arial"/>
          <w:color w:val="000000" w:themeColor="text1"/>
          <w:lang w:val="en-ZA"/>
        </w:rPr>
        <w:t xml:space="preserve">ing new software and pipeline procedures </w:t>
      </w:r>
      <w:r w:rsidRPr="00533EAC">
        <w:rPr>
          <w:rFonts w:ascii="Arial" w:eastAsia="Calibri" w:hAnsi="Arial" w:cs="Arial"/>
          <w:color w:val="000000" w:themeColor="text1"/>
          <w:lang w:val="en-ZA"/>
        </w:rPr>
        <w:fldChar w:fldCharType="begin" w:fldLock="1"/>
      </w:r>
      <w:r w:rsidR="002E2E55" w:rsidRPr="00533EAC">
        <w:rPr>
          <w:rFonts w:ascii="Arial" w:eastAsia="Calibri" w:hAnsi="Arial" w:cs="Arial"/>
          <w:color w:val="000000" w:themeColor="text1"/>
          <w:lang w:val="en-ZA"/>
        </w:rPr>
        <w:instrText>ADDIN CSL_CITATION {"citationItems":[{"id":"ITEM-1","itemData":{"DOI":"10.1080/23802359.2018.1437805","ISSN":"23802359","author":[{"dropping-particle":"","family":"Terraneo","given":"Tullia I.","non-dropping-particle":"","parse-names":false,"suffix":""},{"dropping-particle":"","family":"Arrigoni","given":"Roberto","non-dropping-particle":"","parse-names":false,"suffix":""},{"dropping-particle":"","family":"Benzoni","given":"Francesca","non-dropping-particle":"","parse-names":false,"suffix":""},{"dropping-particle":"","family":"Forsman","given":"Zac H.","non-dropping-particle":"","parse-names":false,"suffix":""},{"dropping-particle":"","family":"Berumen","given":"Michael L.","non-dropping-particle":"","parse-names":false,"suffix":""}],"container-title":"Mitochondrial DNA Part B: Resources","id":"ITEM-1","issue":"1","issued":{"date-parts":[["2018","1","2"]]},"page":"173-174","title":"Using ezRAD to reconstruct the complete mitochondrial genome of &lt;i&gt;Porites fontanesii&lt;/i&gt; (Cnidaria: Scleractinia)","type":"article-journal","volume":"3"},"uris":["http://www.mendeley.com/documents/?uuid=d2295927-8a5c-3853-8e61-e0c252132122"]},{"id":"ITEM-2","itemData":{"DOI":"10.7717/peerj.203","ISSN":"21678359","abstract":"Here, we introduce ezRAD, a novel strategy for restriction site-associated DNA (RAD) that requires little technical expertise or investment in laboratory equipment, and demonstrate its utility for ten non-model organisms across a wide taxonomic range. ezRAD differs fromother RAD methods primarily through its use of standard Illumina TruSeq library preparation kits, which makes it possible for any laboratory to send out to a commercial genomic core facility for library preparation and next-generation sequencing with virtually no additional investment beyond the cost of the service itself. This simplification opens RADseq to any lab with the ability to extract DNA and perform a restriction digest. ezRAD also differs from others in its flexibility to use any restriction enzyme (or combination of enzymes) that cuts frequently enough to generate fragments of the desired size range, without requiring the purchase of separate adapters for each enzyme or a sonication step, which can further decrease the cost involved in choosing optimal enzymes for particular species and research questions. We apply this method across a wide taxonomic diversity of non-model organisms to demonstrate the utility and flexibility of our approach. The simplicity of ezRAD makes it particularly useful for the discovery of single nucleotide polymorphisms and targeted amplicon sequencing in natural populations of nonmodel organisms that have been historically understudied because of lack of genomic information. © 2013 Fuertes et al.","author":[{"dropping-particle":"","family":"Toonen","given":"Robert J.","non-dropping-particle":"","parse-names":false,"suffix":""},{"dropping-particle":"","family":"Puritz","given":"Jonathan B.","non-dropping-particle":"","parse-names":false,"suffix":""},{"dropping-particle":"","family":"Forsman","given":"Zac H.","non-dropping-particle":"","parse-names":false,"suffix":""},{"dropping-particle":"","family":"Whitney","given":"Jonathan L.","non-dropping-particle":"","parse-names":false,"suffix":""},{"dropping-particle":"","family":"Fernandez-Silva","given":"Iria","non-dropping-particle":"","parse-names":false,"suffix":""},{"dropping-particle":"","family":"Andrews","given":"Kimberly R.","non-dropping-particle":"","parse-names":false,"suffix":""},{"dropping-particle":"","family":"Bird","given":"Christopher E.","non-dropping-particle":"","parse-names":false,"suffix":""}],"container-title":"PeerJ","id":"ITEM-2","issue":"1","issued":{"date-parts":[["2013"]]},"title":"ezRAD: A simplified method for genomic genotyping in non-model organisms","type":"article-journal","volume":"2013"},"uris":["http://www.mendeley.com/documents/?uuid=97d1ae6c-13a6-3e59-a28d-1664530e99f4"]},{"id":"ITEM-3","itemData":{"DOI":"10.1111/1755-0998.12953","ISSN":"1755-098X","abstract":"&lt;section class=\"article-section article-section__abstract\" lang=\"en\" data-lang=\"en\" id=\"section-1-en\"&gt; &lt;h3 class=\"article-section__header main main\"&gt;Abstract&lt;/h3&gt; &lt;div class=\"article-section__content en main\"&gt; &lt;p&gt;Mitochondrial DNA (mtDNA) has formed the backbone of phylogeographic research for many years, however, recent trends focus on genome</w:instrText>
      </w:r>
      <w:r w:rsidR="002E2E55" w:rsidRPr="00533EAC">
        <w:rPr>
          <w:rFonts w:ascii="Cambria Math" w:eastAsia="Calibri" w:hAnsi="Cambria Math" w:cs="Cambria Math"/>
          <w:color w:val="000000" w:themeColor="text1"/>
          <w:lang w:val="en-ZA"/>
        </w:rPr>
        <w:instrText>‐</w:instrText>
      </w:r>
      <w:r w:rsidR="002E2E55" w:rsidRPr="00533EAC">
        <w:rPr>
          <w:rFonts w:ascii="Arial" w:eastAsia="Calibri" w:hAnsi="Arial" w:cs="Arial"/>
          <w:color w:val="000000" w:themeColor="text1"/>
          <w:lang w:val="en-ZA"/>
        </w:rPr>
        <w:instrText>wide analyses. One method proposed for calibrating inferences from noisy Next</w:instrText>
      </w:r>
      <w:r w:rsidR="002E2E55" w:rsidRPr="00533EAC">
        <w:rPr>
          <w:rFonts w:ascii="Cambria Math" w:eastAsia="Calibri" w:hAnsi="Cambria Math" w:cs="Cambria Math"/>
          <w:color w:val="000000" w:themeColor="text1"/>
          <w:lang w:val="en-ZA"/>
        </w:rPr>
        <w:instrText>‐</w:instrText>
      </w:r>
      <w:r w:rsidR="002E2E55" w:rsidRPr="00533EAC">
        <w:rPr>
          <w:rFonts w:ascii="Arial" w:eastAsia="Calibri" w:hAnsi="Arial" w:cs="Arial"/>
          <w:color w:val="000000" w:themeColor="text1"/>
          <w:lang w:val="en-ZA"/>
        </w:rPr>
        <w:instrText>Generation data, such as RAD sequencing, is to compare these results with analyses of mitochondrial sequences. Most researchers using this approach appear to be unaware that many Single Nucleotide Polymorphisms (SNPs) identified from genome</w:instrText>
      </w:r>
      <w:r w:rsidR="002E2E55" w:rsidRPr="00533EAC">
        <w:rPr>
          <w:rFonts w:ascii="Cambria Math" w:eastAsia="Calibri" w:hAnsi="Cambria Math" w:cs="Cambria Math"/>
          <w:color w:val="000000" w:themeColor="text1"/>
          <w:lang w:val="en-ZA"/>
        </w:rPr>
        <w:instrText>‐</w:instrText>
      </w:r>
      <w:r w:rsidR="002E2E55" w:rsidRPr="00533EAC">
        <w:rPr>
          <w:rFonts w:ascii="Arial" w:eastAsia="Calibri" w:hAnsi="Arial" w:cs="Arial"/>
          <w:color w:val="000000" w:themeColor="text1"/>
          <w:lang w:val="en-ZA"/>
        </w:rPr>
        <w:instrText>wide sequence data are themselves mitochondrial, or assume that these are too few to bias analyses. Here we demonstrate two methods for mining mitochondrial markers using RAD sequence data from three South African species of yellowfish, &lt;i&gt;Labeobarbus&lt;/i&gt;. First, we use a rigorous SNP discovery pipeline using the program &lt;span class=\"smallCaps\"&gt;Stacks&lt;/span&gt;, to identify variant sites in mtDNA, which we then combine into haplotypes. Secondly, we directly map sequence reads against a mitochondrial genome reference. This method allowed us to reconstruct up to 98% of the &lt;i&gt;Labeobarbus&lt;/i&gt; mitogenome. We validated these mitogenome reconstructions through BLAST database searches and by comparisons with cytochrome &lt;i&gt;b&lt;/i&gt; gene sequences obtained through Sanger sequencing. Finally, we investigate the organismal consequences of these data including ancient genetic exchange and a recent translocation among populations of &lt;i&gt;L. natalensis&lt;/i&gt;, as well as interspecific hybridisation between &lt;i&gt;L. aeneus&lt;/i&gt; and &lt;i&gt;L. kimberleyensis&lt;/i&gt;. &lt;/p&gt; &lt;p&gt;This article is protected by copyright. All rights reserved.&lt;/p&gt;","author":[{"dropping-particle":"","family":"Stobie","given":"C. S.","non-dropping-particle":"","parse-names":false,"suffix":""},{"dropping-particle":"","family":"Cunningham","given":"Michael J.","non-dropping-particle":"","parse-names":false,"suffix":""},{"dropping-particle":"","family":"Oosthuizen","given":"Carel J.","non-dropping-particle":"","parse-names":false,"suffix":""},{"dropping-particle":"","family":"Bloomer","given":"Paulette","non-dropping-particle":"","parse-names":false,"suffix":""}],"container-title":"Molecular Ecology Resources","id":"ITEM-3","issue":"1","issued":{"date-parts":[["2019","1","25"]]},"page":"191-205","title":"Finding stories in noise: Mitochondrial portraits from RAD data","type":"article-journal","volume":"19"},"uris":["http://www.mendeley.com/documents/?uuid=6ec22ccb-6c9e-41f4-98c3-1a846d1e22b9"]}],"mendeley":{"formattedCitation":"(Stobie et al. 2019; Terraneo et al. 2018; Toonen et al. 2013)","manualFormatting":"(Toonen et al. 2013; Terraneo et al. 2018; Stobie et al. 2019)","plainTextFormattedCitation":"(Stobie et al. 2019; Terraneo et al. 2018; Toonen et al. 2013)","previouslyFormattedCitation":"(Stobie et al. 2019; Terraneo et al. 2018; Toonen et al. 2013)"},"properties":{"noteIndex":0},"schema":"https://github.com/citation-style-language/schema/raw/master/csl-citation.json"}</w:instrText>
      </w:r>
      <w:r w:rsidRPr="00533EAC">
        <w:rPr>
          <w:rFonts w:ascii="Arial" w:eastAsia="Calibri" w:hAnsi="Arial" w:cs="Arial"/>
          <w:color w:val="000000" w:themeColor="text1"/>
          <w:lang w:val="en-ZA"/>
        </w:rPr>
        <w:fldChar w:fldCharType="separate"/>
      </w:r>
      <w:r w:rsidR="00B77CE0" w:rsidRPr="00533EAC">
        <w:rPr>
          <w:rFonts w:ascii="Arial" w:eastAsia="Calibri" w:hAnsi="Arial" w:cs="Arial"/>
          <w:noProof/>
          <w:color w:val="000000" w:themeColor="text1"/>
          <w:lang w:val="en-ZA"/>
        </w:rPr>
        <w:t>(</w:t>
      </w:r>
      <w:r w:rsidR="00A824D6" w:rsidRPr="00533EAC">
        <w:rPr>
          <w:rFonts w:ascii="Arial" w:eastAsia="Calibri" w:hAnsi="Arial" w:cs="Arial"/>
          <w:noProof/>
          <w:color w:val="000000" w:themeColor="text1"/>
          <w:lang w:val="en-ZA"/>
        </w:rPr>
        <w:t xml:space="preserve">Toonen et al. 2013; Terraneo et al. 2018; </w:t>
      </w:r>
      <w:r w:rsidR="00B77CE0" w:rsidRPr="00533EAC">
        <w:rPr>
          <w:rFonts w:ascii="Arial" w:eastAsia="Calibri" w:hAnsi="Arial" w:cs="Arial"/>
          <w:noProof/>
          <w:color w:val="000000" w:themeColor="text1"/>
          <w:lang w:val="en-ZA"/>
        </w:rPr>
        <w:t>Stobie et al. 2019)</w:t>
      </w:r>
      <w:r w:rsidRPr="00533EAC">
        <w:rPr>
          <w:rFonts w:ascii="Arial" w:eastAsia="Calibri" w:hAnsi="Arial" w:cs="Arial"/>
          <w:color w:val="000000" w:themeColor="text1"/>
          <w:lang w:val="en-ZA"/>
        </w:rPr>
        <w:fldChar w:fldCharType="end"/>
      </w:r>
      <w:r w:rsidR="00A824D6" w:rsidRPr="00533EAC">
        <w:rPr>
          <w:rFonts w:ascii="Arial" w:eastAsia="Calibri" w:hAnsi="Arial" w:cs="Arial"/>
          <w:color w:val="000000" w:themeColor="text1"/>
          <w:lang w:val="en-ZA"/>
        </w:rPr>
        <w:t>,</w:t>
      </w:r>
      <w:r w:rsidRPr="00533EAC">
        <w:rPr>
          <w:rFonts w:ascii="Arial" w:eastAsia="Calibri" w:hAnsi="Arial" w:cs="Arial"/>
          <w:color w:val="000000" w:themeColor="text1"/>
          <w:lang w:val="en-ZA"/>
        </w:rPr>
        <w:t xml:space="preserve"> we were able to reconstruct partial sequences of 13 P</w:t>
      </w:r>
      <w:r w:rsidR="004D02CC" w:rsidRPr="00533EAC">
        <w:rPr>
          <w:rFonts w:ascii="Arial" w:eastAsia="Calibri" w:hAnsi="Arial" w:cs="Arial"/>
          <w:color w:val="000000" w:themeColor="text1"/>
          <w:lang w:val="en-ZA"/>
        </w:rPr>
        <w:t>C</w:t>
      </w:r>
      <w:r w:rsidRPr="00533EAC">
        <w:rPr>
          <w:rFonts w:ascii="Arial" w:eastAsia="Calibri" w:hAnsi="Arial" w:cs="Arial"/>
          <w:color w:val="000000" w:themeColor="text1"/>
          <w:lang w:val="en-ZA"/>
        </w:rPr>
        <w:t xml:space="preserve">Gs of the five study populations of </w:t>
      </w:r>
      <w:r w:rsidRPr="00533EAC">
        <w:rPr>
          <w:rFonts w:ascii="Arial" w:eastAsia="Calibri" w:hAnsi="Arial" w:cs="Arial"/>
          <w:i/>
          <w:color w:val="000000" w:themeColor="text1"/>
          <w:lang w:val="en-ZA"/>
        </w:rPr>
        <w:t>Pyura</w:t>
      </w:r>
      <w:r w:rsidRPr="00533EAC">
        <w:rPr>
          <w:rFonts w:ascii="Arial" w:eastAsia="Calibri" w:hAnsi="Arial" w:cs="Arial"/>
          <w:color w:val="000000" w:themeColor="text1"/>
          <w:lang w:val="en-ZA"/>
        </w:rPr>
        <w:t xml:space="preserve"> spp. Despite missing data</w:t>
      </w:r>
      <w:r w:rsidR="00A15233" w:rsidRPr="00533EAC">
        <w:rPr>
          <w:rFonts w:ascii="Arial" w:eastAsia="Calibri" w:hAnsi="Arial" w:cs="Arial"/>
          <w:b/>
          <w:color w:val="000000" w:themeColor="text1"/>
          <w:lang w:val="en-ZA"/>
        </w:rPr>
        <w:t xml:space="preserve">, </w:t>
      </w:r>
      <w:r w:rsidR="003567FD" w:rsidRPr="00533EAC">
        <w:rPr>
          <w:rFonts w:ascii="Arial" w:eastAsia="Calibri" w:hAnsi="Arial" w:cs="Arial"/>
          <w:color w:val="000000" w:themeColor="text1"/>
          <w:lang w:val="en-ZA"/>
        </w:rPr>
        <w:t>the partial PCG sequences were suitable to compare variability between different genes</w:t>
      </w:r>
      <w:r w:rsidRPr="00533EAC">
        <w:rPr>
          <w:rFonts w:ascii="Arial" w:eastAsia="Calibri" w:hAnsi="Arial" w:cs="Arial"/>
          <w:color w:val="000000" w:themeColor="text1"/>
          <w:lang w:val="en-ZA"/>
        </w:rPr>
        <w:t xml:space="preserve"> </w:t>
      </w:r>
      <w:r w:rsidR="00B77CE0" w:rsidRPr="00533EAC">
        <w:rPr>
          <w:rFonts w:ascii="Arial" w:eastAsia="Calibri" w:hAnsi="Arial" w:cs="Arial"/>
          <w:color w:val="000000" w:themeColor="text1"/>
          <w:lang w:val="en-ZA"/>
        </w:rPr>
        <w:fldChar w:fldCharType="begin" w:fldLock="1"/>
      </w:r>
      <w:r w:rsidR="002E2E55" w:rsidRPr="00533EAC">
        <w:rPr>
          <w:rFonts w:ascii="Arial" w:eastAsia="Calibri" w:hAnsi="Arial" w:cs="Arial"/>
          <w:color w:val="000000" w:themeColor="text1"/>
          <w:lang w:val="en-ZA"/>
        </w:rPr>
        <w:instrText>ADDIN CSL_CITATION {"citationItems":[{"id":"ITEM-1","itemData":{"DOI":"10.1093/gbe/evt081","ISBN":"1759-6653 (Electronic)\\r1759-6653 (Linking)","ISSN":"17596653","PMID":"23709623","abstract":"Ascidians or sea squirts form a diverse group within chordates, which includes a few thousand members of marine sessile filter-feeding animals. Their mitochondrial genomes are characterized by particularly high evolutionary rates and rampant gene rearrangements. This extreme variability complicates standard polymerase chain reaction (PCR) based techniques for molecular characterization studies, and consequently only a few complete Ascidian mitochondrial genome sequences are available. Using the standard PCR and Sanger sequencing approach, we produced the mitochondrial genome of Ascidiella aspersa only after a great effort. In contrast, we produced five additional mitogenomes (Botrylloides aff. leachii, Halocynthia spinosa, Polycarpa mytiligera, Pyura gangelion, and Rhodosoma turcicum) with a novel strategy, consisting in sequencing the pooled total DNA samples of these five species using one Illumina HiSeq 2000 flow cell lane. Each mitogenome was efficiently assembled in a single contig using de novo transcriptome assembly, as de novo genome assembly generally performed poorly for this task. Each of the new six mitogenomes presents a different and novel gene order, showing that no syntenic block has been conserved at the ordinal level (in Stolidobranchia and in Phlebobranchia). Phylogenetic analyses support the paraphyly of both Ascidiacea and Phlebobranchia, with Thaliacea nested inside Phlebobranchia, although the deepest nodes of the Phlebobranchia-Thaliacea clade are not well resolved. The strategy described here thus provides a cost-effective approach to obtain complete mitogenomes characterized by a highly plastic gene order and a fast nucleotide/amino acid substitution rate.","author":[{"dropping-particle":"","family":"Rubinstein","given":"Nimrod D.","non-dropping-particle":"","parse-names":false,"suffix":""},{"dropping-particle":"","family":"Feldstein","given":"Tamar","non-dropping-particle":"","parse-names":false,"suffix":""},{"dropping-particle":"","family":"Shenkar","given":"Noa","non-dropping-particle":"","parse-names":false,"suffix":""},{"dropping-particle":"","family":"Botero-Castro","given":"Fidel","non-dropping-particle":"","parse-names":false,"suffix":""},{"dropping-particle":"","family":"Griggio","given":"Francesca","non-dropping-particle":"","parse-names":false,"suffix":""},{"dropping-particle":"","family":"Mastrototaro","given":"Francesco","non-dropping-particle":"","parse-names":false,"suffix":""},{"dropping-particle":"","family":"Delsuc","given":"Frédéric","non-dropping-particle":"","parse-names":false,"suffix":""},{"dropping-particle":"","family":"Douzery","given":"Emmanuel J.P.","non-dropping-particle":"","parse-names":false,"suffix":""},{"dropping-particle":"","family":"Gissi","given":"Carmela","non-dropping-particle":"","parse-names":false,"suffix":""},{"dropping-particle":"","family":"Huchon","given":"Dorothée","non-dropping-particle":"","parse-names":false,"suffix":""}],"container-title":"Genome Biology and Evolution","id":"ITEM-1","issue":"6","issued":{"date-parts":[["2013"]]},"page":"1185-1199","title":"Deep sequencing of mixed total DNA without barcodes allows efficient assembly of highly plastic Ascidian mitochondrial genomes","type":"article-journal","volume":"5"},"uris":["http://www.mendeley.com/documents/?uuid=09ae5828-0fd4-4974-960e-f602fdfbb131"]},{"id":"ITEM-2","itemData":{"DOI":"10.3897/BDJ.7.E46833","ISSN":"13142828","abstract":"Few tropical marine sites have been thoroughly characterised for their animal species, even though they constitute the largest proportion of multicellular diversity. A number of focused biodiversity sampling programmes have amassed immense collections to address this shortfall, but obstacles remain due to the lack of identification tools and large proportion of undescribed species globally. These problems can be partially addressed with DNA barcodes (\"biocodes\"), which have the potential to facilitate the estimation of species diversity and identify animals to named species via barcode databases. Here, we present the first results of what is intended to be a sustained, systematic study of the marine fauna of Singapore's first marine park, reporting more than 365 animal species, determined based on DNA barcodes and/or morphology represented by 931 specimens (367 zooplankton, 564 macrofauna including 36 fish). Due to the lack of morphological and molecular identification tools, only a small proportion could be identified to species solely based on either morphology (24.5%) or barcodes (24.6%). Estimation of species numbers for some taxa was difficult because of the lack of sufficiently clear barcoding gaps. The specimens were imaged and added to \"Biodiversity of Singapore\" (http:// singapore.biodiversity.online), which now contains images for &gt; 13,000 species occurring in the country.","author":[{"dropping-particle":"","family":"Ip","given":"Yin Cheong Aden","non-dropping-particle":"","parse-names":false,"suffix":""},{"dropping-particle":"","family":"Tay","given":"Ywee Chieh","non-dropping-particle":"","parse-names":false,"suffix":""},{"dropping-particle":"","family":"Gan","given":"Su Xuan","non-dropping-particle":"","parse-names":false,"suffix":""},{"dropping-particle":"","family":"Ang","given":"Hui Ping","non-dropping-particle":"","parse-names":false,"suffix":""},{"dropping-particle":"","family":"Tun","given":"Karenne","non-dropping-particle":"","parse-names":false,"suffix":""},{"dropping-particle":"","family":"Chou","given":"Loke Ming","non-dropping-particle":"","parse-names":false,"suffix":""},{"dropping-particle":"","family":"Huang","given":"Danwei","non-dropping-particle":"","parse-names":false,"suffix":""},{"dropping-particle":"","family":"Meier","given":"Rudolf","non-dropping-particle":"","parse-names":false,"suffix":""}],"container-title":"Biodiversity Data Journal","id":"ITEM-2","issued":{"date-parts":[["2019","12","10"]]},"language":"eng","page":"e46833-e46833","publisher":"Pensoft Publishers","title":"From marine park to future genomic observatory? Enhancing marine biodiversity assessments using a biocode approach","type":"article-journal","volume":"7"},"uris":["http://www.mendeley.com/documents/?uuid=571070a5-6f38-4a7d-92d7-fee4db227889"]}],"mendeley":{"formattedCitation":"(Ip et al. 2019; Rubinstein et al. 2013)","manualFormatting":"(Rubinstein et al. 2013; Ip et al. 2019)","plainTextFormattedCitation":"(Ip et al. 2019; Rubinstein et al. 2013)","previouslyFormattedCitation":"(Ip et al. 2019; Rubinstein et al. 2013)"},"properties":{"noteIndex":0},"schema":"https://github.com/citation-style-language/schema/raw/master/csl-citation.json"}</w:instrText>
      </w:r>
      <w:r w:rsidR="00B77CE0" w:rsidRPr="00533EAC">
        <w:rPr>
          <w:rFonts w:ascii="Arial" w:eastAsia="Calibri" w:hAnsi="Arial" w:cs="Arial"/>
          <w:color w:val="000000" w:themeColor="text1"/>
          <w:lang w:val="en-ZA"/>
        </w:rPr>
        <w:fldChar w:fldCharType="separate"/>
      </w:r>
      <w:r w:rsidR="00B77CE0" w:rsidRPr="00533EAC">
        <w:rPr>
          <w:rFonts w:ascii="Arial" w:eastAsia="Calibri" w:hAnsi="Arial" w:cs="Arial"/>
          <w:noProof/>
          <w:color w:val="000000" w:themeColor="text1"/>
          <w:lang w:val="en-ZA"/>
        </w:rPr>
        <w:t>(Rubinstein et al. 2013</w:t>
      </w:r>
      <w:r w:rsidR="00A824D6" w:rsidRPr="00533EAC">
        <w:rPr>
          <w:rFonts w:ascii="Arial" w:eastAsia="Calibri" w:hAnsi="Arial" w:cs="Arial"/>
          <w:noProof/>
          <w:color w:val="000000" w:themeColor="text1"/>
          <w:lang w:val="en-ZA"/>
        </w:rPr>
        <w:t>; Ip et al. 2019</w:t>
      </w:r>
      <w:r w:rsidR="00B77CE0" w:rsidRPr="00533EAC">
        <w:rPr>
          <w:rFonts w:ascii="Arial" w:eastAsia="Calibri" w:hAnsi="Arial" w:cs="Arial"/>
          <w:noProof/>
          <w:color w:val="000000" w:themeColor="text1"/>
          <w:lang w:val="en-ZA"/>
        </w:rPr>
        <w:t>)</w:t>
      </w:r>
      <w:r w:rsidR="00B77CE0" w:rsidRPr="00533EAC">
        <w:rPr>
          <w:rFonts w:ascii="Arial" w:eastAsia="Calibri" w:hAnsi="Arial" w:cs="Arial"/>
          <w:color w:val="000000" w:themeColor="text1"/>
          <w:lang w:val="en-ZA"/>
        </w:rPr>
        <w:fldChar w:fldCharType="end"/>
      </w:r>
      <w:r w:rsidRPr="00533EAC">
        <w:rPr>
          <w:rFonts w:ascii="Arial" w:eastAsia="Calibri" w:hAnsi="Arial" w:cs="Arial"/>
          <w:color w:val="000000" w:themeColor="text1"/>
          <w:lang w:val="en-ZA"/>
        </w:rPr>
        <w:t>. Correcting for sequence length, we found</w:t>
      </w:r>
      <w:r w:rsidR="00A824D6" w:rsidRPr="00533EAC">
        <w:rPr>
          <w:rFonts w:ascii="Arial" w:eastAsia="Calibri" w:hAnsi="Arial" w:cs="Arial"/>
          <w:color w:val="000000" w:themeColor="text1"/>
          <w:lang w:val="en-ZA"/>
        </w:rPr>
        <w:t xml:space="preserve"> the</w:t>
      </w:r>
      <w:r w:rsidRPr="00533EAC">
        <w:rPr>
          <w:rFonts w:ascii="Arial" w:eastAsia="Calibri" w:hAnsi="Arial" w:cs="Arial"/>
          <w:color w:val="000000" w:themeColor="text1"/>
          <w:lang w:val="en-ZA"/>
        </w:rPr>
        <w:t xml:space="preserve"> highest number</w:t>
      </w:r>
      <w:r w:rsidR="00A824D6" w:rsidRPr="00533EAC">
        <w:rPr>
          <w:rFonts w:ascii="Arial" w:eastAsia="Calibri" w:hAnsi="Arial" w:cs="Arial"/>
          <w:color w:val="000000" w:themeColor="text1"/>
          <w:lang w:val="en-ZA"/>
        </w:rPr>
        <w:t>s</w:t>
      </w:r>
      <w:r w:rsidRPr="00533EAC">
        <w:rPr>
          <w:rFonts w:ascii="Arial" w:eastAsia="Calibri" w:hAnsi="Arial" w:cs="Arial"/>
          <w:color w:val="000000" w:themeColor="text1"/>
          <w:lang w:val="en-ZA"/>
        </w:rPr>
        <w:t xml:space="preserve"> of SNPs in the Atp8, Cox2 and Cox1 regions, rendering those </w:t>
      </w:r>
      <w:r w:rsidR="003567FD" w:rsidRPr="00533EAC">
        <w:rPr>
          <w:rFonts w:ascii="Arial" w:eastAsia="Calibri" w:hAnsi="Arial" w:cs="Arial"/>
          <w:color w:val="000000" w:themeColor="text1"/>
          <w:lang w:val="en-ZA"/>
        </w:rPr>
        <w:t xml:space="preserve">genes </w:t>
      </w:r>
      <w:r w:rsidRPr="00533EAC">
        <w:rPr>
          <w:rFonts w:ascii="Arial" w:eastAsia="Calibri" w:hAnsi="Arial" w:cs="Arial"/>
          <w:color w:val="000000" w:themeColor="text1"/>
          <w:lang w:val="en-ZA"/>
        </w:rPr>
        <w:t xml:space="preserve">the most informative </w:t>
      </w:r>
      <w:r w:rsidR="003567FD" w:rsidRPr="00533EAC">
        <w:rPr>
          <w:rFonts w:ascii="Arial" w:eastAsia="Calibri" w:hAnsi="Arial" w:cs="Arial"/>
          <w:color w:val="000000" w:themeColor="text1"/>
          <w:lang w:val="en-ZA"/>
        </w:rPr>
        <w:t>markers for more detailed phylogeographical analyses</w:t>
      </w:r>
      <w:r w:rsidRPr="00533EAC">
        <w:rPr>
          <w:rFonts w:ascii="Arial" w:eastAsia="Calibri" w:hAnsi="Arial" w:cs="Arial"/>
          <w:color w:val="000000" w:themeColor="text1"/>
          <w:lang w:val="en-ZA"/>
        </w:rPr>
        <w:t xml:space="preserve">. </w:t>
      </w:r>
      <w:r w:rsidR="00A824D6" w:rsidRPr="00533EAC">
        <w:rPr>
          <w:rFonts w:ascii="Arial" w:eastAsia="Calibri" w:hAnsi="Arial" w:cs="Arial"/>
          <w:color w:val="000000" w:themeColor="text1"/>
          <w:lang w:val="en-ZA"/>
        </w:rPr>
        <w:t>T</w:t>
      </w:r>
      <w:r w:rsidRPr="00533EAC">
        <w:rPr>
          <w:rFonts w:ascii="Arial" w:eastAsia="Calibri" w:hAnsi="Arial" w:cs="Arial"/>
          <w:color w:val="000000" w:themeColor="text1"/>
          <w:lang w:val="en-ZA"/>
        </w:rPr>
        <w:t xml:space="preserve">he development of the phylogenetic tree with the 13 PDGs </w:t>
      </w:r>
      <w:r w:rsidRPr="00533EAC">
        <w:rPr>
          <w:rFonts w:ascii="Arial" w:eastAsia="Calibri" w:hAnsi="Arial" w:cs="Arial"/>
          <w:color w:val="000000" w:themeColor="text1"/>
          <w:lang w:val="en-ZA"/>
        </w:rPr>
        <w:fldChar w:fldCharType="begin" w:fldLock="1"/>
      </w:r>
      <w:r w:rsidR="0097798B" w:rsidRPr="00533EAC">
        <w:rPr>
          <w:rFonts w:ascii="Arial" w:eastAsia="Calibri" w:hAnsi="Arial" w:cs="Arial"/>
          <w:color w:val="000000" w:themeColor="text1"/>
          <w:lang w:val="en-ZA"/>
        </w:rPr>
        <w:instrText>ADDIN CSL_CITATION {"citationItems":[{"id":"ITEM-1","itemData":{"DOI":"10.1093/gbe/evt081","ISBN":"1759-6653 (Electronic)\\r1759-6653 (Linking)","ISSN":"17596653","PMID":"23709623","abstract":"Ascidians or sea squirts form a diverse group within chordates, which includes a few thousand members of marine sessile filter-feeding animals. Their mitochondrial genomes are characterized by particularly high evolutionary rates and rampant gene rearrangements. This extreme variability complicates standard polymerase chain reaction (PCR) based techniques for molecular characterization studies, and consequently only a few complete Ascidian mitochondrial genome sequences are available. Using the standard PCR and Sanger sequencing approach, we produced the mitochondrial genome of Ascidiella aspersa only after a great effort. In contrast, we produced five additional mitogenomes (Botrylloides aff. leachii, Halocynthia spinosa, Polycarpa mytiligera, Pyura gangelion, and Rhodosoma turcicum) with a novel strategy, consisting in sequencing the pooled total DNA samples of these five species using one Illumina HiSeq 2000 flow cell lane. Each mitogenome was efficiently assembled in a single contig using de novo transcriptome assembly, as de novo genome assembly generally performed poorly for this task. Each of the new six mitogenomes presents a different and novel gene order, showing that no syntenic block has been conserved at the ordinal level (in Stolidobranchia and in Phlebobranchia). Phylogenetic analyses support the paraphyly of both Ascidiacea and Phlebobranchia, with Thaliacea nested inside Phlebobranchia, although the deepest nodes of the Phlebobranchia-Thaliacea clade are not well resolved. The strategy described here thus provides a cost-effective approach to obtain complete mitogenomes characterized by a highly plastic gene order and a fast nucleotide/amino acid substitution rate.","author":[{"dropping-particle":"","family":"Rubinstein","given":"Nimrod D.","non-dropping-particle":"","parse-names":false,"suffix":""},{"dropping-particle":"","family":"Feldstein","given":"Tamar","non-dropping-particle":"","parse-names":false,"suffix":""},{"dropping-particle":"","family":"Shenkar","given":"Noa","non-dropping-particle":"","parse-names":false,"suffix":""},{"dropping-particle":"","family":"Botero-Castro","given":"Fidel","non-dropping-particle":"","parse-names":false,"suffix":""},{"dropping-particle":"","family":"Griggio","given":"Francesca","non-dropping-particle":"","parse-names":false,"suffix":""},{"dropping-particle":"","family":"Mastrototaro","given":"Francesco","non-dropping-particle":"","parse-names":false,"suffix":""},{"dropping-particle":"","family":"Delsuc","given":"Frédéric","non-dropping-particle":"","parse-names":false,"suffix":""},{"dropping-particle":"","family":"Douzery","given":"Emmanuel J.P.","non-dropping-particle":"","parse-names":false,"suffix":""},{"dropping-particle":"","family":"Gissi","given":"Carmela","non-dropping-particle":"","parse-names":false,"suffix":""},{"dropping-particle":"","family":"Huchon","given":"Dorothée","non-dropping-particle":"","parse-names":false,"suffix":""}],"container-title":"Genome Biology and Evolution","id":"ITEM-1","issue":"6","issued":{"date-parts":[["2013"]]},"page":"1185-1199","title":"Deep sequencing of mixed total DNA without barcodes allows efficient assembly of highly plastic Ascidian mitochondrial genomes","type":"article-journal","volume":"5"},"uris":["http://www.mendeley.com/documents/?uuid=09ae5828-0fd4-4974-960e-f602fdfbb131"]}],"mendeley":{"formattedCitation":"(Rubinstein et al. 2013)","plainTextFormattedCitation":"(Rubinstein et al. 2013)","previouslyFormattedCitation":"(Rubinstein et al. 2013)"},"properties":{"noteIndex":0},"schema":"https://github.com/citation-style-language/schema/raw/master/csl-citation.json"}</w:instrText>
      </w:r>
      <w:r w:rsidRPr="00533EAC">
        <w:rPr>
          <w:rFonts w:ascii="Arial" w:eastAsia="Calibri" w:hAnsi="Arial" w:cs="Arial"/>
          <w:color w:val="000000" w:themeColor="text1"/>
          <w:lang w:val="en-ZA"/>
        </w:rPr>
        <w:fldChar w:fldCharType="separate"/>
      </w:r>
      <w:r w:rsidR="003A4A3A" w:rsidRPr="00533EAC">
        <w:rPr>
          <w:rFonts w:ascii="Arial" w:eastAsia="Calibri" w:hAnsi="Arial" w:cs="Arial"/>
          <w:noProof/>
          <w:color w:val="000000" w:themeColor="text1"/>
          <w:lang w:val="en-ZA"/>
        </w:rPr>
        <w:t>(Rubinstein et al. 2013)</w:t>
      </w:r>
      <w:r w:rsidRPr="00533EAC">
        <w:rPr>
          <w:rFonts w:ascii="Arial" w:eastAsia="Calibri" w:hAnsi="Arial" w:cs="Arial"/>
          <w:color w:val="000000" w:themeColor="text1"/>
          <w:lang w:val="en-ZA"/>
        </w:rPr>
        <w:fldChar w:fldCharType="end"/>
      </w:r>
      <w:r w:rsidRPr="00533EAC">
        <w:rPr>
          <w:rFonts w:ascii="Arial" w:eastAsia="Calibri" w:hAnsi="Arial" w:cs="Arial"/>
          <w:color w:val="000000" w:themeColor="text1"/>
          <w:lang w:val="en-ZA"/>
        </w:rPr>
        <w:t xml:space="preserve"> of the </w:t>
      </w:r>
      <w:r w:rsidRPr="00533EAC">
        <w:rPr>
          <w:rFonts w:ascii="Arial" w:eastAsia="Calibri" w:hAnsi="Arial" w:cs="Arial"/>
          <w:i/>
          <w:color w:val="000000" w:themeColor="text1"/>
          <w:lang w:val="en-ZA"/>
        </w:rPr>
        <w:t xml:space="preserve">Pyura </w:t>
      </w:r>
      <w:r w:rsidRPr="00533EAC">
        <w:rPr>
          <w:rFonts w:ascii="Arial" w:eastAsia="Calibri" w:hAnsi="Arial" w:cs="Arial"/>
          <w:color w:val="000000" w:themeColor="text1"/>
          <w:lang w:val="en-ZA"/>
        </w:rPr>
        <w:t xml:space="preserve">spp. </w:t>
      </w:r>
      <w:r w:rsidR="003567FD" w:rsidRPr="00533EAC">
        <w:rPr>
          <w:rFonts w:ascii="Arial" w:eastAsia="Calibri" w:hAnsi="Arial" w:cs="Arial"/>
          <w:color w:val="000000" w:themeColor="text1"/>
          <w:lang w:val="en-ZA"/>
        </w:rPr>
        <w:t>further helped to determine</w:t>
      </w:r>
      <w:r w:rsidRPr="00533EAC">
        <w:rPr>
          <w:rFonts w:ascii="Arial" w:eastAsia="Calibri" w:hAnsi="Arial" w:cs="Arial"/>
          <w:color w:val="000000" w:themeColor="text1"/>
          <w:lang w:val="en-ZA"/>
        </w:rPr>
        <w:t xml:space="preserve"> evolutionary relationships between the study populations. Our findings show how different populations of </w:t>
      </w:r>
      <w:r w:rsidRPr="00533EAC">
        <w:rPr>
          <w:rFonts w:ascii="Arial" w:eastAsia="Calibri" w:hAnsi="Arial" w:cs="Arial"/>
          <w:i/>
          <w:color w:val="000000" w:themeColor="text1"/>
          <w:lang w:val="en-ZA"/>
        </w:rPr>
        <w:t xml:space="preserve">P. herdmani </w:t>
      </w:r>
      <w:r w:rsidRPr="00533EAC">
        <w:rPr>
          <w:rFonts w:ascii="Arial" w:eastAsia="Calibri" w:hAnsi="Arial" w:cs="Arial"/>
          <w:color w:val="000000" w:themeColor="text1"/>
          <w:lang w:val="en-ZA"/>
        </w:rPr>
        <w:t xml:space="preserve">are rather divergent, indicating the need for further studies </w:t>
      </w:r>
      <w:r w:rsidR="003567FD" w:rsidRPr="00533EAC">
        <w:rPr>
          <w:rFonts w:ascii="Arial" w:eastAsia="Calibri" w:hAnsi="Arial" w:cs="Arial"/>
          <w:color w:val="000000" w:themeColor="text1"/>
          <w:lang w:val="en-ZA"/>
        </w:rPr>
        <w:t>to determine whether they could be reproductively isolated, distinct species</w:t>
      </w:r>
      <w:r w:rsidRPr="00533EAC">
        <w:rPr>
          <w:rFonts w:ascii="Arial" w:eastAsia="Calibri" w:hAnsi="Arial" w:cs="Arial"/>
          <w:color w:val="000000" w:themeColor="text1"/>
          <w:lang w:val="en-ZA"/>
        </w:rPr>
        <w:t xml:space="preserve">. The genetic tools developed here can be used in future studies on </w:t>
      </w:r>
      <w:r w:rsidRPr="00533EAC">
        <w:rPr>
          <w:rFonts w:ascii="Arial" w:eastAsia="Calibri" w:hAnsi="Arial" w:cs="Arial"/>
          <w:i/>
          <w:color w:val="000000" w:themeColor="text1"/>
          <w:lang w:val="en-ZA"/>
        </w:rPr>
        <w:t>Pyura</w:t>
      </w:r>
      <w:r w:rsidRPr="00533EAC">
        <w:rPr>
          <w:rFonts w:ascii="Arial" w:eastAsia="Calibri" w:hAnsi="Arial" w:cs="Arial"/>
          <w:color w:val="000000" w:themeColor="text1"/>
          <w:lang w:val="en-ZA"/>
        </w:rPr>
        <w:t xml:space="preserve"> spp. to locate and design </w:t>
      </w:r>
      <w:r w:rsidR="003567FD" w:rsidRPr="00533EAC">
        <w:rPr>
          <w:rFonts w:ascii="Arial" w:eastAsia="Calibri" w:hAnsi="Arial" w:cs="Arial"/>
          <w:color w:val="000000" w:themeColor="text1"/>
          <w:lang w:val="en-ZA"/>
        </w:rPr>
        <w:t xml:space="preserve">additional </w:t>
      </w:r>
      <w:r w:rsidRPr="00533EAC">
        <w:rPr>
          <w:rFonts w:ascii="Arial" w:eastAsia="Calibri" w:hAnsi="Arial" w:cs="Arial"/>
          <w:color w:val="000000" w:themeColor="text1"/>
          <w:lang w:val="en-ZA"/>
        </w:rPr>
        <w:t>primers to specifically target the most variable mitochondrial regions</w:t>
      </w:r>
      <w:r w:rsidR="00A824D6" w:rsidRPr="00533EAC">
        <w:rPr>
          <w:rFonts w:ascii="Arial" w:eastAsia="Calibri" w:hAnsi="Arial" w:cs="Arial"/>
          <w:color w:val="000000" w:themeColor="text1"/>
          <w:lang w:val="en-ZA"/>
        </w:rPr>
        <w:t>,</w:t>
      </w:r>
      <w:r w:rsidRPr="00533EAC">
        <w:rPr>
          <w:rFonts w:ascii="Arial" w:eastAsia="Calibri" w:hAnsi="Arial" w:cs="Arial"/>
          <w:color w:val="000000" w:themeColor="text1"/>
          <w:lang w:val="en-ZA"/>
        </w:rPr>
        <w:t xml:space="preserve"> as was indicated in</w:t>
      </w:r>
      <w:r w:rsidR="00A824D6" w:rsidRPr="00533EAC">
        <w:rPr>
          <w:rFonts w:ascii="Arial" w:eastAsia="Calibri" w:hAnsi="Arial" w:cs="Arial"/>
          <w:color w:val="000000" w:themeColor="text1"/>
          <w:lang w:val="en-ZA"/>
        </w:rPr>
        <w:t xml:space="preserve"> a</w:t>
      </w:r>
      <w:r w:rsidRPr="00533EAC">
        <w:rPr>
          <w:rFonts w:ascii="Arial" w:eastAsia="Calibri" w:hAnsi="Arial" w:cs="Arial"/>
          <w:color w:val="000000" w:themeColor="text1"/>
          <w:lang w:val="en-ZA"/>
        </w:rPr>
        <w:t xml:space="preserve"> similar study </w:t>
      </w:r>
      <w:r w:rsidR="00A824D6" w:rsidRPr="00533EAC">
        <w:rPr>
          <w:rFonts w:ascii="Arial" w:eastAsia="Calibri" w:hAnsi="Arial" w:cs="Arial"/>
          <w:color w:val="000000" w:themeColor="text1"/>
          <w:lang w:val="en-ZA"/>
        </w:rPr>
        <w:fldChar w:fldCharType="begin" w:fldLock="1"/>
      </w:r>
      <w:r w:rsidR="002E2E55" w:rsidRPr="00533EAC">
        <w:rPr>
          <w:rFonts w:ascii="Arial" w:eastAsia="Calibri" w:hAnsi="Arial" w:cs="Arial"/>
          <w:color w:val="000000" w:themeColor="text1"/>
          <w:lang w:val="en-ZA"/>
        </w:rPr>
        <w:instrText>ADDIN CSL_CITATION {"citationItems":[{"id":"ITEM-1","itemData":{"DOI":"10.2989/1814232X.2019.1576541","ISSN":"18142338","abstract":"Genomic data can be a useful tool in the management and conservation of biodiversity. Here, we report the development of genomic resources for the spotted ragged-tooth shark Carcharias taurus using genome-wide DNA data from Illumina next-generation sequencing. We explored two commonly used genetic marker types: microsatellites and mitochondrial DNA. A total of 4 394 putative microsatellites were identified, of which 10 were tested on 24 individuals and found to have ideal properties for population genetic analyses. Additionally, we reconstructed the first complete mitochondrial genome of a South African spotted ragged-tooth shark, and highlight the most informative gene regions to facilitate future primer design. The data reported here may serve as a resource for future studies and can ultimately be applied in the sustainable conservation and fisheries management of this apex predator.","author":[{"dropping-particle":"","family":"Klein","given":"J. D.","non-dropping-particle":"","parse-names":false,"suffix":""},{"dropping-particle":"","family":"Bester-van der Merwe","given":"A. E.","non-dropping-particle":"","parse-names":false,"suffix":""},{"dropping-particle":"","family":"Dicken","given":"M. L.","non-dropping-particle":"","parse-names":false,"suffix":""},{"dropping-particle":"","family":"Emami-Khoyi","given":"A.","non-dropping-particle":"","parse-names":false,"suffix":""},{"dropping-particle":"","family":"Mmonwa","given":"K. L.","non-dropping-particle":"","parse-names":false,"suffix":""},{"dropping-particle":"","family":"Teske","given":"P. R.","non-dropping-particle":"","parse-names":false,"suffix":""}],"container-title":"African Journal of Marine Science","id":"ITEM-1","issue":"1","issued":{"date-parts":[["2019","1","2"]]},"page":"115-118","publisher":"National Inquiry Services Centre Ltd","title":"Genomic resources for the spotted ragged-tooth shark &lt;i&gt;Carcharias taurus&lt;/i&gt;","type":"article-journal","volume":"41"},"uris":["http://www.mendeley.com/documents/?uuid=07c6ce83-c478-38b2-82df-78f1766690ef"]}],"mendeley":{"formattedCitation":"(Klein et al. 2019)","manualFormatting":"by Klein et al. (2019)","plainTextFormattedCitation":"(Klein et al. 2019)","previouslyFormattedCitation":"(Klein et al. 2019)"},"properties":{"noteIndex":0},"schema":"https://github.com/citation-style-language/schema/raw/master/csl-citation.json"}</w:instrText>
      </w:r>
      <w:r w:rsidR="00A824D6" w:rsidRPr="00533EAC">
        <w:rPr>
          <w:rFonts w:ascii="Arial" w:eastAsia="Calibri" w:hAnsi="Arial" w:cs="Arial"/>
          <w:color w:val="000000" w:themeColor="text1"/>
          <w:lang w:val="en-ZA"/>
        </w:rPr>
        <w:fldChar w:fldCharType="separate"/>
      </w:r>
      <w:r w:rsidR="00A824D6" w:rsidRPr="00533EAC">
        <w:rPr>
          <w:rFonts w:ascii="Arial" w:eastAsia="Calibri" w:hAnsi="Arial" w:cs="Arial"/>
          <w:noProof/>
          <w:color w:val="000000" w:themeColor="text1"/>
          <w:lang w:val="en-ZA"/>
        </w:rPr>
        <w:t>by Klein et al. (2019)</w:t>
      </w:r>
      <w:r w:rsidR="00A824D6" w:rsidRPr="00533EAC">
        <w:rPr>
          <w:rFonts w:ascii="Arial" w:eastAsia="Calibri" w:hAnsi="Arial" w:cs="Arial"/>
          <w:color w:val="000000" w:themeColor="text1"/>
          <w:lang w:val="en-ZA"/>
        </w:rPr>
        <w:fldChar w:fldCharType="end"/>
      </w:r>
      <w:r w:rsidRPr="00533EAC">
        <w:rPr>
          <w:rFonts w:ascii="Arial" w:eastAsia="Calibri" w:hAnsi="Arial" w:cs="Arial"/>
          <w:color w:val="000000" w:themeColor="text1"/>
          <w:lang w:val="en-ZA"/>
        </w:rPr>
        <w:t xml:space="preserve">. These new genomic resources, combined with </w:t>
      </w:r>
      <w:r w:rsidR="003567FD" w:rsidRPr="00533EAC">
        <w:rPr>
          <w:rFonts w:ascii="Arial" w:eastAsia="Calibri" w:hAnsi="Arial" w:cs="Arial"/>
          <w:color w:val="000000" w:themeColor="text1"/>
          <w:lang w:val="en-ZA"/>
        </w:rPr>
        <w:t xml:space="preserve">previous </w:t>
      </w:r>
      <w:r w:rsidRPr="00533EAC">
        <w:rPr>
          <w:rFonts w:ascii="Arial" w:eastAsia="Calibri" w:hAnsi="Arial" w:cs="Arial"/>
          <w:color w:val="000000" w:themeColor="text1"/>
          <w:lang w:val="en-ZA"/>
        </w:rPr>
        <w:t>nuclear and mitochondrial markers, will facilitate</w:t>
      </w:r>
      <w:r w:rsidR="00A824D6" w:rsidRPr="00533EAC">
        <w:rPr>
          <w:rFonts w:ascii="Arial" w:eastAsia="Calibri" w:hAnsi="Arial" w:cs="Arial"/>
          <w:color w:val="000000" w:themeColor="text1"/>
          <w:lang w:val="en-ZA"/>
        </w:rPr>
        <w:t xml:space="preserve"> the</w:t>
      </w:r>
      <w:r w:rsidRPr="00533EAC">
        <w:rPr>
          <w:rFonts w:ascii="Arial" w:eastAsia="Calibri" w:hAnsi="Arial" w:cs="Arial"/>
          <w:color w:val="000000" w:themeColor="text1"/>
          <w:lang w:val="en-ZA"/>
        </w:rPr>
        <w:t xml:space="preserve"> fine-scale</w:t>
      </w:r>
      <w:r w:rsidR="00A824D6" w:rsidRPr="00533EAC">
        <w:rPr>
          <w:rFonts w:ascii="Arial" w:eastAsia="Calibri" w:hAnsi="Arial" w:cs="Arial"/>
          <w:color w:val="000000" w:themeColor="text1"/>
          <w:lang w:val="en-ZA"/>
        </w:rPr>
        <w:t xml:space="preserve"> assessment of</w:t>
      </w:r>
      <w:r w:rsidRPr="00533EAC">
        <w:rPr>
          <w:rFonts w:ascii="Arial" w:eastAsia="Calibri" w:hAnsi="Arial" w:cs="Arial"/>
          <w:color w:val="000000" w:themeColor="text1"/>
          <w:lang w:val="en-ZA"/>
        </w:rPr>
        <w:t xml:space="preserve"> population structure </w:t>
      </w:r>
      <w:r w:rsidRPr="00533EAC">
        <w:rPr>
          <w:rFonts w:ascii="Arial" w:eastAsia="Calibri" w:hAnsi="Arial" w:cs="Arial"/>
          <w:color w:val="000000" w:themeColor="text1"/>
          <w:lang w:val="en-US"/>
        </w:rPr>
        <w:t xml:space="preserve">and </w:t>
      </w:r>
      <w:r w:rsidRPr="00533EAC">
        <w:rPr>
          <w:rFonts w:ascii="Arial" w:eastAsia="Calibri" w:hAnsi="Arial" w:cs="Arial"/>
          <w:color w:val="000000" w:themeColor="text1"/>
          <w:lang w:val="en-ZA"/>
        </w:rPr>
        <w:t>analyses</w:t>
      </w:r>
      <w:r w:rsidR="00A824D6" w:rsidRPr="00533EAC">
        <w:rPr>
          <w:rFonts w:ascii="Arial" w:eastAsia="Calibri" w:hAnsi="Arial" w:cs="Arial"/>
          <w:color w:val="000000" w:themeColor="text1"/>
          <w:lang w:val="en-ZA"/>
        </w:rPr>
        <w:t xml:space="preserve"> of the evolution</w:t>
      </w:r>
      <w:r w:rsidRPr="00533EAC">
        <w:rPr>
          <w:rFonts w:ascii="Arial" w:eastAsia="Calibri" w:hAnsi="Arial" w:cs="Arial"/>
          <w:color w:val="000000" w:themeColor="text1"/>
          <w:lang w:val="en-ZA"/>
        </w:rPr>
        <w:t xml:space="preserve"> of </w:t>
      </w:r>
      <w:r w:rsidRPr="00533EAC">
        <w:rPr>
          <w:rFonts w:ascii="Arial" w:eastAsia="Calibri" w:hAnsi="Arial" w:cs="Arial"/>
          <w:i/>
          <w:color w:val="000000" w:themeColor="text1"/>
          <w:lang w:val="en-ZA"/>
        </w:rPr>
        <w:t>Pyura</w:t>
      </w:r>
      <w:r w:rsidRPr="00533EAC">
        <w:rPr>
          <w:rFonts w:ascii="Arial" w:eastAsia="Calibri" w:hAnsi="Arial" w:cs="Arial"/>
          <w:color w:val="000000" w:themeColor="text1"/>
          <w:lang w:val="en-ZA"/>
        </w:rPr>
        <w:t xml:space="preserve"> spp. on a regional and global scale.</w:t>
      </w:r>
    </w:p>
    <w:p w14:paraId="5F52C249" w14:textId="77777777" w:rsidR="00A824D6" w:rsidRPr="00533EAC" w:rsidRDefault="00A824D6" w:rsidP="00C05A32">
      <w:pPr>
        <w:spacing w:after="0" w:line="360" w:lineRule="auto"/>
        <w:jc w:val="both"/>
        <w:rPr>
          <w:rFonts w:ascii="Arial" w:eastAsia="Calibri" w:hAnsi="Arial" w:cs="Arial"/>
          <w:color w:val="000000" w:themeColor="text1"/>
          <w:lang w:val="en-ZA"/>
        </w:rPr>
      </w:pPr>
    </w:p>
    <w:p w14:paraId="73EC1741" w14:textId="68877299" w:rsidR="005633D6" w:rsidRPr="00533EAC" w:rsidRDefault="005633D6" w:rsidP="00C05A32">
      <w:pPr>
        <w:spacing w:after="0" w:line="360" w:lineRule="auto"/>
        <w:jc w:val="both"/>
        <w:rPr>
          <w:rFonts w:ascii="Arial" w:eastAsia="Calibri" w:hAnsi="Arial" w:cs="Arial"/>
          <w:color w:val="000000" w:themeColor="text1"/>
          <w:lang w:val="en-ZA"/>
        </w:rPr>
      </w:pPr>
      <w:r w:rsidRPr="00533EAC">
        <w:rPr>
          <w:rFonts w:ascii="Arial" w:eastAsia="Calibri" w:hAnsi="Arial" w:cs="Arial"/>
          <w:color w:val="000000" w:themeColor="text1"/>
          <w:lang w:val="en-ZA"/>
        </w:rPr>
        <w:t xml:space="preserve">In conclusion, considering that </w:t>
      </w:r>
      <w:r w:rsidRPr="00533EAC">
        <w:rPr>
          <w:rFonts w:ascii="Arial" w:eastAsia="Calibri" w:hAnsi="Arial" w:cs="Arial"/>
          <w:i/>
          <w:color w:val="000000" w:themeColor="text1"/>
          <w:lang w:val="en-ZA"/>
        </w:rPr>
        <w:t>Pyura</w:t>
      </w:r>
      <w:r w:rsidRPr="00533EAC">
        <w:rPr>
          <w:rFonts w:ascii="Arial" w:eastAsia="Calibri" w:hAnsi="Arial" w:cs="Arial"/>
          <w:color w:val="000000" w:themeColor="text1"/>
          <w:lang w:val="en-ZA"/>
        </w:rPr>
        <w:t xml:space="preserve"> spp. are essential bioengineers </w:t>
      </w:r>
      <w:r w:rsidRPr="00533EAC">
        <w:rPr>
          <w:rFonts w:ascii="Arial" w:eastAsia="Calibri" w:hAnsi="Arial" w:cs="Arial"/>
          <w:strike/>
          <w:color w:val="000000" w:themeColor="text1"/>
          <w:lang w:val="en-ZA"/>
        </w:rPr>
        <w:t>for</w:t>
      </w:r>
      <w:r w:rsidRPr="00533EAC">
        <w:rPr>
          <w:rFonts w:ascii="Arial" w:eastAsia="Calibri" w:hAnsi="Arial" w:cs="Arial"/>
          <w:color w:val="000000" w:themeColor="text1"/>
          <w:lang w:val="en-ZA"/>
        </w:rPr>
        <w:t xml:space="preserve"> </w:t>
      </w:r>
      <w:r w:rsidR="00A824D6" w:rsidRPr="00533EAC">
        <w:rPr>
          <w:rFonts w:ascii="Arial" w:eastAsia="Calibri" w:hAnsi="Arial" w:cs="Arial"/>
          <w:color w:val="000000" w:themeColor="text1"/>
          <w:lang w:val="en-ZA"/>
        </w:rPr>
        <w:t xml:space="preserve">on </w:t>
      </w:r>
      <w:r w:rsidRPr="00533EAC">
        <w:rPr>
          <w:rFonts w:ascii="Arial" w:eastAsia="Calibri" w:hAnsi="Arial" w:cs="Arial"/>
          <w:color w:val="000000" w:themeColor="text1"/>
          <w:lang w:val="en-ZA"/>
        </w:rPr>
        <w:t xml:space="preserve">the South African coastline </w:t>
      </w:r>
      <w:r w:rsidRPr="00533EAC">
        <w:rPr>
          <w:rFonts w:ascii="Arial" w:eastAsia="Calibri" w:hAnsi="Arial" w:cs="Arial"/>
          <w:color w:val="000000" w:themeColor="text1"/>
          <w:lang w:val="en-ZA"/>
        </w:rPr>
        <w:fldChar w:fldCharType="begin" w:fldLock="1"/>
      </w:r>
      <w:r w:rsidR="0097798B" w:rsidRPr="00533EAC">
        <w:rPr>
          <w:rFonts w:ascii="Arial" w:eastAsia="Calibri" w:hAnsi="Arial" w:cs="Arial"/>
          <w:color w:val="000000" w:themeColor="text1"/>
          <w:lang w:val="en-ZA"/>
        </w:rPr>
        <w:instrText>ADDIN CSL_CITATION {"citationItems":[{"id":"ITEM-1","itemData":{"DOI":"10.1201/b21944","ISBN":"9781351987592","abstract":"The role of dominant species is of central importance in ecology. Such species play a key role in ecosystem structure, stability and function, regulating resource allocation across trophic levels and overall ecosystem productivity. Although ecological interactions between dominant and subordinate species are often considered to influence the latter negatively, the presence of dominant species can also be beneficial. These species commonly act as ecosystem engineers and enhance biodiversity by creating habitat for other species. Along rocky coastlines, dominant species are often sessile suspension-feeding organisms that can monopolize all available substrata. This is particularly noticeable in intertidal and shallow subtidal habitats where the number of species that achieve ecological dominance is limited. Here, we review the ecological and evolutionary mechanisms that facilitate dominance along rocky coastlines. We then focus on a prominent example, the members of the Pyura stolonifera species complex (Tunicata), which are an emerging model system for studying ecological dominance. These ascidians achieve the highest biomass levels ever reported in rocky intertidal habitats and, when invasive, can fundamentally transform entire ecosystems. Finally, we discuss conservation implications and conclude with directions for future research.","author":[{"dropping-particle":"","family":"Rius","given":"Marc","non-dropping-particle":"","parse-names":false,"suffix":""},{"dropping-particle":"","family":"Teske","given":"Peter R.","non-dropping-particle":"","parse-names":false,"suffix":""},{"dropping-particle":"","family":"Manríquez","given":"Patricio H.","non-dropping-particle":"","parse-names":false,"suffix":""},{"dropping-particle":"","family":"Suárez-Jiménez","given":"Rocío","non-dropping-particle":"","parse-names":false,"suffix":""},{"dropping-particle":"","family":"McQuaid","given":"Christopher D.","non-dropping-particle":"","parse-names":false,"suffix":""},{"dropping-particle":"","family":"Castilla","given":"Juan Carlos","non-dropping-particle":"","parse-names":false,"suffix":""}],"container-title":"Oceanography and Marine Biology: An Annual Review","id":"ITEM-1","issued":{"date-parts":[["2017"]]},"title":"Ecological dominance along rocky shores, with a focus on intertidal ascidians","type":"chapter"},"uris":["http://www.mendeley.com/documents/?uuid=bfe8a740-6e5e-39d4-bac1-617f755bb054"]}],"mendeley":{"formattedCitation":"(Rius et al. 2017)","plainTextFormattedCitation":"(Rius et al. 2017)","previouslyFormattedCitation":"(Rius et al. 2017)"},"properties":{"noteIndex":0},"schema":"https://github.com/citation-style-language/schema/raw/master/csl-citation.json"}</w:instrText>
      </w:r>
      <w:r w:rsidRPr="00533EAC">
        <w:rPr>
          <w:rFonts w:ascii="Arial" w:eastAsia="Calibri" w:hAnsi="Arial" w:cs="Arial"/>
          <w:color w:val="000000" w:themeColor="text1"/>
          <w:lang w:val="en-ZA"/>
        </w:rPr>
        <w:fldChar w:fldCharType="separate"/>
      </w:r>
      <w:r w:rsidR="003A4A3A" w:rsidRPr="00533EAC">
        <w:rPr>
          <w:rFonts w:ascii="Arial" w:eastAsia="Calibri" w:hAnsi="Arial" w:cs="Arial"/>
          <w:noProof/>
          <w:color w:val="000000" w:themeColor="text1"/>
          <w:lang w:val="en-ZA"/>
        </w:rPr>
        <w:t>(Rius et al. 2017)</w:t>
      </w:r>
      <w:r w:rsidRPr="00533EAC">
        <w:rPr>
          <w:rFonts w:ascii="Arial" w:eastAsia="Calibri" w:hAnsi="Arial" w:cs="Arial"/>
          <w:color w:val="000000" w:themeColor="text1"/>
          <w:lang w:val="en-ZA"/>
        </w:rPr>
        <w:fldChar w:fldCharType="end"/>
      </w:r>
      <w:r w:rsidRPr="00533EAC">
        <w:rPr>
          <w:rFonts w:ascii="Arial" w:eastAsia="Calibri" w:hAnsi="Arial" w:cs="Arial"/>
          <w:color w:val="000000" w:themeColor="text1"/>
          <w:lang w:val="en-ZA"/>
        </w:rPr>
        <w:t xml:space="preserve">, these tools </w:t>
      </w:r>
      <w:r w:rsidRPr="00533EAC">
        <w:rPr>
          <w:rFonts w:ascii="Arial" w:eastAsia="Calibri" w:hAnsi="Arial" w:cs="Arial"/>
          <w:strike/>
          <w:color w:val="000000" w:themeColor="text1"/>
          <w:lang w:val="en-ZA"/>
        </w:rPr>
        <w:t>will also</w:t>
      </w:r>
      <w:r w:rsidRPr="00533EAC">
        <w:rPr>
          <w:rFonts w:ascii="Arial" w:eastAsia="Calibri" w:hAnsi="Arial" w:cs="Arial"/>
          <w:color w:val="000000" w:themeColor="text1"/>
          <w:lang w:val="en-ZA"/>
        </w:rPr>
        <w:t xml:space="preserve"> allow a better understanding of how </w:t>
      </w:r>
      <w:r w:rsidR="003567FD" w:rsidRPr="00533EAC">
        <w:rPr>
          <w:rFonts w:ascii="Arial" w:eastAsia="Calibri" w:hAnsi="Arial" w:cs="Arial"/>
          <w:color w:val="000000" w:themeColor="text1"/>
          <w:lang w:val="en-ZA"/>
        </w:rPr>
        <w:t>the ranges of the morphologically very similar but genetically distinct populations of P. herdmani may shift under conditions of climate change</w:t>
      </w:r>
      <w:r w:rsidRPr="00533EAC">
        <w:rPr>
          <w:rFonts w:ascii="Arial" w:eastAsia="Calibri" w:hAnsi="Arial" w:cs="Arial"/>
          <w:color w:val="000000" w:themeColor="text1"/>
          <w:lang w:val="en-ZA"/>
        </w:rPr>
        <w:t xml:space="preserve">. We believe that monitoring </w:t>
      </w:r>
      <w:r w:rsidRPr="00533EAC">
        <w:rPr>
          <w:rFonts w:ascii="Arial" w:eastAsia="Calibri" w:hAnsi="Arial" w:cs="Arial"/>
          <w:strike/>
          <w:color w:val="000000" w:themeColor="text1"/>
          <w:lang w:val="en-ZA"/>
        </w:rPr>
        <w:t xml:space="preserve">of </w:t>
      </w:r>
      <w:r w:rsidRPr="00533EAC">
        <w:rPr>
          <w:rFonts w:ascii="Arial" w:eastAsia="Calibri" w:hAnsi="Arial" w:cs="Arial"/>
          <w:color w:val="000000" w:themeColor="text1"/>
          <w:lang w:val="en-ZA"/>
        </w:rPr>
        <w:t xml:space="preserve">these key species </w:t>
      </w:r>
      <w:r w:rsidRPr="00533EAC">
        <w:rPr>
          <w:rFonts w:ascii="Arial" w:eastAsia="Calibri" w:hAnsi="Arial" w:cs="Arial"/>
          <w:strike/>
          <w:color w:val="000000" w:themeColor="text1"/>
          <w:lang w:val="en-ZA"/>
        </w:rPr>
        <w:t>can</w:t>
      </w:r>
      <w:r w:rsidRPr="00533EAC">
        <w:rPr>
          <w:rFonts w:ascii="Arial" w:eastAsia="Calibri" w:hAnsi="Arial" w:cs="Arial"/>
          <w:color w:val="000000" w:themeColor="text1"/>
          <w:lang w:val="en-ZA"/>
        </w:rPr>
        <w:t xml:space="preserve"> </w:t>
      </w:r>
      <w:r w:rsidR="00FD62D9" w:rsidRPr="00533EAC">
        <w:rPr>
          <w:rFonts w:ascii="Arial" w:eastAsia="Calibri" w:hAnsi="Arial" w:cs="Arial"/>
          <w:color w:val="000000" w:themeColor="text1"/>
          <w:lang w:val="en-ZA"/>
        </w:rPr>
        <w:t xml:space="preserve">could </w:t>
      </w:r>
      <w:r w:rsidRPr="00533EAC">
        <w:rPr>
          <w:rFonts w:ascii="Arial" w:eastAsia="Calibri" w:hAnsi="Arial" w:cs="Arial"/>
          <w:color w:val="000000" w:themeColor="text1"/>
          <w:lang w:val="en-ZA"/>
        </w:rPr>
        <w:t>highlight their role in the coastal and marine ecosystem</w:t>
      </w:r>
      <w:r w:rsidR="00A824D6" w:rsidRPr="00533EAC">
        <w:rPr>
          <w:rFonts w:ascii="Arial" w:eastAsia="Calibri" w:hAnsi="Arial" w:cs="Arial"/>
          <w:color w:val="000000" w:themeColor="text1"/>
          <w:lang w:val="en-ZA"/>
        </w:rPr>
        <w:t>,</w:t>
      </w:r>
      <w:r w:rsidRPr="00533EAC">
        <w:rPr>
          <w:rFonts w:ascii="Arial" w:eastAsia="Calibri" w:hAnsi="Arial" w:cs="Arial"/>
          <w:color w:val="000000" w:themeColor="text1"/>
          <w:lang w:val="en-ZA"/>
        </w:rPr>
        <w:t xml:space="preserve"> which </w:t>
      </w:r>
      <w:r w:rsidR="00FD62D9" w:rsidRPr="00533EAC">
        <w:rPr>
          <w:rFonts w:ascii="Arial" w:eastAsia="Calibri" w:hAnsi="Arial" w:cs="Arial"/>
          <w:color w:val="000000" w:themeColor="text1"/>
          <w:lang w:val="en-ZA"/>
        </w:rPr>
        <w:t xml:space="preserve">could </w:t>
      </w:r>
      <w:r w:rsidR="002E27DD" w:rsidRPr="00533EAC">
        <w:rPr>
          <w:rFonts w:ascii="Arial" w:eastAsia="Calibri" w:hAnsi="Arial" w:cs="Arial"/>
          <w:color w:val="000000" w:themeColor="text1"/>
          <w:lang w:val="en-ZA"/>
        </w:rPr>
        <w:t>contribute</w:t>
      </w:r>
      <w:r w:rsidRPr="00533EAC">
        <w:rPr>
          <w:rFonts w:ascii="Arial" w:eastAsia="Calibri" w:hAnsi="Arial" w:cs="Arial"/>
          <w:color w:val="000000" w:themeColor="text1"/>
          <w:lang w:val="en-ZA"/>
        </w:rPr>
        <w:t xml:space="preserve"> to </w:t>
      </w:r>
      <w:r w:rsidR="002E27DD" w:rsidRPr="00533EAC">
        <w:rPr>
          <w:rFonts w:ascii="Arial" w:eastAsia="Calibri" w:hAnsi="Arial" w:cs="Arial"/>
          <w:color w:val="000000" w:themeColor="text1"/>
          <w:lang w:val="en-ZA"/>
        </w:rPr>
        <w:t xml:space="preserve">achieving </w:t>
      </w:r>
      <w:r w:rsidRPr="00533EAC">
        <w:rPr>
          <w:rFonts w:ascii="Arial" w:eastAsia="Calibri" w:hAnsi="Arial" w:cs="Arial"/>
          <w:strike/>
          <w:color w:val="000000" w:themeColor="text1"/>
          <w:lang w:val="en-ZA"/>
        </w:rPr>
        <w:t>an</w:t>
      </w:r>
      <w:r w:rsidRPr="00533EAC">
        <w:rPr>
          <w:rFonts w:ascii="Arial" w:eastAsia="Calibri" w:hAnsi="Arial" w:cs="Arial"/>
          <w:color w:val="000000" w:themeColor="text1"/>
          <w:lang w:val="en-ZA"/>
        </w:rPr>
        <w:t xml:space="preserve"> </w:t>
      </w:r>
      <w:r w:rsidR="00A50103" w:rsidRPr="00533EAC">
        <w:rPr>
          <w:rFonts w:ascii="Arial" w:eastAsia="Calibri" w:hAnsi="Arial" w:cs="Arial"/>
          <w:color w:val="000000" w:themeColor="text1"/>
          <w:lang w:val="en-ZA"/>
        </w:rPr>
        <w:t xml:space="preserve">the </w:t>
      </w:r>
      <w:r w:rsidRPr="00533EAC">
        <w:rPr>
          <w:rFonts w:ascii="Arial" w:eastAsia="Calibri" w:hAnsi="Arial" w:cs="Arial"/>
          <w:color w:val="000000" w:themeColor="text1"/>
          <w:lang w:val="en-ZA"/>
        </w:rPr>
        <w:t xml:space="preserve">overarching goal </w:t>
      </w:r>
      <w:r w:rsidR="002E27DD" w:rsidRPr="00533EAC">
        <w:rPr>
          <w:rFonts w:ascii="Arial" w:eastAsia="Calibri" w:hAnsi="Arial" w:cs="Arial"/>
          <w:color w:val="000000" w:themeColor="text1"/>
          <w:lang w:val="en-ZA"/>
        </w:rPr>
        <w:t xml:space="preserve">of </w:t>
      </w:r>
      <w:r w:rsidRPr="00533EAC">
        <w:rPr>
          <w:rFonts w:ascii="Arial" w:eastAsia="Calibri" w:hAnsi="Arial" w:cs="Arial"/>
          <w:color w:val="000000" w:themeColor="text1"/>
          <w:lang w:val="en-ZA"/>
        </w:rPr>
        <w:t xml:space="preserve">the preservation of </w:t>
      </w:r>
      <w:r w:rsidRPr="00533EAC">
        <w:rPr>
          <w:rFonts w:ascii="Arial" w:eastAsia="Calibri" w:hAnsi="Arial" w:cs="Arial"/>
          <w:strike/>
          <w:color w:val="000000" w:themeColor="text1"/>
          <w:lang w:val="en-ZA"/>
        </w:rPr>
        <w:t xml:space="preserve">the </w:t>
      </w:r>
      <w:r w:rsidRPr="00533EAC">
        <w:rPr>
          <w:rFonts w:ascii="Arial" w:eastAsia="Calibri" w:hAnsi="Arial" w:cs="Arial"/>
          <w:color w:val="000000" w:themeColor="text1"/>
          <w:lang w:val="en-ZA"/>
        </w:rPr>
        <w:t xml:space="preserve">ecosystem functioning </w:t>
      </w:r>
      <w:r w:rsidRPr="00533EAC">
        <w:rPr>
          <w:rFonts w:ascii="Arial" w:eastAsia="Calibri" w:hAnsi="Arial" w:cs="Arial"/>
          <w:strike/>
          <w:color w:val="000000" w:themeColor="text1"/>
          <w:lang w:val="en-ZA"/>
        </w:rPr>
        <w:t>of</w:t>
      </w:r>
      <w:r w:rsidRPr="00533EAC">
        <w:rPr>
          <w:rFonts w:ascii="Arial" w:eastAsia="Calibri" w:hAnsi="Arial" w:cs="Arial"/>
          <w:color w:val="000000" w:themeColor="text1"/>
          <w:lang w:val="en-ZA"/>
        </w:rPr>
        <w:t xml:space="preserve"> </w:t>
      </w:r>
      <w:r w:rsidR="00FD62D9" w:rsidRPr="00533EAC">
        <w:rPr>
          <w:rFonts w:ascii="Arial" w:eastAsia="Calibri" w:hAnsi="Arial" w:cs="Arial"/>
          <w:color w:val="000000" w:themeColor="text1"/>
          <w:lang w:val="en-ZA"/>
        </w:rPr>
        <w:t xml:space="preserve">on </w:t>
      </w:r>
      <w:r w:rsidRPr="00533EAC">
        <w:rPr>
          <w:rFonts w:ascii="Arial" w:eastAsia="Calibri" w:hAnsi="Arial" w:cs="Arial"/>
          <w:color w:val="000000" w:themeColor="text1"/>
          <w:lang w:val="en-ZA"/>
        </w:rPr>
        <w:t>the South African coastline.</w:t>
      </w:r>
    </w:p>
    <w:p w14:paraId="60B0B35B" w14:textId="77777777" w:rsidR="00A61511" w:rsidRPr="00533EAC" w:rsidRDefault="00A61511" w:rsidP="00C05A32">
      <w:pPr>
        <w:spacing w:after="0" w:line="360" w:lineRule="auto"/>
        <w:jc w:val="both"/>
        <w:rPr>
          <w:rFonts w:ascii="Arial" w:eastAsia="Calibri" w:hAnsi="Arial" w:cs="Arial"/>
          <w:color w:val="000000" w:themeColor="text1"/>
          <w:lang w:val="en-ZA"/>
        </w:rPr>
      </w:pPr>
    </w:p>
    <w:p w14:paraId="4D517630" w14:textId="38088030" w:rsidR="005633D6" w:rsidRPr="00533EAC" w:rsidRDefault="005633D6" w:rsidP="00C05A32">
      <w:pPr>
        <w:spacing w:after="0" w:line="360" w:lineRule="auto"/>
        <w:jc w:val="both"/>
        <w:rPr>
          <w:rFonts w:ascii="Arial" w:eastAsia="Calibri" w:hAnsi="Arial" w:cs="Arial"/>
          <w:color w:val="000000" w:themeColor="text1"/>
          <w:sz w:val="20"/>
          <w:szCs w:val="20"/>
          <w:lang w:val="en-ZA"/>
        </w:rPr>
      </w:pPr>
      <w:r w:rsidRPr="00533EAC">
        <w:rPr>
          <w:rFonts w:ascii="Arial" w:eastAsia="Calibri" w:hAnsi="Arial" w:cs="Arial"/>
          <w:i/>
          <w:color w:val="000000" w:themeColor="text1"/>
          <w:sz w:val="20"/>
          <w:szCs w:val="20"/>
          <w:lang w:val="en-ZA"/>
        </w:rPr>
        <w:t>Acknowledg</w:t>
      </w:r>
      <w:r w:rsidR="00A61511" w:rsidRPr="00533EAC">
        <w:rPr>
          <w:rFonts w:ascii="Arial" w:eastAsia="Calibri" w:hAnsi="Arial" w:cs="Arial"/>
          <w:i/>
          <w:color w:val="000000" w:themeColor="text1"/>
          <w:sz w:val="20"/>
          <w:szCs w:val="20"/>
          <w:lang w:val="en-ZA"/>
        </w:rPr>
        <w:t>e</w:t>
      </w:r>
      <w:r w:rsidRPr="00533EAC">
        <w:rPr>
          <w:rFonts w:ascii="Arial" w:eastAsia="Calibri" w:hAnsi="Arial" w:cs="Arial"/>
          <w:i/>
          <w:color w:val="000000" w:themeColor="text1"/>
          <w:sz w:val="20"/>
          <w:szCs w:val="20"/>
          <w:lang w:val="en-ZA"/>
        </w:rPr>
        <w:t>ments</w:t>
      </w:r>
      <w:r w:rsidR="00A61511" w:rsidRPr="00533EAC">
        <w:rPr>
          <w:rFonts w:ascii="Arial" w:eastAsia="Calibri" w:hAnsi="Arial" w:cs="Arial"/>
          <w:color w:val="000000" w:themeColor="text1"/>
          <w:sz w:val="20"/>
          <w:szCs w:val="20"/>
          <w:lang w:val="en-ZA"/>
        </w:rPr>
        <w:t xml:space="preserve"> — </w:t>
      </w:r>
      <w:r w:rsidRPr="00533EAC">
        <w:rPr>
          <w:rFonts w:ascii="Arial" w:eastAsia="Calibri" w:hAnsi="Arial" w:cs="Arial"/>
          <w:color w:val="000000" w:themeColor="text1"/>
          <w:sz w:val="20"/>
          <w:szCs w:val="20"/>
          <w:lang w:val="en-ZA"/>
        </w:rPr>
        <w:t xml:space="preserve">This work was supported by the National Research Foundation of South Africa (Competitive Support for Rated Researchers Grant No. 98893 to MR and PRT) and the University of Johannesburg (FRC/URC Grant to PRT). AD is grateful to the University of Johannesburg for awarding her a Global Excellence and Stature (GES) PhD bursary. We thank the CSIR’s Centre for High Performance Computing (CHPC) for computational resources. Special thanks are given to J Klein for helping with the collection of samples, and to A </w:t>
      </w:r>
      <w:proofErr w:type="spellStart"/>
      <w:r w:rsidRPr="00533EAC">
        <w:rPr>
          <w:rFonts w:ascii="Arial" w:eastAsia="Calibri" w:hAnsi="Arial" w:cs="Arial"/>
          <w:color w:val="000000" w:themeColor="text1"/>
          <w:sz w:val="20"/>
          <w:szCs w:val="20"/>
          <w:lang w:val="en-ZA"/>
        </w:rPr>
        <w:t>Emami-Khoyi</w:t>
      </w:r>
      <w:proofErr w:type="spellEnd"/>
      <w:r w:rsidRPr="00533EAC">
        <w:rPr>
          <w:rFonts w:ascii="Arial" w:eastAsia="Calibri" w:hAnsi="Arial" w:cs="Arial"/>
          <w:color w:val="000000" w:themeColor="text1"/>
          <w:sz w:val="20"/>
          <w:szCs w:val="20"/>
          <w:lang w:val="en-ZA"/>
        </w:rPr>
        <w:t xml:space="preserve">, TR </w:t>
      </w:r>
      <w:proofErr w:type="spellStart"/>
      <w:r w:rsidRPr="00533EAC">
        <w:rPr>
          <w:rFonts w:ascii="Arial" w:eastAsia="Calibri" w:hAnsi="Arial" w:cs="Arial"/>
          <w:color w:val="000000" w:themeColor="text1"/>
          <w:sz w:val="20"/>
          <w:szCs w:val="20"/>
          <w:lang w:val="en-ZA"/>
        </w:rPr>
        <w:t>Golla</w:t>
      </w:r>
      <w:proofErr w:type="spellEnd"/>
      <w:r w:rsidRPr="00533EAC">
        <w:rPr>
          <w:rFonts w:ascii="Arial" w:eastAsia="Calibri" w:hAnsi="Arial" w:cs="Arial"/>
          <w:color w:val="000000" w:themeColor="text1"/>
          <w:sz w:val="20"/>
          <w:szCs w:val="20"/>
          <w:lang w:val="en-ZA"/>
        </w:rPr>
        <w:t>, D Monsanto, BJ van Vuuren, and J Sandoval-Castillo for</w:t>
      </w:r>
      <w:r w:rsidR="00A61511" w:rsidRPr="00533EAC">
        <w:rPr>
          <w:rFonts w:ascii="Arial" w:eastAsia="Calibri" w:hAnsi="Arial" w:cs="Arial"/>
          <w:color w:val="000000" w:themeColor="text1"/>
          <w:sz w:val="20"/>
          <w:szCs w:val="20"/>
          <w:lang w:val="en-ZA"/>
        </w:rPr>
        <w:t xml:space="preserve"> consultations regarding</w:t>
      </w:r>
      <w:r w:rsidRPr="00533EAC">
        <w:rPr>
          <w:rFonts w:ascii="Arial" w:eastAsia="Calibri" w:hAnsi="Arial" w:cs="Arial"/>
          <w:color w:val="000000" w:themeColor="text1"/>
          <w:sz w:val="20"/>
          <w:szCs w:val="20"/>
          <w:lang w:val="en-ZA"/>
        </w:rPr>
        <w:t xml:space="preserve"> mitogenome assemblage</w:t>
      </w:r>
      <w:r w:rsidRPr="00533EAC">
        <w:rPr>
          <w:rFonts w:ascii="Arial" w:eastAsia="Calibri" w:hAnsi="Arial" w:cs="Arial"/>
          <w:strike/>
          <w:color w:val="000000" w:themeColor="text1"/>
          <w:sz w:val="20"/>
          <w:szCs w:val="20"/>
          <w:lang w:val="en-ZA"/>
        </w:rPr>
        <w:t xml:space="preserve"> consultation</w:t>
      </w:r>
      <w:r w:rsidRPr="00533EAC">
        <w:rPr>
          <w:rFonts w:ascii="Arial" w:eastAsia="Calibri" w:hAnsi="Arial" w:cs="Arial"/>
          <w:color w:val="000000" w:themeColor="text1"/>
          <w:sz w:val="20"/>
          <w:szCs w:val="20"/>
          <w:lang w:val="en-ZA"/>
        </w:rPr>
        <w:t>. We also</w:t>
      </w:r>
      <w:r w:rsidR="00111B6E" w:rsidRPr="00533EAC">
        <w:rPr>
          <w:rFonts w:ascii="Arial" w:eastAsia="Calibri" w:hAnsi="Arial" w:cs="Arial"/>
          <w:color w:val="000000" w:themeColor="text1"/>
          <w:sz w:val="20"/>
          <w:szCs w:val="20"/>
          <w:lang w:val="en-ZA"/>
        </w:rPr>
        <w:t xml:space="preserve"> thank the </w:t>
      </w:r>
      <w:r w:rsidR="00760127" w:rsidRPr="00533EAC">
        <w:rPr>
          <w:rFonts w:ascii="Arial" w:eastAsia="Calibri" w:hAnsi="Arial" w:cs="Arial"/>
          <w:color w:val="000000" w:themeColor="text1"/>
          <w:sz w:val="20"/>
          <w:szCs w:val="20"/>
          <w:lang w:val="en-ZA"/>
        </w:rPr>
        <w:t xml:space="preserve">Genome Centre at the Max Planck Institute for Plant Breeding Research in Cologne, Germany, for </w:t>
      </w:r>
      <w:r w:rsidR="00111B6E" w:rsidRPr="00533EAC">
        <w:rPr>
          <w:rFonts w:ascii="Arial" w:eastAsia="Calibri" w:hAnsi="Arial" w:cs="Arial"/>
          <w:color w:val="000000" w:themeColor="text1"/>
          <w:sz w:val="20"/>
          <w:szCs w:val="20"/>
          <w:lang w:val="en-ZA"/>
        </w:rPr>
        <w:t>the Illumina sequencing, and</w:t>
      </w:r>
      <w:r w:rsidRPr="00533EAC">
        <w:rPr>
          <w:rFonts w:ascii="Arial" w:eastAsia="Calibri" w:hAnsi="Arial" w:cs="Arial"/>
          <w:color w:val="000000" w:themeColor="text1"/>
          <w:sz w:val="20"/>
          <w:szCs w:val="20"/>
          <w:lang w:val="en-ZA"/>
        </w:rPr>
        <w:t xml:space="preserve"> </w:t>
      </w:r>
      <w:r w:rsidR="00470948" w:rsidRPr="00533EAC">
        <w:rPr>
          <w:rFonts w:ascii="Arial" w:eastAsia="Calibri" w:hAnsi="Arial" w:cs="Arial"/>
          <w:color w:val="000000" w:themeColor="text1"/>
          <w:sz w:val="20"/>
          <w:szCs w:val="20"/>
          <w:lang w:val="en-ZA"/>
        </w:rPr>
        <w:t>two</w:t>
      </w:r>
      <w:r w:rsidR="006F6204" w:rsidRPr="00533EAC">
        <w:rPr>
          <w:rFonts w:ascii="Arial" w:eastAsia="Calibri" w:hAnsi="Arial" w:cs="Arial"/>
          <w:color w:val="000000" w:themeColor="text1"/>
          <w:sz w:val="20"/>
          <w:szCs w:val="20"/>
          <w:lang w:val="en-ZA"/>
        </w:rPr>
        <w:t xml:space="preserve"> anonymous reviewer</w:t>
      </w:r>
      <w:r w:rsidR="00760127" w:rsidRPr="00533EAC">
        <w:rPr>
          <w:rFonts w:ascii="Arial" w:eastAsia="Calibri" w:hAnsi="Arial" w:cs="Arial"/>
          <w:color w:val="000000" w:themeColor="text1"/>
          <w:sz w:val="20"/>
          <w:szCs w:val="20"/>
          <w:lang w:val="en-ZA"/>
        </w:rPr>
        <w:t>s</w:t>
      </w:r>
      <w:r w:rsidR="006F6204" w:rsidRPr="00533EAC">
        <w:rPr>
          <w:rFonts w:ascii="Arial" w:eastAsia="Calibri" w:hAnsi="Arial" w:cs="Arial"/>
          <w:color w:val="000000" w:themeColor="text1"/>
          <w:sz w:val="20"/>
          <w:szCs w:val="20"/>
          <w:lang w:val="en-ZA"/>
        </w:rPr>
        <w:t xml:space="preserve"> for </w:t>
      </w:r>
      <w:r w:rsidR="00111B6E" w:rsidRPr="00533EAC">
        <w:rPr>
          <w:rFonts w:ascii="Arial" w:eastAsia="Calibri" w:hAnsi="Arial" w:cs="Arial"/>
          <w:color w:val="000000" w:themeColor="text1"/>
          <w:sz w:val="20"/>
          <w:szCs w:val="20"/>
          <w:lang w:val="en-ZA"/>
        </w:rPr>
        <w:t xml:space="preserve">useful </w:t>
      </w:r>
      <w:r w:rsidR="006F6204" w:rsidRPr="00533EAC">
        <w:rPr>
          <w:rFonts w:ascii="Arial" w:eastAsia="Calibri" w:hAnsi="Arial" w:cs="Arial"/>
          <w:color w:val="000000" w:themeColor="text1"/>
          <w:sz w:val="20"/>
          <w:szCs w:val="20"/>
          <w:lang w:val="en-ZA"/>
        </w:rPr>
        <w:t>comments</w:t>
      </w:r>
      <w:r w:rsidRPr="00533EAC">
        <w:rPr>
          <w:rFonts w:ascii="Arial" w:eastAsia="Calibri" w:hAnsi="Arial" w:cs="Arial"/>
          <w:color w:val="000000" w:themeColor="text1"/>
          <w:sz w:val="20"/>
          <w:szCs w:val="20"/>
          <w:lang w:val="en-ZA"/>
        </w:rPr>
        <w:t xml:space="preserve">. </w:t>
      </w:r>
    </w:p>
    <w:p w14:paraId="1496B57B" w14:textId="73536513" w:rsidR="00FE2A7C" w:rsidRPr="00533EAC" w:rsidRDefault="00FE2A7C" w:rsidP="00C05A32">
      <w:pPr>
        <w:spacing w:after="0" w:line="360" w:lineRule="auto"/>
        <w:jc w:val="both"/>
        <w:rPr>
          <w:rFonts w:ascii="Arial" w:eastAsia="Calibri" w:hAnsi="Arial" w:cs="Arial"/>
          <w:color w:val="000000" w:themeColor="text1"/>
          <w:sz w:val="20"/>
          <w:szCs w:val="20"/>
          <w:lang w:val="en-ZA"/>
        </w:rPr>
      </w:pPr>
    </w:p>
    <w:p w14:paraId="61596F81" w14:textId="334460B3" w:rsidR="00A61511" w:rsidRPr="00533EAC" w:rsidRDefault="00A61511" w:rsidP="00C05A32">
      <w:pPr>
        <w:spacing w:after="0" w:line="360" w:lineRule="auto"/>
        <w:jc w:val="both"/>
        <w:rPr>
          <w:rFonts w:ascii="Arial" w:eastAsia="Calibri" w:hAnsi="Arial" w:cs="Arial"/>
          <w:b/>
          <w:color w:val="000000" w:themeColor="text1"/>
          <w:szCs w:val="20"/>
        </w:rPr>
      </w:pPr>
      <w:r w:rsidRPr="00533EAC">
        <w:rPr>
          <w:rFonts w:ascii="Arial" w:eastAsia="Calibri" w:hAnsi="Arial" w:cs="Arial"/>
          <w:b/>
          <w:color w:val="000000" w:themeColor="text1"/>
          <w:szCs w:val="20"/>
        </w:rPr>
        <w:t>ORCID</w:t>
      </w:r>
    </w:p>
    <w:p w14:paraId="1FC94D8B" w14:textId="5C080561" w:rsidR="00FE2A7C" w:rsidRPr="00533EAC" w:rsidRDefault="00FE2A7C" w:rsidP="00C05A32">
      <w:pPr>
        <w:spacing w:after="0" w:line="360" w:lineRule="auto"/>
        <w:jc w:val="both"/>
        <w:rPr>
          <w:rFonts w:ascii="Arial" w:eastAsia="Calibri" w:hAnsi="Arial" w:cs="Arial"/>
          <w:color w:val="000000" w:themeColor="text1"/>
          <w:sz w:val="20"/>
          <w:szCs w:val="20"/>
        </w:rPr>
      </w:pPr>
      <w:r w:rsidRPr="00533EAC">
        <w:rPr>
          <w:rFonts w:ascii="Arial" w:eastAsia="Calibri" w:hAnsi="Arial" w:cs="Arial"/>
          <w:color w:val="000000" w:themeColor="text1"/>
          <w:sz w:val="20"/>
          <w:szCs w:val="20"/>
        </w:rPr>
        <w:t>Alessia Dinoi: https://orcid.org/0000-0001-8122-3625</w:t>
      </w:r>
    </w:p>
    <w:p w14:paraId="616019B7" w14:textId="07B0132E" w:rsidR="00FE2A7C" w:rsidRPr="00533EAC" w:rsidRDefault="00FE2A7C" w:rsidP="00C05A32">
      <w:pPr>
        <w:spacing w:after="0" w:line="360" w:lineRule="auto"/>
        <w:jc w:val="both"/>
        <w:rPr>
          <w:rFonts w:ascii="Arial" w:eastAsia="Calibri" w:hAnsi="Arial" w:cs="Arial"/>
          <w:color w:val="000000" w:themeColor="text1"/>
          <w:sz w:val="20"/>
          <w:szCs w:val="20"/>
        </w:rPr>
      </w:pPr>
      <w:r w:rsidRPr="00533EAC">
        <w:rPr>
          <w:rFonts w:ascii="Arial" w:eastAsia="Calibri" w:hAnsi="Arial" w:cs="Arial"/>
          <w:color w:val="000000" w:themeColor="text1"/>
          <w:sz w:val="20"/>
          <w:szCs w:val="20"/>
        </w:rPr>
        <w:t>Marc Rius: https://orcid.org/0000-0002-2195-6605</w:t>
      </w:r>
    </w:p>
    <w:p w14:paraId="2EBD3381" w14:textId="082C6192" w:rsidR="00FE2A7C" w:rsidRPr="00533EAC" w:rsidRDefault="008C4B69" w:rsidP="00C05A32">
      <w:pPr>
        <w:spacing w:after="0" w:line="360" w:lineRule="auto"/>
        <w:jc w:val="both"/>
        <w:rPr>
          <w:rFonts w:ascii="Arial" w:eastAsia="Calibri" w:hAnsi="Arial" w:cs="Arial"/>
          <w:color w:val="000000" w:themeColor="text1"/>
          <w:sz w:val="20"/>
          <w:szCs w:val="20"/>
          <w:lang w:val="en-ZA"/>
        </w:rPr>
      </w:pPr>
      <w:r w:rsidRPr="00533EAC">
        <w:rPr>
          <w:rFonts w:ascii="Arial" w:eastAsia="Calibri" w:hAnsi="Arial" w:cs="Arial"/>
          <w:color w:val="000000" w:themeColor="text1"/>
          <w:sz w:val="20"/>
          <w:szCs w:val="20"/>
          <w:lang w:val="en-ZA"/>
        </w:rPr>
        <w:t>Mbaye Tine</w:t>
      </w:r>
      <w:r w:rsidR="00FE2A7C" w:rsidRPr="00533EAC">
        <w:rPr>
          <w:rFonts w:ascii="Arial" w:eastAsia="Calibri" w:hAnsi="Arial" w:cs="Arial"/>
          <w:color w:val="000000" w:themeColor="text1"/>
          <w:sz w:val="20"/>
          <w:szCs w:val="20"/>
          <w:lang w:val="en-ZA"/>
        </w:rPr>
        <w:t xml:space="preserve">: https://orcid.org/0000-0003-2427-1027 </w:t>
      </w:r>
    </w:p>
    <w:p w14:paraId="10CB02EC" w14:textId="2D763D2F" w:rsidR="00FE2A7C" w:rsidRPr="00533EAC" w:rsidRDefault="00FE2A7C" w:rsidP="00C05A32">
      <w:pPr>
        <w:spacing w:after="0" w:line="360" w:lineRule="auto"/>
        <w:jc w:val="both"/>
        <w:rPr>
          <w:rFonts w:ascii="Arial" w:eastAsia="Calibri" w:hAnsi="Arial" w:cs="Arial"/>
          <w:color w:val="000000" w:themeColor="text1"/>
          <w:sz w:val="20"/>
          <w:szCs w:val="20"/>
          <w:lang w:val="en-ZA"/>
        </w:rPr>
      </w:pPr>
      <w:r w:rsidRPr="00533EAC">
        <w:rPr>
          <w:rFonts w:ascii="Arial" w:eastAsia="Calibri" w:hAnsi="Arial" w:cs="Arial"/>
          <w:color w:val="000000" w:themeColor="text1"/>
          <w:sz w:val="20"/>
          <w:szCs w:val="20"/>
          <w:lang w:val="en-ZA"/>
        </w:rPr>
        <w:t>Peter R Teske: https://orcid.org/0000-0002-2838-7804</w:t>
      </w:r>
    </w:p>
    <w:p w14:paraId="75DB0E42" w14:textId="77777777" w:rsidR="00FE2A7C" w:rsidRPr="00533EAC" w:rsidRDefault="00FE2A7C" w:rsidP="00C05A32">
      <w:pPr>
        <w:spacing w:after="0" w:line="360" w:lineRule="auto"/>
        <w:ind w:left="709" w:hanging="709"/>
        <w:jc w:val="both"/>
        <w:rPr>
          <w:rFonts w:ascii="Arial" w:eastAsia="Calibri" w:hAnsi="Arial" w:cs="Arial"/>
          <w:color w:val="000000" w:themeColor="text1"/>
          <w:sz w:val="20"/>
          <w:szCs w:val="20"/>
          <w:lang w:val="en-ZA"/>
        </w:rPr>
      </w:pPr>
    </w:p>
    <w:p w14:paraId="4C8B4C2F" w14:textId="181D4480" w:rsidR="005633D6" w:rsidRPr="00533EAC" w:rsidRDefault="005633D6" w:rsidP="00C05A32">
      <w:pPr>
        <w:widowControl w:val="0"/>
        <w:autoSpaceDE w:val="0"/>
        <w:autoSpaceDN w:val="0"/>
        <w:adjustRightInd w:val="0"/>
        <w:spacing w:after="0" w:line="360" w:lineRule="auto"/>
        <w:jc w:val="both"/>
        <w:rPr>
          <w:rFonts w:ascii="Arial" w:eastAsia="Calibri" w:hAnsi="Arial" w:cs="Arial"/>
          <w:b/>
          <w:color w:val="000000" w:themeColor="text1"/>
          <w:szCs w:val="20"/>
          <w:lang w:val="en-ZA"/>
        </w:rPr>
      </w:pPr>
      <w:r w:rsidRPr="00533EAC">
        <w:rPr>
          <w:rFonts w:ascii="Arial" w:eastAsia="Calibri" w:hAnsi="Arial" w:cs="Arial"/>
          <w:b/>
          <w:color w:val="000000" w:themeColor="text1"/>
          <w:szCs w:val="20"/>
          <w:lang w:val="en-ZA"/>
        </w:rPr>
        <w:t>References</w:t>
      </w:r>
    </w:p>
    <w:p w14:paraId="35D98F29" w14:textId="77777777" w:rsidR="00132F55" w:rsidRPr="00533EAC" w:rsidRDefault="00132F55" w:rsidP="00C05A32">
      <w:pPr>
        <w:widowControl w:val="0"/>
        <w:autoSpaceDE w:val="0"/>
        <w:autoSpaceDN w:val="0"/>
        <w:adjustRightInd w:val="0"/>
        <w:spacing w:after="0" w:line="360" w:lineRule="auto"/>
        <w:ind w:left="709" w:hanging="709"/>
        <w:jc w:val="both"/>
        <w:rPr>
          <w:rFonts w:ascii="Arial" w:eastAsia="Calibri" w:hAnsi="Arial" w:cs="Arial"/>
          <w:b/>
          <w:color w:val="000000" w:themeColor="text1"/>
          <w:sz w:val="20"/>
          <w:szCs w:val="20"/>
          <w:lang w:val="en-ZA"/>
        </w:rPr>
      </w:pPr>
    </w:p>
    <w:p w14:paraId="11298340" w14:textId="02E2332D" w:rsidR="00774474" w:rsidRPr="00533EAC" w:rsidRDefault="005633D6" w:rsidP="00774474">
      <w:pPr>
        <w:widowControl w:val="0"/>
        <w:autoSpaceDE w:val="0"/>
        <w:autoSpaceDN w:val="0"/>
        <w:adjustRightInd w:val="0"/>
        <w:spacing w:after="0" w:line="360" w:lineRule="auto"/>
        <w:ind w:left="480" w:hanging="480"/>
        <w:rPr>
          <w:rFonts w:ascii="Arial" w:hAnsi="Arial" w:cs="Arial"/>
          <w:noProof/>
          <w:color w:val="000000" w:themeColor="text1"/>
          <w:sz w:val="20"/>
          <w:szCs w:val="24"/>
        </w:rPr>
      </w:pPr>
      <w:r w:rsidRPr="00533EAC">
        <w:rPr>
          <w:rFonts w:ascii="Arial" w:eastAsia="Calibri" w:hAnsi="Arial" w:cs="Arial"/>
          <w:noProof/>
          <w:color w:val="000000" w:themeColor="text1"/>
          <w:sz w:val="20"/>
          <w:szCs w:val="20"/>
          <w:lang w:val="en-ZA"/>
        </w:rPr>
        <w:fldChar w:fldCharType="begin" w:fldLock="1"/>
      </w:r>
      <w:r w:rsidRPr="00533EAC">
        <w:rPr>
          <w:rFonts w:ascii="Arial" w:eastAsia="Calibri" w:hAnsi="Arial" w:cs="Arial"/>
          <w:noProof/>
          <w:color w:val="000000" w:themeColor="text1"/>
          <w:sz w:val="20"/>
          <w:szCs w:val="20"/>
          <w:lang w:val="en-ZA"/>
        </w:rPr>
        <w:instrText xml:space="preserve">ADDIN Mendeley Bibliography CSL_BIBLIOGRAPHY </w:instrText>
      </w:r>
      <w:r w:rsidRPr="00533EAC">
        <w:rPr>
          <w:rFonts w:ascii="Arial" w:eastAsia="Calibri" w:hAnsi="Arial" w:cs="Arial"/>
          <w:noProof/>
          <w:color w:val="000000" w:themeColor="text1"/>
          <w:sz w:val="20"/>
          <w:szCs w:val="20"/>
          <w:lang w:val="en-ZA"/>
        </w:rPr>
        <w:fldChar w:fldCharType="separate"/>
      </w:r>
      <w:r w:rsidR="00774474" w:rsidRPr="00533EAC">
        <w:rPr>
          <w:rFonts w:ascii="Arial" w:hAnsi="Arial" w:cs="Arial"/>
          <w:noProof/>
          <w:color w:val="000000" w:themeColor="text1"/>
          <w:sz w:val="20"/>
          <w:szCs w:val="24"/>
        </w:rPr>
        <w:t xml:space="preserve">Altschul SF, Gish W, Miller W, Myers EW, Lipman DJ. 1990. Basic local alignment search tool. </w:t>
      </w:r>
      <w:r w:rsidR="00774474" w:rsidRPr="00533EAC">
        <w:rPr>
          <w:rFonts w:ascii="Arial" w:hAnsi="Arial" w:cs="Arial"/>
          <w:i/>
          <w:iCs/>
          <w:noProof/>
          <w:color w:val="000000" w:themeColor="text1"/>
          <w:sz w:val="20"/>
          <w:szCs w:val="24"/>
        </w:rPr>
        <w:t>Journal of Molecular Biology</w:t>
      </w:r>
      <w:r w:rsidR="00774474" w:rsidRPr="00533EAC">
        <w:rPr>
          <w:rFonts w:ascii="Arial" w:hAnsi="Arial" w:cs="Arial"/>
          <w:noProof/>
          <w:color w:val="000000" w:themeColor="text1"/>
          <w:sz w:val="20"/>
          <w:szCs w:val="24"/>
        </w:rPr>
        <w:t xml:space="preserve">, </w:t>
      </w:r>
      <w:r w:rsidR="00774474" w:rsidRPr="00533EAC">
        <w:rPr>
          <w:rFonts w:ascii="Arial" w:hAnsi="Arial" w:cs="Arial"/>
          <w:i/>
          <w:iCs/>
          <w:noProof/>
          <w:color w:val="000000" w:themeColor="text1"/>
          <w:sz w:val="20"/>
          <w:szCs w:val="24"/>
        </w:rPr>
        <w:t>215</w:t>
      </w:r>
      <w:r w:rsidR="00774474" w:rsidRPr="00533EAC">
        <w:rPr>
          <w:rFonts w:ascii="Arial" w:hAnsi="Arial" w:cs="Arial"/>
          <w:noProof/>
          <w:color w:val="000000" w:themeColor="text1"/>
          <w:sz w:val="20"/>
          <w:szCs w:val="24"/>
        </w:rPr>
        <w:t>(3), 403–410. https://doi.org/10.1016/S0022-2836(05)80360-2</w:t>
      </w:r>
    </w:p>
    <w:p w14:paraId="009CF2AA" w14:textId="77777777" w:rsidR="00774474" w:rsidRPr="00533EAC" w:rsidRDefault="00774474" w:rsidP="00774474">
      <w:pPr>
        <w:widowControl w:val="0"/>
        <w:autoSpaceDE w:val="0"/>
        <w:autoSpaceDN w:val="0"/>
        <w:adjustRightInd w:val="0"/>
        <w:spacing w:after="0" w:line="360" w:lineRule="auto"/>
        <w:ind w:left="480" w:hanging="480"/>
        <w:rPr>
          <w:rFonts w:ascii="Arial" w:hAnsi="Arial" w:cs="Arial"/>
          <w:noProof/>
          <w:color w:val="000000" w:themeColor="text1"/>
          <w:sz w:val="20"/>
          <w:szCs w:val="24"/>
        </w:rPr>
      </w:pPr>
      <w:r w:rsidRPr="00533EAC">
        <w:rPr>
          <w:rFonts w:ascii="Arial" w:hAnsi="Arial" w:cs="Arial"/>
          <w:noProof/>
          <w:color w:val="000000" w:themeColor="text1"/>
          <w:sz w:val="20"/>
          <w:szCs w:val="24"/>
        </w:rPr>
        <w:t xml:space="preserve">Avise JC. 1994. Molecular markers, natural history and evolution. Chapter 5. Chapman and Hall, New York, USA. </w:t>
      </w:r>
      <w:r w:rsidRPr="00533EAC">
        <w:rPr>
          <w:rFonts w:ascii="Arial" w:hAnsi="Arial" w:cs="Arial"/>
          <w:i/>
          <w:iCs/>
          <w:noProof/>
          <w:color w:val="000000" w:themeColor="text1"/>
          <w:sz w:val="20"/>
          <w:szCs w:val="24"/>
        </w:rPr>
        <w:t>-</w:t>
      </w:r>
      <w:r w:rsidRPr="00533EAC">
        <w:rPr>
          <w:rFonts w:ascii="Arial" w:hAnsi="Arial" w:cs="Arial"/>
          <w:noProof/>
          <w:color w:val="000000" w:themeColor="text1"/>
          <w:sz w:val="20"/>
          <w:szCs w:val="24"/>
        </w:rPr>
        <w:t>.</w:t>
      </w:r>
    </w:p>
    <w:p w14:paraId="20161104" w14:textId="77777777" w:rsidR="00774474" w:rsidRPr="00533EAC" w:rsidRDefault="00774474" w:rsidP="00774474">
      <w:pPr>
        <w:widowControl w:val="0"/>
        <w:autoSpaceDE w:val="0"/>
        <w:autoSpaceDN w:val="0"/>
        <w:adjustRightInd w:val="0"/>
        <w:spacing w:after="0" w:line="360" w:lineRule="auto"/>
        <w:ind w:left="480" w:hanging="480"/>
        <w:rPr>
          <w:rFonts w:ascii="Arial" w:hAnsi="Arial" w:cs="Arial"/>
          <w:noProof/>
          <w:color w:val="000000" w:themeColor="text1"/>
          <w:sz w:val="20"/>
          <w:szCs w:val="24"/>
        </w:rPr>
      </w:pPr>
      <w:r w:rsidRPr="00533EAC">
        <w:rPr>
          <w:rFonts w:ascii="Arial" w:hAnsi="Arial" w:cs="Arial"/>
          <w:noProof/>
          <w:color w:val="000000" w:themeColor="text1"/>
          <w:sz w:val="20"/>
          <w:szCs w:val="24"/>
        </w:rPr>
        <w:t xml:space="preserve">Belkhir K, Borsa N, Chikhi L, Raufaste N, Bonhomme F. 2004. GENETIX 4.05, logiciel sous Windows TM pour la génétique des populations. </w:t>
      </w:r>
      <w:r w:rsidRPr="00533EAC">
        <w:rPr>
          <w:rFonts w:ascii="Arial" w:hAnsi="Arial" w:cs="Arial"/>
          <w:i/>
          <w:iCs/>
          <w:noProof/>
          <w:color w:val="000000" w:themeColor="text1"/>
          <w:sz w:val="20"/>
          <w:szCs w:val="24"/>
        </w:rPr>
        <w:t>Laboratoire Génome, Populations, Interactions, CNRS UMR 5000</w:t>
      </w:r>
      <w:r w:rsidRPr="00533EAC">
        <w:rPr>
          <w:rFonts w:ascii="Arial" w:hAnsi="Arial" w:cs="Arial"/>
          <w:noProof/>
          <w:color w:val="000000" w:themeColor="text1"/>
          <w:sz w:val="20"/>
          <w:szCs w:val="24"/>
        </w:rPr>
        <w:t>, 19.</w:t>
      </w:r>
    </w:p>
    <w:p w14:paraId="09979535" w14:textId="77777777" w:rsidR="00774474" w:rsidRPr="00533EAC" w:rsidRDefault="00774474" w:rsidP="00774474">
      <w:pPr>
        <w:widowControl w:val="0"/>
        <w:autoSpaceDE w:val="0"/>
        <w:autoSpaceDN w:val="0"/>
        <w:adjustRightInd w:val="0"/>
        <w:spacing w:after="0" w:line="360" w:lineRule="auto"/>
        <w:ind w:left="480" w:hanging="480"/>
        <w:rPr>
          <w:rFonts w:ascii="Arial" w:hAnsi="Arial" w:cs="Arial"/>
          <w:noProof/>
          <w:color w:val="000000" w:themeColor="text1"/>
          <w:sz w:val="20"/>
          <w:szCs w:val="24"/>
        </w:rPr>
      </w:pPr>
      <w:r w:rsidRPr="00533EAC">
        <w:rPr>
          <w:rFonts w:ascii="Arial" w:hAnsi="Arial" w:cs="Arial"/>
          <w:noProof/>
          <w:color w:val="000000" w:themeColor="text1"/>
          <w:sz w:val="20"/>
          <w:szCs w:val="24"/>
        </w:rPr>
        <w:t xml:space="preserve">Bolger AM, Lohse M, Usadel B. 2014. Trimmomatic: A flexible trimmer for Illumina sequence data. </w:t>
      </w:r>
      <w:r w:rsidRPr="00533EAC">
        <w:rPr>
          <w:rFonts w:ascii="Arial" w:hAnsi="Arial" w:cs="Arial"/>
          <w:i/>
          <w:iCs/>
          <w:noProof/>
          <w:color w:val="000000" w:themeColor="text1"/>
          <w:sz w:val="20"/>
          <w:szCs w:val="24"/>
        </w:rPr>
        <w:t>Bioinformatics</w:t>
      </w:r>
      <w:r w:rsidRPr="00533EAC">
        <w:rPr>
          <w:rFonts w:ascii="Arial" w:hAnsi="Arial" w:cs="Arial"/>
          <w:noProof/>
          <w:color w:val="000000" w:themeColor="text1"/>
          <w:sz w:val="20"/>
          <w:szCs w:val="24"/>
        </w:rPr>
        <w:t xml:space="preserve">, </w:t>
      </w:r>
      <w:r w:rsidRPr="00533EAC">
        <w:rPr>
          <w:rFonts w:ascii="Arial" w:hAnsi="Arial" w:cs="Arial"/>
          <w:i/>
          <w:iCs/>
          <w:noProof/>
          <w:color w:val="000000" w:themeColor="text1"/>
          <w:sz w:val="20"/>
          <w:szCs w:val="24"/>
        </w:rPr>
        <w:t>30</w:t>
      </w:r>
      <w:r w:rsidRPr="00533EAC">
        <w:rPr>
          <w:rFonts w:ascii="Arial" w:hAnsi="Arial" w:cs="Arial"/>
          <w:noProof/>
          <w:color w:val="000000" w:themeColor="text1"/>
          <w:sz w:val="20"/>
          <w:szCs w:val="24"/>
        </w:rPr>
        <w:t>(15), 2114–2120. https://doi.org/10.1093/bioinformatics/btu170</w:t>
      </w:r>
    </w:p>
    <w:p w14:paraId="1743CD90" w14:textId="77777777" w:rsidR="00774474" w:rsidRPr="00533EAC" w:rsidRDefault="00774474" w:rsidP="00774474">
      <w:pPr>
        <w:widowControl w:val="0"/>
        <w:autoSpaceDE w:val="0"/>
        <w:autoSpaceDN w:val="0"/>
        <w:adjustRightInd w:val="0"/>
        <w:spacing w:after="0" w:line="360" w:lineRule="auto"/>
        <w:ind w:left="480" w:hanging="480"/>
        <w:rPr>
          <w:rFonts w:ascii="Arial" w:hAnsi="Arial" w:cs="Arial"/>
          <w:noProof/>
          <w:color w:val="000000" w:themeColor="text1"/>
          <w:sz w:val="20"/>
          <w:szCs w:val="24"/>
        </w:rPr>
      </w:pPr>
      <w:r w:rsidRPr="00533EAC">
        <w:rPr>
          <w:rFonts w:ascii="Arial" w:hAnsi="Arial" w:cs="Arial"/>
          <w:noProof/>
          <w:color w:val="000000" w:themeColor="text1"/>
          <w:sz w:val="20"/>
          <w:szCs w:val="24"/>
        </w:rPr>
        <w:t xml:space="preserve">Bouckaert R, Heled J, Kühnert D, Vaughan T, Wu C-H, Xie D, Suchard MA, Rambaut A, Drummond AJ. 2014. BEAST 2: A Software Platform for Bayesian Evolutionary Analysis. </w:t>
      </w:r>
      <w:r w:rsidRPr="00533EAC">
        <w:rPr>
          <w:rFonts w:ascii="Arial" w:hAnsi="Arial" w:cs="Arial"/>
          <w:i/>
          <w:iCs/>
          <w:noProof/>
          <w:color w:val="000000" w:themeColor="text1"/>
          <w:sz w:val="20"/>
          <w:szCs w:val="24"/>
        </w:rPr>
        <w:t>PLoS Computational Biology</w:t>
      </w:r>
      <w:r w:rsidRPr="00533EAC">
        <w:rPr>
          <w:rFonts w:ascii="Arial" w:hAnsi="Arial" w:cs="Arial"/>
          <w:noProof/>
          <w:color w:val="000000" w:themeColor="text1"/>
          <w:sz w:val="20"/>
          <w:szCs w:val="24"/>
        </w:rPr>
        <w:t xml:space="preserve">, </w:t>
      </w:r>
      <w:r w:rsidRPr="00533EAC">
        <w:rPr>
          <w:rFonts w:ascii="Arial" w:hAnsi="Arial" w:cs="Arial"/>
          <w:i/>
          <w:iCs/>
          <w:noProof/>
          <w:color w:val="000000" w:themeColor="text1"/>
          <w:sz w:val="20"/>
          <w:szCs w:val="24"/>
        </w:rPr>
        <w:t>10</w:t>
      </w:r>
      <w:r w:rsidRPr="00533EAC">
        <w:rPr>
          <w:rFonts w:ascii="Arial" w:hAnsi="Arial" w:cs="Arial"/>
          <w:noProof/>
          <w:color w:val="000000" w:themeColor="text1"/>
          <w:sz w:val="20"/>
          <w:szCs w:val="24"/>
        </w:rPr>
        <w:t>(4), e1003537. https://doi.org/10.1371/journal.pcbi.1003537</w:t>
      </w:r>
    </w:p>
    <w:p w14:paraId="1F31CB18" w14:textId="77777777" w:rsidR="00774474" w:rsidRPr="00533EAC" w:rsidRDefault="00774474" w:rsidP="00774474">
      <w:pPr>
        <w:widowControl w:val="0"/>
        <w:autoSpaceDE w:val="0"/>
        <w:autoSpaceDN w:val="0"/>
        <w:adjustRightInd w:val="0"/>
        <w:spacing w:after="0" w:line="360" w:lineRule="auto"/>
        <w:ind w:left="480" w:hanging="480"/>
        <w:rPr>
          <w:rFonts w:ascii="Arial" w:hAnsi="Arial" w:cs="Arial"/>
          <w:noProof/>
          <w:color w:val="000000" w:themeColor="text1"/>
          <w:sz w:val="20"/>
          <w:szCs w:val="24"/>
        </w:rPr>
      </w:pPr>
      <w:r w:rsidRPr="00533EAC">
        <w:rPr>
          <w:rFonts w:ascii="Arial" w:hAnsi="Arial" w:cs="Arial"/>
          <w:noProof/>
          <w:color w:val="000000" w:themeColor="text1"/>
          <w:sz w:val="20"/>
          <w:szCs w:val="24"/>
        </w:rPr>
        <w:t xml:space="preserve">Brownstein MJ, Carpten JD, Smith JR. 1996. Modulation of non-templated nucleotide addition by Taq DNA polymerase: Primer modifications that facilitate genotyping. </w:t>
      </w:r>
      <w:r w:rsidRPr="00533EAC">
        <w:rPr>
          <w:rFonts w:ascii="Arial" w:hAnsi="Arial" w:cs="Arial"/>
          <w:i/>
          <w:iCs/>
          <w:noProof/>
          <w:color w:val="000000" w:themeColor="text1"/>
          <w:sz w:val="20"/>
          <w:szCs w:val="24"/>
        </w:rPr>
        <w:t>BioTechniques</w:t>
      </w:r>
      <w:r w:rsidRPr="00533EAC">
        <w:rPr>
          <w:rFonts w:ascii="Arial" w:hAnsi="Arial" w:cs="Arial"/>
          <w:noProof/>
          <w:color w:val="000000" w:themeColor="text1"/>
          <w:sz w:val="20"/>
          <w:szCs w:val="24"/>
        </w:rPr>
        <w:t xml:space="preserve">, </w:t>
      </w:r>
      <w:r w:rsidRPr="00533EAC">
        <w:rPr>
          <w:rFonts w:ascii="Arial" w:hAnsi="Arial" w:cs="Arial"/>
          <w:i/>
          <w:iCs/>
          <w:noProof/>
          <w:color w:val="000000" w:themeColor="text1"/>
          <w:sz w:val="20"/>
          <w:szCs w:val="24"/>
        </w:rPr>
        <w:t>20</w:t>
      </w:r>
      <w:r w:rsidRPr="00533EAC">
        <w:rPr>
          <w:rFonts w:ascii="Arial" w:hAnsi="Arial" w:cs="Arial"/>
          <w:noProof/>
          <w:color w:val="000000" w:themeColor="text1"/>
          <w:sz w:val="20"/>
          <w:szCs w:val="24"/>
        </w:rPr>
        <w:t>(6), 1004–1010.</w:t>
      </w:r>
    </w:p>
    <w:p w14:paraId="54491545" w14:textId="77777777" w:rsidR="00774474" w:rsidRPr="00533EAC" w:rsidRDefault="00774474" w:rsidP="00774474">
      <w:pPr>
        <w:widowControl w:val="0"/>
        <w:autoSpaceDE w:val="0"/>
        <w:autoSpaceDN w:val="0"/>
        <w:adjustRightInd w:val="0"/>
        <w:spacing w:after="0" w:line="360" w:lineRule="auto"/>
        <w:ind w:left="480" w:hanging="480"/>
        <w:rPr>
          <w:rFonts w:ascii="Arial" w:hAnsi="Arial" w:cs="Arial"/>
          <w:noProof/>
          <w:color w:val="000000" w:themeColor="text1"/>
          <w:sz w:val="20"/>
          <w:szCs w:val="24"/>
        </w:rPr>
      </w:pPr>
      <w:r w:rsidRPr="00533EAC">
        <w:rPr>
          <w:rFonts w:ascii="Arial" w:hAnsi="Arial" w:cs="Arial"/>
          <w:noProof/>
          <w:color w:val="000000" w:themeColor="text1"/>
          <w:sz w:val="20"/>
          <w:szCs w:val="24"/>
        </w:rPr>
        <w:t xml:space="preserve">Cariou M, Duret L, Charlat S. 2013. Is RAD-seq suitable for phylogenetic inference? An in silico assessment and optimization. </w:t>
      </w:r>
      <w:r w:rsidRPr="00533EAC">
        <w:rPr>
          <w:rFonts w:ascii="Arial" w:hAnsi="Arial" w:cs="Arial"/>
          <w:i/>
          <w:iCs/>
          <w:noProof/>
          <w:color w:val="000000" w:themeColor="text1"/>
          <w:sz w:val="20"/>
          <w:szCs w:val="24"/>
        </w:rPr>
        <w:t>Ecology and Evolution</w:t>
      </w:r>
      <w:r w:rsidRPr="00533EAC">
        <w:rPr>
          <w:rFonts w:ascii="Arial" w:hAnsi="Arial" w:cs="Arial"/>
          <w:noProof/>
          <w:color w:val="000000" w:themeColor="text1"/>
          <w:sz w:val="20"/>
          <w:szCs w:val="24"/>
        </w:rPr>
        <w:t xml:space="preserve">, </w:t>
      </w:r>
      <w:r w:rsidRPr="00533EAC">
        <w:rPr>
          <w:rFonts w:ascii="Arial" w:hAnsi="Arial" w:cs="Arial"/>
          <w:i/>
          <w:iCs/>
          <w:noProof/>
          <w:color w:val="000000" w:themeColor="text1"/>
          <w:sz w:val="20"/>
          <w:szCs w:val="24"/>
        </w:rPr>
        <w:t>3</w:t>
      </w:r>
      <w:r w:rsidRPr="00533EAC">
        <w:rPr>
          <w:rFonts w:ascii="Arial" w:hAnsi="Arial" w:cs="Arial"/>
          <w:noProof/>
          <w:color w:val="000000" w:themeColor="text1"/>
          <w:sz w:val="20"/>
          <w:szCs w:val="24"/>
        </w:rPr>
        <w:t>(4), 846–852. https://doi.org/10.1002/ece3.512</w:t>
      </w:r>
    </w:p>
    <w:p w14:paraId="12C1ED72" w14:textId="77777777" w:rsidR="00774474" w:rsidRPr="00533EAC" w:rsidRDefault="00774474" w:rsidP="00774474">
      <w:pPr>
        <w:widowControl w:val="0"/>
        <w:autoSpaceDE w:val="0"/>
        <w:autoSpaceDN w:val="0"/>
        <w:adjustRightInd w:val="0"/>
        <w:spacing w:after="0" w:line="360" w:lineRule="auto"/>
        <w:ind w:left="480" w:hanging="480"/>
        <w:rPr>
          <w:rFonts w:ascii="Arial" w:hAnsi="Arial" w:cs="Arial"/>
          <w:noProof/>
          <w:color w:val="000000" w:themeColor="text1"/>
          <w:sz w:val="20"/>
          <w:szCs w:val="24"/>
        </w:rPr>
      </w:pPr>
      <w:r w:rsidRPr="00533EAC">
        <w:rPr>
          <w:rFonts w:ascii="Arial" w:hAnsi="Arial" w:cs="Arial"/>
          <w:noProof/>
          <w:color w:val="000000" w:themeColor="text1"/>
          <w:sz w:val="20"/>
          <w:szCs w:val="24"/>
        </w:rPr>
        <w:t xml:space="preserve">Castilla JC, Lagos NA, Cerda M. 2004. Marine ecosystem engineering by the alien ascidian </w:t>
      </w:r>
      <w:r w:rsidRPr="00533EAC">
        <w:rPr>
          <w:rFonts w:ascii="Arial" w:hAnsi="Arial" w:cs="Arial"/>
          <w:i/>
          <w:iCs/>
          <w:noProof/>
          <w:color w:val="000000" w:themeColor="text1"/>
          <w:sz w:val="20"/>
          <w:szCs w:val="24"/>
        </w:rPr>
        <w:t>Pyura praeputialis</w:t>
      </w:r>
      <w:r w:rsidRPr="00533EAC">
        <w:rPr>
          <w:rFonts w:ascii="Arial" w:hAnsi="Arial" w:cs="Arial"/>
          <w:noProof/>
          <w:color w:val="000000" w:themeColor="text1"/>
          <w:sz w:val="20"/>
          <w:szCs w:val="24"/>
        </w:rPr>
        <w:t xml:space="preserve"> on a mid-intertidal rocky shore. </w:t>
      </w:r>
      <w:r w:rsidRPr="00533EAC">
        <w:rPr>
          <w:rFonts w:ascii="Arial" w:hAnsi="Arial" w:cs="Arial"/>
          <w:i/>
          <w:iCs/>
          <w:noProof/>
          <w:color w:val="000000" w:themeColor="text1"/>
          <w:sz w:val="20"/>
          <w:szCs w:val="24"/>
        </w:rPr>
        <w:t>Marine Ecology Progress Series</w:t>
      </w:r>
      <w:r w:rsidRPr="00533EAC">
        <w:rPr>
          <w:rFonts w:ascii="Arial" w:hAnsi="Arial" w:cs="Arial"/>
          <w:noProof/>
          <w:color w:val="000000" w:themeColor="text1"/>
          <w:sz w:val="20"/>
          <w:szCs w:val="24"/>
        </w:rPr>
        <w:t xml:space="preserve">, </w:t>
      </w:r>
      <w:r w:rsidRPr="00533EAC">
        <w:rPr>
          <w:rFonts w:ascii="Arial" w:hAnsi="Arial" w:cs="Arial"/>
          <w:i/>
          <w:iCs/>
          <w:noProof/>
          <w:color w:val="000000" w:themeColor="text1"/>
          <w:sz w:val="20"/>
          <w:szCs w:val="24"/>
        </w:rPr>
        <w:t>268</w:t>
      </w:r>
      <w:r w:rsidRPr="00533EAC">
        <w:rPr>
          <w:rFonts w:ascii="Arial" w:hAnsi="Arial" w:cs="Arial"/>
          <w:noProof/>
          <w:color w:val="000000" w:themeColor="text1"/>
          <w:sz w:val="20"/>
          <w:szCs w:val="24"/>
        </w:rPr>
        <w:t>, 119–130.</w:t>
      </w:r>
    </w:p>
    <w:p w14:paraId="34BEE377" w14:textId="77777777" w:rsidR="00774474" w:rsidRPr="00533EAC" w:rsidRDefault="00774474" w:rsidP="00774474">
      <w:pPr>
        <w:widowControl w:val="0"/>
        <w:autoSpaceDE w:val="0"/>
        <w:autoSpaceDN w:val="0"/>
        <w:adjustRightInd w:val="0"/>
        <w:spacing w:after="0" w:line="360" w:lineRule="auto"/>
        <w:ind w:left="480" w:hanging="480"/>
        <w:rPr>
          <w:rFonts w:ascii="Arial" w:hAnsi="Arial" w:cs="Arial"/>
          <w:noProof/>
          <w:color w:val="000000" w:themeColor="text1"/>
          <w:sz w:val="20"/>
          <w:szCs w:val="24"/>
        </w:rPr>
      </w:pPr>
      <w:r w:rsidRPr="00533EAC">
        <w:rPr>
          <w:rFonts w:ascii="Arial" w:hAnsi="Arial" w:cs="Arial"/>
          <w:noProof/>
          <w:color w:val="000000" w:themeColor="text1"/>
          <w:sz w:val="20"/>
          <w:szCs w:val="24"/>
        </w:rPr>
        <w:t xml:space="preserve">Cock PJA, Fields CJ, Goto N, Heuer ML, Rice PM. 2009. The Sanger FASTQ file format for sequences with quality scores, and the Solexa/Illumina FASTQ variants. </w:t>
      </w:r>
      <w:r w:rsidRPr="00533EAC">
        <w:rPr>
          <w:rFonts w:ascii="Arial" w:hAnsi="Arial" w:cs="Arial"/>
          <w:i/>
          <w:iCs/>
          <w:noProof/>
          <w:color w:val="000000" w:themeColor="text1"/>
          <w:sz w:val="20"/>
          <w:szCs w:val="24"/>
        </w:rPr>
        <w:t xml:space="preserve">Nucleic Acids </w:t>
      </w:r>
      <w:r w:rsidRPr="00533EAC">
        <w:rPr>
          <w:rFonts w:ascii="Arial" w:hAnsi="Arial" w:cs="Arial"/>
          <w:i/>
          <w:iCs/>
          <w:noProof/>
          <w:color w:val="000000" w:themeColor="text1"/>
          <w:sz w:val="20"/>
          <w:szCs w:val="24"/>
        </w:rPr>
        <w:lastRenderedPageBreak/>
        <w:t>Research</w:t>
      </w:r>
      <w:r w:rsidRPr="00533EAC">
        <w:rPr>
          <w:rFonts w:ascii="Arial" w:hAnsi="Arial" w:cs="Arial"/>
          <w:noProof/>
          <w:color w:val="000000" w:themeColor="text1"/>
          <w:sz w:val="20"/>
          <w:szCs w:val="24"/>
        </w:rPr>
        <w:t xml:space="preserve">, </w:t>
      </w:r>
      <w:r w:rsidRPr="00533EAC">
        <w:rPr>
          <w:rFonts w:ascii="Arial" w:hAnsi="Arial" w:cs="Arial"/>
          <w:i/>
          <w:iCs/>
          <w:noProof/>
          <w:color w:val="000000" w:themeColor="text1"/>
          <w:sz w:val="20"/>
          <w:szCs w:val="24"/>
        </w:rPr>
        <w:t>38</w:t>
      </w:r>
      <w:r w:rsidRPr="00533EAC">
        <w:rPr>
          <w:rFonts w:ascii="Arial" w:hAnsi="Arial" w:cs="Arial"/>
          <w:noProof/>
          <w:color w:val="000000" w:themeColor="text1"/>
          <w:sz w:val="20"/>
          <w:szCs w:val="24"/>
        </w:rPr>
        <w:t>(6), 1767–1771. https://doi.org/10.1093/nar/gkp1137</w:t>
      </w:r>
    </w:p>
    <w:p w14:paraId="1A2916C9" w14:textId="77777777" w:rsidR="00774474" w:rsidRPr="00533EAC" w:rsidRDefault="00774474" w:rsidP="00774474">
      <w:pPr>
        <w:widowControl w:val="0"/>
        <w:autoSpaceDE w:val="0"/>
        <w:autoSpaceDN w:val="0"/>
        <w:adjustRightInd w:val="0"/>
        <w:spacing w:after="0" w:line="360" w:lineRule="auto"/>
        <w:ind w:left="480" w:hanging="480"/>
        <w:rPr>
          <w:rFonts w:ascii="Arial" w:hAnsi="Arial" w:cs="Arial"/>
          <w:noProof/>
          <w:color w:val="000000" w:themeColor="text1"/>
          <w:sz w:val="20"/>
          <w:szCs w:val="24"/>
        </w:rPr>
      </w:pPr>
      <w:r w:rsidRPr="00533EAC">
        <w:rPr>
          <w:rFonts w:ascii="Arial" w:hAnsi="Arial" w:cs="Arial"/>
          <w:noProof/>
          <w:color w:val="000000" w:themeColor="text1"/>
          <w:sz w:val="20"/>
          <w:szCs w:val="24"/>
        </w:rPr>
        <w:t xml:space="preserve">Cole VJ, McQuaid CD. 2010. Bioengineers and their associated fauna respond differently to the effects of biogeography and upwelling. </w:t>
      </w:r>
      <w:r w:rsidRPr="00533EAC">
        <w:rPr>
          <w:rFonts w:ascii="Arial" w:hAnsi="Arial" w:cs="Arial"/>
          <w:i/>
          <w:iCs/>
          <w:noProof/>
          <w:color w:val="000000" w:themeColor="text1"/>
          <w:sz w:val="20"/>
          <w:szCs w:val="24"/>
        </w:rPr>
        <w:t>Ecology</w:t>
      </w:r>
      <w:r w:rsidRPr="00533EAC">
        <w:rPr>
          <w:rFonts w:ascii="Arial" w:hAnsi="Arial" w:cs="Arial"/>
          <w:noProof/>
          <w:color w:val="000000" w:themeColor="text1"/>
          <w:sz w:val="20"/>
          <w:szCs w:val="24"/>
        </w:rPr>
        <w:t xml:space="preserve">, </w:t>
      </w:r>
      <w:r w:rsidRPr="00533EAC">
        <w:rPr>
          <w:rFonts w:ascii="Arial" w:hAnsi="Arial" w:cs="Arial"/>
          <w:i/>
          <w:iCs/>
          <w:noProof/>
          <w:color w:val="000000" w:themeColor="text1"/>
          <w:sz w:val="20"/>
          <w:szCs w:val="24"/>
        </w:rPr>
        <w:t>91</w:t>
      </w:r>
      <w:r w:rsidRPr="00533EAC">
        <w:rPr>
          <w:rFonts w:ascii="Arial" w:hAnsi="Arial" w:cs="Arial"/>
          <w:noProof/>
          <w:color w:val="000000" w:themeColor="text1"/>
          <w:sz w:val="20"/>
          <w:szCs w:val="24"/>
        </w:rPr>
        <w:t>(12), 3549–3562. https://doi.org/10.1890/09-2152.1</w:t>
      </w:r>
    </w:p>
    <w:p w14:paraId="355BEC98" w14:textId="77777777" w:rsidR="00774474" w:rsidRPr="00533EAC" w:rsidRDefault="00774474" w:rsidP="00774474">
      <w:pPr>
        <w:widowControl w:val="0"/>
        <w:autoSpaceDE w:val="0"/>
        <w:autoSpaceDN w:val="0"/>
        <w:adjustRightInd w:val="0"/>
        <w:spacing w:after="0" w:line="360" w:lineRule="auto"/>
        <w:ind w:left="480" w:hanging="480"/>
        <w:rPr>
          <w:rFonts w:ascii="Arial" w:hAnsi="Arial" w:cs="Arial"/>
          <w:noProof/>
          <w:color w:val="000000" w:themeColor="text1"/>
          <w:sz w:val="20"/>
          <w:szCs w:val="24"/>
        </w:rPr>
      </w:pPr>
      <w:r w:rsidRPr="00533EAC">
        <w:rPr>
          <w:rFonts w:ascii="Arial" w:hAnsi="Arial" w:cs="Arial"/>
          <w:noProof/>
          <w:color w:val="000000" w:themeColor="text1"/>
          <w:sz w:val="20"/>
          <w:szCs w:val="24"/>
        </w:rPr>
        <w:t xml:space="preserve">De Barba M, Miquel C, Lobréaux S, Quenette PY, Swenson JE, Taberlet P. 2017. High-throughput microsatellite genotyping in ecology: improved accuracy, efficiency, standardization and success with low-quantity and degraded DNA. </w:t>
      </w:r>
      <w:r w:rsidRPr="00533EAC">
        <w:rPr>
          <w:rFonts w:ascii="Arial" w:hAnsi="Arial" w:cs="Arial"/>
          <w:i/>
          <w:iCs/>
          <w:noProof/>
          <w:color w:val="000000" w:themeColor="text1"/>
          <w:sz w:val="20"/>
          <w:szCs w:val="24"/>
        </w:rPr>
        <w:t>Molecular Ecology Resources</w:t>
      </w:r>
      <w:r w:rsidRPr="00533EAC">
        <w:rPr>
          <w:rFonts w:ascii="Arial" w:hAnsi="Arial" w:cs="Arial"/>
          <w:noProof/>
          <w:color w:val="000000" w:themeColor="text1"/>
          <w:sz w:val="20"/>
          <w:szCs w:val="24"/>
        </w:rPr>
        <w:t xml:space="preserve">, </w:t>
      </w:r>
      <w:r w:rsidRPr="00533EAC">
        <w:rPr>
          <w:rFonts w:ascii="Arial" w:hAnsi="Arial" w:cs="Arial"/>
          <w:i/>
          <w:iCs/>
          <w:noProof/>
          <w:color w:val="000000" w:themeColor="text1"/>
          <w:sz w:val="20"/>
          <w:szCs w:val="24"/>
        </w:rPr>
        <w:t>17</w:t>
      </w:r>
      <w:r w:rsidRPr="00533EAC">
        <w:rPr>
          <w:rFonts w:ascii="Arial" w:hAnsi="Arial" w:cs="Arial"/>
          <w:noProof/>
          <w:color w:val="000000" w:themeColor="text1"/>
          <w:sz w:val="20"/>
          <w:szCs w:val="24"/>
        </w:rPr>
        <w:t>(3), 492–507. https://doi.org/10.1111/1755-0998.12594</w:t>
      </w:r>
    </w:p>
    <w:p w14:paraId="22905950" w14:textId="77777777" w:rsidR="00774474" w:rsidRPr="00533EAC" w:rsidRDefault="00774474" w:rsidP="00774474">
      <w:pPr>
        <w:widowControl w:val="0"/>
        <w:autoSpaceDE w:val="0"/>
        <w:autoSpaceDN w:val="0"/>
        <w:adjustRightInd w:val="0"/>
        <w:spacing w:after="0" w:line="360" w:lineRule="auto"/>
        <w:ind w:left="480" w:hanging="480"/>
        <w:rPr>
          <w:rFonts w:ascii="Arial" w:hAnsi="Arial" w:cs="Arial"/>
          <w:noProof/>
          <w:color w:val="000000" w:themeColor="text1"/>
          <w:sz w:val="20"/>
          <w:szCs w:val="24"/>
        </w:rPr>
      </w:pPr>
      <w:r w:rsidRPr="00533EAC">
        <w:rPr>
          <w:rFonts w:ascii="Arial" w:hAnsi="Arial" w:cs="Arial"/>
          <w:noProof/>
          <w:color w:val="000000" w:themeColor="text1"/>
          <w:sz w:val="20"/>
          <w:szCs w:val="24"/>
        </w:rPr>
        <w:t xml:space="preserve">Doyle JJ, Doyle JL. 1987. A rapid DNA isolation procedure for small quantities of fresh leaf tissue. </w:t>
      </w:r>
      <w:r w:rsidRPr="00533EAC">
        <w:rPr>
          <w:rFonts w:ascii="Arial" w:hAnsi="Arial" w:cs="Arial"/>
          <w:i/>
          <w:iCs/>
          <w:noProof/>
          <w:color w:val="000000" w:themeColor="text1"/>
          <w:sz w:val="20"/>
          <w:szCs w:val="24"/>
        </w:rPr>
        <w:t>Phytochemical Bulletin</w:t>
      </w:r>
      <w:r w:rsidRPr="00533EAC">
        <w:rPr>
          <w:rFonts w:ascii="Arial" w:hAnsi="Arial" w:cs="Arial"/>
          <w:noProof/>
          <w:color w:val="000000" w:themeColor="text1"/>
          <w:sz w:val="20"/>
          <w:szCs w:val="24"/>
        </w:rPr>
        <w:t xml:space="preserve">, </w:t>
      </w:r>
      <w:r w:rsidRPr="00533EAC">
        <w:rPr>
          <w:rFonts w:ascii="Arial" w:hAnsi="Arial" w:cs="Arial"/>
          <w:i/>
          <w:iCs/>
          <w:noProof/>
          <w:color w:val="000000" w:themeColor="text1"/>
          <w:sz w:val="20"/>
          <w:szCs w:val="24"/>
        </w:rPr>
        <w:t>19</w:t>
      </w:r>
      <w:r w:rsidRPr="00533EAC">
        <w:rPr>
          <w:rFonts w:ascii="Arial" w:hAnsi="Arial" w:cs="Arial"/>
          <w:noProof/>
          <w:color w:val="000000" w:themeColor="text1"/>
          <w:sz w:val="20"/>
          <w:szCs w:val="24"/>
        </w:rPr>
        <w:t>, 11–15.</w:t>
      </w:r>
    </w:p>
    <w:p w14:paraId="16BF2097" w14:textId="77777777" w:rsidR="00774474" w:rsidRPr="00533EAC" w:rsidRDefault="00774474" w:rsidP="00774474">
      <w:pPr>
        <w:widowControl w:val="0"/>
        <w:autoSpaceDE w:val="0"/>
        <w:autoSpaceDN w:val="0"/>
        <w:adjustRightInd w:val="0"/>
        <w:spacing w:after="0" w:line="360" w:lineRule="auto"/>
        <w:ind w:left="480" w:hanging="480"/>
        <w:rPr>
          <w:rFonts w:ascii="Arial" w:hAnsi="Arial" w:cs="Arial"/>
          <w:noProof/>
          <w:color w:val="000000" w:themeColor="text1"/>
          <w:sz w:val="20"/>
          <w:szCs w:val="24"/>
        </w:rPr>
      </w:pPr>
      <w:r w:rsidRPr="00533EAC">
        <w:rPr>
          <w:rFonts w:ascii="Arial" w:hAnsi="Arial" w:cs="Arial"/>
          <w:noProof/>
          <w:color w:val="000000" w:themeColor="text1"/>
          <w:sz w:val="20"/>
          <w:szCs w:val="24"/>
        </w:rPr>
        <w:t xml:space="preserve">Edgar RC. 2004. MUSCLE: multiple sequence alignment with high accuracy and high throughput. </w:t>
      </w:r>
      <w:r w:rsidRPr="00533EAC">
        <w:rPr>
          <w:rFonts w:ascii="Arial" w:hAnsi="Arial" w:cs="Arial"/>
          <w:i/>
          <w:iCs/>
          <w:noProof/>
          <w:color w:val="000000" w:themeColor="text1"/>
          <w:sz w:val="20"/>
          <w:szCs w:val="24"/>
        </w:rPr>
        <w:t>Nucleic Acids Research</w:t>
      </w:r>
      <w:r w:rsidRPr="00533EAC">
        <w:rPr>
          <w:rFonts w:ascii="Arial" w:hAnsi="Arial" w:cs="Arial"/>
          <w:noProof/>
          <w:color w:val="000000" w:themeColor="text1"/>
          <w:sz w:val="20"/>
          <w:szCs w:val="24"/>
        </w:rPr>
        <w:t xml:space="preserve">, </w:t>
      </w:r>
      <w:r w:rsidRPr="00533EAC">
        <w:rPr>
          <w:rFonts w:ascii="Arial" w:hAnsi="Arial" w:cs="Arial"/>
          <w:i/>
          <w:iCs/>
          <w:noProof/>
          <w:color w:val="000000" w:themeColor="text1"/>
          <w:sz w:val="20"/>
          <w:szCs w:val="24"/>
        </w:rPr>
        <w:t>32</w:t>
      </w:r>
      <w:r w:rsidRPr="00533EAC">
        <w:rPr>
          <w:rFonts w:ascii="Arial" w:hAnsi="Arial" w:cs="Arial"/>
          <w:noProof/>
          <w:color w:val="000000" w:themeColor="text1"/>
          <w:sz w:val="20"/>
          <w:szCs w:val="24"/>
        </w:rPr>
        <w:t>(5), 1792–1797. https://doi.org/10.1093/nar/gkh340</w:t>
      </w:r>
    </w:p>
    <w:p w14:paraId="3D52021E" w14:textId="77777777" w:rsidR="00774474" w:rsidRPr="00533EAC" w:rsidRDefault="00774474" w:rsidP="00774474">
      <w:pPr>
        <w:widowControl w:val="0"/>
        <w:autoSpaceDE w:val="0"/>
        <w:autoSpaceDN w:val="0"/>
        <w:adjustRightInd w:val="0"/>
        <w:spacing w:after="0" w:line="360" w:lineRule="auto"/>
        <w:ind w:left="480" w:hanging="480"/>
        <w:rPr>
          <w:rFonts w:ascii="Arial" w:hAnsi="Arial" w:cs="Arial"/>
          <w:noProof/>
          <w:color w:val="000000" w:themeColor="text1"/>
          <w:sz w:val="20"/>
          <w:szCs w:val="24"/>
        </w:rPr>
      </w:pPr>
      <w:r w:rsidRPr="00533EAC">
        <w:rPr>
          <w:rFonts w:ascii="Arial" w:hAnsi="Arial" w:cs="Arial"/>
          <w:noProof/>
          <w:color w:val="000000" w:themeColor="text1"/>
          <w:sz w:val="20"/>
          <w:szCs w:val="24"/>
        </w:rPr>
        <w:t xml:space="preserve">Emanuel BP, Bustamante RH, Branch GM, Eekhout S, Odendaal FJ. 1992. A zoogeographic and functional approach to the selection of marine reserves on the west coast of South Africa. </w:t>
      </w:r>
      <w:r w:rsidRPr="00533EAC">
        <w:rPr>
          <w:rFonts w:ascii="Arial" w:hAnsi="Arial" w:cs="Arial"/>
          <w:i/>
          <w:iCs/>
          <w:noProof/>
          <w:color w:val="000000" w:themeColor="text1"/>
          <w:sz w:val="20"/>
          <w:szCs w:val="24"/>
        </w:rPr>
        <w:t>South African Journal of Marine Science</w:t>
      </w:r>
      <w:r w:rsidRPr="00533EAC">
        <w:rPr>
          <w:rFonts w:ascii="Arial" w:hAnsi="Arial" w:cs="Arial"/>
          <w:noProof/>
          <w:color w:val="000000" w:themeColor="text1"/>
          <w:sz w:val="20"/>
          <w:szCs w:val="24"/>
        </w:rPr>
        <w:t xml:space="preserve">, </w:t>
      </w:r>
      <w:r w:rsidRPr="00533EAC">
        <w:rPr>
          <w:rFonts w:ascii="Arial" w:hAnsi="Arial" w:cs="Arial"/>
          <w:i/>
          <w:iCs/>
          <w:noProof/>
          <w:color w:val="000000" w:themeColor="text1"/>
          <w:sz w:val="20"/>
          <w:szCs w:val="24"/>
        </w:rPr>
        <w:t>12</w:t>
      </w:r>
      <w:r w:rsidRPr="00533EAC">
        <w:rPr>
          <w:rFonts w:ascii="Arial" w:hAnsi="Arial" w:cs="Arial"/>
          <w:noProof/>
          <w:color w:val="000000" w:themeColor="text1"/>
          <w:sz w:val="20"/>
          <w:szCs w:val="24"/>
        </w:rPr>
        <w:t>(1), 341–354. https://doi.org/10.2989/02577619209504710</w:t>
      </w:r>
    </w:p>
    <w:p w14:paraId="0E281AC2" w14:textId="77777777" w:rsidR="00774474" w:rsidRPr="00533EAC" w:rsidRDefault="00774474" w:rsidP="00774474">
      <w:pPr>
        <w:widowControl w:val="0"/>
        <w:autoSpaceDE w:val="0"/>
        <w:autoSpaceDN w:val="0"/>
        <w:adjustRightInd w:val="0"/>
        <w:spacing w:after="0" w:line="360" w:lineRule="auto"/>
        <w:ind w:left="480" w:hanging="480"/>
        <w:rPr>
          <w:rFonts w:ascii="Arial" w:hAnsi="Arial" w:cs="Arial"/>
          <w:noProof/>
          <w:color w:val="000000" w:themeColor="text1"/>
          <w:sz w:val="20"/>
          <w:szCs w:val="24"/>
        </w:rPr>
      </w:pPr>
      <w:r w:rsidRPr="00533EAC">
        <w:rPr>
          <w:rFonts w:ascii="Arial" w:hAnsi="Arial" w:cs="Arial"/>
          <w:noProof/>
          <w:color w:val="000000" w:themeColor="text1"/>
          <w:sz w:val="20"/>
          <w:szCs w:val="24"/>
        </w:rPr>
        <w:t xml:space="preserve">Giles EC, Petersen-Zúñiga C, Morales-González S, Quesada-Calderón S, Saenz-Agudelo P. 2018. Novel microsatellite markers for </w:t>
      </w:r>
      <w:r w:rsidRPr="00533EAC">
        <w:rPr>
          <w:rFonts w:ascii="Arial" w:hAnsi="Arial" w:cs="Arial"/>
          <w:i/>
          <w:iCs/>
          <w:noProof/>
          <w:color w:val="000000" w:themeColor="text1"/>
          <w:sz w:val="20"/>
          <w:szCs w:val="24"/>
        </w:rPr>
        <w:t>Pyura chilensis</w:t>
      </w:r>
      <w:r w:rsidRPr="00533EAC">
        <w:rPr>
          <w:rFonts w:ascii="Arial" w:hAnsi="Arial" w:cs="Arial"/>
          <w:noProof/>
          <w:color w:val="000000" w:themeColor="text1"/>
          <w:sz w:val="20"/>
          <w:szCs w:val="24"/>
        </w:rPr>
        <w:t xml:space="preserve"> reveal fine-scale genetic structure along the southern coast of Chile. </w:t>
      </w:r>
      <w:r w:rsidRPr="00533EAC">
        <w:rPr>
          <w:rFonts w:ascii="Arial" w:hAnsi="Arial" w:cs="Arial"/>
          <w:i/>
          <w:iCs/>
          <w:noProof/>
          <w:color w:val="000000" w:themeColor="text1"/>
          <w:sz w:val="20"/>
          <w:szCs w:val="24"/>
        </w:rPr>
        <w:t>Marine Biodiversity</w:t>
      </w:r>
      <w:r w:rsidRPr="00533EAC">
        <w:rPr>
          <w:rFonts w:ascii="Arial" w:hAnsi="Arial" w:cs="Arial"/>
          <w:noProof/>
          <w:color w:val="000000" w:themeColor="text1"/>
          <w:sz w:val="20"/>
          <w:szCs w:val="24"/>
        </w:rPr>
        <w:t xml:space="preserve">, </w:t>
      </w:r>
      <w:r w:rsidRPr="00533EAC">
        <w:rPr>
          <w:rFonts w:ascii="Arial" w:hAnsi="Arial" w:cs="Arial"/>
          <w:i/>
          <w:iCs/>
          <w:noProof/>
          <w:color w:val="000000" w:themeColor="text1"/>
          <w:sz w:val="20"/>
          <w:szCs w:val="24"/>
        </w:rPr>
        <w:t>48</w:t>
      </w:r>
      <w:r w:rsidRPr="00533EAC">
        <w:rPr>
          <w:rFonts w:ascii="Arial" w:hAnsi="Arial" w:cs="Arial"/>
          <w:noProof/>
          <w:color w:val="000000" w:themeColor="text1"/>
          <w:sz w:val="20"/>
          <w:szCs w:val="24"/>
        </w:rPr>
        <w:t>(4), 1777–1786. https://doi.org/10.1007/s12526-017-0672-9</w:t>
      </w:r>
    </w:p>
    <w:p w14:paraId="3397407F" w14:textId="77777777" w:rsidR="00774474" w:rsidRPr="00533EAC" w:rsidRDefault="00774474" w:rsidP="00774474">
      <w:pPr>
        <w:widowControl w:val="0"/>
        <w:autoSpaceDE w:val="0"/>
        <w:autoSpaceDN w:val="0"/>
        <w:adjustRightInd w:val="0"/>
        <w:spacing w:after="0" w:line="360" w:lineRule="auto"/>
        <w:ind w:left="480" w:hanging="480"/>
        <w:rPr>
          <w:rFonts w:ascii="Arial" w:hAnsi="Arial" w:cs="Arial"/>
          <w:noProof/>
          <w:color w:val="000000" w:themeColor="text1"/>
          <w:sz w:val="20"/>
          <w:szCs w:val="24"/>
        </w:rPr>
      </w:pPr>
      <w:r w:rsidRPr="00533EAC">
        <w:rPr>
          <w:rFonts w:ascii="Arial" w:hAnsi="Arial" w:cs="Arial"/>
          <w:noProof/>
          <w:color w:val="000000" w:themeColor="text1"/>
          <w:sz w:val="20"/>
          <w:szCs w:val="24"/>
        </w:rPr>
        <w:t xml:space="preserve">Gili JM, Coma R. 1998. Benthic suspension feeders: Their paramount role in littoral marine food webs. </w:t>
      </w:r>
      <w:r w:rsidRPr="00533EAC">
        <w:rPr>
          <w:rFonts w:ascii="Arial" w:hAnsi="Arial" w:cs="Arial"/>
          <w:i/>
          <w:iCs/>
          <w:noProof/>
          <w:color w:val="000000" w:themeColor="text1"/>
          <w:sz w:val="20"/>
          <w:szCs w:val="24"/>
        </w:rPr>
        <w:t>Trends in Ecology and Evolution</w:t>
      </w:r>
      <w:r w:rsidRPr="00533EAC">
        <w:rPr>
          <w:rFonts w:ascii="Arial" w:hAnsi="Arial" w:cs="Arial"/>
          <w:noProof/>
          <w:color w:val="000000" w:themeColor="text1"/>
          <w:sz w:val="20"/>
          <w:szCs w:val="24"/>
        </w:rPr>
        <w:t>, Vol. 13, pp. 316–321. https://doi.org/10.1016/S0169-5347(98)01365-2</w:t>
      </w:r>
    </w:p>
    <w:p w14:paraId="4C920E92" w14:textId="77777777" w:rsidR="00774474" w:rsidRPr="00533EAC" w:rsidRDefault="00774474" w:rsidP="00774474">
      <w:pPr>
        <w:widowControl w:val="0"/>
        <w:autoSpaceDE w:val="0"/>
        <w:autoSpaceDN w:val="0"/>
        <w:adjustRightInd w:val="0"/>
        <w:spacing w:after="0" w:line="360" w:lineRule="auto"/>
        <w:ind w:left="480" w:hanging="480"/>
        <w:rPr>
          <w:rFonts w:ascii="Arial" w:hAnsi="Arial" w:cs="Arial"/>
          <w:noProof/>
          <w:color w:val="000000" w:themeColor="text1"/>
          <w:sz w:val="20"/>
          <w:szCs w:val="24"/>
        </w:rPr>
      </w:pPr>
      <w:r w:rsidRPr="00533EAC">
        <w:rPr>
          <w:rFonts w:ascii="Arial" w:hAnsi="Arial" w:cs="Arial"/>
          <w:noProof/>
          <w:color w:val="000000" w:themeColor="text1"/>
          <w:sz w:val="20"/>
          <w:szCs w:val="24"/>
        </w:rPr>
        <w:t xml:space="preserve">Golla TR, Pieterse L, Jooste CM, Teske PR. 2020. Discovery of populations endemic to a marine biogeographical transition zone. </w:t>
      </w:r>
      <w:r w:rsidRPr="00533EAC">
        <w:rPr>
          <w:rFonts w:ascii="Arial" w:hAnsi="Arial" w:cs="Arial"/>
          <w:i/>
          <w:iCs/>
          <w:noProof/>
          <w:color w:val="000000" w:themeColor="text1"/>
          <w:sz w:val="20"/>
          <w:szCs w:val="24"/>
        </w:rPr>
        <w:t>Diversity and Distributions</w:t>
      </w:r>
      <w:r w:rsidRPr="00533EAC">
        <w:rPr>
          <w:rFonts w:ascii="Arial" w:hAnsi="Arial" w:cs="Arial"/>
          <w:noProof/>
          <w:color w:val="000000" w:themeColor="text1"/>
          <w:sz w:val="20"/>
          <w:szCs w:val="24"/>
        </w:rPr>
        <w:t xml:space="preserve">, </w:t>
      </w:r>
      <w:r w:rsidRPr="00533EAC">
        <w:rPr>
          <w:rFonts w:ascii="Arial" w:hAnsi="Arial" w:cs="Arial"/>
          <w:i/>
          <w:iCs/>
          <w:noProof/>
          <w:color w:val="000000" w:themeColor="text1"/>
          <w:sz w:val="20"/>
          <w:szCs w:val="24"/>
        </w:rPr>
        <w:t>26</w:t>
      </w:r>
      <w:r w:rsidRPr="00533EAC">
        <w:rPr>
          <w:rFonts w:ascii="Arial" w:hAnsi="Arial" w:cs="Arial"/>
          <w:noProof/>
          <w:color w:val="000000" w:themeColor="text1"/>
          <w:sz w:val="20"/>
          <w:szCs w:val="24"/>
        </w:rPr>
        <w:t>(12), 1825–1832. https://doi.org/10.1111/ddi.13162</w:t>
      </w:r>
    </w:p>
    <w:p w14:paraId="1A45C6FD" w14:textId="77777777" w:rsidR="00774474" w:rsidRPr="00533EAC" w:rsidRDefault="00774474" w:rsidP="00774474">
      <w:pPr>
        <w:widowControl w:val="0"/>
        <w:autoSpaceDE w:val="0"/>
        <w:autoSpaceDN w:val="0"/>
        <w:adjustRightInd w:val="0"/>
        <w:spacing w:after="0" w:line="360" w:lineRule="auto"/>
        <w:ind w:left="480" w:hanging="480"/>
        <w:rPr>
          <w:rFonts w:ascii="Arial" w:hAnsi="Arial" w:cs="Arial"/>
          <w:noProof/>
          <w:color w:val="000000" w:themeColor="text1"/>
          <w:sz w:val="20"/>
          <w:szCs w:val="24"/>
        </w:rPr>
      </w:pPr>
      <w:r w:rsidRPr="00533EAC">
        <w:rPr>
          <w:rFonts w:ascii="Arial" w:hAnsi="Arial" w:cs="Arial"/>
          <w:noProof/>
          <w:color w:val="000000" w:themeColor="text1"/>
          <w:sz w:val="20"/>
          <w:szCs w:val="24"/>
        </w:rPr>
        <w:t xml:space="preserve">Goodwin KD, Thompson LR, Duarte B, Kahlke T, Thompson AR, Marques JC, Caçador I. 2017. DNA sequencing as a tool to monitor marine ecological status. </w:t>
      </w:r>
      <w:r w:rsidRPr="00533EAC">
        <w:rPr>
          <w:rFonts w:ascii="Arial" w:hAnsi="Arial" w:cs="Arial"/>
          <w:i/>
          <w:iCs/>
          <w:noProof/>
          <w:color w:val="000000" w:themeColor="text1"/>
          <w:sz w:val="20"/>
          <w:szCs w:val="24"/>
        </w:rPr>
        <w:t>Frontiers in Marine Science</w:t>
      </w:r>
      <w:r w:rsidRPr="00533EAC">
        <w:rPr>
          <w:rFonts w:ascii="Arial" w:hAnsi="Arial" w:cs="Arial"/>
          <w:noProof/>
          <w:color w:val="000000" w:themeColor="text1"/>
          <w:sz w:val="20"/>
          <w:szCs w:val="24"/>
        </w:rPr>
        <w:t>, Vol. 4, p. 107. https://doi.org/10.3389/fmars.2017.00107</w:t>
      </w:r>
    </w:p>
    <w:p w14:paraId="01EFAA7C" w14:textId="77777777" w:rsidR="00774474" w:rsidRPr="00533EAC" w:rsidRDefault="00774474" w:rsidP="00774474">
      <w:pPr>
        <w:widowControl w:val="0"/>
        <w:autoSpaceDE w:val="0"/>
        <w:autoSpaceDN w:val="0"/>
        <w:adjustRightInd w:val="0"/>
        <w:spacing w:after="0" w:line="360" w:lineRule="auto"/>
        <w:ind w:left="480" w:hanging="480"/>
        <w:rPr>
          <w:rFonts w:ascii="Arial" w:hAnsi="Arial" w:cs="Arial"/>
          <w:noProof/>
          <w:color w:val="000000" w:themeColor="text1"/>
          <w:sz w:val="20"/>
          <w:szCs w:val="24"/>
        </w:rPr>
      </w:pPr>
      <w:r w:rsidRPr="00533EAC">
        <w:rPr>
          <w:rFonts w:ascii="Arial" w:hAnsi="Arial" w:cs="Arial"/>
          <w:noProof/>
          <w:color w:val="000000" w:themeColor="text1"/>
          <w:sz w:val="20"/>
          <w:szCs w:val="24"/>
        </w:rPr>
        <w:t xml:space="preserve">Griggio F, Voskoboynik A, Iannelli F, Justy F, Tilak M-K, Xavier T, Pesole G, Douzery EJP, Mastrototaro F, Gissi C. 2014. Ascidian mitogenomics: comparison of evolutionary rates in closely related taxa provides evidence of ongoing speciation events. </w:t>
      </w:r>
      <w:r w:rsidRPr="00533EAC">
        <w:rPr>
          <w:rFonts w:ascii="Arial" w:hAnsi="Arial" w:cs="Arial"/>
          <w:i/>
          <w:iCs/>
          <w:noProof/>
          <w:color w:val="000000" w:themeColor="text1"/>
          <w:sz w:val="20"/>
          <w:szCs w:val="24"/>
        </w:rPr>
        <w:t>Genome Biology and Evolution</w:t>
      </w:r>
      <w:r w:rsidRPr="00533EAC">
        <w:rPr>
          <w:rFonts w:ascii="Arial" w:hAnsi="Arial" w:cs="Arial"/>
          <w:noProof/>
          <w:color w:val="000000" w:themeColor="text1"/>
          <w:sz w:val="20"/>
          <w:szCs w:val="24"/>
        </w:rPr>
        <w:t xml:space="preserve">, </w:t>
      </w:r>
      <w:r w:rsidRPr="00533EAC">
        <w:rPr>
          <w:rFonts w:ascii="Arial" w:hAnsi="Arial" w:cs="Arial"/>
          <w:i/>
          <w:iCs/>
          <w:noProof/>
          <w:color w:val="000000" w:themeColor="text1"/>
          <w:sz w:val="20"/>
          <w:szCs w:val="24"/>
        </w:rPr>
        <w:t>6</w:t>
      </w:r>
      <w:r w:rsidRPr="00533EAC">
        <w:rPr>
          <w:rFonts w:ascii="Arial" w:hAnsi="Arial" w:cs="Arial"/>
          <w:noProof/>
          <w:color w:val="000000" w:themeColor="text1"/>
          <w:sz w:val="20"/>
          <w:szCs w:val="24"/>
        </w:rPr>
        <w:t>(3), 591–605. https://doi.org/10.1093/gbe/evu041</w:t>
      </w:r>
    </w:p>
    <w:p w14:paraId="626C10F7" w14:textId="77777777" w:rsidR="00774474" w:rsidRPr="00533EAC" w:rsidRDefault="00774474" w:rsidP="00774474">
      <w:pPr>
        <w:widowControl w:val="0"/>
        <w:autoSpaceDE w:val="0"/>
        <w:autoSpaceDN w:val="0"/>
        <w:adjustRightInd w:val="0"/>
        <w:spacing w:after="0" w:line="360" w:lineRule="auto"/>
        <w:ind w:left="480" w:hanging="480"/>
        <w:rPr>
          <w:rFonts w:ascii="Arial" w:hAnsi="Arial" w:cs="Arial"/>
          <w:noProof/>
          <w:color w:val="000000" w:themeColor="text1"/>
          <w:sz w:val="20"/>
          <w:szCs w:val="24"/>
        </w:rPr>
      </w:pPr>
      <w:r w:rsidRPr="00533EAC">
        <w:rPr>
          <w:rFonts w:ascii="Arial" w:hAnsi="Arial" w:cs="Arial"/>
          <w:noProof/>
          <w:color w:val="000000" w:themeColor="text1"/>
          <w:sz w:val="20"/>
          <w:szCs w:val="24"/>
        </w:rPr>
        <w:t xml:space="preserve">Guiñez R, Castilla JC. 2001. An allometric tridimensional model of self-thinning for a gregarious tunicate. </w:t>
      </w:r>
      <w:r w:rsidRPr="00533EAC">
        <w:rPr>
          <w:rFonts w:ascii="Arial" w:hAnsi="Arial" w:cs="Arial"/>
          <w:i/>
          <w:iCs/>
          <w:noProof/>
          <w:color w:val="000000" w:themeColor="text1"/>
          <w:sz w:val="20"/>
          <w:szCs w:val="24"/>
        </w:rPr>
        <w:t>Ecology</w:t>
      </w:r>
      <w:r w:rsidRPr="00533EAC">
        <w:rPr>
          <w:rFonts w:ascii="Arial" w:hAnsi="Arial" w:cs="Arial"/>
          <w:noProof/>
          <w:color w:val="000000" w:themeColor="text1"/>
          <w:sz w:val="20"/>
          <w:szCs w:val="24"/>
        </w:rPr>
        <w:t xml:space="preserve">, </w:t>
      </w:r>
      <w:r w:rsidRPr="00533EAC">
        <w:rPr>
          <w:rFonts w:ascii="Arial" w:hAnsi="Arial" w:cs="Arial"/>
          <w:i/>
          <w:iCs/>
          <w:noProof/>
          <w:color w:val="000000" w:themeColor="text1"/>
          <w:sz w:val="20"/>
          <w:szCs w:val="24"/>
        </w:rPr>
        <w:t>82</w:t>
      </w:r>
      <w:r w:rsidRPr="00533EAC">
        <w:rPr>
          <w:rFonts w:ascii="Arial" w:hAnsi="Arial" w:cs="Arial"/>
          <w:noProof/>
          <w:color w:val="000000" w:themeColor="text1"/>
          <w:sz w:val="20"/>
          <w:szCs w:val="24"/>
        </w:rPr>
        <w:t>(8), 2331–2341. https://doi.org/10.1890/0012-9658(2001)082[2331:AATMOS]2.0.CO;2</w:t>
      </w:r>
    </w:p>
    <w:p w14:paraId="66D3BD3B" w14:textId="77777777" w:rsidR="00774474" w:rsidRPr="00533EAC" w:rsidRDefault="00774474" w:rsidP="00774474">
      <w:pPr>
        <w:widowControl w:val="0"/>
        <w:autoSpaceDE w:val="0"/>
        <w:autoSpaceDN w:val="0"/>
        <w:adjustRightInd w:val="0"/>
        <w:spacing w:after="0" w:line="360" w:lineRule="auto"/>
        <w:ind w:left="480" w:hanging="480"/>
        <w:rPr>
          <w:rFonts w:ascii="Arial" w:hAnsi="Arial" w:cs="Arial"/>
          <w:noProof/>
          <w:color w:val="000000" w:themeColor="text1"/>
          <w:sz w:val="20"/>
          <w:szCs w:val="24"/>
        </w:rPr>
      </w:pPr>
      <w:r w:rsidRPr="00533EAC">
        <w:rPr>
          <w:rFonts w:ascii="Arial" w:hAnsi="Arial" w:cs="Arial"/>
          <w:noProof/>
          <w:color w:val="000000" w:themeColor="text1"/>
          <w:sz w:val="20"/>
          <w:szCs w:val="24"/>
        </w:rPr>
        <w:t xml:space="preserve">Hancock JM, Zvelebil MJ, Hancock JM. 2004. PRIMER3. In </w:t>
      </w:r>
      <w:r w:rsidRPr="00533EAC">
        <w:rPr>
          <w:rFonts w:ascii="Arial" w:hAnsi="Arial" w:cs="Arial"/>
          <w:i/>
          <w:iCs/>
          <w:noProof/>
          <w:color w:val="000000" w:themeColor="text1"/>
          <w:sz w:val="20"/>
          <w:szCs w:val="24"/>
        </w:rPr>
        <w:t>Dictionary of Bioinformatics and Computational Biology</w:t>
      </w:r>
      <w:r w:rsidRPr="00533EAC">
        <w:rPr>
          <w:rFonts w:ascii="Arial" w:hAnsi="Arial" w:cs="Arial"/>
          <w:noProof/>
          <w:color w:val="000000" w:themeColor="text1"/>
          <w:sz w:val="20"/>
          <w:szCs w:val="24"/>
        </w:rPr>
        <w:t>. https://doi.org/10.1002/9780471650126.dob0560.pub2</w:t>
      </w:r>
    </w:p>
    <w:p w14:paraId="640F67AF" w14:textId="77777777" w:rsidR="00774474" w:rsidRPr="00533EAC" w:rsidRDefault="00774474" w:rsidP="00774474">
      <w:pPr>
        <w:widowControl w:val="0"/>
        <w:autoSpaceDE w:val="0"/>
        <w:autoSpaceDN w:val="0"/>
        <w:adjustRightInd w:val="0"/>
        <w:spacing w:after="0" w:line="360" w:lineRule="auto"/>
        <w:ind w:left="480" w:hanging="480"/>
        <w:rPr>
          <w:rFonts w:ascii="Arial" w:hAnsi="Arial" w:cs="Arial"/>
          <w:noProof/>
          <w:color w:val="000000" w:themeColor="text1"/>
          <w:sz w:val="20"/>
          <w:szCs w:val="24"/>
        </w:rPr>
      </w:pPr>
      <w:r w:rsidRPr="00533EAC">
        <w:rPr>
          <w:rFonts w:ascii="Arial" w:hAnsi="Arial" w:cs="Arial"/>
          <w:noProof/>
          <w:color w:val="000000" w:themeColor="text1"/>
          <w:sz w:val="20"/>
          <w:szCs w:val="24"/>
        </w:rPr>
        <w:t>Hanekom N, Harris JM, Branch GM, Allen JC. 1999. Mass mortality and recolonization of</w:t>
      </w:r>
      <w:r w:rsidRPr="00533EAC">
        <w:rPr>
          <w:rFonts w:ascii="Arial" w:hAnsi="Arial" w:cs="Arial"/>
          <w:i/>
          <w:iCs/>
          <w:noProof/>
          <w:color w:val="000000" w:themeColor="text1"/>
          <w:sz w:val="20"/>
          <w:szCs w:val="24"/>
        </w:rPr>
        <w:t xml:space="preserve"> Pyura stolonifera</w:t>
      </w:r>
      <w:r w:rsidRPr="00533EAC">
        <w:rPr>
          <w:rFonts w:ascii="Arial" w:hAnsi="Arial" w:cs="Arial"/>
          <w:noProof/>
          <w:color w:val="000000" w:themeColor="text1"/>
          <w:sz w:val="20"/>
          <w:szCs w:val="24"/>
        </w:rPr>
        <w:t xml:space="preserve"> (Heller) on the South Coast of South Africa. </w:t>
      </w:r>
      <w:r w:rsidRPr="00533EAC">
        <w:rPr>
          <w:rFonts w:ascii="Arial" w:hAnsi="Arial" w:cs="Arial"/>
          <w:i/>
          <w:iCs/>
          <w:noProof/>
          <w:color w:val="000000" w:themeColor="text1"/>
          <w:sz w:val="20"/>
          <w:szCs w:val="24"/>
        </w:rPr>
        <w:t>South African Journal of Marine Science</w:t>
      </w:r>
      <w:r w:rsidRPr="00533EAC">
        <w:rPr>
          <w:rFonts w:ascii="Arial" w:hAnsi="Arial" w:cs="Arial"/>
          <w:noProof/>
          <w:color w:val="000000" w:themeColor="text1"/>
          <w:sz w:val="20"/>
          <w:szCs w:val="24"/>
        </w:rPr>
        <w:t>, (21), 117–133. https://doi.org/10.2989/025776199784125953</w:t>
      </w:r>
    </w:p>
    <w:p w14:paraId="3E0989F4" w14:textId="77777777" w:rsidR="00774474" w:rsidRPr="00533EAC" w:rsidRDefault="00774474" w:rsidP="00774474">
      <w:pPr>
        <w:widowControl w:val="0"/>
        <w:autoSpaceDE w:val="0"/>
        <w:autoSpaceDN w:val="0"/>
        <w:adjustRightInd w:val="0"/>
        <w:spacing w:after="0" w:line="360" w:lineRule="auto"/>
        <w:ind w:left="480" w:hanging="480"/>
        <w:rPr>
          <w:rFonts w:ascii="Arial" w:hAnsi="Arial" w:cs="Arial"/>
          <w:noProof/>
          <w:color w:val="000000" w:themeColor="text1"/>
          <w:sz w:val="20"/>
          <w:szCs w:val="24"/>
        </w:rPr>
      </w:pPr>
      <w:r w:rsidRPr="00533EAC">
        <w:rPr>
          <w:rFonts w:ascii="Arial" w:hAnsi="Arial" w:cs="Arial"/>
          <w:noProof/>
          <w:color w:val="000000" w:themeColor="text1"/>
          <w:sz w:val="20"/>
          <w:szCs w:val="24"/>
        </w:rPr>
        <w:t xml:space="preserve">Hasegawa M, Kishino H, Yano T. 1984. Dating of the Human-Ape Splitting by a Molecular Clock. </w:t>
      </w:r>
      <w:r w:rsidRPr="00533EAC">
        <w:rPr>
          <w:rFonts w:ascii="Arial" w:hAnsi="Arial" w:cs="Arial"/>
          <w:i/>
          <w:iCs/>
          <w:noProof/>
          <w:color w:val="000000" w:themeColor="text1"/>
          <w:sz w:val="20"/>
          <w:szCs w:val="24"/>
        </w:rPr>
        <w:lastRenderedPageBreak/>
        <w:t>Japjgen</w:t>
      </w:r>
      <w:r w:rsidRPr="00533EAC">
        <w:rPr>
          <w:rFonts w:ascii="Arial" w:hAnsi="Arial" w:cs="Arial"/>
          <w:noProof/>
          <w:color w:val="000000" w:themeColor="text1"/>
          <w:sz w:val="20"/>
          <w:szCs w:val="24"/>
        </w:rPr>
        <w:t xml:space="preserve">, </w:t>
      </w:r>
      <w:r w:rsidRPr="00533EAC">
        <w:rPr>
          <w:rFonts w:ascii="Arial" w:hAnsi="Arial" w:cs="Arial"/>
          <w:i/>
          <w:iCs/>
          <w:noProof/>
          <w:color w:val="000000" w:themeColor="text1"/>
          <w:sz w:val="20"/>
          <w:szCs w:val="24"/>
        </w:rPr>
        <w:t>59</w:t>
      </w:r>
      <w:r w:rsidRPr="00533EAC">
        <w:rPr>
          <w:rFonts w:ascii="Arial" w:hAnsi="Arial" w:cs="Arial"/>
          <w:noProof/>
          <w:color w:val="000000" w:themeColor="text1"/>
          <w:sz w:val="20"/>
          <w:szCs w:val="24"/>
        </w:rPr>
        <w:t>(6), 616.</w:t>
      </w:r>
    </w:p>
    <w:p w14:paraId="0EFE2644" w14:textId="77777777" w:rsidR="00774474" w:rsidRPr="00533EAC" w:rsidRDefault="00774474" w:rsidP="00774474">
      <w:pPr>
        <w:widowControl w:val="0"/>
        <w:autoSpaceDE w:val="0"/>
        <w:autoSpaceDN w:val="0"/>
        <w:adjustRightInd w:val="0"/>
        <w:spacing w:after="0" w:line="360" w:lineRule="auto"/>
        <w:ind w:left="480" w:hanging="480"/>
        <w:rPr>
          <w:rFonts w:ascii="Arial" w:hAnsi="Arial" w:cs="Arial"/>
          <w:noProof/>
          <w:color w:val="000000" w:themeColor="text1"/>
          <w:sz w:val="20"/>
          <w:szCs w:val="24"/>
        </w:rPr>
      </w:pPr>
      <w:r w:rsidRPr="00533EAC">
        <w:rPr>
          <w:rFonts w:ascii="Arial" w:hAnsi="Arial" w:cs="Arial"/>
          <w:noProof/>
          <w:color w:val="000000" w:themeColor="text1"/>
          <w:sz w:val="20"/>
          <w:szCs w:val="24"/>
        </w:rPr>
        <w:t xml:space="preserve">Hawes NA, Tremblay LA, Pochon X, Dunphy B, Fidler AE, Smith KF. 2018. Effects of temperature and salinity stress on DNA methylation in a highly invasive marine invertebrate, the colonial ascidian </w:t>
      </w:r>
      <w:r w:rsidRPr="00533EAC">
        <w:rPr>
          <w:rFonts w:ascii="Arial" w:hAnsi="Arial" w:cs="Arial"/>
          <w:i/>
          <w:iCs/>
          <w:noProof/>
          <w:color w:val="000000" w:themeColor="text1"/>
          <w:sz w:val="20"/>
          <w:szCs w:val="24"/>
        </w:rPr>
        <w:t>Didemnum vexillum</w:t>
      </w:r>
      <w:r w:rsidRPr="00533EAC">
        <w:rPr>
          <w:rFonts w:ascii="Arial" w:hAnsi="Arial" w:cs="Arial"/>
          <w:noProof/>
          <w:color w:val="000000" w:themeColor="text1"/>
          <w:sz w:val="20"/>
          <w:szCs w:val="24"/>
        </w:rPr>
        <w:t xml:space="preserve">. </w:t>
      </w:r>
      <w:r w:rsidRPr="00533EAC">
        <w:rPr>
          <w:rFonts w:ascii="Arial" w:hAnsi="Arial" w:cs="Arial"/>
          <w:i/>
          <w:iCs/>
          <w:noProof/>
          <w:color w:val="000000" w:themeColor="text1"/>
          <w:sz w:val="20"/>
          <w:szCs w:val="24"/>
        </w:rPr>
        <w:t>PeerJ</w:t>
      </w:r>
      <w:r w:rsidRPr="00533EAC">
        <w:rPr>
          <w:rFonts w:ascii="Arial" w:hAnsi="Arial" w:cs="Arial"/>
          <w:noProof/>
          <w:color w:val="000000" w:themeColor="text1"/>
          <w:sz w:val="20"/>
          <w:szCs w:val="24"/>
        </w:rPr>
        <w:t xml:space="preserve">, </w:t>
      </w:r>
      <w:r w:rsidRPr="00533EAC">
        <w:rPr>
          <w:rFonts w:ascii="Arial" w:hAnsi="Arial" w:cs="Arial"/>
          <w:i/>
          <w:iCs/>
          <w:noProof/>
          <w:color w:val="000000" w:themeColor="text1"/>
          <w:sz w:val="20"/>
          <w:szCs w:val="24"/>
        </w:rPr>
        <w:t>6</w:t>
      </w:r>
      <w:r w:rsidRPr="00533EAC">
        <w:rPr>
          <w:rFonts w:ascii="Arial" w:hAnsi="Arial" w:cs="Arial"/>
          <w:noProof/>
          <w:color w:val="000000" w:themeColor="text1"/>
          <w:sz w:val="20"/>
          <w:szCs w:val="24"/>
        </w:rPr>
        <w:t>, e5003. https://doi.org/10.7717/peerj.5003</w:t>
      </w:r>
    </w:p>
    <w:p w14:paraId="5051317F" w14:textId="14B06640" w:rsidR="0025180E" w:rsidRPr="00533EAC" w:rsidRDefault="0025180E" w:rsidP="0025180E">
      <w:pPr>
        <w:widowControl w:val="0"/>
        <w:autoSpaceDE w:val="0"/>
        <w:autoSpaceDN w:val="0"/>
        <w:adjustRightInd w:val="0"/>
        <w:spacing w:after="0" w:line="360" w:lineRule="auto"/>
        <w:ind w:left="480" w:hanging="480"/>
        <w:rPr>
          <w:rFonts w:ascii="Arial" w:hAnsi="Arial" w:cs="Arial"/>
          <w:noProof/>
          <w:color w:val="000000" w:themeColor="text1"/>
          <w:sz w:val="20"/>
          <w:szCs w:val="24"/>
        </w:rPr>
      </w:pPr>
      <w:r w:rsidRPr="00533EAC">
        <w:rPr>
          <w:rFonts w:ascii="Arial" w:hAnsi="Arial" w:cs="Arial"/>
          <w:noProof/>
          <w:color w:val="000000" w:themeColor="text1"/>
          <w:sz w:val="20"/>
          <w:szCs w:val="24"/>
        </w:rPr>
        <w:t>Hudson J, McQuaid CD, Rius M (2021) Contemporary climate change hinders hybrid performance of ecologically dominant marine invertebrates. Journal of Evolutionary Biology, 34, 60-72</w:t>
      </w:r>
    </w:p>
    <w:p w14:paraId="470EC343" w14:textId="2F439FAB" w:rsidR="00774474" w:rsidRPr="00533EAC" w:rsidRDefault="00774474" w:rsidP="00774474">
      <w:pPr>
        <w:widowControl w:val="0"/>
        <w:autoSpaceDE w:val="0"/>
        <w:autoSpaceDN w:val="0"/>
        <w:adjustRightInd w:val="0"/>
        <w:spacing w:after="0" w:line="360" w:lineRule="auto"/>
        <w:ind w:left="480" w:hanging="480"/>
        <w:rPr>
          <w:rFonts w:ascii="Arial" w:hAnsi="Arial" w:cs="Arial"/>
          <w:noProof/>
          <w:color w:val="000000" w:themeColor="text1"/>
          <w:sz w:val="20"/>
          <w:szCs w:val="24"/>
        </w:rPr>
      </w:pPr>
      <w:r w:rsidRPr="00533EAC">
        <w:rPr>
          <w:rFonts w:ascii="Arial" w:hAnsi="Arial" w:cs="Arial"/>
          <w:noProof/>
          <w:color w:val="000000" w:themeColor="text1"/>
          <w:sz w:val="20"/>
          <w:szCs w:val="24"/>
        </w:rPr>
        <w:t xml:space="preserve">Hui M, Nuryanto A, Kochzius M. 2017. Concordance of microsatellite and mitochondrial DNA markers in detecting genetic population structure in the boring giant clam Tridacna crocea across the Indo-Malay Archipelago. </w:t>
      </w:r>
      <w:r w:rsidRPr="00533EAC">
        <w:rPr>
          <w:rFonts w:ascii="Arial" w:hAnsi="Arial" w:cs="Arial"/>
          <w:i/>
          <w:iCs/>
          <w:noProof/>
          <w:color w:val="000000" w:themeColor="text1"/>
          <w:sz w:val="20"/>
          <w:szCs w:val="24"/>
        </w:rPr>
        <w:t>Marine Ecology</w:t>
      </w:r>
      <w:r w:rsidRPr="00533EAC">
        <w:rPr>
          <w:rFonts w:ascii="Arial" w:hAnsi="Arial" w:cs="Arial"/>
          <w:noProof/>
          <w:color w:val="000000" w:themeColor="text1"/>
          <w:sz w:val="20"/>
          <w:szCs w:val="24"/>
        </w:rPr>
        <w:t xml:space="preserve">, </w:t>
      </w:r>
      <w:r w:rsidRPr="00533EAC">
        <w:rPr>
          <w:rFonts w:ascii="Arial" w:hAnsi="Arial" w:cs="Arial"/>
          <w:i/>
          <w:iCs/>
          <w:noProof/>
          <w:color w:val="000000" w:themeColor="text1"/>
          <w:sz w:val="20"/>
          <w:szCs w:val="24"/>
        </w:rPr>
        <w:t>38</w:t>
      </w:r>
      <w:r w:rsidRPr="00533EAC">
        <w:rPr>
          <w:rFonts w:ascii="Arial" w:hAnsi="Arial" w:cs="Arial"/>
          <w:noProof/>
          <w:color w:val="000000" w:themeColor="text1"/>
          <w:sz w:val="20"/>
          <w:szCs w:val="24"/>
        </w:rPr>
        <w:t>(1), e12389. https://doi.org/10.1111/maec.12389</w:t>
      </w:r>
    </w:p>
    <w:p w14:paraId="1C65C2E6" w14:textId="77777777" w:rsidR="00774474" w:rsidRPr="00533EAC" w:rsidRDefault="00774474" w:rsidP="00774474">
      <w:pPr>
        <w:widowControl w:val="0"/>
        <w:autoSpaceDE w:val="0"/>
        <w:autoSpaceDN w:val="0"/>
        <w:adjustRightInd w:val="0"/>
        <w:spacing w:after="0" w:line="360" w:lineRule="auto"/>
        <w:ind w:left="480" w:hanging="480"/>
        <w:rPr>
          <w:rFonts w:ascii="Arial" w:hAnsi="Arial" w:cs="Arial"/>
          <w:noProof/>
          <w:color w:val="000000" w:themeColor="text1"/>
          <w:sz w:val="20"/>
          <w:szCs w:val="24"/>
        </w:rPr>
      </w:pPr>
      <w:r w:rsidRPr="00533EAC">
        <w:rPr>
          <w:rFonts w:ascii="Arial" w:hAnsi="Arial" w:cs="Arial"/>
          <w:noProof/>
          <w:color w:val="000000" w:themeColor="text1"/>
          <w:sz w:val="20"/>
          <w:szCs w:val="24"/>
        </w:rPr>
        <w:t xml:space="preserve">Ip YCA, Tay YC, Gan SX, Ang HP, Tun K, Chou LM, Huang D, Meier R. 2019. From marine park to future genomic observatory? Enhancing marine biodiversity assessments using a biocode approach. </w:t>
      </w:r>
      <w:r w:rsidRPr="00533EAC">
        <w:rPr>
          <w:rFonts w:ascii="Arial" w:hAnsi="Arial" w:cs="Arial"/>
          <w:i/>
          <w:iCs/>
          <w:noProof/>
          <w:color w:val="000000" w:themeColor="text1"/>
          <w:sz w:val="20"/>
          <w:szCs w:val="24"/>
        </w:rPr>
        <w:t>Biodiversity Data Journal</w:t>
      </w:r>
      <w:r w:rsidRPr="00533EAC">
        <w:rPr>
          <w:rFonts w:ascii="Arial" w:hAnsi="Arial" w:cs="Arial"/>
          <w:noProof/>
          <w:color w:val="000000" w:themeColor="text1"/>
          <w:sz w:val="20"/>
          <w:szCs w:val="24"/>
        </w:rPr>
        <w:t xml:space="preserve">, </w:t>
      </w:r>
      <w:r w:rsidRPr="00533EAC">
        <w:rPr>
          <w:rFonts w:ascii="Arial" w:hAnsi="Arial" w:cs="Arial"/>
          <w:i/>
          <w:iCs/>
          <w:noProof/>
          <w:color w:val="000000" w:themeColor="text1"/>
          <w:sz w:val="20"/>
          <w:szCs w:val="24"/>
        </w:rPr>
        <w:t>7</w:t>
      </w:r>
      <w:r w:rsidRPr="00533EAC">
        <w:rPr>
          <w:rFonts w:ascii="Arial" w:hAnsi="Arial" w:cs="Arial"/>
          <w:noProof/>
          <w:color w:val="000000" w:themeColor="text1"/>
          <w:sz w:val="20"/>
          <w:szCs w:val="24"/>
        </w:rPr>
        <w:t>, e46833–e46833. https://doi.org/10.3897/BDJ.7.E46833</w:t>
      </w:r>
    </w:p>
    <w:p w14:paraId="06F2B811" w14:textId="77777777" w:rsidR="00774474" w:rsidRPr="00533EAC" w:rsidRDefault="00774474" w:rsidP="00774474">
      <w:pPr>
        <w:widowControl w:val="0"/>
        <w:autoSpaceDE w:val="0"/>
        <w:autoSpaceDN w:val="0"/>
        <w:adjustRightInd w:val="0"/>
        <w:spacing w:after="0" w:line="360" w:lineRule="auto"/>
        <w:ind w:left="480" w:hanging="480"/>
        <w:rPr>
          <w:rFonts w:ascii="Arial" w:hAnsi="Arial" w:cs="Arial"/>
          <w:noProof/>
          <w:color w:val="000000" w:themeColor="text1"/>
          <w:sz w:val="20"/>
          <w:szCs w:val="24"/>
        </w:rPr>
      </w:pPr>
      <w:r w:rsidRPr="00533EAC">
        <w:rPr>
          <w:rFonts w:ascii="Arial" w:hAnsi="Arial" w:cs="Arial"/>
          <w:noProof/>
          <w:color w:val="000000" w:themeColor="text1"/>
          <w:sz w:val="20"/>
          <w:szCs w:val="24"/>
        </w:rPr>
        <w:t xml:space="preserve">Jooste CM, Oliver J, Emami-Khoyi A, Teske PR. 2018. Is the Wild Coast in eastern South Africa a distinct marine bioregion? </w:t>
      </w:r>
      <w:r w:rsidRPr="00533EAC">
        <w:rPr>
          <w:rFonts w:ascii="Arial" w:hAnsi="Arial" w:cs="Arial"/>
          <w:i/>
          <w:iCs/>
          <w:noProof/>
          <w:color w:val="000000" w:themeColor="text1"/>
          <w:sz w:val="20"/>
          <w:szCs w:val="24"/>
        </w:rPr>
        <w:t>Helgoland Marine Research</w:t>
      </w:r>
      <w:r w:rsidRPr="00533EAC">
        <w:rPr>
          <w:rFonts w:ascii="Arial" w:hAnsi="Arial" w:cs="Arial"/>
          <w:noProof/>
          <w:color w:val="000000" w:themeColor="text1"/>
          <w:sz w:val="20"/>
          <w:szCs w:val="24"/>
        </w:rPr>
        <w:t xml:space="preserve">, </w:t>
      </w:r>
      <w:r w:rsidRPr="00533EAC">
        <w:rPr>
          <w:rFonts w:ascii="Arial" w:hAnsi="Arial" w:cs="Arial"/>
          <w:i/>
          <w:iCs/>
          <w:noProof/>
          <w:color w:val="000000" w:themeColor="text1"/>
          <w:sz w:val="20"/>
          <w:szCs w:val="24"/>
        </w:rPr>
        <w:t>72</w:t>
      </w:r>
      <w:r w:rsidRPr="00533EAC">
        <w:rPr>
          <w:rFonts w:ascii="Arial" w:hAnsi="Arial" w:cs="Arial"/>
          <w:noProof/>
          <w:color w:val="000000" w:themeColor="text1"/>
          <w:sz w:val="20"/>
          <w:szCs w:val="24"/>
        </w:rPr>
        <w:t>(1). https://doi.org/10.1186/s10152-018-0509-3</w:t>
      </w:r>
    </w:p>
    <w:p w14:paraId="288C14BB" w14:textId="77777777" w:rsidR="00774474" w:rsidRPr="00533EAC" w:rsidRDefault="00774474" w:rsidP="00774474">
      <w:pPr>
        <w:widowControl w:val="0"/>
        <w:autoSpaceDE w:val="0"/>
        <w:autoSpaceDN w:val="0"/>
        <w:adjustRightInd w:val="0"/>
        <w:spacing w:after="0" w:line="360" w:lineRule="auto"/>
        <w:ind w:left="480" w:hanging="480"/>
        <w:rPr>
          <w:rFonts w:ascii="Arial" w:hAnsi="Arial" w:cs="Arial"/>
          <w:noProof/>
          <w:color w:val="000000" w:themeColor="text1"/>
          <w:sz w:val="20"/>
          <w:szCs w:val="24"/>
        </w:rPr>
      </w:pPr>
      <w:r w:rsidRPr="00533EAC">
        <w:rPr>
          <w:rFonts w:ascii="Arial" w:hAnsi="Arial" w:cs="Arial"/>
          <w:noProof/>
          <w:color w:val="000000" w:themeColor="text1"/>
          <w:sz w:val="20"/>
          <w:szCs w:val="24"/>
        </w:rPr>
        <w:t xml:space="preserve">Kearse M, Moir R, Wilson A, Stones-Havas S, Cheung M, Sturrock S, Buxton S, Cooper A, Markowitz S, Duran C, Thierer T, Ashton B, Meintjes P, Drummond A. 2012. Geneious Basic: An integrated and extendable desktop software platform for the organization and analysis of sequence data. </w:t>
      </w:r>
      <w:r w:rsidRPr="00533EAC">
        <w:rPr>
          <w:rFonts w:ascii="Arial" w:hAnsi="Arial" w:cs="Arial"/>
          <w:i/>
          <w:iCs/>
          <w:noProof/>
          <w:color w:val="000000" w:themeColor="text1"/>
          <w:sz w:val="20"/>
          <w:szCs w:val="24"/>
        </w:rPr>
        <w:t>Bioinformatics</w:t>
      </w:r>
      <w:r w:rsidRPr="00533EAC">
        <w:rPr>
          <w:rFonts w:ascii="Arial" w:hAnsi="Arial" w:cs="Arial"/>
          <w:noProof/>
          <w:color w:val="000000" w:themeColor="text1"/>
          <w:sz w:val="20"/>
          <w:szCs w:val="24"/>
        </w:rPr>
        <w:t xml:space="preserve">, </w:t>
      </w:r>
      <w:r w:rsidRPr="00533EAC">
        <w:rPr>
          <w:rFonts w:ascii="Arial" w:hAnsi="Arial" w:cs="Arial"/>
          <w:i/>
          <w:iCs/>
          <w:noProof/>
          <w:color w:val="000000" w:themeColor="text1"/>
          <w:sz w:val="20"/>
          <w:szCs w:val="24"/>
        </w:rPr>
        <w:t>28</w:t>
      </w:r>
      <w:r w:rsidRPr="00533EAC">
        <w:rPr>
          <w:rFonts w:ascii="Arial" w:hAnsi="Arial" w:cs="Arial"/>
          <w:noProof/>
          <w:color w:val="000000" w:themeColor="text1"/>
          <w:sz w:val="20"/>
          <w:szCs w:val="24"/>
        </w:rPr>
        <w:t>(12), 1647–1649. https://doi.org/10.1093/bioinformatics/bts199</w:t>
      </w:r>
    </w:p>
    <w:p w14:paraId="21041863" w14:textId="77777777" w:rsidR="00774474" w:rsidRPr="00533EAC" w:rsidRDefault="00774474" w:rsidP="00774474">
      <w:pPr>
        <w:widowControl w:val="0"/>
        <w:autoSpaceDE w:val="0"/>
        <w:autoSpaceDN w:val="0"/>
        <w:adjustRightInd w:val="0"/>
        <w:spacing w:after="0" w:line="360" w:lineRule="auto"/>
        <w:ind w:left="480" w:hanging="480"/>
        <w:rPr>
          <w:rFonts w:ascii="Arial" w:hAnsi="Arial" w:cs="Arial"/>
          <w:noProof/>
          <w:color w:val="000000" w:themeColor="text1"/>
          <w:sz w:val="20"/>
          <w:szCs w:val="24"/>
        </w:rPr>
      </w:pPr>
      <w:r w:rsidRPr="00533EAC">
        <w:rPr>
          <w:rFonts w:ascii="Arial" w:hAnsi="Arial" w:cs="Arial"/>
          <w:noProof/>
          <w:color w:val="000000" w:themeColor="text1"/>
          <w:sz w:val="20"/>
          <w:szCs w:val="24"/>
        </w:rPr>
        <w:t xml:space="preserve">Klein JD, Bester-van der Merwe AE, Dicken ML, Emami-Khoyi A, Mmonwa KL, Teske PR. 2019. Genomic resources for the spotted ragged-tooth shark </w:t>
      </w:r>
      <w:r w:rsidRPr="00533EAC">
        <w:rPr>
          <w:rFonts w:ascii="Arial" w:hAnsi="Arial" w:cs="Arial"/>
          <w:i/>
          <w:iCs/>
          <w:noProof/>
          <w:color w:val="000000" w:themeColor="text1"/>
          <w:sz w:val="20"/>
          <w:szCs w:val="24"/>
        </w:rPr>
        <w:t>Carcharias taurus</w:t>
      </w:r>
      <w:r w:rsidRPr="00533EAC">
        <w:rPr>
          <w:rFonts w:ascii="Arial" w:hAnsi="Arial" w:cs="Arial"/>
          <w:noProof/>
          <w:color w:val="000000" w:themeColor="text1"/>
          <w:sz w:val="20"/>
          <w:szCs w:val="24"/>
        </w:rPr>
        <w:t xml:space="preserve">. </w:t>
      </w:r>
      <w:r w:rsidRPr="00533EAC">
        <w:rPr>
          <w:rFonts w:ascii="Arial" w:hAnsi="Arial" w:cs="Arial"/>
          <w:i/>
          <w:iCs/>
          <w:noProof/>
          <w:color w:val="000000" w:themeColor="text1"/>
          <w:sz w:val="20"/>
          <w:szCs w:val="24"/>
        </w:rPr>
        <w:t>African Journal of Marine Science</w:t>
      </w:r>
      <w:r w:rsidRPr="00533EAC">
        <w:rPr>
          <w:rFonts w:ascii="Arial" w:hAnsi="Arial" w:cs="Arial"/>
          <w:noProof/>
          <w:color w:val="000000" w:themeColor="text1"/>
          <w:sz w:val="20"/>
          <w:szCs w:val="24"/>
        </w:rPr>
        <w:t xml:space="preserve">, </w:t>
      </w:r>
      <w:r w:rsidRPr="00533EAC">
        <w:rPr>
          <w:rFonts w:ascii="Arial" w:hAnsi="Arial" w:cs="Arial"/>
          <w:i/>
          <w:iCs/>
          <w:noProof/>
          <w:color w:val="000000" w:themeColor="text1"/>
          <w:sz w:val="20"/>
          <w:szCs w:val="24"/>
        </w:rPr>
        <w:t>41</w:t>
      </w:r>
      <w:r w:rsidRPr="00533EAC">
        <w:rPr>
          <w:rFonts w:ascii="Arial" w:hAnsi="Arial" w:cs="Arial"/>
          <w:noProof/>
          <w:color w:val="000000" w:themeColor="text1"/>
          <w:sz w:val="20"/>
          <w:szCs w:val="24"/>
        </w:rPr>
        <w:t>(1), 115–118. https://doi.org/10.2989/1814232X.2019.1576541</w:t>
      </w:r>
    </w:p>
    <w:p w14:paraId="35284843" w14:textId="77777777" w:rsidR="00774474" w:rsidRPr="00533EAC" w:rsidRDefault="00774474" w:rsidP="00774474">
      <w:pPr>
        <w:widowControl w:val="0"/>
        <w:autoSpaceDE w:val="0"/>
        <w:autoSpaceDN w:val="0"/>
        <w:adjustRightInd w:val="0"/>
        <w:spacing w:after="0" w:line="360" w:lineRule="auto"/>
        <w:ind w:left="480" w:hanging="480"/>
        <w:rPr>
          <w:rFonts w:ascii="Arial" w:hAnsi="Arial" w:cs="Arial"/>
          <w:noProof/>
          <w:color w:val="000000" w:themeColor="text1"/>
          <w:sz w:val="20"/>
          <w:szCs w:val="24"/>
        </w:rPr>
      </w:pPr>
      <w:r w:rsidRPr="00533EAC">
        <w:rPr>
          <w:rFonts w:ascii="Arial" w:hAnsi="Arial" w:cs="Arial"/>
          <w:noProof/>
          <w:color w:val="000000" w:themeColor="text1"/>
          <w:sz w:val="20"/>
          <w:szCs w:val="24"/>
        </w:rPr>
        <w:t xml:space="preserve">Kumar S, Stecher G, Tamura K. 2016. MEGA7: Molecular Evolutionary Genetics Analysis Version 7.0 for Bigger Datasets. </w:t>
      </w:r>
      <w:r w:rsidRPr="00533EAC">
        <w:rPr>
          <w:rFonts w:ascii="Arial" w:hAnsi="Arial" w:cs="Arial"/>
          <w:i/>
          <w:iCs/>
          <w:noProof/>
          <w:color w:val="000000" w:themeColor="text1"/>
          <w:sz w:val="20"/>
          <w:szCs w:val="24"/>
        </w:rPr>
        <w:t>Molecular Biology and Evolution</w:t>
      </w:r>
      <w:r w:rsidRPr="00533EAC">
        <w:rPr>
          <w:rFonts w:ascii="Arial" w:hAnsi="Arial" w:cs="Arial"/>
          <w:noProof/>
          <w:color w:val="000000" w:themeColor="text1"/>
          <w:sz w:val="20"/>
          <w:szCs w:val="24"/>
        </w:rPr>
        <w:t xml:space="preserve">, </w:t>
      </w:r>
      <w:r w:rsidRPr="00533EAC">
        <w:rPr>
          <w:rFonts w:ascii="Arial" w:hAnsi="Arial" w:cs="Arial"/>
          <w:i/>
          <w:iCs/>
          <w:noProof/>
          <w:color w:val="000000" w:themeColor="text1"/>
          <w:sz w:val="20"/>
          <w:szCs w:val="24"/>
        </w:rPr>
        <w:t>33</w:t>
      </w:r>
      <w:r w:rsidRPr="00533EAC">
        <w:rPr>
          <w:rFonts w:ascii="Arial" w:hAnsi="Arial" w:cs="Arial"/>
          <w:noProof/>
          <w:color w:val="000000" w:themeColor="text1"/>
          <w:sz w:val="20"/>
          <w:szCs w:val="24"/>
        </w:rPr>
        <w:t>(7), 1870–1874. https://doi.org/10.1093/molbev/msw054</w:t>
      </w:r>
    </w:p>
    <w:p w14:paraId="6568F1F4" w14:textId="77777777" w:rsidR="00774474" w:rsidRPr="00533EAC" w:rsidRDefault="00774474" w:rsidP="00774474">
      <w:pPr>
        <w:widowControl w:val="0"/>
        <w:autoSpaceDE w:val="0"/>
        <w:autoSpaceDN w:val="0"/>
        <w:adjustRightInd w:val="0"/>
        <w:spacing w:after="0" w:line="360" w:lineRule="auto"/>
        <w:ind w:left="480" w:hanging="480"/>
        <w:rPr>
          <w:rFonts w:ascii="Arial" w:hAnsi="Arial" w:cs="Arial"/>
          <w:noProof/>
          <w:color w:val="000000" w:themeColor="text1"/>
          <w:sz w:val="20"/>
          <w:szCs w:val="24"/>
        </w:rPr>
      </w:pPr>
      <w:r w:rsidRPr="00533EAC">
        <w:rPr>
          <w:rFonts w:ascii="Arial" w:hAnsi="Arial" w:cs="Arial"/>
          <w:noProof/>
          <w:color w:val="000000" w:themeColor="text1"/>
          <w:sz w:val="20"/>
          <w:szCs w:val="24"/>
        </w:rPr>
        <w:t xml:space="preserve">Lafargue F, Wahl M. 1986. Contribution to the knowledge of littoral ascidians (Ascidiacea, Tunicata) of the Senegalese coast. </w:t>
      </w:r>
      <w:r w:rsidRPr="00533EAC">
        <w:rPr>
          <w:rFonts w:ascii="Arial" w:hAnsi="Arial" w:cs="Arial"/>
          <w:i/>
          <w:iCs/>
          <w:noProof/>
          <w:color w:val="000000" w:themeColor="text1"/>
          <w:sz w:val="20"/>
          <w:szCs w:val="24"/>
        </w:rPr>
        <w:t>Bulletin de l’Institut Français d’Afrique Noire</w:t>
      </w:r>
      <w:r w:rsidRPr="00533EAC">
        <w:rPr>
          <w:rFonts w:ascii="Arial" w:hAnsi="Arial" w:cs="Arial"/>
          <w:noProof/>
          <w:color w:val="000000" w:themeColor="text1"/>
          <w:sz w:val="20"/>
          <w:szCs w:val="24"/>
        </w:rPr>
        <w:t xml:space="preserve">, </w:t>
      </w:r>
      <w:r w:rsidRPr="00533EAC">
        <w:rPr>
          <w:rFonts w:ascii="Arial" w:hAnsi="Arial" w:cs="Arial"/>
          <w:i/>
          <w:iCs/>
          <w:noProof/>
          <w:color w:val="000000" w:themeColor="text1"/>
          <w:sz w:val="20"/>
          <w:szCs w:val="24"/>
        </w:rPr>
        <w:t>46A</w:t>
      </w:r>
      <w:r w:rsidRPr="00533EAC">
        <w:rPr>
          <w:rFonts w:ascii="Arial" w:hAnsi="Arial" w:cs="Arial"/>
          <w:noProof/>
          <w:color w:val="000000" w:themeColor="text1"/>
          <w:sz w:val="20"/>
          <w:szCs w:val="24"/>
        </w:rPr>
        <w:t>(3–4), 385–402.</w:t>
      </w:r>
    </w:p>
    <w:p w14:paraId="0616FFA7" w14:textId="77777777" w:rsidR="00774474" w:rsidRPr="00533EAC" w:rsidRDefault="00774474" w:rsidP="00774474">
      <w:pPr>
        <w:widowControl w:val="0"/>
        <w:autoSpaceDE w:val="0"/>
        <w:autoSpaceDN w:val="0"/>
        <w:adjustRightInd w:val="0"/>
        <w:spacing w:after="0" w:line="360" w:lineRule="auto"/>
        <w:ind w:left="480" w:hanging="480"/>
        <w:rPr>
          <w:rFonts w:ascii="Arial" w:hAnsi="Arial" w:cs="Arial"/>
          <w:noProof/>
          <w:color w:val="000000" w:themeColor="text1"/>
          <w:sz w:val="20"/>
          <w:szCs w:val="24"/>
        </w:rPr>
      </w:pPr>
      <w:r w:rsidRPr="00533EAC">
        <w:rPr>
          <w:rFonts w:ascii="Arial" w:hAnsi="Arial" w:cs="Arial"/>
          <w:noProof/>
          <w:color w:val="000000" w:themeColor="text1"/>
          <w:sz w:val="20"/>
          <w:szCs w:val="24"/>
        </w:rPr>
        <w:t xml:space="preserve">Lawton JH, Jones CG. 1995. Linking Species and Ecosystems: Organisms as Ecosystem Engineers. In Jones Clive G. &amp; J. H. and Lawton (Eds.), </w:t>
      </w:r>
      <w:r w:rsidRPr="00533EAC">
        <w:rPr>
          <w:rFonts w:ascii="Arial" w:hAnsi="Arial" w:cs="Arial"/>
          <w:i/>
          <w:iCs/>
          <w:noProof/>
          <w:color w:val="000000" w:themeColor="text1"/>
          <w:sz w:val="20"/>
          <w:szCs w:val="24"/>
        </w:rPr>
        <w:t>Linking Species &amp; Ecosystems</w:t>
      </w:r>
      <w:r w:rsidRPr="00533EAC">
        <w:rPr>
          <w:rFonts w:ascii="Arial" w:hAnsi="Arial" w:cs="Arial"/>
          <w:noProof/>
          <w:color w:val="000000" w:themeColor="text1"/>
          <w:sz w:val="20"/>
          <w:szCs w:val="24"/>
        </w:rPr>
        <w:t xml:space="preserve"> (pp. 141–150). https://doi.org/10.1007/978-1-4615-1773-3_14</w:t>
      </w:r>
    </w:p>
    <w:p w14:paraId="3B5A4D42" w14:textId="77777777" w:rsidR="00774474" w:rsidRPr="00533EAC" w:rsidRDefault="00774474" w:rsidP="00774474">
      <w:pPr>
        <w:widowControl w:val="0"/>
        <w:autoSpaceDE w:val="0"/>
        <w:autoSpaceDN w:val="0"/>
        <w:adjustRightInd w:val="0"/>
        <w:spacing w:after="0" w:line="360" w:lineRule="auto"/>
        <w:ind w:left="480" w:hanging="480"/>
        <w:rPr>
          <w:rFonts w:ascii="Arial" w:hAnsi="Arial" w:cs="Arial"/>
          <w:noProof/>
          <w:color w:val="000000" w:themeColor="text1"/>
          <w:sz w:val="20"/>
          <w:szCs w:val="24"/>
        </w:rPr>
      </w:pPr>
      <w:r w:rsidRPr="00533EAC">
        <w:rPr>
          <w:rFonts w:ascii="Arial" w:hAnsi="Arial" w:cs="Arial"/>
          <w:noProof/>
          <w:color w:val="000000" w:themeColor="text1"/>
          <w:sz w:val="20"/>
          <w:szCs w:val="24"/>
        </w:rPr>
        <w:t xml:space="preserve">Loo L-O, Rosenberg R. 1996. Production and energy budget in marine suspension feeding populations: </w:t>
      </w:r>
      <w:r w:rsidRPr="00533EAC">
        <w:rPr>
          <w:rFonts w:ascii="Arial" w:hAnsi="Arial" w:cs="Arial"/>
          <w:i/>
          <w:iCs/>
          <w:noProof/>
          <w:color w:val="000000" w:themeColor="text1"/>
          <w:sz w:val="20"/>
          <w:szCs w:val="24"/>
        </w:rPr>
        <w:t>Mytilus edulis</w:t>
      </w:r>
      <w:r w:rsidRPr="00533EAC">
        <w:rPr>
          <w:rFonts w:ascii="Arial" w:hAnsi="Arial" w:cs="Arial"/>
          <w:noProof/>
          <w:color w:val="000000" w:themeColor="text1"/>
          <w:sz w:val="20"/>
          <w:szCs w:val="24"/>
        </w:rPr>
        <w:t xml:space="preserve">, </w:t>
      </w:r>
      <w:r w:rsidRPr="00533EAC">
        <w:rPr>
          <w:rFonts w:ascii="Arial" w:hAnsi="Arial" w:cs="Arial"/>
          <w:i/>
          <w:iCs/>
          <w:noProof/>
          <w:color w:val="000000" w:themeColor="text1"/>
          <w:sz w:val="20"/>
          <w:szCs w:val="24"/>
        </w:rPr>
        <w:t>Cerastoderma edule</w:t>
      </w:r>
      <w:r w:rsidRPr="00533EAC">
        <w:rPr>
          <w:rFonts w:ascii="Arial" w:hAnsi="Arial" w:cs="Arial"/>
          <w:noProof/>
          <w:color w:val="000000" w:themeColor="text1"/>
          <w:sz w:val="20"/>
          <w:szCs w:val="24"/>
        </w:rPr>
        <w:t xml:space="preserve">, </w:t>
      </w:r>
      <w:r w:rsidRPr="00533EAC">
        <w:rPr>
          <w:rFonts w:ascii="Arial" w:hAnsi="Arial" w:cs="Arial"/>
          <w:i/>
          <w:iCs/>
          <w:noProof/>
          <w:color w:val="000000" w:themeColor="text1"/>
          <w:sz w:val="20"/>
          <w:szCs w:val="24"/>
        </w:rPr>
        <w:t>Mya arenaria</w:t>
      </w:r>
      <w:r w:rsidRPr="00533EAC">
        <w:rPr>
          <w:rFonts w:ascii="Arial" w:hAnsi="Arial" w:cs="Arial"/>
          <w:noProof/>
          <w:color w:val="000000" w:themeColor="text1"/>
          <w:sz w:val="20"/>
          <w:szCs w:val="24"/>
        </w:rPr>
        <w:t xml:space="preserve"> and </w:t>
      </w:r>
      <w:r w:rsidRPr="00533EAC">
        <w:rPr>
          <w:rFonts w:ascii="Arial" w:hAnsi="Arial" w:cs="Arial"/>
          <w:i/>
          <w:iCs/>
          <w:noProof/>
          <w:color w:val="000000" w:themeColor="text1"/>
          <w:sz w:val="20"/>
          <w:szCs w:val="24"/>
        </w:rPr>
        <w:t>Amphiura filiformis</w:t>
      </w:r>
      <w:r w:rsidRPr="00533EAC">
        <w:rPr>
          <w:rFonts w:ascii="Arial" w:hAnsi="Arial" w:cs="Arial"/>
          <w:noProof/>
          <w:color w:val="000000" w:themeColor="text1"/>
          <w:sz w:val="20"/>
          <w:szCs w:val="24"/>
        </w:rPr>
        <w:t xml:space="preserve">. </w:t>
      </w:r>
      <w:r w:rsidRPr="00533EAC">
        <w:rPr>
          <w:rFonts w:ascii="Arial" w:hAnsi="Arial" w:cs="Arial"/>
          <w:i/>
          <w:iCs/>
          <w:noProof/>
          <w:color w:val="000000" w:themeColor="text1"/>
          <w:sz w:val="20"/>
          <w:szCs w:val="24"/>
        </w:rPr>
        <w:t>Journal of Sea Research</w:t>
      </w:r>
      <w:r w:rsidRPr="00533EAC">
        <w:rPr>
          <w:rFonts w:ascii="Arial" w:hAnsi="Arial" w:cs="Arial"/>
          <w:noProof/>
          <w:color w:val="000000" w:themeColor="text1"/>
          <w:sz w:val="20"/>
          <w:szCs w:val="24"/>
        </w:rPr>
        <w:t xml:space="preserve">, </w:t>
      </w:r>
      <w:r w:rsidRPr="00533EAC">
        <w:rPr>
          <w:rFonts w:ascii="Arial" w:hAnsi="Arial" w:cs="Arial"/>
          <w:i/>
          <w:iCs/>
          <w:noProof/>
          <w:color w:val="000000" w:themeColor="text1"/>
          <w:sz w:val="20"/>
          <w:szCs w:val="24"/>
        </w:rPr>
        <w:t>35</w:t>
      </w:r>
      <w:r w:rsidRPr="00533EAC">
        <w:rPr>
          <w:rFonts w:ascii="Arial" w:hAnsi="Arial" w:cs="Arial"/>
          <w:noProof/>
          <w:color w:val="000000" w:themeColor="text1"/>
          <w:sz w:val="20"/>
          <w:szCs w:val="24"/>
        </w:rPr>
        <w:t>(1–3), 199–207. https://doi.org/10.1016/S1385-1101(96)90747-9</w:t>
      </w:r>
    </w:p>
    <w:p w14:paraId="1252C189" w14:textId="77777777" w:rsidR="00774474" w:rsidRPr="00533EAC" w:rsidRDefault="00774474" w:rsidP="00774474">
      <w:pPr>
        <w:widowControl w:val="0"/>
        <w:autoSpaceDE w:val="0"/>
        <w:autoSpaceDN w:val="0"/>
        <w:adjustRightInd w:val="0"/>
        <w:spacing w:after="0" w:line="360" w:lineRule="auto"/>
        <w:ind w:left="480" w:hanging="480"/>
        <w:rPr>
          <w:rFonts w:ascii="Arial" w:hAnsi="Arial" w:cs="Arial"/>
          <w:noProof/>
          <w:color w:val="000000" w:themeColor="text1"/>
          <w:sz w:val="20"/>
          <w:szCs w:val="24"/>
        </w:rPr>
      </w:pPr>
      <w:r w:rsidRPr="00533EAC">
        <w:rPr>
          <w:rFonts w:ascii="Arial" w:hAnsi="Arial" w:cs="Arial"/>
          <w:noProof/>
          <w:color w:val="000000" w:themeColor="text1"/>
          <w:sz w:val="20"/>
          <w:szCs w:val="24"/>
        </w:rPr>
        <w:t xml:space="preserve">Manríquez PH, Castilla JC, Ortiz V, Jara ME. 2016. Empirical evidence for large-scale human impact on intertidal aggregations, larval supply and recruitment of </w:t>
      </w:r>
      <w:r w:rsidRPr="00533EAC">
        <w:rPr>
          <w:rFonts w:ascii="Arial" w:hAnsi="Arial" w:cs="Arial"/>
          <w:i/>
          <w:iCs/>
          <w:noProof/>
          <w:color w:val="000000" w:themeColor="text1"/>
          <w:sz w:val="20"/>
          <w:szCs w:val="24"/>
        </w:rPr>
        <w:t>Pyura praeputialis</w:t>
      </w:r>
      <w:r w:rsidRPr="00533EAC">
        <w:rPr>
          <w:rFonts w:ascii="Arial" w:hAnsi="Arial" w:cs="Arial"/>
          <w:noProof/>
          <w:color w:val="000000" w:themeColor="text1"/>
          <w:sz w:val="20"/>
          <w:szCs w:val="24"/>
        </w:rPr>
        <w:t xml:space="preserve"> around the Bay of Antofagasta, Chile. </w:t>
      </w:r>
      <w:r w:rsidRPr="00533EAC">
        <w:rPr>
          <w:rFonts w:ascii="Arial" w:hAnsi="Arial" w:cs="Arial"/>
          <w:i/>
          <w:iCs/>
          <w:noProof/>
          <w:color w:val="000000" w:themeColor="text1"/>
          <w:sz w:val="20"/>
          <w:szCs w:val="24"/>
        </w:rPr>
        <w:t>Austral Ecology</w:t>
      </w:r>
      <w:r w:rsidRPr="00533EAC">
        <w:rPr>
          <w:rFonts w:ascii="Arial" w:hAnsi="Arial" w:cs="Arial"/>
          <w:noProof/>
          <w:color w:val="000000" w:themeColor="text1"/>
          <w:sz w:val="20"/>
          <w:szCs w:val="24"/>
        </w:rPr>
        <w:t xml:space="preserve">, </w:t>
      </w:r>
      <w:r w:rsidRPr="00533EAC">
        <w:rPr>
          <w:rFonts w:ascii="Arial" w:hAnsi="Arial" w:cs="Arial"/>
          <w:i/>
          <w:iCs/>
          <w:noProof/>
          <w:color w:val="000000" w:themeColor="text1"/>
          <w:sz w:val="20"/>
          <w:szCs w:val="24"/>
        </w:rPr>
        <w:t>41</w:t>
      </w:r>
      <w:r w:rsidRPr="00533EAC">
        <w:rPr>
          <w:rFonts w:ascii="Arial" w:hAnsi="Arial" w:cs="Arial"/>
          <w:noProof/>
          <w:color w:val="000000" w:themeColor="text1"/>
          <w:sz w:val="20"/>
          <w:szCs w:val="24"/>
        </w:rPr>
        <w:t>(6), 701–714. https://doi.org/10.1111/aec.12359</w:t>
      </w:r>
    </w:p>
    <w:p w14:paraId="0BD74F1C" w14:textId="77777777" w:rsidR="00774474" w:rsidRPr="00533EAC" w:rsidRDefault="00774474" w:rsidP="00774474">
      <w:pPr>
        <w:widowControl w:val="0"/>
        <w:autoSpaceDE w:val="0"/>
        <w:autoSpaceDN w:val="0"/>
        <w:adjustRightInd w:val="0"/>
        <w:spacing w:after="0" w:line="360" w:lineRule="auto"/>
        <w:ind w:left="480" w:hanging="480"/>
        <w:rPr>
          <w:rFonts w:ascii="Arial" w:hAnsi="Arial" w:cs="Arial"/>
          <w:noProof/>
          <w:color w:val="000000" w:themeColor="text1"/>
          <w:sz w:val="20"/>
          <w:szCs w:val="24"/>
        </w:rPr>
      </w:pPr>
      <w:r w:rsidRPr="00533EAC">
        <w:rPr>
          <w:rFonts w:ascii="Arial" w:hAnsi="Arial" w:cs="Arial"/>
          <w:noProof/>
          <w:color w:val="000000" w:themeColor="text1"/>
          <w:sz w:val="20"/>
          <w:szCs w:val="24"/>
        </w:rPr>
        <w:t xml:space="preserve">McQuaid C, Branch G. 1985. Trophic structure of rocky intertidal communities response to wave action and implications for energy flow. </w:t>
      </w:r>
      <w:r w:rsidRPr="00533EAC">
        <w:rPr>
          <w:rFonts w:ascii="Arial" w:hAnsi="Arial" w:cs="Arial"/>
          <w:i/>
          <w:iCs/>
          <w:noProof/>
          <w:color w:val="000000" w:themeColor="text1"/>
          <w:sz w:val="20"/>
          <w:szCs w:val="24"/>
        </w:rPr>
        <w:t>Marine Ecology Progress Series</w:t>
      </w:r>
      <w:r w:rsidRPr="00533EAC">
        <w:rPr>
          <w:rFonts w:ascii="Arial" w:hAnsi="Arial" w:cs="Arial"/>
          <w:noProof/>
          <w:color w:val="000000" w:themeColor="text1"/>
          <w:sz w:val="20"/>
          <w:szCs w:val="24"/>
        </w:rPr>
        <w:t xml:space="preserve">, </w:t>
      </w:r>
      <w:r w:rsidRPr="00533EAC">
        <w:rPr>
          <w:rFonts w:ascii="Arial" w:hAnsi="Arial" w:cs="Arial"/>
          <w:i/>
          <w:iCs/>
          <w:noProof/>
          <w:color w:val="000000" w:themeColor="text1"/>
          <w:sz w:val="20"/>
          <w:szCs w:val="24"/>
        </w:rPr>
        <w:t>22</w:t>
      </w:r>
      <w:r w:rsidRPr="00533EAC">
        <w:rPr>
          <w:rFonts w:ascii="Arial" w:hAnsi="Arial" w:cs="Arial"/>
          <w:noProof/>
          <w:color w:val="000000" w:themeColor="text1"/>
          <w:sz w:val="20"/>
          <w:szCs w:val="24"/>
        </w:rPr>
        <w:t>, 153–161. https://doi.org/10.3354/meps022153</w:t>
      </w:r>
    </w:p>
    <w:p w14:paraId="5E028A56" w14:textId="77777777" w:rsidR="00774474" w:rsidRPr="00533EAC" w:rsidRDefault="00774474" w:rsidP="00774474">
      <w:pPr>
        <w:widowControl w:val="0"/>
        <w:autoSpaceDE w:val="0"/>
        <w:autoSpaceDN w:val="0"/>
        <w:adjustRightInd w:val="0"/>
        <w:spacing w:after="0" w:line="360" w:lineRule="auto"/>
        <w:ind w:left="480" w:hanging="480"/>
        <w:rPr>
          <w:rFonts w:ascii="Arial" w:hAnsi="Arial" w:cs="Arial"/>
          <w:noProof/>
          <w:color w:val="000000" w:themeColor="text1"/>
          <w:sz w:val="20"/>
          <w:szCs w:val="24"/>
        </w:rPr>
      </w:pPr>
      <w:r w:rsidRPr="00533EAC">
        <w:rPr>
          <w:rFonts w:ascii="Arial" w:hAnsi="Arial" w:cs="Arial"/>
          <w:noProof/>
          <w:color w:val="000000" w:themeColor="text1"/>
          <w:sz w:val="20"/>
          <w:szCs w:val="24"/>
        </w:rPr>
        <w:t xml:space="preserve">Meglécz E, Costedoat C, Dubut V, Gilles A, Malausa T, Pech N, Martin JF. 2009. QDD: A user-friendly program to select microsatellite markers and design primers from large sequencing projects. </w:t>
      </w:r>
      <w:r w:rsidRPr="00533EAC">
        <w:rPr>
          <w:rFonts w:ascii="Arial" w:hAnsi="Arial" w:cs="Arial"/>
          <w:i/>
          <w:iCs/>
          <w:noProof/>
          <w:color w:val="000000" w:themeColor="text1"/>
          <w:sz w:val="20"/>
          <w:szCs w:val="24"/>
        </w:rPr>
        <w:lastRenderedPageBreak/>
        <w:t>Bioinformatics</w:t>
      </w:r>
      <w:r w:rsidRPr="00533EAC">
        <w:rPr>
          <w:rFonts w:ascii="Arial" w:hAnsi="Arial" w:cs="Arial"/>
          <w:noProof/>
          <w:color w:val="000000" w:themeColor="text1"/>
          <w:sz w:val="20"/>
          <w:szCs w:val="24"/>
        </w:rPr>
        <w:t xml:space="preserve">, </w:t>
      </w:r>
      <w:r w:rsidRPr="00533EAC">
        <w:rPr>
          <w:rFonts w:ascii="Arial" w:hAnsi="Arial" w:cs="Arial"/>
          <w:i/>
          <w:iCs/>
          <w:noProof/>
          <w:color w:val="000000" w:themeColor="text1"/>
          <w:sz w:val="20"/>
          <w:szCs w:val="24"/>
        </w:rPr>
        <w:t>26</w:t>
      </w:r>
      <w:r w:rsidRPr="00533EAC">
        <w:rPr>
          <w:rFonts w:ascii="Arial" w:hAnsi="Arial" w:cs="Arial"/>
          <w:noProof/>
          <w:color w:val="000000" w:themeColor="text1"/>
          <w:sz w:val="20"/>
          <w:szCs w:val="24"/>
        </w:rPr>
        <w:t>(3), 403–404. https://doi.org/10.1093/bioinformatics/btp670</w:t>
      </w:r>
    </w:p>
    <w:p w14:paraId="2281E2AE" w14:textId="77777777" w:rsidR="00774474" w:rsidRPr="00533EAC" w:rsidRDefault="00774474" w:rsidP="00774474">
      <w:pPr>
        <w:widowControl w:val="0"/>
        <w:autoSpaceDE w:val="0"/>
        <w:autoSpaceDN w:val="0"/>
        <w:adjustRightInd w:val="0"/>
        <w:spacing w:after="0" w:line="360" w:lineRule="auto"/>
        <w:ind w:left="480" w:hanging="480"/>
        <w:rPr>
          <w:rFonts w:ascii="Arial" w:hAnsi="Arial" w:cs="Arial"/>
          <w:noProof/>
          <w:color w:val="000000" w:themeColor="text1"/>
          <w:sz w:val="20"/>
          <w:szCs w:val="24"/>
        </w:rPr>
      </w:pPr>
      <w:r w:rsidRPr="00533EAC">
        <w:rPr>
          <w:rFonts w:ascii="Arial" w:hAnsi="Arial" w:cs="Arial"/>
          <w:noProof/>
          <w:color w:val="000000" w:themeColor="text1"/>
          <w:sz w:val="20"/>
          <w:szCs w:val="24"/>
        </w:rPr>
        <w:t xml:space="preserve">Miller DD, Ota Y, Sumaila UR, Cisneros-Montemayor AM, Cheung WWL. 2018. Adaptation strategies to climate change in marine systems. </w:t>
      </w:r>
      <w:r w:rsidRPr="00533EAC">
        <w:rPr>
          <w:rFonts w:ascii="Arial" w:hAnsi="Arial" w:cs="Arial"/>
          <w:i/>
          <w:iCs/>
          <w:noProof/>
          <w:color w:val="000000" w:themeColor="text1"/>
          <w:sz w:val="20"/>
          <w:szCs w:val="24"/>
        </w:rPr>
        <w:t>Global Change Biology</w:t>
      </w:r>
      <w:r w:rsidRPr="00533EAC">
        <w:rPr>
          <w:rFonts w:ascii="Arial" w:hAnsi="Arial" w:cs="Arial"/>
          <w:noProof/>
          <w:color w:val="000000" w:themeColor="text1"/>
          <w:sz w:val="20"/>
          <w:szCs w:val="24"/>
        </w:rPr>
        <w:t xml:space="preserve">, </w:t>
      </w:r>
      <w:r w:rsidRPr="00533EAC">
        <w:rPr>
          <w:rFonts w:ascii="Arial" w:hAnsi="Arial" w:cs="Arial"/>
          <w:i/>
          <w:iCs/>
          <w:noProof/>
          <w:color w:val="000000" w:themeColor="text1"/>
          <w:sz w:val="20"/>
          <w:szCs w:val="24"/>
        </w:rPr>
        <w:t>24</w:t>
      </w:r>
      <w:r w:rsidRPr="00533EAC">
        <w:rPr>
          <w:rFonts w:ascii="Arial" w:hAnsi="Arial" w:cs="Arial"/>
          <w:noProof/>
          <w:color w:val="000000" w:themeColor="text1"/>
          <w:sz w:val="20"/>
          <w:szCs w:val="24"/>
        </w:rPr>
        <w:t>(1), e1–e14. https://doi.org/10.1111/gcb.13829</w:t>
      </w:r>
    </w:p>
    <w:p w14:paraId="6BE1F417" w14:textId="77777777" w:rsidR="00774474" w:rsidRPr="00533EAC" w:rsidRDefault="00774474" w:rsidP="00774474">
      <w:pPr>
        <w:widowControl w:val="0"/>
        <w:autoSpaceDE w:val="0"/>
        <w:autoSpaceDN w:val="0"/>
        <w:adjustRightInd w:val="0"/>
        <w:spacing w:after="0" w:line="360" w:lineRule="auto"/>
        <w:ind w:left="480" w:hanging="480"/>
        <w:rPr>
          <w:rFonts w:ascii="Arial" w:hAnsi="Arial" w:cs="Arial"/>
          <w:noProof/>
          <w:color w:val="000000" w:themeColor="text1"/>
          <w:sz w:val="20"/>
          <w:szCs w:val="24"/>
        </w:rPr>
      </w:pPr>
      <w:r w:rsidRPr="00533EAC">
        <w:rPr>
          <w:rFonts w:ascii="Arial" w:hAnsi="Arial" w:cs="Arial"/>
          <w:noProof/>
          <w:color w:val="000000" w:themeColor="text1"/>
          <w:sz w:val="20"/>
          <w:szCs w:val="24"/>
        </w:rPr>
        <w:t xml:space="preserve">Monniot C, Bitar G. 1983. Sur la presence de Pyura stolonifera (Tunicata, Ascidiacea) a ras achaccar (cot Nord Atlantique Marocaine). Comparaison anatomique distinctive avec Pyura praeputialis. </w:t>
      </w:r>
      <w:r w:rsidRPr="00533EAC">
        <w:rPr>
          <w:rFonts w:ascii="Arial" w:hAnsi="Arial" w:cs="Arial"/>
          <w:i/>
          <w:iCs/>
          <w:noProof/>
          <w:color w:val="000000" w:themeColor="text1"/>
          <w:sz w:val="20"/>
          <w:szCs w:val="24"/>
        </w:rPr>
        <w:t>Bulletin de l’Institut Scientifique,</w:t>
      </w:r>
      <w:r w:rsidRPr="00533EAC">
        <w:rPr>
          <w:rFonts w:ascii="Arial" w:hAnsi="Arial" w:cs="Arial"/>
          <w:noProof/>
          <w:color w:val="000000" w:themeColor="text1"/>
          <w:sz w:val="20"/>
          <w:szCs w:val="24"/>
        </w:rPr>
        <w:t xml:space="preserve"> </w:t>
      </w:r>
      <w:r w:rsidRPr="00533EAC">
        <w:rPr>
          <w:rFonts w:ascii="Arial" w:hAnsi="Arial" w:cs="Arial"/>
          <w:i/>
          <w:iCs/>
          <w:noProof/>
          <w:color w:val="000000" w:themeColor="text1"/>
          <w:sz w:val="20"/>
          <w:szCs w:val="24"/>
        </w:rPr>
        <w:t>7</w:t>
      </w:r>
      <w:r w:rsidRPr="00533EAC">
        <w:rPr>
          <w:rFonts w:ascii="Arial" w:hAnsi="Arial" w:cs="Arial"/>
          <w:noProof/>
          <w:color w:val="000000" w:themeColor="text1"/>
          <w:sz w:val="20"/>
          <w:szCs w:val="24"/>
        </w:rPr>
        <w:t>(Rabat), 83–91. https://doi.org/10.1007/s13398-014-0173-7.2</w:t>
      </w:r>
    </w:p>
    <w:p w14:paraId="565E101D" w14:textId="77777777" w:rsidR="00774474" w:rsidRPr="00533EAC" w:rsidRDefault="00774474" w:rsidP="00774474">
      <w:pPr>
        <w:widowControl w:val="0"/>
        <w:autoSpaceDE w:val="0"/>
        <w:autoSpaceDN w:val="0"/>
        <w:adjustRightInd w:val="0"/>
        <w:spacing w:after="0" w:line="360" w:lineRule="auto"/>
        <w:ind w:left="480" w:hanging="480"/>
        <w:rPr>
          <w:rFonts w:ascii="Arial" w:hAnsi="Arial" w:cs="Arial"/>
          <w:noProof/>
          <w:color w:val="000000" w:themeColor="text1"/>
          <w:sz w:val="20"/>
          <w:szCs w:val="24"/>
        </w:rPr>
      </w:pPr>
      <w:r w:rsidRPr="00533EAC">
        <w:rPr>
          <w:rFonts w:ascii="Arial" w:hAnsi="Arial" w:cs="Arial"/>
          <w:noProof/>
          <w:color w:val="000000" w:themeColor="text1"/>
          <w:sz w:val="20"/>
          <w:szCs w:val="24"/>
        </w:rPr>
        <w:t xml:space="preserve">Monteiro SM, Chapman MG, Underwood AJ. 2002. Patches of the ascidian Pyura stolonifera (Heller, 1878): Structure of habitat and associated intertidal assemblages. </w:t>
      </w:r>
      <w:r w:rsidRPr="00533EAC">
        <w:rPr>
          <w:rFonts w:ascii="Arial" w:hAnsi="Arial" w:cs="Arial"/>
          <w:i/>
          <w:iCs/>
          <w:noProof/>
          <w:color w:val="000000" w:themeColor="text1"/>
          <w:sz w:val="20"/>
          <w:szCs w:val="24"/>
        </w:rPr>
        <w:t>Journal of Experimental Marine Biology and Ecology</w:t>
      </w:r>
      <w:r w:rsidRPr="00533EAC">
        <w:rPr>
          <w:rFonts w:ascii="Arial" w:hAnsi="Arial" w:cs="Arial"/>
          <w:noProof/>
          <w:color w:val="000000" w:themeColor="text1"/>
          <w:sz w:val="20"/>
          <w:szCs w:val="24"/>
        </w:rPr>
        <w:t xml:space="preserve">, </w:t>
      </w:r>
      <w:r w:rsidRPr="00533EAC">
        <w:rPr>
          <w:rFonts w:ascii="Arial" w:hAnsi="Arial" w:cs="Arial"/>
          <w:i/>
          <w:iCs/>
          <w:noProof/>
          <w:color w:val="000000" w:themeColor="text1"/>
          <w:sz w:val="20"/>
          <w:szCs w:val="24"/>
        </w:rPr>
        <w:t>270</w:t>
      </w:r>
      <w:r w:rsidRPr="00533EAC">
        <w:rPr>
          <w:rFonts w:ascii="Arial" w:hAnsi="Arial" w:cs="Arial"/>
          <w:noProof/>
          <w:color w:val="000000" w:themeColor="text1"/>
          <w:sz w:val="20"/>
          <w:szCs w:val="24"/>
        </w:rPr>
        <w:t>(2), 171–189. https://doi.org/10.1016/S0022-0981(02)00020-5</w:t>
      </w:r>
    </w:p>
    <w:p w14:paraId="719D08D1" w14:textId="77777777" w:rsidR="00774474" w:rsidRPr="00533EAC" w:rsidRDefault="00774474" w:rsidP="00774474">
      <w:pPr>
        <w:widowControl w:val="0"/>
        <w:autoSpaceDE w:val="0"/>
        <w:autoSpaceDN w:val="0"/>
        <w:adjustRightInd w:val="0"/>
        <w:spacing w:after="0" w:line="360" w:lineRule="auto"/>
        <w:ind w:left="480" w:hanging="480"/>
        <w:rPr>
          <w:rFonts w:ascii="Arial" w:hAnsi="Arial" w:cs="Arial"/>
          <w:noProof/>
          <w:color w:val="000000" w:themeColor="text1"/>
          <w:sz w:val="20"/>
          <w:szCs w:val="24"/>
        </w:rPr>
      </w:pPr>
      <w:r w:rsidRPr="00533EAC">
        <w:rPr>
          <w:rFonts w:ascii="Arial" w:hAnsi="Arial" w:cs="Arial"/>
          <w:noProof/>
          <w:color w:val="000000" w:themeColor="text1"/>
          <w:sz w:val="20"/>
          <w:szCs w:val="24"/>
        </w:rPr>
        <w:t xml:space="preserve">Peakall R, Smouse PE. 2012. GenALEx 6.5: Genetic analysis in Excel. Population genetic software for teaching and research-an update. </w:t>
      </w:r>
      <w:r w:rsidRPr="00533EAC">
        <w:rPr>
          <w:rFonts w:ascii="Arial" w:hAnsi="Arial" w:cs="Arial"/>
          <w:i/>
          <w:iCs/>
          <w:noProof/>
          <w:color w:val="000000" w:themeColor="text1"/>
          <w:sz w:val="20"/>
          <w:szCs w:val="24"/>
        </w:rPr>
        <w:t>Bioinformatics</w:t>
      </w:r>
      <w:r w:rsidRPr="00533EAC">
        <w:rPr>
          <w:rFonts w:ascii="Arial" w:hAnsi="Arial" w:cs="Arial"/>
          <w:noProof/>
          <w:color w:val="000000" w:themeColor="text1"/>
          <w:sz w:val="20"/>
          <w:szCs w:val="24"/>
        </w:rPr>
        <w:t xml:space="preserve">, </w:t>
      </w:r>
      <w:r w:rsidRPr="00533EAC">
        <w:rPr>
          <w:rFonts w:ascii="Arial" w:hAnsi="Arial" w:cs="Arial"/>
          <w:i/>
          <w:iCs/>
          <w:noProof/>
          <w:color w:val="000000" w:themeColor="text1"/>
          <w:sz w:val="20"/>
          <w:szCs w:val="24"/>
        </w:rPr>
        <w:t>28</w:t>
      </w:r>
      <w:r w:rsidRPr="00533EAC">
        <w:rPr>
          <w:rFonts w:ascii="Arial" w:hAnsi="Arial" w:cs="Arial"/>
          <w:noProof/>
          <w:color w:val="000000" w:themeColor="text1"/>
          <w:sz w:val="20"/>
          <w:szCs w:val="24"/>
        </w:rPr>
        <w:t>(19), 2537–2539. https://doi.org/10.1093/bioinformatics/bts460</w:t>
      </w:r>
    </w:p>
    <w:p w14:paraId="3068236D" w14:textId="77777777" w:rsidR="00774474" w:rsidRPr="00533EAC" w:rsidRDefault="00774474" w:rsidP="00774474">
      <w:pPr>
        <w:widowControl w:val="0"/>
        <w:autoSpaceDE w:val="0"/>
        <w:autoSpaceDN w:val="0"/>
        <w:adjustRightInd w:val="0"/>
        <w:spacing w:after="0" w:line="360" w:lineRule="auto"/>
        <w:ind w:left="480" w:hanging="480"/>
        <w:rPr>
          <w:rFonts w:ascii="Arial" w:hAnsi="Arial" w:cs="Arial"/>
          <w:noProof/>
          <w:color w:val="000000" w:themeColor="text1"/>
          <w:sz w:val="20"/>
          <w:szCs w:val="24"/>
        </w:rPr>
      </w:pPr>
      <w:r w:rsidRPr="00533EAC">
        <w:rPr>
          <w:rFonts w:ascii="Arial" w:hAnsi="Arial" w:cs="Arial"/>
          <w:noProof/>
          <w:color w:val="000000" w:themeColor="text1"/>
          <w:sz w:val="20"/>
          <w:szCs w:val="24"/>
        </w:rPr>
        <w:t xml:space="preserve">Pirog A, Ravigné V, Fontaine MC, Rieux A, Gilabert A, Cliff G, Clua E, Daly R, Heithaus MR, Kiszka JJ, Matich P, Nevill JEG, Smoothey AF, Temple AJ, Berggren P, Jaquemet S, Magalon H. 2019. Population structure, connectivity, and demographic history of an apex marine predator, the bull shark Carcharhinus leucas. </w:t>
      </w:r>
      <w:r w:rsidRPr="00533EAC">
        <w:rPr>
          <w:rFonts w:ascii="Arial" w:hAnsi="Arial" w:cs="Arial"/>
          <w:i/>
          <w:iCs/>
          <w:noProof/>
          <w:color w:val="000000" w:themeColor="text1"/>
          <w:sz w:val="20"/>
          <w:szCs w:val="24"/>
        </w:rPr>
        <w:t>Ecology and Evolution</w:t>
      </w:r>
      <w:r w:rsidRPr="00533EAC">
        <w:rPr>
          <w:rFonts w:ascii="Arial" w:hAnsi="Arial" w:cs="Arial"/>
          <w:noProof/>
          <w:color w:val="000000" w:themeColor="text1"/>
          <w:sz w:val="20"/>
          <w:szCs w:val="24"/>
        </w:rPr>
        <w:t xml:space="preserve">, </w:t>
      </w:r>
      <w:r w:rsidRPr="00533EAC">
        <w:rPr>
          <w:rFonts w:ascii="Arial" w:hAnsi="Arial" w:cs="Arial"/>
          <w:i/>
          <w:iCs/>
          <w:noProof/>
          <w:color w:val="000000" w:themeColor="text1"/>
          <w:sz w:val="20"/>
          <w:szCs w:val="24"/>
        </w:rPr>
        <w:t>9</w:t>
      </w:r>
      <w:r w:rsidRPr="00533EAC">
        <w:rPr>
          <w:rFonts w:ascii="Arial" w:hAnsi="Arial" w:cs="Arial"/>
          <w:noProof/>
          <w:color w:val="000000" w:themeColor="text1"/>
          <w:sz w:val="20"/>
          <w:szCs w:val="24"/>
        </w:rPr>
        <w:t>(23), 12980–13000. https://doi.org/10.1002/ece3.5597</w:t>
      </w:r>
    </w:p>
    <w:p w14:paraId="2623DCD9" w14:textId="77777777" w:rsidR="00774474" w:rsidRPr="00533EAC" w:rsidRDefault="00774474" w:rsidP="00774474">
      <w:pPr>
        <w:widowControl w:val="0"/>
        <w:autoSpaceDE w:val="0"/>
        <w:autoSpaceDN w:val="0"/>
        <w:adjustRightInd w:val="0"/>
        <w:spacing w:after="0" w:line="360" w:lineRule="auto"/>
        <w:ind w:left="480" w:hanging="480"/>
        <w:rPr>
          <w:rFonts w:ascii="Arial" w:hAnsi="Arial" w:cs="Arial"/>
          <w:noProof/>
          <w:color w:val="000000" w:themeColor="text1"/>
          <w:sz w:val="20"/>
          <w:szCs w:val="24"/>
        </w:rPr>
      </w:pPr>
      <w:r w:rsidRPr="00533EAC">
        <w:rPr>
          <w:rFonts w:ascii="Arial" w:hAnsi="Arial" w:cs="Arial"/>
          <w:noProof/>
          <w:color w:val="000000" w:themeColor="text1"/>
          <w:sz w:val="20"/>
          <w:szCs w:val="24"/>
        </w:rPr>
        <w:t xml:space="preserve">Pope LC, Sharp A, Moritz C. 1996. Population structure of the yellow-footed rock-wallaby </w:t>
      </w:r>
      <w:r w:rsidRPr="00533EAC">
        <w:rPr>
          <w:rFonts w:ascii="Arial" w:hAnsi="Arial" w:cs="Arial"/>
          <w:i/>
          <w:iCs/>
          <w:noProof/>
          <w:color w:val="000000" w:themeColor="text1"/>
          <w:sz w:val="20"/>
          <w:szCs w:val="24"/>
        </w:rPr>
        <w:t>Petrogale xanthopus</w:t>
      </w:r>
      <w:r w:rsidRPr="00533EAC">
        <w:rPr>
          <w:rFonts w:ascii="Arial" w:hAnsi="Arial" w:cs="Arial"/>
          <w:noProof/>
          <w:color w:val="000000" w:themeColor="text1"/>
          <w:sz w:val="20"/>
          <w:szCs w:val="24"/>
        </w:rPr>
        <w:t xml:space="preserve"> (Gray, 1854) inferred from mtDNA sequences and microsatellite loci. </w:t>
      </w:r>
      <w:r w:rsidRPr="00533EAC">
        <w:rPr>
          <w:rFonts w:ascii="Arial" w:hAnsi="Arial" w:cs="Arial"/>
          <w:i/>
          <w:iCs/>
          <w:noProof/>
          <w:color w:val="000000" w:themeColor="text1"/>
          <w:sz w:val="20"/>
          <w:szCs w:val="24"/>
        </w:rPr>
        <w:t>Molecular Ecology</w:t>
      </w:r>
      <w:r w:rsidRPr="00533EAC">
        <w:rPr>
          <w:rFonts w:ascii="Arial" w:hAnsi="Arial" w:cs="Arial"/>
          <w:noProof/>
          <w:color w:val="000000" w:themeColor="text1"/>
          <w:sz w:val="20"/>
          <w:szCs w:val="24"/>
        </w:rPr>
        <w:t xml:space="preserve">, </w:t>
      </w:r>
      <w:r w:rsidRPr="00533EAC">
        <w:rPr>
          <w:rFonts w:ascii="Arial" w:hAnsi="Arial" w:cs="Arial"/>
          <w:i/>
          <w:iCs/>
          <w:noProof/>
          <w:color w:val="000000" w:themeColor="text1"/>
          <w:sz w:val="20"/>
          <w:szCs w:val="24"/>
        </w:rPr>
        <w:t>5</w:t>
      </w:r>
      <w:r w:rsidRPr="00533EAC">
        <w:rPr>
          <w:rFonts w:ascii="Arial" w:hAnsi="Arial" w:cs="Arial"/>
          <w:noProof/>
          <w:color w:val="000000" w:themeColor="text1"/>
          <w:sz w:val="20"/>
          <w:szCs w:val="24"/>
        </w:rPr>
        <w:t>(5), 629–640. https://doi.org/10.1111/j.1365-294X.1996.tb00358.x</w:t>
      </w:r>
    </w:p>
    <w:p w14:paraId="48DC38EA" w14:textId="77777777" w:rsidR="00774474" w:rsidRPr="00533EAC" w:rsidRDefault="00774474" w:rsidP="00774474">
      <w:pPr>
        <w:widowControl w:val="0"/>
        <w:autoSpaceDE w:val="0"/>
        <w:autoSpaceDN w:val="0"/>
        <w:adjustRightInd w:val="0"/>
        <w:spacing w:after="0" w:line="360" w:lineRule="auto"/>
        <w:ind w:left="480" w:hanging="480"/>
        <w:rPr>
          <w:rFonts w:ascii="Arial" w:hAnsi="Arial" w:cs="Arial"/>
          <w:noProof/>
          <w:color w:val="000000" w:themeColor="text1"/>
          <w:sz w:val="20"/>
          <w:szCs w:val="24"/>
        </w:rPr>
      </w:pPr>
      <w:r w:rsidRPr="00533EAC">
        <w:rPr>
          <w:rFonts w:ascii="Arial" w:hAnsi="Arial" w:cs="Arial"/>
          <w:noProof/>
          <w:color w:val="000000" w:themeColor="text1"/>
          <w:sz w:val="20"/>
          <w:szCs w:val="24"/>
        </w:rPr>
        <w:t xml:space="preserve">Popova E, Yool A, Byfield V, Cochrane K, Coward AC, Salim SS, Gasalla MA, Henson SA, Hobday AJ, Pecl GT, Sauer WH, Roberts MJ. 2016. From global to regional and back again: Common climate stressors of marine ecosystems relevant for adaptation across five ocean warming hotspots. </w:t>
      </w:r>
      <w:r w:rsidRPr="00533EAC">
        <w:rPr>
          <w:rFonts w:ascii="Arial" w:hAnsi="Arial" w:cs="Arial"/>
          <w:i/>
          <w:iCs/>
          <w:noProof/>
          <w:color w:val="000000" w:themeColor="text1"/>
          <w:sz w:val="20"/>
          <w:szCs w:val="24"/>
        </w:rPr>
        <w:t>Global Change Biology</w:t>
      </w:r>
      <w:r w:rsidRPr="00533EAC">
        <w:rPr>
          <w:rFonts w:ascii="Arial" w:hAnsi="Arial" w:cs="Arial"/>
          <w:noProof/>
          <w:color w:val="000000" w:themeColor="text1"/>
          <w:sz w:val="20"/>
          <w:szCs w:val="24"/>
        </w:rPr>
        <w:t xml:space="preserve">, </w:t>
      </w:r>
      <w:r w:rsidRPr="00533EAC">
        <w:rPr>
          <w:rFonts w:ascii="Arial" w:hAnsi="Arial" w:cs="Arial"/>
          <w:i/>
          <w:iCs/>
          <w:noProof/>
          <w:color w:val="000000" w:themeColor="text1"/>
          <w:sz w:val="20"/>
          <w:szCs w:val="24"/>
        </w:rPr>
        <w:t>22</w:t>
      </w:r>
      <w:r w:rsidRPr="00533EAC">
        <w:rPr>
          <w:rFonts w:ascii="Arial" w:hAnsi="Arial" w:cs="Arial"/>
          <w:noProof/>
          <w:color w:val="000000" w:themeColor="text1"/>
          <w:sz w:val="20"/>
          <w:szCs w:val="24"/>
        </w:rPr>
        <w:t>(6), 2038–2053. https://doi.org/10.1111/gcb.13247</w:t>
      </w:r>
    </w:p>
    <w:p w14:paraId="438038CE" w14:textId="77777777" w:rsidR="00774474" w:rsidRPr="00533EAC" w:rsidRDefault="00774474" w:rsidP="00774474">
      <w:pPr>
        <w:widowControl w:val="0"/>
        <w:autoSpaceDE w:val="0"/>
        <w:autoSpaceDN w:val="0"/>
        <w:adjustRightInd w:val="0"/>
        <w:spacing w:after="0" w:line="360" w:lineRule="auto"/>
        <w:ind w:left="480" w:hanging="480"/>
        <w:rPr>
          <w:rFonts w:ascii="Arial" w:hAnsi="Arial" w:cs="Arial"/>
          <w:noProof/>
          <w:color w:val="000000" w:themeColor="text1"/>
          <w:sz w:val="20"/>
          <w:szCs w:val="24"/>
        </w:rPr>
      </w:pPr>
      <w:r w:rsidRPr="00533EAC">
        <w:rPr>
          <w:rFonts w:ascii="Arial" w:hAnsi="Arial" w:cs="Arial"/>
          <w:noProof/>
          <w:color w:val="000000" w:themeColor="text1"/>
          <w:sz w:val="20"/>
          <w:szCs w:val="24"/>
        </w:rPr>
        <w:t xml:space="preserve">Rambaut A, Drummond AJ. 2019. </w:t>
      </w:r>
      <w:r w:rsidRPr="00533EAC">
        <w:rPr>
          <w:rFonts w:ascii="Arial" w:hAnsi="Arial" w:cs="Arial"/>
          <w:i/>
          <w:iCs/>
          <w:noProof/>
          <w:color w:val="000000" w:themeColor="text1"/>
          <w:sz w:val="20"/>
          <w:szCs w:val="24"/>
        </w:rPr>
        <w:t>FigTree v1. 4.3. 2016</w:t>
      </w:r>
      <w:r w:rsidRPr="00533EAC">
        <w:rPr>
          <w:rFonts w:ascii="Arial" w:hAnsi="Arial" w:cs="Arial"/>
          <w:noProof/>
          <w:color w:val="000000" w:themeColor="text1"/>
          <w:sz w:val="20"/>
          <w:szCs w:val="24"/>
        </w:rPr>
        <w:t>.</w:t>
      </w:r>
    </w:p>
    <w:p w14:paraId="291021D6" w14:textId="77777777" w:rsidR="00774474" w:rsidRPr="00533EAC" w:rsidRDefault="00774474" w:rsidP="00774474">
      <w:pPr>
        <w:widowControl w:val="0"/>
        <w:autoSpaceDE w:val="0"/>
        <w:autoSpaceDN w:val="0"/>
        <w:adjustRightInd w:val="0"/>
        <w:spacing w:after="0" w:line="360" w:lineRule="auto"/>
        <w:ind w:left="480" w:hanging="480"/>
        <w:rPr>
          <w:rFonts w:ascii="Arial" w:hAnsi="Arial" w:cs="Arial"/>
          <w:noProof/>
          <w:color w:val="000000" w:themeColor="text1"/>
          <w:sz w:val="20"/>
          <w:szCs w:val="24"/>
        </w:rPr>
      </w:pPr>
      <w:r w:rsidRPr="00533EAC">
        <w:rPr>
          <w:rFonts w:ascii="Arial" w:hAnsi="Arial" w:cs="Arial"/>
          <w:noProof/>
          <w:color w:val="000000" w:themeColor="text1"/>
          <w:sz w:val="20"/>
          <w:szCs w:val="24"/>
        </w:rPr>
        <w:t xml:space="preserve">Rice WR. 2006. Analyzing Tables of Statistical Tests. </w:t>
      </w:r>
      <w:r w:rsidRPr="00533EAC">
        <w:rPr>
          <w:rFonts w:ascii="Arial" w:hAnsi="Arial" w:cs="Arial"/>
          <w:i/>
          <w:iCs/>
          <w:noProof/>
          <w:color w:val="000000" w:themeColor="text1"/>
          <w:sz w:val="20"/>
          <w:szCs w:val="24"/>
        </w:rPr>
        <w:t>Evolution</w:t>
      </w:r>
      <w:r w:rsidRPr="00533EAC">
        <w:rPr>
          <w:rFonts w:ascii="Arial" w:hAnsi="Arial" w:cs="Arial"/>
          <w:noProof/>
          <w:color w:val="000000" w:themeColor="text1"/>
          <w:sz w:val="20"/>
          <w:szCs w:val="24"/>
        </w:rPr>
        <w:t xml:space="preserve">, </w:t>
      </w:r>
      <w:r w:rsidRPr="00533EAC">
        <w:rPr>
          <w:rFonts w:ascii="Arial" w:hAnsi="Arial" w:cs="Arial"/>
          <w:i/>
          <w:iCs/>
          <w:noProof/>
          <w:color w:val="000000" w:themeColor="text1"/>
          <w:sz w:val="20"/>
          <w:szCs w:val="24"/>
        </w:rPr>
        <w:t>43</w:t>
      </w:r>
      <w:r w:rsidRPr="00533EAC">
        <w:rPr>
          <w:rFonts w:ascii="Arial" w:hAnsi="Arial" w:cs="Arial"/>
          <w:noProof/>
          <w:color w:val="000000" w:themeColor="text1"/>
          <w:sz w:val="20"/>
          <w:szCs w:val="24"/>
        </w:rPr>
        <w:t>(1), 223. https://doi.org/10.2307/2409177</w:t>
      </w:r>
    </w:p>
    <w:p w14:paraId="6AEED0E7" w14:textId="77777777" w:rsidR="00774474" w:rsidRPr="00533EAC" w:rsidRDefault="00774474" w:rsidP="00774474">
      <w:pPr>
        <w:widowControl w:val="0"/>
        <w:autoSpaceDE w:val="0"/>
        <w:autoSpaceDN w:val="0"/>
        <w:adjustRightInd w:val="0"/>
        <w:spacing w:after="0" w:line="360" w:lineRule="auto"/>
        <w:ind w:left="480" w:hanging="480"/>
        <w:rPr>
          <w:rFonts w:ascii="Arial" w:hAnsi="Arial" w:cs="Arial"/>
          <w:noProof/>
          <w:color w:val="000000" w:themeColor="text1"/>
          <w:sz w:val="20"/>
          <w:szCs w:val="24"/>
        </w:rPr>
      </w:pPr>
      <w:r w:rsidRPr="00533EAC">
        <w:rPr>
          <w:rFonts w:ascii="Arial" w:hAnsi="Arial" w:cs="Arial"/>
          <w:noProof/>
          <w:color w:val="000000" w:themeColor="text1"/>
          <w:sz w:val="20"/>
          <w:szCs w:val="24"/>
        </w:rPr>
        <w:t xml:space="preserve">Rius M, Teske PR. 2011. A revision of the </w:t>
      </w:r>
      <w:r w:rsidRPr="00533EAC">
        <w:rPr>
          <w:rFonts w:ascii="Arial" w:hAnsi="Arial" w:cs="Arial"/>
          <w:i/>
          <w:iCs/>
          <w:noProof/>
          <w:color w:val="000000" w:themeColor="text1"/>
          <w:sz w:val="20"/>
          <w:szCs w:val="24"/>
        </w:rPr>
        <w:t>Pyura stolonifera</w:t>
      </w:r>
      <w:r w:rsidRPr="00533EAC">
        <w:rPr>
          <w:rFonts w:ascii="Arial" w:hAnsi="Arial" w:cs="Arial"/>
          <w:noProof/>
          <w:color w:val="000000" w:themeColor="text1"/>
          <w:sz w:val="20"/>
          <w:szCs w:val="24"/>
        </w:rPr>
        <w:t xml:space="preserve"> species complex (Tunicata, Ascidiacea), with a description of a new species from Australia. </w:t>
      </w:r>
      <w:r w:rsidRPr="00533EAC">
        <w:rPr>
          <w:rFonts w:ascii="Arial" w:hAnsi="Arial" w:cs="Arial"/>
          <w:i/>
          <w:iCs/>
          <w:noProof/>
          <w:color w:val="000000" w:themeColor="text1"/>
          <w:sz w:val="20"/>
          <w:szCs w:val="24"/>
        </w:rPr>
        <w:t>Zootaxa</w:t>
      </w:r>
      <w:r w:rsidRPr="00533EAC">
        <w:rPr>
          <w:rFonts w:ascii="Arial" w:hAnsi="Arial" w:cs="Arial"/>
          <w:noProof/>
          <w:color w:val="000000" w:themeColor="text1"/>
          <w:sz w:val="20"/>
          <w:szCs w:val="24"/>
        </w:rPr>
        <w:t xml:space="preserve">, </w:t>
      </w:r>
      <w:r w:rsidRPr="00533EAC">
        <w:rPr>
          <w:rFonts w:ascii="Arial" w:hAnsi="Arial" w:cs="Arial"/>
          <w:i/>
          <w:iCs/>
          <w:noProof/>
          <w:color w:val="000000" w:themeColor="text1"/>
          <w:sz w:val="20"/>
          <w:szCs w:val="24"/>
        </w:rPr>
        <w:t>2754</w:t>
      </w:r>
      <w:r w:rsidRPr="00533EAC">
        <w:rPr>
          <w:rFonts w:ascii="Arial" w:hAnsi="Arial" w:cs="Arial"/>
          <w:noProof/>
          <w:color w:val="000000" w:themeColor="text1"/>
          <w:sz w:val="20"/>
          <w:szCs w:val="24"/>
        </w:rPr>
        <w:t>(2754), 27–40.</w:t>
      </w:r>
    </w:p>
    <w:p w14:paraId="66D116AA" w14:textId="77777777" w:rsidR="00774474" w:rsidRPr="00533EAC" w:rsidRDefault="00774474" w:rsidP="00774474">
      <w:pPr>
        <w:widowControl w:val="0"/>
        <w:autoSpaceDE w:val="0"/>
        <w:autoSpaceDN w:val="0"/>
        <w:adjustRightInd w:val="0"/>
        <w:spacing w:after="0" w:line="360" w:lineRule="auto"/>
        <w:ind w:left="480" w:hanging="480"/>
        <w:rPr>
          <w:rFonts w:ascii="Arial" w:hAnsi="Arial" w:cs="Arial"/>
          <w:noProof/>
          <w:color w:val="000000" w:themeColor="text1"/>
          <w:sz w:val="20"/>
          <w:szCs w:val="24"/>
        </w:rPr>
      </w:pPr>
      <w:r w:rsidRPr="00533EAC">
        <w:rPr>
          <w:rFonts w:ascii="Arial" w:hAnsi="Arial" w:cs="Arial"/>
          <w:noProof/>
          <w:color w:val="000000" w:themeColor="text1"/>
          <w:sz w:val="20"/>
          <w:szCs w:val="24"/>
        </w:rPr>
        <w:t xml:space="preserve">Rius M, Teske PR. 2013. Cryptic diversity in coastal Australasia: a morphological and mitonuclear genetic analysis of habitat-forming sibling species. </w:t>
      </w:r>
      <w:r w:rsidRPr="00533EAC">
        <w:rPr>
          <w:rFonts w:ascii="Arial" w:hAnsi="Arial" w:cs="Arial"/>
          <w:i/>
          <w:iCs/>
          <w:noProof/>
          <w:color w:val="000000" w:themeColor="text1"/>
          <w:sz w:val="20"/>
          <w:szCs w:val="24"/>
        </w:rPr>
        <w:t>Zoological Journal of the Linnean Society</w:t>
      </w:r>
      <w:r w:rsidRPr="00533EAC">
        <w:rPr>
          <w:rFonts w:ascii="Arial" w:hAnsi="Arial" w:cs="Arial"/>
          <w:noProof/>
          <w:color w:val="000000" w:themeColor="text1"/>
          <w:sz w:val="20"/>
          <w:szCs w:val="24"/>
        </w:rPr>
        <w:t xml:space="preserve">, </w:t>
      </w:r>
      <w:r w:rsidRPr="00533EAC">
        <w:rPr>
          <w:rFonts w:ascii="Arial" w:hAnsi="Arial" w:cs="Arial"/>
          <w:i/>
          <w:iCs/>
          <w:noProof/>
          <w:color w:val="000000" w:themeColor="text1"/>
          <w:sz w:val="20"/>
          <w:szCs w:val="24"/>
        </w:rPr>
        <w:t>168</w:t>
      </w:r>
      <w:r w:rsidRPr="00533EAC">
        <w:rPr>
          <w:rFonts w:ascii="Arial" w:hAnsi="Arial" w:cs="Arial"/>
          <w:noProof/>
          <w:color w:val="000000" w:themeColor="text1"/>
          <w:sz w:val="20"/>
          <w:szCs w:val="24"/>
        </w:rPr>
        <w:t>(3), 597–611. https://doi.org/10.1111/zoj.12036</w:t>
      </w:r>
    </w:p>
    <w:p w14:paraId="7E5F758F" w14:textId="77777777" w:rsidR="00774474" w:rsidRPr="00533EAC" w:rsidRDefault="00774474" w:rsidP="00774474">
      <w:pPr>
        <w:widowControl w:val="0"/>
        <w:autoSpaceDE w:val="0"/>
        <w:autoSpaceDN w:val="0"/>
        <w:adjustRightInd w:val="0"/>
        <w:spacing w:after="0" w:line="360" w:lineRule="auto"/>
        <w:ind w:left="480" w:hanging="480"/>
        <w:rPr>
          <w:rFonts w:ascii="Arial" w:hAnsi="Arial" w:cs="Arial"/>
          <w:noProof/>
          <w:color w:val="000000" w:themeColor="text1"/>
          <w:sz w:val="20"/>
          <w:szCs w:val="24"/>
        </w:rPr>
      </w:pPr>
      <w:r w:rsidRPr="00533EAC">
        <w:rPr>
          <w:rFonts w:ascii="Arial" w:hAnsi="Arial" w:cs="Arial"/>
          <w:noProof/>
          <w:color w:val="000000" w:themeColor="text1"/>
          <w:sz w:val="20"/>
          <w:szCs w:val="24"/>
        </w:rPr>
        <w:t xml:space="preserve">Rius M, Teske PR, Manríquez PH, Suárez-Jiménez R, McQuaid CD, Castilla JC. 2017. Ecological dominance along rocky shores, with a focus on intertidal ascidians. In </w:t>
      </w:r>
      <w:r w:rsidRPr="00533EAC">
        <w:rPr>
          <w:rFonts w:ascii="Arial" w:hAnsi="Arial" w:cs="Arial"/>
          <w:i/>
          <w:iCs/>
          <w:noProof/>
          <w:color w:val="000000" w:themeColor="text1"/>
          <w:sz w:val="20"/>
          <w:szCs w:val="24"/>
        </w:rPr>
        <w:t>Oceanography and Marine Biology: An Annual Review</w:t>
      </w:r>
      <w:r w:rsidRPr="00533EAC">
        <w:rPr>
          <w:rFonts w:ascii="Arial" w:hAnsi="Arial" w:cs="Arial"/>
          <w:noProof/>
          <w:color w:val="000000" w:themeColor="text1"/>
          <w:sz w:val="20"/>
          <w:szCs w:val="24"/>
        </w:rPr>
        <w:t>. https://doi.org/10.1201/b21944</w:t>
      </w:r>
    </w:p>
    <w:p w14:paraId="2F2DEE2E" w14:textId="77777777" w:rsidR="00774474" w:rsidRPr="00533EAC" w:rsidRDefault="00774474" w:rsidP="00774474">
      <w:pPr>
        <w:widowControl w:val="0"/>
        <w:autoSpaceDE w:val="0"/>
        <w:autoSpaceDN w:val="0"/>
        <w:adjustRightInd w:val="0"/>
        <w:spacing w:after="0" w:line="360" w:lineRule="auto"/>
        <w:ind w:left="480" w:hanging="480"/>
        <w:rPr>
          <w:rFonts w:ascii="Arial" w:hAnsi="Arial" w:cs="Arial"/>
          <w:noProof/>
          <w:color w:val="000000" w:themeColor="text1"/>
          <w:sz w:val="20"/>
          <w:szCs w:val="24"/>
        </w:rPr>
      </w:pPr>
      <w:r w:rsidRPr="00533EAC">
        <w:rPr>
          <w:rFonts w:ascii="Arial" w:hAnsi="Arial" w:cs="Arial"/>
          <w:noProof/>
          <w:color w:val="000000" w:themeColor="text1"/>
          <w:sz w:val="20"/>
          <w:szCs w:val="24"/>
        </w:rPr>
        <w:t xml:space="preserve">Rousset F. 2008. GENEPOP’007: A complete re-implementation of the GENEPOP software for Windows and Linux. </w:t>
      </w:r>
      <w:r w:rsidRPr="00533EAC">
        <w:rPr>
          <w:rFonts w:ascii="Arial" w:hAnsi="Arial" w:cs="Arial"/>
          <w:i/>
          <w:iCs/>
          <w:noProof/>
          <w:color w:val="000000" w:themeColor="text1"/>
          <w:sz w:val="20"/>
          <w:szCs w:val="24"/>
        </w:rPr>
        <w:t>Molecular Ecology Resources</w:t>
      </w:r>
      <w:r w:rsidRPr="00533EAC">
        <w:rPr>
          <w:rFonts w:ascii="Arial" w:hAnsi="Arial" w:cs="Arial"/>
          <w:noProof/>
          <w:color w:val="000000" w:themeColor="text1"/>
          <w:sz w:val="20"/>
          <w:szCs w:val="24"/>
        </w:rPr>
        <w:t xml:space="preserve">, </w:t>
      </w:r>
      <w:r w:rsidRPr="00533EAC">
        <w:rPr>
          <w:rFonts w:ascii="Arial" w:hAnsi="Arial" w:cs="Arial"/>
          <w:i/>
          <w:iCs/>
          <w:noProof/>
          <w:color w:val="000000" w:themeColor="text1"/>
          <w:sz w:val="20"/>
          <w:szCs w:val="24"/>
        </w:rPr>
        <w:t>8</w:t>
      </w:r>
      <w:r w:rsidRPr="00533EAC">
        <w:rPr>
          <w:rFonts w:ascii="Arial" w:hAnsi="Arial" w:cs="Arial"/>
          <w:noProof/>
          <w:color w:val="000000" w:themeColor="text1"/>
          <w:sz w:val="20"/>
          <w:szCs w:val="24"/>
        </w:rPr>
        <w:t>(1), 103–106. https://doi.org/10.1111/j.1471-8286.2007.01931.x</w:t>
      </w:r>
    </w:p>
    <w:p w14:paraId="10171EAD" w14:textId="77777777" w:rsidR="00774474" w:rsidRPr="00533EAC" w:rsidRDefault="00774474" w:rsidP="00774474">
      <w:pPr>
        <w:widowControl w:val="0"/>
        <w:autoSpaceDE w:val="0"/>
        <w:autoSpaceDN w:val="0"/>
        <w:adjustRightInd w:val="0"/>
        <w:spacing w:after="0" w:line="360" w:lineRule="auto"/>
        <w:ind w:left="480" w:hanging="480"/>
        <w:rPr>
          <w:rFonts w:ascii="Arial" w:hAnsi="Arial" w:cs="Arial"/>
          <w:noProof/>
          <w:color w:val="000000" w:themeColor="text1"/>
          <w:sz w:val="20"/>
          <w:szCs w:val="24"/>
        </w:rPr>
      </w:pPr>
      <w:r w:rsidRPr="00533EAC">
        <w:rPr>
          <w:rFonts w:ascii="Arial" w:hAnsi="Arial" w:cs="Arial"/>
          <w:noProof/>
          <w:color w:val="000000" w:themeColor="text1"/>
          <w:sz w:val="20"/>
          <w:szCs w:val="24"/>
        </w:rPr>
        <w:t xml:space="preserve">Rubinstein ND, Feldstein T, Shenkar N, Botero-Castro F, Griggio F, Mastrototaro F, Delsuc F, Douzery EJP, Gissi C, Huchon D. 2013. Deep sequencing of mixed total DNA without barcodes </w:t>
      </w:r>
      <w:r w:rsidRPr="00533EAC">
        <w:rPr>
          <w:rFonts w:ascii="Arial" w:hAnsi="Arial" w:cs="Arial"/>
          <w:noProof/>
          <w:color w:val="000000" w:themeColor="text1"/>
          <w:sz w:val="20"/>
          <w:szCs w:val="24"/>
        </w:rPr>
        <w:lastRenderedPageBreak/>
        <w:t xml:space="preserve">allows efficient assembly of highly plastic Ascidian mitochondrial genomes. </w:t>
      </w:r>
      <w:r w:rsidRPr="00533EAC">
        <w:rPr>
          <w:rFonts w:ascii="Arial" w:hAnsi="Arial" w:cs="Arial"/>
          <w:i/>
          <w:iCs/>
          <w:noProof/>
          <w:color w:val="000000" w:themeColor="text1"/>
          <w:sz w:val="20"/>
          <w:szCs w:val="24"/>
        </w:rPr>
        <w:t>Genome Biology and Evolution</w:t>
      </w:r>
      <w:r w:rsidRPr="00533EAC">
        <w:rPr>
          <w:rFonts w:ascii="Arial" w:hAnsi="Arial" w:cs="Arial"/>
          <w:noProof/>
          <w:color w:val="000000" w:themeColor="text1"/>
          <w:sz w:val="20"/>
          <w:szCs w:val="24"/>
        </w:rPr>
        <w:t xml:space="preserve">, </w:t>
      </w:r>
      <w:r w:rsidRPr="00533EAC">
        <w:rPr>
          <w:rFonts w:ascii="Arial" w:hAnsi="Arial" w:cs="Arial"/>
          <w:i/>
          <w:iCs/>
          <w:noProof/>
          <w:color w:val="000000" w:themeColor="text1"/>
          <w:sz w:val="20"/>
          <w:szCs w:val="24"/>
        </w:rPr>
        <w:t>5</w:t>
      </w:r>
      <w:r w:rsidRPr="00533EAC">
        <w:rPr>
          <w:rFonts w:ascii="Arial" w:hAnsi="Arial" w:cs="Arial"/>
          <w:noProof/>
          <w:color w:val="000000" w:themeColor="text1"/>
          <w:sz w:val="20"/>
          <w:szCs w:val="24"/>
        </w:rPr>
        <w:t>(6), 1185–1199. https://doi.org/10.1093/gbe/evt081</w:t>
      </w:r>
    </w:p>
    <w:p w14:paraId="62007CA8" w14:textId="77777777" w:rsidR="00774474" w:rsidRPr="00533EAC" w:rsidRDefault="00774474" w:rsidP="00774474">
      <w:pPr>
        <w:widowControl w:val="0"/>
        <w:autoSpaceDE w:val="0"/>
        <w:autoSpaceDN w:val="0"/>
        <w:adjustRightInd w:val="0"/>
        <w:spacing w:after="0" w:line="360" w:lineRule="auto"/>
        <w:ind w:left="480" w:hanging="480"/>
        <w:rPr>
          <w:rFonts w:ascii="Arial" w:hAnsi="Arial" w:cs="Arial"/>
          <w:noProof/>
          <w:color w:val="000000" w:themeColor="text1"/>
          <w:sz w:val="20"/>
          <w:szCs w:val="24"/>
        </w:rPr>
      </w:pPr>
      <w:r w:rsidRPr="00533EAC">
        <w:rPr>
          <w:rFonts w:ascii="Arial" w:hAnsi="Arial" w:cs="Arial"/>
          <w:noProof/>
          <w:color w:val="000000" w:themeColor="text1"/>
          <w:sz w:val="20"/>
          <w:szCs w:val="24"/>
        </w:rPr>
        <w:t xml:space="preserve">Schuelke M. 2000. An economic method for the fluorescent labeling of PCR fragments - A poor man’ s approach to genotyping for research and high-throughput diagnostics. </w:t>
      </w:r>
      <w:r w:rsidRPr="00533EAC">
        <w:rPr>
          <w:rFonts w:ascii="Arial" w:hAnsi="Arial" w:cs="Arial"/>
          <w:i/>
          <w:iCs/>
          <w:noProof/>
          <w:color w:val="000000" w:themeColor="text1"/>
          <w:sz w:val="20"/>
          <w:szCs w:val="24"/>
        </w:rPr>
        <w:t>Nature Biotechnology</w:t>
      </w:r>
      <w:r w:rsidRPr="00533EAC">
        <w:rPr>
          <w:rFonts w:ascii="Arial" w:hAnsi="Arial" w:cs="Arial"/>
          <w:noProof/>
          <w:color w:val="000000" w:themeColor="text1"/>
          <w:sz w:val="20"/>
          <w:szCs w:val="24"/>
        </w:rPr>
        <w:t xml:space="preserve">, </w:t>
      </w:r>
      <w:r w:rsidRPr="00533EAC">
        <w:rPr>
          <w:rFonts w:ascii="Arial" w:hAnsi="Arial" w:cs="Arial"/>
          <w:i/>
          <w:iCs/>
          <w:noProof/>
          <w:color w:val="000000" w:themeColor="text1"/>
          <w:sz w:val="20"/>
          <w:szCs w:val="24"/>
        </w:rPr>
        <w:t>18</w:t>
      </w:r>
      <w:r w:rsidRPr="00533EAC">
        <w:rPr>
          <w:rFonts w:ascii="Arial" w:hAnsi="Arial" w:cs="Arial"/>
          <w:noProof/>
          <w:color w:val="000000" w:themeColor="text1"/>
          <w:sz w:val="20"/>
          <w:szCs w:val="24"/>
        </w:rPr>
        <w:t>(18), 233–234. Retrieved from http://dx.doi.org/10.1038/72708</w:t>
      </w:r>
    </w:p>
    <w:p w14:paraId="47BB2082" w14:textId="77777777" w:rsidR="00774474" w:rsidRPr="00533EAC" w:rsidRDefault="00774474" w:rsidP="00774474">
      <w:pPr>
        <w:widowControl w:val="0"/>
        <w:autoSpaceDE w:val="0"/>
        <w:autoSpaceDN w:val="0"/>
        <w:adjustRightInd w:val="0"/>
        <w:spacing w:after="0" w:line="360" w:lineRule="auto"/>
        <w:ind w:left="480" w:hanging="480"/>
        <w:rPr>
          <w:rFonts w:ascii="Arial" w:hAnsi="Arial" w:cs="Arial"/>
          <w:noProof/>
          <w:color w:val="000000" w:themeColor="text1"/>
          <w:sz w:val="20"/>
          <w:szCs w:val="24"/>
        </w:rPr>
      </w:pPr>
      <w:r w:rsidRPr="00533EAC">
        <w:rPr>
          <w:rFonts w:ascii="Arial" w:hAnsi="Arial" w:cs="Arial"/>
          <w:noProof/>
          <w:color w:val="000000" w:themeColor="text1"/>
          <w:sz w:val="20"/>
          <w:szCs w:val="24"/>
        </w:rPr>
        <w:t xml:space="preserve">Shafer ABA, Peart CR, Tusso S, Maayan I, Brelsford A, Wheat CW, Wolf JBW. 2017. Bioinformatic processing of RAD-seq data dramatically impacts downstream population genetic inference. </w:t>
      </w:r>
      <w:r w:rsidRPr="00533EAC">
        <w:rPr>
          <w:rFonts w:ascii="Arial" w:hAnsi="Arial" w:cs="Arial"/>
          <w:i/>
          <w:iCs/>
          <w:noProof/>
          <w:color w:val="000000" w:themeColor="text1"/>
          <w:sz w:val="20"/>
          <w:szCs w:val="24"/>
        </w:rPr>
        <w:t>Methods in Ecology and Evolution</w:t>
      </w:r>
      <w:r w:rsidRPr="00533EAC">
        <w:rPr>
          <w:rFonts w:ascii="Arial" w:hAnsi="Arial" w:cs="Arial"/>
          <w:noProof/>
          <w:color w:val="000000" w:themeColor="text1"/>
          <w:sz w:val="20"/>
          <w:szCs w:val="24"/>
        </w:rPr>
        <w:t xml:space="preserve">, </w:t>
      </w:r>
      <w:r w:rsidRPr="00533EAC">
        <w:rPr>
          <w:rFonts w:ascii="Arial" w:hAnsi="Arial" w:cs="Arial"/>
          <w:i/>
          <w:iCs/>
          <w:noProof/>
          <w:color w:val="000000" w:themeColor="text1"/>
          <w:sz w:val="20"/>
          <w:szCs w:val="24"/>
        </w:rPr>
        <w:t>8</w:t>
      </w:r>
      <w:r w:rsidRPr="00533EAC">
        <w:rPr>
          <w:rFonts w:ascii="Arial" w:hAnsi="Arial" w:cs="Arial"/>
          <w:noProof/>
          <w:color w:val="000000" w:themeColor="text1"/>
          <w:sz w:val="20"/>
          <w:szCs w:val="24"/>
        </w:rPr>
        <w:t>(8), 907–917. https://doi.org/10.1111/2041-210X.12700</w:t>
      </w:r>
    </w:p>
    <w:p w14:paraId="70DAEF25" w14:textId="77777777" w:rsidR="00774474" w:rsidRPr="00533EAC" w:rsidRDefault="00774474" w:rsidP="00774474">
      <w:pPr>
        <w:widowControl w:val="0"/>
        <w:autoSpaceDE w:val="0"/>
        <w:autoSpaceDN w:val="0"/>
        <w:adjustRightInd w:val="0"/>
        <w:spacing w:after="0" w:line="360" w:lineRule="auto"/>
        <w:ind w:left="480" w:hanging="480"/>
        <w:rPr>
          <w:rFonts w:ascii="Arial" w:hAnsi="Arial" w:cs="Arial"/>
          <w:noProof/>
          <w:color w:val="000000" w:themeColor="text1"/>
          <w:sz w:val="20"/>
          <w:szCs w:val="24"/>
        </w:rPr>
      </w:pPr>
      <w:r w:rsidRPr="00533EAC">
        <w:rPr>
          <w:rFonts w:ascii="Arial" w:hAnsi="Arial" w:cs="Arial"/>
          <w:noProof/>
          <w:color w:val="000000" w:themeColor="text1"/>
          <w:sz w:val="20"/>
          <w:szCs w:val="24"/>
        </w:rPr>
        <w:t xml:space="preserve">Shenkar N, Swalla BJ. 2011. Global diversity of Ascidiacea. </w:t>
      </w:r>
      <w:r w:rsidRPr="00533EAC">
        <w:rPr>
          <w:rFonts w:ascii="Arial" w:hAnsi="Arial" w:cs="Arial"/>
          <w:i/>
          <w:iCs/>
          <w:noProof/>
          <w:color w:val="000000" w:themeColor="text1"/>
          <w:sz w:val="20"/>
          <w:szCs w:val="24"/>
        </w:rPr>
        <w:t>PLoS ONE</w:t>
      </w:r>
      <w:r w:rsidRPr="00533EAC">
        <w:rPr>
          <w:rFonts w:ascii="Arial" w:hAnsi="Arial" w:cs="Arial"/>
          <w:noProof/>
          <w:color w:val="000000" w:themeColor="text1"/>
          <w:sz w:val="20"/>
          <w:szCs w:val="24"/>
        </w:rPr>
        <w:t>, 2011/06/20, Vol. 6, pp. e20657–e20657. https://doi.org/10.1371/journal.pone.0020657</w:t>
      </w:r>
    </w:p>
    <w:p w14:paraId="1A154911" w14:textId="77777777" w:rsidR="00774474" w:rsidRPr="00533EAC" w:rsidRDefault="00774474" w:rsidP="00774474">
      <w:pPr>
        <w:widowControl w:val="0"/>
        <w:autoSpaceDE w:val="0"/>
        <w:autoSpaceDN w:val="0"/>
        <w:adjustRightInd w:val="0"/>
        <w:spacing w:after="0" w:line="360" w:lineRule="auto"/>
        <w:ind w:left="480" w:hanging="480"/>
        <w:rPr>
          <w:rFonts w:ascii="Arial" w:hAnsi="Arial" w:cs="Arial"/>
          <w:noProof/>
          <w:color w:val="000000" w:themeColor="text1"/>
          <w:sz w:val="20"/>
          <w:szCs w:val="24"/>
        </w:rPr>
      </w:pPr>
      <w:r w:rsidRPr="00533EAC">
        <w:rPr>
          <w:rFonts w:ascii="Arial" w:hAnsi="Arial" w:cs="Arial"/>
          <w:noProof/>
          <w:color w:val="000000" w:themeColor="text1"/>
          <w:sz w:val="20"/>
          <w:szCs w:val="24"/>
        </w:rPr>
        <w:t xml:space="preserve">Stobie CS, Cunningham MJ, Oosthuizen CJ, Bloomer P. 2019. Finding stories in noise: Mitochondrial portraits from RAD data. </w:t>
      </w:r>
      <w:r w:rsidRPr="00533EAC">
        <w:rPr>
          <w:rFonts w:ascii="Arial" w:hAnsi="Arial" w:cs="Arial"/>
          <w:i/>
          <w:iCs/>
          <w:noProof/>
          <w:color w:val="000000" w:themeColor="text1"/>
          <w:sz w:val="20"/>
          <w:szCs w:val="24"/>
        </w:rPr>
        <w:t>Molecular Ecology Resources</w:t>
      </w:r>
      <w:r w:rsidRPr="00533EAC">
        <w:rPr>
          <w:rFonts w:ascii="Arial" w:hAnsi="Arial" w:cs="Arial"/>
          <w:noProof/>
          <w:color w:val="000000" w:themeColor="text1"/>
          <w:sz w:val="20"/>
          <w:szCs w:val="24"/>
        </w:rPr>
        <w:t xml:space="preserve">, </w:t>
      </w:r>
      <w:r w:rsidRPr="00533EAC">
        <w:rPr>
          <w:rFonts w:ascii="Arial" w:hAnsi="Arial" w:cs="Arial"/>
          <w:i/>
          <w:iCs/>
          <w:noProof/>
          <w:color w:val="000000" w:themeColor="text1"/>
          <w:sz w:val="20"/>
          <w:szCs w:val="24"/>
        </w:rPr>
        <w:t>19</w:t>
      </w:r>
      <w:r w:rsidRPr="00533EAC">
        <w:rPr>
          <w:rFonts w:ascii="Arial" w:hAnsi="Arial" w:cs="Arial"/>
          <w:noProof/>
          <w:color w:val="000000" w:themeColor="text1"/>
          <w:sz w:val="20"/>
          <w:szCs w:val="24"/>
        </w:rPr>
        <w:t>(1), 191–205. https://doi.org/10.1111/1755-0998.12953</w:t>
      </w:r>
    </w:p>
    <w:p w14:paraId="3DA0D6EF" w14:textId="77777777" w:rsidR="00774474" w:rsidRPr="00533EAC" w:rsidRDefault="00774474" w:rsidP="00774474">
      <w:pPr>
        <w:widowControl w:val="0"/>
        <w:autoSpaceDE w:val="0"/>
        <w:autoSpaceDN w:val="0"/>
        <w:adjustRightInd w:val="0"/>
        <w:spacing w:after="0" w:line="360" w:lineRule="auto"/>
        <w:ind w:left="480" w:hanging="480"/>
        <w:rPr>
          <w:rFonts w:ascii="Arial" w:hAnsi="Arial" w:cs="Arial"/>
          <w:noProof/>
          <w:color w:val="000000" w:themeColor="text1"/>
          <w:sz w:val="20"/>
          <w:szCs w:val="24"/>
        </w:rPr>
      </w:pPr>
      <w:r w:rsidRPr="00533EAC">
        <w:rPr>
          <w:rFonts w:ascii="Arial" w:hAnsi="Arial" w:cs="Arial"/>
          <w:noProof/>
          <w:color w:val="000000" w:themeColor="text1"/>
          <w:sz w:val="20"/>
          <w:szCs w:val="24"/>
        </w:rPr>
        <w:t xml:space="preserve">Tavares AI, Nicastro KR, Kolzenburg R, Ragazzola F, Jacinto R, Zardi GI. 2018. Isolation and characterization of nine microsatellite markers for the red alga </w:t>
      </w:r>
      <w:r w:rsidRPr="00533EAC">
        <w:rPr>
          <w:rFonts w:ascii="Arial" w:hAnsi="Arial" w:cs="Arial"/>
          <w:i/>
          <w:iCs/>
          <w:noProof/>
          <w:color w:val="000000" w:themeColor="text1"/>
          <w:sz w:val="20"/>
          <w:szCs w:val="24"/>
        </w:rPr>
        <w:t>Corallina officinalis</w:t>
      </w:r>
      <w:r w:rsidRPr="00533EAC">
        <w:rPr>
          <w:rFonts w:ascii="Arial" w:hAnsi="Arial" w:cs="Arial"/>
          <w:noProof/>
          <w:color w:val="000000" w:themeColor="text1"/>
          <w:sz w:val="20"/>
          <w:szCs w:val="24"/>
        </w:rPr>
        <w:t xml:space="preserve">. </w:t>
      </w:r>
      <w:r w:rsidRPr="00533EAC">
        <w:rPr>
          <w:rFonts w:ascii="Arial" w:hAnsi="Arial" w:cs="Arial"/>
          <w:i/>
          <w:iCs/>
          <w:noProof/>
          <w:color w:val="000000" w:themeColor="text1"/>
          <w:sz w:val="20"/>
          <w:szCs w:val="24"/>
        </w:rPr>
        <w:t>Molecular Biology Reports</w:t>
      </w:r>
      <w:r w:rsidRPr="00533EAC">
        <w:rPr>
          <w:rFonts w:ascii="Arial" w:hAnsi="Arial" w:cs="Arial"/>
          <w:noProof/>
          <w:color w:val="000000" w:themeColor="text1"/>
          <w:sz w:val="20"/>
          <w:szCs w:val="24"/>
        </w:rPr>
        <w:t xml:space="preserve">, </w:t>
      </w:r>
      <w:r w:rsidRPr="00533EAC">
        <w:rPr>
          <w:rFonts w:ascii="Arial" w:hAnsi="Arial" w:cs="Arial"/>
          <w:i/>
          <w:iCs/>
          <w:noProof/>
          <w:color w:val="000000" w:themeColor="text1"/>
          <w:sz w:val="20"/>
          <w:szCs w:val="24"/>
        </w:rPr>
        <w:t>45</w:t>
      </w:r>
      <w:r w:rsidRPr="00533EAC">
        <w:rPr>
          <w:rFonts w:ascii="Arial" w:hAnsi="Arial" w:cs="Arial"/>
          <w:noProof/>
          <w:color w:val="000000" w:themeColor="text1"/>
          <w:sz w:val="20"/>
          <w:szCs w:val="24"/>
        </w:rPr>
        <w:t>(6), 2791–2794. https://doi.org/10.1007/s11033-018-4353-y</w:t>
      </w:r>
    </w:p>
    <w:p w14:paraId="5E626CC8" w14:textId="77777777" w:rsidR="00774474" w:rsidRPr="00533EAC" w:rsidRDefault="00774474" w:rsidP="00774474">
      <w:pPr>
        <w:widowControl w:val="0"/>
        <w:autoSpaceDE w:val="0"/>
        <w:autoSpaceDN w:val="0"/>
        <w:adjustRightInd w:val="0"/>
        <w:spacing w:after="0" w:line="360" w:lineRule="auto"/>
        <w:ind w:left="480" w:hanging="480"/>
        <w:rPr>
          <w:rFonts w:ascii="Arial" w:hAnsi="Arial" w:cs="Arial"/>
          <w:noProof/>
          <w:color w:val="000000" w:themeColor="text1"/>
          <w:sz w:val="20"/>
          <w:szCs w:val="24"/>
        </w:rPr>
      </w:pPr>
      <w:r w:rsidRPr="00533EAC">
        <w:rPr>
          <w:rFonts w:ascii="Arial" w:hAnsi="Arial" w:cs="Arial"/>
          <w:noProof/>
          <w:color w:val="000000" w:themeColor="text1"/>
          <w:sz w:val="20"/>
          <w:szCs w:val="24"/>
        </w:rPr>
        <w:t xml:space="preserve">Terraneo TI, Arrigoni R, Benzoni F, Forsman ZH, Berumen ML. 2018. Using ezRAD to reconstruct the complete mitochondrial genome of </w:t>
      </w:r>
      <w:r w:rsidRPr="00533EAC">
        <w:rPr>
          <w:rFonts w:ascii="Arial" w:hAnsi="Arial" w:cs="Arial"/>
          <w:i/>
          <w:iCs/>
          <w:noProof/>
          <w:color w:val="000000" w:themeColor="text1"/>
          <w:sz w:val="20"/>
          <w:szCs w:val="24"/>
        </w:rPr>
        <w:t>Porites fontanesii</w:t>
      </w:r>
      <w:r w:rsidRPr="00533EAC">
        <w:rPr>
          <w:rFonts w:ascii="Arial" w:hAnsi="Arial" w:cs="Arial"/>
          <w:noProof/>
          <w:color w:val="000000" w:themeColor="text1"/>
          <w:sz w:val="20"/>
          <w:szCs w:val="24"/>
        </w:rPr>
        <w:t xml:space="preserve"> (Cnidaria: Scleractinia). </w:t>
      </w:r>
      <w:r w:rsidRPr="00533EAC">
        <w:rPr>
          <w:rFonts w:ascii="Arial" w:hAnsi="Arial" w:cs="Arial"/>
          <w:i/>
          <w:iCs/>
          <w:noProof/>
          <w:color w:val="000000" w:themeColor="text1"/>
          <w:sz w:val="20"/>
          <w:szCs w:val="24"/>
        </w:rPr>
        <w:t>Mitochondrial DNA Part B: Resources</w:t>
      </w:r>
      <w:r w:rsidRPr="00533EAC">
        <w:rPr>
          <w:rFonts w:ascii="Arial" w:hAnsi="Arial" w:cs="Arial"/>
          <w:noProof/>
          <w:color w:val="000000" w:themeColor="text1"/>
          <w:sz w:val="20"/>
          <w:szCs w:val="24"/>
        </w:rPr>
        <w:t xml:space="preserve">, </w:t>
      </w:r>
      <w:r w:rsidRPr="00533EAC">
        <w:rPr>
          <w:rFonts w:ascii="Arial" w:hAnsi="Arial" w:cs="Arial"/>
          <w:i/>
          <w:iCs/>
          <w:noProof/>
          <w:color w:val="000000" w:themeColor="text1"/>
          <w:sz w:val="20"/>
          <w:szCs w:val="24"/>
        </w:rPr>
        <w:t>3</w:t>
      </w:r>
      <w:r w:rsidRPr="00533EAC">
        <w:rPr>
          <w:rFonts w:ascii="Arial" w:hAnsi="Arial" w:cs="Arial"/>
          <w:noProof/>
          <w:color w:val="000000" w:themeColor="text1"/>
          <w:sz w:val="20"/>
          <w:szCs w:val="24"/>
        </w:rPr>
        <w:t>(1), 173–174. https://doi.org/10.1080/23802359.2018.1437805</w:t>
      </w:r>
    </w:p>
    <w:p w14:paraId="00F42C52" w14:textId="77777777" w:rsidR="00774474" w:rsidRPr="00533EAC" w:rsidRDefault="00774474" w:rsidP="00774474">
      <w:pPr>
        <w:widowControl w:val="0"/>
        <w:autoSpaceDE w:val="0"/>
        <w:autoSpaceDN w:val="0"/>
        <w:adjustRightInd w:val="0"/>
        <w:spacing w:after="0" w:line="360" w:lineRule="auto"/>
        <w:ind w:left="480" w:hanging="480"/>
        <w:rPr>
          <w:rFonts w:ascii="Arial" w:hAnsi="Arial" w:cs="Arial"/>
          <w:noProof/>
          <w:color w:val="000000" w:themeColor="text1"/>
          <w:sz w:val="20"/>
          <w:szCs w:val="24"/>
        </w:rPr>
      </w:pPr>
      <w:r w:rsidRPr="00533EAC">
        <w:rPr>
          <w:rFonts w:ascii="Arial" w:hAnsi="Arial" w:cs="Arial"/>
          <w:noProof/>
          <w:color w:val="000000" w:themeColor="text1"/>
          <w:sz w:val="20"/>
          <w:szCs w:val="24"/>
        </w:rPr>
        <w:t xml:space="preserve">Teske PR, Beheregaray LB. 2009. Intron-spanning primers for the amplification of the nuclear ANT gene in decapod crustaceans. </w:t>
      </w:r>
      <w:r w:rsidRPr="00533EAC">
        <w:rPr>
          <w:rFonts w:ascii="Arial" w:hAnsi="Arial" w:cs="Arial"/>
          <w:i/>
          <w:iCs/>
          <w:noProof/>
          <w:color w:val="000000" w:themeColor="text1"/>
          <w:sz w:val="20"/>
          <w:szCs w:val="24"/>
        </w:rPr>
        <w:t>Molecular Ecology Resources</w:t>
      </w:r>
      <w:r w:rsidRPr="00533EAC">
        <w:rPr>
          <w:rFonts w:ascii="Arial" w:hAnsi="Arial" w:cs="Arial"/>
          <w:noProof/>
          <w:color w:val="000000" w:themeColor="text1"/>
          <w:sz w:val="20"/>
          <w:szCs w:val="24"/>
        </w:rPr>
        <w:t xml:space="preserve">, </w:t>
      </w:r>
      <w:r w:rsidRPr="00533EAC">
        <w:rPr>
          <w:rFonts w:ascii="Arial" w:hAnsi="Arial" w:cs="Arial"/>
          <w:i/>
          <w:iCs/>
          <w:noProof/>
          <w:color w:val="000000" w:themeColor="text1"/>
          <w:sz w:val="20"/>
          <w:szCs w:val="24"/>
        </w:rPr>
        <w:t>9</w:t>
      </w:r>
      <w:r w:rsidRPr="00533EAC">
        <w:rPr>
          <w:rFonts w:ascii="Arial" w:hAnsi="Arial" w:cs="Arial"/>
          <w:noProof/>
          <w:color w:val="000000" w:themeColor="text1"/>
          <w:sz w:val="20"/>
          <w:szCs w:val="24"/>
        </w:rPr>
        <w:t>(3), 774–776. https://doi.org/10.1111/j.1755-0998.2009.02534.x</w:t>
      </w:r>
    </w:p>
    <w:p w14:paraId="3254FC57" w14:textId="77777777" w:rsidR="00774474" w:rsidRPr="00533EAC" w:rsidRDefault="00774474" w:rsidP="00774474">
      <w:pPr>
        <w:widowControl w:val="0"/>
        <w:autoSpaceDE w:val="0"/>
        <w:autoSpaceDN w:val="0"/>
        <w:adjustRightInd w:val="0"/>
        <w:spacing w:after="0" w:line="360" w:lineRule="auto"/>
        <w:ind w:left="480" w:hanging="480"/>
        <w:rPr>
          <w:rFonts w:ascii="Arial" w:hAnsi="Arial" w:cs="Arial"/>
          <w:noProof/>
          <w:color w:val="000000" w:themeColor="text1"/>
          <w:sz w:val="20"/>
          <w:szCs w:val="24"/>
        </w:rPr>
      </w:pPr>
      <w:r w:rsidRPr="00533EAC">
        <w:rPr>
          <w:rFonts w:ascii="Arial" w:hAnsi="Arial" w:cs="Arial"/>
          <w:noProof/>
          <w:color w:val="000000" w:themeColor="text1"/>
          <w:sz w:val="20"/>
          <w:szCs w:val="24"/>
        </w:rPr>
        <w:t xml:space="preserve">Teske PR, Rius M, McQuaid CD, Styan CA, Piggott MP, Benhissoune S, Fuentes-Grünewald C, Walls K, Page M, Attard CRM, Cooke GM, McClusky CF, Banks SC, Barker NP, Beheregaray LB. 2011. “Nested” cryptic diversity in a widespread marine ecosystem engineer: a challenge for detecting biological invasions. </w:t>
      </w:r>
      <w:r w:rsidRPr="00533EAC">
        <w:rPr>
          <w:rFonts w:ascii="Arial" w:hAnsi="Arial" w:cs="Arial"/>
          <w:i/>
          <w:iCs/>
          <w:noProof/>
          <w:color w:val="000000" w:themeColor="text1"/>
          <w:sz w:val="20"/>
          <w:szCs w:val="24"/>
        </w:rPr>
        <w:t>BMC Evolutionary Biology</w:t>
      </w:r>
      <w:r w:rsidRPr="00533EAC">
        <w:rPr>
          <w:rFonts w:ascii="Arial" w:hAnsi="Arial" w:cs="Arial"/>
          <w:noProof/>
          <w:color w:val="000000" w:themeColor="text1"/>
          <w:sz w:val="20"/>
          <w:szCs w:val="24"/>
        </w:rPr>
        <w:t xml:space="preserve">, </w:t>
      </w:r>
      <w:r w:rsidRPr="00533EAC">
        <w:rPr>
          <w:rFonts w:ascii="Arial" w:hAnsi="Arial" w:cs="Arial"/>
          <w:i/>
          <w:iCs/>
          <w:noProof/>
          <w:color w:val="000000" w:themeColor="text1"/>
          <w:sz w:val="20"/>
          <w:szCs w:val="24"/>
        </w:rPr>
        <w:t>11</w:t>
      </w:r>
      <w:r w:rsidRPr="00533EAC">
        <w:rPr>
          <w:rFonts w:ascii="Arial" w:hAnsi="Arial" w:cs="Arial"/>
          <w:noProof/>
          <w:color w:val="000000" w:themeColor="text1"/>
          <w:sz w:val="20"/>
          <w:szCs w:val="24"/>
        </w:rPr>
        <w:t>(1), 176. https://doi.org/10.1186/1471-2148-11-176</w:t>
      </w:r>
    </w:p>
    <w:p w14:paraId="01615214" w14:textId="77777777" w:rsidR="00774474" w:rsidRPr="00533EAC" w:rsidRDefault="00774474" w:rsidP="00774474">
      <w:pPr>
        <w:widowControl w:val="0"/>
        <w:autoSpaceDE w:val="0"/>
        <w:autoSpaceDN w:val="0"/>
        <w:adjustRightInd w:val="0"/>
        <w:spacing w:after="0" w:line="360" w:lineRule="auto"/>
        <w:ind w:left="480" w:hanging="480"/>
        <w:rPr>
          <w:rFonts w:ascii="Arial" w:hAnsi="Arial" w:cs="Arial"/>
          <w:noProof/>
          <w:color w:val="000000" w:themeColor="text1"/>
          <w:sz w:val="20"/>
          <w:szCs w:val="24"/>
        </w:rPr>
      </w:pPr>
      <w:r w:rsidRPr="00533EAC">
        <w:rPr>
          <w:rFonts w:ascii="Arial" w:hAnsi="Arial" w:cs="Arial"/>
          <w:noProof/>
          <w:color w:val="000000" w:themeColor="text1"/>
          <w:sz w:val="20"/>
          <w:szCs w:val="24"/>
        </w:rPr>
        <w:t xml:space="preserve">Thompson JD, Gibson TJ, Higgins DG. 2003. Multiple Sequence Alignment Using ClustalW and ClustalX. </w:t>
      </w:r>
      <w:r w:rsidRPr="00533EAC">
        <w:rPr>
          <w:rFonts w:ascii="Arial" w:hAnsi="Arial" w:cs="Arial"/>
          <w:i/>
          <w:iCs/>
          <w:noProof/>
          <w:color w:val="000000" w:themeColor="text1"/>
          <w:sz w:val="20"/>
          <w:szCs w:val="24"/>
        </w:rPr>
        <w:t>Current Protocols in Bioinformatics</w:t>
      </w:r>
      <w:r w:rsidRPr="00533EAC">
        <w:rPr>
          <w:rFonts w:ascii="Arial" w:hAnsi="Arial" w:cs="Arial"/>
          <w:noProof/>
          <w:color w:val="000000" w:themeColor="text1"/>
          <w:sz w:val="20"/>
          <w:szCs w:val="24"/>
        </w:rPr>
        <w:t xml:space="preserve">, </w:t>
      </w:r>
      <w:r w:rsidRPr="00533EAC">
        <w:rPr>
          <w:rFonts w:ascii="Arial" w:hAnsi="Arial" w:cs="Arial"/>
          <w:i/>
          <w:iCs/>
          <w:noProof/>
          <w:color w:val="000000" w:themeColor="text1"/>
          <w:sz w:val="20"/>
          <w:szCs w:val="24"/>
        </w:rPr>
        <w:t>00</w:t>
      </w:r>
      <w:r w:rsidRPr="00533EAC">
        <w:rPr>
          <w:rFonts w:ascii="Arial" w:hAnsi="Arial" w:cs="Arial"/>
          <w:noProof/>
          <w:color w:val="000000" w:themeColor="text1"/>
          <w:sz w:val="20"/>
          <w:szCs w:val="24"/>
        </w:rPr>
        <w:t>(1), 2.3.1-2.3.22. https://doi.org/10.1002/0471250953.bi0203s00</w:t>
      </w:r>
    </w:p>
    <w:p w14:paraId="0D967849" w14:textId="77777777" w:rsidR="00774474" w:rsidRPr="00533EAC" w:rsidRDefault="00774474" w:rsidP="00774474">
      <w:pPr>
        <w:widowControl w:val="0"/>
        <w:autoSpaceDE w:val="0"/>
        <w:autoSpaceDN w:val="0"/>
        <w:adjustRightInd w:val="0"/>
        <w:spacing w:after="0" w:line="360" w:lineRule="auto"/>
        <w:ind w:left="480" w:hanging="480"/>
        <w:rPr>
          <w:rFonts w:ascii="Arial" w:hAnsi="Arial" w:cs="Arial"/>
          <w:noProof/>
          <w:color w:val="000000" w:themeColor="text1"/>
          <w:sz w:val="20"/>
          <w:szCs w:val="24"/>
        </w:rPr>
      </w:pPr>
      <w:r w:rsidRPr="00533EAC">
        <w:rPr>
          <w:rFonts w:ascii="Arial" w:hAnsi="Arial" w:cs="Arial"/>
          <w:noProof/>
          <w:color w:val="000000" w:themeColor="text1"/>
          <w:sz w:val="20"/>
          <w:szCs w:val="24"/>
        </w:rPr>
        <w:t xml:space="preserve">Toonen RJ, Puritz JB, Forsman ZH, Whitney JL, Fernandez-Silva I, Andrews KR, Bird CE. 2013. ezRAD: A simplified method for genomic genotyping in non-model organisms. </w:t>
      </w:r>
      <w:r w:rsidRPr="00533EAC">
        <w:rPr>
          <w:rFonts w:ascii="Arial" w:hAnsi="Arial" w:cs="Arial"/>
          <w:i/>
          <w:iCs/>
          <w:noProof/>
          <w:color w:val="000000" w:themeColor="text1"/>
          <w:sz w:val="20"/>
          <w:szCs w:val="24"/>
        </w:rPr>
        <w:t>PeerJ</w:t>
      </w:r>
      <w:r w:rsidRPr="00533EAC">
        <w:rPr>
          <w:rFonts w:ascii="Arial" w:hAnsi="Arial" w:cs="Arial"/>
          <w:noProof/>
          <w:color w:val="000000" w:themeColor="text1"/>
          <w:sz w:val="20"/>
          <w:szCs w:val="24"/>
        </w:rPr>
        <w:t xml:space="preserve">, </w:t>
      </w:r>
      <w:r w:rsidRPr="00533EAC">
        <w:rPr>
          <w:rFonts w:ascii="Arial" w:hAnsi="Arial" w:cs="Arial"/>
          <w:i/>
          <w:iCs/>
          <w:noProof/>
          <w:color w:val="000000" w:themeColor="text1"/>
          <w:sz w:val="20"/>
          <w:szCs w:val="24"/>
        </w:rPr>
        <w:t>2013</w:t>
      </w:r>
      <w:r w:rsidRPr="00533EAC">
        <w:rPr>
          <w:rFonts w:ascii="Arial" w:hAnsi="Arial" w:cs="Arial"/>
          <w:noProof/>
          <w:color w:val="000000" w:themeColor="text1"/>
          <w:sz w:val="20"/>
          <w:szCs w:val="24"/>
        </w:rPr>
        <w:t>(1). https://doi.org/10.7717/peerj.203</w:t>
      </w:r>
    </w:p>
    <w:p w14:paraId="60914E64" w14:textId="77777777" w:rsidR="00774474" w:rsidRPr="00533EAC" w:rsidRDefault="00774474" w:rsidP="00774474">
      <w:pPr>
        <w:widowControl w:val="0"/>
        <w:autoSpaceDE w:val="0"/>
        <w:autoSpaceDN w:val="0"/>
        <w:adjustRightInd w:val="0"/>
        <w:spacing w:after="0" w:line="360" w:lineRule="auto"/>
        <w:ind w:left="480" w:hanging="480"/>
        <w:rPr>
          <w:rFonts w:ascii="Arial" w:hAnsi="Arial" w:cs="Arial"/>
          <w:noProof/>
          <w:color w:val="000000" w:themeColor="text1"/>
          <w:sz w:val="20"/>
          <w:szCs w:val="24"/>
        </w:rPr>
      </w:pPr>
      <w:r w:rsidRPr="00533EAC">
        <w:rPr>
          <w:rFonts w:ascii="Arial" w:hAnsi="Arial" w:cs="Arial"/>
          <w:noProof/>
          <w:color w:val="000000" w:themeColor="text1"/>
          <w:sz w:val="20"/>
          <w:szCs w:val="24"/>
        </w:rPr>
        <w:t xml:space="preserve">Turpie JK, Beckley LE, Katua SM. 2000. Biogeography and the selection of priority areas for conservation of South African coastal fishes. </w:t>
      </w:r>
      <w:r w:rsidRPr="00533EAC">
        <w:rPr>
          <w:rFonts w:ascii="Arial" w:hAnsi="Arial" w:cs="Arial"/>
          <w:i/>
          <w:iCs/>
          <w:noProof/>
          <w:color w:val="000000" w:themeColor="text1"/>
          <w:sz w:val="20"/>
          <w:szCs w:val="24"/>
        </w:rPr>
        <w:t>Biological Conservation</w:t>
      </w:r>
      <w:r w:rsidRPr="00533EAC">
        <w:rPr>
          <w:rFonts w:ascii="Arial" w:hAnsi="Arial" w:cs="Arial"/>
          <w:noProof/>
          <w:color w:val="000000" w:themeColor="text1"/>
          <w:sz w:val="20"/>
          <w:szCs w:val="24"/>
        </w:rPr>
        <w:t xml:space="preserve">, </w:t>
      </w:r>
      <w:r w:rsidRPr="00533EAC">
        <w:rPr>
          <w:rFonts w:ascii="Arial" w:hAnsi="Arial" w:cs="Arial"/>
          <w:i/>
          <w:iCs/>
          <w:noProof/>
          <w:color w:val="000000" w:themeColor="text1"/>
          <w:sz w:val="20"/>
          <w:szCs w:val="24"/>
        </w:rPr>
        <w:t>92</w:t>
      </w:r>
      <w:r w:rsidRPr="00533EAC">
        <w:rPr>
          <w:rFonts w:ascii="Arial" w:hAnsi="Arial" w:cs="Arial"/>
          <w:noProof/>
          <w:color w:val="000000" w:themeColor="text1"/>
          <w:sz w:val="20"/>
          <w:szCs w:val="24"/>
        </w:rPr>
        <w:t>(1), 59–72. https://doi.org/10.1016/S0006-3207(99)00063-4</w:t>
      </w:r>
    </w:p>
    <w:p w14:paraId="41793310" w14:textId="77777777" w:rsidR="00774474" w:rsidRPr="00533EAC" w:rsidRDefault="00774474" w:rsidP="00774474">
      <w:pPr>
        <w:widowControl w:val="0"/>
        <w:autoSpaceDE w:val="0"/>
        <w:autoSpaceDN w:val="0"/>
        <w:adjustRightInd w:val="0"/>
        <w:spacing w:after="0" w:line="360" w:lineRule="auto"/>
        <w:ind w:left="480" w:hanging="480"/>
        <w:rPr>
          <w:rFonts w:ascii="Arial" w:hAnsi="Arial" w:cs="Arial"/>
          <w:noProof/>
          <w:color w:val="000000" w:themeColor="text1"/>
          <w:sz w:val="20"/>
          <w:szCs w:val="24"/>
        </w:rPr>
      </w:pPr>
      <w:r w:rsidRPr="00533EAC">
        <w:rPr>
          <w:rFonts w:ascii="Arial" w:hAnsi="Arial" w:cs="Arial"/>
          <w:noProof/>
          <w:color w:val="000000" w:themeColor="text1"/>
          <w:sz w:val="20"/>
          <w:szCs w:val="24"/>
        </w:rPr>
        <w:t xml:space="preserve">Van Oosterhout C, Hutchinson WF, Wills DPM, Shipley P. 2004. MICRO-CHECKER: Software for identifying and correcting genotyping errors in microsatellite data. </w:t>
      </w:r>
      <w:r w:rsidRPr="00533EAC">
        <w:rPr>
          <w:rFonts w:ascii="Arial" w:hAnsi="Arial" w:cs="Arial"/>
          <w:i/>
          <w:iCs/>
          <w:noProof/>
          <w:color w:val="000000" w:themeColor="text1"/>
          <w:sz w:val="20"/>
          <w:szCs w:val="24"/>
        </w:rPr>
        <w:t>Molecular Ecology Notes</w:t>
      </w:r>
      <w:r w:rsidRPr="00533EAC">
        <w:rPr>
          <w:rFonts w:ascii="Arial" w:hAnsi="Arial" w:cs="Arial"/>
          <w:noProof/>
          <w:color w:val="000000" w:themeColor="text1"/>
          <w:sz w:val="20"/>
          <w:szCs w:val="24"/>
        </w:rPr>
        <w:t xml:space="preserve">, </w:t>
      </w:r>
      <w:r w:rsidRPr="00533EAC">
        <w:rPr>
          <w:rFonts w:ascii="Arial" w:hAnsi="Arial" w:cs="Arial"/>
          <w:i/>
          <w:iCs/>
          <w:noProof/>
          <w:color w:val="000000" w:themeColor="text1"/>
          <w:sz w:val="20"/>
          <w:szCs w:val="24"/>
        </w:rPr>
        <w:t>4</w:t>
      </w:r>
      <w:r w:rsidRPr="00533EAC">
        <w:rPr>
          <w:rFonts w:ascii="Arial" w:hAnsi="Arial" w:cs="Arial"/>
          <w:noProof/>
          <w:color w:val="000000" w:themeColor="text1"/>
          <w:sz w:val="20"/>
          <w:szCs w:val="24"/>
        </w:rPr>
        <w:t>(3), 535–538. https://doi.org/10.1111/j.1471-8286.2004.00684.x</w:t>
      </w:r>
    </w:p>
    <w:p w14:paraId="61A8B365" w14:textId="77777777" w:rsidR="00774474" w:rsidRPr="00533EAC" w:rsidRDefault="00774474" w:rsidP="00774474">
      <w:pPr>
        <w:widowControl w:val="0"/>
        <w:autoSpaceDE w:val="0"/>
        <w:autoSpaceDN w:val="0"/>
        <w:adjustRightInd w:val="0"/>
        <w:spacing w:after="0" w:line="360" w:lineRule="auto"/>
        <w:ind w:left="480" w:hanging="480"/>
        <w:rPr>
          <w:rFonts w:ascii="Arial" w:hAnsi="Arial" w:cs="Arial"/>
          <w:noProof/>
          <w:color w:val="000000" w:themeColor="text1"/>
          <w:sz w:val="20"/>
          <w:szCs w:val="24"/>
        </w:rPr>
      </w:pPr>
      <w:r w:rsidRPr="00533EAC">
        <w:rPr>
          <w:rFonts w:ascii="Arial" w:hAnsi="Arial" w:cs="Arial"/>
          <w:noProof/>
          <w:color w:val="000000" w:themeColor="text1"/>
          <w:sz w:val="20"/>
          <w:szCs w:val="24"/>
        </w:rPr>
        <w:t xml:space="preserve">Vieira MLC, Santini L, Diniz AL, Munhoz C de F. 2016, July 1. Microsatellite markers: What they mean and why they are so useful. </w:t>
      </w:r>
      <w:r w:rsidRPr="00533EAC">
        <w:rPr>
          <w:rFonts w:ascii="Arial" w:hAnsi="Arial" w:cs="Arial"/>
          <w:i/>
          <w:iCs/>
          <w:noProof/>
          <w:color w:val="000000" w:themeColor="text1"/>
          <w:sz w:val="20"/>
          <w:szCs w:val="24"/>
        </w:rPr>
        <w:t>Genetics and Molecular Biology</w:t>
      </w:r>
      <w:r w:rsidRPr="00533EAC">
        <w:rPr>
          <w:rFonts w:ascii="Arial" w:hAnsi="Arial" w:cs="Arial"/>
          <w:noProof/>
          <w:color w:val="000000" w:themeColor="text1"/>
          <w:sz w:val="20"/>
          <w:szCs w:val="24"/>
        </w:rPr>
        <w:t xml:space="preserve">, Vol. 39, pp. 312–328. </w:t>
      </w:r>
      <w:r w:rsidRPr="00533EAC">
        <w:rPr>
          <w:rFonts w:ascii="Arial" w:hAnsi="Arial" w:cs="Arial"/>
          <w:noProof/>
          <w:color w:val="000000" w:themeColor="text1"/>
          <w:sz w:val="20"/>
          <w:szCs w:val="24"/>
        </w:rPr>
        <w:lastRenderedPageBreak/>
        <w:t>https://doi.org/10.1590/1678-4685-GMB-2016-0027</w:t>
      </w:r>
    </w:p>
    <w:p w14:paraId="1FF70794" w14:textId="77777777" w:rsidR="00774474" w:rsidRPr="00533EAC" w:rsidRDefault="00774474" w:rsidP="00774474">
      <w:pPr>
        <w:widowControl w:val="0"/>
        <w:autoSpaceDE w:val="0"/>
        <w:autoSpaceDN w:val="0"/>
        <w:adjustRightInd w:val="0"/>
        <w:spacing w:after="0" w:line="360" w:lineRule="auto"/>
        <w:ind w:left="480" w:hanging="480"/>
        <w:rPr>
          <w:rFonts w:ascii="Arial" w:hAnsi="Arial" w:cs="Arial"/>
          <w:noProof/>
          <w:color w:val="000000" w:themeColor="text1"/>
          <w:sz w:val="20"/>
          <w:szCs w:val="24"/>
        </w:rPr>
      </w:pPr>
      <w:r w:rsidRPr="00533EAC">
        <w:rPr>
          <w:rFonts w:ascii="Arial" w:hAnsi="Arial" w:cs="Arial"/>
          <w:noProof/>
          <w:color w:val="000000" w:themeColor="text1"/>
          <w:sz w:val="20"/>
          <w:szCs w:val="24"/>
        </w:rPr>
        <w:t xml:space="preserve">Weber JL, Wong C. 1993. Mutation of human short tandem repeats. </w:t>
      </w:r>
      <w:r w:rsidRPr="00533EAC">
        <w:rPr>
          <w:rFonts w:ascii="Arial" w:hAnsi="Arial" w:cs="Arial"/>
          <w:i/>
          <w:iCs/>
          <w:noProof/>
          <w:color w:val="000000" w:themeColor="text1"/>
          <w:sz w:val="20"/>
          <w:szCs w:val="24"/>
        </w:rPr>
        <w:t>Human Molecular Genetics</w:t>
      </w:r>
      <w:r w:rsidRPr="00533EAC">
        <w:rPr>
          <w:rFonts w:ascii="Arial" w:hAnsi="Arial" w:cs="Arial"/>
          <w:noProof/>
          <w:color w:val="000000" w:themeColor="text1"/>
          <w:sz w:val="20"/>
          <w:szCs w:val="24"/>
        </w:rPr>
        <w:t xml:space="preserve">, </w:t>
      </w:r>
      <w:r w:rsidRPr="00533EAC">
        <w:rPr>
          <w:rFonts w:ascii="Arial" w:hAnsi="Arial" w:cs="Arial"/>
          <w:i/>
          <w:iCs/>
          <w:noProof/>
          <w:color w:val="000000" w:themeColor="text1"/>
          <w:sz w:val="20"/>
          <w:szCs w:val="24"/>
        </w:rPr>
        <w:t>2</w:t>
      </w:r>
      <w:r w:rsidRPr="00533EAC">
        <w:rPr>
          <w:rFonts w:ascii="Arial" w:hAnsi="Arial" w:cs="Arial"/>
          <w:noProof/>
          <w:color w:val="000000" w:themeColor="text1"/>
          <w:sz w:val="20"/>
          <w:szCs w:val="24"/>
        </w:rPr>
        <w:t>(8), 1123–1128. https://doi.org/10.1093/hmg/2.8.1123</w:t>
      </w:r>
    </w:p>
    <w:p w14:paraId="62EA8318" w14:textId="77777777" w:rsidR="00774474" w:rsidRPr="00533EAC" w:rsidRDefault="00774474" w:rsidP="00774474">
      <w:pPr>
        <w:widowControl w:val="0"/>
        <w:autoSpaceDE w:val="0"/>
        <w:autoSpaceDN w:val="0"/>
        <w:adjustRightInd w:val="0"/>
        <w:spacing w:after="0" w:line="360" w:lineRule="auto"/>
        <w:ind w:left="480" w:hanging="480"/>
        <w:rPr>
          <w:rFonts w:ascii="Arial" w:hAnsi="Arial" w:cs="Arial"/>
          <w:noProof/>
          <w:color w:val="000000" w:themeColor="text1"/>
          <w:sz w:val="20"/>
          <w:szCs w:val="24"/>
        </w:rPr>
      </w:pPr>
      <w:r w:rsidRPr="00533EAC">
        <w:rPr>
          <w:rFonts w:ascii="Arial" w:hAnsi="Arial" w:cs="Arial"/>
          <w:noProof/>
          <w:color w:val="000000" w:themeColor="text1"/>
          <w:sz w:val="20"/>
          <w:szCs w:val="24"/>
        </w:rPr>
        <w:t xml:space="preserve">Zane L, Bargelloni L, Patarnello T. 2002. Strategies for microsatellite isolation: a review. </w:t>
      </w:r>
      <w:r w:rsidRPr="00533EAC">
        <w:rPr>
          <w:rFonts w:ascii="Arial" w:hAnsi="Arial" w:cs="Arial"/>
          <w:i/>
          <w:iCs/>
          <w:noProof/>
          <w:color w:val="000000" w:themeColor="text1"/>
          <w:sz w:val="20"/>
          <w:szCs w:val="24"/>
        </w:rPr>
        <w:t>Molecular Ecology</w:t>
      </w:r>
      <w:r w:rsidRPr="00533EAC">
        <w:rPr>
          <w:rFonts w:ascii="Arial" w:hAnsi="Arial" w:cs="Arial"/>
          <w:noProof/>
          <w:color w:val="000000" w:themeColor="text1"/>
          <w:sz w:val="20"/>
          <w:szCs w:val="24"/>
        </w:rPr>
        <w:t xml:space="preserve">, </w:t>
      </w:r>
      <w:r w:rsidRPr="00533EAC">
        <w:rPr>
          <w:rFonts w:ascii="Arial" w:hAnsi="Arial" w:cs="Arial"/>
          <w:i/>
          <w:iCs/>
          <w:noProof/>
          <w:color w:val="000000" w:themeColor="text1"/>
          <w:sz w:val="20"/>
          <w:szCs w:val="24"/>
        </w:rPr>
        <w:t>11</w:t>
      </w:r>
      <w:r w:rsidRPr="00533EAC">
        <w:rPr>
          <w:rFonts w:ascii="Arial" w:hAnsi="Arial" w:cs="Arial"/>
          <w:noProof/>
          <w:color w:val="000000" w:themeColor="text1"/>
          <w:sz w:val="20"/>
          <w:szCs w:val="24"/>
        </w:rPr>
        <w:t>(1), 1–16. https://doi.org/10.1046/j.0962-1083.2001.01418.x</w:t>
      </w:r>
    </w:p>
    <w:p w14:paraId="59B410C0" w14:textId="77777777" w:rsidR="00774474" w:rsidRPr="00533EAC" w:rsidRDefault="00774474" w:rsidP="00774474">
      <w:pPr>
        <w:widowControl w:val="0"/>
        <w:autoSpaceDE w:val="0"/>
        <w:autoSpaceDN w:val="0"/>
        <w:adjustRightInd w:val="0"/>
        <w:spacing w:after="0" w:line="360" w:lineRule="auto"/>
        <w:ind w:left="480" w:hanging="480"/>
        <w:rPr>
          <w:rFonts w:ascii="Arial" w:hAnsi="Arial" w:cs="Arial"/>
          <w:noProof/>
          <w:color w:val="000000" w:themeColor="text1"/>
          <w:sz w:val="20"/>
        </w:rPr>
      </w:pPr>
      <w:r w:rsidRPr="00533EAC">
        <w:rPr>
          <w:rFonts w:ascii="Arial" w:hAnsi="Arial" w:cs="Arial"/>
          <w:noProof/>
          <w:color w:val="000000" w:themeColor="text1"/>
          <w:sz w:val="20"/>
          <w:szCs w:val="24"/>
        </w:rPr>
        <w:t xml:space="preserve">Zhang DX, Hewitt GM. 2003, March 1. Nuclear DNA analyses in genetic studies of populations: Practice, problems and prospects. </w:t>
      </w:r>
      <w:r w:rsidRPr="00533EAC">
        <w:rPr>
          <w:rFonts w:ascii="Arial" w:hAnsi="Arial" w:cs="Arial"/>
          <w:i/>
          <w:iCs/>
          <w:noProof/>
          <w:color w:val="000000" w:themeColor="text1"/>
          <w:sz w:val="20"/>
          <w:szCs w:val="24"/>
        </w:rPr>
        <w:t>Molecular Ecology</w:t>
      </w:r>
      <w:r w:rsidRPr="00533EAC">
        <w:rPr>
          <w:rFonts w:ascii="Arial" w:hAnsi="Arial" w:cs="Arial"/>
          <w:noProof/>
          <w:color w:val="000000" w:themeColor="text1"/>
          <w:sz w:val="20"/>
          <w:szCs w:val="24"/>
        </w:rPr>
        <w:t>, Vol. 12, pp. 563–584. https://doi.org/10.1046/j.1365-294X.2003.01773.x</w:t>
      </w:r>
    </w:p>
    <w:p w14:paraId="3BE5F572" w14:textId="77777777" w:rsidR="005633D6" w:rsidRPr="00533EAC" w:rsidRDefault="005633D6" w:rsidP="00C05A32">
      <w:pPr>
        <w:widowControl w:val="0"/>
        <w:autoSpaceDE w:val="0"/>
        <w:autoSpaceDN w:val="0"/>
        <w:adjustRightInd w:val="0"/>
        <w:spacing w:after="0" w:line="360" w:lineRule="auto"/>
        <w:jc w:val="both"/>
        <w:rPr>
          <w:rFonts w:ascii="Arial" w:eastAsia="Calibri" w:hAnsi="Arial" w:cs="Arial"/>
          <w:noProof/>
          <w:color w:val="000000" w:themeColor="text1"/>
          <w:lang w:val="en-ZA"/>
        </w:rPr>
      </w:pPr>
      <w:r w:rsidRPr="00533EAC">
        <w:rPr>
          <w:rFonts w:ascii="Arial" w:eastAsia="Calibri" w:hAnsi="Arial" w:cs="Arial"/>
          <w:noProof/>
          <w:color w:val="000000" w:themeColor="text1"/>
          <w:sz w:val="20"/>
          <w:szCs w:val="20"/>
          <w:lang w:val="en-ZA"/>
        </w:rPr>
        <w:fldChar w:fldCharType="end"/>
      </w:r>
    </w:p>
    <w:p w14:paraId="0005E9BD" w14:textId="0D59214F" w:rsidR="005633D6" w:rsidRPr="00533EAC" w:rsidRDefault="00493E6C" w:rsidP="00C05A32">
      <w:pPr>
        <w:widowControl w:val="0"/>
        <w:autoSpaceDE w:val="0"/>
        <w:autoSpaceDN w:val="0"/>
        <w:adjustRightInd w:val="0"/>
        <w:spacing w:after="0" w:line="360" w:lineRule="auto"/>
        <w:ind w:left="709" w:hanging="709"/>
        <w:jc w:val="both"/>
        <w:rPr>
          <w:rFonts w:ascii="Arial" w:hAnsi="Arial" w:cs="Arial"/>
          <w:b/>
          <w:noProof/>
          <w:color w:val="000000" w:themeColor="text1"/>
          <w:lang w:val="en-ZA"/>
        </w:rPr>
      </w:pPr>
      <w:r w:rsidRPr="00533EAC">
        <w:rPr>
          <w:rFonts w:ascii="Arial" w:hAnsi="Arial" w:cs="Arial"/>
          <w:b/>
          <w:noProof/>
          <w:color w:val="000000" w:themeColor="text1"/>
          <w:lang w:val="en-ZA"/>
        </w:rPr>
        <w:t>Figure legend</w:t>
      </w:r>
    </w:p>
    <w:p w14:paraId="22F530EC" w14:textId="46ED5317" w:rsidR="00493E6C" w:rsidRPr="00533EAC" w:rsidRDefault="00493E6C" w:rsidP="00C05A32">
      <w:pPr>
        <w:widowControl w:val="0"/>
        <w:autoSpaceDE w:val="0"/>
        <w:autoSpaceDN w:val="0"/>
        <w:adjustRightInd w:val="0"/>
        <w:spacing w:after="0" w:line="360" w:lineRule="auto"/>
        <w:ind w:left="709" w:hanging="709"/>
        <w:jc w:val="both"/>
        <w:rPr>
          <w:rFonts w:ascii="Arial" w:hAnsi="Arial" w:cs="Arial"/>
          <w:noProof/>
          <w:color w:val="000000" w:themeColor="text1"/>
          <w:sz w:val="20"/>
          <w:szCs w:val="20"/>
          <w:lang w:val="en-ZA"/>
        </w:rPr>
      </w:pPr>
    </w:p>
    <w:p w14:paraId="06D7FF45" w14:textId="682A913F" w:rsidR="00493E6C" w:rsidRPr="00533EAC" w:rsidRDefault="00493E6C" w:rsidP="00C05A32">
      <w:pPr>
        <w:spacing w:after="0" w:line="360" w:lineRule="auto"/>
        <w:jc w:val="both"/>
        <w:rPr>
          <w:rFonts w:ascii="Arial" w:eastAsia="Calibri" w:hAnsi="Arial" w:cs="Arial"/>
          <w:color w:val="000000" w:themeColor="text1"/>
          <w:sz w:val="20"/>
          <w:szCs w:val="20"/>
          <w:lang w:val="en-ZA"/>
        </w:rPr>
      </w:pPr>
      <w:r w:rsidRPr="00533EAC">
        <w:rPr>
          <w:rFonts w:ascii="Arial" w:eastAsia="Calibri" w:hAnsi="Arial" w:cs="Arial"/>
          <w:b/>
          <w:color w:val="000000" w:themeColor="text1"/>
          <w:sz w:val="20"/>
          <w:szCs w:val="20"/>
          <w:lang w:val="en-ZA"/>
        </w:rPr>
        <w:t>Figure 1:</w:t>
      </w:r>
      <w:r w:rsidRPr="00533EAC">
        <w:rPr>
          <w:rFonts w:ascii="Arial" w:eastAsia="Calibri" w:hAnsi="Arial" w:cs="Arial"/>
          <w:color w:val="000000" w:themeColor="text1"/>
          <w:sz w:val="20"/>
          <w:szCs w:val="20"/>
          <w:lang w:val="en-ZA"/>
        </w:rPr>
        <w:t xml:space="preserve"> </w:t>
      </w:r>
      <w:r w:rsidR="00D27E73" w:rsidRPr="00533EAC">
        <w:rPr>
          <w:rFonts w:ascii="Arial" w:eastAsia="Calibri" w:hAnsi="Arial" w:cs="Arial"/>
          <w:color w:val="000000" w:themeColor="text1"/>
          <w:sz w:val="20"/>
          <w:szCs w:val="20"/>
          <w:lang w:val="en-ZA"/>
        </w:rPr>
        <w:t xml:space="preserve">Bayesian </w:t>
      </w:r>
      <w:r w:rsidRPr="00533EAC">
        <w:rPr>
          <w:rFonts w:ascii="Arial" w:eastAsia="Calibri" w:hAnsi="Arial" w:cs="Arial"/>
          <w:color w:val="000000" w:themeColor="text1"/>
          <w:sz w:val="20"/>
          <w:szCs w:val="20"/>
          <w:lang w:val="en-ZA"/>
        </w:rPr>
        <w:t>phylogenetic tree, based on 13</w:t>
      </w:r>
      <w:r w:rsidR="0087084F" w:rsidRPr="00533EAC">
        <w:rPr>
          <w:rFonts w:ascii="Arial" w:eastAsia="Calibri" w:hAnsi="Arial" w:cs="Arial"/>
          <w:color w:val="000000" w:themeColor="text1"/>
          <w:sz w:val="20"/>
          <w:szCs w:val="20"/>
          <w:lang w:val="en-ZA"/>
        </w:rPr>
        <w:t xml:space="preserve"> </w:t>
      </w:r>
      <w:r w:rsidR="00D27E73" w:rsidRPr="00533EAC">
        <w:rPr>
          <w:rFonts w:ascii="Arial" w:eastAsia="Calibri" w:hAnsi="Arial" w:cs="Arial"/>
          <w:color w:val="000000" w:themeColor="text1"/>
          <w:sz w:val="20"/>
          <w:szCs w:val="20"/>
          <w:lang w:val="en-ZA"/>
        </w:rPr>
        <w:t xml:space="preserve">partial concatenated </w:t>
      </w:r>
      <w:r w:rsidR="0087084F" w:rsidRPr="00533EAC">
        <w:rPr>
          <w:rFonts w:ascii="Arial" w:eastAsia="Calibri" w:hAnsi="Arial" w:cs="Arial"/>
          <w:color w:val="000000" w:themeColor="text1"/>
          <w:sz w:val="20"/>
          <w:szCs w:val="20"/>
          <w:lang w:val="en-ZA"/>
        </w:rPr>
        <w:t>protein-coding genes</w:t>
      </w:r>
      <w:r w:rsidRPr="00533EAC">
        <w:rPr>
          <w:rFonts w:ascii="Arial" w:eastAsia="Calibri" w:hAnsi="Arial" w:cs="Arial"/>
          <w:color w:val="000000" w:themeColor="text1"/>
          <w:sz w:val="20"/>
          <w:szCs w:val="20"/>
          <w:lang w:val="en-ZA"/>
        </w:rPr>
        <w:t xml:space="preserve"> </w:t>
      </w:r>
      <w:r w:rsidR="0087084F" w:rsidRPr="00533EAC">
        <w:rPr>
          <w:rFonts w:ascii="Arial" w:eastAsia="Calibri" w:hAnsi="Arial" w:cs="Arial"/>
          <w:color w:val="000000" w:themeColor="text1"/>
          <w:sz w:val="20"/>
          <w:szCs w:val="20"/>
          <w:lang w:val="en-ZA"/>
        </w:rPr>
        <w:t>(</w:t>
      </w:r>
      <w:r w:rsidRPr="00533EAC">
        <w:rPr>
          <w:rFonts w:ascii="Arial" w:eastAsia="Calibri" w:hAnsi="Arial" w:cs="Arial"/>
          <w:color w:val="000000" w:themeColor="text1"/>
          <w:sz w:val="20"/>
          <w:szCs w:val="20"/>
          <w:lang w:val="en-ZA"/>
        </w:rPr>
        <w:t>PCGs</w:t>
      </w:r>
      <w:r w:rsidR="0087084F" w:rsidRPr="00533EAC">
        <w:rPr>
          <w:rFonts w:ascii="Arial" w:eastAsia="Calibri" w:hAnsi="Arial" w:cs="Arial"/>
          <w:color w:val="000000" w:themeColor="text1"/>
          <w:sz w:val="20"/>
          <w:szCs w:val="20"/>
          <w:lang w:val="en-ZA"/>
        </w:rPr>
        <w:t>)</w:t>
      </w:r>
      <w:r w:rsidRPr="00533EAC">
        <w:rPr>
          <w:rFonts w:ascii="Arial" w:eastAsia="Calibri" w:hAnsi="Arial" w:cs="Arial"/>
          <w:color w:val="000000" w:themeColor="text1"/>
          <w:sz w:val="20"/>
          <w:szCs w:val="20"/>
          <w:lang w:val="en-ZA"/>
        </w:rPr>
        <w:t xml:space="preserve">, of </w:t>
      </w:r>
      <w:r w:rsidRPr="00533EAC">
        <w:rPr>
          <w:rFonts w:ascii="Arial" w:eastAsia="Calibri" w:hAnsi="Arial" w:cs="Arial"/>
          <w:i/>
          <w:iCs/>
          <w:color w:val="000000" w:themeColor="text1"/>
          <w:sz w:val="20"/>
          <w:szCs w:val="20"/>
          <w:lang w:val="en-ZA"/>
        </w:rPr>
        <w:t>Pyura stolonifera and P. herdmani</w:t>
      </w:r>
      <w:r w:rsidRPr="00533EAC">
        <w:rPr>
          <w:rFonts w:ascii="Arial" w:eastAsia="Calibri" w:hAnsi="Arial" w:cs="Arial"/>
          <w:color w:val="000000" w:themeColor="text1"/>
          <w:sz w:val="20"/>
          <w:szCs w:val="20"/>
          <w:lang w:val="en-ZA"/>
        </w:rPr>
        <w:t xml:space="preserve"> from four different bioregions. </w:t>
      </w:r>
      <w:r w:rsidR="0087084F" w:rsidRPr="00533EAC">
        <w:rPr>
          <w:rFonts w:ascii="Arial" w:eastAsia="Calibri" w:hAnsi="Arial" w:cs="Arial"/>
          <w:color w:val="000000" w:themeColor="text1"/>
          <w:sz w:val="20"/>
          <w:szCs w:val="20"/>
          <w:lang w:val="en-ZA"/>
        </w:rPr>
        <w:t xml:space="preserve">The </w:t>
      </w:r>
      <w:r w:rsidRPr="00533EAC">
        <w:rPr>
          <w:rFonts w:ascii="Arial" w:eastAsia="Calibri" w:hAnsi="Arial" w:cs="Arial"/>
          <w:color w:val="000000" w:themeColor="text1"/>
          <w:sz w:val="20"/>
          <w:szCs w:val="20"/>
          <w:lang w:val="en-ZA"/>
        </w:rPr>
        <w:t xml:space="preserve">tree </w:t>
      </w:r>
      <w:r w:rsidR="00473DC4" w:rsidRPr="00533EAC">
        <w:rPr>
          <w:rFonts w:ascii="Arial" w:eastAsia="Calibri" w:hAnsi="Arial" w:cs="Arial"/>
          <w:color w:val="000000" w:themeColor="text1"/>
          <w:sz w:val="20"/>
          <w:szCs w:val="20"/>
          <w:lang w:val="en-ZA"/>
        </w:rPr>
        <w:t xml:space="preserve">was </w:t>
      </w:r>
      <w:r w:rsidRPr="00533EAC">
        <w:rPr>
          <w:rFonts w:ascii="Arial" w:eastAsia="Calibri" w:hAnsi="Arial" w:cs="Arial"/>
          <w:color w:val="000000" w:themeColor="text1"/>
          <w:sz w:val="20"/>
          <w:szCs w:val="20"/>
          <w:lang w:val="en-ZA"/>
        </w:rPr>
        <w:t xml:space="preserve">constructed using the HKY substitution model. </w:t>
      </w:r>
      <w:r w:rsidR="0087084F" w:rsidRPr="00533EAC">
        <w:rPr>
          <w:rFonts w:ascii="Arial" w:eastAsia="Calibri" w:hAnsi="Arial" w:cs="Arial"/>
          <w:color w:val="000000" w:themeColor="text1"/>
          <w:sz w:val="20"/>
          <w:szCs w:val="20"/>
          <w:lang w:val="en-ZA"/>
        </w:rPr>
        <w:t xml:space="preserve">The </w:t>
      </w:r>
      <w:r w:rsidRPr="00533EAC">
        <w:rPr>
          <w:rFonts w:ascii="Arial" w:eastAsia="Calibri" w:hAnsi="Arial" w:cs="Arial"/>
          <w:color w:val="000000" w:themeColor="text1"/>
          <w:sz w:val="20"/>
          <w:szCs w:val="20"/>
          <w:lang w:val="en-ZA"/>
        </w:rPr>
        <w:t>M</w:t>
      </w:r>
      <w:r w:rsidR="0087084F" w:rsidRPr="00533EAC">
        <w:rPr>
          <w:rFonts w:ascii="Arial" w:eastAsia="Calibri" w:hAnsi="Arial" w:cs="Arial"/>
          <w:color w:val="000000" w:themeColor="text1"/>
          <w:sz w:val="20"/>
          <w:szCs w:val="20"/>
          <w:lang w:val="en-ZA"/>
        </w:rPr>
        <w:t xml:space="preserve">arkov chain </w:t>
      </w:r>
      <w:r w:rsidRPr="00533EAC">
        <w:rPr>
          <w:rFonts w:ascii="Arial" w:eastAsia="Calibri" w:hAnsi="Arial" w:cs="Arial"/>
          <w:color w:val="000000" w:themeColor="text1"/>
          <w:sz w:val="20"/>
          <w:szCs w:val="20"/>
          <w:lang w:val="en-ZA"/>
        </w:rPr>
        <w:t>M</w:t>
      </w:r>
      <w:r w:rsidR="0087084F" w:rsidRPr="00533EAC">
        <w:rPr>
          <w:rFonts w:ascii="Arial" w:eastAsia="Calibri" w:hAnsi="Arial" w:cs="Arial"/>
          <w:color w:val="000000" w:themeColor="text1"/>
          <w:sz w:val="20"/>
          <w:szCs w:val="20"/>
          <w:lang w:val="en-ZA"/>
        </w:rPr>
        <w:t xml:space="preserve">onte </w:t>
      </w:r>
      <w:r w:rsidRPr="00533EAC">
        <w:rPr>
          <w:rFonts w:ascii="Arial" w:eastAsia="Calibri" w:hAnsi="Arial" w:cs="Arial"/>
          <w:color w:val="000000" w:themeColor="text1"/>
          <w:sz w:val="20"/>
          <w:szCs w:val="20"/>
          <w:lang w:val="en-ZA"/>
        </w:rPr>
        <w:t>C</w:t>
      </w:r>
      <w:r w:rsidR="0087084F" w:rsidRPr="00533EAC">
        <w:rPr>
          <w:rFonts w:ascii="Arial" w:eastAsia="Calibri" w:hAnsi="Arial" w:cs="Arial"/>
          <w:color w:val="000000" w:themeColor="text1"/>
          <w:sz w:val="20"/>
          <w:szCs w:val="20"/>
          <w:lang w:val="en-ZA"/>
        </w:rPr>
        <w:t>arlo</w:t>
      </w:r>
      <w:r w:rsidRPr="00533EAC">
        <w:rPr>
          <w:rFonts w:ascii="Arial" w:eastAsia="Calibri" w:hAnsi="Arial" w:cs="Arial"/>
          <w:color w:val="000000" w:themeColor="text1"/>
          <w:sz w:val="20"/>
          <w:szCs w:val="20"/>
          <w:lang w:val="en-ZA"/>
        </w:rPr>
        <w:t xml:space="preserve"> method was set with 10 million iterations </w:t>
      </w:r>
      <w:r w:rsidR="00D27E73" w:rsidRPr="00533EAC">
        <w:rPr>
          <w:rFonts w:ascii="Arial" w:eastAsia="Calibri" w:hAnsi="Arial" w:cs="Arial"/>
          <w:color w:val="000000" w:themeColor="text1"/>
          <w:sz w:val="20"/>
          <w:szCs w:val="20"/>
          <w:lang w:val="en-ZA"/>
        </w:rPr>
        <w:t>following a</w:t>
      </w:r>
      <w:r w:rsidRPr="00533EAC">
        <w:rPr>
          <w:rFonts w:ascii="Arial" w:eastAsia="Calibri" w:hAnsi="Arial" w:cs="Arial"/>
          <w:color w:val="000000" w:themeColor="text1"/>
          <w:sz w:val="20"/>
          <w:szCs w:val="20"/>
          <w:lang w:val="en-ZA"/>
        </w:rPr>
        <w:t xml:space="preserve"> 20% burn</w:t>
      </w:r>
      <w:r w:rsidR="0087084F" w:rsidRPr="00533EAC">
        <w:rPr>
          <w:rFonts w:ascii="Arial" w:eastAsia="Calibri" w:hAnsi="Arial" w:cs="Arial"/>
          <w:color w:val="000000" w:themeColor="text1"/>
          <w:sz w:val="20"/>
          <w:szCs w:val="20"/>
          <w:lang w:val="en-ZA"/>
        </w:rPr>
        <w:t>-</w:t>
      </w:r>
      <w:r w:rsidRPr="00533EAC">
        <w:rPr>
          <w:rFonts w:ascii="Arial" w:eastAsia="Calibri" w:hAnsi="Arial" w:cs="Arial"/>
          <w:color w:val="000000" w:themeColor="text1"/>
          <w:sz w:val="20"/>
          <w:szCs w:val="20"/>
          <w:lang w:val="en-ZA"/>
        </w:rPr>
        <w:t xml:space="preserve">in. </w:t>
      </w:r>
      <w:r w:rsidRPr="00533EAC">
        <w:rPr>
          <w:rFonts w:ascii="Arial" w:eastAsia="Calibri" w:hAnsi="Arial" w:cs="Arial"/>
          <w:i/>
          <w:iCs/>
          <w:color w:val="000000" w:themeColor="text1"/>
          <w:sz w:val="20"/>
          <w:szCs w:val="20"/>
          <w:lang w:val="en-ZA"/>
        </w:rPr>
        <w:t xml:space="preserve">Pyura </w:t>
      </w:r>
      <w:proofErr w:type="spellStart"/>
      <w:r w:rsidRPr="00533EAC">
        <w:rPr>
          <w:rFonts w:ascii="Arial" w:eastAsia="Calibri" w:hAnsi="Arial" w:cs="Arial"/>
          <w:i/>
          <w:iCs/>
          <w:color w:val="000000" w:themeColor="text1"/>
          <w:sz w:val="20"/>
          <w:szCs w:val="20"/>
          <w:lang w:val="en-ZA"/>
        </w:rPr>
        <w:t>gangelion</w:t>
      </w:r>
      <w:proofErr w:type="spellEnd"/>
      <w:r w:rsidRPr="00533EAC">
        <w:rPr>
          <w:rFonts w:ascii="Arial" w:eastAsia="Calibri" w:hAnsi="Arial" w:cs="Arial"/>
          <w:color w:val="000000" w:themeColor="text1"/>
          <w:sz w:val="20"/>
          <w:szCs w:val="20"/>
          <w:lang w:val="en-ZA"/>
        </w:rPr>
        <w:t xml:space="preserve"> was used as</w:t>
      </w:r>
      <w:r w:rsidR="0087084F" w:rsidRPr="00533EAC">
        <w:rPr>
          <w:rFonts w:ascii="Arial" w:eastAsia="Calibri" w:hAnsi="Arial" w:cs="Arial"/>
          <w:color w:val="000000" w:themeColor="text1"/>
          <w:sz w:val="20"/>
          <w:szCs w:val="20"/>
          <w:lang w:val="en-ZA"/>
        </w:rPr>
        <w:t xml:space="preserve"> the</w:t>
      </w:r>
      <w:r w:rsidRPr="00533EAC">
        <w:rPr>
          <w:rFonts w:ascii="Arial" w:eastAsia="Calibri" w:hAnsi="Arial" w:cs="Arial"/>
          <w:color w:val="000000" w:themeColor="text1"/>
          <w:sz w:val="20"/>
          <w:szCs w:val="20"/>
          <w:lang w:val="en-ZA"/>
        </w:rPr>
        <w:t xml:space="preserve"> outgroup. Posterior probability values</w:t>
      </w:r>
      <w:r w:rsidR="0087084F" w:rsidRPr="00533EAC">
        <w:rPr>
          <w:rFonts w:ascii="Arial" w:eastAsia="Calibri" w:hAnsi="Arial" w:cs="Arial"/>
          <w:color w:val="000000" w:themeColor="text1"/>
          <w:sz w:val="20"/>
          <w:szCs w:val="20"/>
          <w:lang w:val="en-ZA"/>
        </w:rPr>
        <w:t xml:space="preserve"> are</w:t>
      </w:r>
      <w:r w:rsidRPr="00533EAC">
        <w:rPr>
          <w:rFonts w:ascii="Arial" w:eastAsia="Calibri" w:hAnsi="Arial" w:cs="Arial"/>
          <w:color w:val="000000" w:themeColor="text1"/>
          <w:sz w:val="20"/>
          <w:szCs w:val="20"/>
          <w:lang w:val="en-ZA"/>
        </w:rPr>
        <w:t xml:space="preserve"> </w:t>
      </w:r>
      <w:r w:rsidR="0087084F" w:rsidRPr="00533EAC">
        <w:rPr>
          <w:rFonts w:ascii="Arial" w:eastAsia="Calibri" w:hAnsi="Arial" w:cs="Arial"/>
          <w:color w:val="000000" w:themeColor="text1"/>
          <w:sz w:val="20"/>
          <w:szCs w:val="20"/>
          <w:lang w:val="en-ZA"/>
        </w:rPr>
        <w:t xml:space="preserve">shown </w:t>
      </w:r>
      <w:r w:rsidRPr="00533EAC">
        <w:rPr>
          <w:rFonts w:ascii="Arial" w:eastAsia="Calibri" w:hAnsi="Arial" w:cs="Arial"/>
          <w:color w:val="000000" w:themeColor="text1"/>
          <w:sz w:val="20"/>
          <w:szCs w:val="20"/>
          <w:lang w:val="en-ZA"/>
        </w:rPr>
        <w:t>at each branch node. The scale axis shows the substitution rate</w:t>
      </w:r>
    </w:p>
    <w:p w14:paraId="3E601697" w14:textId="77777777" w:rsidR="00493E6C" w:rsidRPr="00533EAC" w:rsidRDefault="00493E6C" w:rsidP="005633D6">
      <w:pPr>
        <w:keepNext/>
        <w:spacing w:after="200" w:line="240" w:lineRule="auto"/>
        <w:rPr>
          <w:rFonts w:ascii="Times New Roman" w:eastAsia="Calibri" w:hAnsi="Times New Roman" w:cs="Times New Roman"/>
          <w:b/>
          <w:bCs/>
          <w:color w:val="000000" w:themeColor="text1"/>
          <w:sz w:val="24"/>
          <w:szCs w:val="24"/>
          <w:lang w:val="en-ZA"/>
        </w:rPr>
        <w:sectPr w:rsidR="00493E6C" w:rsidRPr="00533EAC" w:rsidSect="005565B0">
          <w:footerReference w:type="default" r:id="rId8"/>
          <w:pgSz w:w="11906" w:h="16838"/>
          <w:pgMar w:top="1418" w:right="1418" w:bottom="1134" w:left="1418" w:header="709" w:footer="709" w:gutter="0"/>
          <w:lnNumType w:countBy="1" w:restart="continuous"/>
          <w:cols w:space="708"/>
          <w:docGrid w:linePitch="360"/>
        </w:sectPr>
      </w:pPr>
    </w:p>
    <w:p w14:paraId="7DE4AA88" w14:textId="37095F18" w:rsidR="005633D6" w:rsidRPr="00533EAC" w:rsidRDefault="005633D6" w:rsidP="00C05A32">
      <w:pPr>
        <w:widowControl w:val="0"/>
        <w:autoSpaceDE w:val="0"/>
        <w:autoSpaceDN w:val="0"/>
        <w:adjustRightInd w:val="0"/>
        <w:spacing w:after="0" w:line="360" w:lineRule="auto"/>
        <w:rPr>
          <w:rFonts w:ascii="Arial" w:eastAsia="Calibri" w:hAnsi="Arial" w:cs="Arial"/>
          <w:bCs/>
          <w:color w:val="000000" w:themeColor="text1"/>
          <w:sz w:val="20"/>
          <w:szCs w:val="20"/>
          <w:lang w:val="en-ZA"/>
        </w:rPr>
      </w:pPr>
      <w:r w:rsidRPr="00533EAC">
        <w:rPr>
          <w:rFonts w:ascii="Arial" w:eastAsia="Calibri" w:hAnsi="Arial" w:cs="Arial"/>
          <w:b/>
          <w:bCs/>
          <w:color w:val="000000" w:themeColor="text1"/>
          <w:sz w:val="20"/>
          <w:szCs w:val="20"/>
          <w:lang w:val="en-ZA"/>
        </w:rPr>
        <w:lastRenderedPageBreak/>
        <w:t xml:space="preserve">Table </w:t>
      </w:r>
      <w:r w:rsidRPr="00533EAC">
        <w:rPr>
          <w:rFonts w:ascii="Arial" w:eastAsia="Calibri" w:hAnsi="Arial" w:cs="Arial"/>
          <w:b/>
          <w:bCs/>
          <w:color w:val="000000" w:themeColor="text1"/>
          <w:sz w:val="20"/>
          <w:szCs w:val="20"/>
          <w:lang w:val="en-ZA"/>
        </w:rPr>
        <w:fldChar w:fldCharType="begin"/>
      </w:r>
      <w:r w:rsidRPr="00533EAC">
        <w:rPr>
          <w:rFonts w:ascii="Arial" w:eastAsia="Calibri" w:hAnsi="Arial" w:cs="Arial"/>
          <w:b/>
          <w:bCs/>
          <w:color w:val="000000" w:themeColor="text1"/>
          <w:sz w:val="20"/>
          <w:szCs w:val="20"/>
          <w:lang w:val="en-ZA"/>
        </w:rPr>
        <w:instrText xml:space="preserve"> SEQ Table \* ARABIC </w:instrText>
      </w:r>
      <w:r w:rsidRPr="00533EAC">
        <w:rPr>
          <w:rFonts w:ascii="Arial" w:eastAsia="Calibri" w:hAnsi="Arial" w:cs="Arial"/>
          <w:b/>
          <w:bCs/>
          <w:color w:val="000000" w:themeColor="text1"/>
          <w:sz w:val="20"/>
          <w:szCs w:val="20"/>
          <w:lang w:val="en-ZA"/>
        </w:rPr>
        <w:fldChar w:fldCharType="separate"/>
      </w:r>
      <w:r w:rsidR="005D4553" w:rsidRPr="00533EAC">
        <w:rPr>
          <w:rFonts w:ascii="Arial" w:eastAsia="Calibri" w:hAnsi="Arial" w:cs="Arial"/>
          <w:b/>
          <w:bCs/>
          <w:noProof/>
          <w:color w:val="000000" w:themeColor="text1"/>
          <w:sz w:val="20"/>
          <w:szCs w:val="20"/>
          <w:lang w:val="en-ZA"/>
        </w:rPr>
        <w:t>1</w:t>
      </w:r>
      <w:r w:rsidRPr="00533EAC">
        <w:rPr>
          <w:rFonts w:ascii="Arial" w:eastAsia="Calibri" w:hAnsi="Arial" w:cs="Arial"/>
          <w:b/>
          <w:bCs/>
          <w:color w:val="000000" w:themeColor="text1"/>
          <w:sz w:val="20"/>
          <w:szCs w:val="20"/>
          <w:lang w:val="en-ZA"/>
        </w:rPr>
        <w:fldChar w:fldCharType="end"/>
      </w:r>
      <w:r w:rsidRPr="00533EAC">
        <w:rPr>
          <w:rFonts w:ascii="Arial" w:eastAsia="Calibri" w:hAnsi="Arial" w:cs="Arial"/>
          <w:b/>
          <w:bCs/>
          <w:color w:val="000000" w:themeColor="text1"/>
          <w:sz w:val="20"/>
          <w:szCs w:val="20"/>
          <w:lang w:val="en-ZA"/>
        </w:rPr>
        <w:t>:</w:t>
      </w:r>
      <w:r w:rsidRPr="00533EAC">
        <w:rPr>
          <w:rFonts w:ascii="Arial" w:eastAsia="Calibri" w:hAnsi="Arial" w:cs="Arial"/>
          <w:bCs/>
          <w:color w:val="000000" w:themeColor="text1"/>
          <w:sz w:val="20"/>
          <w:szCs w:val="20"/>
          <w:lang w:val="en-ZA"/>
        </w:rPr>
        <w:t xml:space="preserve"> Sampling sites and the</w:t>
      </w:r>
      <w:r w:rsidR="00A11BDD" w:rsidRPr="00533EAC">
        <w:rPr>
          <w:rFonts w:ascii="Arial" w:eastAsia="Calibri" w:hAnsi="Arial" w:cs="Arial"/>
          <w:bCs/>
          <w:color w:val="000000" w:themeColor="text1"/>
          <w:sz w:val="20"/>
          <w:szCs w:val="20"/>
          <w:lang w:val="en-ZA"/>
        </w:rPr>
        <w:t>ir</w:t>
      </w:r>
      <w:r w:rsidRPr="00533EAC">
        <w:rPr>
          <w:rFonts w:ascii="Arial" w:eastAsia="Calibri" w:hAnsi="Arial" w:cs="Arial"/>
          <w:bCs/>
          <w:color w:val="000000" w:themeColor="text1"/>
          <w:sz w:val="20"/>
          <w:szCs w:val="20"/>
          <w:lang w:val="en-ZA"/>
        </w:rPr>
        <w:t xml:space="preserve"> geographical locations</w:t>
      </w:r>
      <w:r w:rsidR="00C7243E" w:rsidRPr="00533EAC">
        <w:rPr>
          <w:rFonts w:ascii="Arial" w:eastAsia="Calibri" w:hAnsi="Arial" w:cs="Arial"/>
          <w:bCs/>
          <w:color w:val="000000" w:themeColor="text1"/>
          <w:sz w:val="20"/>
          <w:szCs w:val="20"/>
          <w:lang w:val="en-ZA"/>
        </w:rPr>
        <w:t xml:space="preserve"> at which samples of </w:t>
      </w:r>
      <w:r w:rsidR="00C7243E" w:rsidRPr="00533EAC">
        <w:rPr>
          <w:rFonts w:ascii="Arial" w:eastAsia="Calibri" w:hAnsi="Arial" w:cs="Arial"/>
          <w:bCs/>
          <w:i/>
          <w:color w:val="000000" w:themeColor="text1"/>
          <w:sz w:val="20"/>
          <w:szCs w:val="20"/>
          <w:lang w:val="en-ZA"/>
        </w:rPr>
        <w:t>Pyura</w:t>
      </w:r>
      <w:r w:rsidR="00C7243E" w:rsidRPr="00533EAC">
        <w:rPr>
          <w:rFonts w:ascii="Arial" w:eastAsia="Calibri" w:hAnsi="Arial" w:cs="Arial"/>
          <w:bCs/>
          <w:color w:val="000000" w:themeColor="text1"/>
          <w:sz w:val="20"/>
          <w:szCs w:val="20"/>
          <w:lang w:val="en-ZA"/>
        </w:rPr>
        <w:t xml:space="preserve"> spp. were collected in September–November 2016</w:t>
      </w:r>
      <w:r w:rsidR="00045C53" w:rsidRPr="00533EAC">
        <w:rPr>
          <w:rFonts w:ascii="Arial" w:eastAsia="Calibri" w:hAnsi="Arial" w:cs="Arial"/>
          <w:bCs/>
          <w:color w:val="000000" w:themeColor="text1"/>
          <w:sz w:val="20"/>
          <w:szCs w:val="20"/>
          <w:lang w:val="en-ZA"/>
        </w:rPr>
        <w:t xml:space="preserve">. Although the boundaries of the Wild Coast are poorly defined, samples from </w:t>
      </w:r>
      <w:proofErr w:type="spellStart"/>
      <w:r w:rsidR="00045C53" w:rsidRPr="00533EAC">
        <w:rPr>
          <w:rFonts w:ascii="Arial" w:eastAsia="Calibri" w:hAnsi="Arial" w:cs="Arial"/>
          <w:bCs/>
          <w:color w:val="000000" w:themeColor="text1"/>
          <w:sz w:val="20"/>
          <w:szCs w:val="20"/>
          <w:lang w:val="en-ZA"/>
        </w:rPr>
        <w:t>Mbizana</w:t>
      </w:r>
      <w:proofErr w:type="spellEnd"/>
      <w:r w:rsidR="00045C53" w:rsidRPr="00533EAC">
        <w:rPr>
          <w:rFonts w:ascii="Arial" w:eastAsia="Calibri" w:hAnsi="Arial" w:cs="Arial"/>
          <w:bCs/>
          <w:color w:val="000000" w:themeColor="text1"/>
          <w:sz w:val="20"/>
          <w:szCs w:val="20"/>
          <w:lang w:val="en-ZA"/>
        </w:rPr>
        <w:t xml:space="preserve"> to approximately </w:t>
      </w:r>
      <w:r w:rsidR="001A0D88" w:rsidRPr="00533EAC">
        <w:rPr>
          <w:rFonts w:ascii="Arial" w:eastAsia="Calibri" w:hAnsi="Arial" w:cs="Arial"/>
          <w:bCs/>
          <w:color w:val="000000" w:themeColor="text1"/>
          <w:sz w:val="20"/>
          <w:szCs w:val="20"/>
          <w:lang w:val="en-ZA"/>
        </w:rPr>
        <w:t>East London</w:t>
      </w:r>
      <w:r w:rsidR="00045C53" w:rsidRPr="00533EAC">
        <w:rPr>
          <w:rFonts w:ascii="Arial" w:eastAsia="Calibri" w:hAnsi="Arial" w:cs="Arial"/>
          <w:bCs/>
          <w:color w:val="000000" w:themeColor="text1"/>
          <w:sz w:val="20"/>
          <w:szCs w:val="20"/>
          <w:lang w:val="en-ZA"/>
        </w:rPr>
        <w:t xml:space="preserve"> are </w:t>
      </w:r>
      <w:r w:rsidR="001A0D88" w:rsidRPr="00533EAC">
        <w:rPr>
          <w:rFonts w:ascii="Arial" w:eastAsia="Calibri" w:hAnsi="Arial" w:cs="Arial"/>
          <w:bCs/>
          <w:color w:val="000000" w:themeColor="text1"/>
          <w:sz w:val="20"/>
          <w:szCs w:val="20"/>
          <w:lang w:val="en-ZA"/>
        </w:rPr>
        <w:t xml:space="preserve">considered to be </w:t>
      </w:r>
      <w:r w:rsidR="00045C53" w:rsidRPr="00533EAC">
        <w:rPr>
          <w:rFonts w:ascii="Arial" w:eastAsia="Calibri" w:hAnsi="Arial" w:cs="Arial"/>
          <w:bCs/>
          <w:color w:val="000000" w:themeColor="text1"/>
          <w:sz w:val="20"/>
          <w:szCs w:val="20"/>
          <w:lang w:val="en-ZA"/>
        </w:rPr>
        <w:t xml:space="preserve">located </w:t>
      </w:r>
      <w:r w:rsidR="001A0D88" w:rsidRPr="00533EAC">
        <w:rPr>
          <w:rFonts w:ascii="Arial" w:eastAsia="Calibri" w:hAnsi="Arial" w:cs="Arial"/>
          <w:bCs/>
          <w:color w:val="000000" w:themeColor="text1"/>
          <w:sz w:val="20"/>
          <w:szCs w:val="20"/>
          <w:lang w:val="en-ZA"/>
        </w:rPr>
        <w:t>within this</w:t>
      </w:r>
      <w:r w:rsidR="00045C53" w:rsidRPr="00533EAC">
        <w:rPr>
          <w:rFonts w:ascii="Arial" w:eastAsia="Calibri" w:hAnsi="Arial" w:cs="Arial"/>
          <w:bCs/>
          <w:color w:val="000000" w:themeColor="text1"/>
          <w:sz w:val="20"/>
          <w:szCs w:val="20"/>
          <w:lang w:val="en-ZA"/>
        </w:rPr>
        <w:t xml:space="preserve"> biogeographical transition zone</w:t>
      </w:r>
    </w:p>
    <w:p w14:paraId="449E7B2E" w14:textId="2FE2C018" w:rsidR="001A0D88" w:rsidRPr="00533EAC" w:rsidRDefault="001A0D88" w:rsidP="00C05A32">
      <w:pPr>
        <w:spacing w:after="0" w:line="200" w:lineRule="exact"/>
        <w:rPr>
          <w:rFonts w:ascii="Arial" w:eastAsia="Calibri" w:hAnsi="Arial" w:cs="Arial"/>
          <w:color w:val="000000" w:themeColor="text1"/>
          <w:sz w:val="16"/>
          <w:szCs w:val="16"/>
          <w:lang w:val="en-ZA"/>
        </w:rPr>
      </w:pPr>
    </w:p>
    <w:p w14:paraId="28F01CD5" w14:textId="5135FC99" w:rsidR="001A0D88" w:rsidRPr="00533EAC" w:rsidRDefault="001A0D88" w:rsidP="00C05A32">
      <w:pPr>
        <w:spacing w:after="0" w:line="200" w:lineRule="exact"/>
        <w:rPr>
          <w:rFonts w:ascii="Arial" w:eastAsia="Calibri" w:hAnsi="Arial" w:cs="Arial"/>
          <w:color w:val="000000" w:themeColor="text1"/>
          <w:sz w:val="16"/>
          <w:szCs w:val="16"/>
          <w:lang w:val="en-ZA"/>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2409"/>
        <w:gridCol w:w="4431"/>
      </w:tblGrid>
      <w:tr w:rsidR="00533EAC" w:rsidRPr="00533EAC" w14:paraId="02CCAFE3" w14:textId="77777777" w:rsidTr="001A0D88">
        <w:tc>
          <w:tcPr>
            <w:tcW w:w="3600" w:type="dxa"/>
            <w:tcBorders>
              <w:top w:val="single" w:sz="4" w:space="0" w:color="auto"/>
              <w:bottom w:val="single" w:sz="4" w:space="0" w:color="auto"/>
            </w:tcBorders>
          </w:tcPr>
          <w:p w14:paraId="423E6916" w14:textId="40107F2C" w:rsidR="001A0D88" w:rsidRPr="00533EAC" w:rsidRDefault="001A0D88" w:rsidP="001A0D88">
            <w:pPr>
              <w:spacing w:line="480" w:lineRule="auto"/>
              <w:rPr>
                <w:rFonts w:ascii="Arial" w:eastAsia="Calibri" w:hAnsi="Arial" w:cs="Arial"/>
                <w:color w:val="000000" w:themeColor="text1"/>
                <w:sz w:val="20"/>
                <w:szCs w:val="20"/>
                <w:lang w:val="en-ZA"/>
              </w:rPr>
            </w:pPr>
            <w:r w:rsidRPr="00533EAC">
              <w:rPr>
                <w:rFonts w:ascii="Arial" w:eastAsia="Calibri" w:hAnsi="Arial" w:cs="Arial"/>
                <w:color w:val="000000" w:themeColor="text1"/>
                <w:sz w:val="20"/>
                <w:szCs w:val="20"/>
                <w:lang w:val="en-ZA"/>
              </w:rPr>
              <w:t>Biogeographical entity</w:t>
            </w:r>
          </w:p>
        </w:tc>
        <w:tc>
          <w:tcPr>
            <w:tcW w:w="2409" w:type="dxa"/>
            <w:tcBorders>
              <w:top w:val="single" w:sz="4" w:space="0" w:color="auto"/>
              <w:bottom w:val="single" w:sz="4" w:space="0" w:color="auto"/>
            </w:tcBorders>
          </w:tcPr>
          <w:p w14:paraId="6F523F71" w14:textId="035473D1" w:rsidR="001A0D88" w:rsidRPr="00533EAC" w:rsidRDefault="001A0D88" w:rsidP="001A0D88">
            <w:pPr>
              <w:spacing w:line="480" w:lineRule="auto"/>
              <w:rPr>
                <w:rFonts w:ascii="Arial" w:eastAsia="Calibri" w:hAnsi="Arial" w:cs="Arial"/>
                <w:color w:val="000000" w:themeColor="text1"/>
                <w:sz w:val="20"/>
                <w:szCs w:val="20"/>
                <w:lang w:val="en-ZA"/>
              </w:rPr>
            </w:pPr>
            <w:r w:rsidRPr="00533EAC">
              <w:rPr>
                <w:rFonts w:ascii="Arial" w:eastAsia="Calibri" w:hAnsi="Arial" w:cs="Arial"/>
                <w:color w:val="000000" w:themeColor="text1"/>
                <w:sz w:val="20"/>
                <w:szCs w:val="20"/>
                <w:lang w:val="en-ZA"/>
              </w:rPr>
              <w:t>Sampling site</w:t>
            </w:r>
          </w:p>
        </w:tc>
        <w:tc>
          <w:tcPr>
            <w:tcW w:w="4431" w:type="dxa"/>
            <w:tcBorders>
              <w:top w:val="single" w:sz="4" w:space="0" w:color="auto"/>
              <w:bottom w:val="single" w:sz="4" w:space="0" w:color="auto"/>
            </w:tcBorders>
          </w:tcPr>
          <w:p w14:paraId="1B153B45" w14:textId="11954AF4" w:rsidR="001A0D88" w:rsidRPr="00533EAC" w:rsidRDefault="001A0D88" w:rsidP="001A0D88">
            <w:pPr>
              <w:spacing w:line="480" w:lineRule="auto"/>
              <w:rPr>
                <w:rFonts w:ascii="Arial" w:eastAsia="Calibri" w:hAnsi="Arial" w:cs="Arial"/>
                <w:color w:val="000000" w:themeColor="text1"/>
                <w:sz w:val="20"/>
                <w:szCs w:val="20"/>
                <w:lang w:val="en-ZA"/>
              </w:rPr>
            </w:pPr>
            <w:r w:rsidRPr="00533EAC">
              <w:rPr>
                <w:rFonts w:ascii="Arial" w:eastAsia="Times New Roman" w:hAnsi="Arial" w:cs="Arial"/>
                <w:bCs/>
                <w:color w:val="000000" w:themeColor="text1"/>
                <w:sz w:val="20"/>
                <w:szCs w:val="20"/>
                <w:lang w:val="en-ZA" w:eastAsia="de-DE"/>
              </w:rPr>
              <w:t>Geographic location (Latitude/Longitude)</w:t>
            </w:r>
          </w:p>
        </w:tc>
      </w:tr>
      <w:tr w:rsidR="00533EAC" w:rsidRPr="00533EAC" w14:paraId="00B43D23" w14:textId="77777777" w:rsidTr="001A0D88">
        <w:tc>
          <w:tcPr>
            <w:tcW w:w="3600" w:type="dxa"/>
            <w:tcBorders>
              <w:top w:val="single" w:sz="4" w:space="0" w:color="auto"/>
            </w:tcBorders>
          </w:tcPr>
          <w:p w14:paraId="01843AAF" w14:textId="144B0691" w:rsidR="001A0D88" w:rsidRPr="00533EAC" w:rsidRDefault="001A0D88" w:rsidP="001A0D88">
            <w:pPr>
              <w:spacing w:line="480" w:lineRule="auto"/>
              <w:rPr>
                <w:rFonts w:ascii="Arial" w:eastAsia="Calibri" w:hAnsi="Arial" w:cs="Arial"/>
                <w:color w:val="000000" w:themeColor="text1"/>
                <w:sz w:val="20"/>
                <w:szCs w:val="20"/>
                <w:lang w:val="en-ZA"/>
              </w:rPr>
            </w:pPr>
            <w:r w:rsidRPr="00533EAC">
              <w:rPr>
                <w:rFonts w:ascii="Arial" w:eastAsia="Calibri" w:hAnsi="Arial" w:cs="Arial"/>
                <w:color w:val="000000" w:themeColor="text1"/>
                <w:sz w:val="20"/>
                <w:szCs w:val="20"/>
                <w:lang w:val="en-ZA"/>
              </w:rPr>
              <w:t>Subtropical Natal Bioregion</w:t>
            </w:r>
          </w:p>
        </w:tc>
        <w:tc>
          <w:tcPr>
            <w:tcW w:w="2409" w:type="dxa"/>
            <w:tcBorders>
              <w:top w:val="single" w:sz="4" w:space="0" w:color="auto"/>
            </w:tcBorders>
          </w:tcPr>
          <w:p w14:paraId="48CC0D4A" w14:textId="27CC6542" w:rsidR="001A0D88" w:rsidRPr="00533EAC" w:rsidRDefault="001A0D88" w:rsidP="001A0D88">
            <w:pPr>
              <w:spacing w:line="480" w:lineRule="auto"/>
              <w:rPr>
                <w:rFonts w:ascii="Arial" w:eastAsia="Calibri" w:hAnsi="Arial" w:cs="Arial"/>
                <w:color w:val="000000" w:themeColor="text1"/>
                <w:sz w:val="20"/>
                <w:szCs w:val="20"/>
                <w:lang w:val="en-ZA"/>
              </w:rPr>
            </w:pPr>
            <w:proofErr w:type="spellStart"/>
            <w:r w:rsidRPr="00533EAC">
              <w:rPr>
                <w:rFonts w:ascii="Arial" w:eastAsia="Times New Roman" w:hAnsi="Arial" w:cs="Arial"/>
                <w:bCs/>
                <w:color w:val="000000" w:themeColor="text1"/>
                <w:sz w:val="20"/>
                <w:szCs w:val="20"/>
                <w:lang w:val="en-ZA" w:eastAsia="de-DE"/>
              </w:rPr>
              <w:t>Mzumbe</w:t>
            </w:r>
            <w:proofErr w:type="spellEnd"/>
            <w:r w:rsidR="002F22DC" w:rsidRPr="00533EAC">
              <w:rPr>
                <w:rFonts w:ascii="Arial" w:eastAsia="Times New Roman" w:hAnsi="Arial" w:cs="Arial"/>
                <w:bCs/>
                <w:color w:val="000000" w:themeColor="text1"/>
                <w:sz w:val="20"/>
                <w:szCs w:val="20"/>
                <w:lang w:val="en-ZA" w:eastAsia="de-DE"/>
              </w:rPr>
              <w:t xml:space="preserve"> Mouth</w:t>
            </w:r>
          </w:p>
        </w:tc>
        <w:tc>
          <w:tcPr>
            <w:tcW w:w="4431" w:type="dxa"/>
            <w:tcBorders>
              <w:top w:val="single" w:sz="4" w:space="0" w:color="auto"/>
            </w:tcBorders>
          </w:tcPr>
          <w:p w14:paraId="54C62931" w14:textId="27693507" w:rsidR="001A0D88" w:rsidRPr="00533EAC" w:rsidRDefault="001A0D88" w:rsidP="001A0D88">
            <w:pPr>
              <w:spacing w:line="480" w:lineRule="auto"/>
              <w:rPr>
                <w:rFonts w:ascii="Arial" w:eastAsia="Calibri" w:hAnsi="Arial" w:cs="Arial"/>
                <w:color w:val="000000" w:themeColor="text1"/>
                <w:sz w:val="20"/>
                <w:szCs w:val="20"/>
                <w:lang w:val="en-ZA"/>
              </w:rPr>
            </w:pPr>
            <w:r w:rsidRPr="00533EAC">
              <w:rPr>
                <w:rFonts w:ascii="Arial" w:eastAsia="Times New Roman" w:hAnsi="Arial" w:cs="Arial"/>
                <w:bCs/>
                <w:color w:val="000000" w:themeColor="text1"/>
                <w:sz w:val="20"/>
                <w:szCs w:val="20"/>
                <w:lang w:val="en-ZA" w:eastAsia="de-DE"/>
              </w:rPr>
              <w:t>30°45'11" S 30°27'7" E</w:t>
            </w:r>
          </w:p>
        </w:tc>
      </w:tr>
      <w:tr w:rsidR="00533EAC" w:rsidRPr="00533EAC" w14:paraId="3697523B" w14:textId="77777777" w:rsidTr="001A0D88">
        <w:tc>
          <w:tcPr>
            <w:tcW w:w="3600" w:type="dxa"/>
          </w:tcPr>
          <w:p w14:paraId="1D9A2502" w14:textId="62DF568E" w:rsidR="001A0D88" w:rsidRPr="00533EAC" w:rsidRDefault="001A0D88" w:rsidP="001A0D88">
            <w:pPr>
              <w:spacing w:line="480" w:lineRule="auto"/>
              <w:rPr>
                <w:rFonts w:ascii="Arial" w:eastAsia="Calibri" w:hAnsi="Arial" w:cs="Arial"/>
                <w:color w:val="000000" w:themeColor="text1"/>
                <w:sz w:val="20"/>
                <w:szCs w:val="20"/>
                <w:lang w:val="en-ZA"/>
              </w:rPr>
            </w:pPr>
            <w:r w:rsidRPr="00533EAC">
              <w:rPr>
                <w:rFonts w:ascii="Arial" w:eastAsia="Calibri" w:hAnsi="Arial" w:cs="Arial"/>
                <w:color w:val="000000" w:themeColor="text1"/>
                <w:sz w:val="20"/>
                <w:szCs w:val="20"/>
                <w:lang w:val="en-ZA"/>
              </w:rPr>
              <w:t>Wild Coast transition zone</w:t>
            </w:r>
          </w:p>
        </w:tc>
        <w:tc>
          <w:tcPr>
            <w:tcW w:w="2409" w:type="dxa"/>
          </w:tcPr>
          <w:p w14:paraId="3D8A8788" w14:textId="4565BDC0" w:rsidR="001A0D88" w:rsidRPr="00533EAC" w:rsidRDefault="001A0D88" w:rsidP="001A0D88">
            <w:pPr>
              <w:spacing w:line="480" w:lineRule="auto"/>
              <w:rPr>
                <w:rFonts w:ascii="Arial" w:eastAsia="Calibri" w:hAnsi="Arial" w:cs="Arial"/>
                <w:color w:val="000000" w:themeColor="text1"/>
                <w:sz w:val="20"/>
                <w:szCs w:val="20"/>
                <w:lang w:val="en-ZA"/>
              </w:rPr>
            </w:pPr>
            <w:proofErr w:type="spellStart"/>
            <w:r w:rsidRPr="00533EAC">
              <w:rPr>
                <w:rFonts w:ascii="Arial" w:eastAsia="Times New Roman" w:hAnsi="Arial" w:cs="Arial"/>
                <w:bCs/>
                <w:color w:val="000000" w:themeColor="text1"/>
                <w:sz w:val="20"/>
                <w:szCs w:val="20"/>
                <w:lang w:val="en-ZA" w:eastAsia="de-DE"/>
              </w:rPr>
              <w:t>Mbizana</w:t>
            </w:r>
            <w:proofErr w:type="spellEnd"/>
            <w:r w:rsidR="002F22DC" w:rsidRPr="00533EAC">
              <w:rPr>
                <w:rFonts w:ascii="Arial" w:eastAsia="Times New Roman" w:hAnsi="Arial" w:cs="Arial"/>
                <w:bCs/>
                <w:color w:val="000000" w:themeColor="text1"/>
                <w:sz w:val="20"/>
                <w:szCs w:val="20"/>
                <w:lang w:val="en-ZA" w:eastAsia="de-DE"/>
              </w:rPr>
              <w:t xml:space="preserve"> Mouth</w:t>
            </w:r>
          </w:p>
        </w:tc>
        <w:tc>
          <w:tcPr>
            <w:tcW w:w="4431" w:type="dxa"/>
          </w:tcPr>
          <w:p w14:paraId="63EFBF7F" w14:textId="0A2424D7" w:rsidR="001A0D88" w:rsidRPr="00533EAC" w:rsidRDefault="001A0D88" w:rsidP="001A0D88">
            <w:pPr>
              <w:spacing w:line="480" w:lineRule="auto"/>
              <w:rPr>
                <w:rFonts w:ascii="Arial" w:eastAsia="Calibri" w:hAnsi="Arial" w:cs="Arial"/>
                <w:color w:val="000000" w:themeColor="text1"/>
                <w:sz w:val="20"/>
                <w:szCs w:val="20"/>
                <w:lang w:val="en-ZA"/>
              </w:rPr>
            </w:pPr>
            <w:r w:rsidRPr="00533EAC">
              <w:rPr>
                <w:rFonts w:ascii="Arial" w:eastAsia="Times New Roman" w:hAnsi="Arial" w:cs="Arial"/>
                <w:bCs/>
                <w:color w:val="000000" w:themeColor="text1"/>
                <w:sz w:val="20"/>
                <w:szCs w:val="20"/>
                <w:lang w:val="en-ZA" w:eastAsia="de-DE"/>
              </w:rPr>
              <w:t>31°6'11" S 30°10'48" E</w:t>
            </w:r>
          </w:p>
        </w:tc>
      </w:tr>
      <w:tr w:rsidR="00533EAC" w:rsidRPr="00533EAC" w14:paraId="167EB6E2" w14:textId="77777777" w:rsidTr="001A0D88">
        <w:tc>
          <w:tcPr>
            <w:tcW w:w="3600" w:type="dxa"/>
          </w:tcPr>
          <w:p w14:paraId="663A7C52" w14:textId="6F5921E2" w:rsidR="001A0D88" w:rsidRPr="00533EAC" w:rsidRDefault="001A0D88" w:rsidP="001A0D88">
            <w:pPr>
              <w:spacing w:line="480" w:lineRule="auto"/>
              <w:rPr>
                <w:rFonts w:ascii="Arial" w:eastAsia="Calibri" w:hAnsi="Arial" w:cs="Arial"/>
                <w:color w:val="000000" w:themeColor="text1"/>
                <w:sz w:val="20"/>
                <w:szCs w:val="20"/>
                <w:lang w:val="en-ZA"/>
              </w:rPr>
            </w:pPr>
            <w:r w:rsidRPr="00533EAC">
              <w:rPr>
                <w:rFonts w:ascii="Arial" w:eastAsia="Calibri" w:hAnsi="Arial" w:cs="Arial"/>
                <w:color w:val="000000" w:themeColor="text1"/>
                <w:sz w:val="20"/>
                <w:szCs w:val="20"/>
                <w:lang w:val="en-ZA"/>
              </w:rPr>
              <w:t>Wild Coast transition zone</w:t>
            </w:r>
          </w:p>
        </w:tc>
        <w:tc>
          <w:tcPr>
            <w:tcW w:w="2409" w:type="dxa"/>
          </w:tcPr>
          <w:p w14:paraId="6CC03C4A" w14:textId="25A6B71E" w:rsidR="001A0D88" w:rsidRPr="00533EAC" w:rsidRDefault="001A0D88" w:rsidP="001A0D88">
            <w:pPr>
              <w:spacing w:line="480" w:lineRule="auto"/>
              <w:rPr>
                <w:rFonts w:ascii="Arial" w:eastAsia="Calibri" w:hAnsi="Arial" w:cs="Arial"/>
                <w:color w:val="000000" w:themeColor="text1"/>
                <w:sz w:val="20"/>
                <w:szCs w:val="20"/>
                <w:lang w:val="en-ZA"/>
              </w:rPr>
            </w:pPr>
            <w:r w:rsidRPr="00533EAC">
              <w:rPr>
                <w:rFonts w:ascii="Arial" w:eastAsia="Times New Roman" w:hAnsi="Arial" w:cs="Arial"/>
                <w:bCs/>
                <w:color w:val="000000" w:themeColor="text1"/>
                <w:sz w:val="20"/>
                <w:szCs w:val="20"/>
                <w:lang w:val="en-ZA" w:eastAsia="de-DE"/>
              </w:rPr>
              <w:t>Cathedral Rock</w:t>
            </w:r>
          </w:p>
        </w:tc>
        <w:tc>
          <w:tcPr>
            <w:tcW w:w="4431" w:type="dxa"/>
          </w:tcPr>
          <w:p w14:paraId="2E71E2AF" w14:textId="27A5F0AC" w:rsidR="001A0D88" w:rsidRPr="00533EAC" w:rsidRDefault="001A0D88" w:rsidP="001A0D88">
            <w:pPr>
              <w:spacing w:line="480" w:lineRule="auto"/>
              <w:rPr>
                <w:rFonts w:ascii="Arial" w:eastAsia="Calibri" w:hAnsi="Arial" w:cs="Arial"/>
                <w:color w:val="000000" w:themeColor="text1"/>
                <w:sz w:val="20"/>
                <w:szCs w:val="20"/>
                <w:lang w:val="en-ZA"/>
              </w:rPr>
            </w:pPr>
            <w:r w:rsidRPr="00533EAC">
              <w:rPr>
                <w:rFonts w:ascii="Arial" w:eastAsia="Times New Roman" w:hAnsi="Arial" w:cs="Arial"/>
                <w:bCs/>
                <w:color w:val="000000" w:themeColor="text1"/>
                <w:sz w:val="20"/>
                <w:szCs w:val="20"/>
                <w:lang w:val="en-ZA" w:eastAsia="de-DE"/>
              </w:rPr>
              <w:t>31°26'41" S 29°46'18" E</w:t>
            </w:r>
          </w:p>
        </w:tc>
      </w:tr>
      <w:tr w:rsidR="00533EAC" w:rsidRPr="00533EAC" w14:paraId="43433071" w14:textId="77777777" w:rsidTr="001A0D88">
        <w:tc>
          <w:tcPr>
            <w:tcW w:w="3600" w:type="dxa"/>
          </w:tcPr>
          <w:p w14:paraId="163AC3E3" w14:textId="65E7F642" w:rsidR="001A0D88" w:rsidRPr="00533EAC" w:rsidRDefault="001A0D88" w:rsidP="001A0D88">
            <w:pPr>
              <w:spacing w:line="480" w:lineRule="auto"/>
              <w:rPr>
                <w:rFonts w:ascii="Arial" w:eastAsia="Calibri" w:hAnsi="Arial" w:cs="Arial"/>
                <w:color w:val="000000" w:themeColor="text1"/>
                <w:sz w:val="20"/>
                <w:szCs w:val="20"/>
                <w:lang w:val="en-ZA"/>
              </w:rPr>
            </w:pPr>
            <w:r w:rsidRPr="00533EAC">
              <w:rPr>
                <w:rFonts w:ascii="Arial" w:eastAsia="Calibri" w:hAnsi="Arial" w:cs="Arial"/>
                <w:color w:val="000000" w:themeColor="text1"/>
                <w:sz w:val="20"/>
                <w:szCs w:val="20"/>
                <w:lang w:val="en-ZA"/>
              </w:rPr>
              <w:t>Wild Coast transition zone</w:t>
            </w:r>
          </w:p>
        </w:tc>
        <w:tc>
          <w:tcPr>
            <w:tcW w:w="2409" w:type="dxa"/>
          </w:tcPr>
          <w:p w14:paraId="67798F63" w14:textId="3DDACDA7" w:rsidR="001A0D88" w:rsidRPr="00533EAC" w:rsidRDefault="001A0D88" w:rsidP="001A0D88">
            <w:pPr>
              <w:spacing w:line="480" w:lineRule="auto"/>
              <w:rPr>
                <w:rFonts w:ascii="Arial" w:eastAsia="Calibri" w:hAnsi="Arial" w:cs="Arial"/>
                <w:color w:val="000000" w:themeColor="text1"/>
                <w:sz w:val="20"/>
                <w:szCs w:val="20"/>
                <w:lang w:val="en-ZA"/>
              </w:rPr>
            </w:pPr>
            <w:r w:rsidRPr="00533EAC">
              <w:rPr>
                <w:rFonts w:ascii="Arial" w:eastAsia="Times New Roman" w:hAnsi="Arial" w:cs="Arial"/>
                <w:bCs/>
                <w:color w:val="000000" w:themeColor="text1"/>
                <w:sz w:val="20"/>
                <w:szCs w:val="20"/>
                <w:lang w:val="en-ZA" w:eastAsia="de-DE"/>
              </w:rPr>
              <w:t>Port St Johns</w:t>
            </w:r>
          </w:p>
        </w:tc>
        <w:tc>
          <w:tcPr>
            <w:tcW w:w="4431" w:type="dxa"/>
          </w:tcPr>
          <w:p w14:paraId="6E3CCEFD" w14:textId="240EC28A" w:rsidR="001A0D88" w:rsidRPr="00533EAC" w:rsidRDefault="001A0D88" w:rsidP="001A0D88">
            <w:pPr>
              <w:spacing w:line="480" w:lineRule="auto"/>
              <w:rPr>
                <w:rFonts w:ascii="Arial" w:eastAsia="Calibri" w:hAnsi="Arial" w:cs="Arial"/>
                <w:color w:val="000000" w:themeColor="text1"/>
                <w:sz w:val="20"/>
                <w:szCs w:val="20"/>
                <w:lang w:val="en-ZA"/>
              </w:rPr>
            </w:pPr>
            <w:r w:rsidRPr="00533EAC">
              <w:rPr>
                <w:rFonts w:ascii="Arial" w:eastAsia="Times New Roman" w:hAnsi="Arial" w:cs="Arial"/>
                <w:bCs/>
                <w:color w:val="000000" w:themeColor="text1"/>
                <w:sz w:val="20"/>
                <w:szCs w:val="20"/>
                <w:lang w:val="en-ZA" w:eastAsia="de-DE"/>
              </w:rPr>
              <w:t>31°37'48" S 29°33'5" E</w:t>
            </w:r>
          </w:p>
        </w:tc>
      </w:tr>
      <w:tr w:rsidR="00533EAC" w:rsidRPr="00533EAC" w14:paraId="3C874EB5" w14:textId="77777777" w:rsidTr="001A0D88">
        <w:tc>
          <w:tcPr>
            <w:tcW w:w="3600" w:type="dxa"/>
          </w:tcPr>
          <w:p w14:paraId="03A62F87" w14:textId="0E543A99" w:rsidR="001A0D88" w:rsidRPr="00533EAC" w:rsidRDefault="001A0D88" w:rsidP="001A0D88">
            <w:pPr>
              <w:spacing w:line="480" w:lineRule="auto"/>
              <w:rPr>
                <w:rFonts w:ascii="Arial" w:eastAsia="Calibri" w:hAnsi="Arial" w:cs="Arial"/>
                <w:color w:val="000000" w:themeColor="text1"/>
                <w:sz w:val="20"/>
                <w:szCs w:val="20"/>
                <w:lang w:val="en-ZA"/>
              </w:rPr>
            </w:pPr>
            <w:r w:rsidRPr="00533EAC">
              <w:rPr>
                <w:rFonts w:ascii="Arial" w:eastAsia="Calibri" w:hAnsi="Arial" w:cs="Arial"/>
                <w:color w:val="000000" w:themeColor="text1"/>
                <w:sz w:val="20"/>
                <w:szCs w:val="20"/>
                <w:lang w:val="en-ZA"/>
              </w:rPr>
              <w:t>Wild Coast transition zone</w:t>
            </w:r>
          </w:p>
        </w:tc>
        <w:tc>
          <w:tcPr>
            <w:tcW w:w="2409" w:type="dxa"/>
          </w:tcPr>
          <w:p w14:paraId="197A04AB" w14:textId="2EC3AB26" w:rsidR="001A0D88" w:rsidRPr="00533EAC" w:rsidRDefault="001A0D88" w:rsidP="001A0D88">
            <w:pPr>
              <w:spacing w:line="480" w:lineRule="auto"/>
              <w:rPr>
                <w:rFonts w:ascii="Arial" w:eastAsia="Calibri" w:hAnsi="Arial" w:cs="Arial"/>
                <w:color w:val="000000" w:themeColor="text1"/>
                <w:sz w:val="20"/>
                <w:szCs w:val="20"/>
                <w:lang w:val="en-ZA"/>
              </w:rPr>
            </w:pPr>
            <w:r w:rsidRPr="00533EAC">
              <w:rPr>
                <w:rFonts w:ascii="Arial" w:eastAsia="Times New Roman" w:hAnsi="Arial" w:cs="Arial"/>
                <w:bCs/>
                <w:color w:val="000000" w:themeColor="text1"/>
                <w:sz w:val="20"/>
                <w:szCs w:val="20"/>
                <w:lang w:val="en-ZA" w:eastAsia="de-DE"/>
              </w:rPr>
              <w:t>Coffee Bay</w:t>
            </w:r>
          </w:p>
        </w:tc>
        <w:tc>
          <w:tcPr>
            <w:tcW w:w="4431" w:type="dxa"/>
          </w:tcPr>
          <w:p w14:paraId="2C348BE8" w14:textId="6549E99E" w:rsidR="001A0D88" w:rsidRPr="00533EAC" w:rsidRDefault="001A0D88" w:rsidP="001A0D88">
            <w:pPr>
              <w:spacing w:line="480" w:lineRule="auto"/>
              <w:rPr>
                <w:rFonts w:ascii="Arial" w:eastAsia="Calibri" w:hAnsi="Arial" w:cs="Arial"/>
                <w:color w:val="000000" w:themeColor="text1"/>
                <w:sz w:val="20"/>
                <w:szCs w:val="20"/>
                <w:lang w:val="en-ZA"/>
              </w:rPr>
            </w:pPr>
            <w:r w:rsidRPr="00533EAC">
              <w:rPr>
                <w:rFonts w:ascii="Arial" w:eastAsia="Times New Roman" w:hAnsi="Arial" w:cs="Arial"/>
                <w:bCs/>
                <w:color w:val="000000" w:themeColor="text1"/>
                <w:sz w:val="20"/>
                <w:szCs w:val="20"/>
                <w:lang w:val="en-ZA" w:eastAsia="de-DE"/>
              </w:rPr>
              <w:t>31°59'6" S 29°9'11"E</w:t>
            </w:r>
          </w:p>
        </w:tc>
      </w:tr>
      <w:tr w:rsidR="00533EAC" w:rsidRPr="00533EAC" w14:paraId="44C614ED" w14:textId="77777777" w:rsidTr="001A0D88">
        <w:tc>
          <w:tcPr>
            <w:tcW w:w="3600" w:type="dxa"/>
          </w:tcPr>
          <w:p w14:paraId="2DE353CA" w14:textId="66FB7373" w:rsidR="001A0D88" w:rsidRPr="00533EAC" w:rsidRDefault="001A0D88" w:rsidP="001A0D88">
            <w:pPr>
              <w:spacing w:line="480" w:lineRule="auto"/>
              <w:rPr>
                <w:rFonts w:ascii="Arial" w:eastAsia="Calibri" w:hAnsi="Arial" w:cs="Arial"/>
                <w:color w:val="000000" w:themeColor="text1"/>
                <w:sz w:val="20"/>
                <w:szCs w:val="20"/>
                <w:lang w:val="en-ZA"/>
              </w:rPr>
            </w:pPr>
            <w:r w:rsidRPr="00533EAC">
              <w:rPr>
                <w:rFonts w:ascii="Arial" w:eastAsia="Calibri" w:hAnsi="Arial" w:cs="Arial"/>
                <w:color w:val="000000" w:themeColor="text1"/>
                <w:sz w:val="20"/>
                <w:szCs w:val="20"/>
                <w:lang w:val="en-ZA"/>
              </w:rPr>
              <w:t>Wild Coast transition zone</w:t>
            </w:r>
          </w:p>
        </w:tc>
        <w:tc>
          <w:tcPr>
            <w:tcW w:w="2409" w:type="dxa"/>
          </w:tcPr>
          <w:p w14:paraId="051244A7" w14:textId="2389942B" w:rsidR="001A0D88" w:rsidRPr="00533EAC" w:rsidRDefault="001A0D88" w:rsidP="001A0D88">
            <w:pPr>
              <w:spacing w:line="480" w:lineRule="auto"/>
              <w:rPr>
                <w:rFonts w:ascii="Arial" w:eastAsia="Calibri" w:hAnsi="Arial" w:cs="Arial"/>
                <w:color w:val="000000" w:themeColor="text1"/>
                <w:sz w:val="20"/>
                <w:szCs w:val="20"/>
                <w:lang w:val="en-ZA"/>
              </w:rPr>
            </w:pPr>
            <w:proofErr w:type="spellStart"/>
            <w:r w:rsidRPr="00533EAC">
              <w:rPr>
                <w:rFonts w:ascii="Arial" w:eastAsia="Times New Roman" w:hAnsi="Arial" w:cs="Arial"/>
                <w:bCs/>
                <w:color w:val="000000" w:themeColor="text1"/>
                <w:sz w:val="20"/>
                <w:szCs w:val="20"/>
                <w:lang w:val="en-ZA" w:eastAsia="de-DE"/>
              </w:rPr>
              <w:t>Mazzepa</w:t>
            </w:r>
            <w:proofErr w:type="spellEnd"/>
            <w:r w:rsidRPr="00533EAC">
              <w:rPr>
                <w:rFonts w:ascii="Arial" w:eastAsia="Times New Roman" w:hAnsi="Arial" w:cs="Arial"/>
                <w:bCs/>
                <w:color w:val="000000" w:themeColor="text1"/>
                <w:sz w:val="20"/>
                <w:szCs w:val="20"/>
                <w:lang w:val="en-ZA" w:eastAsia="de-DE"/>
              </w:rPr>
              <w:t xml:space="preserve"> Bay</w:t>
            </w:r>
          </w:p>
        </w:tc>
        <w:tc>
          <w:tcPr>
            <w:tcW w:w="4431" w:type="dxa"/>
          </w:tcPr>
          <w:p w14:paraId="42449957" w14:textId="5F944928" w:rsidR="001A0D88" w:rsidRPr="00533EAC" w:rsidRDefault="001A0D88" w:rsidP="001A0D88">
            <w:pPr>
              <w:spacing w:line="480" w:lineRule="auto"/>
              <w:rPr>
                <w:rFonts w:ascii="Arial" w:eastAsia="Calibri" w:hAnsi="Arial" w:cs="Arial"/>
                <w:color w:val="000000" w:themeColor="text1"/>
                <w:sz w:val="20"/>
                <w:szCs w:val="20"/>
                <w:lang w:val="en-ZA"/>
              </w:rPr>
            </w:pPr>
            <w:r w:rsidRPr="00533EAC">
              <w:rPr>
                <w:rFonts w:ascii="Arial" w:eastAsia="Times New Roman" w:hAnsi="Arial" w:cs="Arial"/>
                <w:bCs/>
                <w:color w:val="000000" w:themeColor="text1"/>
                <w:sz w:val="20"/>
                <w:szCs w:val="20"/>
                <w:lang w:val="en-ZA" w:eastAsia="de-DE"/>
              </w:rPr>
              <w:t>32°28'54'' S 28°38'41'' E</w:t>
            </w:r>
          </w:p>
        </w:tc>
      </w:tr>
      <w:tr w:rsidR="00533EAC" w:rsidRPr="00533EAC" w14:paraId="4C6387ED" w14:textId="77777777" w:rsidTr="001A0D88">
        <w:tc>
          <w:tcPr>
            <w:tcW w:w="3600" w:type="dxa"/>
          </w:tcPr>
          <w:p w14:paraId="00EBAD48" w14:textId="0237FB80" w:rsidR="001A0D88" w:rsidRPr="00533EAC" w:rsidRDefault="001A0D88" w:rsidP="001A0D88">
            <w:pPr>
              <w:spacing w:line="480" w:lineRule="auto"/>
              <w:rPr>
                <w:rFonts w:ascii="Arial" w:eastAsia="Calibri" w:hAnsi="Arial" w:cs="Arial"/>
                <w:color w:val="000000" w:themeColor="text1"/>
                <w:sz w:val="20"/>
                <w:szCs w:val="20"/>
                <w:lang w:val="en-ZA"/>
              </w:rPr>
            </w:pPr>
            <w:r w:rsidRPr="00533EAC">
              <w:rPr>
                <w:rFonts w:ascii="Arial" w:eastAsia="Calibri" w:hAnsi="Arial" w:cs="Arial"/>
                <w:color w:val="000000" w:themeColor="text1"/>
                <w:sz w:val="20"/>
                <w:szCs w:val="20"/>
                <w:lang w:val="en-ZA"/>
              </w:rPr>
              <w:t>Wild Coast transition zone</w:t>
            </w:r>
          </w:p>
        </w:tc>
        <w:tc>
          <w:tcPr>
            <w:tcW w:w="2409" w:type="dxa"/>
          </w:tcPr>
          <w:p w14:paraId="6C63658A" w14:textId="7005F469" w:rsidR="001A0D88" w:rsidRPr="00533EAC" w:rsidRDefault="001A0D88" w:rsidP="001A0D88">
            <w:pPr>
              <w:spacing w:line="480" w:lineRule="auto"/>
              <w:rPr>
                <w:rFonts w:ascii="Arial" w:eastAsia="Calibri" w:hAnsi="Arial" w:cs="Arial"/>
                <w:color w:val="000000" w:themeColor="text1"/>
                <w:sz w:val="20"/>
                <w:szCs w:val="20"/>
                <w:lang w:val="en-ZA"/>
              </w:rPr>
            </w:pPr>
            <w:proofErr w:type="spellStart"/>
            <w:r w:rsidRPr="00533EAC">
              <w:rPr>
                <w:rFonts w:ascii="Arial" w:eastAsia="Times New Roman" w:hAnsi="Arial" w:cs="Arial"/>
                <w:bCs/>
                <w:color w:val="000000" w:themeColor="text1"/>
                <w:sz w:val="20"/>
                <w:szCs w:val="20"/>
                <w:lang w:val="en-ZA" w:eastAsia="de-DE"/>
              </w:rPr>
              <w:t>Qolora</w:t>
            </w:r>
            <w:proofErr w:type="spellEnd"/>
            <w:r w:rsidRPr="00533EAC">
              <w:rPr>
                <w:rFonts w:ascii="Arial" w:eastAsia="Times New Roman" w:hAnsi="Arial" w:cs="Arial"/>
                <w:bCs/>
                <w:color w:val="000000" w:themeColor="text1"/>
                <w:sz w:val="20"/>
                <w:szCs w:val="20"/>
                <w:lang w:val="en-ZA" w:eastAsia="de-DE"/>
              </w:rPr>
              <w:t xml:space="preserve"> Mouth</w:t>
            </w:r>
          </w:p>
        </w:tc>
        <w:tc>
          <w:tcPr>
            <w:tcW w:w="4431" w:type="dxa"/>
          </w:tcPr>
          <w:p w14:paraId="1C39DF6B" w14:textId="56C77FE9" w:rsidR="001A0D88" w:rsidRPr="00533EAC" w:rsidRDefault="001A0D88" w:rsidP="001A0D88">
            <w:pPr>
              <w:spacing w:line="480" w:lineRule="auto"/>
              <w:rPr>
                <w:rFonts w:ascii="Arial" w:eastAsia="Calibri" w:hAnsi="Arial" w:cs="Arial"/>
                <w:color w:val="000000" w:themeColor="text1"/>
                <w:sz w:val="20"/>
                <w:szCs w:val="20"/>
                <w:lang w:val="en-ZA"/>
              </w:rPr>
            </w:pPr>
            <w:r w:rsidRPr="00533EAC">
              <w:rPr>
                <w:rFonts w:ascii="Arial" w:eastAsia="Times New Roman" w:hAnsi="Arial" w:cs="Arial"/>
                <w:bCs/>
                <w:color w:val="000000" w:themeColor="text1"/>
                <w:sz w:val="20"/>
                <w:szCs w:val="20"/>
                <w:lang w:val="en-ZA" w:eastAsia="de-DE"/>
              </w:rPr>
              <w:t>32°39'23.25" S 28°25'0.17" E</w:t>
            </w:r>
          </w:p>
        </w:tc>
      </w:tr>
      <w:tr w:rsidR="00533EAC" w:rsidRPr="00533EAC" w14:paraId="230976DB" w14:textId="77777777" w:rsidTr="001A0D88">
        <w:tc>
          <w:tcPr>
            <w:tcW w:w="3600" w:type="dxa"/>
          </w:tcPr>
          <w:p w14:paraId="1B25E15C" w14:textId="72843989" w:rsidR="001A0D88" w:rsidRPr="00533EAC" w:rsidRDefault="001A0D88" w:rsidP="001A0D88">
            <w:pPr>
              <w:spacing w:line="480" w:lineRule="auto"/>
              <w:rPr>
                <w:rFonts w:ascii="Arial" w:eastAsia="Calibri" w:hAnsi="Arial" w:cs="Arial"/>
                <w:color w:val="000000" w:themeColor="text1"/>
                <w:sz w:val="20"/>
                <w:szCs w:val="20"/>
                <w:lang w:val="en-ZA"/>
              </w:rPr>
            </w:pPr>
            <w:r w:rsidRPr="00533EAC">
              <w:rPr>
                <w:rFonts w:ascii="Arial" w:eastAsia="Calibri" w:hAnsi="Arial" w:cs="Arial"/>
                <w:color w:val="000000" w:themeColor="text1"/>
                <w:sz w:val="20"/>
                <w:szCs w:val="20"/>
                <w:lang w:val="en-ZA"/>
              </w:rPr>
              <w:t>Wild Coast transition zone</w:t>
            </w:r>
          </w:p>
        </w:tc>
        <w:tc>
          <w:tcPr>
            <w:tcW w:w="2409" w:type="dxa"/>
          </w:tcPr>
          <w:p w14:paraId="17433C60" w14:textId="2F7E423A" w:rsidR="001A0D88" w:rsidRPr="00533EAC" w:rsidRDefault="001A0D88" w:rsidP="001A0D88">
            <w:pPr>
              <w:spacing w:line="480" w:lineRule="auto"/>
              <w:rPr>
                <w:rFonts w:ascii="Arial" w:eastAsia="Calibri" w:hAnsi="Arial" w:cs="Arial"/>
                <w:color w:val="000000" w:themeColor="text1"/>
                <w:sz w:val="20"/>
                <w:szCs w:val="20"/>
                <w:lang w:val="en-ZA"/>
              </w:rPr>
            </w:pPr>
            <w:r w:rsidRPr="00533EAC">
              <w:rPr>
                <w:rFonts w:ascii="Arial" w:eastAsia="Times New Roman" w:hAnsi="Arial" w:cs="Arial"/>
                <w:bCs/>
                <w:color w:val="000000" w:themeColor="text1"/>
                <w:sz w:val="20"/>
                <w:szCs w:val="20"/>
                <w:lang w:val="en-ZA" w:eastAsia="de-DE"/>
              </w:rPr>
              <w:t>Morgan Bay</w:t>
            </w:r>
          </w:p>
        </w:tc>
        <w:tc>
          <w:tcPr>
            <w:tcW w:w="4431" w:type="dxa"/>
          </w:tcPr>
          <w:p w14:paraId="015F5324" w14:textId="3E82FB91" w:rsidR="001A0D88" w:rsidRPr="00533EAC" w:rsidRDefault="001A0D88" w:rsidP="001A0D88">
            <w:pPr>
              <w:spacing w:line="480" w:lineRule="auto"/>
              <w:rPr>
                <w:rFonts w:ascii="Arial" w:eastAsia="Calibri" w:hAnsi="Arial" w:cs="Arial"/>
                <w:color w:val="000000" w:themeColor="text1"/>
                <w:sz w:val="20"/>
                <w:szCs w:val="20"/>
                <w:lang w:val="en-ZA"/>
              </w:rPr>
            </w:pPr>
            <w:r w:rsidRPr="00533EAC">
              <w:rPr>
                <w:rFonts w:ascii="Arial" w:eastAsia="Times New Roman" w:hAnsi="Arial" w:cs="Arial"/>
                <w:bCs/>
                <w:color w:val="000000" w:themeColor="text1"/>
                <w:sz w:val="20"/>
                <w:szCs w:val="20"/>
                <w:lang w:val="en-ZA" w:eastAsia="de-DE"/>
              </w:rPr>
              <w:t>32°42'39'' S 28°20'27" E</w:t>
            </w:r>
          </w:p>
        </w:tc>
      </w:tr>
      <w:tr w:rsidR="00533EAC" w:rsidRPr="00533EAC" w14:paraId="49F204D3" w14:textId="77777777" w:rsidTr="001A0D88">
        <w:tc>
          <w:tcPr>
            <w:tcW w:w="3600" w:type="dxa"/>
          </w:tcPr>
          <w:p w14:paraId="330985AC" w14:textId="797968AD" w:rsidR="001A0D88" w:rsidRPr="00533EAC" w:rsidRDefault="001A0D88" w:rsidP="001A0D88">
            <w:pPr>
              <w:spacing w:line="480" w:lineRule="auto"/>
              <w:rPr>
                <w:rFonts w:ascii="Arial" w:eastAsia="Calibri" w:hAnsi="Arial" w:cs="Arial"/>
                <w:color w:val="000000" w:themeColor="text1"/>
                <w:sz w:val="20"/>
                <w:szCs w:val="20"/>
                <w:lang w:val="en-ZA"/>
              </w:rPr>
            </w:pPr>
            <w:r w:rsidRPr="00533EAC">
              <w:rPr>
                <w:rFonts w:ascii="Arial" w:eastAsia="Calibri" w:hAnsi="Arial" w:cs="Arial"/>
                <w:color w:val="000000" w:themeColor="text1"/>
                <w:sz w:val="20"/>
                <w:szCs w:val="20"/>
                <w:lang w:val="en-ZA"/>
              </w:rPr>
              <w:t>Wild Coast transition zone</w:t>
            </w:r>
          </w:p>
        </w:tc>
        <w:tc>
          <w:tcPr>
            <w:tcW w:w="2409" w:type="dxa"/>
          </w:tcPr>
          <w:p w14:paraId="0F59D561" w14:textId="19BF7C12" w:rsidR="001A0D88" w:rsidRPr="00533EAC" w:rsidRDefault="001A0D88" w:rsidP="001A0D88">
            <w:pPr>
              <w:spacing w:line="480" w:lineRule="auto"/>
              <w:rPr>
                <w:rFonts w:ascii="Arial" w:eastAsia="Calibri" w:hAnsi="Arial" w:cs="Arial"/>
                <w:color w:val="000000" w:themeColor="text1"/>
                <w:sz w:val="20"/>
                <w:szCs w:val="20"/>
                <w:lang w:val="en-ZA"/>
              </w:rPr>
            </w:pPr>
            <w:proofErr w:type="spellStart"/>
            <w:r w:rsidRPr="00533EAC">
              <w:rPr>
                <w:rFonts w:ascii="Arial" w:eastAsia="Times New Roman" w:hAnsi="Arial" w:cs="Arial"/>
                <w:bCs/>
                <w:color w:val="000000" w:themeColor="text1"/>
                <w:sz w:val="20"/>
                <w:szCs w:val="20"/>
                <w:lang w:val="en-ZA" w:eastAsia="de-DE"/>
              </w:rPr>
              <w:t>Haga</w:t>
            </w:r>
            <w:proofErr w:type="spellEnd"/>
            <w:r w:rsidRPr="00533EAC">
              <w:rPr>
                <w:rFonts w:ascii="Arial" w:eastAsia="Times New Roman" w:hAnsi="Arial" w:cs="Arial"/>
                <w:bCs/>
                <w:color w:val="000000" w:themeColor="text1"/>
                <w:sz w:val="20"/>
                <w:szCs w:val="20"/>
                <w:lang w:val="en-ZA" w:eastAsia="de-DE"/>
              </w:rPr>
              <w:t xml:space="preserve"> </w:t>
            </w:r>
            <w:proofErr w:type="spellStart"/>
            <w:r w:rsidRPr="00533EAC">
              <w:rPr>
                <w:rFonts w:ascii="Arial" w:eastAsia="Times New Roman" w:hAnsi="Arial" w:cs="Arial"/>
                <w:bCs/>
                <w:color w:val="000000" w:themeColor="text1"/>
                <w:sz w:val="20"/>
                <w:szCs w:val="20"/>
                <w:lang w:val="en-ZA" w:eastAsia="de-DE"/>
              </w:rPr>
              <w:t>Haga</w:t>
            </w:r>
            <w:proofErr w:type="spellEnd"/>
          </w:p>
        </w:tc>
        <w:tc>
          <w:tcPr>
            <w:tcW w:w="4431" w:type="dxa"/>
          </w:tcPr>
          <w:p w14:paraId="7F0297AC" w14:textId="41F9AF0F" w:rsidR="001A0D88" w:rsidRPr="00533EAC" w:rsidRDefault="001A0D88" w:rsidP="001A0D88">
            <w:pPr>
              <w:spacing w:line="480" w:lineRule="auto"/>
              <w:rPr>
                <w:rFonts w:ascii="Arial" w:eastAsia="Calibri" w:hAnsi="Arial" w:cs="Arial"/>
                <w:color w:val="000000" w:themeColor="text1"/>
                <w:sz w:val="20"/>
                <w:szCs w:val="20"/>
                <w:lang w:val="en-ZA"/>
              </w:rPr>
            </w:pPr>
            <w:r w:rsidRPr="00533EAC">
              <w:rPr>
                <w:rFonts w:ascii="Arial" w:eastAsia="Times New Roman" w:hAnsi="Arial" w:cs="Arial"/>
                <w:bCs/>
                <w:color w:val="000000" w:themeColor="text1"/>
                <w:sz w:val="20"/>
                <w:szCs w:val="20"/>
                <w:lang w:val="en-ZA" w:eastAsia="de-DE"/>
              </w:rPr>
              <w:t>32°45'54.20" S 28°14'58.60" E</w:t>
            </w:r>
          </w:p>
        </w:tc>
      </w:tr>
      <w:tr w:rsidR="00533EAC" w:rsidRPr="00533EAC" w14:paraId="46978D1F" w14:textId="77777777" w:rsidTr="001A0D88">
        <w:tc>
          <w:tcPr>
            <w:tcW w:w="3600" w:type="dxa"/>
          </w:tcPr>
          <w:p w14:paraId="2CE564D2" w14:textId="5942080E" w:rsidR="001A0D88" w:rsidRPr="00533EAC" w:rsidRDefault="001A0D88" w:rsidP="001A0D88">
            <w:pPr>
              <w:spacing w:line="480" w:lineRule="auto"/>
              <w:rPr>
                <w:rFonts w:ascii="Arial" w:eastAsia="Calibri" w:hAnsi="Arial" w:cs="Arial"/>
                <w:color w:val="000000" w:themeColor="text1"/>
                <w:sz w:val="20"/>
                <w:szCs w:val="20"/>
                <w:lang w:val="en-ZA"/>
              </w:rPr>
            </w:pPr>
            <w:r w:rsidRPr="00533EAC">
              <w:rPr>
                <w:rFonts w:ascii="Arial" w:eastAsia="Calibri" w:hAnsi="Arial" w:cs="Arial"/>
                <w:color w:val="000000" w:themeColor="text1"/>
                <w:sz w:val="20"/>
                <w:szCs w:val="20"/>
                <w:lang w:val="en-ZA"/>
              </w:rPr>
              <w:t>Wild Coast transition zone</w:t>
            </w:r>
          </w:p>
        </w:tc>
        <w:tc>
          <w:tcPr>
            <w:tcW w:w="2409" w:type="dxa"/>
          </w:tcPr>
          <w:p w14:paraId="7759A96C" w14:textId="62077F93" w:rsidR="001A0D88" w:rsidRPr="00533EAC" w:rsidRDefault="001A0D88" w:rsidP="001A0D88">
            <w:pPr>
              <w:spacing w:line="480" w:lineRule="auto"/>
              <w:rPr>
                <w:rFonts w:ascii="Arial" w:eastAsia="Calibri" w:hAnsi="Arial" w:cs="Arial"/>
                <w:color w:val="000000" w:themeColor="text1"/>
                <w:sz w:val="20"/>
                <w:szCs w:val="20"/>
                <w:lang w:val="en-ZA"/>
              </w:rPr>
            </w:pPr>
            <w:r w:rsidRPr="00533EAC">
              <w:rPr>
                <w:rFonts w:ascii="Arial" w:eastAsia="Times New Roman" w:hAnsi="Arial" w:cs="Arial"/>
                <w:bCs/>
                <w:color w:val="000000" w:themeColor="text1"/>
                <w:sz w:val="20"/>
                <w:szCs w:val="20"/>
                <w:lang w:val="en-ZA" w:eastAsia="de-DE"/>
              </w:rPr>
              <w:t>East London</w:t>
            </w:r>
          </w:p>
        </w:tc>
        <w:tc>
          <w:tcPr>
            <w:tcW w:w="4431" w:type="dxa"/>
          </w:tcPr>
          <w:p w14:paraId="057DCAC1" w14:textId="22BDB3EF" w:rsidR="001A0D88" w:rsidRPr="00533EAC" w:rsidRDefault="001A0D88" w:rsidP="001A0D88">
            <w:pPr>
              <w:spacing w:line="480" w:lineRule="auto"/>
              <w:rPr>
                <w:rFonts w:ascii="Arial" w:eastAsia="Calibri" w:hAnsi="Arial" w:cs="Arial"/>
                <w:color w:val="000000" w:themeColor="text1"/>
                <w:sz w:val="20"/>
                <w:szCs w:val="20"/>
                <w:lang w:val="en-ZA"/>
              </w:rPr>
            </w:pPr>
            <w:r w:rsidRPr="00533EAC">
              <w:rPr>
                <w:rFonts w:ascii="Arial" w:eastAsia="Times New Roman" w:hAnsi="Arial" w:cs="Arial"/>
                <w:bCs/>
                <w:color w:val="000000" w:themeColor="text1"/>
                <w:sz w:val="20"/>
                <w:szCs w:val="20"/>
                <w:lang w:val="en-ZA" w:eastAsia="de-DE"/>
              </w:rPr>
              <w:t>33° 0'57.35" S 27°55'16.40" E</w:t>
            </w:r>
          </w:p>
        </w:tc>
      </w:tr>
      <w:tr w:rsidR="00533EAC" w:rsidRPr="00533EAC" w14:paraId="5B4A1ED9" w14:textId="77777777" w:rsidTr="001A0D88">
        <w:tc>
          <w:tcPr>
            <w:tcW w:w="3600" w:type="dxa"/>
          </w:tcPr>
          <w:p w14:paraId="72E2D350" w14:textId="7F64568D" w:rsidR="001A0D88" w:rsidRPr="00533EAC" w:rsidRDefault="001A0D88" w:rsidP="001A0D88">
            <w:pPr>
              <w:spacing w:line="480" w:lineRule="auto"/>
              <w:rPr>
                <w:rFonts w:ascii="Arial" w:eastAsia="Calibri" w:hAnsi="Arial" w:cs="Arial"/>
                <w:color w:val="000000" w:themeColor="text1"/>
                <w:sz w:val="20"/>
                <w:szCs w:val="20"/>
                <w:lang w:val="en-ZA"/>
              </w:rPr>
            </w:pPr>
            <w:r w:rsidRPr="00533EAC">
              <w:rPr>
                <w:rFonts w:ascii="Arial" w:eastAsia="Calibri" w:hAnsi="Arial" w:cs="Arial"/>
                <w:color w:val="000000" w:themeColor="text1"/>
                <w:sz w:val="20"/>
                <w:szCs w:val="20"/>
                <w:lang w:val="en-ZA"/>
              </w:rPr>
              <w:t>Warm-temperate Agulhas Bioregion</w:t>
            </w:r>
          </w:p>
        </w:tc>
        <w:tc>
          <w:tcPr>
            <w:tcW w:w="2409" w:type="dxa"/>
          </w:tcPr>
          <w:p w14:paraId="02D19356" w14:textId="54B61DB7" w:rsidR="001A0D88" w:rsidRPr="00533EAC" w:rsidRDefault="001A0D88" w:rsidP="001A0D88">
            <w:pPr>
              <w:spacing w:line="480" w:lineRule="auto"/>
              <w:rPr>
                <w:rFonts w:ascii="Arial" w:eastAsia="Calibri" w:hAnsi="Arial" w:cs="Arial"/>
                <w:color w:val="000000" w:themeColor="text1"/>
                <w:sz w:val="20"/>
                <w:szCs w:val="20"/>
                <w:lang w:val="en-ZA"/>
              </w:rPr>
            </w:pPr>
            <w:r w:rsidRPr="00533EAC">
              <w:rPr>
                <w:rFonts w:ascii="Arial" w:eastAsia="Times New Roman" w:hAnsi="Arial" w:cs="Arial"/>
                <w:bCs/>
                <w:color w:val="000000" w:themeColor="text1"/>
                <w:sz w:val="20"/>
                <w:szCs w:val="20"/>
                <w:lang w:val="en-ZA" w:eastAsia="de-DE"/>
              </w:rPr>
              <w:t>Hamburg</w:t>
            </w:r>
          </w:p>
        </w:tc>
        <w:tc>
          <w:tcPr>
            <w:tcW w:w="4431" w:type="dxa"/>
          </w:tcPr>
          <w:p w14:paraId="0AE16E1C" w14:textId="62AC975D" w:rsidR="001A0D88" w:rsidRPr="00533EAC" w:rsidRDefault="001A0D88" w:rsidP="001A0D88">
            <w:pPr>
              <w:spacing w:line="480" w:lineRule="auto"/>
              <w:rPr>
                <w:rFonts w:ascii="Arial" w:eastAsia="Calibri" w:hAnsi="Arial" w:cs="Arial"/>
                <w:color w:val="000000" w:themeColor="text1"/>
                <w:sz w:val="20"/>
                <w:szCs w:val="20"/>
                <w:lang w:val="en-ZA"/>
              </w:rPr>
            </w:pPr>
            <w:r w:rsidRPr="00533EAC">
              <w:rPr>
                <w:rFonts w:ascii="Arial" w:eastAsia="Times New Roman" w:hAnsi="Arial" w:cs="Arial"/>
                <w:bCs/>
                <w:color w:val="000000" w:themeColor="text1"/>
                <w:sz w:val="20"/>
                <w:szCs w:val="20"/>
                <w:lang w:val="en-ZA" w:eastAsia="de-DE"/>
              </w:rPr>
              <w:t>33°17'50.63" S 27°28'49.66" E</w:t>
            </w:r>
          </w:p>
        </w:tc>
      </w:tr>
      <w:tr w:rsidR="00533EAC" w:rsidRPr="00533EAC" w14:paraId="1E521C96" w14:textId="77777777" w:rsidTr="001A0D88">
        <w:tc>
          <w:tcPr>
            <w:tcW w:w="3600" w:type="dxa"/>
          </w:tcPr>
          <w:p w14:paraId="7824BBB9" w14:textId="34737D90" w:rsidR="001A0D88" w:rsidRPr="00533EAC" w:rsidRDefault="001A0D88" w:rsidP="001A0D88">
            <w:pPr>
              <w:spacing w:line="480" w:lineRule="auto"/>
              <w:rPr>
                <w:rFonts w:ascii="Arial" w:eastAsia="Calibri" w:hAnsi="Arial" w:cs="Arial"/>
                <w:color w:val="000000" w:themeColor="text1"/>
                <w:sz w:val="20"/>
                <w:szCs w:val="20"/>
                <w:lang w:val="en-ZA"/>
              </w:rPr>
            </w:pPr>
            <w:r w:rsidRPr="00533EAC">
              <w:rPr>
                <w:rFonts w:ascii="Arial" w:eastAsia="Calibri" w:hAnsi="Arial" w:cs="Arial"/>
                <w:color w:val="000000" w:themeColor="text1"/>
                <w:sz w:val="20"/>
                <w:szCs w:val="20"/>
                <w:lang w:val="en-ZA"/>
              </w:rPr>
              <w:t>Warm-temperate Agulhas Bioregion</w:t>
            </w:r>
          </w:p>
        </w:tc>
        <w:tc>
          <w:tcPr>
            <w:tcW w:w="2409" w:type="dxa"/>
          </w:tcPr>
          <w:p w14:paraId="3442AF14" w14:textId="1FA3A202" w:rsidR="001A0D88" w:rsidRPr="00533EAC" w:rsidRDefault="001A0D88" w:rsidP="001A0D88">
            <w:pPr>
              <w:spacing w:line="480" w:lineRule="auto"/>
              <w:rPr>
                <w:rFonts w:ascii="Arial" w:eastAsia="Calibri" w:hAnsi="Arial" w:cs="Arial"/>
                <w:color w:val="000000" w:themeColor="text1"/>
                <w:sz w:val="20"/>
                <w:szCs w:val="20"/>
                <w:lang w:val="en-ZA"/>
              </w:rPr>
            </w:pPr>
            <w:r w:rsidRPr="00533EAC">
              <w:rPr>
                <w:rFonts w:ascii="Arial" w:eastAsia="Times New Roman" w:hAnsi="Arial" w:cs="Arial"/>
                <w:bCs/>
                <w:color w:val="000000" w:themeColor="text1"/>
                <w:sz w:val="20"/>
                <w:szCs w:val="20"/>
                <w:lang w:val="en-ZA" w:eastAsia="de-DE"/>
              </w:rPr>
              <w:t>Great Fish River</w:t>
            </w:r>
            <w:r w:rsidR="002F22DC" w:rsidRPr="00533EAC">
              <w:rPr>
                <w:rFonts w:ascii="Arial" w:eastAsia="Times New Roman" w:hAnsi="Arial" w:cs="Arial"/>
                <w:bCs/>
                <w:color w:val="000000" w:themeColor="text1"/>
                <w:sz w:val="20"/>
                <w:szCs w:val="20"/>
                <w:lang w:val="en-ZA" w:eastAsia="de-DE"/>
              </w:rPr>
              <w:t xml:space="preserve"> Mouth</w:t>
            </w:r>
          </w:p>
        </w:tc>
        <w:tc>
          <w:tcPr>
            <w:tcW w:w="4431" w:type="dxa"/>
          </w:tcPr>
          <w:p w14:paraId="7C5FADC7" w14:textId="1237A5D3" w:rsidR="001A0D88" w:rsidRPr="00533EAC" w:rsidRDefault="001A0D88" w:rsidP="001A0D88">
            <w:pPr>
              <w:spacing w:line="480" w:lineRule="auto"/>
              <w:rPr>
                <w:rFonts w:ascii="Arial" w:eastAsia="Calibri" w:hAnsi="Arial" w:cs="Arial"/>
                <w:color w:val="000000" w:themeColor="text1"/>
                <w:sz w:val="20"/>
                <w:szCs w:val="20"/>
                <w:lang w:val="en-ZA"/>
              </w:rPr>
            </w:pPr>
            <w:r w:rsidRPr="00533EAC">
              <w:rPr>
                <w:rFonts w:ascii="Arial" w:eastAsia="Times New Roman" w:hAnsi="Arial" w:cs="Arial"/>
                <w:bCs/>
                <w:color w:val="000000" w:themeColor="text1"/>
                <w:sz w:val="20"/>
                <w:szCs w:val="20"/>
                <w:lang w:val="en-ZA" w:eastAsia="de-DE"/>
              </w:rPr>
              <w:t>33°28'56.61" S 27°9'7.25" E</w:t>
            </w:r>
          </w:p>
        </w:tc>
      </w:tr>
      <w:tr w:rsidR="001A0D88" w:rsidRPr="00533EAC" w14:paraId="6435BD96" w14:textId="77777777" w:rsidTr="001A0D88">
        <w:tc>
          <w:tcPr>
            <w:tcW w:w="3600" w:type="dxa"/>
            <w:tcBorders>
              <w:bottom w:val="single" w:sz="4" w:space="0" w:color="auto"/>
            </w:tcBorders>
          </w:tcPr>
          <w:p w14:paraId="207F7E91" w14:textId="0A229AEE" w:rsidR="001A0D88" w:rsidRPr="00533EAC" w:rsidRDefault="001A0D88" w:rsidP="001A0D88">
            <w:pPr>
              <w:spacing w:line="480" w:lineRule="auto"/>
              <w:rPr>
                <w:rFonts w:ascii="Arial" w:eastAsia="Calibri" w:hAnsi="Arial" w:cs="Arial"/>
                <w:color w:val="000000" w:themeColor="text1"/>
                <w:sz w:val="20"/>
                <w:szCs w:val="20"/>
                <w:lang w:val="en-ZA"/>
              </w:rPr>
            </w:pPr>
            <w:r w:rsidRPr="00533EAC">
              <w:rPr>
                <w:rFonts w:ascii="Arial" w:eastAsia="Calibri" w:hAnsi="Arial" w:cs="Arial"/>
                <w:color w:val="000000" w:themeColor="text1"/>
                <w:sz w:val="20"/>
                <w:szCs w:val="20"/>
                <w:lang w:val="en-ZA"/>
              </w:rPr>
              <w:t>Warm-temperate Agulhas Bioregion</w:t>
            </w:r>
          </w:p>
        </w:tc>
        <w:tc>
          <w:tcPr>
            <w:tcW w:w="2409" w:type="dxa"/>
            <w:tcBorders>
              <w:bottom w:val="single" w:sz="4" w:space="0" w:color="auto"/>
            </w:tcBorders>
          </w:tcPr>
          <w:p w14:paraId="5627544B" w14:textId="0FA64A62" w:rsidR="001A0D88" w:rsidRPr="00533EAC" w:rsidRDefault="001A0D88" w:rsidP="001A0D88">
            <w:pPr>
              <w:spacing w:line="480" w:lineRule="auto"/>
              <w:rPr>
                <w:rFonts w:ascii="Arial" w:eastAsia="Calibri" w:hAnsi="Arial" w:cs="Arial"/>
                <w:color w:val="000000" w:themeColor="text1"/>
                <w:sz w:val="20"/>
                <w:szCs w:val="20"/>
                <w:lang w:val="en-ZA"/>
              </w:rPr>
            </w:pPr>
            <w:r w:rsidRPr="00533EAC">
              <w:rPr>
                <w:rFonts w:ascii="Arial" w:eastAsia="Times New Roman" w:hAnsi="Arial" w:cs="Arial"/>
                <w:bCs/>
                <w:color w:val="000000" w:themeColor="text1"/>
                <w:sz w:val="20"/>
                <w:szCs w:val="20"/>
                <w:lang w:val="en-ZA" w:eastAsia="de-DE"/>
              </w:rPr>
              <w:t>Port Elizabeth</w:t>
            </w:r>
          </w:p>
        </w:tc>
        <w:tc>
          <w:tcPr>
            <w:tcW w:w="4431" w:type="dxa"/>
            <w:tcBorders>
              <w:bottom w:val="single" w:sz="4" w:space="0" w:color="auto"/>
            </w:tcBorders>
          </w:tcPr>
          <w:p w14:paraId="2F8731EB" w14:textId="7BE15DB9" w:rsidR="001A0D88" w:rsidRPr="00533EAC" w:rsidRDefault="001A0D88" w:rsidP="001A0D88">
            <w:pPr>
              <w:spacing w:line="480" w:lineRule="auto"/>
              <w:rPr>
                <w:rFonts w:ascii="Arial" w:eastAsia="Calibri" w:hAnsi="Arial" w:cs="Arial"/>
                <w:color w:val="000000" w:themeColor="text1"/>
                <w:sz w:val="20"/>
                <w:szCs w:val="20"/>
                <w:lang w:val="en-ZA"/>
              </w:rPr>
            </w:pPr>
            <w:r w:rsidRPr="00533EAC">
              <w:rPr>
                <w:rFonts w:ascii="Arial" w:eastAsia="Times New Roman" w:hAnsi="Arial" w:cs="Arial"/>
                <w:bCs/>
                <w:color w:val="000000" w:themeColor="text1"/>
                <w:sz w:val="20"/>
                <w:szCs w:val="20"/>
                <w:lang w:val="en-ZA" w:eastAsia="de-DE"/>
              </w:rPr>
              <w:t>33°59'31.31" S 25°40'42.98" E</w:t>
            </w:r>
          </w:p>
        </w:tc>
      </w:tr>
    </w:tbl>
    <w:p w14:paraId="1F285B4A" w14:textId="5D29BE02" w:rsidR="001A0D88" w:rsidRPr="00533EAC" w:rsidRDefault="001A0D88" w:rsidP="00C05A32">
      <w:pPr>
        <w:spacing w:after="0" w:line="200" w:lineRule="exact"/>
        <w:rPr>
          <w:rFonts w:ascii="Arial" w:eastAsia="Calibri" w:hAnsi="Arial" w:cs="Arial"/>
          <w:color w:val="000000" w:themeColor="text1"/>
          <w:sz w:val="16"/>
          <w:szCs w:val="16"/>
          <w:lang w:val="en-ZA"/>
        </w:rPr>
      </w:pPr>
    </w:p>
    <w:p w14:paraId="256B4631" w14:textId="088DE73C" w:rsidR="001A0D88" w:rsidRPr="00533EAC" w:rsidRDefault="001A0D88" w:rsidP="00C05A32">
      <w:pPr>
        <w:spacing w:after="0" w:line="200" w:lineRule="exact"/>
        <w:rPr>
          <w:rFonts w:ascii="Arial" w:eastAsia="Calibri" w:hAnsi="Arial" w:cs="Arial"/>
          <w:color w:val="000000" w:themeColor="text1"/>
          <w:sz w:val="16"/>
          <w:szCs w:val="16"/>
          <w:lang w:val="en-ZA"/>
        </w:rPr>
      </w:pPr>
    </w:p>
    <w:p w14:paraId="46EC9800" w14:textId="68AC2217" w:rsidR="001A0D88" w:rsidRPr="00533EAC" w:rsidRDefault="001A0D88" w:rsidP="00C05A32">
      <w:pPr>
        <w:spacing w:after="0" w:line="200" w:lineRule="exact"/>
        <w:rPr>
          <w:rFonts w:ascii="Arial" w:eastAsia="Calibri" w:hAnsi="Arial" w:cs="Arial"/>
          <w:color w:val="000000" w:themeColor="text1"/>
          <w:sz w:val="16"/>
          <w:szCs w:val="16"/>
          <w:lang w:val="en-ZA"/>
        </w:rPr>
      </w:pPr>
    </w:p>
    <w:p w14:paraId="2EA4CC2F" w14:textId="77777777" w:rsidR="001A0D88" w:rsidRPr="00533EAC" w:rsidRDefault="001A0D88" w:rsidP="00C05A32">
      <w:pPr>
        <w:spacing w:after="0" w:line="200" w:lineRule="exact"/>
        <w:rPr>
          <w:rFonts w:ascii="Arial" w:eastAsia="Calibri" w:hAnsi="Arial" w:cs="Arial"/>
          <w:color w:val="000000" w:themeColor="text1"/>
          <w:sz w:val="16"/>
          <w:szCs w:val="16"/>
          <w:lang w:val="en-ZA"/>
        </w:rPr>
      </w:pPr>
    </w:p>
    <w:p w14:paraId="16F3F41B" w14:textId="77777777" w:rsidR="008C5E3C" w:rsidRPr="00533EAC" w:rsidRDefault="008C5E3C" w:rsidP="00C05A32">
      <w:pPr>
        <w:spacing w:after="0" w:line="200" w:lineRule="exact"/>
        <w:rPr>
          <w:rFonts w:ascii="Arial" w:eastAsia="Calibri" w:hAnsi="Arial" w:cs="Arial"/>
          <w:color w:val="000000" w:themeColor="text1"/>
          <w:sz w:val="16"/>
          <w:szCs w:val="16"/>
          <w:lang w:val="en-ZA"/>
        </w:rPr>
      </w:pPr>
    </w:p>
    <w:p w14:paraId="613D1B07" w14:textId="1EAABBD1" w:rsidR="001A0D88" w:rsidRPr="00533EAC" w:rsidRDefault="001A0D88" w:rsidP="00C05A32">
      <w:pPr>
        <w:spacing w:after="0" w:line="200" w:lineRule="exact"/>
        <w:rPr>
          <w:rFonts w:ascii="Arial" w:eastAsia="Calibri" w:hAnsi="Arial" w:cs="Arial"/>
          <w:color w:val="000000" w:themeColor="text1"/>
          <w:sz w:val="16"/>
          <w:szCs w:val="16"/>
          <w:lang w:val="en-ZA"/>
        </w:rPr>
        <w:sectPr w:rsidR="001A0D88" w:rsidRPr="00533EAC" w:rsidSect="005565B0">
          <w:pgSz w:w="11906" w:h="16838"/>
          <w:pgMar w:top="1418" w:right="1418" w:bottom="1134" w:left="1418" w:header="709" w:footer="709" w:gutter="0"/>
          <w:lnNumType w:countBy="1" w:restart="continuous"/>
          <w:cols w:space="708"/>
          <w:docGrid w:linePitch="360"/>
        </w:sectPr>
      </w:pPr>
    </w:p>
    <w:p w14:paraId="0042BCE1" w14:textId="1C962172" w:rsidR="005633D6" w:rsidRPr="00533EAC" w:rsidRDefault="005633D6" w:rsidP="00C05A32">
      <w:pPr>
        <w:widowControl w:val="0"/>
        <w:autoSpaceDE w:val="0"/>
        <w:autoSpaceDN w:val="0"/>
        <w:adjustRightInd w:val="0"/>
        <w:spacing w:after="0" w:line="360" w:lineRule="auto"/>
        <w:rPr>
          <w:rFonts w:ascii="Arial" w:eastAsia="Calibri" w:hAnsi="Arial" w:cs="Arial"/>
          <w:bCs/>
          <w:color w:val="000000" w:themeColor="text1"/>
          <w:sz w:val="20"/>
          <w:szCs w:val="20"/>
          <w:lang w:val="en-ZA"/>
        </w:rPr>
      </w:pPr>
      <w:r w:rsidRPr="00533EAC">
        <w:rPr>
          <w:rFonts w:ascii="Arial" w:eastAsia="Calibri" w:hAnsi="Arial" w:cs="Arial"/>
          <w:b/>
          <w:bCs/>
          <w:color w:val="000000" w:themeColor="text1"/>
          <w:sz w:val="20"/>
          <w:szCs w:val="20"/>
          <w:lang w:val="en-ZA"/>
        </w:rPr>
        <w:lastRenderedPageBreak/>
        <w:t xml:space="preserve">Table 2: </w:t>
      </w:r>
      <w:r w:rsidRPr="00533EAC">
        <w:rPr>
          <w:rFonts w:ascii="Arial" w:eastAsia="Calibri" w:hAnsi="Arial" w:cs="Arial"/>
          <w:bCs/>
          <w:color w:val="000000" w:themeColor="text1"/>
          <w:sz w:val="20"/>
          <w:szCs w:val="20"/>
          <w:lang w:val="en-ZA"/>
        </w:rPr>
        <w:t xml:space="preserve">Characteristics of the </w:t>
      </w:r>
      <w:r w:rsidR="00C7243E" w:rsidRPr="00533EAC">
        <w:rPr>
          <w:rFonts w:ascii="Arial" w:eastAsia="Calibri" w:hAnsi="Arial" w:cs="Arial"/>
          <w:bCs/>
          <w:color w:val="000000" w:themeColor="text1"/>
          <w:sz w:val="20"/>
          <w:szCs w:val="20"/>
          <w:lang w:val="en-ZA"/>
        </w:rPr>
        <w:t>five</w:t>
      </w:r>
      <w:r w:rsidRPr="00533EAC">
        <w:rPr>
          <w:rFonts w:ascii="Arial" w:eastAsia="Calibri" w:hAnsi="Arial" w:cs="Arial"/>
          <w:bCs/>
          <w:color w:val="000000" w:themeColor="text1"/>
          <w:sz w:val="20"/>
          <w:szCs w:val="20"/>
          <w:lang w:val="en-ZA"/>
        </w:rPr>
        <w:t xml:space="preserve"> microsatellite markers developed for</w:t>
      </w:r>
      <w:r w:rsidRPr="00533EAC">
        <w:rPr>
          <w:rFonts w:ascii="Arial" w:eastAsia="Calibri" w:hAnsi="Arial" w:cs="Arial"/>
          <w:bCs/>
          <w:i/>
          <w:color w:val="000000" w:themeColor="text1"/>
          <w:sz w:val="20"/>
          <w:szCs w:val="20"/>
          <w:lang w:val="en-ZA"/>
        </w:rPr>
        <w:t xml:space="preserve"> Pyura stolonifera </w:t>
      </w:r>
      <w:r w:rsidRPr="00533EAC">
        <w:rPr>
          <w:rFonts w:ascii="Arial" w:eastAsia="Calibri" w:hAnsi="Arial" w:cs="Arial"/>
          <w:bCs/>
          <w:iCs/>
          <w:color w:val="000000" w:themeColor="text1"/>
          <w:sz w:val="20"/>
          <w:szCs w:val="20"/>
          <w:lang w:val="en-ZA"/>
        </w:rPr>
        <w:t>and</w:t>
      </w:r>
      <w:r w:rsidRPr="00533EAC">
        <w:rPr>
          <w:rFonts w:ascii="Arial" w:eastAsia="Calibri" w:hAnsi="Arial" w:cs="Arial"/>
          <w:bCs/>
          <w:i/>
          <w:color w:val="000000" w:themeColor="text1"/>
          <w:sz w:val="20"/>
          <w:szCs w:val="20"/>
          <w:lang w:val="en-ZA"/>
        </w:rPr>
        <w:t xml:space="preserve"> P. herdmani</w:t>
      </w:r>
      <w:r w:rsidR="00C7243E" w:rsidRPr="00533EAC">
        <w:rPr>
          <w:rFonts w:ascii="Arial" w:eastAsia="Calibri" w:hAnsi="Arial" w:cs="Arial"/>
          <w:bCs/>
          <w:i/>
          <w:color w:val="000000" w:themeColor="text1"/>
          <w:sz w:val="20"/>
          <w:szCs w:val="20"/>
          <w:lang w:val="en-ZA"/>
        </w:rPr>
        <w:t xml:space="preserve">. </w:t>
      </w:r>
      <w:r w:rsidR="001D1A0C" w:rsidRPr="00533EAC">
        <w:rPr>
          <w:rFonts w:ascii="Arial" w:eastAsia="Calibri" w:hAnsi="Arial" w:cs="Arial"/>
          <w:i/>
          <w:color w:val="000000" w:themeColor="text1"/>
          <w:sz w:val="20"/>
          <w:szCs w:val="20"/>
          <w:lang w:val="en-ZA"/>
        </w:rPr>
        <w:t>N</w:t>
      </w:r>
      <w:r w:rsidR="001D1A0C" w:rsidRPr="00533EAC">
        <w:rPr>
          <w:rFonts w:ascii="Arial" w:eastAsia="Calibri" w:hAnsi="Arial" w:cs="Arial"/>
          <w:color w:val="000000" w:themeColor="text1"/>
          <w:sz w:val="20"/>
          <w:szCs w:val="20"/>
          <w:vertAlign w:val="subscript"/>
          <w:lang w:val="en-ZA"/>
        </w:rPr>
        <w:t>A</w:t>
      </w:r>
      <w:r w:rsidR="001D1A0C" w:rsidRPr="00533EAC">
        <w:rPr>
          <w:rFonts w:ascii="Arial" w:eastAsia="Calibri" w:hAnsi="Arial" w:cs="Arial"/>
          <w:color w:val="000000" w:themeColor="text1"/>
          <w:sz w:val="20"/>
          <w:szCs w:val="20"/>
          <w:lang w:val="en-ZA"/>
        </w:rPr>
        <w:t xml:space="preserve"> = total number of alleles, </w:t>
      </w:r>
      <w:r w:rsidR="001D1A0C" w:rsidRPr="00533EAC">
        <w:rPr>
          <w:rFonts w:ascii="Arial" w:eastAsia="Calibri" w:hAnsi="Arial" w:cs="Arial"/>
          <w:i/>
          <w:color w:val="000000" w:themeColor="text1"/>
          <w:sz w:val="20"/>
          <w:szCs w:val="20"/>
          <w:lang w:val="en-ZA"/>
        </w:rPr>
        <w:t>H</w:t>
      </w:r>
      <w:r w:rsidR="001D1A0C" w:rsidRPr="00533EAC">
        <w:rPr>
          <w:rFonts w:ascii="Arial" w:eastAsia="Calibri" w:hAnsi="Arial" w:cs="Arial"/>
          <w:color w:val="000000" w:themeColor="text1"/>
          <w:sz w:val="20"/>
          <w:szCs w:val="20"/>
          <w:vertAlign w:val="subscript"/>
          <w:lang w:val="en-ZA"/>
        </w:rPr>
        <w:t>O</w:t>
      </w:r>
      <w:r w:rsidR="001D1A0C" w:rsidRPr="00533EAC">
        <w:rPr>
          <w:rFonts w:ascii="Arial" w:eastAsia="Calibri" w:hAnsi="Arial" w:cs="Arial"/>
          <w:color w:val="000000" w:themeColor="text1"/>
          <w:sz w:val="20"/>
          <w:szCs w:val="20"/>
          <w:lang w:val="en-ZA"/>
        </w:rPr>
        <w:t xml:space="preserve"> = observed heterozygosity, </w:t>
      </w:r>
      <w:r w:rsidR="001D1A0C" w:rsidRPr="00533EAC">
        <w:rPr>
          <w:rFonts w:ascii="Arial" w:eastAsia="Calibri" w:hAnsi="Arial" w:cs="Arial"/>
          <w:i/>
          <w:color w:val="000000" w:themeColor="text1"/>
          <w:sz w:val="20"/>
          <w:szCs w:val="20"/>
          <w:lang w:val="en-ZA"/>
        </w:rPr>
        <w:t>H</w:t>
      </w:r>
      <w:r w:rsidR="001D1A0C" w:rsidRPr="00533EAC">
        <w:rPr>
          <w:rFonts w:ascii="Arial" w:eastAsia="Calibri" w:hAnsi="Arial" w:cs="Arial"/>
          <w:color w:val="000000" w:themeColor="text1"/>
          <w:sz w:val="20"/>
          <w:szCs w:val="20"/>
          <w:vertAlign w:val="subscript"/>
          <w:lang w:val="en-ZA"/>
        </w:rPr>
        <w:t>E</w:t>
      </w:r>
      <w:r w:rsidR="001D1A0C" w:rsidRPr="00533EAC">
        <w:rPr>
          <w:rFonts w:ascii="Arial" w:eastAsia="Calibri" w:hAnsi="Arial" w:cs="Arial"/>
          <w:color w:val="000000" w:themeColor="text1"/>
          <w:sz w:val="20"/>
          <w:szCs w:val="20"/>
          <w:lang w:val="en-ZA"/>
        </w:rPr>
        <w:t xml:space="preserve"> = expected heterozygosity, </w:t>
      </w:r>
      <w:r w:rsidR="001D1A0C" w:rsidRPr="00533EAC">
        <w:rPr>
          <w:rFonts w:ascii="Arial" w:eastAsia="Calibri" w:hAnsi="Arial" w:cs="Arial"/>
          <w:i/>
          <w:color w:val="000000" w:themeColor="text1"/>
          <w:sz w:val="20"/>
          <w:szCs w:val="20"/>
          <w:lang w:val="en-ZA"/>
        </w:rPr>
        <w:t>T</w:t>
      </w:r>
      <w:r w:rsidR="001D1A0C" w:rsidRPr="00533EAC">
        <w:rPr>
          <w:rFonts w:ascii="Arial" w:eastAsia="Calibri" w:hAnsi="Arial" w:cs="Arial"/>
          <w:i/>
          <w:color w:val="000000" w:themeColor="text1"/>
          <w:sz w:val="20"/>
          <w:szCs w:val="20"/>
          <w:vertAlign w:val="subscript"/>
          <w:lang w:val="en-ZA"/>
        </w:rPr>
        <w:t>a</w:t>
      </w:r>
      <w:r w:rsidR="001D1A0C" w:rsidRPr="00533EAC">
        <w:rPr>
          <w:rFonts w:ascii="Arial" w:eastAsia="Calibri" w:hAnsi="Arial" w:cs="Arial"/>
          <w:color w:val="000000" w:themeColor="text1"/>
          <w:sz w:val="20"/>
          <w:szCs w:val="20"/>
          <w:lang w:val="en-ZA"/>
        </w:rPr>
        <w:t xml:space="preserve"> = primer-specific annealing temperature</w:t>
      </w:r>
    </w:p>
    <w:tbl>
      <w:tblPr>
        <w:tblStyle w:val="Grigliatabella1"/>
        <w:tblW w:w="12332" w:type="dxa"/>
        <w:jc w:val="center"/>
        <w:tblLayout w:type="fixed"/>
        <w:tblLook w:val="04A0" w:firstRow="1" w:lastRow="0" w:firstColumn="1" w:lastColumn="0" w:noHBand="0" w:noVBand="1"/>
      </w:tblPr>
      <w:tblGrid>
        <w:gridCol w:w="851"/>
        <w:gridCol w:w="3794"/>
        <w:gridCol w:w="1418"/>
        <w:gridCol w:w="1592"/>
        <w:gridCol w:w="1025"/>
        <w:gridCol w:w="960"/>
        <w:gridCol w:w="992"/>
        <w:gridCol w:w="850"/>
        <w:gridCol w:w="850"/>
      </w:tblGrid>
      <w:tr w:rsidR="00533EAC" w:rsidRPr="00533EAC" w14:paraId="628512B9" w14:textId="77777777" w:rsidTr="00C05A32">
        <w:trPr>
          <w:trHeight w:val="221"/>
          <w:jc w:val="center"/>
        </w:trPr>
        <w:tc>
          <w:tcPr>
            <w:tcW w:w="851" w:type="dxa"/>
            <w:tcBorders>
              <w:left w:val="nil"/>
              <w:bottom w:val="single" w:sz="4" w:space="0" w:color="auto"/>
              <w:right w:val="nil"/>
            </w:tcBorders>
            <w:noWrap/>
            <w:vAlign w:val="center"/>
            <w:hideMark/>
          </w:tcPr>
          <w:p w14:paraId="1B54B558" w14:textId="77777777" w:rsidR="00C7243E" w:rsidRPr="00533EAC" w:rsidRDefault="00C7243E"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bCs/>
                <w:color w:val="000000" w:themeColor="text1"/>
                <w:sz w:val="16"/>
                <w:szCs w:val="16"/>
                <w:lang w:val="en-ZA" w:eastAsia="de-DE"/>
              </w:rPr>
              <w:t>Locus</w:t>
            </w:r>
          </w:p>
        </w:tc>
        <w:tc>
          <w:tcPr>
            <w:tcW w:w="3794" w:type="dxa"/>
            <w:tcBorders>
              <w:left w:val="nil"/>
              <w:bottom w:val="single" w:sz="4" w:space="0" w:color="auto"/>
              <w:right w:val="nil"/>
            </w:tcBorders>
            <w:noWrap/>
            <w:vAlign w:val="center"/>
            <w:hideMark/>
          </w:tcPr>
          <w:p w14:paraId="1BBDADE4" w14:textId="77777777" w:rsidR="00C7243E" w:rsidRPr="00533EAC" w:rsidRDefault="00C7243E" w:rsidP="00C05A32">
            <w:pPr>
              <w:spacing w:line="200" w:lineRule="exact"/>
              <w:jc w:val="both"/>
              <w:rPr>
                <w:rFonts w:ascii="Arial" w:eastAsia="Times New Roman" w:hAnsi="Arial" w:cs="Arial"/>
                <w:color w:val="000000" w:themeColor="text1"/>
                <w:sz w:val="16"/>
                <w:szCs w:val="16"/>
                <w:lang w:val="en-ZA" w:eastAsia="de-DE"/>
              </w:rPr>
            </w:pPr>
            <w:r w:rsidRPr="00533EAC">
              <w:rPr>
                <w:rFonts w:ascii="Arial" w:eastAsia="Times New Roman" w:hAnsi="Arial" w:cs="Arial"/>
                <w:bCs/>
                <w:color w:val="000000" w:themeColor="text1"/>
                <w:sz w:val="16"/>
                <w:szCs w:val="16"/>
                <w:lang w:val="en-ZA" w:eastAsia="de-DE"/>
              </w:rPr>
              <w:t>Primer sequence</w:t>
            </w:r>
          </w:p>
        </w:tc>
        <w:tc>
          <w:tcPr>
            <w:tcW w:w="1418" w:type="dxa"/>
            <w:tcBorders>
              <w:left w:val="nil"/>
              <w:bottom w:val="single" w:sz="4" w:space="0" w:color="auto"/>
              <w:right w:val="nil"/>
            </w:tcBorders>
            <w:noWrap/>
            <w:vAlign w:val="center"/>
            <w:hideMark/>
          </w:tcPr>
          <w:p w14:paraId="56C4B92D" w14:textId="77777777" w:rsidR="00C7243E" w:rsidRPr="00533EAC" w:rsidRDefault="00C7243E"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bCs/>
                <w:color w:val="000000" w:themeColor="text1"/>
                <w:sz w:val="16"/>
                <w:szCs w:val="16"/>
                <w:lang w:val="en-ZA" w:eastAsia="de-DE"/>
              </w:rPr>
              <w:t>Repeat pattern</w:t>
            </w:r>
          </w:p>
        </w:tc>
        <w:tc>
          <w:tcPr>
            <w:tcW w:w="1592" w:type="dxa"/>
            <w:tcBorders>
              <w:left w:val="nil"/>
              <w:bottom w:val="single" w:sz="4" w:space="0" w:color="auto"/>
              <w:right w:val="nil"/>
            </w:tcBorders>
            <w:noWrap/>
            <w:vAlign w:val="center"/>
            <w:hideMark/>
          </w:tcPr>
          <w:p w14:paraId="5400D9C6" w14:textId="77777777" w:rsidR="00C7243E" w:rsidRPr="00533EAC" w:rsidRDefault="00C7243E"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bCs/>
                <w:color w:val="000000" w:themeColor="text1"/>
                <w:sz w:val="16"/>
                <w:szCs w:val="16"/>
                <w:lang w:val="en-ZA" w:eastAsia="de-DE"/>
              </w:rPr>
              <w:t>Allele size range</w:t>
            </w:r>
          </w:p>
        </w:tc>
        <w:tc>
          <w:tcPr>
            <w:tcW w:w="1025" w:type="dxa"/>
            <w:tcBorders>
              <w:left w:val="nil"/>
              <w:bottom w:val="single" w:sz="4" w:space="0" w:color="auto"/>
              <w:right w:val="nil"/>
            </w:tcBorders>
          </w:tcPr>
          <w:p w14:paraId="3FAF6662" w14:textId="77777777" w:rsidR="00C7243E" w:rsidRPr="00533EAC" w:rsidRDefault="00C7243E"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i/>
                <w:color w:val="000000" w:themeColor="text1"/>
                <w:sz w:val="16"/>
                <w:szCs w:val="16"/>
                <w:lang w:val="en-ZA" w:eastAsia="de-DE"/>
              </w:rPr>
              <w:t>T</w:t>
            </w:r>
            <w:r w:rsidRPr="00533EAC">
              <w:rPr>
                <w:rFonts w:ascii="Arial" w:eastAsia="Times New Roman" w:hAnsi="Arial" w:cs="Arial"/>
                <w:i/>
                <w:color w:val="000000" w:themeColor="text1"/>
                <w:sz w:val="16"/>
                <w:szCs w:val="16"/>
                <w:vertAlign w:val="subscript"/>
                <w:lang w:val="en-ZA" w:eastAsia="de-DE"/>
              </w:rPr>
              <w:t>a</w:t>
            </w:r>
            <w:r w:rsidRPr="00533EAC">
              <w:rPr>
                <w:rFonts w:ascii="Arial" w:eastAsia="Times New Roman" w:hAnsi="Arial" w:cs="Arial"/>
                <w:color w:val="000000" w:themeColor="text1"/>
                <w:sz w:val="16"/>
                <w:szCs w:val="16"/>
                <w:lang w:val="en-ZA" w:eastAsia="de-DE"/>
              </w:rPr>
              <w:t xml:space="preserve"> (°C)</w:t>
            </w:r>
            <w:r w:rsidRPr="00533EAC">
              <w:rPr>
                <w:rFonts w:ascii="Arial" w:eastAsia="Times New Roman" w:hAnsi="Arial" w:cs="Arial"/>
                <w:color w:val="000000" w:themeColor="text1"/>
                <w:sz w:val="16"/>
                <w:szCs w:val="16"/>
                <w:vertAlign w:val="subscript"/>
                <w:lang w:val="en-ZA" w:eastAsia="de-DE"/>
              </w:rPr>
              <w:t xml:space="preserve"> </w:t>
            </w:r>
          </w:p>
        </w:tc>
        <w:tc>
          <w:tcPr>
            <w:tcW w:w="960" w:type="dxa"/>
            <w:tcBorders>
              <w:left w:val="nil"/>
              <w:bottom w:val="single" w:sz="4" w:space="0" w:color="auto"/>
              <w:right w:val="nil"/>
            </w:tcBorders>
            <w:noWrap/>
            <w:vAlign w:val="center"/>
            <w:hideMark/>
          </w:tcPr>
          <w:p w14:paraId="46F79531" w14:textId="77777777" w:rsidR="00C7243E" w:rsidRPr="00533EAC" w:rsidRDefault="00C7243E"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i/>
                <w:color w:val="000000" w:themeColor="text1"/>
                <w:sz w:val="16"/>
                <w:szCs w:val="16"/>
                <w:lang w:val="en-ZA" w:eastAsia="de-DE"/>
              </w:rPr>
              <w:t>N</w:t>
            </w:r>
            <w:r w:rsidRPr="00533EAC">
              <w:rPr>
                <w:rFonts w:ascii="Arial" w:eastAsia="Times New Roman" w:hAnsi="Arial" w:cs="Arial"/>
                <w:color w:val="000000" w:themeColor="text1"/>
                <w:sz w:val="16"/>
                <w:szCs w:val="16"/>
                <w:vertAlign w:val="subscript"/>
                <w:lang w:val="en-ZA" w:eastAsia="de-DE"/>
              </w:rPr>
              <w:t>A</w:t>
            </w:r>
          </w:p>
        </w:tc>
        <w:tc>
          <w:tcPr>
            <w:tcW w:w="992" w:type="dxa"/>
            <w:tcBorders>
              <w:left w:val="nil"/>
              <w:bottom w:val="single" w:sz="4" w:space="0" w:color="auto"/>
              <w:right w:val="nil"/>
            </w:tcBorders>
            <w:vAlign w:val="center"/>
          </w:tcPr>
          <w:p w14:paraId="23235F9B" w14:textId="77777777" w:rsidR="00C7243E" w:rsidRPr="00533EAC" w:rsidRDefault="00C7243E" w:rsidP="00C05A32">
            <w:pPr>
              <w:spacing w:line="200" w:lineRule="exact"/>
              <w:rPr>
                <w:rFonts w:ascii="Arial" w:eastAsia="Times New Roman" w:hAnsi="Arial" w:cs="Arial"/>
                <w:bCs/>
                <w:color w:val="000000" w:themeColor="text1"/>
                <w:sz w:val="16"/>
                <w:szCs w:val="16"/>
                <w:lang w:val="en-ZA" w:eastAsia="de-DE"/>
              </w:rPr>
            </w:pPr>
            <w:r w:rsidRPr="00533EAC">
              <w:rPr>
                <w:rFonts w:ascii="Arial" w:eastAsia="Times New Roman" w:hAnsi="Arial" w:cs="Arial"/>
                <w:bCs/>
                <w:i/>
                <w:color w:val="000000" w:themeColor="text1"/>
                <w:sz w:val="16"/>
                <w:szCs w:val="16"/>
                <w:lang w:val="en-ZA" w:eastAsia="de-DE"/>
              </w:rPr>
              <w:t>H</w:t>
            </w:r>
            <w:r w:rsidRPr="00533EAC">
              <w:rPr>
                <w:rFonts w:ascii="Arial" w:eastAsia="Times New Roman" w:hAnsi="Arial" w:cs="Arial"/>
                <w:bCs/>
                <w:color w:val="000000" w:themeColor="text1"/>
                <w:sz w:val="16"/>
                <w:szCs w:val="16"/>
                <w:vertAlign w:val="subscript"/>
                <w:lang w:val="en-ZA" w:eastAsia="de-DE"/>
              </w:rPr>
              <w:t>O</w:t>
            </w:r>
          </w:p>
        </w:tc>
        <w:tc>
          <w:tcPr>
            <w:tcW w:w="850" w:type="dxa"/>
            <w:tcBorders>
              <w:left w:val="nil"/>
              <w:bottom w:val="single" w:sz="4" w:space="0" w:color="auto"/>
              <w:right w:val="nil"/>
            </w:tcBorders>
          </w:tcPr>
          <w:p w14:paraId="0D3CE923" w14:textId="77777777" w:rsidR="00C7243E" w:rsidRPr="00533EAC" w:rsidRDefault="00C7243E" w:rsidP="00302BE0">
            <w:pPr>
              <w:spacing w:line="200" w:lineRule="exact"/>
              <w:rPr>
                <w:rFonts w:ascii="Arial" w:eastAsia="Times New Roman" w:hAnsi="Arial" w:cs="Arial"/>
                <w:bCs/>
                <w:i/>
                <w:color w:val="000000" w:themeColor="text1"/>
                <w:sz w:val="16"/>
                <w:szCs w:val="16"/>
                <w:lang w:val="en-ZA" w:eastAsia="de-DE"/>
              </w:rPr>
            </w:pPr>
          </w:p>
        </w:tc>
        <w:tc>
          <w:tcPr>
            <w:tcW w:w="850" w:type="dxa"/>
            <w:tcBorders>
              <w:left w:val="nil"/>
              <w:bottom w:val="single" w:sz="4" w:space="0" w:color="auto"/>
              <w:right w:val="nil"/>
            </w:tcBorders>
            <w:vAlign w:val="center"/>
          </w:tcPr>
          <w:p w14:paraId="1F1778E1" w14:textId="774AD792" w:rsidR="00C7243E" w:rsidRPr="00533EAC" w:rsidRDefault="00C7243E" w:rsidP="00C05A32">
            <w:pPr>
              <w:spacing w:line="200" w:lineRule="exact"/>
              <w:rPr>
                <w:rFonts w:ascii="Arial" w:eastAsia="Times New Roman" w:hAnsi="Arial" w:cs="Arial"/>
                <w:bCs/>
                <w:color w:val="000000" w:themeColor="text1"/>
                <w:sz w:val="16"/>
                <w:szCs w:val="16"/>
                <w:lang w:val="en-ZA" w:eastAsia="de-DE"/>
              </w:rPr>
            </w:pPr>
            <w:r w:rsidRPr="00533EAC">
              <w:rPr>
                <w:rFonts w:ascii="Arial" w:eastAsia="Times New Roman" w:hAnsi="Arial" w:cs="Arial"/>
                <w:bCs/>
                <w:i/>
                <w:color w:val="000000" w:themeColor="text1"/>
                <w:sz w:val="16"/>
                <w:szCs w:val="16"/>
                <w:lang w:val="en-ZA" w:eastAsia="de-DE"/>
              </w:rPr>
              <w:t>H</w:t>
            </w:r>
            <w:r w:rsidRPr="00533EAC">
              <w:rPr>
                <w:rFonts w:ascii="Arial" w:eastAsia="Times New Roman" w:hAnsi="Arial" w:cs="Arial"/>
                <w:bCs/>
                <w:color w:val="000000" w:themeColor="text1"/>
                <w:sz w:val="16"/>
                <w:szCs w:val="16"/>
                <w:vertAlign w:val="subscript"/>
                <w:lang w:val="en-ZA" w:eastAsia="de-DE"/>
              </w:rPr>
              <w:t>E</w:t>
            </w:r>
          </w:p>
        </w:tc>
      </w:tr>
      <w:tr w:rsidR="00533EAC" w:rsidRPr="00533EAC" w14:paraId="0D50E4F2" w14:textId="77777777" w:rsidTr="00C05A32">
        <w:trPr>
          <w:trHeight w:val="221"/>
          <w:jc w:val="center"/>
        </w:trPr>
        <w:tc>
          <w:tcPr>
            <w:tcW w:w="851" w:type="dxa"/>
            <w:tcBorders>
              <w:left w:val="nil"/>
              <w:bottom w:val="nil"/>
              <w:right w:val="nil"/>
            </w:tcBorders>
            <w:noWrap/>
            <w:vAlign w:val="center"/>
            <w:hideMark/>
          </w:tcPr>
          <w:p w14:paraId="262C2BE2" w14:textId="77777777" w:rsidR="00C7243E" w:rsidRPr="00533EAC" w:rsidRDefault="00C7243E" w:rsidP="00C05A32">
            <w:pPr>
              <w:spacing w:line="200" w:lineRule="exact"/>
              <w:rPr>
                <w:rFonts w:ascii="Arial" w:eastAsia="Times New Roman" w:hAnsi="Arial" w:cs="Arial"/>
                <w:b/>
                <w:bCs/>
                <w:color w:val="000000" w:themeColor="text1"/>
                <w:sz w:val="16"/>
                <w:szCs w:val="16"/>
                <w:lang w:val="en-ZA" w:eastAsia="de-DE"/>
              </w:rPr>
            </w:pPr>
          </w:p>
        </w:tc>
        <w:tc>
          <w:tcPr>
            <w:tcW w:w="3794" w:type="dxa"/>
            <w:tcBorders>
              <w:left w:val="nil"/>
              <w:bottom w:val="nil"/>
              <w:right w:val="nil"/>
            </w:tcBorders>
            <w:noWrap/>
            <w:vAlign w:val="center"/>
            <w:hideMark/>
          </w:tcPr>
          <w:p w14:paraId="079C4D6E" w14:textId="77777777" w:rsidR="00C7243E" w:rsidRPr="00533EAC" w:rsidRDefault="00C7243E" w:rsidP="00C05A32">
            <w:pPr>
              <w:spacing w:line="200" w:lineRule="exact"/>
              <w:jc w:val="both"/>
              <w:rPr>
                <w:rFonts w:ascii="Arial" w:eastAsia="Times New Roman" w:hAnsi="Arial" w:cs="Arial"/>
                <w:b/>
                <w:bCs/>
                <w:color w:val="000000" w:themeColor="text1"/>
                <w:sz w:val="16"/>
                <w:szCs w:val="16"/>
                <w:lang w:val="en-ZA" w:eastAsia="de-DE"/>
              </w:rPr>
            </w:pPr>
          </w:p>
        </w:tc>
        <w:tc>
          <w:tcPr>
            <w:tcW w:w="1418" w:type="dxa"/>
            <w:tcBorders>
              <w:left w:val="nil"/>
              <w:bottom w:val="nil"/>
              <w:right w:val="nil"/>
            </w:tcBorders>
            <w:noWrap/>
            <w:vAlign w:val="center"/>
            <w:hideMark/>
          </w:tcPr>
          <w:p w14:paraId="12531DA6" w14:textId="77777777" w:rsidR="00C7243E" w:rsidRPr="00533EAC" w:rsidRDefault="00C7243E" w:rsidP="00C05A32">
            <w:pPr>
              <w:spacing w:line="200" w:lineRule="exact"/>
              <w:rPr>
                <w:rFonts w:ascii="Arial" w:eastAsia="Times New Roman" w:hAnsi="Arial" w:cs="Arial"/>
                <w:b/>
                <w:bCs/>
                <w:color w:val="000000" w:themeColor="text1"/>
                <w:sz w:val="16"/>
                <w:szCs w:val="16"/>
                <w:lang w:val="en-ZA" w:eastAsia="de-DE"/>
              </w:rPr>
            </w:pPr>
          </w:p>
        </w:tc>
        <w:tc>
          <w:tcPr>
            <w:tcW w:w="1592" w:type="dxa"/>
            <w:tcBorders>
              <w:left w:val="nil"/>
              <w:bottom w:val="nil"/>
              <w:right w:val="nil"/>
            </w:tcBorders>
            <w:noWrap/>
            <w:vAlign w:val="center"/>
            <w:hideMark/>
          </w:tcPr>
          <w:p w14:paraId="19A534FC" w14:textId="77777777" w:rsidR="00C7243E" w:rsidRPr="00533EAC" w:rsidRDefault="00C7243E" w:rsidP="00C05A32">
            <w:pPr>
              <w:spacing w:line="200" w:lineRule="exact"/>
              <w:rPr>
                <w:rFonts w:ascii="Arial" w:eastAsia="Times New Roman" w:hAnsi="Arial" w:cs="Arial"/>
                <w:b/>
                <w:bCs/>
                <w:color w:val="000000" w:themeColor="text1"/>
                <w:sz w:val="16"/>
                <w:szCs w:val="16"/>
                <w:lang w:val="en-ZA" w:eastAsia="de-DE"/>
              </w:rPr>
            </w:pPr>
          </w:p>
        </w:tc>
        <w:tc>
          <w:tcPr>
            <w:tcW w:w="1025" w:type="dxa"/>
            <w:tcBorders>
              <w:left w:val="nil"/>
              <w:bottom w:val="nil"/>
              <w:right w:val="nil"/>
            </w:tcBorders>
          </w:tcPr>
          <w:p w14:paraId="71EE6C8E" w14:textId="77777777" w:rsidR="00C7243E" w:rsidRPr="00533EAC" w:rsidRDefault="00C7243E" w:rsidP="00C05A32">
            <w:pPr>
              <w:spacing w:line="200" w:lineRule="exact"/>
              <w:rPr>
                <w:rFonts w:ascii="Arial" w:eastAsia="Times New Roman" w:hAnsi="Arial" w:cs="Arial"/>
                <w:b/>
                <w:bCs/>
                <w:color w:val="000000" w:themeColor="text1"/>
                <w:sz w:val="16"/>
                <w:szCs w:val="16"/>
                <w:lang w:val="en-ZA" w:eastAsia="de-DE"/>
              </w:rPr>
            </w:pPr>
          </w:p>
        </w:tc>
        <w:tc>
          <w:tcPr>
            <w:tcW w:w="960" w:type="dxa"/>
            <w:tcBorders>
              <w:left w:val="nil"/>
              <w:bottom w:val="nil"/>
              <w:right w:val="nil"/>
            </w:tcBorders>
            <w:noWrap/>
            <w:vAlign w:val="center"/>
            <w:hideMark/>
          </w:tcPr>
          <w:p w14:paraId="62C76896" w14:textId="77777777" w:rsidR="00C7243E" w:rsidRPr="00533EAC" w:rsidRDefault="00C7243E" w:rsidP="00C05A32">
            <w:pPr>
              <w:spacing w:line="200" w:lineRule="exact"/>
              <w:rPr>
                <w:rFonts w:ascii="Arial" w:eastAsia="Times New Roman" w:hAnsi="Arial" w:cs="Arial"/>
                <w:b/>
                <w:bCs/>
                <w:color w:val="000000" w:themeColor="text1"/>
                <w:sz w:val="16"/>
                <w:szCs w:val="16"/>
                <w:lang w:val="en-ZA" w:eastAsia="de-DE"/>
              </w:rPr>
            </w:pPr>
          </w:p>
        </w:tc>
        <w:tc>
          <w:tcPr>
            <w:tcW w:w="992" w:type="dxa"/>
            <w:tcBorders>
              <w:left w:val="nil"/>
              <w:bottom w:val="nil"/>
              <w:right w:val="nil"/>
            </w:tcBorders>
            <w:vAlign w:val="center"/>
          </w:tcPr>
          <w:p w14:paraId="17043D01" w14:textId="77777777" w:rsidR="00C7243E" w:rsidRPr="00533EAC" w:rsidRDefault="00C7243E" w:rsidP="00C05A32">
            <w:pPr>
              <w:spacing w:line="200" w:lineRule="exact"/>
              <w:rPr>
                <w:rFonts w:ascii="Arial" w:eastAsia="Times New Roman" w:hAnsi="Arial" w:cs="Arial"/>
                <w:b/>
                <w:bCs/>
                <w:color w:val="000000" w:themeColor="text1"/>
                <w:sz w:val="16"/>
                <w:szCs w:val="16"/>
                <w:lang w:val="en-ZA" w:eastAsia="de-DE"/>
              </w:rPr>
            </w:pPr>
          </w:p>
        </w:tc>
        <w:tc>
          <w:tcPr>
            <w:tcW w:w="850" w:type="dxa"/>
            <w:tcBorders>
              <w:left w:val="nil"/>
              <w:bottom w:val="nil"/>
              <w:right w:val="nil"/>
            </w:tcBorders>
          </w:tcPr>
          <w:p w14:paraId="510EE56F" w14:textId="77777777" w:rsidR="00C7243E" w:rsidRPr="00533EAC" w:rsidRDefault="00C7243E" w:rsidP="00302BE0">
            <w:pPr>
              <w:spacing w:line="200" w:lineRule="exact"/>
              <w:rPr>
                <w:rFonts w:ascii="Arial" w:eastAsia="Times New Roman" w:hAnsi="Arial" w:cs="Arial"/>
                <w:b/>
                <w:bCs/>
                <w:color w:val="000000" w:themeColor="text1"/>
                <w:sz w:val="16"/>
                <w:szCs w:val="16"/>
                <w:lang w:val="en-ZA" w:eastAsia="de-DE"/>
              </w:rPr>
            </w:pPr>
          </w:p>
        </w:tc>
        <w:tc>
          <w:tcPr>
            <w:tcW w:w="850" w:type="dxa"/>
            <w:tcBorders>
              <w:left w:val="nil"/>
              <w:bottom w:val="nil"/>
              <w:right w:val="nil"/>
            </w:tcBorders>
            <w:vAlign w:val="center"/>
          </w:tcPr>
          <w:p w14:paraId="18A5022B" w14:textId="74C8A92C" w:rsidR="00C7243E" w:rsidRPr="00533EAC" w:rsidRDefault="00C7243E" w:rsidP="00C05A32">
            <w:pPr>
              <w:spacing w:line="200" w:lineRule="exact"/>
              <w:rPr>
                <w:rFonts w:ascii="Arial" w:eastAsia="Times New Roman" w:hAnsi="Arial" w:cs="Arial"/>
                <w:b/>
                <w:bCs/>
                <w:color w:val="000000" w:themeColor="text1"/>
                <w:sz w:val="16"/>
                <w:szCs w:val="16"/>
                <w:lang w:val="en-ZA" w:eastAsia="de-DE"/>
              </w:rPr>
            </w:pPr>
          </w:p>
        </w:tc>
      </w:tr>
      <w:tr w:rsidR="00533EAC" w:rsidRPr="00533EAC" w14:paraId="14F2291F" w14:textId="77777777" w:rsidTr="00C05A32">
        <w:trPr>
          <w:trHeight w:val="221"/>
          <w:jc w:val="center"/>
        </w:trPr>
        <w:tc>
          <w:tcPr>
            <w:tcW w:w="851" w:type="dxa"/>
            <w:tcBorders>
              <w:top w:val="nil"/>
              <w:left w:val="nil"/>
              <w:bottom w:val="nil"/>
              <w:right w:val="nil"/>
            </w:tcBorders>
            <w:noWrap/>
            <w:vAlign w:val="center"/>
            <w:hideMark/>
          </w:tcPr>
          <w:p w14:paraId="736BC9AA" w14:textId="77777777" w:rsidR="00C7243E" w:rsidRPr="00533EAC" w:rsidRDefault="00C7243E"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Pstol1</w:t>
            </w:r>
          </w:p>
        </w:tc>
        <w:tc>
          <w:tcPr>
            <w:tcW w:w="3794" w:type="dxa"/>
            <w:tcBorders>
              <w:top w:val="nil"/>
              <w:left w:val="nil"/>
              <w:bottom w:val="nil"/>
              <w:right w:val="nil"/>
            </w:tcBorders>
            <w:noWrap/>
            <w:vAlign w:val="center"/>
            <w:hideMark/>
          </w:tcPr>
          <w:p w14:paraId="09246FFA" w14:textId="77777777" w:rsidR="00C7243E" w:rsidRPr="00533EAC" w:rsidRDefault="00C7243E" w:rsidP="00C05A32">
            <w:pPr>
              <w:spacing w:line="200" w:lineRule="exact"/>
              <w:jc w:val="both"/>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F-ACAACCATCACCCTGATTGC</w:t>
            </w:r>
          </w:p>
        </w:tc>
        <w:tc>
          <w:tcPr>
            <w:tcW w:w="1418" w:type="dxa"/>
            <w:tcBorders>
              <w:top w:val="nil"/>
              <w:left w:val="nil"/>
              <w:bottom w:val="nil"/>
              <w:right w:val="nil"/>
            </w:tcBorders>
            <w:noWrap/>
            <w:vAlign w:val="center"/>
            <w:hideMark/>
          </w:tcPr>
          <w:p w14:paraId="55E88EFA" w14:textId="77777777" w:rsidR="00C7243E" w:rsidRPr="00533EAC" w:rsidRDefault="00C7243E"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(AC)</w:t>
            </w:r>
            <w:r w:rsidRPr="00533EAC">
              <w:rPr>
                <w:rFonts w:ascii="Arial" w:eastAsia="Times New Roman" w:hAnsi="Arial" w:cs="Arial"/>
                <w:color w:val="000000" w:themeColor="text1"/>
                <w:sz w:val="16"/>
                <w:szCs w:val="16"/>
                <w:vertAlign w:val="subscript"/>
                <w:lang w:val="en-ZA" w:eastAsia="de-DE"/>
              </w:rPr>
              <w:t>11</w:t>
            </w:r>
          </w:p>
        </w:tc>
        <w:tc>
          <w:tcPr>
            <w:tcW w:w="1592" w:type="dxa"/>
            <w:tcBorders>
              <w:top w:val="nil"/>
              <w:left w:val="nil"/>
              <w:bottom w:val="nil"/>
              <w:right w:val="nil"/>
            </w:tcBorders>
            <w:noWrap/>
            <w:vAlign w:val="center"/>
            <w:hideMark/>
          </w:tcPr>
          <w:p w14:paraId="55C1FFC2" w14:textId="468DD506" w:rsidR="00C7243E" w:rsidRPr="00533EAC" w:rsidRDefault="00C7243E" w:rsidP="00C05A32">
            <w:pPr>
              <w:spacing w:line="200" w:lineRule="exact"/>
              <w:rPr>
                <w:rFonts w:ascii="Arial" w:eastAsia="Times New Roman" w:hAnsi="Arial" w:cs="Arial"/>
                <w:color w:val="000000" w:themeColor="text1"/>
                <w:sz w:val="16"/>
                <w:szCs w:val="16"/>
                <w:highlight w:val="yellow"/>
                <w:lang w:val="en-ZA" w:eastAsia="de-DE"/>
              </w:rPr>
            </w:pPr>
            <w:r w:rsidRPr="00533EAC">
              <w:rPr>
                <w:rFonts w:ascii="Arial" w:eastAsia="Times New Roman" w:hAnsi="Arial" w:cs="Arial"/>
                <w:color w:val="000000" w:themeColor="text1"/>
                <w:sz w:val="16"/>
                <w:szCs w:val="16"/>
                <w:lang w:val="en-ZA" w:eastAsia="de-DE"/>
              </w:rPr>
              <w:t>73</w:t>
            </w:r>
            <w:r w:rsidR="001D1A0C" w:rsidRPr="00533EAC">
              <w:rPr>
                <w:rFonts w:ascii="Arial" w:eastAsia="Times New Roman" w:hAnsi="Arial" w:cs="Arial"/>
                <w:color w:val="000000" w:themeColor="text1"/>
                <w:sz w:val="16"/>
                <w:szCs w:val="16"/>
                <w:lang w:val="en-ZA" w:eastAsia="de-DE"/>
              </w:rPr>
              <w:t>–</w:t>
            </w:r>
            <w:r w:rsidRPr="00533EAC">
              <w:rPr>
                <w:rFonts w:ascii="Arial" w:eastAsia="Times New Roman" w:hAnsi="Arial" w:cs="Arial"/>
                <w:color w:val="000000" w:themeColor="text1"/>
                <w:sz w:val="16"/>
                <w:szCs w:val="16"/>
                <w:lang w:val="en-ZA" w:eastAsia="de-DE"/>
              </w:rPr>
              <w:t>137</w:t>
            </w:r>
          </w:p>
        </w:tc>
        <w:tc>
          <w:tcPr>
            <w:tcW w:w="1025" w:type="dxa"/>
            <w:tcBorders>
              <w:top w:val="nil"/>
              <w:left w:val="nil"/>
              <w:bottom w:val="nil"/>
              <w:right w:val="nil"/>
            </w:tcBorders>
          </w:tcPr>
          <w:p w14:paraId="0E7DA7BF" w14:textId="77777777" w:rsidR="00C7243E" w:rsidRPr="00533EAC" w:rsidRDefault="00C7243E"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62</w:t>
            </w:r>
          </w:p>
        </w:tc>
        <w:tc>
          <w:tcPr>
            <w:tcW w:w="960" w:type="dxa"/>
            <w:tcBorders>
              <w:top w:val="nil"/>
              <w:left w:val="nil"/>
              <w:bottom w:val="nil"/>
              <w:right w:val="nil"/>
            </w:tcBorders>
            <w:noWrap/>
            <w:vAlign w:val="center"/>
            <w:hideMark/>
          </w:tcPr>
          <w:p w14:paraId="0598FDF1" w14:textId="77777777" w:rsidR="00C7243E" w:rsidRPr="00533EAC" w:rsidRDefault="00C7243E" w:rsidP="00C05A32">
            <w:pPr>
              <w:spacing w:line="200" w:lineRule="exact"/>
              <w:rPr>
                <w:rFonts w:ascii="Arial" w:eastAsia="Times New Roman" w:hAnsi="Arial" w:cs="Arial"/>
                <w:color w:val="000000" w:themeColor="text1"/>
                <w:sz w:val="16"/>
                <w:szCs w:val="16"/>
                <w:highlight w:val="yellow"/>
                <w:lang w:val="en-ZA" w:eastAsia="de-DE"/>
              </w:rPr>
            </w:pPr>
            <w:r w:rsidRPr="00533EAC">
              <w:rPr>
                <w:rFonts w:ascii="Arial" w:eastAsia="Times New Roman" w:hAnsi="Arial" w:cs="Arial"/>
                <w:color w:val="000000" w:themeColor="text1"/>
                <w:sz w:val="16"/>
                <w:szCs w:val="16"/>
                <w:lang w:val="en-ZA" w:eastAsia="de-DE"/>
              </w:rPr>
              <w:t>15</w:t>
            </w:r>
          </w:p>
        </w:tc>
        <w:tc>
          <w:tcPr>
            <w:tcW w:w="992" w:type="dxa"/>
            <w:tcBorders>
              <w:top w:val="nil"/>
              <w:left w:val="nil"/>
              <w:bottom w:val="nil"/>
              <w:right w:val="nil"/>
            </w:tcBorders>
            <w:vAlign w:val="center"/>
          </w:tcPr>
          <w:p w14:paraId="5952B8D4" w14:textId="77777777" w:rsidR="00C7243E" w:rsidRPr="00533EAC" w:rsidRDefault="00C7243E"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0.363</w:t>
            </w:r>
          </w:p>
        </w:tc>
        <w:tc>
          <w:tcPr>
            <w:tcW w:w="850" w:type="dxa"/>
            <w:tcBorders>
              <w:top w:val="nil"/>
              <w:left w:val="nil"/>
              <w:bottom w:val="nil"/>
              <w:right w:val="nil"/>
            </w:tcBorders>
          </w:tcPr>
          <w:p w14:paraId="552A67F6" w14:textId="77777777" w:rsidR="00C7243E" w:rsidRPr="00533EAC" w:rsidRDefault="00C7243E" w:rsidP="00302BE0">
            <w:pPr>
              <w:spacing w:line="200" w:lineRule="exact"/>
              <w:rPr>
                <w:rFonts w:ascii="Arial" w:eastAsia="Times New Roman" w:hAnsi="Arial" w:cs="Arial"/>
                <w:color w:val="000000" w:themeColor="text1"/>
                <w:sz w:val="16"/>
                <w:szCs w:val="16"/>
                <w:lang w:val="en-ZA" w:eastAsia="de-DE"/>
              </w:rPr>
            </w:pPr>
          </w:p>
        </w:tc>
        <w:tc>
          <w:tcPr>
            <w:tcW w:w="850" w:type="dxa"/>
            <w:tcBorders>
              <w:top w:val="nil"/>
              <w:left w:val="nil"/>
              <w:bottom w:val="nil"/>
              <w:right w:val="nil"/>
            </w:tcBorders>
            <w:vAlign w:val="center"/>
          </w:tcPr>
          <w:p w14:paraId="55897248" w14:textId="4384B541" w:rsidR="00C7243E" w:rsidRPr="00533EAC" w:rsidRDefault="00C7243E"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0.372</w:t>
            </w:r>
          </w:p>
        </w:tc>
      </w:tr>
      <w:tr w:rsidR="00533EAC" w:rsidRPr="00533EAC" w14:paraId="6FE35D79" w14:textId="77777777" w:rsidTr="00C05A32">
        <w:trPr>
          <w:trHeight w:val="221"/>
          <w:jc w:val="center"/>
        </w:trPr>
        <w:tc>
          <w:tcPr>
            <w:tcW w:w="851" w:type="dxa"/>
            <w:tcBorders>
              <w:top w:val="nil"/>
              <w:left w:val="nil"/>
              <w:bottom w:val="nil"/>
              <w:right w:val="nil"/>
            </w:tcBorders>
            <w:noWrap/>
            <w:vAlign w:val="center"/>
            <w:hideMark/>
          </w:tcPr>
          <w:p w14:paraId="2920527F" w14:textId="77777777" w:rsidR="00C7243E" w:rsidRPr="00533EAC" w:rsidRDefault="00C7243E" w:rsidP="00C05A32">
            <w:pPr>
              <w:spacing w:line="200" w:lineRule="exact"/>
              <w:rPr>
                <w:rFonts w:ascii="Arial" w:eastAsia="Times New Roman" w:hAnsi="Arial" w:cs="Arial"/>
                <w:color w:val="000000" w:themeColor="text1"/>
                <w:sz w:val="16"/>
                <w:szCs w:val="16"/>
                <w:lang w:val="en-ZA" w:eastAsia="de-DE"/>
              </w:rPr>
            </w:pPr>
          </w:p>
        </w:tc>
        <w:tc>
          <w:tcPr>
            <w:tcW w:w="3794" w:type="dxa"/>
            <w:tcBorders>
              <w:top w:val="nil"/>
              <w:left w:val="nil"/>
              <w:bottom w:val="nil"/>
              <w:right w:val="nil"/>
            </w:tcBorders>
            <w:noWrap/>
            <w:vAlign w:val="center"/>
            <w:hideMark/>
          </w:tcPr>
          <w:p w14:paraId="58098982" w14:textId="77777777" w:rsidR="00C7243E" w:rsidRPr="00533EAC" w:rsidRDefault="00C7243E" w:rsidP="00C05A32">
            <w:pPr>
              <w:spacing w:line="200" w:lineRule="exact"/>
              <w:jc w:val="both"/>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R-TCGAGTGAGAAGACGTGGTG</w:t>
            </w:r>
          </w:p>
        </w:tc>
        <w:tc>
          <w:tcPr>
            <w:tcW w:w="1418" w:type="dxa"/>
            <w:tcBorders>
              <w:top w:val="nil"/>
              <w:left w:val="nil"/>
              <w:bottom w:val="nil"/>
              <w:right w:val="nil"/>
            </w:tcBorders>
            <w:noWrap/>
            <w:vAlign w:val="center"/>
            <w:hideMark/>
          </w:tcPr>
          <w:p w14:paraId="00ED22FC" w14:textId="77777777" w:rsidR="00C7243E" w:rsidRPr="00533EAC" w:rsidRDefault="00C7243E" w:rsidP="00C05A32">
            <w:pPr>
              <w:spacing w:line="200" w:lineRule="exact"/>
              <w:rPr>
                <w:rFonts w:ascii="Arial" w:eastAsia="Times New Roman" w:hAnsi="Arial" w:cs="Arial"/>
                <w:color w:val="000000" w:themeColor="text1"/>
                <w:sz w:val="16"/>
                <w:szCs w:val="16"/>
                <w:lang w:val="en-ZA" w:eastAsia="de-DE"/>
              </w:rPr>
            </w:pPr>
          </w:p>
        </w:tc>
        <w:tc>
          <w:tcPr>
            <w:tcW w:w="1592" w:type="dxa"/>
            <w:tcBorders>
              <w:top w:val="nil"/>
              <w:left w:val="nil"/>
              <w:bottom w:val="nil"/>
              <w:right w:val="nil"/>
            </w:tcBorders>
            <w:noWrap/>
            <w:vAlign w:val="center"/>
            <w:hideMark/>
          </w:tcPr>
          <w:p w14:paraId="2463E076" w14:textId="77777777" w:rsidR="00C7243E" w:rsidRPr="00533EAC" w:rsidRDefault="00C7243E" w:rsidP="00C05A32">
            <w:pPr>
              <w:spacing w:line="200" w:lineRule="exact"/>
              <w:rPr>
                <w:rFonts w:ascii="Arial" w:eastAsia="Times New Roman" w:hAnsi="Arial" w:cs="Arial"/>
                <w:color w:val="000000" w:themeColor="text1"/>
                <w:sz w:val="16"/>
                <w:szCs w:val="16"/>
                <w:highlight w:val="yellow"/>
                <w:lang w:val="en-ZA" w:eastAsia="de-DE"/>
              </w:rPr>
            </w:pPr>
          </w:p>
        </w:tc>
        <w:tc>
          <w:tcPr>
            <w:tcW w:w="1025" w:type="dxa"/>
            <w:tcBorders>
              <w:top w:val="nil"/>
              <w:left w:val="nil"/>
              <w:bottom w:val="nil"/>
              <w:right w:val="nil"/>
            </w:tcBorders>
          </w:tcPr>
          <w:p w14:paraId="26A6CA37" w14:textId="77777777" w:rsidR="00C7243E" w:rsidRPr="00533EAC" w:rsidRDefault="00C7243E" w:rsidP="00C05A32">
            <w:pPr>
              <w:spacing w:line="200" w:lineRule="exact"/>
              <w:rPr>
                <w:rFonts w:ascii="Arial" w:eastAsia="Times New Roman" w:hAnsi="Arial" w:cs="Arial"/>
                <w:color w:val="000000" w:themeColor="text1"/>
                <w:sz w:val="16"/>
                <w:szCs w:val="16"/>
                <w:highlight w:val="yellow"/>
                <w:lang w:val="en-ZA" w:eastAsia="de-DE"/>
              </w:rPr>
            </w:pPr>
          </w:p>
        </w:tc>
        <w:tc>
          <w:tcPr>
            <w:tcW w:w="960" w:type="dxa"/>
            <w:tcBorders>
              <w:top w:val="nil"/>
              <w:left w:val="nil"/>
              <w:bottom w:val="nil"/>
              <w:right w:val="nil"/>
            </w:tcBorders>
            <w:noWrap/>
            <w:vAlign w:val="center"/>
            <w:hideMark/>
          </w:tcPr>
          <w:p w14:paraId="67A85990" w14:textId="77777777" w:rsidR="00C7243E" w:rsidRPr="00533EAC" w:rsidRDefault="00C7243E" w:rsidP="00C05A32">
            <w:pPr>
              <w:spacing w:line="200" w:lineRule="exact"/>
              <w:rPr>
                <w:rFonts w:ascii="Arial" w:eastAsia="Times New Roman" w:hAnsi="Arial" w:cs="Arial"/>
                <w:color w:val="000000" w:themeColor="text1"/>
                <w:sz w:val="16"/>
                <w:szCs w:val="16"/>
                <w:highlight w:val="yellow"/>
                <w:lang w:val="en-ZA" w:eastAsia="de-DE"/>
              </w:rPr>
            </w:pPr>
          </w:p>
        </w:tc>
        <w:tc>
          <w:tcPr>
            <w:tcW w:w="992" w:type="dxa"/>
            <w:tcBorders>
              <w:top w:val="nil"/>
              <w:left w:val="nil"/>
              <w:bottom w:val="nil"/>
              <w:right w:val="nil"/>
            </w:tcBorders>
            <w:vAlign w:val="center"/>
          </w:tcPr>
          <w:p w14:paraId="4080C6A3" w14:textId="77777777" w:rsidR="00C7243E" w:rsidRPr="00533EAC" w:rsidRDefault="00C7243E" w:rsidP="00C05A32">
            <w:pPr>
              <w:spacing w:line="200" w:lineRule="exact"/>
              <w:rPr>
                <w:rFonts w:ascii="Arial" w:eastAsia="Times New Roman" w:hAnsi="Arial" w:cs="Arial"/>
                <w:color w:val="000000" w:themeColor="text1"/>
                <w:sz w:val="16"/>
                <w:szCs w:val="16"/>
                <w:highlight w:val="yellow"/>
                <w:lang w:val="en-ZA" w:eastAsia="de-DE"/>
              </w:rPr>
            </w:pPr>
          </w:p>
        </w:tc>
        <w:tc>
          <w:tcPr>
            <w:tcW w:w="850" w:type="dxa"/>
            <w:tcBorders>
              <w:top w:val="nil"/>
              <w:left w:val="nil"/>
              <w:bottom w:val="nil"/>
              <w:right w:val="nil"/>
            </w:tcBorders>
          </w:tcPr>
          <w:p w14:paraId="64DD4351" w14:textId="77777777" w:rsidR="00C7243E" w:rsidRPr="00533EAC" w:rsidRDefault="00C7243E" w:rsidP="00302BE0">
            <w:pPr>
              <w:spacing w:line="200" w:lineRule="exact"/>
              <w:rPr>
                <w:rFonts w:ascii="Arial" w:eastAsia="Times New Roman" w:hAnsi="Arial" w:cs="Arial"/>
                <w:color w:val="000000" w:themeColor="text1"/>
                <w:sz w:val="16"/>
                <w:szCs w:val="16"/>
                <w:highlight w:val="yellow"/>
                <w:lang w:val="en-ZA" w:eastAsia="de-DE"/>
              </w:rPr>
            </w:pPr>
          </w:p>
        </w:tc>
        <w:tc>
          <w:tcPr>
            <w:tcW w:w="850" w:type="dxa"/>
            <w:tcBorders>
              <w:top w:val="nil"/>
              <w:left w:val="nil"/>
              <w:bottom w:val="nil"/>
              <w:right w:val="nil"/>
            </w:tcBorders>
            <w:vAlign w:val="center"/>
          </w:tcPr>
          <w:p w14:paraId="27512ACA" w14:textId="56E3310A" w:rsidR="00C7243E" w:rsidRPr="00533EAC" w:rsidRDefault="00C7243E" w:rsidP="00C05A32">
            <w:pPr>
              <w:spacing w:line="200" w:lineRule="exact"/>
              <w:rPr>
                <w:rFonts w:ascii="Arial" w:eastAsia="Times New Roman" w:hAnsi="Arial" w:cs="Arial"/>
                <w:color w:val="000000" w:themeColor="text1"/>
                <w:sz w:val="16"/>
                <w:szCs w:val="16"/>
                <w:highlight w:val="yellow"/>
                <w:lang w:val="en-ZA" w:eastAsia="de-DE"/>
              </w:rPr>
            </w:pPr>
          </w:p>
        </w:tc>
      </w:tr>
      <w:tr w:rsidR="00533EAC" w:rsidRPr="00533EAC" w14:paraId="06C53F90" w14:textId="77777777" w:rsidTr="00C05A32">
        <w:trPr>
          <w:trHeight w:val="221"/>
          <w:jc w:val="center"/>
        </w:trPr>
        <w:tc>
          <w:tcPr>
            <w:tcW w:w="851" w:type="dxa"/>
            <w:tcBorders>
              <w:top w:val="nil"/>
              <w:left w:val="nil"/>
              <w:bottom w:val="nil"/>
              <w:right w:val="nil"/>
            </w:tcBorders>
            <w:noWrap/>
            <w:vAlign w:val="center"/>
            <w:hideMark/>
          </w:tcPr>
          <w:p w14:paraId="0085DFD9" w14:textId="77777777" w:rsidR="00C7243E" w:rsidRPr="00533EAC" w:rsidRDefault="00C7243E" w:rsidP="00C05A32">
            <w:pPr>
              <w:spacing w:line="200" w:lineRule="exact"/>
              <w:rPr>
                <w:rFonts w:ascii="Arial" w:eastAsia="Times New Roman" w:hAnsi="Arial" w:cs="Arial"/>
                <w:color w:val="000000" w:themeColor="text1"/>
                <w:sz w:val="16"/>
                <w:szCs w:val="16"/>
                <w:lang w:val="en-ZA" w:eastAsia="de-DE"/>
              </w:rPr>
            </w:pPr>
          </w:p>
        </w:tc>
        <w:tc>
          <w:tcPr>
            <w:tcW w:w="3794" w:type="dxa"/>
            <w:tcBorders>
              <w:top w:val="nil"/>
              <w:left w:val="nil"/>
              <w:bottom w:val="nil"/>
              <w:right w:val="nil"/>
            </w:tcBorders>
            <w:noWrap/>
            <w:vAlign w:val="center"/>
            <w:hideMark/>
          </w:tcPr>
          <w:p w14:paraId="2AE94919" w14:textId="77777777" w:rsidR="00C7243E" w:rsidRPr="00533EAC" w:rsidRDefault="00C7243E" w:rsidP="00C05A32">
            <w:pPr>
              <w:spacing w:line="200" w:lineRule="exact"/>
              <w:jc w:val="both"/>
              <w:rPr>
                <w:rFonts w:ascii="Arial" w:eastAsia="Times New Roman" w:hAnsi="Arial" w:cs="Arial"/>
                <w:color w:val="000000" w:themeColor="text1"/>
                <w:sz w:val="16"/>
                <w:szCs w:val="16"/>
                <w:lang w:val="en-ZA" w:eastAsia="de-DE"/>
              </w:rPr>
            </w:pPr>
          </w:p>
        </w:tc>
        <w:tc>
          <w:tcPr>
            <w:tcW w:w="1418" w:type="dxa"/>
            <w:tcBorders>
              <w:top w:val="nil"/>
              <w:left w:val="nil"/>
              <w:bottom w:val="nil"/>
              <w:right w:val="nil"/>
            </w:tcBorders>
            <w:noWrap/>
            <w:vAlign w:val="center"/>
            <w:hideMark/>
          </w:tcPr>
          <w:p w14:paraId="52A5FF93" w14:textId="77777777" w:rsidR="00C7243E" w:rsidRPr="00533EAC" w:rsidRDefault="00C7243E" w:rsidP="00C05A32">
            <w:pPr>
              <w:spacing w:line="200" w:lineRule="exact"/>
              <w:rPr>
                <w:rFonts w:ascii="Arial" w:eastAsia="Times New Roman" w:hAnsi="Arial" w:cs="Arial"/>
                <w:color w:val="000000" w:themeColor="text1"/>
                <w:sz w:val="16"/>
                <w:szCs w:val="16"/>
                <w:lang w:val="en-ZA" w:eastAsia="de-DE"/>
              </w:rPr>
            </w:pPr>
          </w:p>
        </w:tc>
        <w:tc>
          <w:tcPr>
            <w:tcW w:w="1592" w:type="dxa"/>
            <w:tcBorders>
              <w:top w:val="nil"/>
              <w:left w:val="nil"/>
              <w:bottom w:val="nil"/>
              <w:right w:val="nil"/>
            </w:tcBorders>
            <w:noWrap/>
            <w:vAlign w:val="center"/>
            <w:hideMark/>
          </w:tcPr>
          <w:p w14:paraId="454A9849" w14:textId="77777777" w:rsidR="00C7243E" w:rsidRPr="00533EAC" w:rsidRDefault="00C7243E" w:rsidP="00C05A32">
            <w:pPr>
              <w:spacing w:line="200" w:lineRule="exact"/>
              <w:rPr>
                <w:rFonts w:ascii="Arial" w:eastAsia="Times New Roman" w:hAnsi="Arial" w:cs="Arial"/>
                <w:color w:val="000000" w:themeColor="text1"/>
                <w:sz w:val="16"/>
                <w:szCs w:val="16"/>
                <w:highlight w:val="yellow"/>
                <w:lang w:val="en-ZA" w:eastAsia="de-DE"/>
              </w:rPr>
            </w:pPr>
          </w:p>
        </w:tc>
        <w:tc>
          <w:tcPr>
            <w:tcW w:w="1025" w:type="dxa"/>
            <w:tcBorders>
              <w:top w:val="nil"/>
              <w:left w:val="nil"/>
              <w:bottom w:val="nil"/>
              <w:right w:val="nil"/>
            </w:tcBorders>
          </w:tcPr>
          <w:p w14:paraId="59C0FDA3" w14:textId="77777777" w:rsidR="00C7243E" w:rsidRPr="00533EAC" w:rsidRDefault="00C7243E" w:rsidP="00C05A32">
            <w:pPr>
              <w:spacing w:line="200" w:lineRule="exact"/>
              <w:rPr>
                <w:rFonts w:ascii="Arial" w:eastAsia="Times New Roman" w:hAnsi="Arial" w:cs="Arial"/>
                <w:color w:val="000000" w:themeColor="text1"/>
                <w:sz w:val="16"/>
                <w:szCs w:val="16"/>
                <w:highlight w:val="yellow"/>
                <w:lang w:val="en-ZA" w:eastAsia="de-DE"/>
              </w:rPr>
            </w:pPr>
          </w:p>
        </w:tc>
        <w:tc>
          <w:tcPr>
            <w:tcW w:w="960" w:type="dxa"/>
            <w:tcBorders>
              <w:top w:val="nil"/>
              <w:left w:val="nil"/>
              <w:bottom w:val="nil"/>
              <w:right w:val="nil"/>
            </w:tcBorders>
            <w:noWrap/>
            <w:vAlign w:val="center"/>
            <w:hideMark/>
          </w:tcPr>
          <w:p w14:paraId="5BCF3D3D" w14:textId="77777777" w:rsidR="00C7243E" w:rsidRPr="00533EAC" w:rsidRDefault="00C7243E" w:rsidP="00C05A32">
            <w:pPr>
              <w:spacing w:line="200" w:lineRule="exact"/>
              <w:rPr>
                <w:rFonts w:ascii="Arial" w:eastAsia="Times New Roman" w:hAnsi="Arial" w:cs="Arial"/>
                <w:color w:val="000000" w:themeColor="text1"/>
                <w:sz w:val="16"/>
                <w:szCs w:val="16"/>
                <w:highlight w:val="yellow"/>
                <w:lang w:val="en-ZA" w:eastAsia="de-DE"/>
              </w:rPr>
            </w:pPr>
          </w:p>
        </w:tc>
        <w:tc>
          <w:tcPr>
            <w:tcW w:w="992" w:type="dxa"/>
            <w:tcBorders>
              <w:top w:val="nil"/>
              <w:left w:val="nil"/>
              <w:bottom w:val="nil"/>
              <w:right w:val="nil"/>
            </w:tcBorders>
            <w:vAlign w:val="center"/>
          </w:tcPr>
          <w:p w14:paraId="386D43FF" w14:textId="77777777" w:rsidR="00C7243E" w:rsidRPr="00533EAC" w:rsidRDefault="00C7243E" w:rsidP="00C05A32">
            <w:pPr>
              <w:spacing w:line="200" w:lineRule="exact"/>
              <w:rPr>
                <w:rFonts w:ascii="Arial" w:eastAsia="Times New Roman" w:hAnsi="Arial" w:cs="Arial"/>
                <w:color w:val="000000" w:themeColor="text1"/>
                <w:sz w:val="16"/>
                <w:szCs w:val="16"/>
                <w:highlight w:val="yellow"/>
                <w:lang w:val="en-ZA" w:eastAsia="de-DE"/>
              </w:rPr>
            </w:pPr>
          </w:p>
        </w:tc>
        <w:tc>
          <w:tcPr>
            <w:tcW w:w="850" w:type="dxa"/>
            <w:tcBorders>
              <w:top w:val="nil"/>
              <w:left w:val="nil"/>
              <w:bottom w:val="nil"/>
              <w:right w:val="nil"/>
            </w:tcBorders>
          </w:tcPr>
          <w:p w14:paraId="360B56C9" w14:textId="77777777" w:rsidR="00C7243E" w:rsidRPr="00533EAC" w:rsidRDefault="00C7243E" w:rsidP="00302BE0">
            <w:pPr>
              <w:spacing w:line="200" w:lineRule="exact"/>
              <w:rPr>
                <w:rFonts w:ascii="Arial" w:eastAsia="Times New Roman" w:hAnsi="Arial" w:cs="Arial"/>
                <w:color w:val="000000" w:themeColor="text1"/>
                <w:sz w:val="16"/>
                <w:szCs w:val="16"/>
                <w:highlight w:val="yellow"/>
                <w:lang w:val="en-ZA" w:eastAsia="de-DE"/>
              </w:rPr>
            </w:pPr>
          </w:p>
        </w:tc>
        <w:tc>
          <w:tcPr>
            <w:tcW w:w="850" w:type="dxa"/>
            <w:tcBorders>
              <w:top w:val="nil"/>
              <w:left w:val="nil"/>
              <w:bottom w:val="nil"/>
              <w:right w:val="nil"/>
            </w:tcBorders>
            <w:vAlign w:val="center"/>
          </w:tcPr>
          <w:p w14:paraId="52D66A9F" w14:textId="176C6FD7" w:rsidR="00C7243E" w:rsidRPr="00533EAC" w:rsidRDefault="00C7243E" w:rsidP="00C05A32">
            <w:pPr>
              <w:spacing w:line="200" w:lineRule="exact"/>
              <w:rPr>
                <w:rFonts w:ascii="Arial" w:eastAsia="Times New Roman" w:hAnsi="Arial" w:cs="Arial"/>
                <w:color w:val="000000" w:themeColor="text1"/>
                <w:sz w:val="16"/>
                <w:szCs w:val="16"/>
                <w:highlight w:val="yellow"/>
                <w:lang w:val="en-ZA" w:eastAsia="de-DE"/>
              </w:rPr>
            </w:pPr>
          </w:p>
        </w:tc>
      </w:tr>
      <w:tr w:rsidR="00533EAC" w:rsidRPr="00533EAC" w14:paraId="65C9DB97" w14:textId="77777777" w:rsidTr="00C05A32">
        <w:trPr>
          <w:trHeight w:val="221"/>
          <w:jc w:val="center"/>
        </w:trPr>
        <w:tc>
          <w:tcPr>
            <w:tcW w:w="851" w:type="dxa"/>
            <w:tcBorders>
              <w:top w:val="nil"/>
              <w:left w:val="nil"/>
              <w:bottom w:val="nil"/>
              <w:right w:val="nil"/>
            </w:tcBorders>
            <w:noWrap/>
            <w:vAlign w:val="center"/>
            <w:hideMark/>
          </w:tcPr>
          <w:p w14:paraId="58243D12" w14:textId="77777777" w:rsidR="00C7243E" w:rsidRPr="00533EAC" w:rsidRDefault="00C7243E"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Pstol2</w:t>
            </w:r>
          </w:p>
        </w:tc>
        <w:tc>
          <w:tcPr>
            <w:tcW w:w="3794" w:type="dxa"/>
            <w:tcBorders>
              <w:top w:val="nil"/>
              <w:left w:val="nil"/>
              <w:bottom w:val="nil"/>
              <w:right w:val="nil"/>
            </w:tcBorders>
            <w:noWrap/>
            <w:vAlign w:val="center"/>
            <w:hideMark/>
          </w:tcPr>
          <w:p w14:paraId="0147B981" w14:textId="77777777" w:rsidR="00C7243E" w:rsidRPr="00533EAC" w:rsidRDefault="00C7243E" w:rsidP="00C05A32">
            <w:pPr>
              <w:spacing w:line="200" w:lineRule="exact"/>
              <w:jc w:val="both"/>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 xml:space="preserve">F-GTTGATTTACAGCGAGGGTTG </w:t>
            </w:r>
          </w:p>
        </w:tc>
        <w:tc>
          <w:tcPr>
            <w:tcW w:w="1418" w:type="dxa"/>
            <w:tcBorders>
              <w:top w:val="nil"/>
              <w:left w:val="nil"/>
              <w:bottom w:val="nil"/>
              <w:right w:val="nil"/>
            </w:tcBorders>
            <w:noWrap/>
            <w:vAlign w:val="center"/>
            <w:hideMark/>
          </w:tcPr>
          <w:p w14:paraId="37A434CC" w14:textId="77777777" w:rsidR="00C7243E" w:rsidRPr="00533EAC" w:rsidRDefault="00C7243E"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(TTC)</w:t>
            </w:r>
            <w:r w:rsidRPr="00533EAC">
              <w:rPr>
                <w:rFonts w:ascii="Arial" w:eastAsia="Times New Roman" w:hAnsi="Arial" w:cs="Arial"/>
                <w:color w:val="000000" w:themeColor="text1"/>
                <w:sz w:val="16"/>
                <w:szCs w:val="16"/>
                <w:vertAlign w:val="subscript"/>
                <w:lang w:val="en-ZA" w:eastAsia="de-DE"/>
              </w:rPr>
              <w:t>7</w:t>
            </w:r>
          </w:p>
        </w:tc>
        <w:tc>
          <w:tcPr>
            <w:tcW w:w="1592" w:type="dxa"/>
            <w:tcBorders>
              <w:top w:val="nil"/>
              <w:left w:val="nil"/>
              <w:bottom w:val="nil"/>
              <w:right w:val="nil"/>
            </w:tcBorders>
            <w:noWrap/>
            <w:vAlign w:val="center"/>
            <w:hideMark/>
          </w:tcPr>
          <w:p w14:paraId="318A5306" w14:textId="4A323360" w:rsidR="00C7243E" w:rsidRPr="00533EAC" w:rsidRDefault="00C7243E"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64</w:t>
            </w:r>
            <w:r w:rsidR="001D1A0C" w:rsidRPr="00533EAC">
              <w:rPr>
                <w:rFonts w:ascii="Arial" w:eastAsia="Times New Roman" w:hAnsi="Arial" w:cs="Arial"/>
                <w:color w:val="000000" w:themeColor="text1"/>
                <w:sz w:val="16"/>
                <w:szCs w:val="16"/>
                <w:lang w:val="en-ZA" w:eastAsia="de-DE"/>
              </w:rPr>
              <w:t>–</w:t>
            </w:r>
            <w:r w:rsidRPr="00533EAC">
              <w:rPr>
                <w:rFonts w:ascii="Arial" w:eastAsia="Times New Roman" w:hAnsi="Arial" w:cs="Arial"/>
                <w:color w:val="000000" w:themeColor="text1"/>
                <w:sz w:val="16"/>
                <w:szCs w:val="16"/>
                <w:lang w:val="en-ZA" w:eastAsia="de-DE"/>
              </w:rPr>
              <w:t>112</w:t>
            </w:r>
          </w:p>
        </w:tc>
        <w:tc>
          <w:tcPr>
            <w:tcW w:w="1025" w:type="dxa"/>
            <w:tcBorders>
              <w:top w:val="nil"/>
              <w:left w:val="nil"/>
              <w:bottom w:val="nil"/>
              <w:right w:val="nil"/>
            </w:tcBorders>
          </w:tcPr>
          <w:p w14:paraId="229FD51D" w14:textId="77777777" w:rsidR="00C7243E" w:rsidRPr="00533EAC" w:rsidRDefault="00C7243E"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52</w:t>
            </w:r>
          </w:p>
        </w:tc>
        <w:tc>
          <w:tcPr>
            <w:tcW w:w="960" w:type="dxa"/>
            <w:tcBorders>
              <w:top w:val="nil"/>
              <w:left w:val="nil"/>
              <w:bottom w:val="nil"/>
              <w:right w:val="nil"/>
            </w:tcBorders>
            <w:noWrap/>
            <w:vAlign w:val="center"/>
            <w:hideMark/>
          </w:tcPr>
          <w:p w14:paraId="68BF7B65" w14:textId="77777777" w:rsidR="00C7243E" w:rsidRPr="00533EAC" w:rsidRDefault="00C7243E"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6</w:t>
            </w:r>
          </w:p>
        </w:tc>
        <w:tc>
          <w:tcPr>
            <w:tcW w:w="992" w:type="dxa"/>
            <w:tcBorders>
              <w:top w:val="nil"/>
              <w:left w:val="nil"/>
              <w:bottom w:val="nil"/>
              <w:right w:val="nil"/>
            </w:tcBorders>
            <w:vAlign w:val="center"/>
          </w:tcPr>
          <w:p w14:paraId="14EDC4EF" w14:textId="77777777" w:rsidR="00C7243E" w:rsidRPr="00533EAC" w:rsidRDefault="00C7243E"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0.165</w:t>
            </w:r>
          </w:p>
        </w:tc>
        <w:tc>
          <w:tcPr>
            <w:tcW w:w="850" w:type="dxa"/>
            <w:tcBorders>
              <w:top w:val="nil"/>
              <w:left w:val="nil"/>
              <w:bottom w:val="nil"/>
              <w:right w:val="nil"/>
            </w:tcBorders>
          </w:tcPr>
          <w:p w14:paraId="4EDF4B8C" w14:textId="77777777" w:rsidR="00C7243E" w:rsidRPr="00533EAC" w:rsidRDefault="00C7243E" w:rsidP="00302BE0">
            <w:pPr>
              <w:spacing w:line="200" w:lineRule="exact"/>
              <w:rPr>
                <w:rFonts w:ascii="Arial" w:eastAsia="Times New Roman" w:hAnsi="Arial" w:cs="Arial"/>
                <w:color w:val="000000" w:themeColor="text1"/>
                <w:sz w:val="16"/>
                <w:szCs w:val="16"/>
                <w:lang w:val="en-ZA" w:eastAsia="de-DE"/>
              </w:rPr>
            </w:pPr>
          </w:p>
        </w:tc>
        <w:tc>
          <w:tcPr>
            <w:tcW w:w="850" w:type="dxa"/>
            <w:tcBorders>
              <w:top w:val="nil"/>
              <w:left w:val="nil"/>
              <w:bottom w:val="nil"/>
              <w:right w:val="nil"/>
            </w:tcBorders>
            <w:vAlign w:val="center"/>
          </w:tcPr>
          <w:p w14:paraId="00A8C63E" w14:textId="6C0D2207" w:rsidR="00C7243E" w:rsidRPr="00533EAC" w:rsidRDefault="00C7243E"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0.384</w:t>
            </w:r>
          </w:p>
        </w:tc>
      </w:tr>
      <w:tr w:rsidR="00533EAC" w:rsidRPr="00533EAC" w14:paraId="1932BD8A" w14:textId="77777777" w:rsidTr="00C05A32">
        <w:trPr>
          <w:trHeight w:val="221"/>
          <w:jc w:val="center"/>
        </w:trPr>
        <w:tc>
          <w:tcPr>
            <w:tcW w:w="851" w:type="dxa"/>
            <w:tcBorders>
              <w:top w:val="nil"/>
              <w:left w:val="nil"/>
              <w:bottom w:val="nil"/>
              <w:right w:val="nil"/>
            </w:tcBorders>
            <w:noWrap/>
            <w:vAlign w:val="center"/>
            <w:hideMark/>
          </w:tcPr>
          <w:p w14:paraId="0BFA0A00" w14:textId="77777777" w:rsidR="00C7243E" w:rsidRPr="00533EAC" w:rsidRDefault="00C7243E" w:rsidP="00C05A32">
            <w:pPr>
              <w:spacing w:line="200" w:lineRule="exact"/>
              <w:rPr>
                <w:rFonts w:ascii="Arial" w:eastAsia="Times New Roman" w:hAnsi="Arial" w:cs="Arial"/>
                <w:color w:val="000000" w:themeColor="text1"/>
                <w:sz w:val="16"/>
                <w:szCs w:val="16"/>
                <w:lang w:val="en-ZA" w:eastAsia="de-DE"/>
              </w:rPr>
            </w:pPr>
          </w:p>
        </w:tc>
        <w:tc>
          <w:tcPr>
            <w:tcW w:w="3794" w:type="dxa"/>
            <w:tcBorders>
              <w:top w:val="nil"/>
              <w:left w:val="nil"/>
              <w:bottom w:val="nil"/>
              <w:right w:val="nil"/>
            </w:tcBorders>
            <w:noWrap/>
            <w:vAlign w:val="center"/>
            <w:hideMark/>
          </w:tcPr>
          <w:p w14:paraId="125E4E49" w14:textId="77777777" w:rsidR="00C7243E" w:rsidRPr="00533EAC" w:rsidRDefault="00C7243E" w:rsidP="00C05A32">
            <w:pPr>
              <w:spacing w:line="200" w:lineRule="exact"/>
              <w:jc w:val="both"/>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R-TTCGAATCAGGAATCCACCT</w:t>
            </w:r>
          </w:p>
        </w:tc>
        <w:tc>
          <w:tcPr>
            <w:tcW w:w="1418" w:type="dxa"/>
            <w:tcBorders>
              <w:top w:val="nil"/>
              <w:left w:val="nil"/>
              <w:bottom w:val="nil"/>
              <w:right w:val="nil"/>
            </w:tcBorders>
            <w:noWrap/>
            <w:vAlign w:val="center"/>
            <w:hideMark/>
          </w:tcPr>
          <w:p w14:paraId="46EE0768" w14:textId="77777777" w:rsidR="00C7243E" w:rsidRPr="00533EAC" w:rsidRDefault="00C7243E" w:rsidP="00C05A32">
            <w:pPr>
              <w:spacing w:line="200" w:lineRule="exact"/>
              <w:rPr>
                <w:rFonts w:ascii="Arial" w:eastAsia="Times New Roman" w:hAnsi="Arial" w:cs="Arial"/>
                <w:color w:val="000000" w:themeColor="text1"/>
                <w:sz w:val="16"/>
                <w:szCs w:val="16"/>
                <w:lang w:val="en-ZA" w:eastAsia="de-DE"/>
              </w:rPr>
            </w:pPr>
          </w:p>
        </w:tc>
        <w:tc>
          <w:tcPr>
            <w:tcW w:w="1592" w:type="dxa"/>
            <w:tcBorders>
              <w:top w:val="nil"/>
              <w:left w:val="nil"/>
              <w:bottom w:val="nil"/>
              <w:right w:val="nil"/>
            </w:tcBorders>
            <w:noWrap/>
            <w:vAlign w:val="center"/>
            <w:hideMark/>
          </w:tcPr>
          <w:p w14:paraId="349F0629" w14:textId="77777777" w:rsidR="00C7243E" w:rsidRPr="00533EAC" w:rsidRDefault="00C7243E" w:rsidP="00C05A32">
            <w:pPr>
              <w:spacing w:line="200" w:lineRule="exact"/>
              <w:rPr>
                <w:rFonts w:ascii="Arial" w:eastAsia="Times New Roman" w:hAnsi="Arial" w:cs="Arial"/>
                <w:color w:val="000000" w:themeColor="text1"/>
                <w:sz w:val="16"/>
                <w:szCs w:val="16"/>
                <w:lang w:val="en-ZA" w:eastAsia="de-DE"/>
              </w:rPr>
            </w:pPr>
          </w:p>
        </w:tc>
        <w:tc>
          <w:tcPr>
            <w:tcW w:w="1025" w:type="dxa"/>
            <w:tcBorders>
              <w:top w:val="nil"/>
              <w:left w:val="nil"/>
              <w:bottom w:val="nil"/>
              <w:right w:val="nil"/>
            </w:tcBorders>
          </w:tcPr>
          <w:p w14:paraId="53BC2384" w14:textId="77777777" w:rsidR="00C7243E" w:rsidRPr="00533EAC" w:rsidRDefault="00C7243E" w:rsidP="00C05A32">
            <w:pPr>
              <w:spacing w:line="200" w:lineRule="exact"/>
              <w:rPr>
                <w:rFonts w:ascii="Arial" w:eastAsia="Times New Roman" w:hAnsi="Arial" w:cs="Arial"/>
                <w:color w:val="000000" w:themeColor="text1"/>
                <w:sz w:val="16"/>
                <w:szCs w:val="16"/>
                <w:lang w:val="en-ZA" w:eastAsia="de-DE"/>
              </w:rPr>
            </w:pPr>
          </w:p>
        </w:tc>
        <w:tc>
          <w:tcPr>
            <w:tcW w:w="960" w:type="dxa"/>
            <w:tcBorders>
              <w:top w:val="nil"/>
              <w:left w:val="nil"/>
              <w:bottom w:val="nil"/>
              <w:right w:val="nil"/>
            </w:tcBorders>
            <w:noWrap/>
            <w:vAlign w:val="center"/>
            <w:hideMark/>
          </w:tcPr>
          <w:p w14:paraId="73AB69DF" w14:textId="77777777" w:rsidR="00C7243E" w:rsidRPr="00533EAC" w:rsidRDefault="00C7243E" w:rsidP="00C05A32">
            <w:pPr>
              <w:spacing w:line="200" w:lineRule="exact"/>
              <w:rPr>
                <w:rFonts w:ascii="Arial" w:eastAsia="Times New Roman" w:hAnsi="Arial" w:cs="Arial"/>
                <w:color w:val="000000" w:themeColor="text1"/>
                <w:sz w:val="16"/>
                <w:szCs w:val="16"/>
                <w:lang w:val="en-ZA" w:eastAsia="de-DE"/>
              </w:rPr>
            </w:pPr>
          </w:p>
        </w:tc>
        <w:tc>
          <w:tcPr>
            <w:tcW w:w="992" w:type="dxa"/>
            <w:tcBorders>
              <w:top w:val="nil"/>
              <w:left w:val="nil"/>
              <w:bottom w:val="nil"/>
              <w:right w:val="nil"/>
            </w:tcBorders>
            <w:vAlign w:val="center"/>
          </w:tcPr>
          <w:p w14:paraId="120997EF" w14:textId="77777777" w:rsidR="00C7243E" w:rsidRPr="00533EAC" w:rsidRDefault="00C7243E" w:rsidP="00C05A32">
            <w:pPr>
              <w:spacing w:line="200" w:lineRule="exact"/>
              <w:rPr>
                <w:rFonts w:ascii="Arial" w:eastAsia="Times New Roman" w:hAnsi="Arial" w:cs="Arial"/>
                <w:color w:val="000000" w:themeColor="text1"/>
                <w:sz w:val="16"/>
                <w:szCs w:val="16"/>
                <w:lang w:val="en-ZA" w:eastAsia="de-DE"/>
              </w:rPr>
            </w:pPr>
          </w:p>
        </w:tc>
        <w:tc>
          <w:tcPr>
            <w:tcW w:w="850" w:type="dxa"/>
            <w:tcBorders>
              <w:top w:val="nil"/>
              <w:left w:val="nil"/>
              <w:bottom w:val="nil"/>
              <w:right w:val="nil"/>
            </w:tcBorders>
          </w:tcPr>
          <w:p w14:paraId="37C01587" w14:textId="77777777" w:rsidR="00C7243E" w:rsidRPr="00533EAC" w:rsidRDefault="00C7243E" w:rsidP="00302BE0">
            <w:pPr>
              <w:spacing w:line="200" w:lineRule="exact"/>
              <w:rPr>
                <w:rFonts w:ascii="Arial" w:eastAsia="Times New Roman" w:hAnsi="Arial" w:cs="Arial"/>
                <w:color w:val="000000" w:themeColor="text1"/>
                <w:sz w:val="16"/>
                <w:szCs w:val="16"/>
                <w:lang w:val="en-ZA" w:eastAsia="de-DE"/>
              </w:rPr>
            </w:pPr>
          </w:p>
        </w:tc>
        <w:tc>
          <w:tcPr>
            <w:tcW w:w="850" w:type="dxa"/>
            <w:tcBorders>
              <w:top w:val="nil"/>
              <w:left w:val="nil"/>
              <w:bottom w:val="nil"/>
              <w:right w:val="nil"/>
            </w:tcBorders>
            <w:vAlign w:val="center"/>
          </w:tcPr>
          <w:p w14:paraId="1516727C" w14:textId="67620E00" w:rsidR="00C7243E" w:rsidRPr="00533EAC" w:rsidRDefault="00C7243E" w:rsidP="00C05A32">
            <w:pPr>
              <w:spacing w:line="200" w:lineRule="exact"/>
              <w:rPr>
                <w:rFonts w:ascii="Arial" w:eastAsia="Times New Roman" w:hAnsi="Arial" w:cs="Arial"/>
                <w:color w:val="000000" w:themeColor="text1"/>
                <w:sz w:val="16"/>
                <w:szCs w:val="16"/>
                <w:lang w:val="en-ZA" w:eastAsia="de-DE"/>
              </w:rPr>
            </w:pPr>
          </w:p>
        </w:tc>
      </w:tr>
      <w:tr w:rsidR="00533EAC" w:rsidRPr="00533EAC" w14:paraId="135779FE" w14:textId="77777777" w:rsidTr="00C05A32">
        <w:trPr>
          <w:trHeight w:val="221"/>
          <w:jc w:val="center"/>
        </w:trPr>
        <w:tc>
          <w:tcPr>
            <w:tcW w:w="851" w:type="dxa"/>
            <w:tcBorders>
              <w:top w:val="nil"/>
              <w:left w:val="nil"/>
              <w:bottom w:val="nil"/>
              <w:right w:val="nil"/>
            </w:tcBorders>
            <w:noWrap/>
            <w:vAlign w:val="center"/>
          </w:tcPr>
          <w:p w14:paraId="4A9E1D57" w14:textId="77777777" w:rsidR="00C7243E" w:rsidRPr="00533EAC" w:rsidRDefault="00C7243E" w:rsidP="00C05A32">
            <w:pPr>
              <w:spacing w:line="200" w:lineRule="exact"/>
              <w:rPr>
                <w:rFonts w:ascii="Arial" w:eastAsia="Times New Roman" w:hAnsi="Arial" w:cs="Arial"/>
                <w:color w:val="000000" w:themeColor="text1"/>
                <w:sz w:val="16"/>
                <w:szCs w:val="16"/>
                <w:lang w:val="en-ZA" w:eastAsia="de-DE"/>
              </w:rPr>
            </w:pPr>
          </w:p>
        </w:tc>
        <w:tc>
          <w:tcPr>
            <w:tcW w:w="3794" w:type="dxa"/>
            <w:tcBorders>
              <w:top w:val="nil"/>
              <w:left w:val="nil"/>
              <w:bottom w:val="nil"/>
              <w:right w:val="nil"/>
            </w:tcBorders>
            <w:noWrap/>
            <w:vAlign w:val="center"/>
          </w:tcPr>
          <w:p w14:paraId="2ED87403" w14:textId="77777777" w:rsidR="00C7243E" w:rsidRPr="00533EAC" w:rsidRDefault="00C7243E" w:rsidP="00C05A32">
            <w:pPr>
              <w:spacing w:line="200" w:lineRule="exact"/>
              <w:jc w:val="both"/>
              <w:rPr>
                <w:rFonts w:ascii="Arial" w:eastAsia="Times New Roman" w:hAnsi="Arial" w:cs="Arial"/>
                <w:color w:val="000000" w:themeColor="text1"/>
                <w:sz w:val="16"/>
                <w:szCs w:val="16"/>
                <w:lang w:val="en-ZA" w:eastAsia="de-DE"/>
              </w:rPr>
            </w:pPr>
          </w:p>
        </w:tc>
        <w:tc>
          <w:tcPr>
            <w:tcW w:w="1418" w:type="dxa"/>
            <w:tcBorders>
              <w:top w:val="nil"/>
              <w:left w:val="nil"/>
              <w:bottom w:val="nil"/>
              <w:right w:val="nil"/>
            </w:tcBorders>
            <w:noWrap/>
            <w:vAlign w:val="center"/>
          </w:tcPr>
          <w:p w14:paraId="40E77606" w14:textId="77777777" w:rsidR="00C7243E" w:rsidRPr="00533EAC" w:rsidRDefault="00C7243E" w:rsidP="00C05A32">
            <w:pPr>
              <w:spacing w:line="200" w:lineRule="exact"/>
              <w:rPr>
                <w:rFonts w:ascii="Arial" w:eastAsia="Times New Roman" w:hAnsi="Arial" w:cs="Arial"/>
                <w:color w:val="000000" w:themeColor="text1"/>
                <w:sz w:val="16"/>
                <w:szCs w:val="16"/>
                <w:lang w:val="en-ZA" w:eastAsia="de-DE"/>
              </w:rPr>
            </w:pPr>
          </w:p>
        </w:tc>
        <w:tc>
          <w:tcPr>
            <w:tcW w:w="1592" w:type="dxa"/>
            <w:tcBorders>
              <w:top w:val="nil"/>
              <w:left w:val="nil"/>
              <w:bottom w:val="nil"/>
              <w:right w:val="nil"/>
            </w:tcBorders>
            <w:noWrap/>
            <w:vAlign w:val="center"/>
          </w:tcPr>
          <w:p w14:paraId="0AA7A358" w14:textId="77777777" w:rsidR="00C7243E" w:rsidRPr="00533EAC" w:rsidRDefault="00C7243E" w:rsidP="00C05A32">
            <w:pPr>
              <w:spacing w:line="200" w:lineRule="exact"/>
              <w:rPr>
                <w:rFonts w:ascii="Arial" w:eastAsia="Times New Roman" w:hAnsi="Arial" w:cs="Arial"/>
                <w:color w:val="000000" w:themeColor="text1"/>
                <w:sz w:val="16"/>
                <w:szCs w:val="16"/>
                <w:highlight w:val="yellow"/>
                <w:lang w:val="en-ZA" w:eastAsia="de-DE"/>
              </w:rPr>
            </w:pPr>
          </w:p>
        </w:tc>
        <w:tc>
          <w:tcPr>
            <w:tcW w:w="1025" w:type="dxa"/>
            <w:tcBorders>
              <w:top w:val="nil"/>
              <w:left w:val="nil"/>
              <w:bottom w:val="nil"/>
              <w:right w:val="nil"/>
            </w:tcBorders>
          </w:tcPr>
          <w:p w14:paraId="5C320E4E" w14:textId="77777777" w:rsidR="00C7243E" w:rsidRPr="00533EAC" w:rsidRDefault="00C7243E" w:rsidP="00C05A32">
            <w:pPr>
              <w:spacing w:line="200" w:lineRule="exact"/>
              <w:rPr>
                <w:rFonts w:ascii="Arial" w:eastAsia="Times New Roman" w:hAnsi="Arial" w:cs="Arial"/>
                <w:color w:val="000000" w:themeColor="text1"/>
                <w:sz w:val="16"/>
                <w:szCs w:val="16"/>
                <w:highlight w:val="yellow"/>
                <w:lang w:val="en-ZA" w:eastAsia="de-DE"/>
              </w:rPr>
            </w:pPr>
          </w:p>
        </w:tc>
        <w:tc>
          <w:tcPr>
            <w:tcW w:w="960" w:type="dxa"/>
            <w:tcBorders>
              <w:top w:val="nil"/>
              <w:left w:val="nil"/>
              <w:bottom w:val="nil"/>
              <w:right w:val="nil"/>
            </w:tcBorders>
            <w:noWrap/>
            <w:vAlign w:val="center"/>
          </w:tcPr>
          <w:p w14:paraId="075BAE0A" w14:textId="77777777" w:rsidR="00C7243E" w:rsidRPr="00533EAC" w:rsidRDefault="00C7243E" w:rsidP="00C05A32">
            <w:pPr>
              <w:spacing w:line="200" w:lineRule="exact"/>
              <w:rPr>
                <w:rFonts w:ascii="Arial" w:eastAsia="Times New Roman" w:hAnsi="Arial" w:cs="Arial"/>
                <w:color w:val="000000" w:themeColor="text1"/>
                <w:sz w:val="16"/>
                <w:szCs w:val="16"/>
                <w:highlight w:val="yellow"/>
                <w:lang w:val="en-ZA" w:eastAsia="de-DE"/>
              </w:rPr>
            </w:pPr>
          </w:p>
        </w:tc>
        <w:tc>
          <w:tcPr>
            <w:tcW w:w="992" w:type="dxa"/>
            <w:tcBorders>
              <w:top w:val="nil"/>
              <w:left w:val="nil"/>
              <w:bottom w:val="nil"/>
              <w:right w:val="nil"/>
            </w:tcBorders>
            <w:vAlign w:val="center"/>
          </w:tcPr>
          <w:p w14:paraId="63307818" w14:textId="77777777" w:rsidR="00C7243E" w:rsidRPr="00533EAC" w:rsidRDefault="00C7243E" w:rsidP="00C05A32">
            <w:pPr>
              <w:spacing w:line="200" w:lineRule="exact"/>
              <w:rPr>
                <w:rFonts w:ascii="Arial" w:eastAsia="Times New Roman" w:hAnsi="Arial" w:cs="Arial"/>
                <w:color w:val="000000" w:themeColor="text1"/>
                <w:sz w:val="16"/>
                <w:szCs w:val="16"/>
                <w:highlight w:val="yellow"/>
                <w:lang w:val="en-ZA" w:eastAsia="de-DE"/>
              </w:rPr>
            </w:pPr>
          </w:p>
        </w:tc>
        <w:tc>
          <w:tcPr>
            <w:tcW w:w="850" w:type="dxa"/>
            <w:tcBorders>
              <w:top w:val="nil"/>
              <w:left w:val="nil"/>
              <w:bottom w:val="nil"/>
              <w:right w:val="nil"/>
            </w:tcBorders>
          </w:tcPr>
          <w:p w14:paraId="205CA6B0" w14:textId="77777777" w:rsidR="00C7243E" w:rsidRPr="00533EAC" w:rsidRDefault="00C7243E" w:rsidP="00302BE0">
            <w:pPr>
              <w:spacing w:line="200" w:lineRule="exact"/>
              <w:rPr>
                <w:rFonts w:ascii="Arial" w:eastAsia="Times New Roman" w:hAnsi="Arial" w:cs="Arial"/>
                <w:color w:val="000000" w:themeColor="text1"/>
                <w:sz w:val="16"/>
                <w:szCs w:val="16"/>
                <w:highlight w:val="yellow"/>
                <w:lang w:val="en-ZA" w:eastAsia="de-DE"/>
              </w:rPr>
            </w:pPr>
          </w:p>
        </w:tc>
        <w:tc>
          <w:tcPr>
            <w:tcW w:w="850" w:type="dxa"/>
            <w:tcBorders>
              <w:top w:val="nil"/>
              <w:left w:val="nil"/>
              <w:bottom w:val="nil"/>
              <w:right w:val="nil"/>
            </w:tcBorders>
            <w:vAlign w:val="center"/>
          </w:tcPr>
          <w:p w14:paraId="557C0EFA" w14:textId="5F06BBBA" w:rsidR="00C7243E" w:rsidRPr="00533EAC" w:rsidRDefault="00C7243E" w:rsidP="00C05A32">
            <w:pPr>
              <w:spacing w:line="200" w:lineRule="exact"/>
              <w:rPr>
                <w:rFonts w:ascii="Arial" w:eastAsia="Times New Roman" w:hAnsi="Arial" w:cs="Arial"/>
                <w:color w:val="000000" w:themeColor="text1"/>
                <w:sz w:val="16"/>
                <w:szCs w:val="16"/>
                <w:highlight w:val="yellow"/>
                <w:lang w:val="en-ZA" w:eastAsia="de-DE"/>
              </w:rPr>
            </w:pPr>
          </w:p>
        </w:tc>
      </w:tr>
      <w:tr w:rsidR="00533EAC" w:rsidRPr="00533EAC" w14:paraId="3146DFED" w14:textId="77777777" w:rsidTr="00C05A32">
        <w:trPr>
          <w:trHeight w:val="221"/>
          <w:jc w:val="center"/>
        </w:trPr>
        <w:tc>
          <w:tcPr>
            <w:tcW w:w="851" w:type="dxa"/>
            <w:tcBorders>
              <w:top w:val="nil"/>
              <w:left w:val="nil"/>
              <w:bottom w:val="nil"/>
              <w:right w:val="nil"/>
            </w:tcBorders>
            <w:noWrap/>
            <w:vAlign w:val="center"/>
            <w:hideMark/>
          </w:tcPr>
          <w:p w14:paraId="1DEFD1B4" w14:textId="77777777" w:rsidR="00C7243E" w:rsidRPr="00533EAC" w:rsidRDefault="00C7243E"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Pherd1</w:t>
            </w:r>
          </w:p>
        </w:tc>
        <w:tc>
          <w:tcPr>
            <w:tcW w:w="3794" w:type="dxa"/>
            <w:tcBorders>
              <w:top w:val="nil"/>
              <w:left w:val="nil"/>
              <w:bottom w:val="nil"/>
              <w:right w:val="nil"/>
            </w:tcBorders>
            <w:noWrap/>
            <w:vAlign w:val="center"/>
            <w:hideMark/>
          </w:tcPr>
          <w:p w14:paraId="144CA45C" w14:textId="77777777" w:rsidR="00C7243E" w:rsidRPr="00533EAC" w:rsidRDefault="00C7243E" w:rsidP="00C05A32">
            <w:pPr>
              <w:spacing w:line="200" w:lineRule="exact"/>
              <w:jc w:val="both"/>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F-ATCTCCCGCAGATTCTTCCT</w:t>
            </w:r>
          </w:p>
        </w:tc>
        <w:tc>
          <w:tcPr>
            <w:tcW w:w="1418" w:type="dxa"/>
            <w:tcBorders>
              <w:top w:val="nil"/>
              <w:left w:val="nil"/>
              <w:bottom w:val="nil"/>
              <w:right w:val="nil"/>
            </w:tcBorders>
            <w:noWrap/>
            <w:vAlign w:val="center"/>
            <w:hideMark/>
          </w:tcPr>
          <w:p w14:paraId="5B4A1937" w14:textId="77777777" w:rsidR="00C7243E" w:rsidRPr="00533EAC" w:rsidRDefault="00C7243E"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(TCT)</w:t>
            </w:r>
            <w:r w:rsidRPr="00533EAC">
              <w:rPr>
                <w:rFonts w:ascii="Arial" w:eastAsia="Times New Roman" w:hAnsi="Arial" w:cs="Arial"/>
                <w:color w:val="000000" w:themeColor="text1"/>
                <w:sz w:val="16"/>
                <w:szCs w:val="16"/>
                <w:vertAlign w:val="subscript"/>
                <w:lang w:val="en-ZA" w:eastAsia="de-DE"/>
              </w:rPr>
              <w:t>7</w:t>
            </w:r>
          </w:p>
        </w:tc>
        <w:tc>
          <w:tcPr>
            <w:tcW w:w="1592" w:type="dxa"/>
            <w:tcBorders>
              <w:top w:val="nil"/>
              <w:left w:val="nil"/>
              <w:bottom w:val="nil"/>
              <w:right w:val="nil"/>
            </w:tcBorders>
            <w:noWrap/>
            <w:vAlign w:val="center"/>
            <w:hideMark/>
          </w:tcPr>
          <w:p w14:paraId="44B62ADF" w14:textId="02E9CECF" w:rsidR="00C7243E" w:rsidRPr="00533EAC" w:rsidRDefault="00C7243E"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136</w:t>
            </w:r>
            <w:r w:rsidR="001D1A0C" w:rsidRPr="00533EAC">
              <w:rPr>
                <w:rFonts w:ascii="Arial" w:eastAsia="Times New Roman" w:hAnsi="Arial" w:cs="Arial"/>
                <w:color w:val="000000" w:themeColor="text1"/>
                <w:sz w:val="16"/>
                <w:szCs w:val="16"/>
                <w:lang w:val="en-ZA" w:eastAsia="de-DE"/>
              </w:rPr>
              <w:t>–</w:t>
            </w:r>
            <w:r w:rsidRPr="00533EAC">
              <w:rPr>
                <w:rFonts w:ascii="Arial" w:eastAsia="Times New Roman" w:hAnsi="Arial" w:cs="Arial"/>
                <w:color w:val="000000" w:themeColor="text1"/>
                <w:sz w:val="16"/>
                <w:szCs w:val="16"/>
                <w:lang w:val="en-ZA" w:eastAsia="de-DE"/>
              </w:rPr>
              <w:t>187</w:t>
            </w:r>
          </w:p>
        </w:tc>
        <w:tc>
          <w:tcPr>
            <w:tcW w:w="1025" w:type="dxa"/>
            <w:tcBorders>
              <w:top w:val="nil"/>
              <w:left w:val="nil"/>
              <w:bottom w:val="nil"/>
              <w:right w:val="nil"/>
            </w:tcBorders>
          </w:tcPr>
          <w:p w14:paraId="1B978953" w14:textId="77777777" w:rsidR="00C7243E" w:rsidRPr="00533EAC" w:rsidRDefault="00C7243E"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62</w:t>
            </w:r>
          </w:p>
        </w:tc>
        <w:tc>
          <w:tcPr>
            <w:tcW w:w="960" w:type="dxa"/>
            <w:tcBorders>
              <w:top w:val="nil"/>
              <w:left w:val="nil"/>
              <w:bottom w:val="nil"/>
              <w:right w:val="nil"/>
            </w:tcBorders>
            <w:noWrap/>
            <w:vAlign w:val="center"/>
            <w:hideMark/>
          </w:tcPr>
          <w:p w14:paraId="1F7C069A" w14:textId="77777777" w:rsidR="00C7243E" w:rsidRPr="00533EAC" w:rsidRDefault="00C7243E" w:rsidP="00C05A32">
            <w:pPr>
              <w:spacing w:line="200" w:lineRule="exact"/>
              <w:rPr>
                <w:rFonts w:ascii="Arial" w:eastAsia="Times New Roman" w:hAnsi="Arial" w:cs="Arial"/>
                <w:color w:val="000000" w:themeColor="text1"/>
                <w:sz w:val="16"/>
                <w:szCs w:val="16"/>
                <w:highlight w:val="yellow"/>
                <w:lang w:val="en-ZA" w:eastAsia="de-DE"/>
              </w:rPr>
            </w:pPr>
            <w:r w:rsidRPr="00533EAC">
              <w:rPr>
                <w:rFonts w:ascii="Arial" w:eastAsia="Times New Roman" w:hAnsi="Arial" w:cs="Arial"/>
                <w:color w:val="000000" w:themeColor="text1"/>
                <w:sz w:val="16"/>
                <w:szCs w:val="16"/>
                <w:lang w:val="en-ZA" w:eastAsia="de-DE"/>
              </w:rPr>
              <w:t>12</w:t>
            </w:r>
          </w:p>
        </w:tc>
        <w:tc>
          <w:tcPr>
            <w:tcW w:w="992" w:type="dxa"/>
            <w:tcBorders>
              <w:top w:val="nil"/>
              <w:left w:val="nil"/>
              <w:bottom w:val="nil"/>
              <w:right w:val="nil"/>
            </w:tcBorders>
            <w:vAlign w:val="center"/>
          </w:tcPr>
          <w:p w14:paraId="7416066D" w14:textId="77777777" w:rsidR="00C7243E" w:rsidRPr="00533EAC" w:rsidRDefault="00C7243E"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0.483</w:t>
            </w:r>
          </w:p>
        </w:tc>
        <w:tc>
          <w:tcPr>
            <w:tcW w:w="850" w:type="dxa"/>
            <w:tcBorders>
              <w:top w:val="nil"/>
              <w:left w:val="nil"/>
              <w:bottom w:val="nil"/>
              <w:right w:val="nil"/>
            </w:tcBorders>
          </w:tcPr>
          <w:p w14:paraId="71EDC8D4" w14:textId="77777777" w:rsidR="00C7243E" w:rsidRPr="00533EAC" w:rsidRDefault="00C7243E" w:rsidP="00302BE0">
            <w:pPr>
              <w:spacing w:line="200" w:lineRule="exact"/>
              <w:rPr>
                <w:rFonts w:ascii="Arial" w:eastAsia="Times New Roman" w:hAnsi="Arial" w:cs="Arial"/>
                <w:color w:val="000000" w:themeColor="text1"/>
                <w:sz w:val="16"/>
                <w:szCs w:val="16"/>
                <w:lang w:val="en-ZA" w:eastAsia="de-DE"/>
              </w:rPr>
            </w:pPr>
          </w:p>
        </w:tc>
        <w:tc>
          <w:tcPr>
            <w:tcW w:w="850" w:type="dxa"/>
            <w:tcBorders>
              <w:top w:val="nil"/>
              <w:left w:val="nil"/>
              <w:bottom w:val="nil"/>
              <w:right w:val="nil"/>
            </w:tcBorders>
            <w:vAlign w:val="center"/>
          </w:tcPr>
          <w:p w14:paraId="0C01848E" w14:textId="1D7378CB" w:rsidR="00C7243E" w:rsidRPr="00533EAC" w:rsidRDefault="00C7243E" w:rsidP="00C05A32">
            <w:pPr>
              <w:spacing w:line="200" w:lineRule="exact"/>
              <w:rPr>
                <w:rFonts w:ascii="Arial" w:eastAsia="Times New Roman" w:hAnsi="Arial" w:cs="Arial"/>
                <w:color w:val="000000" w:themeColor="text1"/>
                <w:sz w:val="16"/>
                <w:szCs w:val="16"/>
                <w:highlight w:val="yellow"/>
                <w:lang w:val="en-ZA" w:eastAsia="de-DE"/>
              </w:rPr>
            </w:pPr>
            <w:r w:rsidRPr="00533EAC">
              <w:rPr>
                <w:rFonts w:ascii="Arial" w:eastAsia="Times New Roman" w:hAnsi="Arial" w:cs="Arial"/>
                <w:color w:val="000000" w:themeColor="text1"/>
                <w:sz w:val="16"/>
                <w:szCs w:val="16"/>
                <w:lang w:val="en-ZA" w:eastAsia="de-DE"/>
              </w:rPr>
              <w:t>0.647</w:t>
            </w:r>
          </w:p>
        </w:tc>
      </w:tr>
      <w:tr w:rsidR="00533EAC" w:rsidRPr="00533EAC" w14:paraId="203C8138" w14:textId="77777777" w:rsidTr="00C05A32">
        <w:trPr>
          <w:trHeight w:val="221"/>
          <w:jc w:val="center"/>
        </w:trPr>
        <w:tc>
          <w:tcPr>
            <w:tcW w:w="851" w:type="dxa"/>
            <w:tcBorders>
              <w:top w:val="nil"/>
              <w:left w:val="nil"/>
              <w:bottom w:val="nil"/>
              <w:right w:val="nil"/>
            </w:tcBorders>
            <w:noWrap/>
            <w:vAlign w:val="center"/>
            <w:hideMark/>
          </w:tcPr>
          <w:p w14:paraId="0709649D" w14:textId="77777777" w:rsidR="00C7243E" w:rsidRPr="00533EAC" w:rsidRDefault="00C7243E" w:rsidP="00C05A32">
            <w:pPr>
              <w:spacing w:line="200" w:lineRule="exact"/>
              <w:rPr>
                <w:rFonts w:ascii="Arial" w:eastAsia="Times New Roman" w:hAnsi="Arial" w:cs="Arial"/>
                <w:color w:val="000000" w:themeColor="text1"/>
                <w:sz w:val="16"/>
                <w:szCs w:val="16"/>
                <w:lang w:val="en-ZA" w:eastAsia="de-DE"/>
              </w:rPr>
            </w:pPr>
          </w:p>
        </w:tc>
        <w:tc>
          <w:tcPr>
            <w:tcW w:w="3794" w:type="dxa"/>
            <w:tcBorders>
              <w:top w:val="nil"/>
              <w:left w:val="nil"/>
              <w:bottom w:val="nil"/>
              <w:right w:val="nil"/>
            </w:tcBorders>
            <w:noWrap/>
            <w:vAlign w:val="center"/>
            <w:hideMark/>
          </w:tcPr>
          <w:p w14:paraId="0E658287" w14:textId="77777777" w:rsidR="00C7243E" w:rsidRPr="00533EAC" w:rsidRDefault="00C7243E" w:rsidP="00C05A32">
            <w:pPr>
              <w:spacing w:line="200" w:lineRule="exact"/>
              <w:jc w:val="both"/>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R-TATTTTGGGGTTCAAGCAGC</w:t>
            </w:r>
          </w:p>
        </w:tc>
        <w:tc>
          <w:tcPr>
            <w:tcW w:w="1418" w:type="dxa"/>
            <w:tcBorders>
              <w:top w:val="nil"/>
              <w:left w:val="nil"/>
              <w:bottom w:val="nil"/>
              <w:right w:val="nil"/>
            </w:tcBorders>
            <w:noWrap/>
            <w:vAlign w:val="center"/>
            <w:hideMark/>
          </w:tcPr>
          <w:p w14:paraId="674D1DF4" w14:textId="77777777" w:rsidR="00C7243E" w:rsidRPr="00533EAC" w:rsidRDefault="00C7243E" w:rsidP="00C05A32">
            <w:pPr>
              <w:spacing w:line="200" w:lineRule="exact"/>
              <w:rPr>
                <w:rFonts w:ascii="Arial" w:eastAsia="Times New Roman" w:hAnsi="Arial" w:cs="Arial"/>
                <w:color w:val="000000" w:themeColor="text1"/>
                <w:sz w:val="16"/>
                <w:szCs w:val="16"/>
                <w:lang w:val="en-ZA" w:eastAsia="de-DE"/>
              </w:rPr>
            </w:pPr>
          </w:p>
        </w:tc>
        <w:tc>
          <w:tcPr>
            <w:tcW w:w="1592" w:type="dxa"/>
            <w:tcBorders>
              <w:top w:val="nil"/>
              <w:left w:val="nil"/>
              <w:bottom w:val="nil"/>
              <w:right w:val="nil"/>
            </w:tcBorders>
            <w:noWrap/>
            <w:vAlign w:val="center"/>
            <w:hideMark/>
          </w:tcPr>
          <w:p w14:paraId="1482FA3A" w14:textId="77777777" w:rsidR="00C7243E" w:rsidRPr="00533EAC" w:rsidRDefault="00C7243E" w:rsidP="00C05A32">
            <w:pPr>
              <w:spacing w:line="200" w:lineRule="exact"/>
              <w:rPr>
                <w:rFonts w:ascii="Arial" w:eastAsia="Times New Roman" w:hAnsi="Arial" w:cs="Arial"/>
                <w:color w:val="000000" w:themeColor="text1"/>
                <w:sz w:val="16"/>
                <w:szCs w:val="16"/>
                <w:highlight w:val="yellow"/>
                <w:lang w:val="en-ZA" w:eastAsia="de-DE"/>
              </w:rPr>
            </w:pPr>
          </w:p>
        </w:tc>
        <w:tc>
          <w:tcPr>
            <w:tcW w:w="1025" w:type="dxa"/>
            <w:tcBorders>
              <w:top w:val="nil"/>
              <w:left w:val="nil"/>
              <w:bottom w:val="nil"/>
              <w:right w:val="nil"/>
            </w:tcBorders>
          </w:tcPr>
          <w:p w14:paraId="7FC63BB6" w14:textId="77777777" w:rsidR="00C7243E" w:rsidRPr="00533EAC" w:rsidRDefault="00C7243E" w:rsidP="00C05A32">
            <w:pPr>
              <w:spacing w:line="200" w:lineRule="exact"/>
              <w:rPr>
                <w:rFonts w:ascii="Arial" w:eastAsia="Times New Roman" w:hAnsi="Arial" w:cs="Arial"/>
                <w:color w:val="000000" w:themeColor="text1"/>
                <w:sz w:val="16"/>
                <w:szCs w:val="16"/>
                <w:highlight w:val="yellow"/>
                <w:lang w:val="en-ZA" w:eastAsia="de-DE"/>
              </w:rPr>
            </w:pPr>
          </w:p>
        </w:tc>
        <w:tc>
          <w:tcPr>
            <w:tcW w:w="960" w:type="dxa"/>
            <w:tcBorders>
              <w:top w:val="nil"/>
              <w:left w:val="nil"/>
              <w:bottom w:val="nil"/>
              <w:right w:val="nil"/>
            </w:tcBorders>
            <w:noWrap/>
            <w:vAlign w:val="center"/>
            <w:hideMark/>
          </w:tcPr>
          <w:p w14:paraId="72EDC19B" w14:textId="77777777" w:rsidR="00C7243E" w:rsidRPr="00533EAC" w:rsidRDefault="00C7243E" w:rsidP="00C05A32">
            <w:pPr>
              <w:spacing w:line="200" w:lineRule="exact"/>
              <w:rPr>
                <w:rFonts w:ascii="Arial" w:eastAsia="Times New Roman" w:hAnsi="Arial" w:cs="Arial"/>
                <w:color w:val="000000" w:themeColor="text1"/>
                <w:sz w:val="16"/>
                <w:szCs w:val="16"/>
                <w:highlight w:val="yellow"/>
                <w:lang w:val="en-ZA" w:eastAsia="de-DE"/>
              </w:rPr>
            </w:pPr>
          </w:p>
        </w:tc>
        <w:tc>
          <w:tcPr>
            <w:tcW w:w="992" w:type="dxa"/>
            <w:tcBorders>
              <w:top w:val="nil"/>
              <w:left w:val="nil"/>
              <w:bottom w:val="nil"/>
              <w:right w:val="nil"/>
            </w:tcBorders>
            <w:vAlign w:val="center"/>
          </w:tcPr>
          <w:p w14:paraId="26294754" w14:textId="77777777" w:rsidR="00C7243E" w:rsidRPr="00533EAC" w:rsidRDefault="00C7243E" w:rsidP="00C05A32">
            <w:pPr>
              <w:spacing w:line="200" w:lineRule="exact"/>
              <w:rPr>
                <w:rFonts w:ascii="Arial" w:eastAsia="Times New Roman" w:hAnsi="Arial" w:cs="Arial"/>
                <w:color w:val="000000" w:themeColor="text1"/>
                <w:sz w:val="16"/>
                <w:szCs w:val="16"/>
                <w:lang w:val="en-ZA" w:eastAsia="de-DE"/>
              </w:rPr>
            </w:pPr>
          </w:p>
        </w:tc>
        <w:tc>
          <w:tcPr>
            <w:tcW w:w="850" w:type="dxa"/>
            <w:tcBorders>
              <w:top w:val="nil"/>
              <w:left w:val="nil"/>
              <w:bottom w:val="nil"/>
              <w:right w:val="nil"/>
            </w:tcBorders>
          </w:tcPr>
          <w:p w14:paraId="54E8B202" w14:textId="77777777" w:rsidR="00C7243E" w:rsidRPr="00533EAC" w:rsidRDefault="00C7243E" w:rsidP="00302BE0">
            <w:pPr>
              <w:spacing w:line="200" w:lineRule="exact"/>
              <w:rPr>
                <w:rFonts w:ascii="Arial" w:eastAsia="Times New Roman" w:hAnsi="Arial" w:cs="Arial"/>
                <w:color w:val="000000" w:themeColor="text1"/>
                <w:sz w:val="16"/>
                <w:szCs w:val="16"/>
                <w:highlight w:val="yellow"/>
                <w:lang w:val="en-ZA" w:eastAsia="de-DE"/>
              </w:rPr>
            </w:pPr>
          </w:p>
        </w:tc>
        <w:tc>
          <w:tcPr>
            <w:tcW w:w="850" w:type="dxa"/>
            <w:tcBorders>
              <w:top w:val="nil"/>
              <w:left w:val="nil"/>
              <w:bottom w:val="nil"/>
              <w:right w:val="nil"/>
            </w:tcBorders>
            <w:vAlign w:val="center"/>
          </w:tcPr>
          <w:p w14:paraId="18A22A46" w14:textId="4A3E58FD" w:rsidR="00C7243E" w:rsidRPr="00533EAC" w:rsidRDefault="00C7243E" w:rsidP="00C05A32">
            <w:pPr>
              <w:spacing w:line="200" w:lineRule="exact"/>
              <w:rPr>
                <w:rFonts w:ascii="Arial" w:eastAsia="Times New Roman" w:hAnsi="Arial" w:cs="Arial"/>
                <w:color w:val="000000" w:themeColor="text1"/>
                <w:sz w:val="16"/>
                <w:szCs w:val="16"/>
                <w:highlight w:val="yellow"/>
                <w:lang w:val="en-ZA" w:eastAsia="de-DE"/>
              </w:rPr>
            </w:pPr>
          </w:p>
        </w:tc>
      </w:tr>
      <w:tr w:rsidR="00533EAC" w:rsidRPr="00533EAC" w14:paraId="56D1BEC2" w14:textId="77777777" w:rsidTr="00C05A32">
        <w:trPr>
          <w:trHeight w:val="221"/>
          <w:jc w:val="center"/>
        </w:trPr>
        <w:tc>
          <w:tcPr>
            <w:tcW w:w="851" w:type="dxa"/>
            <w:tcBorders>
              <w:top w:val="nil"/>
              <w:left w:val="nil"/>
              <w:bottom w:val="nil"/>
              <w:right w:val="nil"/>
            </w:tcBorders>
            <w:noWrap/>
            <w:vAlign w:val="center"/>
            <w:hideMark/>
          </w:tcPr>
          <w:p w14:paraId="4C360740" w14:textId="77777777" w:rsidR="00C7243E" w:rsidRPr="00533EAC" w:rsidRDefault="00C7243E" w:rsidP="00C05A32">
            <w:pPr>
              <w:spacing w:line="200" w:lineRule="exact"/>
              <w:rPr>
                <w:rFonts w:ascii="Arial" w:eastAsia="Times New Roman" w:hAnsi="Arial" w:cs="Arial"/>
                <w:color w:val="000000" w:themeColor="text1"/>
                <w:sz w:val="16"/>
                <w:szCs w:val="16"/>
                <w:lang w:val="en-ZA" w:eastAsia="de-DE"/>
              </w:rPr>
            </w:pPr>
          </w:p>
        </w:tc>
        <w:tc>
          <w:tcPr>
            <w:tcW w:w="3794" w:type="dxa"/>
            <w:tcBorders>
              <w:top w:val="nil"/>
              <w:left w:val="nil"/>
              <w:bottom w:val="nil"/>
              <w:right w:val="nil"/>
            </w:tcBorders>
            <w:noWrap/>
            <w:vAlign w:val="center"/>
            <w:hideMark/>
          </w:tcPr>
          <w:p w14:paraId="4FC10E25" w14:textId="77777777" w:rsidR="00C7243E" w:rsidRPr="00533EAC" w:rsidRDefault="00C7243E" w:rsidP="00C05A32">
            <w:pPr>
              <w:spacing w:line="200" w:lineRule="exact"/>
              <w:jc w:val="both"/>
              <w:rPr>
                <w:rFonts w:ascii="Arial" w:eastAsia="Times New Roman" w:hAnsi="Arial" w:cs="Arial"/>
                <w:color w:val="000000" w:themeColor="text1"/>
                <w:sz w:val="16"/>
                <w:szCs w:val="16"/>
                <w:lang w:val="en-ZA" w:eastAsia="de-DE"/>
              </w:rPr>
            </w:pPr>
          </w:p>
        </w:tc>
        <w:tc>
          <w:tcPr>
            <w:tcW w:w="1418" w:type="dxa"/>
            <w:tcBorders>
              <w:top w:val="nil"/>
              <w:left w:val="nil"/>
              <w:bottom w:val="nil"/>
              <w:right w:val="nil"/>
            </w:tcBorders>
            <w:noWrap/>
            <w:vAlign w:val="center"/>
            <w:hideMark/>
          </w:tcPr>
          <w:p w14:paraId="3C4890DC" w14:textId="77777777" w:rsidR="00C7243E" w:rsidRPr="00533EAC" w:rsidRDefault="00C7243E" w:rsidP="00C05A32">
            <w:pPr>
              <w:spacing w:line="200" w:lineRule="exact"/>
              <w:rPr>
                <w:rFonts w:ascii="Arial" w:eastAsia="Times New Roman" w:hAnsi="Arial" w:cs="Arial"/>
                <w:color w:val="000000" w:themeColor="text1"/>
                <w:sz w:val="16"/>
                <w:szCs w:val="16"/>
                <w:lang w:val="en-ZA" w:eastAsia="de-DE"/>
              </w:rPr>
            </w:pPr>
          </w:p>
        </w:tc>
        <w:tc>
          <w:tcPr>
            <w:tcW w:w="1592" w:type="dxa"/>
            <w:tcBorders>
              <w:top w:val="nil"/>
              <w:left w:val="nil"/>
              <w:bottom w:val="nil"/>
              <w:right w:val="nil"/>
            </w:tcBorders>
            <w:noWrap/>
            <w:vAlign w:val="center"/>
            <w:hideMark/>
          </w:tcPr>
          <w:p w14:paraId="46EA2595" w14:textId="77777777" w:rsidR="00C7243E" w:rsidRPr="00533EAC" w:rsidRDefault="00C7243E" w:rsidP="00C05A32">
            <w:pPr>
              <w:spacing w:line="200" w:lineRule="exact"/>
              <w:rPr>
                <w:rFonts w:ascii="Arial" w:eastAsia="Times New Roman" w:hAnsi="Arial" w:cs="Arial"/>
                <w:color w:val="000000" w:themeColor="text1"/>
                <w:sz w:val="16"/>
                <w:szCs w:val="16"/>
                <w:highlight w:val="yellow"/>
                <w:lang w:val="en-ZA" w:eastAsia="de-DE"/>
              </w:rPr>
            </w:pPr>
          </w:p>
        </w:tc>
        <w:tc>
          <w:tcPr>
            <w:tcW w:w="1025" w:type="dxa"/>
            <w:tcBorders>
              <w:top w:val="nil"/>
              <w:left w:val="nil"/>
              <w:bottom w:val="nil"/>
              <w:right w:val="nil"/>
            </w:tcBorders>
          </w:tcPr>
          <w:p w14:paraId="1FB0A0EB" w14:textId="77777777" w:rsidR="00C7243E" w:rsidRPr="00533EAC" w:rsidRDefault="00C7243E" w:rsidP="00C05A32">
            <w:pPr>
              <w:spacing w:line="200" w:lineRule="exact"/>
              <w:rPr>
                <w:rFonts w:ascii="Arial" w:eastAsia="Times New Roman" w:hAnsi="Arial" w:cs="Arial"/>
                <w:color w:val="000000" w:themeColor="text1"/>
                <w:sz w:val="16"/>
                <w:szCs w:val="16"/>
                <w:highlight w:val="yellow"/>
                <w:lang w:val="en-ZA" w:eastAsia="de-DE"/>
              </w:rPr>
            </w:pPr>
          </w:p>
        </w:tc>
        <w:tc>
          <w:tcPr>
            <w:tcW w:w="960" w:type="dxa"/>
            <w:tcBorders>
              <w:top w:val="nil"/>
              <w:left w:val="nil"/>
              <w:bottom w:val="nil"/>
              <w:right w:val="nil"/>
            </w:tcBorders>
            <w:noWrap/>
            <w:vAlign w:val="center"/>
            <w:hideMark/>
          </w:tcPr>
          <w:p w14:paraId="561A1E67" w14:textId="77777777" w:rsidR="00C7243E" w:rsidRPr="00533EAC" w:rsidRDefault="00C7243E" w:rsidP="00C05A32">
            <w:pPr>
              <w:spacing w:line="200" w:lineRule="exact"/>
              <w:rPr>
                <w:rFonts w:ascii="Arial" w:eastAsia="Times New Roman" w:hAnsi="Arial" w:cs="Arial"/>
                <w:color w:val="000000" w:themeColor="text1"/>
                <w:sz w:val="16"/>
                <w:szCs w:val="16"/>
                <w:highlight w:val="yellow"/>
                <w:lang w:val="en-ZA" w:eastAsia="de-DE"/>
              </w:rPr>
            </w:pPr>
          </w:p>
        </w:tc>
        <w:tc>
          <w:tcPr>
            <w:tcW w:w="992" w:type="dxa"/>
            <w:tcBorders>
              <w:top w:val="nil"/>
              <w:left w:val="nil"/>
              <w:bottom w:val="nil"/>
              <w:right w:val="nil"/>
            </w:tcBorders>
            <w:vAlign w:val="center"/>
          </w:tcPr>
          <w:p w14:paraId="430D36C0" w14:textId="77777777" w:rsidR="00C7243E" w:rsidRPr="00533EAC" w:rsidRDefault="00C7243E" w:rsidP="00C05A32">
            <w:pPr>
              <w:spacing w:line="200" w:lineRule="exact"/>
              <w:rPr>
                <w:rFonts w:ascii="Arial" w:eastAsia="Times New Roman" w:hAnsi="Arial" w:cs="Arial"/>
                <w:color w:val="000000" w:themeColor="text1"/>
                <w:sz w:val="16"/>
                <w:szCs w:val="16"/>
                <w:lang w:val="en-ZA" w:eastAsia="de-DE"/>
              </w:rPr>
            </w:pPr>
          </w:p>
        </w:tc>
        <w:tc>
          <w:tcPr>
            <w:tcW w:w="850" w:type="dxa"/>
            <w:tcBorders>
              <w:top w:val="nil"/>
              <w:left w:val="nil"/>
              <w:bottom w:val="nil"/>
              <w:right w:val="nil"/>
            </w:tcBorders>
          </w:tcPr>
          <w:p w14:paraId="27AAF0D7" w14:textId="77777777" w:rsidR="00C7243E" w:rsidRPr="00533EAC" w:rsidRDefault="00C7243E" w:rsidP="00302BE0">
            <w:pPr>
              <w:spacing w:line="200" w:lineRule="exact"/>
              <w:rPr>
                <w:rFonts w:ascii="Arial" w:eastAsia="Times New Roman" w:hAnsi="Arial" w:cs="Arial"/>
                <w:color w:val="000000" w:themeColor="text1"/>
                <w:sz w:val="16"/>
                <w:szCs w:val="16"/>
                <w:highlight w:val="yellow"/>
                <w:lang w:val="en-ZA" w:eastAsia="de-DE"/>
              </w:rPr>
            </w:pPr>
          </w:p>
        </w:tc>
        <w:tc>
          <w:tcPr>
            <w:tcW w:w="850" w:type="dxa"/>
            <w:tcBorders>
              <w:top w:val="nil"/>
              <w:left w:val="nil"/>
              <w:bottom w:val="nil"/>
              <w:right w:val="nil"/>
            </w:tcBorders>
            <w:vAlign w:val="center"/>
          </w:tcPr>
          <w:p w14:paraId="6CFA3BB7" w14:textId="7E01D73B" w:rsidR="00C7243E" w:rsidRPr="00533EAC" w:rsidRDefault="00C7243E" w:rsidP="00C05A32">
            <w:pPr>
              <w:spacing w:line="200" w:lineRule="exact"/>
              <w:rPr>
                <w:rFonts w:ascii="Arial" w:eastAsia="Times New Roman" w:hAnsi="Arial" w:cs="Arial"/>
                <w:color w:val="000000" w:themeColor="text1"/>
                <w:sz w:val="16"/>
                <w:szCs w:val="16"/>
                <w:highlight w:val="yellow"/>
                <w:lang w:val="en-ZA" w:eastAsia="de-DE"/>
              </w:rPr>
            </w:pPr>
          </w:p>
        </w:tc>
      </w:tr>
      <w:tr w:rsidR="00533EAC" w:rsidRPr="00533EAC" w14:paraId="156AC437" w14:textId="77777777" w:rsidTr="00C05A32">
        <w:trPr>
          <w:trHeight w:val="221"/>
          <w:jc w:val="center"/>
        </w:trPr>
        <w:tc>
          <w:tcPr>
            <w:tcW w:w="851" w:type="dxa"/>
            <w:tcBorders>
              <w:top w:val="nil"/>
              <w:left w:val="nil"/>
              <w:bottom w:val="nil"/>
              <w:right w:val="nil"/>
            </w:tcBorders>
            <w:noWrap/>
            <w:vAlign w:val="center"/>
            <w:hideMark/>
          </w:tcPr>
          <w:p w14:paraId="47900C3E" w14:textId="77777777" w:rsidR="00C7243E" w:rsidRPr="00533EAC" w:rsidRDefault="00C7243E"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Pherd2</w:t>
            </w:r>
          </w:p>
        </w:tc>
        <w:tc>
          <w:tcPr>
            <w:tcW w:w="3794" w:type="dxa"/>
            <w:tcBorders>
              <w:top w:val="nil"/>
              <w:left w:val="nil"/>
              <w:bottom w:val="nil"/>
              <w:right w:val="nil"/>
            </w:tcBorders>
            <w:noWrap/>
            <w:vAlign w:val="center"/>
            <w:hideMark/>
          </w:tcPr>
          <w:p w14:paraId="7C327259" w14:textId="77777777" w:rsidR="00C7243E" w:rsidRPr="00533EAC" w:rsidRDefault="00C7243E" w:rsidP="00C05A32">
            <w:pPr>
              <w:spacing w:line="200" w:lineRule="exact"/>
              <w:jc w:val="both"/>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F-CGGATAATCTCACTCGTGGAA</w:t>
            </w:r>
          </w:p>
        </w:tc>
        <w:tc>
          <w:tcPr>
            <w:tcW w:w="1418" w:type="dxa"/>
            <w:tcBorders>
              <w:top w:val="nil"/>
              <w:left w:val="nil"/>
              <w:bottom w:val="nil"/>
              <w:right w:val="nil"/>
            </w:tcBorders>
            <w:noWrap/>
            <w:vAlign w:val="center"/>
            <w:hideMark/>
          </w:tcPr>
          <w:p w14:paraId="3659B9A4" w14:textId="77777777" w:rsidR="00C7243E" w:rsidRPr="00533EAC" w:rsidRDefault="00C7243E"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(AG)</w:t>
            </w:r>
            <w:r w:rsidRPr="00533EAC">
              <w:rPr>
                <w:rFonts w:ascii="Arial" w:eastAsia="Times New Roman" w:hAnsi="Arial" w:cs="Arial"/>
                <w:color w:val="000000" w:themeColor="text1"/>
                <w:sz w:val="16"/>
                <w:szCs w:val="16"/>
                <w:vertAlign w:val="subscript"/>
                <w:lang w:val="en-ZA" w:eastAsia="de-DE"/>
              </w:rPr>
              <w:t>17</w:t>
            </w:r>
          </w:p>
        </w:tc>
        <w:tc>
          <w:tcPr>
            <w:tcW w:w="1592" w:type="dxa"/>
            <w:tcBorders>
              <w:top w:val="nil"/>
              <w:left w:val="nil"/>
              <w:bottom w:val="nil"/>
              <w:right w:val="nil"/>
            </w:tcBorders>
            <w:noWrap/>
            <w:vAlign w:val="center"/>
            <w:hideMark/>
          </w:tcPr>
          <w:p w14:paraId="2B33A56A" w14:textId="5EAF8203" w:rsidR="00C7243E" w:rsidRPr="00533EAC" w:rsidRDefault="00C7243E" w:rsidP="00C05A32">
            <w:pPr>
              <w:spacing w:line="200" w:lineRule="exact"/>
              <w:rPr>
                <w:rFonts w:ascii="Arial" w:eastAsia="Times New Roman" w:hAnsi="Arial" w:cs="Arial"/>
                <w:color w:val="000000" w:themeColor="text1"/>
                <w:sz w:val="16"/>
                <w:szCs w:val="16"/>
                <w:highlight w:val="yellow"/>
                <w:lang w:val="en-ZA" w:eastAsia="de-DE"/>
              </w:rPr>
            </w:pPr>
            <w:r w:rsidRPr="00533EAC">
              <w:rPr>
                <w:rFonts w:ascii="Arial" w:eastAsia="Times New Roman" w:hAnsi="Arial" w:cs="Arial"/>
                <w:color w:val="000000" w:themeColor="text1"/>
                <w:sz w:val="16"/>
                <w:szCs w:val="16"/>
                <w:lang w:val="en-ZA" w:eastAsia="de-DE"/>
              </w:rPr>
              <w:t>92</w:t>
            </w:r>
            <w:r w:rsidR="001D1A0C" w:rsidRPr="00533EAC">
              <w:rPr>
                <w:rFonts w:ascii="Arial" w:eastAsia="Times New Roman" w:hAnsi="Arial" w:cs="Arial"/>
                <w:color w:val="000000" w:themeColor="text1"/>
                <w:sz w:val="16"/>
                <w:szCs w:val="16"/>
                <w:lang w:val="en-ZA" w:eastAsia="de-DE"/>
              </w:rPr>
              <w:t>–</w:t>
            </w:r>
            <w:r w:rsidRPr="00533EAC">
              <w:rPr>
                <w:rFonts w:ascii="Arial" w:eastAsia="Times New Roman" w:hAnsi="Arial" w:cs="Arial"/>
                <w:color w:val="000000" w:themeColor="text1"/>
                <w:sz w:val="16"/>
                <w:szCs w:val="16"/>
                <w:lang w:val="en-ZA" w:eastAsia="de-DE"/>
              </w:rPr>
              <w:t>120</w:t>
            </w:r>
          </w:p>
        </w:tc>
        <w:tc>
          <w:tcPr>
            <w:tcW w:w="1025" w:type="dxa"/>
            <w:tcBorders>
              <w:top w:val="nil"/>
              <w:left w:val="nil"/>
              <w:bottom w:val="nil"/>
              <w:right w:val="nil"/>
            </w:tcBorders>
          </w:tcPr>
          <w:p w14:paraId="775DAF5E" w14:textId="77777777" w:rsidR="00C7243E" w:rsidRPr="00533EAC" w:rsidRDefault="00C7243E"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52</w:t>
            </w:r>
          </w:p>
        </w:tc>
        <w:tc>
          <w:tcPr>
            <w:tcW w:w="960" w:type="dxa"/>
            <w:tcBorders>
              <w:top w:val="nil"/>
              <w:left w:val="nil"/>
              <w:bottom w:val="nil"/>
              <w:right w:val="nil"/>
            </w:tcBorders>
            <w:noWrap/>
            <w:vAlign w:val="center"/>
            <w:hideMark/>
          </w:tcPr>
          <w:p w14:paraId="601D9D83" w14:textId="77777777" w:rsidR="00C7243E" w:rsidRPr="00533EAC" w:rsidRDefault="00C7243E" w:rsidP="00C05A32">
            <w:pPr>
              <w:spacing w:line="200" w:lineRule="exact"/>
              <w:rPr>
                <w:rFonts w:ascii="Arial" w:eastAsia="Times New Roman" w:hAnsi="Arial" w:cs="Arial"/>
                <w:color w:val="000000" w:themeColor="text1"/>
                <w:sz w:val="16"/>
                <w:szCs w:val="16"/>
                <w:highlight w:val="yellow"/>
                <w:lang w:val="en-ZA" w:eastAsia="de-DE"/>
              </w:rPr>
            </w:pPr>
            <w:r w:rsidRPr="00533EAC">
              <w:rPr>
                <w:rFonts w:ascii="Arial" w:eastAsia="Times New Roman" w:hAnsi="Arial" w:cs="Arial"/>
                <w:color w:val="000000" w:themeColor="text1"/>
                <w:sz w:val="16"/>
                <w:szCs w:val="16"/>
                <w:lang w:val="en-ZA" w:eastAsia="de-DE"/>
              </w:rPr>
              <w:t>11</w:t>
            </w:r>
          </w:p>
        </w:tc>
        <w:tc>
          <w:tcPr>
            <w:tcW w:w="992" w:type="dxa"/>
            <w:tcBorders>
              <w:top w:val="nil"/>
              <w:left w:val="nil"/>
              <w:bottom w:val="nil"/>
              <w:right w:val="nil"/>
            </w:tcBorders>
            <w:vAlign w:val="center"/>
          </w:tcPr>
          <w:p w14:paraId="6B3087E0" w14:textId="77777777" w:rsidR="00C7243E" w:rsidRPr="00533EAC" w:rsidRDefault="00C7243E"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0.120</w:t>
            </w:r>
          </w:p>
        </w:tc>
        <w:tc>
          <w:tcPr>
            <w:tcW w:w="850" w:type="dxa"/>
            <w:tcBorders>
              <w:top w:val="nil"/>
              <w:left w:val="nil"/>
              <w:bottom w:val="nil"/>
              <w:right w:val="nil"/>
            </w:tcBorders>
          </w:tcPr>
          <w:p w14:paraId="1035585A" w14:textId="77777777" w:rsidR="00C7243E" w:rsidRPr="00533EAC" w:rsidRDefault="00C7243E" w:rsidP="00302BE0">
            <w:pPr>
              <w:spacing w:line="200" w:lineRule="exact"/>
              <w:rPr>
                <w:rFonts w:ascii="Arial" w:eastAsia="Times New Roman" w:hAnsi="Arial" w:cs="Arial"/>
                <w:color w:val="000000" w:themeColor="text1"/>
                <w:sz w:val="16"/>
                <w:szCs w:val="16"/>
                <w:lang w:val="en-ZA" w:eastAsia="de-DE"/>
              </w:rPr>
            </w:pPr>
          </w:p>
        </w:tc>
        <w:tc>
          <w:tcPr>
            <w:tcW w:w="850" w:type="dxa"/>
            <w:tcBorders>
              <w:top w:val="nil"/>
              <w:left w:val="nil"/>
              <w:bottom w:val="nil"/>
              <w:right w:val="nil"/>
            </w:tcBorders>
            <w:vAlign w:val="center"/>
          </w:tcPr>
          <w:p w14:paraId="3FD97BAF" w14:textId="63E62C10" w:rsidR="00C7243E" w:rsidRPr="00533EAC" w:rsidRDefault="00C7243E" w:rsidP="00C05A32">
            <w:pPr>
              <w:spacing w:line="200" w:lineRule="exact"/>
              <w:rPr>
                <w:rFonts w:ascii="Arial" w:eastAsia="Times New Roman" w:hAnsi="Arial" w:cs="Arial"/>
                <w:color w:val="000000" w:themeColor="text1"/>
                <w:sz w:val="16"/>
                <w:szCs w:val="16"/>
                <w:highlight w:val="yellow"/>
                <w:lang w:val="en-ZA" w:eastAsia="de-DE"/>
              </w:rPr>
            </w:pPr>
            <w:r w:rsidRPr="00533EAC">
              <w:rPr>
                <w:rFonts w:ascii="Arial" w:eastAsia="Times New Roman" w:hAnsi="Arial" w:cs="Arial"/>
                <w:color w:val="000000" w:themeColor="text1"/>
                <w:sz w:val="16"/>
                <w:szCs w:val="16"/>
                <w:lang w:val="en-ZA" w:eastAsia="de-DE"/>
              </w:rPr>
              <w:t>0.190</w:t>
            </w:r>
          </w:p>
        </w:tc>
      </w:tr>
      <w:tr w:rsidR="00533EAC" w:rsidRPr="00533EAC" w14:paraId="159DC7BD" w14:textId="77777777" w:rsidTr="00C05A32">
        <w:trPr>
          <w:trHeight w:val="221"/>
          <w:jc w:val="center"/>
        </w:trPr>
        <w:tc>
          <w:tcPr>
            <w:tcW w:w="851" w:type="dxa"/>
            <w:tcBorders>
              <w:top w:val="nil"/>
              <w:left w:val="nil"/>
              <w:bottom w:val="nil"/>
              <w:right w:val="nil"/>
            </w:tcBorders>
            <w:noWrap/>
            <w:vAlign w:val="center"/>
            <w:hideMark/>
          </w:tcPr>
          <w:p w14:paraId="3BF62B14" w14:textId="77777777" w:rsidR="00C7243E" w:rsidRPr="00533EAC" w:rsidRDefault="00C7243E" w:rsidP="00C05A32">
            <w:pPr>
              <w:spacing w:line="200" w:lineRule="exact"/>
              <w:rPr>
                <w:rFonts w:ascii="Arial" w:eastAsia="Times New Roman" w:hAnsi="Arial" w:cs="Arial"/>
                <w:color w:val="000000" w:themeColor="text1"/>
                <w:sz w:val="16"/>
                <w:szCs w:val="16"/>
                <w:lang w:val="en-ZA" w:eastAsia="de-DE"/>
              </w:rPr>
            </w:pPr>
          </w:p>
        </w:tc>
        <w:tc>
          <w:tcPr>
            <w:tcW w:w="3794" w:type="dxa"/>
            <w:tcBorders>
              <w:top w:val="nil"/>
              <w:left w:val="nil"/>
              <w:bottom w:val="nil"/>
              <w:right w:val="nil"/>
            </w:tcBorders>
            <w:noWrap/>
            <w:vAlign w:val="center"/>
            <w:hideMark/>
          </w:tcPr>
          <w:p w14:paraId="6DDF6179" w14:textId="77777777" w:rsidR="00C7243E" w:rsidRPr="00533EAC" w:rsidRDefault="00C7243E" w:rsidP="00C05A32">
            <w:pPr>
              <w:spacing w:line="200" w:lineRule="exact"/>
              <w:jc w:val="both"/>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R-GAGAATAGAATAGAGCACAATAACAA</w:t>
            </w:r>
          </w:p>
        </w:tc>
        <w:tc>
          <w:tcPr>
            <w:tcW w:w="1418" w:type="dxa"/>
            <w:tcBorders>
              <w:top w:val="nil"/>
              <w:left w:val="nil"/>
              <w:bottom w:val="nil"/>
              <w:right w:val="nil"/>
            </w:tcBorders>
            <w:noWrap/>
            <w:vAlign w:val="center"/>
            <w:hideMark/>
          </w:tcPr>
          <w:p w14:paraId="2DAB5C8A" w14:textId="77777777" w:rsidR="00C7243E" w:rsidRPr="00533EAC" w:rsidRDefault="00C7243E" w:rsidP="00C05A32">
            <w:pPr>
              <w:spacing w:line="200" w:lineRule="exact"/>
              <w:rPr>
                <w:rFonts w:ascii="Arial" w:eastAsia="Times New Roman" w:hAnsi="Arial" w:cs="Arial"/>
                <w:color w:val="000000" w:themeColor="text1"/>
                <w:sz w:val="16"/>
                <w:szCs w:val="16"/>
                <w:lang w:val="en-ZA" w:eastAsia="de-DE"/>
              </w:rPr>
            </w:pPr>
          </w:p>
        </w:tc>
        <w:tc>
          <w:tcPr>
            <w:tcW w:w="1592" w:type="dxa"/>
            <w:tcBorders>
              <w:top w:val="nil"/>
              <w:left w:val="nil"/>
              <w:bottom w:val="nil"/>
              <w:right w:val="nil"/>
            </w:tcBorders>
            <w:noWrap/>
            <w:vAlign w:val="center"/>
            <w:hideMark/>
          </w:tcPr>
          <w:p w14:paraId="2209DE18" w14:textId="77777777" w:rsidR="00C7243E" w:rsidRPr="00533EAC" w:rsidRDefault="00C7243E" w:rsidP="00C05A32">
            <w:pPr>
              <w:spacing w:line="200" w:lineRule="exact"/>
              <w:rPr>
                <w:rFonts w:ascii="Arial" w:eastAsia="Times New Roman" w:hAnsi="Arial" w:cs="Arial"/>
                <w:color w:val="000000" w:themeColor="text1"/>
                <w:sz w:val="16"/>
                <w:szCs w:val="16"/>
                <w:highlight w:val="yellow"/>
                <w:lang w:val="en-ZA" w:eastAsia="de-DE"/>
              </w:rPr>
            </w:pPr>
          </w:p>
        </w:tc>
        <w:tc>
          <w:tcPr>
            <w:tcW w:w="1025" w:type="dxa"/>
            <w:tcBorders>
              <w:top w:val="nil"/>
              <w:left w:val="nil"/>
              <w:bottom w:val="nil"/>
              <w:right w:val="nil"/>
            </w:tcBorders>
          </w:tcPr>
          <w:p w14:paraId="6F9A0EE4" w14:textId="77777777" w:rsidR="00C7243E" w:rsidRPr="00533EAC" w:rsidRDefault="00C7243E" w:rsidP="00C05A32">
            <w:pPr>
              <w:spacing w:line="200" w:lineRule="exact"/>
              <w:rPr>
                <w:rFonts w:ascii="Arial" w:eastAsia="Times New Roman" w:hAnsi="Arial" w:cs="Arial"/>
                <w:color w:val="000000" w:themeColor="text1"/>
                <w:sz w:val="16"/>
                <w:szCs w:val="16"/>
                <w:highlight w:val="yellow"/>
                <w:lang w:val="en-ZA" w:eastAsia="de-DE"/>
              </w:rPr>
            </w:pPr>
          </w:p>
        </w:tc>
        <w:tc>
          <w:tcPr>
            <w:tcW w:w="960" w:type="dxa"/>
            <w:tcBorders>
              <w:top w:val="nil"/>
              <w:left w:val="nil"/>
              <w:bottom w:val="nil"/>
              <w:right w:val="nil"/>
            </w:tcBorders>
            <w:noWrap/>
            <w:vAlign w:val="center"/>
            <w:hideMark/>
          </w:tcPr>
          <w:p w14:paraId="043A284F" w14:textId="77777777" w:rsidR="00C7243E" w:rsidRPr="00533EAC" w:rsidRDefault="00C7243E" w:rsidP="00C05A32">
            <w:pPr>
              <w:spacing w:line="200" w:lineRule="exact"/>
              <w:rPr>
                <w:rFonts w:ascii="Arial" w:eastAsia="Times New Roman" w:hAnsi="Arial" w:cs="Arial"/>
                <w:color w:val="000000" w:themeColor="text1"/>
                <w:sz w:val="16"/>
                <w:szCs w:val="16"/>
                <w:highlight w:val="yellow"/>
                <w:lang w:val="en-ZA" w:eastAsia="de-DE"/>
              </w:rPr>
            </w:pPr>
          </w:p>
        </w:tc>
        <w:tc>
          <w:tcPr>
            <w:tcW w:w="992" w:type="dxa"/>
            <w:tcBorders>
              <w:top w:val="nil"/>
              <w:left w:val="nil"/>
              <w:bottom w:val="nil"/>
              <w:right w:val="nil"/>
            </w:tcBorders>
            <w:vAlign w:val="center"/>
          </w:tcPr>
          <w:p w14:paraId="46290C55" w14:textId="77777777" w:rsidR="00C7243E" w:rsidRPr="00533EAC" w:rsidRDefault="00C7243E" w:rsidP="00C05A32">
            <w:pPr>
              <w:spacing w:line="200" w:lineRule="exact"/>
              <w:rPr>
                <w:rFonts w:ascii="Arial" w:eastAsia="Times New Roman" w:hAnsi="Arial" w:cs="Arial"/>
                <w:color w:val="000000" w:themeColor="text1"/>
                <w:sz w:val="16"/>
                <w:szCs w:val="16"/>
                <w:highlight w:val="yellow"/>
                <w:lang w:val="en-ZA" w:eastAsia="de-DE"/>
              </w:rPr>
            </w:pPr>
          </w:p>
        </w:tc>
        <w:tc>
          <w:tcPr>
            <w:tcW w:w="850" w:type="dxa"/>
            <w:tcBorders>
              <w:top w:val="nil"/>
              <w:left w:val="nil"/>
              <w:bottom w:val="nil"/>
              <w:right w:val="nil"/>
            </w:tcBorders>
          </w:tcPr>
          <w:p w14:paraId="1C9C1A1F" w14:textId="77777777" w:rsidR="00C7243E" w:rsidRPr="00533EAC" w:rsidRDefault="00C7243E" w:rsidP="00302BE0">
            <w:pPr>
              <w:spacing w:line="200" w:lineRule="exact"/>
              <w:rPr>
                <w:rFonts w:ascii="Arial" w:eastAsia="Times New Roman" w:hAnsi="Arial" w:cs="Arial"/>
                <w:color w:val="000000" w:themeColor="text1"/>
                <w:sz w:val="16"/>
                <w:szCs w:val="16"/>
                <w:highlight w:val="yellow"/>
                <w:lang w:val="en-ZA" w:eastAsia="de-DE"/>
              </w:rPr>
            </w:pPr>
          </w:p>
        </w:tc>
        <w:tc>
          <w:tcPr>
            <w:tcW w:w="850" w:type="dxa"/>
            <w:tcBorders>
              <w:top w:val="nil"/>
              <w:left w:val="nil"/>
              <w:bottom w:val="nil"/>
              <w:right w:val="nil"/>
            </w:tcBorders>
            <w:vAlign w:val="center"/>
          </w:tcPr>
          <w:p w14:paraId="2FCAE41C" w14:textId="698B35CE" w:rsidR="00C7243E" w:rsidRPr="00533EAC" w:rsidRDefault="00C7243E" w:rsidP="00C05A32">
            <w:pPr>
              <w:spacing w:line="200" w:lineRule="exact"/>
              <w:rPr>
                <w:rFonts w:ascii="Arial" w:eastAsia="Times New Roman" w:hAnsi="Arial" w:cs="Arial"/>
                <w:color w:val="000000" w:themeColor="text1"/>
                <w:sz w:val="16"/>
                <w:szCs w:val="16"/>
                <w:highlight w:val="yellow"/>
                <w:lang w:val="en-ZA" w:eastAsia="de-DE"/>
              </w:rPr>
            </w:pPr>
          </w:p>
        </w:tc>
      </w:tr>
      <w:tr w:rsidR="00533EAC" w:rsidRPr="00533EAC" w14:paraId="6468B41B" w14:textId="77777777" w:rsidTr="00C05A32">
        <w:trPr>
          <w:trHeight w:val="221"/>
          <w:jc w:val="center"/>
        </w:trPr>
        <w:tc>
          <w:tcPr>
            <w:tcW w:w="851" w:type="dxa"/>
            <w:tcBorders>
              <w:top w:val="nil"/>
              <w:left w:val="nil"/>
              <w:bottom w:val="nil"/>
              <w:right w:val="nil"/>
            </w:tcBorders>
            <w:noWrap/>
            <w:vAlign w:val="center"/>
          </w:tcPr>
          <w:p w14:paraId="61044EA9" w14:textId="77777777" w:rsidR="00C7243E" w:rsidRPr="00533EAC" w:rsidRDefault="00C7243E" w:rsidP="00C05A32">
            <w:pPr>
              <w:spacing w:line="200" w:lineRule="exact"/>
              <w:rPr>
                <w:rFonts w:ascii="Arial" w:eastAsia="Times New Roman" w:hAnsi="Arial" w:cs="Arial"/>
                <w:color w:val="000000" w:themeColor="text1"/>
                <w:sz w:val="16"/>
                <w:szCs w:val="16"/>
                <w:lang w:val="en-ZA" w:eastAsia="de-DE"/>
              </w:rPr>
            </w:pPr>
          </w:p>
        </w:tc>
        <w:tc>
          <w:tcPr>
            <w:tcW w:w="3794" w:type="dxa"/>
            <w:tcBorders>
              <w:top w:val="nil"/>
              <w:left w:val="nil"/>
              <w:bottom w:val="nil"/>
              <w:right w:val="nil"/>
            </w:tcBorders>
            <w:noWrap/>
            <w:vAlign w:val="center"/>
          </w:tcPr>
          <w:p w14:paraId="7D4AA1A7" w14:textId="77777777" w:rsidR="00C7243E" w:rsidRPr="00533EAC" w:rsidRDefault="00C7243E" w:rsidP="00C05A32">
            <w:pPr>
              <w:spacing w:line="200" w:lineRule="exact"/>
              <w:jc w:val="both"/>
              <w:rPr>
                <w:rFonts w:ascii="Arial" w:eastAsia="Times New Roman" w:hAnsi="Arial" w:cs="Arial"/>
                <w:color w:val="000000" w:themeColor="text1"/>
                <w:sz w:val="16"/>
                <w:szCs w:val="16"/>
                <w:lang w:val="en-ZA" w:eastAsia="de-DE"/>
              </w:rPr>
            </w:pPr>
          </w:p>
        </w:tc>
        <w:tc>
          <w:tcPr>
            <w:tcW w:w="1418" w:type="dxa"/>
            <w:tcBorders>
              <w:top w:val="nil"/>
              <w:left w:val="nil"/>
              <w:bottom w:val="nil"/>
              <w:right w:val="nil"/>
            </w:tcBorders>
            <w:noWrap/>
            <w:vAlign w:val="center"/>
          </w:tcPr>
          <w:p w14:paraId="332871F7" w14:textId="77777777" w:rsidR="00C7243E" w:rsidRPr="00533EAC" w:rsidRDefault="00C7243E" w:rsidP="00C05A32">
            <w:pPr>
              <w:spacing w:line="200" w:lineRule="exact"/>
              <w:rPr>
                <w:rFonts w:ascii="Arial" w:eastAsia="Times New Roman" w:hAnsi="Arial" w:cs="Arial"/>
                <w:color w:val="000000" w:themeColor="text1"/>
                <w:sz w:val="16"/>
                <w:szCs w:val="16"/>
                <w:lang w:val="en-ZA" w:eastAsia="de-DE"/>
              </w:rPr>
            </w:pPr>
          </w:p>
        </w:tc>
        <w:tc>
          <w:tcPr>
            <w:tcW w:w="1592" w:type="dxa"/>
            <w:tcBorders>
              <w:top w:val="nil"/>
              <w:left w:val="nil"/>
              <w:bottom w:val="nil"/>
              <w:right w:val="nil"/>
            </w:tcBorders>
            <w:noWrap/>
            <w:vAlign w:val="center"/>
          </w:tcPr>
          <w:p w14:paraId="31A8D298" w14:textId="77777777" w:rsidR="00C7243E" w:rsidRPr="00533EAC" w:rsidRDefault="00C7243E" w:rsidP="00C05A32">
            <w:pPr>
              <w:spacing w:line="200" w:lineRule="exact"/>
              <w:rPr>
                <w:rFonts w:ascii="Arial" w:eastAsia="Times New Roman" w:hAnsi="Arial" w:cs="Arial"/>
                <w:color w:val="000000" w:themeColor="text1"/>
                <w:sz w:val="16"/>
                <w:szCs w:val="16"/>
                <w:highlight w:val="yellow"/>
                <w:lang w:val="en-ZA" w:eastAsia="de-DE"/>
              </w:rPr>
            </w:pPr>
          </w:p>
        </w:tc>
        <w:tc>
          <w:tcPr>
            <w:tcW w:w="1025" w:type="dxa"/>
            <w:tcBorders>
              <w:top w:val="nil"/>
              <w:left w:val="nil"/>
              <w:bottom w:val="nil"/>
              <w:right w:val="nil"/>
            </w:tcBorders>
          </w:tcPr>
          <w:p w14:paraId="34A3DE19" w14:textId="77777777" w:rsidR="00C7243E" w:rsidRPr="00533EAC" w:rsidRDefault="00C7243E" w:rsidP="00C05A32">
            <w:pPr>
              <w:spacing w:line="200" w:lineRule="exact"/>
              <w:rPr>
                <w:rFonts w:ascii="Arial" w:eastAsia="Times New Roman" w:hAnsi="Arial" w:cs="Arial"/>
                <w:color w:val="000000" w:themeColor="text1"/>
                <w:sz w:val="16"/>
                <w:szCs w:val="16"/>
                <w:highlight w:val="yellow"/>
                <w:lang w:val="en-ZA" w:eastAsia="de-DE"/>
              </w:rPr>
            </w:pPr>
          </w:p>
        </w:tc>
        <w:tc>
          <w:tcPr>
            <w:tcW w:w="960" w:type="dxa"/>
            <w:tcBorders>
              <w:top w:val="nil"/>
              <w:left w:val="nil"/>
              <w:bottom w:val="nil"/>
              <w:right w:val="nil"/>
            </w:tcBorders>
            <w:noWrap/>
            <w:vAlign w:val="center"/>
          </w:tcPr>
          <w:p w14:paraId="0D8C267F" w14:textId="77777777" w:rsidR="00C7243E" w:rsidRPr="00533EAC" w:rsidRDefault="00C7243E" w:rsidP="00C05A32">
            <w:pPr>
              <w:spacing w:line="200" w:lineRule="exact"/>
              <w:rPr>
                <w:rFonts w:ascii="Arial" w:eastAsia="Times New Roman" w:hAnsi="Arial" w:cs="Arial"/>
                <w:color w:val="000000" w:themeColor="text1"/>
                <w:sz w:val="16"/>
                <w:szCs w:val="16"/>
                <w:highlight w:val="yellow"/>
                <w:lang w:val="en-ZA" w:eastAsia="de-DE"/>
              </w:rPr>
            </w:pPr>
          </w:p>
        </w:tc>
        <w:tc>
          <w:tcPr>
            <w:tcW w:w="992" w:type="dxa"/>
            <w:tcBorders>
              <w:top w:val="nil"/>
              <w:left w:val="nil"/>
              <w:bottom w:val="nil"/>
              <w:right w:val="nil"/>
            </w:tcBorders>
            <w:vAlign w:val="center"/>
          </w:tcPr>
          <w:p w14:paraId="54AD9F91" w14:textId="77777777" w:rsidR="00C7243E" w:rsidRPr="00533EAC" w:rsidRDefault="00C7243E" w:rsidP="00C05A32">
            <w:pPr>
              <w:spacing w:line="200" w:lineRule="exact"/>
              <w:rPr>
                <w:rFonts w:ascii="Arial" w:eastAsia="Times New Roman" w:hAnsi="Arial" w:cs="Arial"/>
                <w:color w:val="000000" w:themeColor="text1"/>
                <w:sz w:val="16"/>
                <w:szCs w:val="16"/>
                <w:highlight w:val="yellow"/>
                <w:lang w:val="en-ZA" w:eastAsia="de-DE"/>
              </w:rPr>
            </w:pPr>
          </w:p>
        </w:tc>
        <w:tc>
          <w:tcPr>
            <w:tcW w:w="850" w:type="dxa"/>
            <w:tcBorders>
              <w:top w:val="nil"/>
              <w:left w:val="nil"/>
              <w:bottom w:val="nil"/>
              <w:right w:val="nil"/>
            </w:tcBorders>
          </w:tcPr>
          <w:p w14:paraId="21CC695D" w14:textId="77777777" w:rsidR="00C7243E" w:rsidRPr="00533EAC" w:rsidRDefault="00C7243E" w:rsidP="00302BE0">
            <w:pPr>
              <w:spacing w:line="200" w:lineRule="exact"/>
              <w:rPr>
                <w:rFonts w:ascii="Arial" w:eastAsia="Times New Roman" w:hAnsi="Arial" w:cs="Arial"/>
                <w:color w:val="000000" w:themeColor="text1"/>
                <w:sz w:val="16"/>
                <w:szCs w:val="16"/>
                <w:highlight w:val="yellow"/>
                <w:lang w:val="en-ZA" w:eastAsia="de-DE"/>
              </w:rPr>
            </w:pPr>
          </w:p>
        </w:tc>
        <w:tc>
          <w:tcPr>
            <w:tcW w:w="850" w:type="dxa"/>
            <w:tcBorders>
              <w:top w:val="nil"/>
              <w:left w:val="nil"/>
              <w:bottom w:val="nil"/>
              <w:right w:val="nil"/>
            </w:tcBorders>
            <w:vAlign w:val="center"/>
          </w:tcPr>
          <w:p w14:paraId="23CF57D1" w14:textId="2BA2DB86" w:rsidR="00C7243E" w:rsidRPr="00533EAC" w:rsidRDefault="00C7243E" w:rsidP="00C05A32">
            <w:pPr>
              <w:spacing w:line="200" w:lineRule="exact"/>
              <w:rPr>
                <w:rFonts w:ascii="Arial" w:eastAsia="Times New Roman" w:hAnsi="Arial" w:cs="Arial"/>
                <w:color w:val="000000" w:themeColor="text1"/>
                <w:sz w:val="16"/>
                <w:szCs w:val="16"/>
                <w:highlight w:val="yellow"/>
                <w:lang w:val="en-ZA" w:eastAsia="de-DE"/>
              </w:rPr>
            </w:pPr>
          </w:p>
        </w:tc>
      </w:tr>
      <w:tr w:rsidR="00533EAC" w:rsidRPr="00533EAC" w14:paraId="592F8EBD" w14:textId="77777777" w:rsidTr="00C05A32">
        <w:trPr>
          <w:trHeight w:val="221"/>
          <w:jc w:val="center"/>
        </w:trPr>
        <w:tc>
          <w:tcPr>
            <w:tcW w:w="851" w:type="dxa"/>
            <w:tcBorders>
              <w:top w:val="nil"/>
              <w:left w:val="nil"/>
              <w:bottom w:val="nil"/>
              <w:right w:val="nil"/>
            </w:tcBorders>
            <w:noWrap/>
            <w:vAlign w:val="center"/>
          </w:tcPr>
          <w:p w14:paraId="1FD25F14" w14:textId="77777777" w:rsidR="00C7243E" w:rsidRPr="00533EAC" w:rsidRDefault="00C7243E"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Pherd3</w:t>
            </w:r>
          </w:p>
        </w:tc>
        <w:tc>
          <w:tcPr>
            <w:tcW w:w="3794" w:type="dxa"/>
            <w:tcBorders>
              <w:top w:val="nil"/>
              <w:left w:val="nil"/>
              <w:bottom w:val="nil"/>
              <w:right w:val="nil"/>
            </w:tcBorders>
            <w:noWrap/>
            <w:vAlign w:val="center"/>
          </w:tcPr>
          <w:p w14:paraId="649651FD" w14:textId="77777777" w:rsidR="00C7243E" w:rsidRPr="00533EAC" w:rsidRDefault="00C7243E" w:rsidP="00C05A32">
            <w:pPr>
              <w:spacing w:line="200" w:lineRule="exact"/>
              <w:jc w:val="both"/>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F-GAGTTGACTGAATTCCCATCG</w:t>
            </w:r>
          </w:p>
        </w:tc>
        <w:tc>
          <w:tcPr>
            <w:tcW w:w="1418" w:type="dxa"/>
            <w:tcBorders>
              <w:top w:val="nil"/>
              <w:left w:val="nil"/>
              <w:bottom w:val="nil"/>
              <w:right w:val="nil"/>
            </w:tcBorders>
            <w:noWrap/>
            <w:vAlign w:val="center"/>
          </w:tcPr>
          <w:p w14:paraId="75D43AF0" w14:textId="77777777" w:rsidR="00C7243E" w:rsidRPr="00533EAC" w:rsidRDefault="00C7243E"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(TAG)</w:t>
            </w:r>
            <w:r w:rsidRPr="00533EAC">
              <w:rPr>
                <w:rFonts w:ascii="Arial" w:eastAsia="Times New Roman" w:hAnsi="Arial" w:cs="Arial"/>
                <w:color w:val="000000" w:themeColor="text1"/>
                <w:sz w:val="16"/>
                <w:szCs w:val="16"/>
                <w:vertAlign w:val="subscript"/>
                <w:lang w:val="en-ZA" w:eastAsia="de-DE"/>
              </w:rPr>
              <w:t>12</w:t>
            </w:r>
          </w:p>
        </w:tc>
        <w:tc>
          <w:tcPr>
            <w:tcW w:w="1592" w:type="dxa"/>
            <w:tcBorders>
              <w:top w:val="nil"/>
              <w:left w:val="nil"/>
              <w:bottom w:val="nil"/>
              <w:right w:val="nil"/>
            </w:tcBorders>
            <w:noWrap/>
            <w:vAlign w:val="center"/>
          </w:tcPr>
          <w:p w14:paraId="69E5F5D5" w14:textId="0E1B8A62" w:rsidR="00C7243E" w:rsidRPr="00533EAC" w:rsidRDefault="00C7243E"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93</w:t>
            </w:r>
            <w:r w:rsidR="001D1A0C" w:rsidRPr="00533EAC">
              <w:rPr>
                <w:rFonts w:ascii="Arial" w:eastAsia="Times New Roman" w:hAnsi="Arial" w:cs="Arial"/>
                <w:color w:val="000000" w:themeColor="text1"/>
                <w:sz w:val="16"/>
                <w:szCs w:val="16"/>
                <w:lang w:val="en-ZA" w:eastAsia="de-DE"/>
              </w:rPr>
              <w:t>–</w:t>
            </w:r>
            <w:r w:rsidRPr="00533EAC">
              <w:rPr>
                <w:rFonts w:ascii="Arial" w:eastAsia="Times New Roman" w:hAnsi="Arial" w:cs="Arial"/>
                <w:color w:val="000000" w:themeColor="text1"/>
                <w:sz w:val="16"/>
                <w:szCs w:val="16"/>
                <w:lang w:val="en-ZA" w:eastAsia="de-DE"/>
              </w:rPr>
              <w:t>171</w:t>
            </w:r>
          </w:p>
        </w:tc>
        <w:tc>
          <w:tcPr>
            <w:tcW w:w="1025" w:type="dxa"/>
            <w:tcBorders>
              <w:top w:val="nil"/>
              <w:left w:val="nil"/>
              <w:bottom w:val="nil"/>
              <w:right w:val="nil"/>
            </w:tcBorders>
          </w:tcPr>
          <w:p w14:paraId="3614D4E8" w14:textId="77777777" w:rsidR="00C7243E" w:rsidRPr="00533EAC" w:rsidRDefault="00C7243E"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60</w:t>
            </w:r>
          </w:p>
        </w:tc>
        <w:tc>
          <w:tcPr>
            <w:tcW w:w="960" w:type="dxa"/>
            <w:tcBorders>
              <w:top w:val="nil"/>
              <w:left w:val="nil"/>
              <w:bottom w:val="nil"/>
              <w:right w:val="nil"/>
            </w:tcBorders>
            <w:noWrap/>
            <w:vAlign w:val="center"/>
          </w:tcPr>
          <w:p w14:paraId="58388AAB" w14:textId="77777777" w:rsidR="00C7243E" w:rsidRPr="00533EAC" w:rsidRDefault="00C7243E"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17</w:t>
            </w:r>
          </w:p>
        </w:tc>
        <w:tc>
          <w:tcPr>
            <w:tcW w:w="992" w:type="dxa"/>
            <w:tcBorders>
              <w:top w:val="nil"/>
              <w:left w:val="nil"/>
              <w:bottom w:val="nil"/>
              <w:right w:val="nil"/>
            </w:tcBorders>
            <w:vAlign w:val="center"/>
          </w:tcPr>
          <w:p w14:paraId="0C2C996B" w14:textId="77777777" w:rsidR="00C7243E" w:rsidRPr="00533EAC" w:rsidRDefault="00C7243E"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0.561</w:t>
            </w:r>
          </w:p>
        </w:tc>
        <w:tc>
          <w:tcPr>
            <w:tcW w:w="850" w:type="dxa"/>
            <w:tcBorders>
              <w:top w:val="nil"/>
              <w:left w:val="nil"/>
              <w:bottom w:val="nil"/>
              <w:right w:val="nil"/>
            </w:tcBorders>
          </w:tcPr>
          <w:p w14:paraId="374C06B6" w14:textId="77777777" w:rsidR="00C7243E" w:rsidRPr="00533EAC" w:rsidRDefault="00C7243E" w:rsidP="00302BE0">
            <w:pPr>
              <w:spacing w:line="200" w:lineRule="exact"/>
              <w:rPr>
                <w:rFonts w:ascii="Arial" w:eastAsia="Times New Roman" w:hAnsi="Arial" w:cs="Arial"/>
                <w:color w:val="000000" w:themeColor="text1"/>
                <w:sz w:val="16"/>
                <w:szCs w:val="16"/>
                <w:lang w:val="en-ZA" w:eastAsia="de-DE"/>
              </w:rPr>
            </w:pPr>
          </w:p>
        </w:tc>
        <w:tc>
          <w:tcPr>
            <w:tcW w:w="850" w:type="dxa"/>
            <w:tcBorders>
              <w:top w:val="nil"/>
              <w:left w:val="nil"/>
              <w:bottom w:val="nil"/>
              <w:right w:val="nil"/>
            </w:tcBorders>
            <w:vAlign w:val="center"/>
          </w:tcPr>
          <w:p w14:paraId="26064270" w14:textId="39F2EBC7" w:rsidR="00C7243E" w:rsidRPr="00533EAC" w:rsidRDefault="00C7243E"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0.757</w:t>
            </w:r>
          </w:p>
        </w:tc>
      </w:tr>
      <w:tr w:rsidR="00C7243E" w:rsidRPr="00533EAC" w14:paraId="675FF31E" w14:textId="77777777" w:rsidTr="00C05A32">
        <w:trPr>
          <w:trHeight w:val="221"/>
          <w:jc w:val="center"/>
        </w:trPr>
        <w:tc>
          <w:tcPr>
            <w:tcW w:w="851" w:type="dxa"/>
            <w:tcBorders>
              <w:top w:val="nil"/>
              <w:left w:val="nil"/>
              <w:bottom w:val="single" w:sz="4" w:space="0" w:color="auto"/>
              <w:right w:val="nil"/>
            </w:tcBorders>
            <w:noWrap/>
            <w:vAlign w:val="center"/>
          </w:tcPr>
          <w:p w14:paraId="1083D084" w14:textId="77777777" w:rsidR="00C7243E" w:rsidRPr="00533EAC" w:rsidRDefault="00C7243E" w:rsidP="00C05A32">
            <w:pPr>
              <w:spacing w:line="200" w:lineRule="exact"/>
              <w:rPr>
                <w:rFonts w:ascii="Arial" w:eastAsia="Times New Roman" w:hAnsi="Arial" w:cs="Arial"/>
                <w:color w:val="000000" w:themeColor="text1"/>
                <w:sz w:val="16"/>
                <w:szCs w:val="16"/>
                <w:lang w:val="en-ZA" w:eastAsia="de-DE"/>
              </w:rPr>
            </w:pPr>
          </w:p>
        </w:tc>
        <w:tc>
          <w:tcPr>
            <w:tcW w:w="3794" w:type="dxa"/>
            <w:tcBorders>
              <w:top w:val="nil"/>
              <w:left w:val="nil"/>
              <w:bottom w:val="single" w:sz="4" w:space="0" w:color="auto"/>
              <w:right w:val="nil"/>
            </w:tcBorders>
            <w:noWrap/>
            <w:vAlign w:val="center"/>
          </w:tcPr>
          <w:p w14:paraId="2BE301FD" w14:textId="77777777" w:rsidR="00C7243E" w:rsidRPr="00533EAC" w:rsidRDefault="00C7243E" w:rsidP="00C05A32">
            <w:pPr>
              <w:spacing w:line="200" w:lineRule="exact"/>
              <w:jc w:val="both"/>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R-TCACAGTTGCTTCATATTCGC</w:t>
            </w:r>
          </w:p>
        </w:tc>
        <w:tc>
          <w:tcPr>
            <w:tcW w:w="1418" w:type="dxa"/>
            <w:tcBorders>
              <w:top w:val="nil"/>
              <w:left w:val="nil"/>
              <w:bottom w:val="single" w:sz="4" w:space="0" w:color="auto"/>
              <w:right w:val="nil"/>
            </w:tcBorders>
            <w:noWrap/>
            <w:vAlign w:val="center"/>
          </w:tcPr>
          <w:p w14:paraId="3ED01CEE" w14:textId="77777777" w:rsidR="00C7243E" w:rsidRPr="00533EAC" w:rsidRDefault="00C7243E" w:rsidP="00C05A32">
            <w:pPr>
              <w:spacing w:line="200" w:lineRule="exact"/>
              <w:rPr>
                <w:rFonts w:ascii="Arial" w:eastAsia="Times New Roman" w:hAnsi="Arial" w:cs="Arial"/>
                <w:color w:val="000000" w:themeColor="text1"/>
                <w:sz w:val="16"/>
                <w:szCs w:val="16"/>
                <w:lang w:val="en-ZA" w:eastAsia="de-DE"/>
              </w:rPr>
            </w:pPr>
          </w:p>
        </w:tc>
        <w:tc>
          <w:tcPr>
            <w:tcW w:w="1592" w:type="dxa"/>
            <w:tcBorders>
              <w:top w:val="nil"/>
              <w:left w:val="nil"/>
              <w:bottom w:val="single" w:sz="4" w:space="0" w:color="auto"/>
              <w:right w:val="nil"/>
            </w:tcBorders>
            <w:noWrap/>
            <w:vAlign w:val="center"/>
          </w:tcPr>
          <w:p w14:paraId="50F29E04" w14:textId="77777777" w:rsidR="00C7243E" w:rsidRPr="00533EAC" w:rsidRDefault="00C7243E" w:rsidP="00C05A32">
            <w:pPr>
              <w:spacing w:line="200" w:lineRule="exact"/>
              <w:rPr>
                <w:rFonts w:ascii="Arial" w:eastAsia="Times New Roman" w:hAnsi="Arial" w:cs="Arial"/>
                <w:color w:val="000000" w:themeColor="text1"/>
                <w:sz w:val="16"/>
                <w:szCs w:val="16"/>
                <w:lang w:val="en-ZA" w:eastAsia="de-DE"/>
              </w:rPr>
            </w:pPr>
          </w:p>
        </w:tc>
        <w:tc>
          <w:tcPr>
            <w:tcW w:w="1025" w:type="dxa"/>
            <w:tcBorders>
              <w:top w:val="nil"/>
              <w:left w:val="nil"/>
              <w:bottom w:val="single" w:sz="4" w:space="0" w:color="auto"/>
              <w:right w:val="nil"/>
            </w:tcBorders>
          </w:tcPr>
          <w:p w14:paraId="06A4EB34" w14:textId="77777777" w:rsidR="00C7243E" w:rsidRPr="00533EAC" w:rsidRDefault="00C7243E" w:rsidP="00C05A32">
            <w:pPr>
              <w:spacing w:line="200" w:lineRule="exact"/>
              <w:rPr>
                <w:rFonts w:ascii="Arial" w:eastAsia="Times New Roman" w:hAnsi="Arial" w:cs="Arial"/>
                <w:color w:val="000000" w:themeColor="text1"/>
                <w:sz w:val="16"/>
                <w:szCs w:val="16"/>
                <w:lang w:val="en-ZA" w:eastAsia="de-DE"/>
              </w:rPr>
            </w:pPr>
          </w:p>
        </w:tc>
        <w:tc>
          <w:tcPr>
            <w:tcW w:w="960" w:type="dxa"/>
            <w:tcBorders>
              <w:top w:val="nil"/>
              <w:left w:val="nil"/>
              <w:bottom w:val="single" w:sz="4" w:space="0" w:color="auto"/>
              <w:right w:val="nil"/>
            </w:tcBorders>
            <w:noWrap/>
            <w:vAlign w:val="center"/>
          </w:tcPr>
          <w:p w14:paraId="7FDFE501" w14:textId="77777777" w:rsidR="00C7243E" w:rsidRPr="00533EAC" w:rsidRDefault="00C7243E" w:rsidP="00C05A32">
            <w:pPr>
              <w:spacing w:line="200" w:lineRule="exact"/>
              <w:rPr>
                <w:rFonts w:ascii="Arial" w:eastAsia="Times New Roman" w:hAnsi="Arial" w:cs="Arial"/>
                <w:color w:val="000000" w:themeColor="text1"/>
                <w:sz w:val="16"/>
                <w:szCs w:val="16"/>
                <w:lang w:val="en-ZA" w:eastAsia="de-DE"/>
              </w:rPr>
            </w:pPr>
          </w:p>
        </w:tc>
        <w:tc>
          <w:tcPr>
            <w:tcW w:w="992" w:type="dxa"/>
            <w:tcBorders>
              <w:top w:val="nil"/>
              <w:left w:val="nil"/>
              <w:bottom w:val="single" w:sz="4" w:space="0" w:color="auto"/>
              <w:right w:val="nil"/>
            </w:tcBorders>
            <w:vAlign w:val="center"/>
          </w:tcPr>
          <w:p w14:paraId="4B6163A1" w14:textId="77777777" w:rsidR="00C7243E" w:rsidRPr="00533EAC" w:rsidRDefault="00C7243E" w:rsidP="00C05A32">
            <w:pPr>
              <w:spacing w:line="200" w:lineRule="exact"/>
              <w:rPr>
                <w:rFonts w:ascii="Arial" w:eastAsia="Times New Roman" w:hAnsi="Arial" w:cs="Arial"/>
                <w:color w:val="000000" w:themeColor="text1"/>
                <w:sz w:val="16"/>
                <w:szCs w:val="16"/>
                <w:lang w:val="en-ZA" w:eastAsia="de-DE"/>
              </w:rPr>
            </w:pPr>
          </w:p>
        </w:tc>
        <w:tc>
          <w:tcPr>
            <w:tcW w:w="850" w:type="dxa"/>
            <w:tcBorders>
              <w:top w:val="nil"/>
              <w:left w:val="nil"/>
              <w:bottom w:val="single" w:sz="4" w:space="0" w:color="auto"/>
              <w:right w:val="nil"/>
            </w:tcBorders>
          </w:tcPr>
          <w:p w14:paraId="72E4FD04" w14:textId="77777777" w:rsidR="00C7243E" w:rsidRPr="00533EAC" w:rsidRDefault="00C7243E" w:rsidP="00302BE0">
            <w:pPr>
              <w:spacing w:line="200" w:lineRule="exact"/>
              <w:rPr>
                <w:rFonts w:ascii="Arial" w:eastAsia="Times New Roman" w:hAnsi="Arial" w:cs="Arial"/>
                <w:color w:val="000000" w:themeColor="text1"/>
                <w:sz w:val="16"/>
                <w:szCs w:val="16"/>
                <w:lang w:val="en-ZA" w:eastAsia="de-DE"/>
              </w:rPr>
            </w:pPr>
          </w:p>
        </w:tc>
        <w:tc>
          <w:tcPr>
            <w:tcW w:w="850" w:type="dxa"/>
            <w:tcBorders>
              <w:top w:val="nil"/>
              <w:left w:val="nil"/>
              <w:bottom w:val="single" w:sz="4" w:space="0" w:color="auto"/>
              <w:right w:val="nil"/>
            </w:tcBorders>
            <w:vAlign w:val="center"/>
          </w:tcPr>
          <w:p w14:paraId="7237F286" w14:textId="7AAA50A6" w:rsidR="00C7243E" w:rsidRPr="00533EAC" w:rsidRDefault="00C7243E" w:rsidP="00C05A32">
            <w:pPr>
              <w:spacing w:line="200" w:lineRule="exact"/>
              <w:rPr>
                <w:rFonts w:ascii="Arial" w:eastAsia="Times New Roman" w:hAnsi="Arial" w:cs="Arial"/>
                <w:color w:val="000000" w:themeColor="text1"/>
                <w:sz w:val="16"/>
                <w:szCs w:val="16"/>
                <w:lang w:val="en-ZA" w:eastAsia="de-DE"/>
              </w:rPr>
            </w:pPr>
          </w:p>
        </w:tc>
      </w:tr>
    </w:tbl>
    <w:p w14:paraId="5D3369F6" w14:textId="77777777" w:rsidR="005633D6" w:rsidRPr="00533EAC" w:rsidRDefault="005633D6" w:rsidP="00C05A32">
      <w:pPr>
        <w:spacing w:after="0" w:line="200" w:lineRule="exact"/>
        <w:rPr>
          <w:rFonts w:ascii="Arial" w:eastAsia="Calibri" w:hAnsi="Arial" w:cs="Arial"/>
          <w:color w:val="000000" w:themeColor="text1"/>
          <w:sz w:val="16"/>
          <w:szCs w:val="16"/>
          <w:lang w:val="en-ZA"/>
        </w:rPr>
      </w:pPr>
    </w:p>
    <w:p w14:paraId="1874DEAE" w14:textId="2C8949D1" w:rsidR="005633D6" w:rsidRPr="00533EAC" w:rsidRDefault="005633D6" w:rsidP="00C05A32">
      <w:pPr>
        <w:spacing w:after="0" w:line="200" w:lineRule="exact"/>
        <w:rPr>
          <w:rFonts w:ascii="Arial" w:eastAsia="Calibri" w:hAnsi="Arial" w:cs="Arial"/>
          <w:color w:val="000000" w:themeColor="text1"/>
          <w:sz w:val="16"/>
          <w:szCs w:val="16"/>
          <w:lang w:val="en-ZA"/>
        </w:rPr>
      </w:pPr>
    </w:p>
    <w:p w14:paraId="68287B87" w14:textId="77777777" w:rsidR="001D1A0C" w:rsidRPr="00533EAC" w:rsidRDefault="001D1A0C" w:rsidP="00C05A32">
      <w:pPr>
        <w:spacing w:after="0" w:line="200" w:lineRule="exact"/>
        <w:rPr>
          <w:rFonts w:ascii="Arial" w:eastAsia="Calibri" w:hAnsi="Arial" w:cs="Arial"/>
          <w:color w:val="000000" w:themeColor="text1"/>
          <w:sz w:val="16"/>
          <w:szCs w:val="16"/>
          <w:lang w:val="en-ZA"/>
        </w:rPr>
      </w:pPr>
    </w:p>
    <w:p w14:paraId="568F8AA8" w14:textId="2BF192AB" w:rsidR="005633D6" w:rsidRPr="00533EAC" w:rsidRDefault="005633D6" w:rsidP="00C05A32">
      <w:pPr>
        <w:spacing w:after="0" w:line="360" w:lineRule="auto"/>
        <w:rPr>
          <w:rFonts w:ascii="Arial" w:eastAsia="Calibri" w:hAnsi="Arial" w:cs="Arial"/>
          <w:i/>
          <w:color w:val="000000" w:themeColor="text1"/>
          <w:sz w:val="20"/>
          <w:szCs w:val="20"/>
          <w:lang w:val="en-ZA"/>
        </w:rPr>
      </w:pPr>
      <w:r w:rsidRPr="00533EAC">
        <w:rPr>
          <w:rFonts w:ascii="Arial" w:eastAsia="Calibri" w:hAnsi="Arial" w:cs="Arial"/>
          <w:b/>
          <w:bCs/>
          <w:color w:val="000000" w:themeColor="text1"/>
          <w:sz w:val="20"/>
          <w:szCs w:val="20"/>
          <w:lang w:val="en-ZA"/>
        </w:rPr>
        <w:t xml:space="preserve">Table 3: </w:t>
      </w:r>
      <w:r w:rsidR="001D1A0C" w:rsidRPr="00533EAC">
        <w:rPr>
          <w:rFonts w:ascii="Arial" w:eastAsia="Calibri" w:hAnsi="Arial" w:cs="Arial"/>
          <w:bCs/>
          <w:color w:val="000000" w:themeColor="text1"/>
          <w:sz w:val="20"/>
          <w:szCs w:val="20"/>
          <w:lang w:val="en-ZA"/>
        </w:rPr>
        <w:t>Hardy-Weinberg equilibrium (</w:t>
      </w:r>
      <w:r w:rsidRPr="00533EAC">
        <w:rPr>
          <w:rFonts w:ascii="Arial" w:eastAsia="Calibri" w:hAnsi="Arial" w:cs="Arial"/>
          <w:bCs/>
          <w:color w:val="000000" w:themeColor="text1"/>
          <w:sz w:val="20"/>
          <w:szCs w:val="20"/>
          <w:lang w:val="en-ZA"/>
        </w:rPr>
        <w:t>HWE</w:t>
      </w:r>
      <w:r w:rsidR="001D1A0C" w:rsidRPr="00533EAC">
        <w:rPr>
          <w:rFonts w:ascii="Arial" w:eastAsia="Calibri" w:hAnsi="Arial" w:cs="Arial"/>
          <w:bCs/>
          <w:color w:val="000000" w:themeColor="text1"/>
          <w:sz w:val="20"/>
          <w:szCs w:val="20"/>
          <w:lang w:val="en-ZA"/>
        </w:rPr>
        <w:t>)</w:t>
      </w:r>
      <w:r w:rsidRPr="00533EAC">
        <w:rPr>
          <w:rFonts w:ascii="Arial" w:eastAsia="Calibri" w:hAnsi="Arial" w:cs="Arial"/>
          <w:bCs/>
          <w:color w:val="000000" w:themeColor="text1"/>
          <w:sz w:val="20"/>
          <w:szCs w:val="20"/>
          <w:lang w:val="en-ZA"/>
        </w:rPr>
        <w:t xml:space="preserve"> and</w:t>
      </w:r>
      <w:r w:rsidR="001D1A0C" w:rsidRPr="00533EAC">
        <w:rPr>
          <w:rFonts w:ascii="Arial" w:eastAsia="Calibri" w:hAnsi="Arial" w:cs="Arial"/>
          <w:bCs/>
          <w:color w:val="000000" w:themeColor="text1"/>
          <w:sz w:val="20"/>
          <w:szCs w:val="20"/>
          <w:lang w:val="en-ZA"/>
        </w:rPr>
        <w:t xml:space="preserve"> inbreeding co</w:t>
      </w:r>
      <w:r w:rsidR="00A11BDD" w:rsidRPr="00533EAC">
        <w:rPr>
          <w:rFonts w:ascii="Arial" w:eastAsia="Calibri" w:hAnsi="Arial" w:cs="Arial"/>
          <w:bCs/>
          <w:color w:val="000000" w:themeColor="text1"/>
          <w:sz w:val="20"/>
          <w:szCs w:val="20"/>
          <w:lang w:val="en-ZA"/>
        </w:rPr>
        <w:t>e</w:t>
      </w:r>
      <w:r w:rsidR="001D1A0C" w:rsidRPr="00533EAC">
        <w:rPr>
          <w:rFonts w:ascii="Arial" w:eastAsia="Calibri" w:hAnsi="Arial" w:cs="Arial"/>
          <w:bCs/>
          <w:color w:val="000000" w:themeColor="text1"/>
          <w:sz w:val="20"/>
          <w:szCs w:val="20"/>
          <w:lang w:val="en-ZA"/>
        </w:rPr>
        <w:t>fficient</w:t>
      </w:r>
      <w:r w:rsidRPr="00533EAC">
        <w:rPr>
          <w:rFonts w:ascii="Arial" w:eastAsia="Calibri" w:hAnsi="Arial" w:cs="Arial"/>
          <w:i/>
          <w:iCs/>
          <w:color w:val="000000" w:themeColor="text1"/>
          <w:sz w:val="20"/>
          <w:szCs w:val="20"/>
          <w:lang w:val="en-ZA"/>
        </w:rPr>
        <w:t xml:space="preserve"> </w:t>
      </w:r>
      <w:r w:rsidR="001D1A0C" w:rsidRPr="00533EAC">
        <w:rPr>
          <w:rFonts w:ascii="Arial" w:eastAsia="Calibri" w:hAnsi="Arial" w:cs="Arial"/>
          <w:iCs/>
          <w:color w:val="000000" w:themeColor="text1"/>
          <w:sz w:val="20"/>
          <w:szCs w:val="20"/>
          <w:lang w:val="en-ZA"/>
        </w:rPr>
        <w:t>(</w:t>
      </w:r>
      <w:r w:rsidRPr="00533EAC">
        <w:rPr>
          <w:rFonts w:ascii="Arial" w:eastAsia="Times New Roman" w:hAnsi="Arial" w:cs="Arial"/>
          <w:i/>
          <w:color w:val="000000" w:themeColor="text1"/>
          <w:sz w:val="20"/>
          <w:szCs w:val="20"/>
          <w:lang w:val="en-ZA" w:eastAsia="de-DE"/>
        </w:rPr>
        <w:t>F</w:t>
      </w:r>
      <w:r w:rsidRPr="00533EAC">
        <w:rPr>
          <w:rFonts w:ascii="Arial" w:eastAsia="Times New Roman" w:hAnsi="Arial" w:cs="Arial"/>
          <w:color w:val="000000" w:themeColor="text1"/>
          <w:sz w:val="20"/>
          <w:szCs w:val="20"/>
          <w:vertAlign w:val="subscript"/>
          <w:lang w:val="en-ZA" w:eastAsia="de-DE"/>
        </w:rPr>
        <w:t>IS</w:t>
      </w:r>
      <w:r w:rsidR="001D1A0C" w:rsidRPr="00533EAC">
        <w:rPr>
          <w:rFonts w:ascii="Arial" w:eastAsia="Calibri" w:hAnsi="Arial" w:cs="Arial"/>
          <w:bCs/>
          <w:color w:val="000000" w:themeColor="text1"/>
          <w:sz w:val="20"/>
          <w:szCs w:val="20"/>
          <w:lang w:val="en-ZA"/>
        </w:rPr>
        <w:t xml:space="preserve">) </w:t>
      </w:r>
      <w:r w:rsidRPr="00533EAC">
        <w:rPr>
          <w:rFonts w:ascii="Arial" w:eastAsia="Calibri" w:hAnsi="Arial" w:cs="Arial"/>
          <w:color w:val="000000" w:themeColor="text1"/>
          <w:sz w:val="20"/>
          <w:szCs w:val="20"/>
          <w:lang w:val="en-ZA"/>
        </w:rPr>
        <w:t xml:space="preserve">of the </w:t>
      </w:r>
      <w:r w:rsidR="001D1A0C" w:rsidRPr="00533EAC">
        <w:rPr>
          <w:rFonts w:ascii="Arial" w:eastAsia="Calibri" w:hAnsi="Arial" w:cs="Arial"/>
          <w:color w:val="000000" w:themeColor="text1"/>
          <w:sz w:val="20"/>
          <w:szCs w:val="20"/>
          <w:lang w:val="en-ZA"/>
        </w:rPr>
        <w:t xml:space="preserve">five </w:t>
      </w:r>
      <w:r w:rsidRPr="00533EAC">
        <w:rPr>
          <w:rFonts w:ascii="Arial" w:eastAsia="Calibri" w:hAnsi="Arial" w:cs="Arial"/>
          <w:color w:val="000000" w:themeColor="text1"/>
          <w:sz w:val="20"/>
          <w:szCs w:val="20"/>
          <w:lang w:val="en-ZA"/>
        </w:rPr>
        <w:t>microsatellite markers developed for</w:t>
      </w:r>
      <w:r w:rsidRPr="00533EAC">
        <w:rPr>
          <w:rFonts w:ascii="Arial" w:eastAsia="Calibri" w:hAnsi="Arial" w:cs="Arial"/>
          <w:i/>
          <w:color w:val="000000" w:themeColor="text1"/>
          <w:sz w:val="20"/>
          <w:szCs w:val="20"/>
          <w:lang w:val="en-ZA"/>
        </w:rPr>
        <w:t xml:space="preserve"> Pyura stolonifera </w:t>
      </w:r>
      <w:r w:rsidRPr="00533EAC">
        <w:rPr>
          <w:rFonts w:ascii="Arial" w:eastAsia="Calibri" w:hAnsi="Arial" w:cs="Arial"/>
          <w:iCs/>
          <w:color w:val="000000" w:themeColor="text1"/>
          <w:sz w:val="20"/>
          <w:szCs w:val="20"/>
          <w:lang w:val="en-ZA"/>
        </w:rPr>
        <w:t>and</w:t>
      </w:r>
      <w:r w:rsidRPr="00533EAC">
        <w:rPr>
          <w:rFonts w:ascii="Arial" w:eastAsia="Calibri" w:hAnsi="Arial" w:cs="Arial"/>
          <w:i/>
          <w:color w:val="000000" w:themeColor="text1"/>
          <w:sz w:val="20"/>
          <w:szCs w:val="20"/>
          <w:lang w:val="en-ZA"/>
        </w:rPr>
        <w:t xml:space="preserve"> </w:t>
      </w:r>
      <w:r w:rsidRPr="00533EAC">
        <w:rPr>
          <w:rFonts w:ascii="Arial" w:eastAsia="Calibri" w:hAnsi="Arial" w:cs="Arial"/>
          <w:color w:val="000000" w:themeColor="text1"/>
          <w:sz w:val="20"/>
          <w:szCs w:val="20"/>
          <w:lang w:val="en-ZA"/>
        </w:rPr>
        <w:t xml:space="preserve">the two populations of </w:t>
      </w:r>
      <w:r w:rsidRPr="00533EAC">
        <w:rPr>
          <w:rFonts w:ascii="Arial" w:eastAsia="Calibri" w:hAnsi="Arial" w:cs="Arial"/>
          <w:i/>
          <w:color w:val="000000" w:themeColor="text1"/>
          <w:sz w:val="20"/>
          <w:szCs w:val="20"/>
          <w:lang w:val="en-ZA"/>
        </w:rPr>
        <w:t xml:space="preserve">P. </w:t>
      </w:r>
      <w:proofErr w:type="spellStart"/>
      <w:r w:rsidRPr="00533EAC">
        <w:rPr>
          <w:rFonts w:ascii="Arial" w:eastAsia="Calibri" w:hAnsi="Arial" w:cs="Arial"/>
          <w:i/>
          <w:color w:val="000000" w:themeColor="text1"/>
          <w:sz w:val="20"/>
          <w:szCs w:val="20"/>
          <w:lang w:val="en-ZA"/>
        </w:rPr>
        <w:t>herdmani</w:t>
      </w:r>
      <w:proofErr w:type="spellEnd"/>
      <w:r w:rsidR="005E31AD" w:rsidRPr="00533EAC">
        <w:rPr>
          <w:rFonts w:ascii="Arial" w:eastAsia="Calibri" w:hAnsi="Arial" w:cs="Arial"/>
          <w:iCs/>
          <w:color w:val="000000" w:themeColor="text1"/>
          <w:sz w:val="20"/>
          <w:szCs w:val="20"/>
          <w:lang w:val="en-ZA"/>
        </w:rPr>
        <w:t>;</w:t>
      </w:r>
      <w:r w:rsidR="005E31AD" w:rsidRPr="00533EAC">
        <w:rPr>
          <w:rFonts w:ascii="Arial" w:eastAsia="Calibri" w:hAnsi="Arial" w:cs="Arial"/>
          <w:i/>
          <w:color w:val="000000" w:themeColor="text1"/>
          <w:sz w:val="20"/>
          <w:szCs w:val="20"/>
          <w:lang w:val="en-ZA"/>
        </w:rPr>
        <w:t xml:space="preserve"> </w:t>
      </w:r>
      <w:proofErr w:type="spellStart"/>
      <w:r w:rsidR="001D1A0C" w:rsidRPr="00533EAC">
        <w:rPr>
          <w:rFonts w:ascii="Arial" w:eastAsia="Calibri" w:hAnsi="Arial" w:cs="Arial"/>
          <w:i/>
          <w:color w:val="000000" w:themeColor="text1"/>
          <w:sz w:val="20"/>
          <w:szCs w:val="20"/>
          <w:lang w:val="en-ZA"/>
        </w:rPr>
        <w:t>p</w:t>
      </w:r>
      <w:r w:rsidR="001D1A0C" w:rsidRPr="00533EAC">
        <w:rPr>
          <w:rFonts w:ascii="Arial" w:eastAsia="Calibri" w:hAnsi="Arial" w:cs="Arial"/>
          <w:color w:val="000000" w:themeColor="text1"/>
          <w:sz w:val="20"/>
          <w:szCs w:val="20"/>
          <w:lang w:val="en-ZA"/>
        </w:rPr>
        <w:t>HWE</w:t>
      </w:r>
      <w:proofErr w:type="spellEnd"/>
      <w:r w:rsidR="001D1A0C" w:rsidRPr="00533EAC">
        <w:rPr>
          <w:rFonts w:ascii="Arial" w:eastAsia="Calibri" w:hAnsi="Arial" w:cs="Arial"/>
          <w:color w:val="000000" w:themeColor="text1"/>
          <w:sz w:val="20"/>
          <w:szCs w:val="20"/>
          <w:lang w:val="en-ZA"/>
        </w:rPr>
        <w:t xml:space="preserve"> = </w:t>
      </w:r>
      <w:r w:rsidR="001D1A0C" w:rsidRPr="00533EAC">
        <w:rPr>
          <w:rFonts w:ascii="Arial" w:eastAsia="Calibri" w:hAnsi="Arial" w:cs="Arial"/>
          <w:i/>
          <w:color w:val="000000" w:themeColor="text1"/>
          <w:sz w:val="20"/>
          <w:szCs w:val="20"/>
          <w:lang w:val="en-ZA"/>
        </w:rPr>
        <w:t>p-</w:t>
      </w:r>
      <w:r w:rsidR="001D1A0C" w:rsidRPr="00533EAC">
        <w:rPr>
          <w:rFonts w:ascii="Arial" w:eastAsia="Calibri" w:hAnsi="Arial" w:cs="Arial"/>
          <w:color w:val="000000" w:themeColor="text1"/>
          <w:sz w:val="20"/>
          <w:szCs w:val="20"/>
          <w:lang w:val="en-ZA"/>
        </w:rPr>
        <w:t xml:space="preserve">value for Hardy-Weinberg equilibrium, *significant after Bonferroni correction at </w:t>
      </w:r>
      <w:r w:rsidR="001D1A0C" w:rsidRPr="00533EAC">
        <w:rPr>
          <w:rFonts w:ascii="Arial" w:eastAsia="Calibri" w:hAnsi="Arial" w:cs="Arial"/>
          <w:i/>
          <w:color w:val="000000" w:themeColor="text1"/>
          <w:sz w:val="20"/>
          <w:szCs w:val="20"/>
          <w:lang w:val="en-ZA"/>
        </w:rPr>
        <w:t xml:space="preserve">p </w:t>
      </w:r>
      <w:r w:rsidR="001D1A0C" w:rsidRPr="00533EAC">
        <w:rPr>
          <w:rFonts w:ascii="Arial" w:eastAsia="Calibri" w:hAnsi="Arial" w:cs="Arial"/>
          <w:color w:val="000000" w:themeColor="text1"/>
          <w:sz w:val="20"/>
          <w:szCs w:val="20"/>
          <w:lang w:val="en-ZA"/>
        </w:rPr>
        <w:t>&lt; 0.005</w:t>
      </w:r>
      <w:r w:rsidR="00533EAC" w:rsidRPr="00533EAC">
        <w:rPr>
          <w:rFonts w:ascii="Arial" w:eastAsia="Calibri" w:hAnsi="Arial" w:cs="Arial"/>
          <w:color w:val="000000" w:themeColor="text1"/>
          <w:sz w:val="20"/>
          <w:szCs w:val="20"/>
          <w:lang w:val="en-ZA"/>
        </w:rPr>
        <w:t>.</w:t>
      </w:r>
    </w:p>
    <w:tbl>
      <w:tblPr>
        <w:tblStyle w:val="Grigliatabella1"/>
        <w:tblW w:w="12848" w:type="dxa"/>
        <w:jc w:val="center"/>
        <w:tblLayout w:type="fixed"/>
        <w:tblLook w:val="04A0" w:firstRow="1" w:lastRow="0" w:firstColumn="1" w:lastColumn="0" w:noHBand="0" w:noVBand="1"/>
      </w:tblPr>
      <w:tblGrid>
        <w:gridCol w:w="1134"/>
        <w:gridCol w:w="1985"/>
        <w:gridCol w:w="1984"/>
        <w:gridCol w:w="2410"/>
        <w:gridCol w:w="1418"/>
        <w:gridCol w:w="1984"/>
        <w:gridCol w:w="1933"/>
      </w:tblGrid>
      <w:tr w:rsidR="00533EAC" w:rsidRPr="00533EAC" w14:paraId="0C54F947" w14:textId="77777777" w:rsidTr="00C05A32">
        <w:trPr>
          <w:trHeight w:val="345"/>
          <w:jc w:val="center"/>
        </w:trPr>
        <w:tc>
          <w:tcPr>
            <w:tcW w:w="1134" w:type="dxa"/>
            <w:tcBorders>
              <w:left w:val="nil"/>
              <w:bottom w:val="single" w:sz="4" w:space="0" w:color="auto"/>
              <w:right w:val="nil"/>
            </w:tcBorders>
            <w:noWrap/>
            <w:vAlign w:val="center"/>
            <w:hideMark/>
          </w:tcPr>
          <w:p w14:paraId="5BC739E1" w14:textId="77777777" w:rsidR="005633D6" w:rsidRPr="00533EAC" w:rsidRDefault="005633D6"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bCs/>
                <w:color w:val="000000" w:themeColor="text1"/>
                <w:sz w:val="16"/>
                <w:szCs w:val="16"/>
                <w:lang w:val="en-ZA" w:eastAsia="de-DE"/>
              </w:rPr>
              <w:t>Locus</w:t>
            </w:r>
          </w:p>
        </w:tc>
        <w:tc>
          <w:tcPr>
            <w:tcW w:w="1985" w:type="dxa"/>
            <w:tcBorders>
              <w:left w:val="nil"/>
              <w:bottom w:val="single" w:sz="4" w:space="0" w:color="auto"/>
              <w:right w:val="nil"/>
            </w:tcBorders>
            <w:vAlign w:val="center"/>
          </w:tcPr>
          <w:p w14:paraId="05044755" w14:textId="77777777" w:rsidR="005633D6" w:rsidRPr="00533EAC" w:rsidRDefault="005633D6" w:rsidP="00C05A32">
            <w:pPr>
              <w:spacing w:line="200" w:lineRule="exact"/>
              <w:rPr>
                <w:rFonts w:ascii="Arial" w:eastAsia="Times New Roman" w:hAnsi="Arial" w:cs="Arial"/>
                <w:bCs/>
                <w:color w:val="000000" w:themeColor="text1"/>
                <w:sz w:val="16"/>
                <w:szCs w:val="16"/>
                <w:lang w:val="en-ZA" w:eastAsia="de-DE"/>
              </w:rPr>
            </w:pPr>
            <w:r w:rsidRPr="00533EAC">
              <w:rPr>
                <w:rFonts w:ascii="Arial" w:eastAsia="Times New Roman" w:hAnsi="Arial" w:cs="Arial"/>
                <w:bCs/>
                <w:i/>
                <w:color w:val="000000" w:themeColor="text1"/>
                <w:sz w:val="16"/>
                <w:szCs w:val="16"/>
                <w:lang w:val="en-ZA" w:eastAsia="de-DE"/>
              </w:rPr>
              <w:t>F</w:t>
            </w:r>
            <w:r w:rsidRPr="00533EAC">
              <w:rPr>
                <w:rFonts w:ascii="Arial" w:eastAsia="Times New Roman" w:hAnsi="Arial" w:cs="Arial"/>
                <w:bCs/>
                <w:color w:val="000000" w:themeColor="text1"/>
                <w:sz w:val="16"/>
                <w:szCs w:val="16"/>
                <w:vertAlign w:val="subscript"/>
                <w:lang w:val="en-ZA" w:eastAsia="de-DE"/>
              </w:rPr>
              <w:t xml:space="preserve">IS </w:t>
            </w:r>
            <w:r w:rsidRPr="00533EAC">
              <w:rPr>
                <w:rFonts w:ascii="Arial" w:eastAsia="Times New Roman" w:hAnsi="Arial" w:cs="Arial"/>
                <w:bCs/>
                <w:color w:val="000000" w:themeColor="text1"/>
                <w:sz w:val="16"/>
                <w:szCs w:val="16"/>
                <w:lang w:val="en-ZA" w:eastAsia="de-DE"/>
              </w:rPr>
              <w:t>(95% CI)</w:t>
            </w:r>
          </w:p>
          <w:p w14:paraId="10312C26" w14:textId="77777777" w:rsidR="005633D6" w:rsidRPr="00533EAC" w:rsidRDefault="005633D6" w:rsidP="00C05A32">
            <w:pPr>
              <w:spacing w:line="200" w:lineRule="exact"/>
              <w:rPr>
                <w:rFonts w:ascii="Arial" w:eastAsia="Times New Roman" w:hAnsi="Arial" w:cs="Arial"/>
                <w:bCs/>
                <w:color w:val="000000" w:themeColor="text1"/>
                <w:sz w:val="16"/>
                <w:szCs w:val="16"/>
                <w:lang w:val="en-ZA" w:eastAsia="de-DE"/>
              </w:rPr>
            </w:pPr>
            <w:r w:rsidRPr="00533EAC">
              <w:rPr>
                <w:rFonts w:ascii="Arial" w:eastAsia="Times New Roman" w:hAnsi="Arial" w:cs="Arial"/>
                <w:bCs/>
                <w:i/>
                <w:color w:val="000000" w:themeColor="text1"/>
                <w:sz w:val="16"/>
                <w:szCs w:val="16"/>
                <w:lang w:val="en-ZA" w:eastAsia="de-DE"/>
              </w:rPr>
              <w:t>P. stolonifera</w:t>
            </w:r>
          </w:p>
        </w:tc>
        <w:tc>
          <w:tcPr>
            <w:tcW w:w="1984" w:type="dxa"/>
            <w:tcBorders>
              <w:left w:val="nil"/>
              <w:bottom w:val="single" w:sz="4" w:space="0" w:color="auto"/>
              <w:right w:val="nil"/>
            </w:tcBorders>
            <w:vAlign w:val="center"/>
          </w:tcPr>
          <w:p w14:paraId="035D5E86" w14:textId="046099A5" w:rsidR="005633D6" w:rsidRPr="00533EAC" w:rsidRDefault="005633D6" w:rsidP="00C05A32">
            <w:pPr>
              <w:spacing w:line="200" w:lineRule="exact"/>
              <w:rPr>
                <w:rFonts w:ascii="Arial" w:eastAsia="Times New Roman" w:hAnsi="Arial" w:cs="Arial"/>
                <w:bCs/>
                <w:color w:val="000000" w:themeColor="text1"/>
                <w:sz w:val="16"/>
                <w:szCs w:val="16"/>
                <w:lang w:val="en-ZA" w:eastAsia="de-DE"/>
              </w:rPr>
            </w:pPr>
            <w:r w:rsidRPr="00533EAC">
              <w:rPr>
                <w:rFonts w:ascii="Arial" w:eastAsia="Times New Roman" w:hAnsi="Arial" w:cs="Arial"/>
                <w:bCs/>
                <w:i/>
                <w:color w:val="000000" w:themeColor="text1"/>
                <w:sz w:val="16"/>
                <w:szCs w:val="16"/>
                <w:lang w:val="en-ZA" w:eastAsia="de-DE"/>
              </w:rPr>
              <w:t xml:space="preserve">P. herdmani </w:t>
            </w:r>
            <w:r w:rsidR="001D1A0C" w:rsidRPr="00533EAC">
              <w:rPr>
                <w:rFonts w:ascii="Arial" w:eastAsia="Times New Roman" w:hAnsi="Arial" w:cs="Arial"/>
                <w:bCs/>
                <w:color w:val="000000" w:themeColor="text1"/>
                <w:sz w:val="16"/>
                <w:szCs w:val="16"/>
                <w:lang w:val="en-ZA" w:eastAsia="de-DE"/>
              </w:rPr>
              <w:t>(temperate)</w:t>
            </w:r>
          </w:p>
        </w:tc>
        <w:tc>
          <w:tcPr>
            <w:tcW w:w="2410" w:type="dxa"/>
            <w:tcBorders>
              <w:left w:val="nil"/>
              <w:bottom w:val="single" w:sz="4" w:space="0" w:color="auto"/>
              <w:right w:val="nil"/>
            </w:tcBorders>
            <w:vAlign w:val="center"/>
          </w:tcPr>
          <w:p w14:paraId="06BC9917" w14:textId="369936AC" w:rsidR="005633D6" w:rsidRPr="00533EAC" w:rsidRDefault="005633D6" w:rsidP="00C05A32">
            <w:pPr>
              <w:spacing w:line="200" w:lineRule="exact"/>
              <w:rPr>
                <w:rFonts w:ascii="Arial" w:eastAsia="Times New Roman" w:hAnsi="Arial" w:cs="Arial"/>
                <w:bCs/>
                <w:i/>
                <w:color w:val="000000" w:themeColor="text1"/>
                <w:sz w:val="16"/>
                <w:szCs w:val="16"/>
                <w:lang w:val="en-ZA" w:eastAsia="de-DE"/>
              </w:rPr>
            </w:pPr>
            <w:r w:rsidRPr="00533EAC">
              <w:rPr>
                <w:rFonts w:ascii="Arial" w:eastAsia="Times New Roman" w:hAnsi="Arial" w:cs="Arial"/>
                <w:bCs/>
                <w:i/>
                <w:color w:val="000000" w:themeColor="text1"/>
                <w:sz w:val="16"/>
                <w:szCs w:val="16"/>
                <w:lang w:val="en-ZA" w:eastAsia="de-DE"/>
              </w:rPr>
              <w:t>P.</w:t>
            </w:r>
            <w:r w:rsidR="001D1A0C" w:rsidRPr="00533EAC">
              <w:rPr>
                <w:rFonts w:ascii="Arial" w:eastAsia="Times New Roman" w:hAnsi="Arial" w:cs="Arial"/>
                <w:bCs/>
                <w:i/>
                <w:color w:val="000000" w:themeColor="text1"/>
                <w:sz w:val="16"/>
                <w:szCs w:val="16"/>
                <w:lang w:val="en-ZA" w:eastAsia="de-DE"/>
              </w:rPr>
              <w:t xml:space="preserve"> </w:t>
            </w:r>
            <w:r w:rsidRPr="00533EAC">
              <w:rPr>
                <w:rFonts w:ascii="Arial" w:eastAsia="Times New Roman" w:hAnsi="Arial" w:cs="Arial"/>
                <w:bCs/>
                <w:i/>
                <w:color w:val="000000" w:themeColor="text1"/>
                <w:sz w:val="16"/>
                <w:szCs w:val="16"/>
                <w:lang w:val="en-ZA" w:eastAsia="de-DE"/>
              </w:rPr>
              <w:t>herdmani subtropical</w:t>
            </w:r>
          </w:p>
        </w:tc>
        <w:tc>
          <w:tcPr>
            <w:tcW w:w="1418" w:type="dxa"/>
            <w:tcBorders>
              <w:left w:val="nil"/>
              <w:bottom w:val="single" w:sz="4" w:space="0" w:color="auto"/>
              <w:right w:val="nil"/>
            </w:tcBorders>
            <w:vAlign w:val="center"/>
          </w:tcPr>
          <w:p w14:paraId="0C49AE3F" w14:textId="77777777" w:rsidR="005633D6" w:rsidRPr="00533EAC" w:rsidRDefault="005633D6" w:rsidP="00C05A32">
            <w:pPr>
              <w:spacing w:line="200" w:lineRule="exact"/>
              <w:rPr>
                <w:rFonts w:ascii="Arial" w:eastAsia="Times New Roman" w:hAnsi="Arial" w:cs="Arial"/>
                <w:bCs/>
                <w:color w:val="000000" w:themeColor="text1"/>
                <w:sz w:val="16"/>
                <w:szCs w:val="16"/>
                <w:lang w:val="en-ZA" w:eastAsia="de-DE"/>
              </w:rPr>
            </w:pPr>
            <w:proofErr w:type="spellStart"/>
            <w:r w:rsidRPr="00533EAC">
              <w:rPr>
                <w:rFonts w:ascii="Arial" w:eastAsia="Times New Roman" w:hAnsi="Arial" w:cs="Arial"/>
                <w:bCs/>
                <w:i/>
                <w:color w:val="000000" w:themeColor="text1"/>
                <w:sz w:val="16"/>
                <w:szCs w:val="16"/>
                <w:lang w:val="en-ZA" w:eastAsia="de-DE"/>
              </w:rPr>
              <w:t>p</w:t>
            </w:r>
            <w:r w:rsidRPr="00533EAC">
              <w:rPr>
                <w:rFonts w:ascii="Arial" w:eastAsia="Times New Roman" w:hAnsi="Arial" w:cs="Arial"/>
                <w:bCs/>
                <w:color w:val="000000" w:themeColor="text1"/>
                <w:sz w:val="16"/>
                <w:szCs w:val="16"/>
                <w:lang w:val="en-ZA" w:eastAsia="de-DE"/>
              </w:rPr>
              <w:t>HWE</w:t>
            </w:r>
            <w:proofErr w:type="spellEnd"/>
          </w:p>
          <w:p w14:paraId="01AE64C8" w14:textId="77777777" w:rsidR="005633D6" w:rsidRPr="00533EAC" w:rsidRDefault="005633D6" w:rsidP="00C05A32">
            <w:pPr>
              <w:spacing w:line="200" w:lineRule="exact"/>
              <w:rPr>
                <w:rFonts w:ascii="Arial" w:eastAsia="Times New Roman" w:hAnsi="Arial" w:cs="Arial"/>
                <w:bCs/>
                <w:color w:val="000000" w:themeColor="text1"/>
                <w:sz w:val="16"/>
                <w:szCs w:val="16"/>
                <w:lang w:val="en-ZA" w:eastAsia="de-DE"/>
              </w:rPr>
            </w:pPr>
            <w:r w:rsidRPr="00533EAC">
              <w:rPr>
                <w:rFonts w:ascii="Arial" w:eastAsia="Times New Roman" w:hAnsi="Arial" w:cs="Arial"/>
                <w:bCs/>
                <w:i/>
                <w:color w:val="000000" w:themeColor="text1"/>
                <w:sz w:val="16"/>
                <w:szCs w:val="16"/>
                <w:lang w:val="en-ZA" w:eastAsia="de-DE"/>
              </w:rPr>
              <w:t>P. stolonifera</w:t>
            </w:r>
          </w:p>
        </w:tc>
        <w:tc>
          <w:tcPr>
            <w:tcW w:w="1984" w:type="dxa"/>
            <w:tcBorders>
              <w:left w:val="nil"/>
              <w:bottom w:val="single" w:sz="4" w:space="0" w:color="auto"/>
              <w:right w:val="nil"/>
            </w:tcBorders>
            <w:vAlign w:val="center"/>
          </w:tcPr>
          <w:p w14:paraId="7D0EA7B2" w14:textId="08F2F442" w:rsidR="005633D6" w:rsidRPr="00533EAC" w:rsidRDefault="005633D6" w:rsidP="00C05A32">
            <w:pPr>
              <w:spacing w:line="200" w:lineRule="exact"/>
              <w:ind w:hanging="1"/>
              <w:rPr>
                <w:rFonts w:ascii="Arial" w:eastAsia="Times New Roman" w:hAnsi="Arial" w:cs="Arial"/>
                <w:bCs/>
                <w:color w:val="000000" w:themeColor="text1"/>
                <w:sz w:val="16"/>
                <w:szCs w:val="16"/>
                <w:lang w:val="en-ZA" w:eastAsia="de-DE"/>
              </w:rPr>
            </w:pPr>
            <w:r w:rsidRPr="00533EAC">
              <w:rPr>
                <w:rFonts w:ascii="Arial" w:eastAsia="Times New Roman" w:hAnsi="Arial" w:cs="Arial"/>
                <w:bCs/>
                <w:i/>
                <w:color w:val="000000" w:themeColor="text1"/>
                <w:sz w:val="16"/>
                <w:szCs w:val="16"/>
                <w:lang w:val="en-ZA" w:eastAsia="de-DE"/>
              </w:rPr>
              <w:t xml:space="preserve">P. herdmani </w:t>
            </w:r>
            <w:r w:rsidR="001D1A0C" w:rsidRPr="00533EAC">
              <w:rPr>
                <w:rFonts w:ascii="Arial" w:eastAsia="Times New Roman" w:hAnsi="Arial" w:cs="Arial"/>
                <w:bCs/>
                <w:color w:val="000000" w:themeColor="text1"/>
                <w:sz w:val="16"/>
                <w:szCs w:val="16"/>
                <w:lang w:val="en-ZA" w:eastAsia="de-DE"/>
              </w:rPr>
              <w:t>(temperate)</w:t>
            </w:r>
            <w:r w:rsidRPr="00533EAC">
              <w:rPr>
                <w:rFonts w:ascii="Arial" w:eastAsia="Times New Roman" w:hAnsi="Arial" w:cs="Arial"/>
                <w:bCs/>
                <w:i/>
                <w:color w:val="000000" w:themeColor="text1"/>
                <w:sz w:val="16"/>
                <w:szCs w:val="16"/>
                <w:lang w:val="en-ZA" w:eastAsia="de-DE"/>
              </w:rPr>
              <w:t xml:space="preserve"> </w:t>
            </w:r>
          </w:p>
        </w:tc>
        <w:tc>
          <w:tcPr>
            <w:tcW w:w="1933" w:type="dxa"/>
            <w:tcBorders>
              <w:left w:val="nil"/>
              <w:bottom w:val="single" w:sz="4" w:space="0" w:color="auto"/>
              <w:right w:val="nil"/>
            </w:tcBorders>
            <w:vAlign w:val="center"/>
          </w:tcPr>
          <w:p w14:paraId="74EEE85C" w14:textId="6B914CFC" w:rsidR="005633D6" w:rsidRPr="00533EAC" w:rsidRDefault="005633D6" w:rsidP="00C05A32">
            <w:pPr>
              <w:spacing w:line="200" w:lineRule="exact"/>
              <w:rPr>
                <w:rFonts w:ascii="Arial" w:eastAsia="Times New Roman" w:hAnsi="Arial" w:cs="Arial"/>
                <w:bCs/>
                <w:color w:val="000000" w:themeColor="text1"/>
                <w:sz w:val="16"/>
                <w:szCs w:val="16"/>
                <w:lang w:val="en-ZA" w:eastAsia="de-DE"/>
              </w:rPr>
            </w:pPr>
            <w:r w:rsidRPr="00533EAC">
              <w:rPr>
                <w:rFonts w:ascii="Arial" w:eastAsia="Times New Roman" w:hAnsi="Arial" w:cs="Arial"/>
                <w:bCs/>
                <w:i/>
                <w:color w:val="000000" w:themeColor="text1"/>
                <w:sz w:val="16"/>
                <w:szCs w:val="16"/>
                <w:lang w:val="en-ZA" w:eastAsia="de-DE"/>
              </w:rPr>
              <w:t xml:space="preserve">P. herdmani </w:t>
            </w:r>
            <w:r w:rsidR="001D1A0C" w:rsidRPr="00533EAC">
              <w:rPr>
                <w:rFonts w:ascii="Arial" w:eastAsia="Times New Roman" w:hAnsi="Arial" w:cs="Arial"/>
                <w:bCs/>
                <w:i/>
                <w:color w:val="000000" w:themeColor="text1"/>
                <w:sz w:val="16"/>
                <w:szCs w:val="16"/>
                <w:lang w:val="en-ZA" w:eastAsia="de-DE"/>
              </w:rPr>
              <w:t>(</w:t>
            </w:r>
            <w:r w:rsidR="001D1A0C" w:rsidRPr="00533EAC">
              <w:rPr>
                <w:rFonts w:ascii="Arial" w:eastAsia="Times New Roman" w:hAnsi="Arial" w:cs="Arial"/>
                <w:bCs/>
                <w:color w:val="000000" w:themeColor="text1"/>
                <w:sz w:val="16"/>
                <w:szCs w:val="16"/>
                <w:lang w:val="en-ZA" w:eastAsia="de-DE"/>
              </w:rPr>
              <w:t>subtropical)</w:t>
            </w:r>
          </w:p>
        </w:tc>
      </w:tr>
      <w:tr w:rsidR="00533EAC" w:rsidRPr="00533EAC" w14:paraId="5F34EBA4" w14:textId="77777777" w:rsidTr="001D1A0C">
        <w:trPr>
          <w:trHeight w:val="271"/>
          <w:jc w:val="center"/>
        </w:trPr>
        <w:tc>
          <w:tcPr>
            <w:tcW w:w="1134" w:type="dxa"/>
            <w:tcBorders>
              <w:top w:val="single" w:sz="4" w:space="0" w:color="auto"/>
              <w:left w:val="nil"/>
              <w:bottom w:val="nil"/>
              <w:right w:val="nil"/>
            </w:tcBorders>
            <w:noWrap/>
            <w:vAlign w:val="center"/>
            <w:hideMark/>
          </w:tcPr>
          <w:p w14:paraId="573DD88A" w14:textId="77777777" w:rsidR="005633D6" w:rsidRPr="00533EAC" w:rsidRDefault="005633D6"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Pstol1</w:t>
            </w:r>
          </w:p>
        </w:tc>
        <w:tc>
          <w:tcPr>
            <w:tcW w:w="1985" w:type="dxa"/>
            <w:tcBorders>
              <w:top w:val="single" w:sz="4" w:space="0" w:color="auto"/>
              <w:left w:val="nil"/>
              <w:bottom w:val="nil"/>
              <w:right w:val="nil"/>
            </w:tcBorders>
            <w:vAlign w:val="center"/>
          </w:tcPr>
          <w:p w14:paraId="7AA909B6" w14:textId="77777777" w:rsidR="005633D6" w:rsidRPr="00533EAC" w:rsidRDefault="005633D6"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 xml:space="preserve">0.285 (0.018, 0.523) </w:t>
            </w:r>
          </w:p>
        </w:tc>
        <w:tc>
          <w:tcPr>
            <w:tcW w:w="1984" w:type="dxa"/>
            <w:tcBorders>
              <w:top w:val="single" w:sz="4" w:space="0" w:color="auto"/>
              <w:left w:val="nil"/>
              <w:bottom w:val="nil"/>
              <w:right w:val="nil"/>
            </w:tcBorders>
            <w:vAlign w:val="center"/>
          </w:tcPr>
          <w:p w14:paraId="41E67451" w14:textId="5AD35450" w:rsidR="005633D6" w:rsidRPr="00533EAC" w:rsidRDefault="00473BF4"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w:t>
            </w:r>
            <w:r w:rsidR="005633D6" w:rsidRPr="00533EAC">
              <w:rPr>
                <w:rFonts w:ascii="Arial" w:eastAsia="Times New Roman" w:hAnsi="Arial" w:cs="Arial"/>
                <w:color w:val="000000" w:themeColor="text1"/>
                <w:sz w:val="16"/>
                <w:szCs w:val="16"/>
                <w:lang w:val="en-ZA" w:eastAsia="de-DE"/>
              </w:rPr>
              <w:t xml:space="preserve">0.124 </w:t>
            </w:r>
            <w:r w:rsidRPr="00533EAC">
              <w:rPr>
                <w:rFonts w:ascii="Arial" w:eastAsia="Times New Roman" w:hAnsi="Arial" w:cs="Arial"/>
                <w:color w:val="000000" w:themeColor="text1"/>
                <w:sz w:val="16"/>
                <w:szCs w:val="16"/>
                <w:lang w:val="en-ZA" w:eastAsia="de-DE"/>
              </w:rPr>
              <w:t>(–</w:t>
            </w:r>
            <w:r w:rsidR="005633D6" w:rsidRPr="00533EAC">
              <w:rPr>
                <w:rFonts w:ascii="Arial" w:eastAsia="Times New Roman" w:hAnsi="Arial" w:cs="Arial"/>
                <w:color w:val="000000" w:themeColor="text1"/>
                <w:sz w:val="16"/>
                <w:szCs w:val="16"/>
                <w:lang w:val="en-ZA" w:eastAsia="de-DE"/>
              </w:rPr>
              <w:t xml:space="preserve">0.215, </w:t>
            </w:r>
            <w:r w:rsidRPr="00533EAC">
              <w:rPr>
                <w:rFonts w:ascii="Arial" w:eastAsia="Times New Roman" w:hAnsi="Arial" w:cs="Arial"/>
                <w:color w:val="000000" w:themeColor="text1"/>
                <w:sz w:val="16"/>
                <w:szCs w:val="16"/>
                <w:lang w:val="en-ZA" w:eastAsia="de-DE"/>
              </w:rPr>
              <w:t>–</w:t>
            </w:r>
            <w:r w:rsidR="005633D6" w:rsidRPr="00533EAC">
              <w:rPr>
                <w:rFonts w:ascii="Arial" w:eastAsia="Times New Roman" w:hAnsi="Arial" w:cs="Arial"/>
                <w:color w:val="000000" w:themeColor="text1"/>
                <w:sz w:val="16"/>
                <w:szCs w:val="16"/>
                <w:lang w:val="en-ZA" w:eastAsia="de-DE"/>
              </w:rPr>
              <w:t>0.056)</w:t>
            </w:r>
          </w:p>
        </w:tc>
        <w:tc>
          <w:tcPr>
            <w:tcW w:w="2410" w:type="dxa"/>
            <w:tcBorders>
              <w:top w:val="single" w:sz="4" w:space="0" w:color="auto"/>
              <w:left w:val="nil"/>
              <w:bottom w:val="nil"/>
              <w:right w:val="nil"/>
            </w:tcBorders>
            <w:vAlign w:val="center"/>
          </w:tcPr>
          <w:p w14:paraId="4109222A" w14:textId="24D0173F" w:rsidR="005633D6" w:rsidRPr="00533EAC" w:rsidRDefault="00473BF4"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w:t>
            </w:r>
            <w:r w:rsidR="005633D6" w:rsidRPr="00533EAC">
              <w:rPr>
                <w:rFonts w:ascii="Arial" w:eastAsia="Times New Roman" w:hAnsi="Arial" w:cs="Arial"/>
                <w:color w:val="000000" w:themeColor="text1"/>
                <w:sz w:val="16"/>
                <w:szCs w:val="16"/>
                <w:lang w:val="en-ZA" w:eastAsia="de-DE"/>
              </w:rPr>
              <w:t>0.055 (</w:t>
            </w:r>
            <w:r w:rsidRPr="00533EAC">
              <w:rPr>
                <w:rFonts w:ascii="Arial" w:eastAsia="Times New Roman" w:hAnsi="Arial" w:cs="Arial"/>
                <w:color w:val="000000" w:themeColor="text1"/>
                <w:sz w:val="16"/>
                <w:szCs w:val="16"/>
                <w:lang w:val="en-ZA" w:eastAsia="de-DE"/>
              </w:rPr>
              <w:t>–</w:t>
            </w:r>
            <w:r w:rsidR="005633D6" w:rsidRPr="00533EAC">
              <w:rPr>
                <w:rFonts w:ascii="Arial" w:eastAsia="Times New Roman" w:hAnsi="Arial" w:cs="Arial"/>
                <w:color w:val="000000" w:themeColor="text1"/>
                <w:sz w:val="16"/>
                <w:szCs w:val="16"/>
                <w:lang w:val="en-ZA" w:eastAsia="de-DE"/>
              </w:rPr>
              <w:t>0.320, 0.155)</w:t>
            </w:r>
          </w:p>
        </w:tc>
        <w:tc>
          <w:tcPr>
            <w:tcW w:w="1418" w:type="dxa"/>
            <w:tcBorders>
              <w:top w:val="single" w:sz="4" w:space="0" w:color="auto"/>
              <w:left w:val="nil"/>
              <w:bottom w:val="nil"/>
              <w:right w:val="nil"/>
            </w:tcBorders>
            <w:vAlign w:val="center"/>
          </w:tcPr>
          <w:p w14:paraId="16707DD3" w14:textId="77777777" w:rsidR="005633D6" w:rsidRPr="00533EAC" w:rsidRDefault="005633D6"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0.426</w:t>
            </w:r>
          </w:p>
        </w:tc>
        <w:tc>
          <w:tcPr>
            <w:tcW w:w="1984" w:type="dxa"/>
            <w:tcBorders>
              <w:top w:val="single" w:sz="4" w:space="0" w:color="auto"/>
              <w:left w:val="nil"/>
              <w:bottom w:val="nil"/>
              <w:right w:val="nil"/>
            </w:tcBorders>
            <w:vAlign w:val="center"/>
          </w:tcPr>
          <w:p w14:paraId="7497D5F3" w14:textId="77777777" w:rsidR="005633D6" w:rsidRPr="00533EAC" w:rsidRDefault="005633D6"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0.437</w:t>
            </w:r>
          </w:p>
        </w:tc>
        <w:tc>
          <w:tcPr>
            <w:tcW w:w="1933" w:type="dxa"/>
            <w:tcBorders>
              <w:top w:val="single" w:sz="4" w:space="0" w:color="auto"/>
              <w:left w:val="nil"/>
              <w:bottom w:val="nil"/>
              <w:right w:val="nil"/>
            </w:tcBorders>
            <w:vAlign w:val="center"/>
          </w:tcPr>
          <w:p w14:paraId="7FF7C45C" w14:textId="77777777" w:rsidR="005633D6" w:rsidRPr="00533EAC" w:rsidRDefault="005633D6"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0.238</w:t>
            </w:r>
          </w:p>
        </w:tc>
      </w:tr>
      <w:tr w:rsidR="00533EAC" w:rsidRPr="00533EAC" w14:paraId="375BD918" w14:textId="77777777" w:rsidTr="005565B0">
        <w:trPr>
          <w:trHeight w:val="271"/>
          <w:jc w:val="center"/>
        </w:trPr>
        <w:tc>
          <w:tcPr>
            <w:tcW w:w="1134" w:type="dxa"/>
            <w:tcBorders>
              <w:top w:val="nil"/>
              <w:left w:val="nil"/>
              <w:bottom w:val="nil"/>
              <w:right w:val="nil"/>
            </w:tcBorders>
            <w:noWrap/>
            <w:vAlign w:val="center"/>
            <w:hideMark/>
          </w:tcPr>
          <w:p w14:paraId="4DD7E772" w14:textId="77777777" w:rsidR="005633D6" w:rsidRPr="00533EAC" w:rsidRDefault="005633D6"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Pstol2</w:t>
            </w:r>
          </w:p>
        </w:tc>
        <w:tc>
          <w:tcPr>
            <w:tcW w:w="1985" w:type="dxa"/>
            <w:tcBorders>
              <w:top w:val="nil"/>
              <w:left w:val="nil"/>
              <w:bottom w:val="nil"/>
              <w:right w:val="nil"/>
            </w:tcBorders>
            <w:vAlign w:val="center"/>
          </w:tcPr>
          <w:p w14:paraId="6ED6F1C7" w14:textId="6F254A12" w:rsidR="005633D6" w:rsidRPr="00533EAC" w:rsidRDefault="00473BF4"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w:t>
            </w:r>
            <w:r w:rsidR="005633D6" w:rsidRPr="00533EAC">
              <w:rPr>
                <w:rFonts w:ascii="Arial" w:eastAsia="Times New Roman" w:hAnsi="Arial" w:cs="Arial"/>
                <w:color w:val="000000" w:themeColor="text1"/>
                <w:sz w:val="16"/>
                <w:szCs w:val="16"/>
                <w:lang w:val="en-ZA" w:eastAsia="de-DE"/>
              </w:rPr>
              <w:t xml:space="preserve">0.043 </w:t>
            </w:r>
            <w:r w:rsidRPr="00533EAC">
              <w:rPr>
                <w:rFonts w:ascii="Arial" w:eastAsia="Times New Roman" w:hAnsi="Arial" w:cs="Arial"/>
                <w:color w:val="000000" w:themeColor="text1"/>
                <w:sz w:val="16"/>
                <w:szCs w:val="16"/>
                <w:lang w:val="en-ZA" w:eastAsia="de-DE"/>
              </w:rPr>
              <w:t>(–</w:t>
            </w:r>
            <w:r w:rsidR="005633D6" w:rsidRPr="00533EAC">
              <w:rPr>
                <w:rFonts w:ascii="Arial" w:eastAsia="Times New Roman" w:hAnsi="Arial" w:cs="Arial"/>
                <w:color w:val="000000" w:themeColor="text1"/>
                <w:sz w:val="16"/>
                <w:szCs w:val="16"/>
                <w:lang w:val="en-ZA" w:eastAsia="de-DE"/>
              </w:rPr>
              <w:t>0.312, 0.000)</w:t>
            </w:r>
          </w:p>
        </w:tc>
        <w:tc>
          <w:tcPr>
            <w:tcW w:w="1984" w:type="dxa"/>
            <w:tcBorders>
              <w:top w:val="nil"/>
              <w:left w:val="nil"/>
              <w:bottom w:val="nil"/>
              <w:right w:val="nil"/>
            </w:tcBorders>
            <w:vAlign w:val="center"/>
          </w:tcPr>
          <w:p w14:paraId="470658AD" w14:textId="04979798" w:rsidR="005633D6" w:rsidRPr="00533EAC" w:rsidRDefault="005633D6"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0.839 (</w:t>
            </w:r>
            <w:r w:rsidR="00473BF4" w:rsidRPr="00533EAC">
              <w:rPr>
                <w:rFonts w:ascii="Arial" w:eastAsia="Times New Roman" w:hAnsi="Arial" w:cs="Arial"/>
                <w:color w:val="000000" w:themeColor="text1"/>
                <w:sz w:val="16"/>
                <w:szCs w:val="16"/>
                <w:lang w:val="en-ZA" w:eastAsia="de-DE"/>
              </w:rPr>
              <w:t>–</w:t>
            </w:r>
            <w:r w:rsidRPr="00533EAC">
              <w:rPr>
                <w:rFonts w:ascii="Arial" w:eastAsia="Times New Roman" w:hAnsi="Arial" w:cs="Arial"/>
                <w:color w:val="000000" w:themeColor="text1"/>
                <w:sz w:val="16"/>
                <w:szCs w:val="16"/>
                <w:lang w:val="en-ZA" w:eastAsia="de-DE"/>
              </w:rPr>
              <w:t>0.043, 1.000)</w:t>
            </w:r>
          </w:p>
        </w:tc>
        <w:tc>
          <w:tcPr>
            <w:tcW w:w="2410" w:type="dxa"/>
            <w:tcBorders>
              <w:top w:val="nil"/>
              <w:left w:val="nil"/>
              <w:bottom w:val="nil"/>
              <w:right w:val="nil"/>
            </w:tcBorders>
            <w:vAlign w:val="center"/>
          </w:tcPr>
          <w:p w14:paraId="5984C893" w14:textId="77777777" w:rsidR="005633D6" w:rsidRPr="00533EAC" w:rsidRDefault="005633D6"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0.848 (0.000, 1.000)</w:t>
            </w:r>
          </w:p>
        </w:tc>
        <w:tc>
          <w:tcPr>
            <w:tcW w:w="1418" w:type="dxa"/>
            <w:tcBorders>
              <w:top w:val="nil"/>
              <w:left w:val="nil"/>
              <w:bottom w:val="nil"/>
              <w:right w:val="nil"/>
            </w:tcBorders>
            <w:vAlign w:val="center"/>
          </w:tcPr>
          <w:p w14:paraId="560FA68A" w14:textId="77777777" w:rsidR="005633D6" w:rsidRPr="00533EAC" w:rsidRDefault="005633D6"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0.261</w:t>
            </w:r>
          </w:p>
        </w:tc>
        <w:tc>
          <w:tcPr>
            <w:tcW w:w="1984" w:type="dxa"/>
            <w:tcBorders>
              <w:top w:val="nil"/>
              <w:left w:val="nil"/>
              <w:bottom w:val="nil"/>
              <w:right w:val="nil"/>
            </w:tcBorders>
            <w:vAlign w:val="center"/>
          </w:tcPr>
          <w:p w14:paraId="3174CEA1" w14:textId="77777777" w:rsidR="005633D6" w:rsidRPr="00533EAC" w:rsidRDefault="005633D6"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0.061</w:t>
            </w:r>
          </w:p>
        </w:tc>
        <w:tc>
          <w:tcPr>
            <w:tcW w:w="1933" w:type="dxa"/>
            <w:tcBorders>
              <w:top w:val="nil"/>
              <w:left w:val="nil"/>
              <w:bottom w:val="nil"/>
              <w:right w:val="nil"/>
            </w:tcBorders>
            <w:vAlign w:val="center"/>
          </w:tcPr>
          <w:p w14:paraId="6927CFCD" w14:textId="77777777" w:rsidR="005633D6" w:rsidRPr="00533EAC" w:rsidRDefault="005633D6"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0.047</w:t>
            </w:r>
          </w:p>
        </w:tc>
      </w:tr>
      <w:tr w:rsidR="00533EAC" w:rsidRPr="00533EAC" w14:paraId="528B8835" w14:textId="77777777" w:rsidTr="005565B0">
        <w:trPr>
          <w:trHeight w:val="271"/>
          <w:jc w:val="center"/>
        </w:trPr>
        <w:tc>
          <w:tcPr>
            <w:tcW w:w="1134" w:type="dxa"/>
            <w:tcBorders>
              <w:top w:val="nil"/>
              <w:left w:val="nil"/>
              <w:bottom w:val="nil"/>
              <w:right w:val="nil"/>
            </w:tcBorders>
            <w:noWrap/>
            <w:vAlign w:val="center"/>
            <w:hideMark/>
          </w:tcPr>
          <w:p w14:paraId="257CFE09" w14:textId="77777777" w:rsidR="005633D6" w:rsidRPr="00533EAC" w:rsidRDefault="005633D6"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Pherd1</w:t>
            </w:r>
          </w:p>
        </w:tc>
        <w:tc>
          <w:tcPr>
            <w:tcW w:w="1985" w:type="dxa"/>
            <w:tcBorders>
              <w:top w:val="nil"/>
              <w:left w:val="nil"/>
              <w:bottom w:val="nil"/>
              <w:right w:val="nil"/>
            </w:tcBorders>
            <w:vAlign w:val="center"/>
          </w:tcPr>
          <w:p w14:paraId="472A6F85" w14:textId="469F49DB" w:rsidR="005633D6" w:rsidRPr="00533EAC" w:rsidRDefault="005633D6"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 xml:space="preserve">0.130 </w:t>
            </w:r>
            <w:r w:rsidR="00473BF4" w:rsidRPr="00533EAC">
              <w:rPr>
                <w:rFonts w:ascii="Arial" w:eastAsia="Times New Roman" w:hAnsi="Arial" w:cs="Arial"/>
                <w:color w:val="000000" w:themeColor="text1"/>
                <w:sz w:val="16"/>
                <w:szCs w:val="16"/>
                <w:lang w:val="en-ZA" w:eastAsia="de-DE"/>
              </w:rPr>
              <w:t>(–</w:t>
            </w:r>
            <w:r w:rsidRPr="00533EAC">
              <w:rPr>
                <w:rFonts w:ascii="Arial" w:eastAsia="Times New Roman" w:hAnsi="Arial" w:cs="Arial"/>
                <w:color w:val="000000" w:themeColor="text1"/>
                <w:sz w:val="16"/>
                <w:szCs w:val="16"/>
                <w:lang w:val="en-ZA" w:eastAsia="de-DE"/>
              </w:rPr>
              <w:t>0.176, 0.408)</w:t>
            </w:r>
          </w:p>
        </w:tc>
        <w:tc>
          <w:tcPr>
            <w:tcW w:w="1984" w:type="dxa"/>
            <w:tcBorders>
              <w:top w:val="nil"/>
              <w:left w:val="nil"/>
              <w:bottom w:val="nil"/>
              <w:right w:val="nil"/>
            </w:tcBorders>
            <w:vAlign w:val="center"/>
          </w:tcPr>
          <w:p w14:paraId="42050966" w14:textId="77777777" w:rsidR="005633D6" w:rsidRPr="00533EAC" w:rsidRDefault="005633D6"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0.471 (0.315, 0.636)</w:t>
            </w:r>
          </w:p>
        </w:tc>
        <w:tc>
          <w:tcPr>
            <w:tcW w:w="2410" w:type="dxa"/>
            <w:tcBorders>
              <w:top w:val="nil"/>
              <w:left w:val="nil"/>
              <w:bottom w:val="nil"/>
              <w:right w:val="nil"/>
            </w:tcBorders>
            <w:vAlign w:val="center"/>
          </w:tcPr>
          <w:p w14:paraId="56465DDA" w14:textId="67E133C4" w:rsidR="005633D6" w:rsidRPr="00533EAC" w:rsidRDefault="005633D6"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0.292 (</w:t>
            </w:r>
            <w:r w:rsidR="00473BF4" w:rsidRPr="00533EAC">
              <w:rPr>
                <w:rFonts w:ascii="Arial" w:eastAsia="Times New Roman" w:hAnsi="Arial" w:cs="Arial"/>
                <w:color w:val="000000" w:themeColor="text1"/>
                <w:sz w:val="16"/>
                <w:szCs w:val="16"/>
                <w:lang w:val="en-ZA" w:eastAsia="de-DE"/>
              </w:rPr>
              <w:t>–</w:t>
            </w:r>
            <w:r w:rsidRPr="00533EAC">
              <w:rPr>
                <w:rFonts w:ascii="Arial" w:eastAsia="Times New Roman" w:hAnsi="Arial" w:cs="Arial"/>
                <w:color w:val="000000" w:themeColor="text1"/>
                <w:sz w:val="16"/>
                <w:szCs w:val="16"/>
                <w:lang w:val="en-ZA" w:eastAsia="de-DE"/>
              </w:rPr>
              <w:t>0.008, 0.545)</w:t>
            </w:r>
          </w:p>
        </w:tc>
        <w:tc>
          <w:tcPr>
            <w:tcW w:w="1418" w:type="dxa"/>
            <w:tcBorders>
              <w:top w:val="nil"/>
              <w:left w:val="nil"/>
              <w:bottom w:val="nil"/>
              <w:right w:val="nil"/>
            </w:tcBorders>
            <w:vAlign w:val="center"/>
          </w:tcPr>
          <w:p w14:paraId="648B5F31" w14:textId="77777777" w:rsidR="005633D6" w:rsidRPr="00533EAC" w:rsidRDefault="005633D6"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0.407</w:t>
            </w:r>
          </w:p>
        </w:tc>
        <w:tc>
          <w:tcPr>
            <w:tcW w:w="1984" w:type="dxa"/>
            <w:tcBorders>
              <w:top w:val="nil"/>
              <w:left w:val="nil"/>
              <w:bottom w:val="nil"/>
              <w:right w:val="nil"/>
            </w:tcBorders>
            <w:vAlign w:val="center"/>
          </w:tcPr>
          <w:p w14:paraId="51CFC353" w14:textId="77777777" w:rsidR="005633D6" w:rsidRPr="00533EAC" w:rsidRDefault="005633D6"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0.268</w:t>
            </w:r>
          </w:p>
        </w:tc>
        <w:tc>
          <w:tcPr>
            <w:tcW w:w="1933" w:type="dxa"/>
            <w:tcBorders>
              <w:top w:val="nil"/>
              <w:left w:val="nil"/>
              <w:bottom w:val="nil"/>
              <w:right w:val="nil"/>
            </w:tcBorders>
            <w:vAlign w:val="center"/>
          </w:tcPr>
          <w:p w14:paraId="2A852FE7" w14:textId="77777777" w:rsidR="005633D6" w:rsidRPr="00533EAC" w:rsidRDefault="005633D6"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0.444</w:t>
            </w:r>
          </w:p>
        </w:tc>
      </w:tr>
      <w:tr w:rsidR="00533EAC" w:rsidRPr="00533EAC" w14:paraId="7498F41B" w14:textId="77777777" w:rsidTr="005565B0">
        <w:trPr>
          <w:trHeight w:val="271"/>
          <w:jc w:val="center"/>
        </w:trPr>
        <w:tc>
          <w:tcPr>
            <w:tcW w:w="1134" w:type="dxa"/>
            <w:tcBorders>
              <w:top w:val="nil"/>
              <w:left w:val="nil"/>
              <w:bottom w:val="nil"/>
              <w:right w:val="nil"/>
            </w:tcBorders>
            <w:noWrap/>
            <w:vAlign w:val="center"/>
            <w:hideMark/>
          </w:tcPr>
          <w:p w14:paraId="257461E6" w14:textId="77777777" w:rsidR="005633D6" w:rsidRPr="00533EAC" w:rsidRDefault="005633D6"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Pherd2</w:t>
            </w:r>
          </w:p>
        </w:tc>
        <w:tc>
          <w:tcPr>
            <w:tcW w:w="1985" w:type="dxa"/>
            <w:tcBorders>
              <w:top w:val="nil"/>
              <w:left w:val="nil"/>
              <w:bottom w:val="nil"/>
              <w:right w:val="nil"/>
            </w:tcBorders>
            <w:vAlign w:val="center"/>
          </w:tcPr>
          <w:p w14:paraId="7CDC7D3B" w14:textId="458BE4E8" w:rsidR="005633D6" w:rsidRPr="00533EAC" w:rsidRDefault="005633D6"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 xml:space="preserve">0.654 </w:t>
            </w:r>
            <w:r w:rsidR="00473BF4" w:rsidRPr="00533EAC">
              <w:rPr>
                <w:rFonts w:ascii="Arial" w:eastAsia="Times New Roman" w:hAnsi="Arial" w:cs="Arial"/>
                <w:color w:val="000000" w:themeColor="text1"/>
                <w:sz w:val="16"/>
                <w:szCs w:val="16"/>
                <w:lang w:val="en-ZA" w:eastAsia="de-DE"/>
              </w:rPr>
              <w:t>(–</w:t>
            </w:r>
            <w:r w:rsidRPr="00533EAC">
              <w:rPr>
                <w:rFonts w:ascii="Arial" w:eastAsia="Times New Roman" w:hAnsi="Arial" w:cs="Arial"/>
                <w:color w:val="000000" w:themeColor="text1"/>
                <w:sz w:val="16"/>
                <w:szCs w:val="16"/>
                <w:lang w:val="en-ZA" w:eastAsia="de-DE"/>
              </w:rPr>
              <w:t>0.027, 1.000)</w:t>
            </w:r>
          </w:p>
        </w:tc>
        <w:tc>
          <w:tcPr>
            <w:tcW w:w="1984" w:type="dxa"/>
            <w:tcBorders>
              <w:top w:val="nil"/>
              <w:left w:val="nil"/>
              <w:bottom w:val="nil"/>
              <w:right w:val="nil"/>
            </w:tcBorders>
            <w:vAlign w:val="center"/>
          </w:tcPr>
          <w:p w14:paraId="31BD47FB" w14:textId="22D9780B" w:rsidR="005633D6" w:rsidRPr="00533EAC" w:rsidRDefault="005633D6"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0.000 (</w:t>
            </w:r>
            <w:r w:rsidR="00473BF4" w:rsidRPr="00533EAC">
              <w:rPr>
                <w:rFonts w:ascii="Arial" w:eastAsia="Times New Roman" w:hAnsi="Arial" w:cs="Arial"/>
                <w:color w:val="000000" w:themeColor="text1"/>
                <w:sz w:val="16"/>
                <w:szCs w:val="16"/>
                <w:lang w:val="en-ZA" w:eastAsia="de-DE"/>
              </w:rPr>
              <w:t>–</w:t>
            </w:r>
            <w:r w:rsidRPr="00533EAC">
              <w:rPr>
                <w:rFonts w:ascii="Arial" w:eastAsia="Times New Roman" w:hAnsi="Arial" w:cs="Arial"/>
                <w:color w:val="000000" w:themeColor="text1"/>
                <w:sz w:val="16"/>
                <w:szCs w:val="16"/>
                <w:lang w:val="en-ZA" w:eastAsia="de-DE"/>
              </w:rPr>
              <w:t>0.037, 0.000)</w:t>
            </w:r>
          </w:p>
        </w:tc>
        <w:tc>
          <w:tcPr>
            <w:tcW w:w="2410" w:type="dxa"/>
            <w:tcBorders>
              <w:top w:val="nil"/>
              <w:left w:val="nil"/>
              <w:bottom w:val="nil"/>
              <w:right w:val="nil"/>
            </w:tcBorders>
            <w:vAlign w:val="center"/>
          </w:tcPr>
          <w:p w14:paraId="457F324A" w14:textId="77777777" w:rsidR="005633D6" w:rsidRPr="00533EAC" w:rsidRDefault="005633D6"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0.541 (0.228, 0.774)</w:t>
            </w:r>
          </w:p>
        </w:tc>
        <w:tc>
          <w:tcPr>
            <w:tcW w:w="1418" w:type="dxa"/>
            <w:tcBorders>
              <w:top w:val="nil"/>
              <w:left w:val="nil"/>
              <w:bottom w:val="nil"/>
              <w:right w:val="nil"/>
            </w:tcBorders>
            <w:vAlign w:val="center"/>
          </w:tcPr>
          <w:p w14:paraId="3BB90D03" w14:textId="77777777" w:rsidR="005633D6" w:rsidRPr="00533EAC" w:rsidRDefault="005633D6"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0.429</w:t>
            </w:r>
          </w:p>
        </w:tc>
        <w:tc>
          <w:tcPr>
            <w:tcW w:w="1984" w:type="dxa"/>
            <w:tcBorders>
              <w:top w:val="nil"/>
              <w:left w:val="nil"/>
              <w:bottom w:val="nil"/>
              <w:right w:val="nil"/>
            </w:tcBorders>
            <w:vAlign w:val="center"/>
          </w:tcPr>
          <w:p w14:paraId="4534F48C" w14:textId="77777777" w:rsidR="005633D6" w:rsidRPr="00533EAC" w:rsidRDefault="005633D6"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0.145</w:t>
            </w:r>
          </w:p>
        </w:tc>
        <w:tc>
          <w:tcPr>
            <w:tcW w:w="1933" w:type="dxa"/>
            <w:tcBorders>
              <w:top w:val="nil"/>
              <w:left w:val="nil"/>
              <w:bottom w:val="nil"/>
              <w:right w:val="nil"/>
            </w:tcBorders>
            <w:vAlign w:val="center"/>
          </w:tcPr>
          <w:p w14:paraId="1B966B24" w14:textId="0BDEF6B8" w:rsidR="005633D6" w:rsidRPr="00533EAC" w:rsidRDefault="00473BF4"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&lt;</w:t>
            </w:r>
            <w:r w:rsidR="005633D6" w:rsidRPr="00533EAC">
              <w:rPr>
                <w:rFonts w:ascii="Arial" w:eastAsia="Times New Roman" w:hAnsi="Arial" w:cs="Arial"/>
                <w:color w:val="000000" w:themeColor="text1"/>
                <w:sz w:val="16"/>
                <w:szCs w:val="16"/>
                <w:lang w:val="en-ZA" w:eastAsia="de-DE"/>
              </w:rPr>
              <w:t>0.</w:t>
            </w:r>
            <w:r w:rsidRPr="00533EAC">
              <w:rPr>
                <w:rFonts w:ascii="Arial" w:eastAsia="Times New Roman" w:hAnsi="Arial" w:cs="Arial"/>
                <w:color w:val="000000" w:themeColor="text1"/>
                <w:sz w:val="16"/>
                <w:szCs w:val="16"/>
                <w:lang w:val="en-ZA" w:eastAsia="de-DE"/>
              </w:rPr>
              <w:t>001</w:t>
            </w:r>
            <w:r w:rsidR="005633D6" w:rsidRPr="00533EAC">
              <w:rPr>
                <w:rFonts w:ascii="Arial" w:eastAsia="Calibri" w:hAnsi="Arial" w:cs="Arial"/>
                <w:color w:val="000000" w:themeColor="text1"/>
                <w:sz w:val="16"/>
                <w:szCs w:val="16"/>
                <w:lang w:val="en-ZA"/>
              </w:rPr>
              <w:t>*</w:t>
            </w:r>
          </w:p>
        </w:tc>
      </w:tr>
      <w:tr w:rsidR="005633D6" w:rsidRPr="00533EAC" w14:paraId="1438A1B7" w14:textId="77777777" w:rsidTr="000647CC">
        <w:trPr>
          <w:trHeight w:val="271"/>
          <w:jc w:val="center"/>
        </w:trPr>
        <w:tc>
          <w:tcPr>
            <w:tcW w:w="1134" w:type="dxa"/>
            <w:tcBorders>
              <w:top w:val="nil"/>
              <w:left w:val="nil"/>
              <w:bottom w:val="single" w:sz="4" w:space="0" w:color="auto"/>
              <w:right w:val="nil"/>
            </w:tcBorders>
            <w:noWrap/>
            <w:vAlign w:val="center"/>
          </w:tcPr>
          <w:p w14:paraId="12610735" w14:textId="77777777" w:rsidR="005633D6" w:rsidRPr="00533EAC" w:rsidRDefault="005633D6"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Pherd3</w:t>
            </w:r>
          </w:p>
        </w:tc>
        <w:tc>
          <w:tcPr>
            <w:tcW w:w="1985" w:type="dxa"/>
            <w:tcBorders>
              <w:top w:val="nil"/>
              <w:left w:val="nil"/>
              <w:bottom w:val="single" w:sz="4" w:space="0" w:color="auto"/>
              <w:right w:val="nil"/>
            </w:tcBorders>
            <w:vAlign w:val="center"/>
          </w:tcPr>
          <w:p w14:paraId="2F5E2FF5" w14:textId="57C76928" w:rsidR="005633D6" w:rsidRPr="00533EAC" w:rsidRDefault="00473BF4"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w:t>
            </w:r>
            <w:r w:rsidR="005633D6" w:rsidRPr="00533EAC">
              <w:rPr>
                <w:rFonts w:ascii="Arial" w:eastAsia="Times New Roman" w:hAnsi="Arial" w:cs="Arial"/>
                <w:color w:val="000000" w:themeColor="text1"/>
                <w:sz w:val="16"/>
                <w:szCs w:val="16"/>
                <w:lang w:val="en-ZA" w:eastAsia="de-DE"/>
              </w:rPr>
              <w:t xml:space="preserve">0.529 </w:t>
            </w:r>
            <w:r w:rsidRPr="00533EAC">
              <w:rPr>
                <w:rFonts w:ascii="Arial" w:eastAsia="Times New Roman" w:hAnsi="Arial" w:cs="Arial"/>
                <w:color w:val="000000" w:themeColor="text1"/>
                <w:sz w:val="16"/>
                <w:szCs w:val="16"/>
                <w:lang w:val="en-ZA" w:eastAsia="de-DE"/>
              </w:rPr>
              <w:t>(–</w:t>
            </w:r>
            <w:r w:rsidR="005633D6" w:rsidRPr="00533EAC">
              <w:rPr>
                <w:rFonts w:ascii="Arial" w:eastAsia="Times New Roman" w:hAnsi="Arial" w:cs="Arial"/>
                <w:color w:val="000000" w:themeColor="text1"/>
                <w:sz w:val="16"/>
                <w:szCs w:val="16"/>
                <w:lang w:val="en-ZA" w:eastAsia="de-DE"/>
              </w:rPr>
              <w:t xml:space="preserve">1.000, </w:t>
            </w:r>
            <w:r w:rsidRPr="00533EAC">
              <w:rPr>
                <w:rFonts w:ascii="Arial" w:eastAsia="Times New Roman" w:hAnsi="Arial" w:cs="Arial"/>
                <w:color w:val="000000" w:themeColor="text1"/>
                <w:sz w:val="16"/>
                <w:szCs w:val="16"/>
                <w:lang w:val="en-ZA" w:eastAsia="de-DE"/>
              </w:rPr>
              <w:t>–</w:t>
            </w:r>
            <w:r w:rsidR="005633D6" w:rsidRPr="00533EAC">
              <w:rPr>
                <w:rFonts w:ascii="Arial" w:eastAsia="Times New Roman" w:hAnsi="Arial" w:cs="Arial"/>
                <w:color w:val="000000" w:themeColor="text1"/>
                <w:sz w:val="16"/>
                <w:szCs w:val="16"/>
                <w:lang w:val="en-ZA" w:eastAsia="de-DE"/>
              </w:rPr>
              <w:t>0.047)</w:t>
            </w:r>
          </w:p>
        </w:tc>
        <w:tc>
          <w:tcPr>
            <w:tcW w:w="1984" w:type="dxa"/>
            <w:tcBorders>
              <w:top w:val="nil"/>
              <w:left w:val="nil"/>
              <w:bottom w:val="single" w:sz="4" w:space="0" w:color="auto"/>
              <w:right w:val="nil"/>
            </w:tcBorders>
            <w:vAlign w:val="center"/>
          </w:tcPr>
          <w:p w14:paraId="4B628A38" w14:textId="77777777" w:rsidR="005633D6" w:rsidRPr="00533EAC" w:rsidRDefault="005633D6"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0.512 (0.298, 0.685)</w:t>
            </w:r>
          </w:p>
        </w:tc>
        <w:tc>
          <w:tcPr>
            <w:tcW w:w="2410" w:type="dxa"/>
            <w:tcBorders>
              <w:top w:val="nil"/>
              <w:left w:val="nil"/>
              <w:bottom w:val="single" w:sz="4" w:space="0" w:color="auto"/>
              <w:right w:val="nil"/>
            </w:tcBorders>
            <w:vAlign w:val="center"/>
          </w:tcPr>
          <w:p w14:paraId="1E5D535F" w14:textId="181A0577" w:rsidR="005633D6" w:rsidRPr="00533EAC" w:rsidRDefault="005633D6"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0.060 (</w:t>
            </w:r>
            <w:r w:rsidR="00473BF4" w:rsidRPr="00533EAC">
              <w:rPr>
                <w:rFonts w:ascii="Arial" w:eastAsia="Times New Roman" w:hAnsi="Arial" w:cs="Arial"/>
                <w:color w:val="000000" w:themeColor="text1"/>
                <w:sz w:val="16"/>
                <w:szCs w:val="16"/>
                <w:lang w:val="en-ZA" w:eastAsia="de-DE"/>
              </w:rPr>
              <w:t>–</w:t>
            </w:r>
            <w:r w:rsidRPr="00533EAC">
              <w:rPr>
                <w:rFonts w:ascii="Arial" w:eastAsia="Times New Roman" w:hAnsi="Arial" w:cs="Arial"/>
                <w:color w:val="000000" w:themeColor="text1"/>
                <w:sz w:val="16"/>
                <w:szCs w:val="16"/>
                <w:lang w:val="en-ZA" w:eastAsia="de-DE"/>
              </w:rPr>
              <w:t>0.125, 0.220)</w:t>
            </w:r>
          </w:p>
        </w:tc>
        <w:tc>
          <w:tcPr>
            <w:tcW w:w="1418" w:type="dxa"/>
            <w:tcBorders>
              <w:top w:val="nil"/>
              <w:left w:val="nil"/>
              <w:bottom w:val="single" w:sz="4" w:space="0" w:color="auto"/>
              <w:right w:val="nil"/>
            </w:tcBorders>
            <w:vAlign w:val="center"/>
          </w:tcPr>
          <w:p w14:paraId="7D5432DB" w14:textId="77777777" w:rsidR="005633D6" w:rsidRPr="00533EAC" w:rsidRDefault="005633D6"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0.003</w:t>
            </w:r>
            <w:r w:rsidRPr="00533EAC">
              <w:rPr>
                <w:rFonts w:ascii="Arial" w:eastAsia="Calibri" w:hAnsi="Arial" w:cs="Arial"/>
                <w:color w:val="000000" w:themeColor="text1"/>
                <w:sz w:val="16"/>
                <w:szCs w:val="16"/>
                <w:lang w:val="en-ZA"/>
              </w:rPr>
              <w:t>*</w:t>
            </w:r>
          </w:p>
        </w:tc>
        <w:tc>
          <w:tcPr>
            <w:tcW w:w="1984" w:type="dxa"/>
            <w:tcBorders>
              <w:top w:val="nil"/>
              <w:left w:val="nil"/>
              <w:bottom w:val="single" w:sz="4" w:space="0" w:color="auto"/>
              <w:right w:val="nil"/>
            </w:tcBorders>
            <w:vAlign w:val="center"/>
          </w:tcPr>
          <w:p w14:paraId="2230097A" w14:textId="77777777" w:rsidR="005633D6" w:rsidRPr="00533EAC" w:rsidRDefault="005633D6" w:rsidP="00C05A32">
            <w:pPr>
              <w:keepNext/>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0.191</w:t>
            </w:r>
          </w:p>
        </w:tc>
        <w:tc>
          <w:tcPr>
            <w:tcW w:w="1933" w:type="dxa"/>
            <w:tcBorders>
              <w:top w:val="nil"/>
              <w:left w:val="nil"/>
              <w:bottom w:val="single" w:sz="4" w:space="0" w:color="auto"/>
              <w:right w:val="nil"/>
            </w:tcBorders>
            <w:vAlign w:val="center"/>
          </w:tcPr>
          <w:p w14:paraId="27E841FF" w14:textId="77777777" w:rsidR="005633D6" w:rsidRPr="00533EAC" w:rsidRDefault="005633D6" w:rsidP="00C05A32">
            <w:pPr>
              <w:keepNext/>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0.085</w:t>
            </w:r>
          </w:p>
        </w:tc>
      </w:tr>
    </w:tbl>
    <w:p w14:paraId="333900CB" w14:textId="7EE77D83" w:rsidR="00473BF4" w:rsidRPr="00533EAC" w:rsidRDefault="00473BF4" w:rsidP="00C05A32">
      <w:pPr>
        <w:spacing w:after="0" w:line="200" w:lineRule="exact"/>
        <w:rPr>
          <w:rFonts w:ascii="Arial" w:eastAsia="Calibri" w:hAnsi="Arial" w:cs="Arial"/>
          <w:i/>
          <w:color w:val="000000" w:themeColor="text1"/>
          <w:sz w:val="16"/>
          <w:szCs w:val="16"/>
          <w:lang w:val="en-ZA"/>
        </w:rPr>
      </w:pPr>
    </w:p>
    <w:p w14:paraId="11C71210" w14:textId="63FC4F01" w:rsidR="00473BF4" w:rsidRPr="00533EAC" w:rsidRDefault="00473BF4" w:rsidP="00C05A32">
      <w:pPr>
        <w:spacing w:after="0" w:line="200" w:lineRule="exact"/>
        <w:rPr>
          <w:rFonts w:ascii="Arial" w:eastAsia="Calibri" w:hAnsi="Arial" w:cs="Arial"/>
          <w:i/>
          <w:color w:val="000000" w:themeColor="text1"/>
          <w:sz w:val="16"/>
          <w:szCs w:val="16"/>
          <w:lang w:val="en-ZA"/>
        </w:rPr>
      </w:pPr>
    </w:p>
    <w:p w14:paraId="616FD4C5" w14:textId="77777777" w:rsidR="00473BF4" w:rsidRPr="00533EAC" w:rsidRDefault="00473BF4" w:rsidP="00C05A32">
      <w:pPr>
        <w:spacing w:after="0" w:line="200" w:lineRule="exact"/>
        <w:rPr>
          <w:rFonts w:ascii="Arial" w:eastAsia="Calibri" w:hAnsi="Arial" w:cs="Arial"/>
          <w:i/>
          <w:color w:val="000000" w:themeColor="text1"/>
          <w:sz w:val="16"/>
          <w:szCs w:val="16"/>
          <w:lang w:val="en-ZA"/>
        </w:rPr>
      </w:pPr>
    </w:p>
    <w:p w14:paraId="6DAA1BFA" w14:textId="77777777" w:rsidR="00473BF4" w:rsidRPr="00533EAC" w:rsidRDefault="00473BF4">
      <w:pPr>
        <w:rPr>
          <w:rFonts w:ascii="Arial" w:eastAsia="Calibri" w:hAnsi="Arial" w:cs="Arial"/>
          <w:b/>
          <w:color w:val="000000" w:themeColor="text1"/>
          <w:sz w:val="16"/>
          <w:szCs w:val="16"/>
          <w:lang w:val="en-ZA"/>
        </w:rPr>
      </w:pPr>
      <w:r w:rsidRPr="00533EAC">
        <w:rPr>
          <w:rFonts w:ascii="Arial" w:eastAsia="Calibri" w:hAnsi="Arial" w:cs="Arial"/>
          <w:b/>
          <w:color w:val="000000" w:themeColor="text1"/>
          <w:sz w:val="16"/>
          <w:szCs w:val="16"/>
          <w:lang w:val="en-ZA"/>
        </w:rPr>
        <w:br w:type="page"/>
      </w:r>
    </w:p>
    <w:p w14:paraId="5CA6352C" w14:textId="4DDEF077" w:rsidR="005633D6" w:rsidRPr="00533EAC" w:rsidRDefault="005633D6" w:rsidP="00C05A32">
      <w:pPr>
        <w:spacing w:after="0" w:line="360" w:lineRule="auto"/>
        <w:rPr>
          <w:rFonts w:ascii="Arial" w:eastAsia="Calibri" w:hAnsi="Arial" w:cs="Arial"/>
          <w:color w:val="000000" w:themeColor="text1"/>
          <w:sz w:val="20"/>
          <w:szCs w:val="20"/>
          <w:lang w:val="en-ZA"/>
        </w:rPr>
      </w:pPr>
      <w:r w:rsidRPr="00533EAC">
        <w:rPr>
          <w:rFonts w:ascii="Arial" w:eastAsia="Calibri" w:hAnsi="Arial" w:cs="Arial"/>
          <w:b/>
          <w:color w:val="000000" w:themeColor="text1"/>
          <w:sz w:val="20"/>
          <w:szCs w:val="20"/>
          <w:lang w:val="en-ZA"/>
        </w:rPr>
        <w:lastRenderedPageBreak/>
        <w:t xml:space="preserve">Table 4: </w:t>
      </w:r>
      <w:r w:rsidRPr="00533EAC">
        <w:rPr>
          <w:rFonts w:ascii="Arial" w:eastAsia="Calibri" w:hAnsi="Arial" w:cs="Arial"/>
          <w:color w:val="000000" w:themeColor="text1"/>
          <w:sz w:val="20"/>
          <w:szCs w:val="20"/>
          <w:lang w:val="en-ZA"/>
        </w:rPr>
        <w:t>Partial mitoge</w:t>
      </w:r>
      <w:r w:rsidR="00A11BDD" w:rsidRPr="00533EAC">
        <w:rPr>
          <w:rFonts w:ascii="Arial" w:eastAsia="Calibri" w:hAnsi="Arial" w:cs="Arial"/>
          <w:color w:val="000000" w:themeColor="text1"/>
          <w:sz w:val="20"/>
          <w:szCs w:val="20"/>
          <w:lang w:val="en-ZA"/>
        </w:rPr>
        <w:t>n</w:t>
      </w:r>
      <w:r w:rsidRPr="00533EAC">
        <w:rPr>
          <w:rFonts w:ascii="Arial" w:eastAsia="Calibri" w:hAnsi="Arial" w:cs="Arial"/>
          <w:color w:val="000000" w:themeColor="text1"/>
          <w:sz w:val="20"/>
          <w:szCs w:val="20"/>
          <w:lang w:val="en-ZA"/>
        </w:rPr>
        <w:t>o</w:t>
      </w:r>
      <w:r w:rsidR="00A11BDD" w:rsidRPr="00533EAC">
        <w:rPr>
          <w:rFonts w:ascii="Arial" w:eastAsia="Calibri" w:hAnsi="Arial" w:cs="Arial"/>
          <w:color w:val="000000" w:themeColor="text1"/>
          <w:sz w:val="20"/>
          <w:szCs w:val="20"/>
          <w:lang w:val="en-ZA"/>
        </w:rPr>
        <w:t>m</w:t>
      </w:r>
      <w:r w:rsidRPr="00533EAC">
        <w:rPr>
          <w:rFonts w:ascii="Arial" w:eastAsia="Calibri" w:hAnsi="Arial" w:cs="Arial"/>
          <w:color w:val="000000" w:themeColor="text1"/>
          <w:sz w:val="20"/>
          <w:szCs w:val="20"/>
          <w:lang w:val="en-ZA"/>
        </w:rPr>
        <w:t>e length for the concatenated 13</w:t>
      </w:r>
      <w:r w:rsidR="00473BF4" w:rsidRPr="00533EAC">
        <w:rPr>
          <w:rFonts w:ascii="Arial" w:eastAsia="Calibri" w:hAnsi="Arial" w:cs="Arial"/>
          <w:color w:val="000000" w:themeColor="text1"/>
          <w:sz w:val="20"/>
          <w:szCs w:val="20"/>
          <w:lang w:val="en-ZA"/>
        </w:rPr>
        <w:t xml:space="preserve"> protein-coding genes</w:t>
      </w:r>
      <w:r w:rsidRPr="00533EAC">
        <w:rPr>
          <w:rFonts w:ascii="Arial" w:eastAsia="Calibri" w:hAnsi="Arial" w:cs="Arial"/>
          <w:color w:val="000000" w:themeColor="text1"/>
          <w:sz w:val="20"/>
          <w:szCs w:val="20"/>
          <w:lang w:val="en-ZA"/>
        </w:rPr>
        <w:t xml:space="preserve"> </w:t>
      </w:r>
      <w:r w:rsidR="00473BF4" w:rsidRPr="00533EAC">
        <w:rPr>
          <w:rFonts w:ascii="Arial" w:eastAsia="Calibri" w:hAnsi="Arial" w:cs="Arial"/>
          <w:color w:val="000000" w:themeColor="text1"/>
          <w:sz w:val="20"/>
          <w:szCs w:val="20"/>
          <w:lang w:val="en-ZA"/>
        </w:rPr>
        <w:t>(</w:t>
      </w:r>
      <w:r w:rsidRPr="00533EAC">
        <w:rPr>
          <w:rFonts w:ascii="Arial" w:eastAsia="Calibri" w:hAnsi="Arial" w:cs="Arial"/>
          <w:color w:val="000000" w:themeColor="text1"/>
          <w:sz w:val="20"/>
          <w:szCs w:val="20"/>
          <w:lang w:val="en-ZA"/>
        </w:rPr>
        <w:t>PCGs</w:t>
      </w:r>
      <w:r w:rsidR="00473BF4" w:rsidRPr="00533EAC">
        <w:rPr>
          <w:rFonts w:ascii="Arial" w:eastAsia="Calibri" w:hAnsi="Arial" w:cs="Arial"/>
          <w:color w:val="000000" w:themeColor="text1"/>
          <w:sz w:val="20"/>
          <w:szCs w:val="20"/>
          <w:lang w:val="en-ZA"/>
        </w:rPr>
        <w:t>)</w:t>
      </w:r>
      <w:r w:rsidRPr="00533EAC">
        <w:rPr>
          <w:rFonts w:ascii="Arial" w:eastAsia="Calibri" w:hAnsi="Arial" w:cs="Arial"/>
          <w:color w:val="000000" w:themeColor="text1"/>
          <w:sz w:val="20"/>
          <w:szCs w:val="20"/>
          <w:lang w:val="en-ZA"/>
        </w:rPr>
        <w:t xml:space="preserve"> of </w:t>
      </w:r>
      <w:r w:rsidRPr="00533EAC">
        <w:rPr>
          <w:rFonts w:ascii="Arial" w:eastAsia="Calibri" w:hAnsi="Arial" w:cs="Arial"/>
          <w:i/>
          <w:color w:val="000000" w:themeColor="text1"/>
          <w:sz w:val="20"/>
          <w:szCs w:val="20"/>
          <w:lang w:val="en-ZA"/>
        </w:rPr>
        <w:t xml:space="preserve">Pyura stolonifera </w:t>
      </w:r>
      <w:r w:rsidRPr="00533EAC">
        <w:rPr>
          <w:rFonts w:ascii="Arial" w:eastAsia="Calibri" w:hAnsi="Arial" w:cs="Arial"/>
          <w:iCs/>
          <w:color w:val="000000" w:themeColor="text1"/>
          <w:sz w:val="20"/>
          <w:szCs w:val="20"/>
          <w:lang w:val="en-ZA"/>
        </w:rPr>
        <w:t>and</w:t>
      </w:r>
      <w:r w:rsidRPr="00533EAC">
        <w:rPr>
          <w:rFonts w:ascii="Arial" w:eastAsia="Calibri" w:hAnsi="Arial" w:cs="Arial"/>
          <w:i/>
          <w:color w:val="000000" w:themeColor="text1"/>
          <w:sz w:val="20"/>
          <w:szCs w:val="20"/>
          <w:lang w:val="en-ZA"/>
        </w:rPr>
        <w:t xml:space="preserve"> P. herdmani </w:t>
      </w:r>
      <w:r w:rsidRPr="00533EAC">
        <w:rPr>
          <w:rFonts w:ascii="Arial" w:eastAsia="Calibri" w:hAnsi="Arial" w:cs="Arial"/>
          <w:color w:val="000000" w:themeColor="text1"/>
          <w:sz w:val="20"/>
          <w:szCs w:val="20"/>
          <w:lang w:val="en-ZA"/>
        </w:rPr>
        <w:t>from four different bioregions</w:t>
      </w:r>
    </w:p>
    <w:tbl>
      <w:tblPr>
        <w:tblStyle w:val="Grigliatabella1"/>
        <w:tblW w:w="10490" w:type="dxa"/>
        <w:jc w:val="center"/>
        <w:tblLayout w:type="fixed"/>
        <w:tblLook w:val="04A0" w:firstRow="1" w:lastRow="0" w:firstColumn="1" w:lastColumn="0" w:noHBand="0" w:noVBand="1"/>
      </w:tblPr>
      <w:tblGrid>
        <w:gridCol w:w="1560"/>
        <w:gridCol w:w="1701"/>
        <w:gridCol w:w="1559"/>
        <w:gridCol w:w="2126"/>
        <w:gridCol w:w="1418"/>
        <w:gridCol w:w="2126"/>
      </w:tblGrid>
      <w:tr w:rsidR="00533EAC" w:rsidRPr="00533EAC" w14:paraId="345601D4" w14:textId="77777777" w:rsidTr="00C05A32">
        <w:trPr>
          <w:trHeight w:val="433"/>
          <w:jc w:val="center"/>
        </w:trPr>
        <w:tc>
          <w:tcPr>
            <w:tcW w:w="1560" w:type="dxa"/>
            <w:tcBorders>
              <w:left w:val="nil"/>
              <w:bottom w:val="single" w:sz="4" w:space="0" w:color="auto"/>
              <w:right w:val="nil"/>
            </w:tcBorders>
          </w:tcPr>
          <w:p w14:paraId="5358322D" w14:textId="77777777" w:rsidR="005633D6" w:rsidRPr="00533EAC" w:rsidRDefault="005633D6" w:rsidP="00C05A32">
            <w:pPr>
              <w:spacing w:line="200" w:lineRule="exact"/>
              <w:rPr>
                <w:rFonts w:ascii="Arial" w:eastAsia="Times New Roman" w:hAnsi="Arial" w:cs="Arial"/>
                <w:bCs/>
                <w:color w:val="000000" w:themeColor="text1"/>
                <w:sz w:val="16"/>
                <w:szCs w:val="16"/>
                <w:lang w:val="en-ZA" w:eastAsia="de-DE"/>
              </w:rPr>
            </w:pPr>
            <w:r w:rsidRPr="00533EAC">
              <w:rPr>
                <w:rFonts w:ascii="Arial" w:eastAsia="Times New Roman" w:hAnsi="Arial" w:cs="Arial"/>
                <w:bCs/>
                <w:color w:val="000000" w:themeColor="text1"/>
                <w:sz w:val="16"/>
                <w:szCs w:val="16"/>
                <w:lang w:val="en-ZA" w:eastAsia="de-DE"/>
              </w:rPr>
              <w:t>Species</w:t>
            </w:r>
          </w:p>
        </w:tc>
        <w:tc>
          <w:tcPr>
            <w:tcW w:w="1701" w:type="dxa"/>
            <w:tcBorders>
              <w:left w:val="nil"/>
              <w:bottom w:val="single" w:sz="4" w:space="0" w:color="auto"/>
              <w:right w:val="nil"/>
            </w:tcBorders>
          </w:tcPr>
          <w:p w14:paraId="64869C18" w14:textId="59217898" w:rsidR="005633D6" w:rsidRPr="00533EAC" w:rsidRDefault="00A11BDD" w:rsidP="00C05A32">
            <w:pPr>
              <w:spacing w:line="200" w:lineRule="exact"/>
              <w:rPr>
                <w:rFonts w:ascii="Arial" w:eastAsia="Times New Roman" w:hAnsi="Arial" w:cs="Arial"/>
                <w:bCs/>
                <w:color w:val="000000" w:themeColor="text1"/>
                <w:sz w:val="16"/>
                <w:szCs w:val="16"/>
                <w:lang w:val="en-ZA" w:eastAsia="de-DE"/>
              </w:rPr>
            </w:pPr>
            <w:r w:rsidRPr="00533EAC">
              <w:rPr>
                <w:rFonts w:ascii="Arial" w:eastAsia="Times New Roman" w:hAnsi="Arial" w:cs="Arial"/>
                <w:bCs/>
                <w:color w:val="000000" w:themeColor="text1"/>
                <w:sz w:val="16"/>
                <w:szCs w:val="16"/>
                <w:lang w:val="en-ZA" w:eastAsia="de-DE"/>
              </w:rPr>
              <w:t>Population d</w:t>
            </w:r>
            <w:r w:rsidR="005633D6" w:rsidRPr="00533EAC">
              <w:rPr>
                <w:rFonts w:ascii="Arial" w:eastAsia="Times New Roman" w:hAnsi="Arial" w:cs="Arial"/>
                <w:bCs/>
                <w:color w:val="000000" w:themeColor="text1"/>
                <w:sz w:val="16"/>
                <w:szCs w:val="16"/>
                <w:lang w:val="en-ZA" w:eastAsia="de-DE"/>
              </w:rPr>
              <w:t>efined by Teske et al. 2011</w:t>
            </w:r>
          </w:p>
        </w:tc>
        <w:tc>
          <w:tcPr>
            <w:tcW w:w="1559" w:type="dxa"/>
            <w:tcBorders>
              <w:left w:val="nil"/>
              <w:bottom w:val="single" w:sz="4" w:space="0" w:color="auto"/>
              <w:right w:val="nil"/>
            </w:tcBorders>
          </w:tcPr>
          <w:p w14:paraId="188D0FF4" w14:textId="77777777" w:rsidR="005633D6" w:rsidRPr="00533EAC" w:rsidRDefault="005633D6" w:rsidP="00C05A32">
            <w:pPr>
              <w:spacing w:line="200" w:lineRule="exact"/>
              <w:rPr>
                <w:rFonts w:ascii="Arial" w:eastAsia="Times New Roman" w:hAnsi="Arial" w:cs="Arial"/>
                <w:bCs/>
                <w:color w:val="000000" w:themeColor="text1"/>
                <w:sz w:val="16"/>
                <w:szCs w:val="16"/>
                <w:lang w:val="en-ZA" w:eastAsia="de-DE"/>
              </w:rPr>
            </w:pPr>
            <w:r w:rsidRPr="00533EAC">
              <w:rPr>
                <w:rFonts w:ascii="Arial" w:eastAsia="Times New Roman" w:hAnsi="Arial" w:cs="Arial"/>
                <w:bCs/>
                <w:color w:val="000000" w:themeColor="text1"/>
                <w:sz w:val="16"/>
                <w:szCs w:val="16"/>
                <w:lang w:val="en-ZA" w:eastAsia="de-DE"/>
              </w:rPr>
              <w:t>Bioregion</w:t>
            </w:r>
          </w:p>
        </w:tc>
        <w:tc>
          <w:tcPr>
            <w:tcW w:w="2126" w:type="dxa"/>
            <w:tcBorders>
              <w:left w:val="nil"/>
              <w:bottom w:val="single" w:sz="4" w:space="0" w:color="auto"/>
              <w:right w:val="nil"/>
            </w:tcBorders>
          </w:tcPr>
          <w:p w14:paraId="6A3B908A" w14:textId="77777777" w:rsidR="005633D6" w:rsidRPr="00533EAC" w:rsidRDefault="005633D6" w:rsidP="00C05A32">
            <w:pPr>
              <w:spacing w:line="200" w:lineRule="exact"/>
              <w:rPr>
                <w:rFonts w:ascii="Arial" w:eastAsia="Times New Roman" w:hAnsi="Arial" w:cs="Arial"/>
                <w:bCs/>
                <w:color w:val="000000" w:themeColor="text1"/>
                <w:sz w:val="16"/>
                <w:szCs w:val="16"/>
                <w:lang w:val="en-ZA" w:eastAsia="de-DE"/>
              </w:rPr>
            </w:pPr>
            <w:r w:rsidRPr="00533EAC">
              <w:rPr>
                <w:rFonts w:ascii="Arial" w:eastAsia="Times New Roman" w:hAnsi="Arial" w:cs="Arial"/>
                <w:bCs/>
                <w:color w:val="000000" w:themeColor="text1"/>
                <w:sz w:val="16"/>
                <w:szCs w:val="16"/>
                <w:lang w:val="en-ZA" w:eastAsia="de-DE"/>
              </w:rPr>
              <w:t>Geographical origin</w:t>
            </w:r>
          </w:p>
        </w:tc>
        <w:tc>
          <w:tcPr>
            <w:tcW w:w="1418" w:type="dxa"/>
            <w:tcBorders>
              <w:left w:val="nil"/>
              <w:bottom w:val="single" w:sz="4" w:space="0" w:color="auto"/>
              <w:right w:val="nil"/>
            </w:tcBorders>
          </w:tcPr>
          <w:p w14:paraId="4597996F" w14:textId="77777777" w:rsidR="005633D6" w:rsidRPr="00533EAC" w:rsidRDefault="005633D6" w:rsidP="00C05A32">
            <w:pPr>
              <w:spacing w:line="200" w:lineRule="exact"/>
              <w:rPr>
                <w:rFonts w:ascii="Arial" w:eastAsia="Times New Roman" w:hAnsi="Arial" w:cs="Arial"/>
                <w:bCs/>
                <w:color w:val="000000" w:themeColor="text1"/>
                <w:sz w:val="16"/>
                <w:szCs w:val="16"/>
                <w:lang w:val="en-ZA" w:eastAsia="de-DE"/>
              </w:rPr>
            </w:pPr>
            <w:r w:rsidRPr="00533EAC">
              <w:rPr>
                <w:rFonts w:ascii="Arial" w:eastAsia="Times New Roman" w:hAnsi="Arial" w:cs="Arial"/>
                <w:bCs/>
                <w:color w:val="000000" w:themeColor="text1"/>
                <w:sz w:val="16"/>
                <w:szCs w:val="16"/>
                <w:lang w:val="en-ZA" w:eastAsia="de-DE"/>
              </w:rPr>
              <w:t>Site name</w:t>
            </w:r>
          </w:p>
        </w:tc>
        <w:tc>
          <w:tcPr>
            <w:tcW w:w="2126" w:type="dxa"/>
            <w:tcBorders>
              <w:left w:val="nil"/>
              <w:bottom w:val="single" w:sz="4" w:space="0" w:color="auto"/>
              <w:right w:val="nil"/>
            </w:tcBorders>
          </w:tcPr>
          <w:p w14:paraId="0E21736E" w14:textId="741C5228" w:rsidR="005633D6" w:rsidRPr="00533EAC" w:rsidRDefault="005633D6" w:rsidP="00C05A32">
            <w:pPr>
              <w:spacing w:line="200" w:lineRule="exact"/>
              <w:rPr>
                <w:rFonts w:ascii="Arial" w:eastAsia="Times New Roman" w:hAnsi="Arial" w:cs="Arial"/>
                <w:bCs/>
                <w:color w:val="000000" w:themeColor="text1"/>
                <w:sz w:val="16"/>
                <w:szCs w:val="16"/>
                <w:lang w:val="en-ZA" w:eastAsia="de-DE"/>
              </w:rPr>
            </w:pPr>
            <w:r w:rsidRPr="00533EAC">
              <w:rPr>
                <w:rFonts w:ascii="Arial" w:eastAsia="Times New Roman" w:hAnsi="Arial" w:cs="Arial"/>
                <w:bCs/>
                <w:color w:val="000000" w:themeColor="text1"/>
                <w:sz w:val="16"/>
                <w:szCs w:val="16"/>
                <w:lang w:val="en-ZA" w:eastAsia="de-DE"/>
              </w:rPr>
              <w:t xml:space="preserve">Mitogenome </w:t>
            </w:r>
            <w:r w:rsidR="00A11BDD" w:rsidRPr="00533EAC">
              <w:rPr>
                <w:rFonts w:ascii="Arial" w:eastAsia="Times New Roman" w:hAnsi="Arial" w:cs="Arial"/>
                <w:bCs/>
                <w:color w:val="000000" w:themeColor="text1"/>
                <w:sz w:val="16"/>
                <w:szCs w:val="16"/>
                <w:lang w:val="en-ZA" w:eastAsia="de-DE"/>
              </w:rPr>
              <w:t>l</w:t>
            </w:r>
            <w:r w:rsidRPr="00533EAC">
              <w:rPr>
                <w:rFonts w:ascii="Arial" w:eastAsia="Times New Roman" w:hAnsi="Arial" w:cs="Arial"/>
                <w:bCs/>
                <w:color w:val="000000" w:themeColor="text1"/>
                <w:sz w:val="16"/>
                <w:szCs w:val="16"/>
                <w:lang w:val="en-ZA" w:eastAsia="de-DE"/>
              </w:rPr>
              <w:t>ength (bp)</w:t>
            </w:r>
          </w:p>
        </w:tc>
      </w:tr>
      <w:tr w:rsidR="00533EAC" w:rsidRPr="00533EAC" w14:paraId="1E0700C4" w14:textId="77777777" w:rsidTr="00473BF4">
        <w:trPr>
          <w:trHeight w:val="271"/>
          <w:jc w:val="center"/>
        </w:trPr>
        <w:tc>
          <w:tcPr>
            <w:tcW w:w="1560" w:type="dxa"/>
            <w:tcBorders>
              <w:top w:val="single" w:sz="4" w:space="0" w:color="auto"/>
              <w:left w:val="nil"/>
              <w:bottom w:val="nil"/>
              <w:right w:val="nil"/>
            </w:tcBorders>
          </w:tcPr>
          <w:p w14:paraId="1421B222" w14:textId="77777777" w:rsidR="005633D6" w:rsidRPr="00533EAC" w:rsidRDefault="005633D6" w:rsidP="00C05A32">
            <w:pPr>
              <w:spacing w:line="200" w:lineRule="exact"/>
              <w:rPr>
                <w:rFonts w:ascii="Arial" w:eastAsia="Times New Roman" w:hAnsi="Arial" w:cs="Arial"/>
                <w:i/>
                <w:color w:val="000000" w:themeColor="text1"/>
                <w:sz w:val="16"/>
                <w:szCs w:val="16"/>
                <w:lang w:val="en-ZA" w:eastAsia="de-DE"/>
              </w:rPr>
            </w:pPr>
            <w:r w:rsidRPr="00533EAC">
              <w:rPr>
                <w:rFonts w:ascii="Arial" w:eastAsia="Calibri" w:hAnsi="Arial" w:cs="Arial"/>
                <w:i/>
                <w:color w:val="000000" w:themeColor="text1"/>
                <w:sz w:val="16"/>
                <w:szCs w:val="16"/>
                <w:lang w:val="en-ZA"/>
              </w:rPr>
              <w:t>P. stolonifera</w:t>
            </w:r>
          </w:p>
        </w:tc>
        <w:tc>
          <w:tcPr>
            <w:tcW w:w="1701" w:type="dxa"/>
            <w:tcBorders>
              <w:top w:val="single" w:sz="4" w:space="0" w:color="auto"/>
              <w:left w:val="nil"/>
              <w:bottom w:val="nil"/>
              <w:right w:val="nil"/>
            </w:tcBorders>
          </w:tcPr>
          <w:p w14:paraId="6BBB91A0" w14:textId="7D88BACB" w:rsidR="005633D6" w:rsidRPr="00533EAC" w:rsidRDefault="00740697" w:rsidP="00C05A32">
            <w:pPr>
              <w:spacing w:line="200" w:lineRule="exact"/>
              <w:rPr>
                <w:rFonts w:ascii="Arial" w:eastAsia="Times New Roman" w:hAnsi="Arial" w:cs="Arial"/>
                <w:i/>
                <w:color w:val="000000" w:themeColor="text1"/>
                <w:sz w:val="16"/>
                <w:szCs w:val="16"/>
                <w:lang w:val="en-ZA" w:eastAsia="de-DE"/>
              </w:rPr>
            </w:pPr>
            <w:r w:rsidRPr="00533EAC">
              <w:rPr>
                <w:rFonts w:ascii="Arial" w:eastAsia="Calibri" w:hAnsi="Arial" w:cs="Arial"/>
                <w:color w:val="000000" w:themeColor="text1"/>
                <w:sz w:val="16"/>
                <w:szCs w:val="16"/>
                <w:lang w:val="en-ZA"/>
              </w:rPr>
              <w:t>–</w:t>
            </w:r>
          </w:p>
        </w:tc>
        <w:tc>
          <w:tcPr>
            <w:tcW w:w="1559" w:type="dxa"/>
            <w:tcBorders>
              <w:top w:val="single" w:sz="4" w:space="0" w:color="auto"/>
              <w:left w:val="nil"/>
              <w:bottom w:val="nil"/>
              <w:right w:val="nil"/>
            </w:tcBorders>
          </w:tcPr>
          <w:p w14:paraId="15CE87B6" w14:textId="4734159A" w:rsidR="005633D6" w:rsidRPr="00533EAC" w:rsidRDefault="00740697" w:rsidP="00C05A32">
            <w:pPr>
              <w:spacing w:line="200" w:lineRule="exact"/>
              <w:rPr>
                <w:rFonts w:ascii="Arial" w:eastAsia="Times New Roman" w:hAnsi="Arial" w:cs="Arial"/>
                <w:i/>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Cool temperate</w:t>
            </w:r>
          </w:p>
        </w:tc>
        <w:tc>
          <w:tcPr>
            <w:tcW w:w="2126" w:type="dxa"/>
            <w:tcBorders>
              <w:top w:val="single" w:sz="4" w:space="0" w:color="auto"/>
              <w:left w:val="nil"/>
              <w:bottom w:val="nil"/>
              <w:right w:val="nil"/>
            </w:tcBorders>
          </w:tcPr>
          <w:p w14:paraId="2F3909D7" w14:textId="0172FE1A" w:rsidR="005633D6" w:rsidRPr="00533EAC" w:rsidRDefault="00740697"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 xml:space="preserve">Western </w:t>
            </w:r>
            <w:r w:rsidR="005633D6" w:rsidRPr="00533EAC">
              <w:rPr>
                <w:rFonts w:ascii="Arial" w:eastAsia="Times New Roman" w:hAnsi="Arial" w:cs="Arial"/>
                <w:color w:val="000000" w:themeColor="text1"/>
                <w:sz w:val="16"/>
                <w:szCs w:val="16"/>
                <w:lang w:val="en-ZA" w:eastAsia="de-DE"/>
              </w:rPr>
              <w:t>South Africa</w:t>
            </w:r>
          </w:p>
        </w:tc>
        <w:tc>
          <w:tcPr>
            <w:tcW w:w="1418" w:type="dxa"/>
            <w:tcBorders>
              <w:top w:val="single" w:sz="4" w:space="0" w:color="auto"/>
              <w:left w:val="nil"/>
              <w:bottom w:val="nil"/>
              <w:right w:val="nil"/>
            </w:tcBorders>
          </w:tcPr>
          <w:p w14:paraId="3A3B43D7" w14:textId="77777777" w:rsidR="005633D6" w:rsidRPr="00533EAC" w:rsidRDefault="005633D6"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False Bay</w:t>
            </w:r>
          </w:p>
        </w:tc>
        <w:tc>
          <w:tcPr>
            <w:tcW w:w="2126" w:type="dxa"/>
            <w:tcBorders>
              <w:top w:val="single" w:sz="4" w:space="0" w:color="auto"/>
              <w:left w:val="nil"/>
              <w:bottom w:val="nil"/>
              <w:right w:val="nil"/>
            </w:tcBorders>
          </w:tcPr>
          <w:p w14:paraId="0EA65491" w14:textId="338AE4C4" w:rsidR="005633D6" w:rsidRPr="00533EAC" w:rsidRDefault="005633D6"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5</w:t>
            </w:r>
            <w:r w:rsidR="00740697" w:rsidRPr="00533EAC">
              <w:rPr>
                <w:rFonts w:ascii="Arial" w:eastAsia="Times New Roman" w:hAnsi="Arial" w:cs="Arial"/>
                <w:color w:val="000000" w:themeColor="text1"/>
                <w:sz w:val="16"/>
                <w:szCs w:val="16"/>
                <w:lang w:val="en-ZA" w:eastAsia="de-DE"/>
              </w:rPr>
              <w:t xml:space="preserve"> </w:t>
            </w:r>
            <w:r w:rsidRPr="00533EAC">
              <w:rPr>
                <w:rFonts w:ascii="Arial" w:eastAsia="Times New Roman" w:hAnsi="Arial" w:cs="Arial"/>
                <w:color w:val="000000" w:themeColor="text1"/>
                <w:sz w:val="16"/>
                <w:szCs w:val="16"/>
                <w:lang w:val="en-ZA" w:eastAsia="de-DE"/>
              </w:rPr>
              <w:t>141</w:t>
            </w:r>
          </w:p>
        </w:tc>
      </w:tr>
      <w:tr w:rsidR="00533EAC" w:rsidRPr="00533EAC" w14:paraId="02C78E27" w14:textId="77777777" w:rsidTr="005565B0">
        <w:trPr>
          <w:trHeight w:val="271"/>
          <w:jc w:val="center"/>
        </w:trPr>
        <w:tc>
          <w:tcPr>
            <w:tcW w:w="1560" w:type="dxa"/>
            <w:tcBorders>
              <w:top w:val="nil"/>
              <w:left w:val="nil"/>
              <w:bottom w:val="nil"/>
              <w:right w:val="nil"/>
            </w:tcBorders>
          </w:tcPr>
          <w:p w14:paraId="0739ACAF" w14:textId="77777777" w:rsidR="005633D6" w:rsidRPr="00533EAC" w:rsidRDefault="005633D6" w:rsidP="00C05A32">
            <w:pPr>
              <w:spacing w:line="200" w:lineRule="exact"/>
              <w:rPr>
                <w:rFonts w:ascii="Arial" w:eastAsia="Times New Roman" w:hAnsi="Arial" w:cs="Arial"/>
                <w:i/>
                <w:color w:val="000000" w:themeColor="text1"/>
                <w:sz w:val="16"/>
                <w:szCs w:val="16"/>
                <w:lang w:val="en-ZA" w:eastAsia="de-DE"/>
              </w:rPr>
            </w:pPr>
            <w:r w:rsidRPr="00533EAC">
              <w:rPr>
                <w:rFonts w:ascii="Arial" w:eastAsia="Calibri" w:hAnsi="Arial" w:cs="Arial"/>
                <w:i/>
                <w:color w:val="000000" w:themeColor="text1"/>
                <w:sz w:val="16"/>
                <w:szCs w:val="16"/>
                <w:lang w:val="en-ZA"/>
              </w:rPr>
              <w:t>P. herdmani</w:t>
            </w:r>
          </w:p>
        </w:tc>
        <w:tc>
          <w:tcPr>
            <w:tcW w:w="1701" w:type="dxa"/>
            <w:tcBorders>
              <w:top w:val="nil"/>
              <w:left w:val="nil"/>
              <w:bottom w:val="nil"/>
              <w:right w:val="nil"/>
            </w:tcBorders>
          </w:tcPr>
          <w:p w14:paraId="4AA25DCF" w14:textId="47B0D35C" w:rsidR="005633D6" w:rsidRPr="00533EAC" w:rsidRDefault="00740697"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Temperat</w:t>
            </w:r>
            <w:r w:rsidR="005633D6" w:rsidRPr="00533EAC">
              <w:rPr>
                <w:rFonts w:ascii="Arial" w:eastAsia="Times New Roman" w:hAnsi="Arial" w:cs="Arial"/>
                <w:color w:val="000000" w:themeColor="text1"/>
                <w:sz w:val="16"/>
                <w:szCs w:val="16"/>
                <w:lang w:val="en-ZA" w:eastAsia="de-DE"/>
              </w:rPr>
              <w:t>e common</w:t>
            </w:r>
          </w:p>
        </w:tc>
        <w:tc>
          <w:tcPr>
            <w:tcW w:w="1559" w:type="dxa"/>
            <w:tcBorders>
              <w:top w:val="nil"/>
              <w:left w:val="nil"/>
              <w:bottom w:val="nil"/>
              <w:right w:val="nil"/>
            </w:tcBorders>
          </w:tcPr>
          <w:p w14:paraId="51F5BCCB" w14:textId="5358605B" w:rsidR="005633D6" w:rsidRPr="00533EAC" w:rsidRDefault="00740697"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Warm temperate</w:t>
            </w:r>
          </w:p>
        </w:tc>
        <w:tc>
          <w:tcPr>
            <w:tcW w:w="2126" w:type="dxa"/>
            <w:tcBorders>
              <w:top w:val="nil"/>
              <w:left w:val="nil"/>
              <w:bottom w:val="nil"/>
              <w:right w:val="nil"/>
            </w:tcBorders>
          </w:tcPr>
          <w:p w14:paraId="5B58957B" w14:textId="72770B51" w:rsidR="005633D6" w:rsidRPr="00533EAC" w:rsidRDefault="00740697"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 xml:space="preserve">Southern </w:t>
            </w:r>
            <w:r w:rsidR="005633D6" w:rsidRPr="00533EAC">
              <w:rPr>
                <w:rFonts w:ascii="Arial" w:eastAsia="Times New Roman" w:hAnsi="Arial" w:cs="Arial"/>
                <w:color w:val="000000" w:themeColor="text1"/>
                <w:sz w:val="16"/>
                <w:szCs w:val="16"/>
                <w:lang w:val="en-ZA" w:eastAsia="de-DE"/>
              </w:rPr>
              <w:t>South Africa</w:t>
            </w:r>
          </w:p>
        </w:tc>
        <w:tc>
          <w:tcPr>
            <w:tcW w:w="1418" w:type="dxa"/>
            <w:tcBorders>
              <w:top w:val="nil"/>
              <w:left w:val="nil"/>
              <w:bottom w:val="nil"/>
              <w:right w:val="nil"/>
            </w:tcBorders>
          </w:tcPr>
          <w:p w14:paraId="706B7270" w14:textId="77777777" w:rsidR="005633D6" w:rsidRPr="00533EAC" w:rsidRDefault="005633D6"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Knysna</w:t>
            </w:r>
          </w:p>
        </w:tc>
        <w:tc>
          <w:tcPr>
            <w:tcW w:w="2126" w:type="dxa"/>
            <w:tcBorders>
              <w:top w:val="nil"/>
              <w:left w:val="nil"/>
              <w:bottom w:val="nil"/>
              <w:right w:val="nil"/>
            </w:tcBorders>
          </w:tcPr>
          <w:p w14:paraId="65121BF6" w14:textId="5BFA1F24" w:rsidR="005633D6" w:rsidRPr="00533EAC" w:rsidRDefault="005633D6"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3</w:t>
            </w:r>
            <w:r w:rsidR="00740697" w:rsidRPr="00533EAC">
              <w:rPr>
                <w:rFonts w:ascii="Arial" w:eastAsia="Times New Roman" w:hAnsi="Arial" w:cs="Arial"/>
                <w:color w:val="000000" w:themeColor="text1"/>
                <w:sz w:val="16"/>
                <w:szCs w:val="16"/>
                <w:lang w:val="en-ZA" w:eastAsia="de-DE"/>
              </w:rPr>
              <w:t xml:space="preserve"> </w:t>
            </w:r>
            <w:r w:rsidRPr="00533EAC">
              <w:rPr>
                <w:rFonts w:ascii="Arial" w:eastAsia="Times New Roman" w:hAnsi="Arial" w:cs="Arial"/>
                <w:color w:val="000000" w:themeColor="text1"/>
                <w:sz w:val="16"/>
                <w:szCs w:val="16"/>
                <w:lang w:val="en-ZA" w:eastAsia="de-DE"/>
              </w:rPr>
              <w:t>549</w:t>
            </w:r>
          </w:p>
        </w:tc>
      </w:tr>
      <w:tr w:rsidR="00533EAC" w:rsidRPr="00533EAC" w14:paraId="538E495D" w14:textId="77777777" w:rsidTr="005565B0">
        <w:trPr>
          <w:trHeight w:val="271"/>
          <w:jc w:val="center"/>
        </w:trPr>
        <w:tc>
          <w:tcPr>
            <w:tcW w:w="1560" w:type="dxa"/>
            <w:tcBorders>
              <w:top w:val="nil"/>
              <w:left w:val="nil"/>
              <w:bottom w:val="nil"/>
              <w:right w:val="nil"/>
            </w:tcBorders>
          </w:tcPr>
          <w:p w14:paraId="034946AF" w14:textId="77777777" w:rsidR="005633D6" w:rsidRPr="00533EAC" w:rsidRDefault="005633D6" w:rsidP="00C05A32">
            <w:pPr>
              <w:spacing w:line="200" w:lineRule="exact"/>
              <w:rPr>
                <w:rFonts w:ascii="Arial" w:eastAsia="Times New Roman" w:hAnsi="Arial" w:cs="Arial"/>
                <w:i/>
                <w:color w:val="000000" w:themeColor="text1"/>
                <w:sz w:val="16"/>
                <w:szCs w:val="16"/>
                <w:lang w:val="en-ZA" w:eastAsia="de-DE"/>
              </w:rPr>
            </w:pPr>
            <w:r w:rsidRPr="00533EAC">
              <w:rPr>
                <w:rFonts w:ascii="Arial" w:eastAsia="Calibri" w:hAnsi="Arial" w:cs="Arial"/>
                <w:i/>
                <w:color w:val="000000" w:themeColor="text1"/>
                <w:sz w:val="16"/>
                <w:szCs w:val="16"/>
                <w:lang w:val="en-ZA"/>
              </w:rPr>
              <w:t>P. herdmani</w:t>
            </w:r>
          </w:p>
        </w:tc>
        <w:tc>
          <w:tcPr>
            <w:tcW w:w="1701" w:type="dxa"/>
            <w:tcBorders>
              <w:top w:val="nil"/>
              <w:left w:val="nil"/>
              <w:bottom w:val="nil"/>
              <w:right w:val="nil"/>
            </w:tcBorders>
          </w:tcPr>
          <w:p w14:paraId="2D294E3D" w14:textId="280BFB1D" w:rsidR="005633D6" w:rsidRPr="00533EAC" w:rsidRDefault="00740697"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Temperate rare</w:t>
            </w:r>
          </w:p>
        </w:tc>
        <w:tc>
          <w:tcPr>
            <w:tcW w:w="1559" w:type="dxa"/>
            <w:tcBorders>
              <w:top w:val="nil"/>
              <w:left w:val="nil"/>
              <w:bottom w:val="nil"/>
              <w:right w:val="nil"/>
            </w:tcBorders>
          </w:tcPr>
          <w:p w14:paraId="24AB4983" w14:textId="2FE46776" w:rsidR="005633D6" w:rsidRPr="00533EAC" w:rsidRDefault="00740697"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Cool temperate</w:t>
            </w:r>
          </w:p>
        </w:tc>
        <w:tc>
          <w:tcPr>
            <w:tcW w:w="2126" w:type="dxa"/>
            <w:tcBorders>
              <w:top w:val="nil"/>
              <w:left w:val="nil"/>
              <w:bottom w:val="nil"/>
              <w:right w:val="nil"/>
            </w:tcBorders>
          </w:tcPr>
          <w:p w14:paraId="5A2FFEC7" w14:textId="2589A24A" w:rsidR="005633D6" w:rsidRPr="00533EAC" w:rsidRDefault="00740697"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 xml:space="preserve">Western </w:t>
            </w:r>
            <w:r w:rsidR="005633D6" w:rsidRPr="00533EAC">
              <w:rPr>
                <w:rFonts w:ascii="Arial" w:eastAsia="Times New Roman" w:hAnsi="Arial" w:cs="Arial"/>
                <w:color w:val="000000" w:themeColor="text1"/>
                <w:sz w:val="16"/>
                <w:szCs w:val="16"/>
                <w:lang w:val="en-ZA" w:eastAsia="de-DE"/>
              </w:rPr>
              <w:t>South Africa</w:t>
            </w:r>
          </w:p>
        </w:tc>
        <w:tc>
          <w:tcPr>
            <w:tcW w:w="1418" w:type="dxa"/>
            <w:tcBorders>
              <w:top w:val="nil"/>
              <w:left w:val="nil"/>
              <w:bottom w:val="nil"/>
              <w:right w:val="nil"/>
            </w:tcBorders>
          </w:tcPr>
          <w:p w14:paraId="7E4E1079" w14:textId="77777777" w:rsidR="005633D6" w:rsidRPr="00533EAC" w:rsidRDefault="005633D6"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Simon's Town</w:t>
            </w:r>
          </w:p>
        </w:tc>
        <w:tc>
          <w:tcPr>
            <w:tcW w:w="2126" w:type="dxa"/>
            <w:tcBorders>
              <w:top w:val="nil"/>
              <w:left w:val="nil"/>
              <w:bottom w:val="nil"/>
              <w:right w:val="nil"/>
            </w:tcBorders>
          </w:tcPr>
          <w:p w14:paraId="13DAFFA6" w14:textId="2C23AE2D" w:rsidR="005633D6" w:rsidRPr="00533EAC" w:rsidRDefault="005633D6"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3</w:t>
            </w:r>
            <w:r w:rsidR="00740697" w:rsidRPr="00533EAC">
              <w:rPr>
                <w:rFonts w:ascii="Arial" w:eastAsia="Times New Roman" w:hAnsi="Arial" w:cs="Arial"/>
                <w:color w:val="000000" w:themeColor="text1"/>
                <w:sz w:val="16"/>
                <w:szCs w:val="16"/>
                <w:lang w:val="en-ZA" w:eastAsia="de-DE"/>
              </w:rPr>
              <w:t xml:space="preserve"> </w:t>
            </w:r>
            <w:r w:rsidRPr="00533EAC">
              <w:rPr>
                <w:rFonts w:ascii="Arial" w:eastAsia="Times New Roman" w:hAnsi="Arial" w:cs="Arial"/>
                <w:color w:val="000000" w:themeColor="text1"/>
                <w:sz w:val="16"/>
                <w:szCs w:val="16"/>
                <w:lang w:val="en-ZA" w:eastAsia="de-DE"/>
              </w:rPr>
              <w:t>065</w:t>
            </w:r>
          </w:p>
        </w:tc>
      </w:tr>
      <w:tr w:rsidR="00533EAC" w:rsidRPr="00533EAC" w14:paraId="2B567238" w14:textId="77777777" w:rsidTr="005565B0">
        <w:trPr>
          <w:trHeight w:val="271"/>
          <w:jc w:val="center"/>
        </w:trPr>
        <w:tc>
          <w:tcPr>
            <w:tcW w:w="1560" w:type="dxa"/>
            <w:tcBorders>
              <w:top w:val="nil"/>
              <w:left w:val="nil"/>
              <w:bottom w:val="nil"/>
              <w:right w:val="nil"/>
            </w:tcBorders>
          </w:tcPr>
          <w:p w14:paraId="32C76A00" w14:textId="77777777" w:rsidR="005633D6" w:rsidRPr="00533EAC" w:rsidRDefault="005633D6" w:rsidP="00C05A32">
            <w:pPr>
              <w:spacing w:line="200" w:lineRule="exact"/>
              <w:rPr>
                <w:rFonts w:ascii="Arial" w:eastAsia="Times New Roman" w:hAnsi="Arial" w:cs="Arial"/>
                <w:i/>
                <w:color w:val="000000" w:themeColor="text1"/>
                <w:sz w:val="16"/>
                <w:szCs w:val="16"/>
                <w:lang w:val="en-ZA" w:eastAsia="de-DE"/>
              </w:rPr>
            </w:pPr>
            <w:r w:rsidRPr="00533EAC">
              <w:rPr>
                <w:rFonts w:ascii="Arial" w:eastAsia="Calibri" w:hAnsi="Arial" w:cs="Arial"/>
                <w:i/>
                <w:color w:val="000000" w:themeColor="text1"/>
                <w:sz w:val="16"/>
                <w:szCs w:val="16"/>
                <w:lang w:val="en-ZA"/>
              </w:rPr>
              <w:t>P. herdmani</w:t>
            </w:r>
          </w:p>
        </w:tc>
        <w:tc>
          <w:tcPr>
            <w:tcW w:w="1701" w:type="dxa"/>
            <w:tcBorders>
              <w:top w:val="nil"/>
              <w:left w:val="nil"/>
              <w:bottom w:val="nil"/>
              <w:right w:val="nil"/>
            </w:tcBorders>
          </w:tcPr>
          <w:p w14:paraId="273A4A62" w14:textId="07A6894A" w:rsidR="005633D6" w:rsidRPr="00533EAC" w:rsidRDefault="00740697"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Subtropical</w:t>
            </w:r>
          </w:p>
        </w:tc>
        <w:tc>
          <w:tcPr>
            <w:tcW w:w="1559" w:type="dxa"/>
            <w:tcBorders>
              <w:top w:val="nil"/>
              <w:left w:val="nil"/>
              <w:bottom w:val="nil"/>
              <w:right w:val="nil"/>
            </w:tcBorders>
          </w:tcPr>
          <w:p w14:paraId="024456EA" w14:textId="11959B02" w:rsidR="005633D6" w:rsidRPr="00533EAC" w:rsidRDefault="00740697"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Subtropical</w:t>
            </w:r>
          </w:p>
        </w:tc>
        <w:tc>
          <w:tcPr>
            <w:tcW w:w="2126" w:type="dxa"/>
            <w:tcBorders>
              <w:top w:val="nil"/>
              <w:left w:val="nil"/>
              <w:bottom w:val="nil"/>
              <w:right w:val="nil"/>
            </w:tcBorders>
          </w:tcPr>
          <w:p w14:paraId="12C70329" w14:textId="6FDDBE26" w:rsidR="005633D6" w:rsidRPr="00533EAC" w:rsidRDefault="005633D6" w:rsidP="00C05A32">
            <w:pPr>
              <w:spacing w:line="200" w:lineRule="exact"/>
              <w:rPr>
                <w:rFonts w:ascii="Arial" w:eastAsia="Times New Roman" w:hAnsi="Arial" w:cs="Arial"/>
                <w:color w:val="000000" w:themeColor="text1"/>
                <w:sz w:val="16"/>
                <w:szCs w:val="16"/>
                <w:lang w:val="en-ZA" w:eastAsia="de-DE"/>
              </w:rPr>
            </w:pPr>
            <w:proofErr w:type="spellStart"/>
            <w:r w:rsidRPr="00533EAC">
              <w:rPr>
                <w:rFonts w:ascii="Arial" w:eastAsia="Times New Roman" w:hAnsi="Arial" w:cs="Arial"/>
                <w:color w:val="000000" w:themeColor="text1"/>
                <w:sz w:val="16"/>
                <w:szCs w:val="16"/>
                <w:lang w:val="en-ZA" w:eastAsia="de-DE"/>
              </w:rPr>
              <w:t>S</w:t>
            </w:r>
            <w:r w:rsidR="00740697" w:rsidRPr="00533EAC">
              <w:rPr>
                <w:rFonts w:ascii="Arial" w:eastAsia="Times New Roman" w:hAnsi="Arial" w:cs="Arial"/>
                <w:color w:val="000000" w:themeColor="text1"/>
                <w:sz w:val="16"/>
                <w:szCs w:val="16"/>
                <w:lang w:val="en-ZA" w:eastAsia="de-DE"/>
              </w:rPr>
              <w:t>outheastern</w:t>
            </w:r>
            <w:proofErr w:type="spellEnd"/>
            <w:r w:rsidRPr="00533EAC">
              <w:rPr>
                <w:rFonts w:ascii="Arial" w:eastAsia="Times New Roman" w:hAnsi="Arial" w:cs="Arial"/>
                <w:color w:val="000000" w:themeColor="text1"/>
                <w:sz w:val="16"/>
                <w:szCs w:val="16"/>
                <w:lang w:val="en-ZA" w:eastAsia="de-DE"/>
              </w:rPr>
              <w:t xml:space="preserve"> South Africa</w:t>
            </w:r>
          </w:p>
        </w:tc>
        <w:tc>
          <w:tcPr>
            <w:tcW w:w="1418" w:type="dxa"/>
            <w:tcBorders>
              <w:top w:val="nil"/>
              <w:left w:val="nil"/>
              <w:bottom w:val="nil"/>
              <w:right w:val="nil"/>
            </w:tcBorders>
          </w:tcPr>
          <w:p w14:paraId="77D0FF8E" w14:textId="77777777" w:rsidR="005633D6" w:rsidRPr="00533EAC" w:rsidRDefault="005633D6"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Morgan Bay</w:t>
            </w:r>
          </w:p>
        </w:tc>
        <w:tc>
          <w:tcPr>
            <w:tcW w:w="2126" w:type="dxa"/>
            <w:tcBorders>
              <w:top w:val="nil"/>
              <w:left w:val="nil"/>
              <w:bottom w:val="nil"/>
              <w:right w:val="nil"/>
            </w:tcBorders>
          </w:tcPr>
          <w:p w14:paraId="27E8DC41" w14:textId="28D4B4C9" w:rsidR="005633D6" w:rsidRPr="00533EAC" w:rsidRDefault="005633D6"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4</w:t>
            </w:r>
            <w:r w:rsidR="00740697" w:rsidRPr="00533EAC">
              <w:rPr>
                <w:rFonts w:ascii="Arial" w:eastAsia="Times New Roman" w:hAnsi="Arial" w:cs="Arial"/>
                <w:color w:val="000000" w:themeColor="text1"/>
                <w:sz w:val="16"/>
                <w:szCs w:val="16"/>
                <w:lang w:val="en-ZA" w:eastAsia="de-DE"/>
              </w:rPr>
              <w:t xml:space="preserve"> </w:t>
            </w:r>
            <w:r w:rsidRPr="00533EAC">
              <w:rPr>
                <w:rFonts w:ascii="Arial" w:eastAsia="Times New Roman" w:hAnsi="Arial" w:cs="Arial"/>
                <w:color w:val="000000" w:themeColor="text1"/>
                <w:sz w:val="16"/>
                <w:szCs w:val="16"/>
                <w:lang w:val="en-ZA" w:eastAsia="de-DE"/>
              </w:rPr>
              <w:t>016</w:t>
            </w:r>
          </w:p>
        </w:tc>
      </w:tr>
      <w:tr w:rsidR="00533EAC" w:rsidRPr="00533EAC" w14:paraId="3FEE73C2" w14:textId="77777777" w:rsidTr="00B44AC8">
        <w:trPr>
          <w:trHeight w:val="271"/>
          <w:jc w:val="center"/>
        </w:trPr>
        <w:tc>
          <w:tcPr>
            <w:tcW w:w="1560" w:type="dxa"/>
            <w:tcBorders>
              <w:top w:val="nil"/>
              <w:left w:val="nil"/>
              <w:bottom w:val="single" w:sz="4" w:space="0" w:color="auto"/>
              <w:right w:val="nil"/>
            </w:tcBorders>
          </w:tcPr>
          <w:p w14:paraId="67BD595B" w14:textId="77777777" w:rsidR="005633D6" w:rsidRPr="00533EAC" w:rsidRDefault="005633D6" w:rsidP="00C05A32">
            <w:pPr>
              <w:spacing w:line="200" w:lineRule="exact"/>
              <w:rPr>
                <w:rFonts w:ascii="Arial" w:eastAsia="Times New Roman" w:hAnsi="Arial" w:cs="Arial"/>
                <w:i/>
                <w:color w:val="000000" w:themeColor="text1"/>
                <w:sz w:val="16"/>
                <w:szCs w:val="16"/>
                <w:lang w:val="en-ZA" w:eastAsia="de-DE"/>
              </w:rPr>
            </w:pPr>
            <w:r w:rsidRPr="00533EAC">
              <w:rPr>
                <w:rFonts w:ascii="Arial" w:eastAsia="Calibri" w:hAnsi="Arial" w:cs="Arial"/>
                <w:i/>
                <w:color w:val="000000" w:themeColor="text1"/>
                <w:sz w:val="16"/>
                <w:szCs w:val="16"/>
                <w:lang w:val="en-ZA"/>
              </w:rPr>
              <w:t>P. herdmani</w:t>
            </w:r>
          </w:p>
        </w:tc>
        <w:tc>
          <w:tcPr>
            <w:tcW w:w="1701" w:type="dxa"/>
            <w:tcBorders>
              <w:top w:val="nil"/>
              <w:left w:val="nil"/>
              <w:bottom w:val="single" w:sz="4" w:space="0" w:color="auto"/>
              <w:right w:val="nil"/>
            </w:tcBorders>
          </w:tcPr>
          <w:p w14:paraId="6619EE12" w14:textId="42FB30B2" w:rsidR="005633D6" w:rsidRPr="00533EAC" w:rsidRDefault="003D4583"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Moroccan</w:t>
            </w:r>
          </w:p>
        </w:tc>
        <w:tc>
          <w:tcPr>
            <w:tcW w:w="1559" w:type="dxa"/>
            <w:tcBorders>
              <w:top w:val="nil"/>
              <w:left w:val="nil"/>
              <w:bottom w:val="single" w:sz="4" w:space="0" w:color="auto"/>
              <w:right w:val="nil"/>
            </w:tcBorders>
          </w:tcPr>
          <w:p w14:paraId="0BCF059A" w14:textId="3987F9CD" w:rsidR="005633D6" w:rsidRPr="00533EAC" w:rsidRDefault="003D4583"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Moroccan</w:t>
            </w:r>
          </w:p>
        </w:tc>
        <w:tc>
          <w:tcPr>
            <w:tcW w:w="2126" w:type="dxa"/>
            <w:tcBorders>
              <w:top w:val="nil"/>
              <w:left w:val="nil"/>
              <w:bottom w:val="single" w:sz="4" w:space="0" w:color="auto"/>
              <w:right w:val="nil"/>
            </w:tcBorders>
          </w:tcPr>
          <w:p w14:paraId="2016AF5A" w14:textId="03285BF7" w:rsidR="005633D6" w:rsidRPr="00533EAC" w:rsidRDefault="005633D6" w:rsidP="00C05A32">
            <w:pPr>
              <w:spacing w:line="200" w:lineRule="exact"/>
              <w:rPr>
                <w:rFonts w:ascii="Arial" w:eastAsia="Times New Roman" w:hAnsi="Arial" w:cs="Arial"/>
                <w:color w:val="000000" w:themeColor="text1"/>
                <w:sz w:val="16"/>
                <w:szCs w:val="16"/>
                <w:lang w:val="en-ZA" w:eastAsia="de-DE"/>
              </w:rPr>
            </w:pPr>
            <w:proofErr w:type="spellStart"/>
            <w:r w:rsidRPr="00533EAC">
              <w:rPr>
                <w:rFonts w:ascii="Arial" w:eastAsia="Times New Roman" w:hAnsi="Arial" w:cs="Arial"/>
                <w:color w:val="000000" w:themeColor="text1"/>
                <w:sz w:val="16"/>
                <w:szCs w:val="16"/>
                <w:lang w:val="en-ZA" w:eastAsia="de-DE"/>
              </w:rPr>
              <w:t>N</w:t>
            </w:r>
            <w:r w:rsidR="00740697" w:rsidRPr="00533EAC">
              <w:rPr>
                <w:rFonts w:ascii="Arial" w:eastAsia="Times New Roman" w:hAnsi="Arial" w:cs="Arial"/>
                <w:color w:val="000000" w:themeColor="text1"/>
                <w:sz w:val="16"/>
                <w:szCs w:val="16"/>
                <w:lang w:val="en-ZA" w:eastAsia="de-DE"/>
              </w:rPr>
              <w:t>orthwestern</w:t>
            </w:r>
            <w:proofErr w:type="spellEnd"/>
            <w:r w:rsidRPr="00533EAC">
              <w:rPr>
                <w:rFonts w:ascii="Arial" w:eastAsia="Times New Roman" w:hAnsi="Arial" w:cs="Arial"/>
                <w:color w:val="000000" w:themeColor="text1"/>
                <w:sz w:val="16"/>
                <w:szCs w:val="16"/>
                <w:lang w:val="en-ZA" w:eastAsia="de-DE"/>
              </w:rPr>
              <w:t xml:space="preserve"> Africa</w:t>
            </w:r>
          </w:p>
        </w:tc>
        <w:tc>
          <w:tcPr>
            <w:tcW w:w="1418" w:type="dxa"/>
            <w:tcBorders>
              <w:top w:val="nil"/>
              <w:left w:val="nil"/>
              <w:bottom w:val="single" w:sz="4" w:space="0" w:color="auto"/>
              <w:right w:val="nil"/>
            </w:tcBorders>
          </w:tcPr>
          <w:p w14:paraId="2151D156" w14:textId="77777777" w:rsidR="005633D6" w:rsidRPr="00533EAC" w:rsidRDefault="005633D6"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La Madrague</w:t>
            </w:r>
          </w:p>
        </w:tc>
        <w:tc>
          <w:tcPr>
            <w:tcW w:w="2126" w:type="dxa"/>
            <w:tcBorders>
              <w:top w:val="nil"/>
              <w:left w:val="nil"/>
              <w:bottom w:val="single" w:sz="4" w:space="0" w:color="auto"/>
              <w:right w:val="nil"/>
            </w:tcBorders>
          </w:tcPr>
          <w:p w14:paraId="5AD88836" w14:textId="3E5CB725" w:rsidR="005633D6" w:rsidRPr="00533EAC" w:rsidRDefault="005633D6"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5</w:t>
            </w:r>
            <w:r w:rsidR="00740697" w:rsidRPr="00533EAC">
              <w:rPr>
                <w:rFonts w:ascii="Arial" w:eastAsia="Times New Roman" w:hAnsi="Arial" w:cs="Arial"/>
                <w:color w:val="000000" w:themeColor="text1"/>
                <w:sz w:val="16"/>
                <w:szCs w:val="16"/>
                <w:lang w:val="en-ZA" w:eastAsia="de-DE"/>
              </w:rPr>
              <w:t xml:space="preserve"> </w:t>
            </w:r>
            <w:r w:rsidRPr="00533EAC">
              <w:rPr>
                <w:rFonts w:ascii="Arial" w:eastAsia="Times New Roman" w:hAnsi="Arial" w:cs="Arial"/>
                <w:color w:val="000000" w:themeColor="text1"/>
                <w:sz w:val="16"/>
                <w:szCs w:val="16"/>
                <w:lang w:val="en-ZA" w:eastAsia="de-DE"/>
              </w:rPr>
              <w:t>432</w:t>
            </w:r>
          </w:p>
        </w:tc>
      </w:tr>
    </w:tbl>
    <w:p w14:paraId="3C8947B1" w14:textId="38DCA848" w:rsidR="008C5E3C" w:rsidRPr="00533EAC" w:rsidRDefault="008C5E3C" w:rsidP="00C05A32">
      <w:pPr>
        <w:spacing w:after="0" w:line="200" w:lineRule="exact"/>
        <w:rPr>
          <w:rFonts w:ascii="Arial" w:eastAsia="Calibri" w:hAnsi="Arial" w:cs="Arial"/>
          <w:color w:val="000000" w:themeColor="text1"/>
          <w:sz w:val="16"/>
          <w:szCs w:val="16"/>
          <w:lang w:val="en-ZA"/>
        </w:rPr>
        <w:sectPr w:rsidR="008C5E3C" w:rsidRPr="00533EAC" w:rsidSect="003A5D9D">
          <w:pgSz w:w="16838" w:h="11906" w:orient="landscape"/>
          <w:pgMar w:top="1418" w:right="1134" w:bottom="1418" w:left="1418" w:header="709" w:footer="709" w:gutter="0"/>
          <w:lnNumType w:countBy="1" w:restart="continuous"/>
          <w:cols w:space="708"/>
          <w:docGrid w:linePitch="360"/>
        </w:sectPr>
      </w:pPr>
    </w:p>
    <w:p w14:paraId="542F13FB" w14:textId="62766340" w:rsidR="005633D6" w:rsidRPr="00533EAC" w:rsidRDefault="005633D6" w:rsidP="00C05A32">
      <w:pPr>
        <w:spacing w:after="0" w:line="360" w:lineRule="auto"/>
        <w:rPr>
          <w:rFonts w:ascii="Arial" w:eastAsia="Calibri" w:hAnsi="Arial" w:cs="Arial"/>
          <w:bCs/>
          <w:color w:val="000000" w:themeColor="text1"/>
          <w:sz w:val="20"/>
          <w:szCs w:val="20"/>
          <w:lang w:val="en-ZA"/>
        </w:rPr>
      </w:pPr>
      <w:r w:rsidRPr="00533EAC">
        <w:rPr>
          <w:rFonts w:ascii="Arial" w:eastAsia="Calibri" w:hAnsi="Arial" w:cs="Arial"/>
          <w:b/>
          <w:bCs/>
          <w:color w:val="000000" w:themeColor="text1"/>
          <w:sz w:val="20"/>
          <w:szCs w:val="20"/>
          <w:lang w:val="en-ZA"/>
        </w:rPr>
        <w:lastRenderedPageBreak/>
        <w:t>Table 5:</w:t>
      </w:r>
      <w:r w:rsidRPr="00533EAC">
        <w:rPr>
          <w:rFonts w:ascii="Arial" w:eastAsia="Calibri" w:hAnsi="Arial" w:cs="Arial"/>
          <w:bCs/>
          <w:color w:val="000000" w:themeColor="text1"/>
          <w:sz w:val="20"/>
          <w:szCs w:val="20"/>
          <w:lang w:val="en-ZA"/>
        </w:rPr>
        <w:t xml:space="preserve"> The number of</w:t>
      </w:r>
      <w:r w:rsidR="00B728B5" w:rsidRPr="00533EAC">
        <w:rPr>
          <w:rFonts w:ascii="Arial" w:eastAsia="Calibri" w:hAnsi="Arial" w:cs="Arial"/>
          <w:bCs/>
          <w:color w:val="000000" w:themeColor="text1"/>
          <w:sz w:val="20"/>
          <w:szCs w:val="20"/>
          <w:lang w:val="en-ZA"/>
        </w:rPr>
        <w:t xml:space="preserve"> single nucleotide polymorphisms</w:t>
      </w:r>
      <w:r w:rsidRPr="00533EAC">
        <w:rPr>
          <w:rFonts w:ascii="Arial" w:eastAsia="Calibri" w:hAnsi="Arial" w:cs="Arial"/>
          <w:bCs/>
          <w:color w:val="000000" w:themeColor="text1"/>
          <w:sz w:val="20"/>
          <w:szCs w:val="20"/>
          <w:lang w:val="en-ZA"/>
        </w:rPr>
        <w:t xml:space="preserve"> </w:t>
      </w:r>
      <w:r w:rsidR="00B728B5" w:rsidRPr="00533EAC">
        <w:rPr>
          <w:rFonts w:ascii="Arial" w:eastAsia="Calibri" w:hAnsi="Arial" w:cs="Arial"/>
          <w:bCs/>
          <w:color w:val="000000" w:themeColor="text1"/>
          <w:sz w:val="20"/>
          <w:szCs w:val="20"/>
          <w:lang w:val="en-ZA"/>
        </w:rPr>
        <w:t>(</w:t>
      </w:r>
      <w:r w:rsidRPr="00533EAC">
        <w:rPr>
          <w:rFonts w:ascii="Arial" w:eastAsia="Calibri" w:hAnsi="Arial" w:cs="Arial"/>
          <w:bCs/>
          <w:color w:val="000000" w:themeColor="text1"/>
          <w:sz w:val="20"/>
          <w:szCs w:val="20"/>
          <w:lang w:val="en-ZA"/>
        </w:rPr>
        <w:t>SNPs</w:t>
      </w:r>
      <w:r w:rsidR="00B728B5" w:rsidRPr="00533EAC">
        <w:rPr>
          <w:rFonts w:ascii="Arial" w:eastAsia="Calibri" w:hAnsi="Arial" w:cs="Arial"/>
          <w:bCs/>
          <w:color w:val="000000" w:themeColor="text1"/>
          <w:sz w:val="20"/>
          <w:szCs w:val="20"/>
          <w:lang w:val="en-ZA"/>
        </w:rPr>
        <w:t>)</w:t>
      </w:r>
      <w:r w:rsidRPr="00533EAC">
        <w:rPr>
          <w:rFonts w:ascii="Arial" w:eastAsia="Calibri" w:hAnsi="Arial" w:cs="Arial"/>
          <w:bCs/>
          <w:color w:val="000000" w:themeColor="text1"/>
          <w:sz w:val="20"/>
          <w:szCs w:val="20"/>
          <w:lang w:val="en-ZA"/>
        </w:rPr>
        <w:t xml:space="preserve"> for each of the 13</w:t>
      </w:r>
      <w:r w:rsidR="00B728B5" w:rsidRPr="00533EAC">
        <w:rPr>
          <w:rFonts w:ascii="Arial" w:eastAsia="Calibri" w:hAnsi="Arial" w:cs="Arial"/>
          <w:bCs/>
          <w:color w:val="000000" w:themeColor="text1"/>
          <w:sz w:val="20"/>
          <w:szCs w:val="20"/>
          <w:lang w:val="en-ZA"/>
        </w:rPr>
        <w:t xml:space="preserve"> protein-coding genes (</w:t>
      </w:r>
      <w:r w:rsidRPr="00533EAC">
        <w:rPr>
          <w:rFonts w:ascii="Arial" w:eastAsia="Calibri" w:hAnsi="Arial" w:cs="Arial"/>
          <w:bCs/>
          <w:color w:val="000000" w:themeColor="text1"/>
          <w:sz w:val="20"/>
          <w:szCs w:val="20"/>
          <w:lang w:val="en-ZA"/>
        </w:rPr>
        <w:t>PCGs</w:t>
      </w:r>
      <w:r w:rsidR="00B728B5" w:rsidRPr="00533EAC">
        <w:rPr>
          <w:rFonts w:ascii="Arial" w:eastAsia="Calibri" w:hAnsi="Arial" w:cs="Arial"/>
          <w:bCs/>
          <w:color w:val="000000" w:themeColor="text1"/>
          <w:sz w:val="20"/>
          <w:szCs w:val="20"/>
          <w:lang w:val="en-ZA"/>
        </w:rPr>
        <w:t>)</w:t>
      </w:r>
      <w:r w:rsidRPr="00533EAC">
        <w:rPr>
          <w:rFonts w:ascii="Arial" w:eastAsia="Calibri" w:hAnsi="Arial" w:cs="Arial"/>
          <w:bCs/>
          <w:color w:val="000000" w:themeColor="text1"/>
          <w:sz w:val="20"/>
          <w:szCs w:val="20"/>
          <w:lang w:val="en-ZA"/>
        </w:rPr>
        <w:t xml:space="preserve"> and the relative variation of the five partial mitogenomes mapped for </w:t>
      </w:r>
      <w:r w:rsidRPr="00533EAC">
        <w:rPr>
          <w:rFonts w:ascii="Arial" w:eastAsia="Calibri" w:hAnsi="Arial" w:cs="Arial"/>
          <w:bCs/>
          <w:i/>
          <w:color w:val="000000" w:themeColor="text1"/>
          <w:sz w:val="20"/>
          <w:szCs w:val="20"/>
          <w:lang w:val="en-ZA"/>
        </w:rPr>
        <w:t>Pyura</w:t>
      </w:r>
      <w:r w:rsidRPr="00533EAC">
        <w:rPr>
          <w:rFonts w:ascii="Arial" w:eastAsia="Calibri" w:hAnsi="Arial" w:cs="Arial"/>
          <w:bCs/>
          <w:color w:val="000000" w:themeColor="text1"/>
          <w:sz w:val="20"/>
          <w:szCs w:val="20"/>
          <w:lang w:val="en-ZA"/>
        </w:rPr>
        <w:t xml:space="preserve"> spp.</w:t>
      </w:r>
      <w:r w:rsidR="00B728B5" w:rsidRPr="00533EAC">
        <w:rPr>
          <w:rFonts w:ascii="Arial" w:eastAsia="Calibri" w:hAnsi="Arial" w:cs="Arial"/>
          <w:bCs/>
          <w:color w:val="000000" w:themeColor="text1"/>
          <w:sz w:val="20"/>
          <w:szCs w:val="20"/>
          <w:lang w:val="en-ZA"/>
        </w:rPr>
        <w:t xml:space="preserve"> </w:t>
      </w:r>
      <w:proofErr w:type="spellStart"/>
      <w:r w:rsidR="00B728B5" w:rsidRPr="00533EAC">
        <w:rPr>
          <w:rFonts w:ascii="Arial" w:eastAsia="Calibri" w:hAnsi="Arial" w:cs="Arial"/>
          <w:bCs/>
          <w:color w:val="000000" w:themeColor="text1"/>
          <w:sz w:val="20"/>
          <w:szCs w:val="20"/>
          <w:lang w:val="en-ZA"/>
        </w:rPr>
        <w:t>Atp</w:t>
      </w:r>
      <w:proofErr w:type="spellEnd"/>
      <w:r w:rsidR="00B728B5" w:rsidRPr="00533EAC">
        <w:rPr>
          <w:rFonts w:ascii="Arial" w:eastAsia="Calibri" w:hAnsi="Arial" w:cs="Arial"/>
          <w:bCs/>
          <w:color w:val="000000" w:themeColor="text1"/>
          <w:sz w:val="20"/>
          <w:szCs w:val="20"/>
          <w:lang w:val="en-ZA"/>
        </w:rPr>
        <w:t xml:space="preserve"> = ATP synthase, Cob = Cytochrome oxidase b, Cox = Cytochrome c oxidase, </w:t>
      </w:r>
      <w:proofErr w:type="spellStart"/>
      <w:r w:rsidR="00B728B5" w:rsidRPr="00533EAC">
        <w:rPr>
          <w:rFonts w:ascii="Arial" w:eastAsia="Calibri" w:hAnsi="Arial" w:cs="Arial"/>
          <w:bCs/>
          <w:color w:val="000000" w:themeColor="text1"/>
          <w:sz w:val="20"/>
          <w:szCs w:val="20"/>
          <w:lang w:val="en-ZA"/>
        </w:rPr>
        <w:t>Nad</w:t>
      </w:r>
      <w:proofErr w:type="spellEnd"/>
      <w:r w:rsidR="00B728B5" w:rsidRPr="00533EAC">
        <w:rPr>
          <w:rFonts w:ascii="Arial" w:eastAsia="Calibri" w:hAnsi="Arial" w:cs="Arial"/>
          <w:bCs/>
          <w:color w:val="000000" w:themeColor="text1"/>
          <w:sz w:val="20"/>
          <w:szCs w:val="20"/>
          <w:lang w:val="en-ZA"/>
        </w:rPr>
        <w:t xml:space="preserve"> = NADH dehydrogenase</w:t>
      </w:r>
    </w:p>
    <w:tbl>
      <w:tblPr>
        <w:tblStyle w:val="Grigliatabella1"/>
        <w:tblW w:w="0" w:type="auto"/>
        <w:jc w:val="center"/>
        <w:tblLayout w:type="fixed"/>
        <w:tblLook w:val="04A0" w:firstRow="1" w:lastRow="0" w:firstColumn="1" w:lastColumn="0" w:noHBand="0" w:noVBand="1"/>
      </w:tblPr>
      <w:tblGrid>
        <w:gridCol w:w="1985"/>
        <w:gridCol w:w="2268"/>
        <w:gridCol w:w="2268"/>
        <w:gridCol w:w="2268"/>
      </w:tblGrid>
      <w:tr w:rsidR="00533EAC" w:rsidRPr="00533EAC" w14:paraId="36BA4203" w14:textId="77777777" w:rsidTr="005565B0">
        <w:trPr>
          <w:trHeight w:val="221"/>
          <w:jc w:val="center"/>
        </w:trPr>
        <w:tc>
          <w:tcPr>
            <w:tcW w:w="1985" w:type="dxa"/>
            <w:tcBorders>
              <w:left w:val="nil"/>
              <w:bottom w:val="single" w:sz="4" w:space="0" w:color="auto"/>
              <w:right w:val="nil"/>
            </w:tcBorders>
            <w:noWrap/>
            <w:vAlign w:val="center"/>
            <w:hideMark/>
          </w:tcPr>
          <w:p w14:paraId="2D1E5EA0" w14:textId="77777777" w:rsidR="005633D6" w:rsidRPr="00533EAC" w:rsidRDefault="005633D6"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bCs/>
                <w:color w:val="000000" w:themeColor="text1"/>
                <w:sz w:val="16"/>
                <w:szCs w:val="16"/>
                <w:lang w:val="en-ZA" w:eastAsia="de-DE"/>
              </w:rPr>
              <w:t>Gene region</w:t>
            </w:r>
          </w:p>
        </w:tc>
        <w:tc>
          <w:tcPr>
            <w:tcW w:w="2268" w:type="dxa"/>
            <w:tcBorders>
              <w:left w:val="nil"/>
              <w:bottom w:val="single" w:sz="4" w:space="0" w:color="auto"/>
              <w:right w:val="nil"/>
            </w:tcBorders>
            <w:noWrap/>
            <w:vAlign w:val="center"/>
            <w:hideMark/>
          </w:tcPr>
          <w:p w14:paraId="0120DCD2" w14:textId="1EAF3531" w:rsidR="005633D6" w:rsidRPr="00533EAC" w:rsidRDefault="005633D6"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bCs/>
                <w:color w:val="000000" w:themeColor="text1"/>
                <w:sz w:val="16"/>
                <w:szCs w:val="16"/>
                <w:lang w:val="en-ZA" w:eastAsia="de-DE"/>
              </w:rPr>
              <w:t xml:space="preserve">Average </w:t>
            </w:r>
            <w:r w:rsidR="00B21208" w:rsidRPr="00533EAC">
              <w:rPr>
                <w:rFonts w:ascii="Arial" w:eastAsia="Times New Roman" w:hAnsi="Arial" w:cs="Arial"/>
                <w:bCs/>
                <w:color w:val="000000" w:themeColor="text1"/>
                <w:sz w:val="16"/>
                <w:szCs w:val="16"/>
                <w:lang w:val="en-ZA" w:eastAsia="de-DE"/>
              </w:rPr>
              <w:t xml:space="preserve">length </w:t>
            </w:r>
            <w:r w:rsidRPr="00533EAC">
              <w:rPr>
                <w:rFonts w:ascii="Arial" w:eastAsia="Times New Roman" w:hAnsi="Arial" w:cs="Arial"/>
                <w:bCs/>
                <w:color w:val="000000" w:themeColor="text1"/>
                <w:sz w:val="16"/>
                <w:szCs w:val="16"/>
                <w:lang w:val="en-ZA" w:eastAsia="de-DE"/>
              </w:rPr>
              <w:t>(bp)</w:t>
            </w:r>
          </w:p>
        </w:tc>
        <w:tc>
          <w:tcPr>
            <w:tcW w:w="2268" w:type="dxa"/>
            <w:tcBorders>
              <w:left w:val="nil"/>
              <w:bottom w:val="single" w:sz="4" w:space="0" w:color="auto"/>
              <w:right w:val="nil"/>
            </w:tcBorders>
            <w:noWrap/>
            <w:vAlign w:val="center"/>
            <w:hideMark/>
          </w:tcPr>
          <w:p w14:paraId="64C41CB5" w14:textId="77777777" w:rsidR="005633D6" w:rsidRPr="00533EAC" w:rsidRDefault="005633D6"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bCs/>
                <w:color w:val="000000" w:themeColor="text1"/>
                <w:sz w:val="16"/>
                <w:szCs w:val="16"/>
                <w:lang w:val="en-ZA" w:eastAsia="de-DE"/>
              </w:rPr>
              <w:t>Total SNPs</w:t>
            </w:r>
          </w:p>
        </w:tc>
        <w:tc>
          <w:tcPr>
            <w:tcW w:w="2268" w:type="dxa"/>
            <w:tcBorders>
              <w:left w:val="nil"/>
              <w:bottom w:val="single" w:sz="4" w:space="0" w:color="auto"/>
              <w:right w:val="nil"/>
            </w:tcBorders>
            <w:noWrap/>
            <w:vAlign w:val="center"/>
            <w:hideMark/>
          </w:tcPr>
          <w:p w14:paraId="528E4357" w14:textId="77777777" w:rsidR="005633D6" w:rsidRPr="00533EAC" w:rsidRDefault="005633D6"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bCs/>
                <w:color w:val="000000" w:themeColor="text1"/>
                <w:sz w:val="16"/>
                <w:szCs w:val="16"/>
                <w:lang w:val="en-ZA" w:eastAsia="de-DE"/>
              </w:rPr>
              <w:t xml:space="preserve">Relative variation (%) </w:t>
            </w:r>
          </w:p>
        </w:tc>
      </w:tr>
      <w:tr w:rsidR="00533EAC" w:rsidRPr="00533EAC" w14:paraId="3D719737" w14:textId="77777777" w:rsidTr="00B728B5">
        <w:trPr>
          <w:trHeight w:val="221"/>
          <w:jc w:val="center"/>
        </w:trPr>
        <w:tc>
          <w:tcPr>
            <w:tcW w:w="1985" w:type="dxa"/>
            <w:tcBorders>
              <w:top w:val="single" w:sz="4" w:space="0" w:color="auto"/>
              <w:left w:val="nil"/>
              <w:bottom w:val="nil"/>
              <w:right w:val="nil"/>
            </w:tcBorders>
            <w:noWrap/>
            <w:vAlign w:val="center"/>
            <w:hideMark/>
          </w:tcPr>
          <w:p w14:paraId="17E92CFB" w14:textId="77777777" w:rsidR="005633D6" w:rsidRPr="00533EAC" w:rsidRDefault="005633D6"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Atp6</w:t>
            </w:r>
          </w:p>
        </w:tc>
        <w:tc>
          <w:tcPr>
            <w:tcW w:w="2268" w:type="dxa"/>
            <w:tcBorders>
              <w:top w:val="single" w:sz="4" w:space="0" w:color="auto"/>
              <w:left w:val="nil"/>
              <w:bottom w:val="nil"/>
              <w:right w:val="nil"/>
            </w:tcBorders>
            <w:shd w:val="clear" w:color="auto" w:fill="auto"/>
            <w:noWrap/>
            <w:vAlign w:val="bottom"/>
            <w:hideMark/>
          </w:tcPr>
          <w:p w14:paraId="676F5FFD" w14:textId="77777777" w:rsidR="005633D6" w:rsidRPr="00533EAC" w:rsidRDefault="005633D6" w:rsidP="00C05A32">
            <w:pPr>
              <w:spacing w:line="200" w:lineRule="exact"/>
              <w:rPr>
                <w:rFonts w:ascii="Arial" w:eastAsia="Times New Roman" w:hAnsi="Arial" w:cs="Arial"/>
                <w:color w:val="000000" w:themeColor="text1"/>
                <w:sz w:val="16"/>
                <w:szCs w:val="16"/>
                <w:lang w:val="en-ZA" w:eastAsia="de-DE"/>
              </w:rPr>
            </w:pPr>
            <w:r w:rsidRPr="00533EAC">
              <w:rPr>
                <w:rFonts w:ascii="Arial" w:eastAsia="Calibri" w:hAnsi="Arial" w:cs="Arial"/>
                <w:color w:val="000000" w:themeColor="text1"/>
                <w:sz w:val="16"/>
                <w:szCs w:val="16"/>
                <w:lang w:val="en-ZA"/>
              </w:rPr>
              <w:t>630</w:t>
            </w:r>
          </w:p>
        </w:tc>
        <w:tc>
          <w:tcPr>
            <w:tcW w:w="2268" w:type="dxa"/>
            <w:tcBorders>
              <w:top w:val="single" w:sz="4" w:space="0" w:color="auto"/>
              <w:left w:val="nil"/>
              <w:bottom w:val="nil"/>
              <w:right w:val="nil"/>
            </w:tcBorders>
            <w:shd w:val="clear" w:color="auto" w:fill="auto"/>
            <w:noWrap/>
            <w:vAlign w:val="bottom"/>
          </w:tcPr>
          <w:p w14:paraId="36C25FB4" w14:textId="77777777" w:rsidR="005633D6" w:rsidRPr="00533EAC" w:rsidRDefault="005633D6" w:rsidP="00C05A32">
            <w:pPr>
              <w:spacing w:line="200" w:lineRule="exact"/>
              <w:rPr>
                <w:rFonts w:ascii="Arial" w:eastAsia="Times New Roman" w:hAnsi="Arial" w:cs="Arial"/>
                <w:color w:val="000000" w:themeColor="text1"/>
                <w:sz w:val="16"/>
                <w:szCs w:val="16"/>
                <w:lang w:val="en-ZA" w:eastAsia="de-DE"/>
              </w:rPr>
            </w:pPr>
            <w:r w:rsidRPr="00533EAC">
              <w:rPr>
                <w:rFonts w:ascii="Arial" w:eastAsia="Calibri" w:hAnsi="Arial" w:cs="Arial"/>
                <w:color w:val="000000" w:themeColor="text1"/>
                <w:sz w:val="16"/>
                <w:szCs w:val="16"/>
                <w:lang w:val="en-ZA"/>
              </w:rPr>
              <w:t>86</w:t>
            </w:r>
          </w:p>
        </w:tc>
        <w:tc>
          <w:tcPr>
            <w:tcW w:w="2268" w:type="dxa"/>
            <w:tcBorders>
              <w:top w:val="single" w:sz="4" w:space="0" w:color="auto"/>
              <w:left w:val="nil"/>
              <w:bottom w:val="nil"/>
              <w:right w:val="nil"/>
            </w:tcBorders>
            <w:shd w:val="clear" w:color="auto" w:fill="auto"/>
            <w:noWrap/>
            <w:vAlign w:val="bottom"/>
          </w:tcPr>
          <w:p w14:paraId="59DE3A5B" w14:textId="77777777" w:rsidR="005633D6" w:rsidRPr="00533EAC" w:rsidRDefault="005633D6" w:rsidP="00C05A32">
            <w:pPr>
              <w:spacing w:line="200" w:lineRule="exact"/>
              <w:rPr>
                <w:rFonts w:ascii="Arial" w:eastAsia="Calibri" w:hAnsi="Arial" w:cs="Arial"/>
                <w:color w:val="000000" w:themeColor="text1"/>
                <w:sz w:val="16"/>
                <w:szCs w:val="16"/>
                <w:lang w:val="en-ZA"/>
              </w:rPr>
            </w:pPr>
            <w:r w:rsidRPr="00533EAC">
              <w:rPr>
                <w:rFonts w:ascii="Arial" w:eastAsia="Calibri" w:hAnsi="Arial" w:cs="Arial"/>
                <w:color w:val="000000" w:themeColor="text1"/>
                <w:sz w:val="16"/>
                <w:szCs w:val="16"/>
                <w:lang w:val="en-ZA"/>
              </w:rPr>
              <w:t>13.65</w:t>
            </w:r>
          </w:p>
        </w:tc>
      </w:tr>
      <w:tr w:rsidR="00533EAC" w:rsidRPr="00533EAC" w14:paraId="1CAED0EE" w14:textId="77777777" w:rsidTr="005565B0">
        <w:trPr>
          <w:trHeight w:val="221"/>
          <w:jc w:val="center"/>
        </w:trPr>
        <w:tc>
          <w:tcPr>
            <w:tcW w:w="1985" w:type="dxa"/>
            <w:tcBorders>
              <w:top w:val="nil"/>
              <w:left w:val="nil"/>
              <w:bottom w:val="nil"/>
              <w:right w:val="nil"/>
            </w:tcBorders>
            <w:noWrap/>
            <w:vAlign w:val="center"/>
            <w:hideMark/>
          </w:tcPr>
          <w:p w14:paraId="53822DDA" w14:textId="77777777" w:rsidR="005633D6" w:rsidRPr="00533EAC" w:rsidRDefault="005633D6"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Atp8</w:t>
            </w:r>
          </w:p>
        </w:tc>
        <w:tc>
          <w:tcPr>
            <w:tcW w:w="2268" w:type="dxa"/>
            <w:tcBorders>
              <w:top w:val="nil"/>
              <w:left w:val="nil"/>
              <w:bottom w:val="nil"/>
              <w:right w:val="nil"/>
            </w:tcBorders>
            <w:shd w:val="clear" w:color="auto" w:fill="auto"/>
            <w:noWrap/>
            <w:vAlign w:val="bottom"/>
          </w:tcPr>
          <w:p w14:paraId="4425DABD" w14:textId="77777777" w:rsidR="005633D6" w:rsidRPr="00533EAC" w:rsidRDefault="005633D6" w:rsidP="00C05A32">
            <w:pPr>
              <w:spacing w:line="200" w:lineRule="exact"/>
              <w:rPr>
                <w:rFonts w:ascii="Arial" w:eastAsia="Times New Roman" w:hAnsi="Arial" w:cs="Arial"/>
                <w:color w:val="000000" w:themeColor="text1"/>
                <w:sz w:val="16"/>
                <w:szCs w:val="16"/>
                <w:lang w:val="en-ZA" w:eastAsia="de-DE"/>
              </w:rPr>
            </w:pPr>
            <w:r w:rsidRPr="00533EAC">
              <w:rPr>
                <w:rFonts w:ascii="Arial" w:eastAsia="Calibri" w:hAnsi="Arial" w:cs="Arial"/>
                <w:color w:val="000000" w:themeColor="text1"/>
                <w:sz w:val="16"/>
                <w:szCs w:val="16"/>
                <w:lang w:val="en-ZA"/>
              </w:rPr>
              <w:t>100</w:t>
            </w:r>
          </w:p>
        </w:tc>
        <w:tc>
          <w:tcPr>
            <w:tcW w:w="2268" w:type="dxa"/>
            <w:tcBorders>
              <w:top w:val="nil"/>
              <w:left w:val="nil"/>
              <w:bottom w:val="nil"/>
              <w:right w:val="nil"/>
            </w:tcBorders>
            <w:shd w:val="clear" w:color="auto" w:fill="auto"/>
            <w:noWrap/>
            <w:vAlign w:val="bottom"/>
          </w:tcPr>
          <w:p w14:paraId="7B4556A1" w14:textId="77777777" w:rsidR="005633D6" w:rsidRPr="00533EAC" w:rsidRDefault="005633D6" w:rsidP="00C05A32">
            <w:pPr>
              <w:spacing w:line="200" w:lineRule="exact"/>
              <w:rPr>
                <w:rFonts w:ascii="Arial" w:eastAsia="Times New Roman" w:hAnsi="Arial" w:cs="Arial"/>
                <w:color w:val="000000" w:themeColor="text1"/>
                <w:sz w:val="16"/>
                <w:szCs w:val="16"/>
                <w:lang w:val="en-ZA" w:eastAsia="de-DE"/>
              </w:rPr>
            </w:pPr>
            <w:r w:rsidRPr="00533EAC">
              <w:rPr>
                <w:rFonts w:ascii="Arial" w:eastAsia="Calibri" w:hAnsi="Arial" w:cs="Arial"/>
                <w:color w:val="000000" w:themeColor="text1"/>
                <w:sz w:val="16"/>
                <w:szCs w:val="16"/>
                <w:lang w:val="en-ZA"/>
              </w:rPr>
              <w:t>35</w:t>
            </w:r>
          </w:p>
        </w:tc>
        <w:tc>
          <w:tcPr>
            <w:tcW w:w="2268" w:type="dxa"/>
            <w:tcBorders>
              <w:top w:val="nil"/>
              <w:left w:val="nil"/>
              <w:bottom w:val="nil"/>
              <w:right w:val="nil"/>
            </w:tcBorders>
            <w:shd w:val="clear" w:color="auto" w:fill="auto"/>
            <w:noWrap/>
            <w:vAlign w:val="bottom"/>
          </w:tcPr>
          <w:p w14:paraId="2E1953C1" w14:textId="77777777" w:rsidR="005633D6" w:rsidRPr="00533EAC" w:rsidRDefault="005633D6" w:rsidP="00C05A32">
            <w:pPr>
              <w:spacing w:line="200" w:lineRule="exact"/>
              <w:rPr>
                <w:rFonts w:ascii="Arial" w:eastAsia="Calibri" w:hAnsi="Arial" w:cs="Arial"/>
                <w:color w:val="000000" w:themeColor="text1"/>
                <w:sz w:val="16"/>
                <w:szCs w:val="16"/>
                <w:lang w:val="en-ZA"/>
              </w:rPr>
            </w:pPr>
            <w:r w:rsidRPr="00533EAC">
              <w:rPr>
                <w:rFonts w:ascii="Arial" w:eastAsia="Calibri" w:hAnsi="Arial" w:cs="Arial"/>
                <w:color w:val="000000" w:themeColor="text1"/>
                <w:sz w:val="16"/>
                <w:szCs w:val="16"/>
                <w:lang w:val="en-ZA"/>
              </w:rPr>
              <w:t>35.00</w:t>
            </w:r>
          </w:p>
        </w:tc>
      </w:tr>
      <w:tr w:rsidR="00533EAC" w:rsidRPr="00533EAC" w14:paraId="11B4BE9B" w14:textId="77777777" w:rsidTr="005565B0">
        <w:trPr>
          <w:trHeight w:val="221"/>
          <w:jc w:val="center"/>
        </w:trPr>
        <w:tc>
          <w:tcPr>
            <w:tcW w:w="1985" w:type="dxa"/>
            <w:tcBorders>
              <w:top w:val="nil"/>
              <w:left w:val="nil"/>
              <w:bottom w:val="nil"/>
              <w:right w:val="nil"/>
            </w:tcBorders>
            <w:noWrap/>
            <w:vAlign w:val="center"/>
            <w:hideMark/>
          </w:tcPr>
          <w:p w14:paraId="45774C45" w14:textId="77777777" w:rsidR="005633D6" w:rsidRPr="00533EAC" w:rsidRDefault="005633D6"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Cob</w:t>
            </w:r>
          </w:p>
        </w:tc>
        <w:tc>
          <w:tcPr>
            <w:tcW w:w="2268" w:type="dxa"/>
            <w:tcBorders>
              <w:top w:val="nil"/>
              <w:left w:val="nil"/>
              <w:bottom w:val="nil"/>
              <w:right w:val="nil"/>
            </w:tcBorders>
            <w:shd w:val="clear" w:color="auto" w:fill="auto"/>
            <w:noWrap/>
            <w:vAlign w:val="bottom"/>
          </w:tcPr>
          <w:p w14:paraId="0CB5D9A6" w14:textId="77777777" w:rsidR="005633D6" w:rsidRPr="00533EAC" w:rsidRDefault="005633D6" w:rsidP="00C05A32">
            <w:pPr>
              <w:spacing w:line="200" w:lineRule="exact"/>
              <w:rPr>
                <w:rFonts w:ascii="Arial" w:eastAsia="Times New Roman" w:hAnsi="Arial" w:cs="Arial"/>
                <w:color w:val="000000" w:themeColor="text1"/>
                <w:sz w:val="16"/>
                <w:szCs w:val="16"/>
                <w:lang w:val="en-ZA" w:eastAsia="de-DE"/>
              </w:rPr>
            </w:pPr>
            <w:r w:rsidRPr="00533EAC">
              <w:rPr>
                <w:rFonts w:ascii="Arial" w:eastAsia="Calibri" w:hAnsi="Arial" w:cs="Arial"/>
                <w:color w:val="000000" w:themeColor="text1"/>
                <w:sz w:val="16"/>
                <w:szCs w:val="16"/>
                <w:lang w:val="en-ZA"/>
              </w:rPr>
              <w:t>1104</w:t>
            </w:r>
          </w:p>
        </w:tc>
        <w:tc>
          <w:tcPr>
            <w:tcW w:w="2268" w:type="dxa"/>
            <w:tcBorders>
              <w:top w:val="nil"/>
              <w:left w:val="nil"/>
              <w:bottom w:val="nil"/>
              <w:right w:val="nil"/>
            </w:tcBorders>
            <w:shd w:val="clear" w:color="auto" w:fill="auto"/>
            <w:noWrap/>
            <w:vAlign w:val="bottom"/>
          </w:tcPr>
          <w:p w14:paraId="376B5BF8" w14:textId="77777777" w:rsidR="005633D6" w:rsidRPr="00533EAC" w:rsidRDefault="005633D6" w:rsidP="00C05A32">
            <w:pPr>
              <w:spacing w:line="200" w:lineRule="exact"/>
              <w:rPr>
                <w:rFonts w:ascii="Arial" w:eastAsia="Times New Roman" w:hAnsi="Arial" w:cs="Arial"/>
                <w:color w:val="000000" w:themeColor="text1"/>
                <w:sz w:val="16"/>
                <w:szCs w:val="16"/>
                <w:lang w:val="en-ZA" w:eastAsia="de-DE"/>
              </w:rPr>
            </w:pPr>
            <w:r w:rsidRPr="00533EAC">
              <w:rPr>
                <w:rFonts w:ascii="Arial" w:eastAsia="Calibri" w:hAnsi="Arial" w:cs="Arial"/>
                <w:color w:val="000000" w:themeColor="text1"/>
                <w:sz w:val="16"/>
                <w:szCs w:val="16"/>
                <w:lang w:val="en-ZA"/>
              </w:rPr>
              <w:t>275</w:t>
            </w:r>
          </w:p>
        </w:tc>
        <w:tc>
          <w:tcPr>
            <w:tcW w:w="2268" w:type="dxa"/>
            <w:tcBorders>
              <w:top w:val="nil"/>
              <w:left w:val="nil"/>
              <w:bottom w:val="nil"/>
              <w:right w:val="nil"/>
            </w:tcBorders>
            <w:shd w:val="clear" w:color="auto" w:fill="auto"/>
            <w:noWrap/>
            <w:vAlign w:val="bottom"/>
          </w:tcPr>
          <w:p w14:paraId="2CB40872" w14:textId="77777777" w:rsidR="005633D6" w:rsidRPr="00533EAC" w:rsidRDefault="005633D6" w:rsidP="00C05A32">
            <w:pPr>
              <w:spacing w:line="200" w:lineRule="exact"/>
              <w:rPr>
                <w:rFonts w:ascii="Arial" w:eastAsia="Calibri" w:hAnsi="Arial" w:cs="Arial"/>
                <w:color w:val="000000" w:themeColor="text1"/>
                <w:sz w:val="16"/>
                <w:szCs w:val="16"/>
                <w:lang w:val="en-ZA"/>
              </w:rPr>
            </w:pPr>
            <w:r w:rsidRPr="00533EAC">
              <w:rPr>
                <w:rFonts w:ascii="Arial" w:eastAsia="Calibri" w:hAnsi="Arial" w:cs="Arial"/>
                <w:color w:val="000000" w:themeColor="text1"/>
                <w:sz w:val="16"/>
                <w:szCs w:val="16"/>
                <w:lang w:val="en-ZA"/>
              </w:rPr>
              <w:t>24.90</w:t>
            </w:r>
          </w:p>
        </w:tc>
      </w:tr>
      <w:tr w:rsidR="00533EAC" w:rsidRPr="00533EAC" w14:paraId="335DBBFF" w14:textId="77777777" w:rsidTr="005565B0">
        <w:trPr>
          <w:trHeight w:val="221"/>
          <w:jc w:val="center"/>
        </w:trPr>
        <w:tc>
          <w:tcPr>
            <w:tcW w:w="1985" w:type="dxa"/>
            <w:tcBorders>
              <w:top w:val="nil"/>
              <w:left w:val="nil"/>
              <w:bottom w:val="nil"/>
              <w:right w:val="nil"/>
            </w:tcBorders>
            <w:noWrap/>
            <w:vAlign w:val="center"/>
            <w:hideMark/>
          </w:tcPr>
          <w:p w14:paraId="487AEADA" w14:textId="77777777" w:rsidR="005633D6" w:rsidRPr="00533EAC" w:rsidRDefault="005633D6"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Cox1</w:t>
            </w:r>
          </w:p>
        </w:tc>
        <w:tc>
          <w:tcPr>
            <w:tcW w:w="2268" w:type="dxa"/>
            <w:tcBorders>
              <w:top w:val="nil"/>
              <w:left w:val="nil"/>
              <w:bottom w:val="nil"/>
              <w:right w:val="nil"/>
            </w:tcBorders>
            <w:shd w:val="clear" w:color="auto" w:fill="auto"/>
            <w:noWrap/>
            <w:vAlign w:val="bottom"/>
          </w:tcPr>
          <w:p w14:paraId="2E9088E9" w14:textId="77777777" w:rsidR="005633D6" w:rsidRPr="00533EAC" w:rsidRDefault="005633D6" w:rsidP="00C05A32">
            <w:pPr>
              <w:spacing w:line="200" w:lineRule="exact"/>
              <w:rPr>
                <w:rFonts w:ascii="Arial" w:eastAsia="Times New Roman" w:hAnsi="Arial" w:cs="Arial"/>
                <w:color w:val="000000" w:themeColor="text1"/>
                <w:sz w:val="16"/>
                <w:szCs w:val="16"/>
                <w:lang w:val="en-ZA" w:eastAsia="de-DE"/>
              </w:rPr>
            </w:pPr>
            <w:r w:rsidRPr="00533EAC">
              <w:rPr>
                <w:rFonts w:ascii="Arial" w:eastAsia="Calibri" w:hAnsi="Arial" w:cs="Arial"/>
                <w:color w:val="000000" w:themeColor="text1"/>
                <w:sz w:val="16"/>
                <w:szCs w:val="16"/>
                <w:lang w:val="en-ZA"/>
              </w:rPr>
              <w:t>1551</w:t>
            </w:r>
          </w:p>
        </w:tc>
        <w:tc>
          <w:tcPr>
            <w:tcW w:w="2268" w:type="dxa"/>
            <w:tcBorders>
              <w:top w:val="nil"/>
              <w:left w:val="nil"/>
              <w:bottom w:val="nil"/>
              <w:right w:val="nil"/>
            </w:tcBorders>
            <w:shd w:val="clear" w:color="auto" w:fill="auto"/>
            <w:noWrap/>
            <w:vAlign w:val="bottom"/>
          </w:tcPr>
          <w:p w14:paraId="79E112B4" w14:textId="77777777" w:rsidR="005633D6" w:rsidRPr="00533EAC" w:rsidRDefault="005633D6" w:rsidP="00C05A32">
            <w:pPr>
              <w:spacing w:line="200" w:lineRule="exact"/>
              <w:rPr>
                <w:rFonts w:ascii="Arial" w:eastAsia="Times New Roman" w:hAnsi="Arial" w:cs="Arial"/>
                <w:color w:val="000000" w:themeColor="text1"/>
                <w:sz w:val="16"/>
                <w:szCs w:val="16"/>
                <w:lang w:val="en-ZA" w:eastAsia="de-DE"/>
              </w:rPr>
            </w:pPr>
            <w:r w:rsidRPr="00533EAC">
              <w:rPr>
                <w:rFonts w:ascii="Arial" w:eastAsia="Calibri" w:hAnsi="Arial" w:cs="Arial"/>
                <w:color w:val="000000" w:themeColor="text1"/>
                <w:sz w:val="16"/>
                <w:szCs w:val="16"/>
                <w:lang w:val="en-ZA"/>
              </w:rPr>
              <w:t>404</w:t>
            </w:r>
          </w:p>
        </w:tc>
        <w:tc>
          <w:tcPr>
            <w:tcW w:w="2268" w:type="dxa"/>
            <w:tcBorders>
              <w:top w:val="nil"/>
              <w:left w:val="nil"/>
              <w:bottom w:val="nil"/>
              <w:right w:val="nil"/>
            </w:tcBorders>
            <w:shd w:val="clear" w:color="auto" w:fill="auto"/>
            <w:noWrap/>
            <w:vAlign w:val="bottom"/>
          </w:tcPr>
          <w:p w14:paraId="4A978F35" w14:textId="77777777" w:rsidR="005633D6" w:rsidRPr="00533EAC" w:rsidRDefault="005633D6" w:rsidP="00C05A32">
            <w:pPr>
              <w:spacing w:line="200" w:lineRule="exact"/>
              <w:rPr>
                <w:rFonts w:ascii="Arial" w:eastAsia="Calibri" w:hAnsi="Arial" w:cs="Arial"/>
                <w:color w:val="000000" w:themeColor="text1"/>
                <w:sz w:val="16"/>
                <w:szCs w:val="16"/>
                <w:lang w:val="en-ZA"/>
              </w:rPr>
            </w:pPr>
            <w:r w:rsidRPr="00533EAC">
              <w:rPr>
                <w:rFonts w:ascii="Arial" w:eastAsia="Calibri" w:hAnsi="Arial" w:cs="Arial"/>
                <w:color w:val="000000" w:themeColor="text1"/>
                <w:sz w:val="16"/>
                <w:szCs w:val="16"/>
                <w:lang w:val="en-ZA"/>
              </w:rPr>
              <w:t>26.04</w:t>
            </w:r>
          </w:p>
        </w:tc>
      </w:tr>
      <w:tr w:rsidR="00533EAC" w:rsidRPr="00533EAC" w14:paraId="26294E83" w14:textId="77777777" w:rsidTr="005565B0">
        <w:trPr>
          <w:trHeight w:val="221"/>
          <w:jc w:val="center"/>
        </w:trPr>
        <w:tc>
          <w:tcPr>
            <w:tcW w:w="1985" w:type="dxa"/>
            <w:tcBorders>
              <w:top w:val="nil"/>
              <w:left w:val="nil"/>
              <w:bottom w:val="nil"/>
              <w:right w:val="nil"/>
            </w:tcBorders>
            <w:noWrap/>
            <w:vAlign w:val="center"/>
            <w:hideMark/>
          </w:tcPr>
          <w:p w14:paraId="46A11444" w14:textId="77777777" w:rsidR="005633D6" w:rsidRPr="00533EAC" w:rsidRDefault="005633D6"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Cox2</w:t>
            </w:r>
          </w:p>
        </w:tc>
        <w:tc>
          <w:tcPr>
            <w:tcW w:w="2268" w:type="dxa"/>
            <w:tcBorders>
              <w:top w:val="nil"/>
              <w:left w:val="nil"/>
              <w:bottom w:val="nil"/>
              <w:right w:val="nil"/>
            </w:tcBorders>
            <w:shd w:val="clear" w:color="auto" w:fill="auto"/>
            <w:noWrap/>
            <w:vAlign w:val="bottom"/>
          </w:tcPr>
          <w:p w14:paraId="2C934387" w14:textId="77777777" w:rsidR="005633D6" w:rsidRPr="00533EAC" w:rsidRDefault="005633D6" w:rsidP="00C05A32">
            <w:pPr>
              <w:spacing w:line="200" w:lineRule="exact"/>
              <w:rPr>
                <w:rFonts w:ascii="Arial" w:eastAsia="Times New Roman" w:hAnsi="Arial" w:cs="Arial"/>
                <w:color w:val="000000" w:themeColor="text1"/>
                <w:sz w:val="16"/>
                <w:szCs w:val="16"/>
                <w:lang w:val="en-ZA" w:eastAsia="de-DE"/>
              </w:rPr>
            </w:pPr>
            <w:r w:rsidRPr="00533EAC">
              <w:rPr>
                <w:rFonts w:ascii="Arial" w:eastAsia="Calibri" w:hAnsi="Arial" w:cs="Arial"/>
                <w:color w:val="000000" w:themeColor="text1"/>
                <w:sz w:val="16"/>
                <w:szCs w:val="16"/>
                <w:lang w:val="en-ZA"/>
              </w:rPr>
              <w:t>678</w:t>
            </w:r>
          </w:p>
        </w:tc>
        <w:tc>
          <w:tcPr>
            <w:tcW w:w="2268" w:type="dxa"/>
            <w:tcBorders>
              <w:top w:val="nil"/>
              <w:left w:val="nil"/>
              <w:bottom w:val="nil"/>
              <w:right w:val="nil"/>
            </w:tcBorders>
            <w:shd w:val="clear" w:color="auto" w:fill="auto"/>
            <w:noWrap/>
            <w:vAlign w:val="bottom"/>
          </w:tcPr>
          <w:p w14:paraId="28926F2E" w14:textId="77777777" w:rsidR="005633D6" w:rsidRPr="00533EAC" w:rsidRDefault="005633D6" w:rsidP="00C05A32">
            <w:pPr>
              <w:spacing w:line="200" w:lineRule="exact"/>
              <w:rPr>
                <w:rFonts w:ascii="Arial" w:eastAsia="Times New Roman" w:hAnsi="Arial" w:cs="Arial"/>
                <w:color w:val="000000" w:themeColor="text1"/>
                <w:sz w:val="16"/>
                <w:szCs w:val="16"/>
                <w:lang w:val="en-ZA" w:eastAsia="de-DE"/>
              </w:rPr>
            </w:pPr>
            <w:r w:rsidRPr="00533EAC">
              <w:rPr>
                <w:rFonts w:ascii="Arial" w:eastAsia="Calibri" w:hAnsi="Arial" w:cs="Arial"/>
                <w:color w:val="000000" w:themeColor="text1"/>
                <w:sz w:val="16"/>
                <w:szCs w:val="16"/>
                <w:lang w:val="en-ZA"/>
              </w:rPr>
              <w:t>180</w:t>
            </w:r>
          </w:p>
        </w:tc>
        <w:tc>
          <w:tcPr>
            <w:tcW w:w="2268" w:type="dxa"/>
            <w:tcBorders>
              <w:top w:val="nil"/>
              <w:left w:val="nil"/>
              <w:bottom w:val="nil"/>
              <w:right w:val="nil"/>
            </w:tcBorders>
            <w:shd w:val="clear" w:color="auto" w:fill="auto"/>
            <w:noWrap/>
            <w:vAlign w:val="bottom"/>
          </w:tcPr>
          <w:p w14:paraId="14C00916" w14:textId="77777777" w:rsidR="005633D6" w:rsidRPr="00533EAC" w:rsidRDefault="005633D6" w:rsidP="00C05A32">
            <w:pPr>
              <w:spacing w:line="200" w:lineRule="exact"/>
              <w:rPr>
                <w:rFonts w:ascii="Arial" w:eastAsia="Calibri" w:hAnsi="Arial" w:cs="Arial"/>
                <w:color w:val="000000" w:themeColor="text1"/>
                <w:sz w:val="16"/>
                <w:szCs w:val="16"/>
                <w:lang w:val="en-ZA"/>
              </w:rPr>
            </w:pPr>
            <w:r w:rsidRPr="00533EAC">
              <w:rPr>
                <w:rFonts w:ascii="Arial" w:eastAsia="Calibri" w:hAnsi="Arial" w:cs="Arial"/>
                <w:color w:val="000000" w:themeColor="text1"/>
                <w:sz w:val="16"/>
                <w:szCs w:val="16"/>
                <w:lang w:val="en-ZA"/>
              </w:rPr>
              <w:t>26.54</w:t>
            </w:r>
          </w:p>
        </w:tc>
      </w:tr>
      <w:tr w:rsidR="00533EAC" w:rsidRPr="00533EAC" w14:paraId="23B1BEC0" w14:textId="77777777" w:rsidTr="005565B0">
        <w:trPr>
          <w:trHeight w:val="221"/>
          <w:jc w:val="center"/>
        </w:trPr>
        <w:tc>
          <w:tcPr>
            <w:tcW w:w="1985" w:type="dxa"/>
            <w:tcBorders>
              <w:top w:val="nil"/>
              <w:left w:val="nil"/>
              <w:bottom w:val="nil"/>
              <w:right w:val="nil"/>
            </w:tcBorders>
            <w:noWrap/>
            <w:vAlign w:val="center"/>
          </w:tcPr>
          <w:p w14:paraId="0CB0CCAA" w14:textId="77777777" w:rsidR="005633D6" w:rsidRPr="00533EAC" w:rsidRDefault="005633D6"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Cox3</w:t>
            </w:r>
          </w:p>
        </w:tc>
        <w:tc>
          <w:tcPr>
            <w:tcW w:w="2268" w:type="dxa"/>
            <w:tcBorders>
              <w:top w:val="nil"/>
              <w:left w:val="nil"/>
              <w:bottom w:val="nil"/>
              <w:right w:val="nil"/>
            </w:tcBorders>
            <w:shd w:val="clear" w:color="auto" w:fill="auto"/>
            <w:noWrap/>
            <w:vAlign w:val="bottom"/>
          </w:tcPr>
          <w:p w14:paraId="75A856F1" w14:textId="77777777" w:rsidR="005633D6" w:rsidRPr="00533EAC" w:rsidRDefault="005633D6" w:rsidP="00C05A32">
            <w:pPr>
              <w:spacing w:line="200" w:lineRule="exact"/>
              <w:rPr>
                <w:rFonts w:ascii="Arial" w:eastAsia="Times New Roman" w:hAnsi="Arial" w:cs="Arial"/>
                <w:color w:val="000000" w:themeColor="text1"/>
                <w:sz w:val="16"/>
                <w:szCs w:val="16"/>
                <w:lang w:val="en-ZA" w:eastAsia="de-DE"/>
              </w:rPr>
            </w:pPr>
            <w:r w:rsidRPr="00533EAC">
              <w:rPr>
                <w:rFonts w:ascii="Arial" w:eastAsia="Calibri" w:hAnsi="Arial" w:cs="Arial"/>
                <w:color w:val="000000" w:themeColor="text1"/>
                <w:sz w:val="16"/>
                <w:szCs w:val="16"/>
                <w:lang w:val="en-ZA"/>
              </w:rPr>
              <w:t>789</w:t>
            </w:r>
          </w:p>
        </w:tc>
        <w:tc>
          <w:tcPr>
            <w:tcW w:w="2268" w:type="dxa"/>
            <w:tcBorders>
              <w:top w:val="nil"/>
              <w:left w:val="nil"/>
              <w:bottom w:val="nil"/>
              <w:right w:val="nil"/>
            </w:tcBorders>
            <w:shd w:val="clear" w:color="auto" w:fill="auto"/>
            <w:noWrap/>
            <w:vAlign w:val="bottom"/>
          </w:tcPr>
          <w:p w14:paraId="561C5CCD" w14:textId="77777777" w:rsidR="005633D6" w:rsidRPr="00533EAC" w:rsidRDefault="005633D6" w:rsidP="00C05A32">
            <w:pPr>
              <w:spacing w:line="200" w:lineRule="exact"/>
              <w:rPr>
                <w:rFonts w:ascii="Arial" w:eastAsia="Times New Roman" w:hAnsi="Arial" w:cs="Arial"/>
                <w:color w:val="000000" w:themeColor="text1"/>
                <w:sz w:val="16"/>
                <w:szCs w:val="16"/>
                <w:lang w:val="en-ZA" w:eastAsia="de-DE"/>
              </w:rPr>
            </w:pPr>
            <w:r w:rsidRPr="00533EAC">
              <w:rPr>
                <w:rFonts w:ascii="Arial" w:eastAsia="Calibri" w:hAnsi="Arial" w:cs="Arial"/>
                <w:color w:val="000000" w:themeColor="text1"/>
                <w:sz w:val="16"/>
                <w:szCs w:val="16"/>
                <w:lang w:val="en-ZA"/>
              </w:rPr>
              <w:t>161</w:t>
            </w:r>
          </w:p>
        </w:tc>
        <w:tc>
          <w:tcPr>
            <w:tcW w:w="2268" w:type="dxa"/>
            <w:tcBorders>
              <w:top w:val="nil"/>
              <w:left w:val="nil"/>
              <w:bottom w:val="nil"/>
              <w:right w:val="nil"/>
            </w:tcBorders>
            <w:shd w:val="clear" w:color="auto" w:fill="auto"/>
            <w:noWrap/>
            <w:vAlign w:val="bottom"/>
          </w:tcPr>
          <w:p w14:paraId="19210B0D" w14:textId="77777777" w:rsidR="005633D6" w:rsidRPr="00533EAC" w:rsidRDefault="005633D6" w:rsidP="00C05A32">
            <w:pPr>
              <w:spacing w:line="200" w:lineRule="exact"/>
              <w:rPr>
                <w:rFonts w:ascii="Arial" w:eastAsia="Calibri" w:hAnsi="Arial" w:cs="Arial"/>
                <w:color w:val="000000" w:themeColor="text1"/>
                <w:sz w:val="16"/>
                <w:szCs w:val="16"/>
                <w:lang w:val="en-ZA"/>
              </w:rPr>
            </w:pPr>
            <w:r w:rsidRPr="00533EAC">
              <w:rPr>
                <w:rFonts w:ascii="Arial" w:eastAsia="Calibri" w:hAnsi="Arial" w:cs="Arial"/>
                <w:color w:val="000000" w:themeColor="text1"/>
                <w:sz w:val="16"/>
                <w:szCs w:val="16"/>
                <w:lang w:val="en-ZA"/>
              </w:rPr>
              <w:t>20.40</w:t>
            </w:r>
          </w:p>
        </w:tc>
      </w:tr>
      <w:tr w:rsidR="00533EAC" w:rsidRPr="00533EAC" w14:paraId="6762C895" w14:textId="77777777" w:rsidTr="005565B0">
        <w:trPr>
          <w:trHeight w:val="221"/>
          <w:jc w:val="center"/>
        </w:trPr>
        <w:tc>
          <w:tcPr>
            <w:tcW w:w="1985" w:type="dxa"/>
            <w:tcBorders>
              <w:top w:val="nil"/>
              <w:left w:val="nil"/>
              <w:bottom w:val="nil"/>
              <w:right w:val="nil"/>
            </w:tcBorders>
            <w:noWrap/>
            <w:vAlign w:val="center"/>
          </w:tcPr>
          <w:p w14:paraId="6F212F4D" w14:textId="77777777" w:rsidR="005633D6" w:rsidRPr="00533EAC" w:rsidRDefault="005633D6"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Nad1</w:t>
            </w:r>
          </w:p>
        </w:tc>
        <w:tc>
          <w:tcPr>
            <w:tcW w:w="2268" w:type="dxa"/>
            <w:tcBorders>
              <w:top w:val="nil"/>
              <w:left w:val="nil"/>
              <w:bottom w:val="nil"/>
              <w:right w:val="nil"/>
            </w:tcBorders>
            <w:shd w:val="clear" w:color="auto" w:fill="auto"/>
            <w:noWrap/>
            <w:vAlign w:val="bottom"/>
          </w:tcPr>
          <w:p w14:paraId="67207D1B" w14:textId="77777777" w:rsidR="005633D6" w:rsidRPr="00533EAC" w:rsidRDefault="005633D6" w:rsidP="00C05A32">
            <w:pPr>
              <w:spacing w:line="200" w:lineRule="exact"/>
              <w:rPr>
                <w:rFonts w:ascii="Arial" w:eastAsia="Times New Roman" w:hAnsi="Arial" w:cs="Arial"/>
                <w:color w:val="000000" w:themeColor="text1"/>
                <w:sz w:val="16"/>
                <w:szCs w:val="16"/>
                <w:lang w:val="en-ZA" w:eastAsia="de-DE"/>
              </w:rPr>
            </w:pPr>
            <w:r w:rsidRPr="00533EAC">
              <w:rPr>
                <w:rFonts w:ascii="Arial" w:eastAsia="Calibri" w:hAnsi="Arial" w:cs="Arial"/>
                <w:color w:val="000000" w:themeColor="text1"/>
                <w:sz w:val="16"/>
                <w:szCs w:val="16"/>
                <w:lang w:val="en-ZA"/>
              </w:rPr>
              <w:t>915</w:t>
            </w:r>
          </w:p>
        </w:tc>
        <w:tc>
          <w:tcPr>
            <w:tcW w:w="2268" w:type="dxa"/>
            <w:tcBorders>
              <w:top w:val="nil"/>
              <w:left w:val="nil"/>
              <w:bottom w:val="nil"/>
              <w:right w:val="nil"/>
            </w:tcBorders>
            <w:shd w:val="clear" w:color="auto" w:fill="auto"/>
            <w:noWrap/>
            <w:vAlign w:val="bottom"/>
          </w:tcPr>
          <w:p w14:paraId="646C5072" w14:textId="77777777" w:rsidR="005633D6" w:rsidRPr="00533EAC" w:rsidRDefault="005633D6" w:rsidP="00C05A32">
            <w:pPr>
              <w:spacing w:line="200" w:lineRule="exact"/>
              <w:rPr>
                <w:rFonts w:ascii="Arial" w:eastAsia="Times New Roman" w:hAnsi="Arial" w:cs="Arial"/>
                <w:color w:val="000000" w:themeColor="text1"/>
                <w:sz w:val="16"/>
                <w:szCs w:val="16"/>
                <w:lang w:val="en-ZA" w:eastAsia="de-DE"/>
              </w:rPr>
            </w:pPr>
            <w:r w:rsidRPr="00533EAC">
              <w:rPr>
                <w:rFonts w:ascii="Arial" w:eastAsia="Calibri" w:hAnsi="Arial" w:cs="Arial"/>
                <w:color w:val="000000" w:themeColor="text1"/>
                <w:sz w:val="16"/>
                <w:szCs w:val="16"/>
                <w:lang w:val="en-ZA"/>
              </w:rPr>
              <w:t>182</w:t>
            </w:r>
          </w:p>
        </w:tc>
        <w:tc>
          <w:tcPr>
            <w:tcW w:w="2268" w:type="dxa"/>
            <w:tcBorders>
              <w:top w:val="nil"/>
              <w:left w:val="nil"/>
              <w:bottom w:val="nil"/>
              <w:right w:val="nil"/>
            </w:tcBorders>
            <w:shd w:val="clear" w:color="auto" w:fill="auto"/>
            <w:noWrap/>
            <w:vAlign w:val="bottom"/>
          </w:tcPr>
          <w:p w14:paraId="2A5704E0" w14:textId="77777777" w:rsidR="005633D6" w:rsidRPr="00533EAC" w:rsidRDefault="005633D6" w:rsidP="00C05A32">
            <w:pPr>
              <w:spacing w:line="200" w:lineRule="exact"/>
              <w:rPr>
                <w:rFonts w:ascii="Arial" w:eastAsia="Calibri" w:hAnsi="Arial" w:cs="Arial"/>
                <w:color w:val="000000" w:themeColor="text1"/>
                <w:sz w:val="16"/>
                <w:szCs w:val="16"/>
                <w:lang w:val="en-ZA"/>
              </w:rPr>
            </w:pPr>
            <w:r w:rsidRPr="00533EAC">
              <w:rPr>
                <w:rFonts w:ascii="Arial" w:eastAsia="Calibri" w:hAnsi="Arial" w:cs="Arial"/>
                <w:color w:val="000000" w:themeColor="text1"/>
                <w:sz w:val="16"/>
                <w:szCs w:val="16"/>
                <w:lang w:val="en-ZA"/>
              </w:rPr>
              <w:t>19.89</w:t>
            </w:r>
          </w:p>
        </w:tc>
      </w:tr>
      <w:tr w:rsidR="00533EAC" w:rsidRPr="00533EAC" w14:paraId="3C735DBE" w14:textId="77777777" w:rsidTr="005565B0">
        <w:trPr>
          <w:trHeight w:val="221"/>
          <w:jc w:val="center"/>
        </w:trPr>
        <w:tc>
          <w:tcPr>
            <w:tcW w:w="1985" w:type="dxa"/>
            <w:tcBorders>
              <w:top w:val="nil"/>
              <w:left w:val="nil"/>
              <w:bottom w:val="nil"/>
              <w:right w:val="nil"/>
            </w:tcBorders>
            <w:noWrap/>
            <w:vAlign w:val="center"/>
          </w:tcPr>
          <w:p w14:paraId="32EFD5F9" w14:textId="77777777" w:rsidR="005633D6" w:rsidRPr="00533EAC" w:rsidRDefault="005633D6"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Nad2</w:t>
            </w:r>
          </w:p>
        </w:tc>
        <w:tc>
          <w:tcPr>
            <w:tcW w:w="2268" w:type="dxa"/>
            <w:tcBorders>
              <w:top w:val="nil"/>
              <w:left w:val="nil"/>
              <w:bottom w:val="nil"/>
              <w:right w:val="nil"/>
            </w:tcBorders>
            <w:shd w:val="clear" w:color="auto" w:fill="auto"/>
            <w:noWrap/>
            <w:vAlign w:val="bottom"/>
          </w:tcPr>
          <w:p w14:paraId="35F07737" w14:textId="77777777" w:rsidR="005633D6" w:rsidRPr="00533EAC" w:rsidRDefault="005633D6" w:rsidP="00C05A32">
            <w:pPr>
              <w:spacing w:line="200" w:lineRule="exact"/>
              <w:rPr>
                <w:rFonts w:ascii="Arial" w:eastAsia="Times New Roman" w:hAnsi="Arial" w:cs="Arial"/>
                <w:color w:val="000000" w:themeColor="text1"/>
                <w:sz w:val="16"/>
                <w:szCs w:val="16"/>
                <w:lang w:val="en-ZA" w:eastAsia="de-DE"/>
              </w:rPr>
            </w:pPr>
            <w:r w:rsidRPr="00533EAC">
              <w:rPr>
                <w:rFonts w:ascii="Arial" w:eastAsia="Calibri" w:hAnsi="Arial" w:cs="Arial"/>
                <w:color w:val="000000" w:themeColor="text1"/>
                <w:sz w:val="16"/>
                <w:szCs w:val="16"/>
                <w:lang w:val="en-ZA"/>
              </w:rPr>
              <w:t>999</w:t>
            </w:r>
          </w:p>
        </w:tc>
        <w:tc>
          <w:tcPr>
            <w:tcW w:w="2268" w:type="dxa"/>
            <w:tcBorders>
              <w:top w:val="nil"/>
              <w:left w:val="nil"/>
              <w:bottom w:val="nil"/>
              <w:right w:val="nil"/>
            </w:tcBorders>
            <w:shd w:val="clear" w:color="auto" w:fill="auto"/>
            <w:noWrap/>
            <w:vAlign w:val="bottom"/>
          </w:tcPr>
          <w:p w14:paraId="651A56F0" w14:textId="77777777" w:rsidR="005633D6" w:rsidRPr="00533EAC" w:rsidRDefault="005633D6" w:rsidP="00C05A32">
            <w:pPr>
              <w:spacing w:line="200" w:lineRule="exact"/>
              <w:rPr>
                <w:rFonts w:ascii="Arial" w:eastAsia="Times New Roman" w:hAnsi="Arial" w:cs="Arial"/>
                <w:color w:val="000000" w:themeColor="text1"/>
                <w:sz w:val="16"/>
                <w:szCs w:val="16"/>
                <w:lang w:val="en-ZA" w:eastAsia="de-DE"/>
              </w:rPr>
            </w:pPr>
            <w:r w:rsidRPr="00533EAC">
              <w:rPr>
                <w:rFonts w:ascii="Arial" w:eastAsia="Calibri" w:hAnsi="Arial" w:cs="Arial"/>
                <w:color w:val="000000" w:themeColor="text1"/>
                <w:sz w:val="16"/>
                <w:szCs w:val="16"/>
                <w:lang w:val="en-ZA"/>
              </w:rPr>
              <w:t>132</w:t>
            </w:r>
          </w:p>
        </w:tc>
        <w:tc>
          <w:tcPr>
            <w:tcW w:w="2268" w:type="dxa"/>
            <w:tcBorders>
              <w:top w:val="nil"/>
              <w:left w:val="nil"/>
              <w:bottom w:val="nil"/>
              <w:right w:val="nil"/>
            </w:tcBorders>
            <w:shd w:val="clear" w:color="auto" w:fill="auto"/>
            <w:noWrap/>
            <w:vAlign w:val="bottom"/>
          </w:tcPr>
          <w:p w14:paraId="3E862CD9" w14:textId="77777777" w:rsidR="005633D6" w:rsidRPr="00533EAC" w:rsidRDefault="005633D6" w:rsidP="00C05A32">
            <w:pPr>
              <w:spacing w:line="200" w:lineRule="exact"/>
              <w:rPr>
                <w:rFonts w:ascii="Arial" w:eastAsia="Calibri" w:hAnsi="Arial" w:cs="Arial"/>
                <w:color w:val="000000" w:themeColor="text1"/>
                <w:sz w:val="16"/>
                <w:szCs w:val="16"/>
                <w:lang w:val="en-ZA"/>
              </w:rPr>
            </w:pPr>
            <w:r w:rsidRPr="00533EAC">
              <w:rPr>
                <w:rFonts w:ascii="Arial" w:eastAsia="Calibri" w:hAnsi="Arial" w:cs="Arial"/>
                <w:color w:val="000000" w:themeColor="text1"/>
                <w:sz w:val="16"/>
                <w:szCs w:val="16"/>
                <w:lang w:val="en-ZA"/>
              </w:rPr>
              <w:t>13.21</w:t>
            </w:r>
          </w:p>
        </w:tc>
      </w:tr>
      <w:tr w:rsidR="00533EAC" w:rsidRPr="00533EAC" w14:paraId="3EF6A10B" w14:textId="77777777" w:rsidTr="005565B0">
        <w:trPr>
          <w:trHeight w:val="221"/>
          <w:jc w:val="center"/>
        </w:trPr>
        <w:tc>
          <w:tcPr>
            <w:tcW w:w="1985" w:type="dxa"/>
            <w:tcBorders>
              <w:top w:val="nil"/>
              <w:left w:val="nil"/>
              <w:bottom w:val="nil"/>
              <w:right w:val="nil"/>
            </w:tcBorders>
            <w:noWrap/>
            <w:vAlign w:val="center"/>
          </w:tcPr>
          <w:p w14:paraId="2E716960" w14:textId="77777777" w:rsidR="005633D6" w:rsidRPr="00533EAC" w:rsidRDefault="005633D6"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Nad3</w:t>
            </w:r>
          </w:p>
        </w:tc>
        <w:tc>
          <w:tcPr>
            <w:tcW w:w="2268" w:type="dxa"/>
            <w:tcBorders>
              <w:top w:val="nil"/>
              <w:left w:val="nil"/>
              <w:bottom w:val="nil"/>
              <w:right w:val="nil"/>
            </w:tcBorders>
            <w:noWrap/>
            <w:vAlign w:val="bottom"/>
          </w:tcPr>
          <w:p w14:paraId="4FE46383" w14:textId="77777777" w:rsidR="005633D6" w:rsidRPr="00533EAC" w:rsidRDefault="005633D6" w:rsidP="00C05A32">
            <w:pPr>
              <w:spacing w:line="200" w:lineRule="exact"/>
              <w:rPr>
                <w:rFonts w:ascii="Arial" w:eastAsia="Times New Roman" w:hAnsi="Arial" w:cs="Arial"/>
                <w:color w:val="000000" w:themeColor="text1"/>
                <w:sz w:val="16"/>
                <w:szCs w:val="16"/>
                <w:lang w:val="en-ZA" w:eastAsia="de-DE"/>
              </w:rPr>
            </w:pPr>
            <w:r w:rsidRPr="00533EAC">
              <w:rPr>
                <w:rFonts w:ascii="Arial" w:eastAsia="Calibri" w:hAnsi="Arial" w:cs="Arial"/>
                <w:color w:val="000000" w:themeColor="text1"/>
                <w:sz w:val="16"/>
                <w:szCs w:val="16"/>
                <w:lang w:val="en-ZA"/>
              </w:rPr>
              <w:t>390</w:t>
            </w:r>
          </w:p>
        </w:tc>
        <w:tc>
          <w:tcPr>
            <w:tcW w:w="2268" w:type="dxa"/>
            <w:tcBorders>
              <w:top w:val="nil"/>
              <w:left w:val="nil"/>
              <w:bottom w:val="nil"/>
              <w:right w:val="nil"/>
            </w:tcBorders>
            <w:noWrap/>
            <w:vAlign w:val="bottom"/>
          </w:tcPr>
          <w:p w14:paraId="07CA780D" w14:textId="77777777" w:rsidR="005633D6" w:rsidRPr="00533EAC" w:rsidRDefault="005633D6" w:rsidP="00C05A32">
            <w:pPr>
              <w:spacing w:line="200" w:lineRule="exact"/>
              <w:rPr>
                <w:rFonts w:ascii="Arial" w:eastAsia="Times New Roman" w:hAnsi="Arial" w:cs="Arial"/>
                <w:color w:val="000000" w:themeColor="text1"/>
                <w:sz w:val="16"/>
                <w:szCs w:val="16"/>
                <w:lang w:val="en-ZA" w:eastAsia="de-DE"/>
              </w:rPr>
            </w:pPr>
            <w:r w:rsidRPr="00533EAC">
              <w:rPr>
                <w:rFonts w:ascii="Arial" w:eastAsia="Calibri" w:hAnsi="Arial" w:cs="Arial"/>
                <w:color w:val="000000" w:themeColor="text1"/>
                <w:sz w:val="16"/>
                <w:szCs w:val="16"/>
                <w:lang w:val="en-ZA"/>
              </w:rPr>
              <w:t>41</w:t>
            </w:r>
          </w:p>
        </w:tc>
        <w:tc>
          <w:tcPr>
            <w:tcW w:w="2268" w:type="dxa"/>
            <w:tcBorders>
              <w:top w:val="nil"/>
              <w:left w:val="nil"/>
              <w:bottom w:val="nil"/>
              <w:right w:val="nil"/>
            </w:tcBorders>
            <w:noWrap/>
            <w:vAlign w:val="bottom"/>
          </w:tcPr>
          <w:p w14:paraId="7D6C4DEE" w14:textId="77777777" w:rsidR="005633D6" w:rsidRPr="00533EAC" w:rsidRDefault="005633D6"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10.51</w:t>
            </w:r>
          </w:p>
        </w:tc>
      </w:tr>
      <w:tr w:rsidR="00533EAC" w:rsidRPr="00533EAC" w14:paraId="24119E5A" w14:textId="77777777" w:rsidTr="005565B0">
        <w:trPr>
          <w:trHeight w:val="221"/>
          <w:jc w:val="center"/>
        </w:trPr>
        <w:tc>
          <w:tcPr>
            <w:tcW w:w="1985" w:type="dxa"/>
            <w:tcBorders>
              <w:top w:val="nil"/>
              <w:left w:val="nil"/>
              <w:bottom w:val="nil"/>
              <w:right w:val="nil"/>
            </w:tcBorders>
            <w:noWrap/>
            <w:vAlign w:val="center"/>
          </w:tcPr>
          <w:p w14:paraId="625EDE70" w14:textId="77777777" w:rsidR="005633D6" w:rsidRPr="00533EAC" w:rsidRDefault="005633D6"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Nad4</w:t>
            </w:r>
          </w:p>
        </w:tc>
        <w:tc>
          <w:tcPr>
            <w:tcW w:w="2268" w:type="dxa"/>
            <w:tcBorders>
              <w:top w:val="nil"/>
              <w:left w:val="nil"/>
              <w:bottom w:val="nil"/>
              <w:right w:val="nil"/>
            </w:tcBorders>
            <w:noWrap/>
            <w:vAlign w:val="bottom"/>
          </w:tcPr>
          <w:p w14:paraId="6C886C0A" w14:textId="77777777" w:rsidR="005633D6" w:rsidRPr="00533EAC" w:rsidRDefault="005633D6" w:rsidP="00C05A32">
            <w:pPr>
              <w:spacing w:line="200" w:lineRule="exact"/>
              <w:rPr>
                <w:rFonts w:ascii="Arial" w:eastAsia="Times New Roman" w:hAnsi="Arial" w:cs="Arial"/>
                <w:color w:val="000000" w:themeColor="text1"/>
                <w:sz w:val="16"/>
                <w:szCs w:val="16"/>
                <w:lang w:val="en-ZA" w:eastAsia="de-DE"/>
              </w:rPr>
            </w:pPr>
            <w:r w:rsidRPr="00533EAC">
              <w:rPr>
                <w:rFonts w:ascii="Arial" w:eastAsia="Calibri" w:hAnsi="Arial" w:cs="Arial"/>
                <w:color w:val="000000" w:themeColor="text1"/>
                <w:sz w:val="16"/>
                <w:szCs w:val="16"/>
                <w:lang w:val="en-ZA"/>
              </w:rPr>
              <w:t>1324</w:t>
            </w:r>
          </w:p>
        </w:tc>
        <w:tc>
          <w:tcPr>
            <w:tcW w:w="2268" w:type="dxa"/>
            <w:tcBorders>
              <w:top w:val="nil"/>
              <w:left w:val="nil"/>
              <w:bottom w:val="nil"/>
              <w:right w:val="nil"/>
            </w:tcBorders>
            <w:noWrap/>
            <w:vAlign w:val="bottom"/>
          </w:tcPr>
          <w:p w14:paraId="48A5B76A" w14:textId="77777777" w:rsidR="005633D6" w:rsidRPr="00533EAC" w:rsidRDefault="005633D6" w:rsidP="00C05A32">
            <w:pPr>
              <w:spacing w:line="200" w:lineRule="exact"/>
              <w:rPr>
                <w:rFonts w:ascii="Arial" w:eastAsia="Times New Roman" w:hAnsi="Arial" w:cs="Arial"/>
                <w:color w:val="000000" w:themeColor="text1"/>
                <w:sz w:val="16"/>
                <w:szCs w:val="16"/>
                <w:lang w:val="en-ZA" w:eastAsia="de-DE"/>
              </w:rPr>
            </w:pPr>
            <w:r w:rsidRPr="00533EAC">
              <w:rPr>
                <w:rFonts w:ascii="Arial" w:eastAsia="Calibri" w:hAnsi="Arial" w:cs="Arial"/>
                <w:color w:val="000000" w:themeColor="text1"/>
                <w:sz w:val="16"/>
                <w:szCs w:val="16"/>
                <w:lang w:val="en-ZA"/>
              </w:rPr>
              <w:t>138</w:t>
            </w:r>
          </w:p>
        </w:tc>
        <w:tc>
          <w:tcPr>
            <w:tcW w:w="2268" w:type="dxa"/>
            <w:tcBorders>
              <w:top w:val="nil"/>
              <w:left w:val="nil"/>
              <w:bottom w:val="nil"/>
              <w:right w:val="nil"/>
            </w:tcBorders>
            <w:noWrap/>
            <w:vAlign w:val="bottom"/>
          </w:tcPr>
          <w:p w14:paraId="187A3A0C" w14:textId="77777777" w:rsidR="005633D6" w:rsidRPr="00533EAC" w:rsidRDefault="005633D6" w:rsidP="00C05A32">
            <w:pPr>
              <w:spacing w:line="200" w:lineRule="exact"/>
              <w:rPr>
                <w:rFonts w:ascii="Arial" w:eastAsia="Times New Roman" w:hAnsi="Arial" w:cs="Arial"/>
                <w:color w:val="000000" w:themeColor="text1"/>
                <w:sz w:val="16"/>
                <w:szCs w:val="16"/>
                <w:lang w:val="en-ZA" w:eastAsia="de-DE"/>
              </w:rPr>
            </w:pPr>
            <w:r w:rsidRPr="00533EAC">
              <w:rPr>
                <w:rFonts w:ascii="Arial" w:eastAsia="Calibri" w:hAnsi="Arial" w:cs="Arial"/>
                <w:color w:val="000000" w:themeColor="text1"/>
                <w:sz w:val="16"/>
                <w:szCs w:val="16"/>
                <w:lang w:val="en-ZA"/>
              </w:rPr>
              <w:t>10.42</w:t>
            </w:r>
          </w:p>
        </w:tc>
      </w:tr>
      <w:tr w:rsidR="00533EAC" w:rsidRPr="00533EAC" w14:paraId="78D54DB5" w14:textId="77777777" w:rsidTr="005565B0">
        <w:trPr>
          <w:trHeight w:val="221"/>
          <w:jc w:val="center"/>
        </w:trPr>
        <w:tc>
          <w:tcPr>
            <w:tcW w:w="1985" w:type="dxa"/>
            <w:tcBorders>
              <w:top w:val="nil"/>
              <w:left w:val="nil"/>
              <w:bottom w:val="nil"/>
              <w:right w:val="nil"/>
            </w:tcBorders>
            <w:noWrap/>
            <w:vAlign w:val="center"/>
          </w:tcPr>
          <w:p w14:paraId="0EBF7FF1" w14:textId="77777777" w:rsidR="005633D6" w:rsidRPr="00533EAC" w:rsidRDefault="005633D6"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Nad4l</w:t>
            </w:r>
          </w:p>
        </w:tc>
        <w:tc>
          <w:tcPr>
            <w:tcW w:w="2268" w:type="dxa"/>
            <w:tcBorders>
              <w:top w:val="nil"/>
              <w:left w:val="nil"/>
              <w:bottom w:val="nil"/>
              <w:right w:val="nil"/>
            </w:tcBorders>
            <w:noWrap/>
            <w:vAlign w:val="bottom"/>
          </w:tcPr>
          <w:p w14:paraId="639BFC1E" w14:textId="77777777" w:rsidR="005633D6" w:rsidRPr="00533EAC" w:rsidRDefault="005633D6" w:rsidP="00C05A32">
            <w:pPr>
              <w:spacing w:line="200" w:lineRule="exact"/>
              <w:rPr>
                <w:rFonts w:ascii="Arial" w:eastAsia="Times New Roman" w:hAnsi="Arial" w:cs="Arial"/>
                <w:color w:val="000000" w:themeColor="text1"/>
                <w:sz w:val="16"/>
                <w:szCs w:val="16"/>
                <w:lang w:val="en-ZA" w:eastAsia="de-DE"/>
              </w:rPr>
            </w:pPr>
            <w:r w:rsidRPr="00533EAC">
              <w:rPr>
                <w:rFonts w:ascii="Arial" w:eastAsia="Calibri" w:hAnsi="Arial" w:cs="Arial"/>
                <w:color w:val="000000" w:themeColor="text1"/>
                <w:sz w:val="16"/>
                <w:szCs w:val="16"/>
                <w:lang w:val="en-ZA"/>
              </w:rPr>
              <w:t>234</w:t>
            </w:r>
          </w:p>
        </w:tc>
        <w:tc>
          <w:tcPr>
            <w:tcW w:w="2268" w:type="dxa"/>
            <w:tcBorders>
              <w:top w:val="nil"/>
              <w:left w:val="nil"/>
              <w:bottom w:val="nil"/>
              <w:right w:val="nil"/>
            </w:tcBorders>
            <w:noWrap/>
            <w:vAlign w:val="bottom"/>
          </w:tcPr>
          <w:p w14:paraId="7223F43F" w14:textId="77777777" w:rsidR="005633D6" w:rsidRPr="00533EAC" w:rsidRDefault="005633D6" w:rsidP="00C05A32">
            <w:pPr>
              <w:spacing w:line="200" w:lineRule="exact"/>
              <w:rPr>
                <w:rFonts w:ascii="Arial" w:eastAsia="Times New Roman" w:hAnsi="Arial" w:cs="Arial"/>
                <w:color w:val="000000" w:themeColor="text1"/>
                <w:sz w:val="16"/>
                <w:szCs w:val="16"/>
                <w:lang w:val="en-ZA" w:eastAsia="de-DE"/>
              </w:rPr>
            </w:pPr>
            <w:r w:rsidRPr="00533EAC">
              <w:rPr>
                <w:rFonts w:ascii="Arial" w:eastAsia="Calibri" w:hAnsi="Arial" w:cs="Arial"/>
                <w:color w:val="000000" w:themeColor="text1"/>
                <w:sz w:val="16"/>
                <w:szCs w:val="16"/>
                <w:lang w:val="en-ZA"/>
              </w:rPr>
              <w:t>36</w:t>
            </w:r>
          </w:p>
        </w:tc>
        <w:tc>
          <w:tcPr>
            <w:tcW w:w="2268" w:type="dxa"/>
            <w:tcBorders>
              <w:top w:val="nil"/>
              <w:left w:val="nil"/>
              <w:bottom w:val="nil"/>
              <w:right w:val="nil"/>
            </w:tcBorders>
            <w:noWrap/>
            <w:vAlign w:val="bottom"/>
          </w:tcPr>
          <w:p w14:paraId="685DFD8F" w14:textId="77777777" w:rsidR="005633D6" w:rsidRPr="00533EAC" w:rsidRDefault="005633D6" w:rsidP="00C05A32">
            <w:pPr>
              <w:spacing w:line="200" w:lineRule="exact"/>
              <w:rPr>
                <w:rFonts w:ascii="Arial" w:eastAsia="Times New Roman" w:hAnsi="Arial" w:cs="Arial"/>
                <w:color w:val="000000" w:themeColor="text1"/>
                <w:sz w:val="16"/>
                <w:szCs w:val="16"/>
                <w:lang w:val="en-ZA" w:eastAsia="de-DE"/>
              </w:rPr>
            </w:pPr>
            <w:r w:rsidRPr="00533EAC">
              <w:rPr>
                <w:rFonts w:ascii="Arial" w:eastAsia="Calibri" w:hAnsi="Arial" w:cs="Arial"/>
                <w:color w:val="000000" w:themeColor="text1"/>
                <w:sz w:val="16"/>
                <w:szCs w:val="16"/>
                <w:lang w:val="en-ZA"/>
              </w:rPr>
              <w:t>15.38</w:t>
            </w:r>
          </w:p>
        </w:tc>
      </w:tr>
      <w:tr w:rsidR="00533EAC" w:rsidRPr="00533EAC" w14:paraId="42C32001" w14:textId="77777777" w:rsidTr="005565B0">
        <w:trPr>
          <w:trHeight w:val="221"/>
          <w:jc w:val="center"/>
        </w:trPr>
        <w:tc>
          <w:tcPr>
            <w:tcW w:w="1985" w:type="dxa"/>
            <w:tcBorders>
              <w:top w:val="nil"/>
              <w:left w:val="nil"/>
              <w:bottom w:val="nil"/>
              <w:right w:val="nil"/>
            </w:tcBorders>
            <w:noWrap/>
            <w:vAlign w:val="center"/>
          </w:tcPr>
          <w:p w14:paraId="1684A798" w14:textId="77777777" w:rsidR="005633D6" w:rsidRPr="00533EAC" w:rsidRDefault="005633D6"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Nad5</w:t>
            </w:r>
          </w:p>
        </w:tc>
        <w:tc>
          <w:tcPr>
            <w:tcW w:w="2268" w:type="dxa"/>
            <w:tcBorders>
              <w:top w:val="nil"/>
              <w:left w:val="nil"/>
              <w:bottom w:val="nil"/>
              <w:right w:val="nil"/>
            </w:tcBorders>
            <w:noWrap/>
            <w:vAlign w:val="bottom"/>
          </w:tcPr>
          <w:p w14:paraId="7A1E404A" w14:textId="77777777" w:rsidR="005633D6" w:rsidRPr="00533EAC" w:rsidRDefault="005633D6" w:rsidP="00C05A32">
            <w:pPr>
              <w:spacing w:line="200" w:lineRule="exact"/>
              <w:rPr>
                <w:rFonts w:ascii="Arial" w:eastAsia="Times New Roman" w:hAnsi="Arial" w:cs="Arial"/>
                <w:color w:val="000000" w:themeColor="text1"/>
                <w:sz w:val="16"/>
                <w:szCs w:val="16"/>
                <w:lang w:val="en-ZA" w:eastAsia="de-DE"/>
              </w:rPr>
            </w:pPr>
            <w:r w:rsidRPr="00533EAC">
              <w:rPr>
                <w:rFonts w:ascii="Arial" w:eastAsia="Calibri" w:hAnsi="Arial" w:cs="Arial"/>
                <w:color w:val="000000" w:themeColor="text1"/>
                <w:sz w:val="16"/>
                <w:szCs w:val="16"/>
                <w:lang w:val="en-ZA"/>
              </w:rPr>
              <w:t>1734</w:t>
            </w:r>
          </w:p>
        </w:tc>
        <w:tc>
          <w:tcPr>
            <w:tcW w:w="2268" w:type="dxa"/>
            <w:tcBorders>
              <w:top w:val="nil"/>
              <w:left w:val="nil"/>
              <w:bottom w:val="nil"/>
              <w:right w:val="nil"/>
            </w:tcBorders>
            <w:noWrap/>
            <w:vAlign w:val="bottom"/>
          </w:tcPr>
          <w:p w14:paraId="7595616C" w14:textId="77777777" w:rsidR="005633D6" w:rsidRPr="00533EAC" w:rsidRDefault="005633D6" w:rsidP="00C05A32">
            <w:pPr>
              <w:spacing w:line="200" w:lineRule="exact"/>
              <w:rPr>
                <w:rFonts w:ascii="Arial" w:eastAsia="Times New Roman" w:hAnsi="Arial" w:cs="Arial"/>
                <w:color w:val="000000" w:themeColor="text1"/>
                <w:sz w:val="16"/>
                <w:szCs w:val="16"/>
                <w:lang w:val="en-ZA" w:eastAsia="de-DE"/>
              </w:rPr>
            </w:pPr>
            <w:r w:rsidRPr="00533EAC">
              <w:rPr>
                <w:rFonts w:ascii="Arial" w:eastAsia="Calibri" w:hAnsi="Arial" w:cs="Arial"/>
                <w:color w:val="000000" w:themeColor="text1"/>
                <w:sz w:val="16"/>
                <w:szCs w:val="16"/>
                <w:lang w:val="en-ZA"/>
              </w:rPr>
              <w:t>288</w:t>
            </w:r>
          </w:p>
        </w:tc>
        <w:tc>
          <w:tcPr>
            <w:tcW w:w="2268" w:type="dxa"/>
            <w:tcBorders>
              <w:top w:val="nil"/>
              <w:left w:val="nil"/>
              <w:bottom w:val="nil"/>
              <w:right w:val="nil"/>
            </w:tcBorders>
            <w:noWrap/>
            <w:vAlign w:val="bottom"/>
          </w:tcPr>
          <w:p w14:paraId="7EC766E3" w14:textId="77777777" w:rsidR="005633D6" w:rsidRPr="00533EAC" w:rsidRDefault="005633D6" w:rsidP="00C05A32">
            <w:pPr>
              <w:spacing w:line="200" w:lineRule="exact"/>
              <w:rPr>
                <w:rFonts w:ascii="Arial" w:eastAsia="Times New Roman" w:hAnsi="Arial" w:cs="Arial"/>
                <w:color w:val="000000" w:themeColor="text1"/>
                <w:sz w:val="16"/>
                <w:szCs w:val="16"/>
                <w:lang w:val="en-ZA" w:eastAsia="de-DE"/>
              </w:rPr>
            </w:pPr>
            <w:r w:rsidRPr="00533EAC">
              <w:rPr>
                <w:rFonts w:ascii="Arial" w:eastAsia="Calibri" w:hAnsi="Arial" w:cs="Arial"/>
                <w:color w:val="000000" w:themeColor="text1"/>
                <w:sz w:val="16"/>
                <w:szCs w:val="16"/>
                <w:lang w:val="en-ZA"/>
              </w:rPr>
              <w:t>16.60</w:t>
            </w:r>
          </w:p>
        </w:tc>
      </w:tr>
      <w:tr w:rsidR="005633D6" w:rsidRPr="00533EAC" w14:paraId="2819AAC9" w14:textId="77777777" w:rsidTr="00B21208">
        <w:trPr>
          <w:trHeight w:val="221"/>
          <w:jc w:val="center"/>
        </w:trPr>
        <w:tc>
          <w:tcPr>
            <w:tcW w:w="1985" w:type="dxa"/>
            <w:tcBorders>
              <w:top w:val="nil"/>
              <w:left w:val="nil"/>
              <w:bottom w:val="single" w:sz="4" w:space="0" w:color="auto"/>
              <w:right w:val="nil"/>
            </w:tcBorders>
            <w:noWrap/>
            <w:vAlign w:val="center"/>
          </w:tcPr>
          <w:p w14:paraId="03B5A96C" w14:textId="77777777" w:rsidR="005633D6" w:rsidRPr="00533EAC" w:rsidRDefault="005633D6" w:rsidP="00C05A32">
            <w:pPr>
              <w:spacing w:line="200" w:lineRule="exact"/>
              <w:rPr>
                <w:rFonts w:ascii="Arial" w:eastAsia="Times New Roman" w:hAnsi="Arial" w:cs="Arial"/>
                <w:color w:val="000000" w:themeColor="text1"/>
                <w:sz w:val="16"/>
                <w:szCs w:val="16"/>
                <w:lang w:val="en-ZA" w:eastAsia="de-DE"/>
              </w:rPr>
            </w:pPr>
            <w:r w:rsidRPr="00533EAC">
              <w:rPr>
                <w:rFonts w:ascii="Arial" w:eastAsia="Times New Roman" w:hAnsi="Arial" w:cs="Arial"/>
                <w:color w:val="000000" w:themeColor="text1"/>
                <w:sz w:val="16"/>
                <w:szCs w:val="16"/>
                <w:lang w:val="en-ZA" w:eastAsia="de-DE"/>
              </w:rPr>
              <w:t>Nad6</w:t>
            </w:r>
          </w:p>
        </w:tc>
        <w:tc>
          <w:tcPr>
            <w:tcW w:w="2268" w:type="dxa"/>
            <w:tcBorders>
              <w:top w:val="nil"/>
              <w:left w:val="nil"/>
              <w:bottom w:val="single" w:sz="4" w:space="0" w:color="auto"/>
              <w:right w:val="nil"/>
            </w:tcBorders>
            <w:noWrap/>
            <w:vAlign w:val="bottom"/>
          </w:tcPr>
          <w:p w14:paraId="6B3156C5" w14:textId="77777777" w:rsidR="005633D6" w:rsidRPr="00533EAC" w:rsidRDefault="005633D6" w:rsidP="00C05A32">
            <w:pPr>
              <w:spacing w:line="200" w:lineRule="exact"/>
              <w:rPr>
                <w:rFonts w:ascii="Arial" w:eastAsia="Times New Roman" w:hAnsi="Arial" w:cs="Arial"/>
                <w:color w:val="000000" w:themeColor="text1"/>
                <w:sz w:val="16"/>
                <w:szCs w:val="16"/>
                <w:lang w:val="en-ZA" w:eastAsia="de-DE"/>
              </w:rPr>
            </w:pPr>
            <w:r w:rsidRPr="00533EAC">
              <w:rPr>
                <w:rFonts w:ascii="Arial" w:eastAsia="Calibri" w:hAnsi="Arial" w:cs="Arial"/>
                <w:color w:val="000000" w:themeColor="text1"/>
                <w:sz w:val="16"/>
                <w:szCs w:val="16"/>
                <w:lang w:val="en-ZA"/>
              </w:rPr>
              <w:t>435</w:t>
            </w:r>
          </w:p>
        </w:tc>
        <w:tc>
          <w:tcPr>
            <w:tcW w:w="2268" w:type="dxa"/>
            <w:tcBorders>
              <w:top w:val="nil"/>
              <w:left w:val="nil"/>
              <w:bottom w:val="single" w:sz="4" w:space="0" w:color="auto"/>
              <w:right w:val="nil"/>
            </w:tcBorders>
            <w:noWrap/>
            <w:vAlign w:val="bottom"/>
          </w:tcPr>
          <w:p w14:paraId="5EDAA8CB" w14:textId="77777777" w:rsidR="005633D6" w:rsidRPr="00533EAC" w:rsidRDefault="005633D6" w:rsidP="00C05A32">
            <w:pPr>
              <w:spacing w:line="200" w:lineRule="exact"/>
              <w:rPr>
                <w:rFonts w:ascii="Arial" w:eastAsia="Times New Roman" w:hAnsi="Arial" w:cs="Arial"/>
                <w:color w:val="000000" w:themeColor="text1"/>
                <w:sz w:val="16"/>
                <w:szCs w:val="16"/>
                <w:lang w:val="en-ZA" w:eastAsia="de-DE"/>
              </w:rPr>
            </w:pPr>
            <w:r w:rsidRPr="00533EAC">
              <w:rPr>
                <w:rFonts w:ascii="Arial" w:eastAsia="Calibri" w:hAnsi="Arial" w:cs="Arial"/>
                <w:color w:val="000000" w:themeColor="text1"/>
                <w:sz w:val="16"/>
                <w:szCs w:val="16"/>
                <w:lang w:val="en-ZA"/>
              </w:rPr>
              <w:t>84</w:t>
            </w:r>
          </w:p>
        </w:tc>
        <w:tc>
          <w:tcPr>
            <w:tcW w:w="2268" w:type="dxa"/>
            <w:tcBorders>
              <w:top w:val="nil"/>
              <w:left w:val="nil"/>
              <w:bottom w:val="single" w:sz="4" w:space="0" w:color="auto"/>
              <w:right w:val="nil"/>
            </w:tcBorders>
            <w:noWrap/>
            <w:vAlign w:val="bottom"/>
          </w:tcPr>
          <w:p w14:paraId="058A5CE0" w14:textId="77777777" w:rsidR="005633D6" w:rsidRPr="00533EAC" w:rsidRDefault="005633D6" w:rsidP="00C05A32">
            <w:pPr>
              <w:spacing w:line="200" w:lineRule="exact"/>
              <w:rPr>
                <w:rFonts w:ascii="Arial" w:eastAsia="Times New Roman" w:hAnsi="Arial" w:cs="Arial"/>
                <w:color w:val="000000" w:themeColor="text1"/>
                <w:sz w:val="16"/>
                <w:szCs w:val="16"/>
                <w:lang w:val="en-ZA" w:eastAsia="de-DE"/>
              </w:rPr>
            </w:pPr>
            <w:r w:rsidRPr="00533EAC">
              <w:rPr>
                <w:rFonts w:ascii="Arial" w:eastAsia="Calibri" w:hAnsi="Arial" w:cs="Arial"/>
                <w:color w:val="000000" w:themeColor="text1"/>
                <w:sz w:val="16"/>
                <w:szCs w:val="16"/>
                <w:lang w:val="en-ZA"/>
              </w:rPr>
              <w:t>19.31</w:t>
            </w:r>
          </w:p>
        </w:tc>
      </w:tr>
    </w:tbl>
    <w:p w14:paraId="5019FA9C" w14:textId="77777777" w:rsidR="00777E37" w:rsidRPr="00533EAC" w:rsidRDefault="00777E37" w:rsidP="00C05A32">
      <w:pPr>
        <w:spacing w:after="0" w:line="200" w:lineRule="exact"/>
        <w:rPr>
          <w:rFonts w:ascii="Arial" w:hAnsi="Arial" w:cs="Arial"/>
          <w:color w:val="000000" w:themeColor="text1"/>
          <w:sz w:val="16"/>
          <w:szCs w:val="16"/>
          <w:lang w:val="en-ZA"/>
        </w:rPr>
      </w:pPr>
    </w:p>
    <w:sectPr w:rsidR="00777E37" w:rsidRPr="00533EAC" w:rsidSect="005565B0">
      <w:pgSz w:w="11906" w:h="16838"/>
      <w:pgMar w:top="1134" w:right="1417" w:bottom="1417" w:left="1417" w:header="708" w:footer="708" w:gutter="0"/>
      <w:lnNumType w:countBy="1" w:restart="continuous"/>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3DBB3" w16cex:dateUtc="2021-02-02T12:09:00Z"/>
  <w16cex:commentExtensible w16cex:durableId="23D539BC" w16cex:dateUtc="2021-02-15T16:19:00Z"/>
  <w16cex:commentExtensible w16cex:durableId="23C29FA4" w16cex:dateUtc="2021-02-01T13:41:00Z"/>
  <w16cex:commentExtensible w16cex:durableId="23C2A1C4" w16cex:dateUtc="2021-02-01T13:50:00Z"/>
  <w16cex:commentExtensible w16cex:durableId="23C2A1AB" w16cex:dateUtc="2021-02-01T13:50:00Z"/>
  <w16cex:commentExtensible w16cex:durableId="23D53C4D" w16cex:dateUtc="2021-02-15T16:30:00Z"/>
  <w16cex:commentExtensible w16cex:durableId="23C7CDF1" w16cex:dateUtc="2021-02-05T12:00:00Z"/>
  <w16cex:commentExtensible w16cex:durableId="23D53F3E" w16cex:dateUtc="2021-02-15T16:43:00Z"/>
  <w16cex:commentExtensible w16cex:durableId="23D54075" w16cex:dateUtc="2021-02-15T16:48:00Z"/>
  <w16cex:commentExtensible w16cex:durableId="23D5415A" w16cex:dateUtc="2021-02-15T16:52:00Z"/>
  <w16cex:commentExtensible w16cex:durableId="23C2AE25" w16cex:dateUtc="2021-02-01T14:43:00Z"/>
  <w16cex:commentExtensible w16cex:durableId="23C7D27D" w16cex:dateUtc="2021-02-05T12:19:00Z"/>
  <w16cex:commentExtensible w16cex:durableId="23D55406" w16cex:dateUtc="2021-02-15T18:11:00Z"/>
  <w16cex:commentExtensible w16cex:durableId="23C2AF94" w16cex:dateUtc="2021-02-01T14:49:00Z"/>
  <w16cex:commentExtensible w16cex:durableId="23D54403" w16cex:dateUtc="2021-02-15T17:03:00Z"/>
  <w16cex:commentExtensible w16cex:durableId="23C2B2A9" w16cex:dateUtc="2021-02-01T15:02:00Z"/>
  <w16cex:commentExtensible w16cex:durableId="23C2B41E" w16cex:dateUtc="2021-02-01T15:08:00Z"/>
  <w16cex:commentExtensible w16cex:durableId="23D5498A" w16cex:dateUtc="2021-02-15T17:27:00Z"/>
  <w16cex:commentExtensible w16cex:durableId="23C3DFC3" w16cex:dateUtc="2021-02-02T12:27:00Z"/>
  <w16cex:commentExtensible w16cex:durableId="23C3E08A" w16cex:dateUtc="2021-02-02T12:30:00Z"/>
  <w16cex:commentExtensible w16cex:durableId="23C3E31D" w16cex:dateUtc="2021-02-02T12:41:00Z"/>
  <w16cex:commentExtensible w16cex:durableId="23D54A61" w16cex:dateUtc="2021-02-15T17:30:00Z"/>
  <w16cex:commentExtensible w16cex:durableId="23C3E3F1" w16cex:dateUtc="2021-02-02T12:45:00Z"/>
  <w16cex:commentExtensible w16cex:durableId="23D552A0" w16cex:dateUtc="2021-02-15T18:05:00Z"/>
  <w16cex:commentExtensible w16cex:durableId="23D54C83" w16cex:dateUtc="2021-02-15T17:39:00Z"/>
  <w16cex:commentExtensible w16cex:durableId="23D54CA6" w16cex:dateUtc="2021-02-15T17:40:00Z"/>
  <w16cex:commentExtensible w16cex:durableId="23D54CBC" w16cex:dateUtc="2021-02-15T17:40:00Z"/>
  <w16cex:commentExtensible w16cex:durableId="23D54EE7" w16cex:dateUtc="2021-02-15T17:49:00Z"/>
  <w16cex:commentExtensible w16cex:durableId="23C3F3FD" w16cex:dateUtc="2021-02-02T13:53:00Z"/>
  <w16cex:commentExtensible w16cex:durableId="23C7DCAD" w16cex:dateUtc="2021-02-05T13:03:00Z"/>
  <w16cex:commentExtensible w16cex:durableId="23C3FC78" w16cex:dateUtc="2021-02-02T14:29:00Z"/>
  <w16cex:commentExtensible w16cex:durableId="23C3FC24" w16cex:dateUtc="2021-02-02T14:2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E48171" w14:textId="77777777" w:rsidR="00117E94" w:rsidRDefault="00117E94">
      <w:pPr>
        <w:spacing w:after="0" w:line="240" w:lineRule="auto"/>
      </w:pPr>
      <w:r>
        <w:separator/>
      </w:r>
    </w:p>
  </w:endnote>
  <w:endnote w:type="continuationSeparator" w:id="0">
    <w:p w14:paraId="355C5639" w14:textId="77777777" w:rsidR="00117E94" w:rsidRDefault="00117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780103"/>
      <w:docPartObj>
        <w:docPartGallery w:val="Page Numbers (Bottom of Page)"/>
        <w:docPartUnique/>
      </w:docPartObj>
    </w:sdtPr>
    <w:sdtEndPr/>
    <w:sdtContent>
      <w:p w14:paraId="0EFE30E4" w14:textId="31E1FD7F" w:rsidR="002F1342" w:rsidRDefault="002F1342">
        <w:pPr>
          <w:pStyle w:val="Pidipagina1"/>
          <w:jc w:val="center"/>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sdtContent>
  </w:sdt>
  <w:p w14:paraId="48A648D5" w14:textId="77777777" w:rsidR="002F1342" w:rsidRDefault="002F1342">
    <w:pPr>
      <w:pStyle w:val="Pidipagin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1AB1BF" w14:textId="77777777" w:rsidR="00117E94" w:rsidRDefault="00117E94">
      <w:pPr>
        <w:spacing w:after="0" w:line="240" w:lineRule="auto"/>
      </w:pPr>
      <w:r>
        <w:separator/>
      </w:r>
    </w:p>
  </w:footnote>
  <w:footnote w:type="continuationSeparator" w:id="0">
    <w:p w14:paraId="25006242" w14:textId="77777777" w:rsidR="00117E94" w:rsidRDefault="00117E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9D34EE"/>
    <w:multiLevelType w:val="hybridMultilevel"/>
    <w:tmpl w:val="6644ADB6"/>
    <w:lvl w:ilvl="0" w:tplc="EF1221D6">
      <w:start w:val="40"/>
      <w:numFmt w:val="bullet"/>
      <w:lvlText w:val="-"/>
      <w:lvlJc w:val="left"/>
      <w:pPr>
        <w:ind w:left="720" w:hanging="360"/>
      </w:pPr>
      <w:rPr>
        <w:rFonts w:ascii="Times New Roman" w:eastAsiaTheme="minorHAnsi" w:hAnsi="Times New Roman"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4A735D02"/>
    <w:multiLevelType w:val="multilevel"/>
    <w:tmpl w:val="C90EB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3F7649"/>
    <w:multiLevelType w:val="hybridMultilevel"/>
    <w:tmpl w:val="54C2FC5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3D6"/>
    <w:rsid w:val="00001616"/>
    <w:rsid w:val="000016D6"/>
    <w:rsid w:val="000069AE"/>
    <w:rsid w:val="00007BD6"/>
    <w:rsid w:val="000120F7"/>
    <w:rsid w:val="0001754D"/>
    <w:rsid w:val="00021749"/>
    <w:rsid w:val="00026E9D"/>
    <w:rsid w:val="000437EE"/>
    <w:rsid w:val="00045C53"/>
    <w:rsid w:val="000470D5"/>
    <w:rsid w:val="00052F09"/>
    <w:rsid w:val="00054562"/>
    <w:rsid w:val="000647CC"/>
    <w:rsid w:val="00066283"/>
    <w:rsid w:val="000678E2"/>
    <w:rsid w:val="00070CC1"/>
    <w:rsid w:val="00070E28"/>
    <w:rsid w:val="000736DA"/>
    <w:rsid w:val="000766BB"/>
    <w:rsid w:val="000834A5"/>
    <w:rsid w:val="00084962"/>
    <w:rsid w:val="000906AF"/>
    <w:rsid w:val="00090809"/>
    <w:rsid w:val="00094D89"/>
    <w:rsid w:val="000A1BE1"/>
    <w:rsid w:val="000A3487"/>
    <w:rsid w:val="000A63AC"/>
    <w:rsid w:val="000B1FA5"/>
    <w:rsid w:val="000B59AC"/>
    <w:rsid w:val="000C0944"/>
    <w:rsid w:val="000C15BC"/>
    <w:rsid w:val="000C219D"/>
    <w:rsid w:val="000D5130"/>
    <w:rsid w:val="000D6F70"/>
    <w:rsid w:val="000D730C"/>
    <w:rsid w:val="000D73B7"/>
    <w:rsid w:val="000E31FF"/>
    <w:rsid w:val="000E4D47"/>
    <w:rsid w:val="000F62BA"/>
    <w:rsid w:val="00106285"/>
    <w:rsid w:val="00111B6E"/>
    <w:rsid w:val="00113EB1"/>
    <w:rsid w:val="00114273"/>
    <w:rsid w:val="00117E94"/>
    <w:rsid w:val="001223A0"/>
    <w:rsid w:val="00132F55"/>
    <w:rsid w:val="00133364"/>
    <w:rsid w:val="00134D85"/>
    <w:rsid w:val="001378BB"/>
    <w:rsid w:val="001433A1"/>
    <w:rsid w:val="0015379E"/>
    <w:rsid w:val="001550AF"/>
    <w:rsid w:val="00156E23"/>
    <w:rsid w:val="0015713A"/>
    <w:rsid w:val="00157CAA"/>
    <w:rsid w:val="00165840"/>
    <w:rsid w:val="00172C57"/>
    <w:rsid w:val="00177876"/>
    <w:rsid w:val="001808F6"/>
    <w:rsid w:val="001814C1"/>
    <w:rsid w:val="00181FAC"/>
    <w:rsid w:val="00184927"/>
    <w:rsid w:val="0019123D"/>
    <w:rsid w:val="0019204C"/>
    <w:rsid w:val="0019763E"/>
    <w:rsid w:val="001A0A04"/>
    <w:rsid w:val="001A0D88"/>
    <w:rsid w:val="001A6B75"/>
    <w:rsid w:val="001B1502"/>
    <w:rsid w:val="001B375B"/>
    <w:rsid w:val="001C3A93"/>
    <w:rsid w:val="001C7EB7"/>
    <w:rsid w:val="001D1A0C"/>
    <w:rsid w:val="001D4F11"/>
    <w:rsid w:val="001E12C8"/>
    <w:rsid w:val="001E5A20"/>
    <w:rsid w:val="00200576"/>
    <w:rsid w:val="00202EDA"/>
    <w:rsid w:val="002051CB"/>
    <w:rsid w:val="00213C44"/>
    <w:rsid w:val="00225491"/>
    <w:rsid w:val="002259FD"/>
    <w:rsid w:val="002278D7"/>
    <w:rsid w:val="0023033B"/>
    <w:rsid w:val="002310E9"/>
    <w:rsid w:val="00231A0A"/>
    <w:rsid w:val="0023466C"/>
    <w:rsid w:val="002404E7"/>
    <w:rsid w:val="00241C52"/>
    <w:rsid w:val="00247845"/>
    <w:rsid w:val="0025180E"/>
    <w:rsid w:val="0025425A"/>
    <w:rsid w:val="002542F3"/>
    <w:rsid w:val="00254744"/>
    <w:rsid w:val="00255582"/>
    <w:rsid w:val="00256C97"/>
    <w:rsid w:val="00261955"/>
    <w:rsid w:val="00263A14"/>
    <w:rsid w:val="00263DD7"/>
    <w:rsid w:val="00265CE3"/>
    <w:rsid w:val="00266268"/>
    <w:rsid w:val="002671A5"/>
    <w:rsid w:val="002712F8"/>
    <w:rsid w:val="00273387"/>
    <w:rsid w:val="002753FE"/>
    <w:rsid w:val="00280F38"/>
    <w:rsid w:val="0029261B"/>
    <w:rsid w:val="00292870"/>
    <w:rsid w:val="00293469"/>
    <w:rsid w:val="002A408D"/>
    <w:rsid w:val="002B5328"/>
    <w:rsid w:val="002C5BCC"/>
    <w:rsid w:val="002D38CF"/>
    <w:rsid w:val="002E1A40"/>
    <w:rsid w:val="002E27DD"/>
    <w:rsid w:val="002E2E55"/>
    <w:rsid w:val="002E602B"/>
    <w:rsid w:val="002F1342"/>
    <w:rsid w:val="002F22DC"/>
    <w:rsid w:val="00302BE0"/>
    <w:rsid w:val="00306C1A"/>
    <w:rsid w:val="00315B28"/>
    <w:rsid w:val="00330F0A"/>
    <w:rsid w:val="00333E8B"/>
    <w:rsid w:val="003423E2"/>
    <w:rsid w:val="003450E0"/>
    <w:rsid w:val="003501DB"/>
    <w:rsid w:val="00352FB1"/>
    <w:rsid w:val="003567FD"/>
    <w:rsid w:val="00365263"/>
    <w:rsid w:val="00365987"/>
    <w:rsid w:val="00375041"/>
    <w:rsid w:val="003754FE"/>
    <w:rsid w:val="003812DD"/>
    <w:rsid w:val="00382AA2"/>
    <w:rsid w:val="003A4A3A"/>
    <w:rsid w:val="003A58AE"/>
    <w:rsid w:val="003A5D9D"/>
    <w:rsid w:val="003A7F1D"/>
    <w:rsid w:val="003B1116"/>
    <w:rsid w:val="003B282C"/>
    <w:rsid w:val="003B7A8C"/>
    <w:rsid w:val="003D2A92"/>
    <w:rsid w:val="003D4583"/>
    <w:rsid w:val="003D6931"/>
    <w:rsid w:val="003D6F0A"/>
    <w:rsid w:val="003E29AC"/>
    <w:rsid w:val="003E5D68"/>
    <w:rsid w:val="003F11AD"/>
    <w:rsid w:val="004011E5"/>
    <w:rsid w:val="00402FBF"/>
    <w:rsid w:val="00407C38"/>
    <w:rsid w:val="0041334E"/>
    <w:rsid w:val="0041514D"/>
    <w:rsid w:val="00415B7E"/>
    <w:rsid w:val="00421A11"/>
    <w:rsid w:val="00427326"/>
    <w:rsid w:val="0043452B"/>
    <w:rsid w:val="00434EAF"/>
    <w:rsid w:val="00440D6A"/>
    <w:rsid w:val="00444293"/>
    <w:rsid w:val="00450022"/>
    <w:rsid w:val="00450390"/>
    <w:rsid w:val="00460F3A"/>
    <w:rsid w:val="00463CAC"/>
    <w:rsid w:val="00466A35"/>
    <w:rsid w:val="00470948"/>
    <w:rsid w:val="00472745"/>
    <w:rsid w:val="004739AF"/>
    <w:rsid w:val="00473BF4"/>
    <w:rsid w:val="00473DC4"/>
    <w:rsid w:val="00475C54"/>
    <w:rsid w:val="004768E9"/>
    <w:rsid w:val="00486F49"/>
    <w:rsid w:val="00487FDC"/>
    <w:rsid w:val="004922B1"/>
    <w:rsid w:val="00493E6C"/>
    <w:rsid w:val="00495883"/>
    <w:rsid w:val="00496B01"/>
    <w:rsid w:val="004C739D"/>
    <w:rsid w:val="004D02CC"/>
    <w:rsid w:val="004D406C"/>
    <w:rsid w:val="004D7887"/>
    <w:rsid w:val="004E0ADC"/>
    <w:rsid w:val="004E1B0F"/>
    <w:rsid w:val="004E3823"/>
    <w:rsid w:val="004E6554"/>
    <w:rsid w:val="005020AB"/>
    <w:rsid w:val="00504962"/>
    <w:rsid w:val="00523BAE"/>
    <w:rsid w:val="00526DC7"/>
    <w:rsid w:val="005337A7"/>
    <w:rsid w:val="00533977"/>
    <w:rsid w:val="00533EAC"/>
    <w:rsid w:val="00535B6E"/>
    <w:rsid w:val="00536923"/>
    <w:rsid w:val="005418DB"/>
    <w:rsid w:val="00543354"/>
    <w:rsid w:val="005565B0"/>
    <w:rsid w:val="005577A0"/>
    <w:rsid w:val="0056064B"/>
    <w:rsid w:val="00561F27"/>
    <w:rsid w:val="005633D6"/>
    <w:rsid w:val="00571D98"/>
    <w:rsid w:val="00582B3A"/>
    <w:rsid w:val="0058572A"/>
    <w:rsid w:val="00591704"/>
    <w:rsid w:val="00591EF3"/>
    <w:rsid w:val="00592DD5"/>
    <w:rsid w:val="00597B15"/>
    <w:rsid w:val="005A0877"/>
    <w:rsid w:val="005A309E"/>
    <w:rsid w:val="005B3FDE"/>
    <w:rsid w:val="005B5243"/>
    <w:rsid w:val="005B6450"/>
    <w:rsid w:val="005B7AC2"/>
    <w:rsid w:val="005C2CA0"/>
    <w:rsid w:val="005D15DC"/>
    <w:rsid w:val="005D4553"/>
    <w:rsid w:val="005E12BE"/>
    <w:rsid w:val="005E12D7"/>
    <w:rsid w:val="005E31AD"/>
    <w:rsid w:val="005F22E4"/>
    <w:rsid w:val="005F3B6F"/>
    <w:rsid w:val="005F6177"/>
    <w:rsid w:val="005F6CAB"/>
    <w:rsid w:val="00620CB6"/>
    <w:rsid w:val="00627899"/>
    <w:rsid w:val="00627FBE"/>
    <w:rsid w:val="0063227A"/>
    <w:rsid w:val="00640DC7"/>
    <w:rsid w:val="00660B00"/>
    <w:rsid w:val="0066376A"/>
    <w:rsid w:val="00677675"/>
    <w:rsid w:val="006813F0"/>
    <w:rsid w:val="006A002A"/>
    <w:rsid w:val="006A2267"/>
    <w:rsid w:val="006A6E1D"/>
    <w:rsid w:val="006B45AE"/>
    <w:rsid w:val="006B5C79"/>
    <w:rsid w:val="006D43CE"/>
    <w:rsid w:val="006E286A"/>
    <w:rsid w:val="006E503C"/>
    <w:rsid w:val="006F2D44"/>
    <w:rsid w:val="006F582F"/>
    <w:rsid w:val="006F6204"/>
    <w:rsid w:val="006F7CDC"/>
    <w:rsid w:val="00702B9E"/>
    <w:rsid w:val="007057E7"/>
    <w:rsid w:val="00707AEB"/>
    <w:rsid w:val="0071256A"/>
    <w:rsid w:val="007148DF"/>
    <w:rsid w:val="007174EE"/>
    <w:rsid w:val="00725963"/>
    <w:rsid w:val="0073231C"/>
    <w:rsid w:val="0073251E"/>
    <w:rsid w:val="007347BD"/>
    <w:rsid w:val="00735E1B"/>
    <w:rsid w:val="0073680B"/>
    <w:rsid w:val="00740697"/>
    <w:rsid w:val="007503A9"/>
    <w:rsid w:val="00757614"/>
    <w:rsid w:val="00760127"/>
    <w:rsid w:val="00774474"/>
    <w:rsid w:val="00777E37"/>
    <w:rsid w:val="007816A7"/>
    <w:rsid w:val="007847A1"/>
    <w:rsid w:val="00785CA8"/>
    <w:rsid w:val="00792BBD"/>
    <w:rsid w:val="007943D0"/>
    <w:rsid w:val="00794FEE"/>
    <w:rsid w:val="007A1C1F"/>
    <w:rsid w:val="007A4758"/>
    <w:rsid w:val="007B0D25"/>
    <w:rsid w:val="007B2E37"/>
    <w:rsid w:val="007C2E7D"/>
    <w:rsid w:val="007C50E1"/>
    <w:rsid w:val="007C68A3"/>
    <w:rsid w:val="007D3A25"/>
    <w:rsid w:val="007E1688"/>
    <w:rsid w:val="007E213F"/>
    <w:rsid w:val="007E6E7C"/>
    <w:rsid w:val="007F47C4"/>
    <w:rsid w:val="00811E8C"/>
    <w:rsid w:val="00813A35"/>
    <w:rsid w:val="00814D90"/>
    <w:rsid w:val="00815C05"/>
    <w:rsid w:val="00816CBE"/>
    <w:rsid w:val="0082543B"/>
    <w:rsid w:val="00827176"/>
    <w:rsid w:val="008325EB"/>
    <w:rsid w:val="0084391B"/>
    <w:rsid w:val="00855628"/>
    <w:rsid w:val="00856337"/>
    <w:rsid w:val="008638FA"/>
    <w:rsid w:val="00865568"/>
    <w:rsid w:val="0087084F"/>
    <w:rsid w:val="00871700"/>
    <w:rsid w:val="00880079"/>
    <w:rsid w:val="008815A6"/>
    <w:rsid w:val="0088306D"/>
    <w:rsid w:val="008877D3"/>
    <w:rsid w:val="008A00C9"/>
    <w:rsid w:val="008A0794"/>
    <w:rsid w:val="008A1AAA"/>
    <w:rsid w:val="008A6D13"/>
    <w:rsid w:val="008B1859"/>
    <w:rsid w:val="008C1E4D"/>
    <w:rsid w:val="008C3FCE"/>
    <w:rsid w:val="008C4B69"/>
    <w:rsid w:val="008C5C21"/>
    <w:rsid w:val="008C5E3C"/>
    <w:rsid w:val="008D5121"/>
    <w:rsid w:val="008E031E"/>
    <w:rsid w:val="008E084B"/>
    <w:rsid w:val="008E1508"/>
    <w:rsid w:val="008F316E"/>
    <w:rsid w:val="008F5104"/>
    <w:rsid w:val="008F569E"/>
    <w:rsid w:val="008F68C6"/>
    <w:rsid w:val="009007CA"/>
    <w:rsid w:val="00905AF2"/>
    <w:rsid w:val="00906F99"/>
    <w:rsid w:val="009119F5"/>
    <w:rsid w:val="00911CC2"/>
    <w:rsid w:val="00913C20"/>
    <w:rsid w:val="0091696A"/>
    <w:rsid w:val="00926259"/>
    <w:rsid w:val="00927DCE"/>
    <w:rsid w:val="00937266"/>
    <w:rsid w:val="00941A4D"/>
    <w:rsid w:val="00943047"/>
    <w:rsid w:val="00945114"/>
    <w:rsid w:val="00946455"/>
    <w:rsid w:val="00950A2D"/>
    <w:rsid w:val="009723D3"/>
    <w:rsid w:val="00972B53"/>
    <w:rsid w:val="00973155"/>
    <w:rsid w:val="00973A04"/>
    <w:rsid w:val="009752BE"/>
    <w:rsid w:val="00976952"/>
    <w:rsid w:val="0097798B"/>
    <w:rsid w:val="009802C4"/>
    <w:rsid w:val="00981B09"/>
    <w:rsid w:val="00990AE8"/>
    <w:rsid w:val="00990C52"/>
    <w:rsid w:val="00995370"/>
    <w:rsid w:val="009B5973"/>
    <w:rsid w:val="009B688B"/>
    <w:rsid w:val="009D4B8F"/>
    <w:rsid w:val="009D79B3"/>
    <w:rsid w:val="009E432E"/>
    <w:rsid w:val="009E7999"/>
    <w:rsid w:val="009F2B6B"/>
    <w:rsid w:val="00A00486"/>
    <w:rsid w:val="00A049E3"/>
    <w:rsid w:val="00A11BDD"/>
    <w:rsid w:val="00A15233"/>
    <w:rsid w:val="00A158F7"/>
    <w:rsid w:val="00A25757"/>
    <w:rsid w:val="00A272C1"/>
    <w:rsid w:val="00A30224"/>
    <w:rsid w:val="00A43ACF"/>
    <w:rsid w:val="00A44E0C"/>
    <w:rsid w:val="00A50103"/>
    <w:rsid w:val="00A503DB"/>
    <w:rsid w:val="00A510DB"/>
    <w:rsid w:val="00A55E01"/>
    <w:rsid w:val="00A55FC2"/>
    <w:rsid w:val="00A55FD2"/>
    <w:rsid w:val="00A56839"/>
    <w:rsid w:val="00A56983"/>
    <w:rsid w:val="00A573AC"/>
    <w:rsid w:val="00A60E16"/>
    <w:rsid w:val="00A61511"/>
    <w:rsid w:val="00A6502B"/>
    <w:rsid w:val="00A800A8"/>
    <w:rsid w:val="00A811B3"/>
    <w:rsid w:val="00A824D6"/>
    <w:rsid w:val="00A8442E"/>
    <w:rsid w:val="00A868E5"/>
    <w:rsid w:val="00A86B08"/>
    <w:rsid w:val="00A878C4"/>
    <w:rsid w:val="00A936C0"/>
    <w:rsid w:val="00AA019D"/>
    <w:rsid w:val="00AA0EB5"/>
    <w:rsid w:val="00AA2E72"/>
    <w:rsid w:val="00AA3BA9"/>
    <w:rsid w:val="00AB4CEF"/>
    <w:rsid w:val="00AC15DF"/>
    <w:rsid w:val="00AC1665"/>
    <w:rsid w:val="00AC7EBD"/>
    <w:rsid w:val="00AF0F5F"/>
    <w:rsid w:val="00AF5A11"/>
    <w:rsid w:val="00AF5C7D"/>
    <w:rsid w:val="00AF69DF"/>
    <w:rsid w:val="00AF72C3"/>
    <w:rsid w:val="00B03E11"/>
    <w:rsid w:val="00B064BC"/>
    <w:rsid w:val="00B1464B"/>
    <w:rsid w:val="00B17409"/>
    <w:rsid w:val="00B21208"/>
    <w:rsid w:val="00B23267"/>
    <w:rsid w:val="00B2415F"/>
    <w:rsid w:val="00B25335"/>
    <w:rsid w:val="00B2609F"/>
    <w:rsid w:val="00B34525"/>
    <w:rsid w:val="00B358AA"/>
    <w:rsid w:val="00B44AC8"/>
    <w:rsid w:val="00B5647E"/>
    <w:rsid w:val="00B6084E"/>
    <w:rsid w:val="00B664BA"/>
    <w:rsid w:val="00B728B5"/>
    <w:rsid w:val="00B73123"/>
    <w:rsid w:val="00B75A89"/>
    <w:rsid w:val="00B75C6B"/>
    <w:rsid w:val="00B7678E"/>
    <w:rsid w:val="00B77CE0"/>
    <w:rsid w:val="00B820DF"/>
    <w:rsid w:val="00B85F08"/>
    <w:rsid w:val="00BB3FE6"/>
    <w:rsid w:val="00BB6CB5"/>
    <w:rsid w:val="00BC34AD"/>
    <w:rsid w:val="00BC79F8"/>
    <w:rsid w:val="00BD0FDE"/>
    <w:rsid w:val="00BD2B76"/>
    <w:rsid w:val="00BD498A"/>
    <w:rsid w:val="00BD66DC"/>
    <w:rsid w:val="00BE6EA8"/>
    <w:rsid w:val="00BF0ADE"/>
    <w:rsid w:val="00BF1F8C"/>
    <w:rsid w:val="00BF3771"/>
    <w:rsid w:val="00C00101"/>
    <w:rsid w:val="00C030C7"/>
    <w:rsid w:val="00C037ED"/>
    <w:rsid w:val="00C05A32"/>
    <w:rsid w:val="00C12A5A"/>
    <w:rsid w:val="00C221DD"/>
    <w:rsid w:val="00C23529"/>
    <w:rsid w:val="00C2378F"/>
    <w:rsid w:val="00C30EAF"/>
    <w:rsid w:val="00C44684"/>
    <w:rsid w:val="00C519A4"/>
    <w:rsid w:val="00C547C3"/>
    <w:rsid w:val="00C556AD"/>
    <w:rsid w:val="00C7243E"/>
    <w:rsid w:val="00C73B07"/>
    <w:rsid w:val="00C82B1C"/>
    <w:rsid w:val="00C90F38"/>
    <w:rsid w:val="00C96673"/>
    <w:rsid w:val="00CA01E4"/>
    <w:rsid w:val="00CA0801"/>
    <w:rsid w:val="00CA17EB"/>
    <w:rsid w:val="00CB14D0"/>
    <w:rsid w:val="00CB5EA2"/>
    <w:rsid w:val="00CC36FA"/>
    <w:rsid w:val="00CC6D61"/>
    <w:rsid w:val="00CE5D68"/>
    <w:rsid w:val="00CF0572"/>
    <w:rsid w:val="00CF0944"/>
    <w:rsid w:val="00D04D85"/>
    <w:rsid w:val="00D13884"/>
    <w:rsid w:val="00D13A59"/>
    <w:rsid w:val="00D14D75"/>
    <w:rsid w:val="00D20B73"/>
    <w:rsid w:val="00D2449F"/>
    <w:rsid w:val="00D258C0"/>
    <w:rsid w:val="00D27E73"/>
    <w:rsid w:val="00D370E3"/>
    <w:rsid w:val="00D40849"/>
    <w:rsid w:val="00D40901"/>
    <w:rsid w:val="00D41B3C"/>
    <w:rsid w:val="00D4332C"/>
    <w:rsid w:val="00D44680"/>
    <w:rsid w:val="00D454F6"/>
    <w:rsid w:val="00D51A2E"/>
    <w:rsid w:val="00D543DF"/>
    <w:rsid w:val="00D6386C"/>
    <w:rsid w:val="00D6720C"/>
    <w:rsid w:val="00D71F03"/>
    <w:rsid w:val="00D72971"/>
    <w:rsid w:val="00D957BF"/>
    <w:rsid w:val="00D97091"/>
    <w:rsid w:val="00DA22B5"/>
    <w:rsid w:val="00DB0182"/>
    <w:rsid w:val="00DB4ACC"/>
    <w:rsid w:val="00DC1F8A"/>
    <w:rsid w:val="00DC6EC6"/>
    <w:rsid w:val="00DD0055"/>
    <w:rsid w:val="00DE1390"/>
    <w:rsid w:val="00DE3962"/>
    <w:rsid w:val="00DF1901"/>
    <w:rsid w:val="00DF40B1"/>
    <w:rsid w:val="00DF4286"/>
    <w:rsid w:val="00DF711A"/>
    <w:rsid w:val="00E00A0E"/>
    <w:rsid w:val="00E03DCB"/>
    <w:rsid w:val="00E04A2F"/>
    <w:rsid w:val="00E06C5C"/>
    <w:rsid w:val="00E0731C"/>
    <w:rsid w:val="00E100B4"/>
    <w:rsid w:val="00E100E9"/>
    <w:rsid w:val="00E169C6"/>
    <w:rsid w:val="00E35F74"/>
    <w:rsid w:val="00E50561"/>
    <w:rsid w:val="00E5199F"/>
    <w:rsid w:val="00E62564"/>
    <w:rsid w:val="00E6568D"/>
    <w:rsid w:val="00E664A4"/>
    <w:rsid w:val="00E75EDB"/>
    <w:rsid w:val="00E80A33"/>
    <w:rsid w:val="00E86451"/>
    <w:rsid w:val="00EA41CD"/>
    <w:rsid w:val="00EA4243"/>
    <w:rsid w:val="00EA6713"/>
    <w:rsid w:val="00EA6822"/>
    <w:rsid w:val="00EA73D8"/>
    <w:rsid w:val="00EB484A"/>
    <w:rsid w:val="00EB5948"/>
    <w:rsid w:val="00EB5E94"/>
    <w:rsid w:val="00EB7185"/>
    <w:rsid w:val="00EC4201"/>
    <w:rsid w:val="00EC585B"/>
    <w:rsid w:val="00EC5FBB"/>
    <w:rsid w:val="00ED2D64"/>
    <w:rsid w:val="00EE6E6A"/>
    <w:rsid w:val="00EF160A"/>
    <w:rsid w:val="00EF4181"/>
    <w:rsid w:val="00F00A45"/>
    <w:rsid w:val="00F0233D"/>
    <w:rsid w:val="00F04666"/>
    <w:rsid w:val="00F06F9E"/>
    <w:rsid w:val="00F1116B"/>
    <w:rsid w:val="00F11870"/>
    <w:rsid w:val="00F21CE9"/>
    <w:rsid w:val="00F3541E"/>
    <w:rsid w:val="00F35A97"/>
    <w:rsid w:val="00F42826"/>
    <w:rsid w:val="00F42DAB"/>
    <w:rsid w:val="00F64A62"/>
    <w:rsid w:val="00F76C68"/>
    <w:rsid w:val="00F77756"/>
    <w:rsid w:val="00F85CCA"/>
    <w:rsid w:val="00F872B8"/>
    <w:rsid w:val="00F91FC6"/>
    <w:rsid w:val="00FB36B3"/>
    <w:rsid w:val="00FC4F02"/>
    <w:rsid w:val="00FC63FE"/>
    <w:rsid w:val="00FD23C8"/>
    <w:rsid w:val="00FD62D9"/>
    <w:rsid w:val="00FE2A7C"/>
    <w:rsid w:val="00FE3D3C"/>
    <w:rsid w:val="00FF50B3"/>
    <w:rsid w:val="00FF6C92"/>
    <w:rsid w:val="00FF7D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F8B5D"/>
  <w15:chartTrackingRefBased/>
  <w15:docId w15:val="{0FD86DA5-3011-46A1-9DA5-3984B4201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33D6"/>
    <w:pPr>
      <w:keepNext/>
      <w:keepLines/>
      <w:spacing w:before="240" w:after="0"/>
      <w:outlineLvl w:val="0"/>
    </w:pPr>
    <w:rPr>
      <w:rFonts w:ascii="Times New Roman" w:eastAsia="SimSun" w:hAnsi="Times New Roman" w:cs="Times New Roman"/>
      <w:b/>
      <w:bCs/>
      <w:sz w:val="28"/>
      <w:szCs w:val="28"/>
    </w:rPr>
  </w:style>
  <w:style w:type="paragraph" w:styleId="Heading2">
    <w:name w:val="heading 2"/>
    <w:basedOn w:val="Normal"/>
    <w:next w:val="Normal"/>
    <w:link w:val="Heading2Char"/>
    <w:uiPriority w:val="9"/>
    <w:semiHidden/>
    <w:unhideWhenUsed/>
    <w:qFormat/>
    <w:rsid w:val="005633D6"/>
    <w:pPr>
      <w:keepNext/>
      <w:keepLines/>
      <w:spacing w:before="40" w:after="0"/>
      <w:outlineLvl w:val="1"/>
    </w:pPr>
    <w:rPr>
      <w:rFonts w:ascii="Times New Roman" w:eastAsia="SimSun" w:hAnsi="Times New Roman" w:cs="Times New Roman"/>
      <w:b/>
      <w:bCs/>
      <w:color w:val="00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olo11">
    <w:name w:val="Titolo 11"/>
    <w:basedOn w:val="Normal"/>
    <w:next w:val="Normal"/>
    <w:uiPriority w:val="9"/>
    <w:qFormat/>
    <w:rsid w:val="005633D6"/>
    <w:pPr>
      <w:keepNext/>
      <w:keepLines/>
      <w:spacing w:before="480" w:after="0" w:line="480" w:lineRule="auto"/>
      <w:jc w:val="both"/>
      <w:outlineLvl w:val="0"/>
    </w:pPr>
    <w:rPr>
      <w:rFonts w:ascii="Times New Roman" w:eastAsia="SimSun" w:hAnsi="Times New Roman" w:cs="Times New Roman"/>
      <w:b/>
      <w:bCs/>
      <w:sz w:val="28"/>
      <w:szCs w:val="28"/>
      <w:lang w:val="de-DE"/>
    </w:rPr>
  </w:style>
  <w:style w:type="paragraph" w:customStyle="1" w:styleId="Titolo21">
    <w:name w:val="Titolo 21"/>
    <w:basedOn w:val="Normal"/>
    <w:next w:val="Normal"/>
    <w:uiPriority w:val="9"/>
    <w:unhideWhenUsed/>
    <w:qFormat/>
    <w:rsid w:val="005633D6"/>
    <w:pPr>
      <w:keepNext/>
      <w:keepLines/>
      <w:spacing w:before="200" w:after="0" w:line="480" w:lineRule="auto"/>
      <w:jc w:val="both"/>
      <w:outlineLvl w:val="1"/>
    </w:pPr>
    <w:rPr>
      <w:rFonts w:ascii="Times New Roman" w:eastAsia="SimSun" w:hAnsi="Times New Roman" w:cs="Times New Roman"/>
      <w:b/>
      <w:bCs/>
      <w:color w:val="000000"/>
      <w:sz w:val="24"/>
      <w:szCs w:val="26"/>
      <w:lang w:val="de-DE"/>
    </w:rPr>
  </w:style>
  <w:style w:type="numbering" w:customStyle="1" w:styleId="Nessunelenco1">
    <w:name w:val="Nessun elenco1"/>
    <w:next w:val="NoList"/>
    <w:uiPriority w:val="99"/>
    <w:semiHidden/>
    <w:unhideWhenUsed/>
    <w:rsid w:val="005633D6"/>
  </w:style>
  <w:style w:type="character" w:customStyle="1" w:styleId="Heading1Char">
    <w:name w:val="Heading 1 Char"/>
    <w:basedOn w:val="DefaultParagraphFont"/>
    <w:link w:val="Heading1"/>
    <w:uiPriority w:val="9"/>
    <w:rsid w:val="005633D6"/>
    <w:rPr>
      <w:rFonts w:ascii="Times New Roman" w:eastAsia="SimSun" w:hAnsi="Times New Roman" w:cs="Times New Roman"/>
      <w:b/>
      <w:bCs/>
      <w:sz w:val="28"/>
      <w:szCs w:val="28"/>
    </w:rPr>
  </w:style>
  <w:style w:type="character" w:customStyle="1" w:styleId="Heading2Char">
    <w:name w:val="Heading 2 Char"/>
    <w:basedOn w:val="DefaultParagraphFont"/>
    <w:link w:val="Heading2"/>
    <w:uiPriority w:val="9"/>
    <w:rsid w:val="005633D6"/>
    <w:rPr>
      <w:rFonts w:ascii="Times New Roman" w:eastAsia="SimSun" w:hAnsi="Times New Roman" w:cs="Times New Roman"/>
      <w:b/>
      <w:bCs/>
      <w:color w:val="000000"/>
      <w:sz w:val="24"/>
      <w:szCs w:val="26"/>
    </w:rPr>
  </w:style>
  <w:style w:type="paragraph" w:styleId="NoSpacing">
    <w:name w:val="No Spacing"/>
    <w:uiPriority w:val="99"/>
    <w:qFormat/>
    <w:rsid w:val="005633D6"/>
    <w:pPr>
      <w:spacing w:after="0" w:line="240" w:lineRule="auto"/>
    </w:pPr>
    <w:rPr>
      <w:rFonts w:ascii="Calibri" w:eastAsia="Calibri" w:hAnsi="Calibri" w:cs="Calibri"/>
      <w:lang w:val="en-ZA"/>
    </w:rPr>
  </w:style>
  <w:style w:type="character" w:customStyle="1" w:styleId="st">
    <w:name w:val="st"/>
    <w:basedOn w:val="DefaultParagraphFont"/>
    <w:rsid w:val="005633D6"/>
  </w:style>
  <w:style w:type="character" w:styleId="LineNumber">
    <w:name w:val="line number"/>
    <w:basedOn w:val="DefaultParagraphFont"/>
    <w:uiPriority w:val="99"/>
    <w:semiHidden/>
    <w:unhideWhenUsed/>
    <w:rsid w:val="005633D6"/>
  </w:style>
  <w:style w:type="paragraph" w:customStyle="1" w:styleId="Testofumetto1">
    <w:name w:val="Testo fumetto1"/>
    <w:basedOn w:val="Normal"/>
    <w:next w:val="BalloonText"/>
    <w:link w:val="TestofumettoCarattere"/>
    <w:uiPriority w:val="99"/>
    <w:semiHidden/>
    <w:unhideWhenUsed/>
    <w:rsid w:val="005633D6"/>
    <w:pPr>
      <w:spacing w:after="0" w:line="240" w:lineRule="auto"/>
      <w:jc w:val="both"/>
    </w:pPr>
    <w:rPr>
      <w:rFonts w:ascii="Tahoma" w:hAnsi="Tahoma" w:cs="Tahoma"/>
      <w:sz w:val="16"/>
      <w:szCs w:val="16"/>
    </w:rPr>
  </w:style>
  <w:style w:type="character" w:customStyle="1" w:styleId="TestofumettoCarattere">
    <w:name w:val="Testo fumetto Carattere"/>
    <w:basedOn w:val="DefaultParagraphFont"/>
    <w:link w:val="Testofumetto1"/>
    <w:uiPriority w:val="99"/>
    <w:semiHidden/>
    <w:rsid w:val="005633D6"/>
    <w:rPr>
      <w:rFonts w:ascii="Tahoma" w:hAnsi="Tahoma" w:cs="Tahoma"/>
      <w:sz w:val="16"/>
      <w:szCs w:val="16"/>
    </w:rPr>
  </w:style>
  <w:style w:type="table" w:customStyle="1" w:styleId="Grigliatabella1">
    <w:name w:val="Griglia tabella1"/>
    <w:basedOn w:val="TableNormal"/>
    <w:next w:val="TableGrid"/>
    <w:uiPriority w:val="59"/>
    <w:rsid w:val="005633D6"/>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dascalia1">
    <w:name w:val="Didascalia1"/>
    <w:basedOn w:val="Normal"/>
    <w:next w:val="Normal"/>
    <w:uiPriority w:val="35"/>
    <w:unhideWhenUsed/>
    <w:qFormat/>
    <w:rsid w:val="005633D6"/>
    <w:pPr>
      <w:spacing w:after="200" w:line="240" w:lineRule="auto"/>
      <w:jc w:val="both"/>
    </w:pPr>
    <w:rPr>
      <w:rFonts w:ascii="Times New Roman" w:hAnsi="Times New Roman"/>
      <w:b/>
      <w:bCs/>
      <w:color w:val="4F81BD"/>
      <w:sz w:val="18"/>
      <w:szCs w:val="18"/>
      <w:lang w:val="de-DE"/>
    </w:rPr>
  </w:style>
  <w:style w:type="character" w:styleId="CommentReference">
    <w:name w:val="annotation reference"/>
    <w:basedOn w:val="DefaultParagraphFont"/>
    <w:uiPriority w:val="99"/>
    <w:semiHidden/>
    <w:unhideWhenUsed/>
    <w:rsid w:val="005633D6"/>
    <w:rPr>
      <w:sz w:val="16"/>
      <w:szCs w:val="16"/>
    </w:rPr>
  </w:style>
  <w:style w:type="paragraph" w:customStyle="1" w:styleId="Testocommento1">
    <w:name w:val="Testo commento1"/>
    <w:basedOn w:val="Normal"/>
    <w:next w:val="CommentText"/>
    <w:link w:val="TestocommentoCarattere"/>
    <w:uiPriority w:val="99"/>
    <w:unhideWhenUsed/>
    <w:rsid w:val="005633D6"/>
    <w:pPr>
      <w:spacing w:after="200" w:line="240" w:lineRule="auto"/>
      <w:jc w:val="both"/>
    </w:pPr>
    <w:rPr>
      <w:rFonts w:ascii="Times New Roman" w:hAnsi="Times New Roman"/>
      <w:sz w:val="20"/>
      <w:szCs w:val="20"/>
    </w:rPr>
  </w:style>
  <w:style w:type="character" w:customStyle="1" w:styleId="TestocommentoCarattere">
    <w:name w:val="Testo commento Carattere"/>
    <w:basedOn w:val="DefaultParagraphFont"/>
    <w:link w:val="Testocommento1"/>
    <w:uiPriority w:val="99"/>
    <w:rsid w:val="005633D6"/>
    <w:rPr>
      <w:rFonts w:ascii="Times New Roman" w:hAnsi="Times New Roman"/>
      <w:sz w:val="20"/>
      <w:szCs w:val="20"/>
    </w:rPr>
  </w:style>
  <w:style w:type="paragraph" w:customStyle="1" w:styleId="Soggettocommento1">
    <w:name w:val="Soggetto commento1"/>
    <w:basedOn w:val="CommentText"/>
    <w:next w:val="CommentText"/>
    <w:uiPriority w:val="99"/>
    <w:semiHidden/>
    <w:unhideWhenUsed/>
    <w:rsid w:val="005633D6"/>
    <w:pPr>
      <w:spacing w:after="200"/>
      <w:jc w:val="both"/>
    </w:pPr>
    <w:rPr>
      <w:rFonts w:ascii="Times New Roman" w:hAnsi="Times New Roman"/>
      <w:b/>
      <w:bCs/>
      <w:lang w:val="de-DE"/>
    </w:rPr>
  </w:style>
  <w:style w:type="character" w:customStyle="1" w:styleId="CommentSubjectChar">
    <w:name w:val="Comment Subject Char"/>
    <w:basedOn w:val="TestocommentoCarattere"/>
    <w:link w:val="CommentSubject"/>
    <w:uiPriority w:val="99"/>
    <w:semiHidden/>
    <w:rsid w:val="005633D6"/>
    <w:rPr>
      <w:rFonts w:ascii="Times New Roman" w:hAnsi="Times New Roman"/>
      <w:b/>
      <w:bCs/>
      <w:sz w:val="20"/>
      <w:szCs w:val="20"/>
    </w:rPr>
  </w:style>
  <w:style w:type="paragraph" w:customStyle="1" w:styleId="Revisione1">
    <w:name w:val="Revisione1"/>
    <w:next w:val="Revision"/>
    <w:hidden/>
    <w:uiPriority w:val="99"/>
    <w:semiHidden/>
    <w:rsid w:val="005633D6"/>
    <w:pPr>
      <w:spacing w:after="0" w:line="240" w:lineRule="auto"/>
    </w:pPr>
    <w:rPr>
      <w:rFonts w:ascii="Times New Roman" w:hAnsi="Times New Roman"/>
      <w:sz w:val="24"/>
      <w:lang w:val="de-DE"/>
    </w:rPr>
  </w:style>
  <w:style w:type="character" w:styleId="Hyperlink">
    <w:name w:val="Hyperlink"/>
    <w:basedOn w:val="DefaultParagraphFont"/>
    <w:uiPriority w:val="99"/>
    <w:unhideWhenUsed/>
    <w:rsid w:val="005633D6"/>
    <w:rPr>
      <w:color w:val="0000FF"/>
      <w:u w:val="single"/>
    </w:rPr>
  </w:style>
  <w:style w:type="character" w:customStyle="1" w:styleId="doilink">
    <w:name w:val="doi_link"/>
    <w:basedOn w:val="DefaultParagraphFont"/>
    <w:rsid w:val="005633D6"/>
  </w:style>
  <w:style w:type="paragraph" w:customStyle="1" w:styleId="Intestazione1">
    <w:name w:val="Intestazione1"/>
    <w:basedOn w:val="Normal"/>
    <w:next w:val="Header"/>
    <w:link w:val="IntestazioneCarattere"/>
    <w:uiPriority w:val="99"/>
    <w:unhideWhenUsed/>
    <w:rsid w:val="005633D6"/>
    <w:pPr>
      <w:tabs>
        <w:tab w:val="center" w:pos="4536"/>
        <w:tab w:val="right" w:pos="9072"/>
      </w:tabs>
      <w:spacing w:after="0" w:line="240" w:lineRule="auto"/>
      <w:jc w:val="both"/>
    </w:pPr>
    <w:rPr>
      <w:rFonts w:ascii="Times New Roman" w:hAnsi="Times New Roman"/>
      <w:sz w:val="24"/>
    </w:rPr>
  </w:style>
  <w:style w:type="character" w:customStyle="1" w:styleId="IntestazioneCarattere">
    <w:name w:val="Intestazione Carattere"/>
    <w:basedOn w:val="DefaultParagraphFont"/>
    <w:link w:val="Intestazione1"/>
    <w:uiPriority w:val="99"/>
    <w:rsid w:val="005633D6"/>
    <w:rPr>
      <w:rFonts w:ascii="Times New Roman" w:hAnsi="Times New Roman"/>
      <w:sz w:val="24"/>
    </w:rPr>
  </w:style>
  <w:style w:type="paragraph" w:customStyle="1" w:styleId="Pidipagina1">
    <w:name w:val="Piè di pagina1"/>
    <w:basedOn w:val="Normal"/>
    <w:next w:val="Footer"/>
    <w:link w:val="PidipaginaCarattere"/>
    <w:uiPriority w:val="99"/>
    <w:unhideWhenUsed/>
    <w:rsid w:val="005633D6"/>
    <w:pPr>
      <w:tabs>
        <w:tab w:val="center" w:pos="4536"/>
        <w:tab w:val="right" w:pos="9072"/>
      </w:tabs>
      <w:spacing w:after="0" w:line="240" w:lineRule="auto"/>
      <w:jc w:val="both"/>
    </w:pPr>
    <w:rPr>
      <w:rFonts w:ascii="Times New Roman" w:hAnsi="Times New Roman"/>
      <w:sz w:val="24"/>
    </w:rPr>
  </w:style>
  <w:style w:type="character" w:customStyle="1" w:styleId="PidipaginaCarattere">
    <w:name w:val="Piè di pagina Carattere"/>
    <w:basedOn w:val="DefaultParagraphFont"/>
    <w:link w:val="Pidipagina1"/>
    <w:uiPriority w:val="99"/>
    <w:rsid w:val="005633D6"/>
    <w:rPr>
      <w:rFonts w:ascii="Times New Roman" w:hAnsi="Times New Roman"/>
      <w:sz w:val="24"/>
    </w:rPr>
  </w:style>
  <w:style w:type="paragraph" w:customStyle="1" w:styleId="yiv3756192616msonormal">
    <w:name w:val="yiv3756192616msonormal"/>
    <w:basedOn w:val="Normal"/>
    <w:rsid w:val="005633D6"/>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styleId="Strong">
    <w:name w:val="Strong"/>
    <w:basedOn w:val="DefaultParagraphFont"/>
    <w:uiPriority w:val="22"/>
    <w:qFormat/>
    <w:rsid w:val="005633D6"/>
    <w:rPr>
      <w:b/>
      <w:bCs/>
    </w:rPr>
  </w:style>
  <w:style w:type="character" w:customStyle="1" w:styleId="yiv8443062635gmail-msocommentreference">
    <w:name w:val="yiv8443062635gmail-msocommentreference"/>
    <w:basedOn w:val="DefaultParagraphFont"/>
    <w:rsid w:val="005633D6"/>
  </w:style>
  <w:style w:type="character" w:customStyle="1" w:styleId="Collegamentovisitato1">
    <w:name w:val="Collegamento visitato1"/>
    <w:basedOn w:val="DefaultParagraphFont"/>
    <w:uiPriority w:val="99"/>
    <w:semiHidden/>
    <w:unhideWhenUsed/>
    <w:rsid w:val="005633D6"/>
    <w:rPr>
      <w:color w:val="800080"/>
      <w:u w:val="single"/>
    </w:rPr>
  </w:style>
  <w:style w:type="character" w:customStyle="1" w:styleId="apple-converted-space">
    <w:name w:val="apple-converted-space"/>
    <w:basedOn w:val="DefaultParagraphFont"/>
    <w:rsid w:val="005633D6"/>
  </w:style>
  <w:style w:type="character" w:customStyle="1" w:styleId="il">
    <w:name w:val="il"/>
    <w:basedOn w:val="DefaultParagraphFont"/>
    <w:rsid w:val="005633D6"/>
  </w:style>
  <w:style w:type="character" w:styleId="PlaceholderText">
    <w:name w:val="Placeholder Text"/>
    <w:basedOn w:val="DefaultParagraphFont"/>
    <w:uiPriority w:val="99"/>
    <w:semiHidden/>
    <w:rsid w:val="005633D6"/>
    <w:rPr>
      <w:color w:val="808080"/>
    </w:rPr>
  </w:style>
  <w:style w:type="paragraph" w:styleId="NormalWeb">
    <w:name w:val="Normal (Web)"/>
    <w:basedOn w:val="Normal"/>
    <w:uiPriority w:val="99"/>
    <w:unhideWhenUsed/>
    <w:rsid w:val="005633D6"/>
    <w:pPr>
      <w:spacing w:before="100" w:beforeAutospacing="1" w:after="100" w:afterAutospacing="1" w:line="240" w:lineRule="auto"/>
    </w:pPr>
    <w:rPr>
      <w:rFonts w:ascii="Times New Roman" w:eastAsia="Times New Roman" w:hAnsi="Times New Roman" w:cs="Times New Roman"/>
      <w:sz w:val="24"/>
      <w:szCs w:val="24"/>
      <w:lang w:val="en-ZA"/>
    </w:rPr>
  </w:style>
  <w:style w:type="character" w:styleId="Emphasis">
    <w:name w:val="Emphasis"/>
    <w:basedOn w:val="DefaultParagraphFont"/>
    <w:uiPriority w:val="20"/>
    <w:qFormat/>
    <w:rsid w:val="005633D6"/>
    <w:rPr>
      <w:i/>
      <w:iCs/>
    </w:rPr>
  </w:style>
  <w:style w:type="paragraph" w:customStyle="1" w:styleId="Paragrafoelenco1">
    <w:name w:val="Paragrafo elenco1"/>
    <w:basedOn w:val="Normal"/>
    <w:next w:val="ListParagraph"/>
    <w:uiPriority w:val="34"/>
    <w:qFormat/>
    <w:rsid w:val="005633D6"/>
    <w:pPr>
      <w:spacing w:after="200" w:line="480" w:lineRule="auto"/>
      <w:ind w:left="720"/>
      <w:contextualSpacing/>
      <w:jc w:val="both"/>
    </w:pPr>
    <w:rPr>
      <w:rFonts w:ascii="Times New Roman" w:hAnsi="Times New Roman"/>
      <w:sz w:val="24"/>
      <w:lang w:val="de-DE"/>
    </w:rPr>
  </w:style>
  <w:style w:type="table" w:customStyle="1" w:styleId="Sfondochiaro1">
    <w:name w:val="Sfondo chiaro1"/>
    <w:basedOn w:val="TableNormal"/>
    <w:next w:val="LightShading"/>
    <w:uiPriority w:val="60"/>
    <w:rsid w:val="005633D6"/>
    <w:pPr>
      <w:spacing w:after="0" w:line="240" w:lineRule="auto"/>
    </w:pPr>
    <w:rPr>
      <w:color w:val="000000"/>
      <w:lang w:val="de-D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itolo1Carattere1">
    <w:name w:val="Titolo 1 Carattere1"/>
    <w:basedOn w:val="DefaultParagraphFont"/>
    <w:uiPriority w:val="9"/>
    <w:rsid w:val="005633D6"/>
    <w:rPr>
      <w:rFonts w:asciiTheme="majorHAnsi" w:eastAsiaTheme="majorEastAsia" w:hAnsiTheme="majorHAnsi" w:cstheme="majorBidi"/>
      <w:color w:val="2E74B5" w:themeColor="accent1" w:themeShade="BF"/>
      <w:sz w:val="32"/>
      <w:szCs w:val="32"/>
    </w:rPr>
  </w:style>
  <w:style w:type="character" w:customStyle="1" w:styleId="Titolo2Carattere1">
    <w:name w:val="Titolo 2 Carattere1"/>
    <w:basedOn w:val="DefaultParagraphFont"/>
    <w:uiPriority w:val="9"/>
    <w:semiHidden/>
    <w:rsid w:val="005633D6"/>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5633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33D6"/>
    <w:rPr>
      <w:rFonts w:ascii="Segoe UI" w:hAnsi="Segoe UI" w:cs="Segoe UI"/>
      <w:sz w:val="18"/>
      <w:szCs w:val="18"/>
    </w:rPr>
  </w:style>
  <w:style w:type="table" w:styleId="TableGrid">
    <w:name w:val="Table Grid"/>
    <w:basedOn w:val="TableNormal"/>
    <w:uiPriority w:val="39"/>
    <w:rsid w:val="005633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5633D6"/>
    <w:pPr>
      <w:spacing w:line="240" w:lineRule="auto"/>
    </w:pPr>
    <w:rPr>
      <w:sz w:val="20"/>
      <w:szCs w:val="20"/>
    </w:rPr>
  </w:style>
  <w:style w:type="character" w:customStyle="1" w:styleId="CommentTextChar">
    <w:name w:val="Comment Text Char"/>
    <w:basedOn w:val="DefaultParagraphFont"/>
    <w:link w:val="CommentText"/>
    <w:uiPriority w:val="99"/>
    <w:rsid w:val="005633D6"/>
    <w:rPr>
      <w:sz w:val="20"/>
      <w:szCs w:val="20"/>
    </w:rPr>
  </w:style>
  <w:style w:type="paragraph" w:styleId="CommentSubject">
    <w:name w:val="annotation subject"/>
    <w:basedOn w:val="CommentText"/>
    <w:next w:val="CommentText"/>
    <w:link w:val="CommentSubjectChar"/>
    <w:uiPriority w:val="99"/>
    <w:semiHidden/>
    <w:unhideWhenUsed/>
    <w:rsid w:val="005633D6"/>
    <w:rPr>
      <w:rFonts w:ascii="Times New Roman" w:hAnsi="Times New Roman"/>
      <w:b/>
      <w:bCs/>
    </w:rPr>
  </w:style>
  <w:style w:type="character" w:customStyle="1" w:styleId="SoggettocommentoCarattere1">
    <w:name w:val="Soggetto commento Carattere1"/>
    <w:basedOn w:val="CommentTextChar"/>
    <w:uiPriority w:val="99"/>
    <w:semiHidden/>
    <w:rsid w:val="005633D6"/>
    <w:rPr>
      <w:b/>
      <w:bCs/>
      <w:sz w:val="20"/>
      <w:szCs w:val="20"/>
    </w:rPr>
  </w:style>
  <w:style w:type="paragraph" w:styleId="Revision">
    <w:name w:val="Revision"/>
    <w:hidden/>
    <w:uiPriority w:val="99"/>
    <w:semiHidden/>
    <w:rsid w:val="005633D6"/>
    <w:pPr>
      <w:spacing w:after="0" w:line="240" w:lineRule="auto"/>
    </w:pPr>
  </w:style>
  <w:style w:type="paragraph" w:styleId="Header">
    <w:name w:val="header"/>
    <w:basedOn w:val="Normal"/>
    <w:link w:val="HeaderChar"/>
    <w:uiPriority w:val="99"/>
    <w:semiHidden/>
    <w:unhideWhenUsed/>
    <w:rsid w:val="005633D6"/>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5633D6"/>
  </w:style>
  <w:style w:type="paragraph" w:styleId="Footer">
    <w:name w:val="footer"/>
    <w:basedOn w:val="Normal"/>
    <w:link w:val="FooterChar"/>
    <w:uiPriority w:val="99"/>
    <w:semiHidden/>
    <w:unhideWhenUsed/>
    <w:rsid w:val="005633D6"/>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5633D6"/>
  </w:style>
  <w:style w:type="character" w:styleId="FollowedHyperlink">
    <w:name w:val="FollowedHyperlink"/>
    <w:basedOn w:val="DefaultParagraphFont"/>
    <w:uiPriority w:val="99"/>
    <w:semiHidden/>
    <w:unhideWhenUsed/>
    <w:rsid w:val="005633D6"/>
    <w:rPr>
      <w:color w:val="954F72" w:themeColor="followedHyperlink"/>
      <w:u w:val="single"/>
    </w:rPr>
  </w:style>
  <w:style w:type="paragraph" w:styleId="ListParagraph">
    <w:name w:val="List Paragraph"/>
    <w:basedOn w:val="Normal"/>
    <w:uiPriority w:val="34"/>
    <w:qFormat/>
    <w:rsid w:val="005633D6"/>
    <w:pPr>
      <w:ind w:left="720"/>
      <w:contextualSpacing/>
    </w:pPr>
  </w:style>
  <w:style w:type="table" w:styleId="LightShading">
    <w:name w:val="Light Shading"/>
    <w:basedOn w:val="TableNormal"/>
    <w:uiPriority w:val="60"/>
    <w:semiHidden/>
    <w:unhideWhenUsed/>
    <w:rsid w:val="005633D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nresolvedMention1">
    <w:name w:val="Unresolved Mention1"/>
    <w:basedOn w:val="DefaultParagraphFont"/>
    <w:uiPriority w:val="99"/>
    <w:semiHidden/>
    <w:unhideWhenUsed/>
    <w:rsid w:val="00EA67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3A07D58A-959E-7548-BBD2-449EE35CD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36399</Words>
  <Characters>207477</Characters>
  <Application>Microsoft Office Word</Application>
  <DocSecurity>0</DocSecurity>
  <Lines>1728</Lines>
  <Paragraphs>486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243390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Rius M.</cp:lastModifiedBy>
  <cp:revision>3</cp:revision>
  <cp:lastPrinted>2021-02-01T12:14:00Z</cp:lastPrinted>
  <dcterms:created xsi:type="dcterms:W3CDTF">2021-07-08T11:55:00Z</dcterms:created>
  <dcterms:modified xsi:type="dcterms:W3CDTF">2021-07-08T12:01:00Z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http://csl.mendeley.com/styles/512105321/apa-10001-ale</vt:lpwstr>
  </property>
  <property fmtid="{D5CDD505-2E9C-101B-9397-08002B2CF9AE}" pid="7" name="Mendeley Recent Style Name 2_1">
    <vt:lpwstr>American Psychological Association 6th edition - Hanzel Reynera, MD</vt:lpwstr>
  </property>
  <property fmtid="{D5CDD505-2E9C-101B-9397-08002B2CF9AE}" pid="8" name="Mendeley Recent Style Id 3_1">
    <vt:lpwstr>http://csl.mendeley.com/styles/510988381/apa-10001-ale-1</vt:lpwstr>
  </property>
  <property fmtid="{D5CDD505-2E9C-101B-9397-08002B2CF9AE}" pid="9" name="Mendeley Recent Style Name 3_1">
    <vt:lpwstr>American Psychological Association 6th edition - Hanzel Reynera, MD - alessia din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vt:lpwstr>
  </property>
  <property fmtid="{D5CDD505-2E9C-101B-9397-08002B2CF9AE}" pid="12" name="Mendeley Recent Style Id 5_1">
    <vt:lpwstr>http://www.zotero.org/styles/chicago-author-date-16th-edition</vt:lpwstr>
  </property>
  <property fmtid="{D5CDD505-2E9C-101B-9397-08002B2CF9AE}" pid="13" name="Mendeley Recent Style Name 5_1">
    <vt:lpwstr>Chicago Manual of Style 16th edition (author-date)</vt:lpwstr>
  </property>
  <property fmtid="{D5CDD505-2E9C-101B-9397-08002B2CF9AE}" pid="14" name="Mendeley Recent Style Id 6_1">
    <vt:lpwstr>http://www.zotero.org/styles/chicago-figures</vt:lpwstr>
  </property>
  <property fmtid="{D5CDD505-2E9C-101B-9397-08002B2CF9AE}" pid="15" name="Mendeley Recent Style Name 6_1">
    <vt:lpwstr>Chicago Manual of Style 16th edition (figures and illustrations)</vt:lpwstr>
  </property>
  <property fmtid="{D5CDD505-2E9C-101B-9397-08002B2CF9AE}" pid="16" name="Mendeley Recent Style Id 7_1">
    <vt:lpwstr>http://www.zotero.org/styles/chicago-author-date</vt:lpwstr>
  </property>
  <property fmtid="{D5CDD505-2E9C-101B-9397-08002B2CF9AE}" pid="17" name="Mendeley Recent Style Name 7_1">
    <vt:lpwstr>Chicago Manual of Style 17th edition (author-date)</vt:lpwstr>
  </property>
  <property fmtid="{D5CDD505-2E9C-101B-9397-08002B2CF9AE}" pid="18" name="Mendeley Recent Style Id 8_1">
    <vt:lpwstr>http://www.zotero.org/styles/journal-of-the-american-chemical-society</vt:lpwstr>
  </property>
  <property fmtid="{D5CDD505-2E9C-101B-9397-08002B2CF9AE}" pid="19" name="Mendeley Recent Style Name 8_1">
    <vt:lpwstr>Journal of the American Chemical Society</vt:lpwstr>
  </property>
  <property fmtid="{D5CDD505-2E9C-101B-9397-08002B2CF9AE}" pid="20" name="Mendeley Recent Style Id 9_1">
    <vt:lpwstr>http://www.zotero.org/styles/multidisciplinary-digital-publishing-institute</vt:lpwstr>
  </property>
  <property fmtid="{D5CDD505-2E9C-101B-9397-08002B2CF9AE}" pid="21" name="Mendeley Recent Style Name 9_1">
    <vt:lpwstr>Multidisciplinary Digital Publishing Institute</vt:lpwstr>
  </property>
  <property fmtid="{D5CDD505-2E9C-101B-9397-08002B2CF9AE}" pid="22" name="Mendeley Document_1">
    <vt:lpwstr>True</vt:lpwstr>
  </property>
  <property fmtid="{D5CDD505-2E9C-101B-9397-08002B2CF9AE}" pid="23" name="Mendeley Unique User Id_1">
    <vt:lpwstr>99de6070-f919-3425-96e0-76e550fb4b5b</vt:lpwstr>
  </property>
  <property fmtid="{D5CDD505-2E9C-101B-9397-08002B2CF9AE}" pid="24" name="Mendeley Citation Style_1">
    <vt:lpwstr>http://csl.mendeley.com/styles/510988381/apa-10001-ale-1</vt:lpwstr>
  </property>
</Properties>
</file>