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37981" w14:textId="0CF5FF47" w:rsidR="007C7689" w:rsidRPr="002511C0" w:rsidRDefault="001C66A9" w:rsidP="00FF2DC9">
      <w:pPr>
        <w:rPr>
          <w:b/>
          <w:bCs/>
          <w:color w:val="000000" w:themeColor="text1"/>
          <w:sz w:val="22"/>
          <w:szCs w:val="22"/>
        </w:rPr>
      </w:pPr>
      <w:r w:rsidRPr="002511C0">
        <w:rPr>
          <w:b/>
          <w:bCs/>
          <w:color w:val="000000" w:themeColor="text1"/>
          <w:sz w:val="22"/>
          <w:szCs w:val="22"/>
        </w:rPr>
        <w:t>A</w:t>
      </w:r>
      <w:r w:rsidR="007C7689" w:rsidRPr="002511C0">
        <w:rPr>
          <w:b/>
          <w:bCs/>
          <w:color w:val="000000" w:themeColor="text1"/>
          <w:sz w:val="22"/>
          <w:szCs w:val="22"/>
        </w:rPr>
        <w:t xml:space="preserve">utomated </w:t>
      </w:r>
      <w:r w:rsidR="00FB07BC" w:rsidRPr="002511C0">
        <w:rPr>
          <w:b/>
          <w:bCs/>
          <w:color w:val="000000" w:themeColor="text1"/>
          <w:sz w:val="22"/>
          <w:szCs w:val="22"/>
        </w:rPr>
        <w:t xml:space="preserve">quality-controlled </w:t>
      </w:r>
      <w:r w:rsidR="00032809">
        <w:rPr>
          <w:b/>
          <w:bCs/>
          <w:color w:val="000000" w:themeColor="text1"/>
          <w:sz w:val="22"/>
          <w:szCs w:val="22"/>
        </w:rPr>
        <w:t>cardiovascular magnetic resonance</w:t>
      </w:r>
      <w:r w:rsidR="007076BF" w:rsidRPr="002511C0">
        <w:rPr>
          <w:b/>
          <w:bCs/>
          <w:color w:val="000000" w:themeColor="text1"/>
          <w:sz w:val="22"/>
          <w:szCs w:val="22"/>
        </w:rPr>
        <w:t xml:space="preserve"> </w:t>
      </w:r>
      <w:r w:rsidR="007C7689" w:rsidRPr="002511C0">
        <w:rPr>
          <w:b/>
          <w:bCs/>
          <w:color w:val="000000" w:themeColor="text1"/>
          <w:sz w:val="22"/>
          <w:szCs w:val="22"/>
        </w:rPr>
        <w:t>pericardial</w:t>
      </w:r>
      <w:r w:rsidR="002C3303" w:rsidRPr="002511C0">
        <w:rPr>
          <w:b/>
          <w:bCs/>
          <w:color w:val="000000" w:themeColor="text1"/>
          <w:sz w:val="22"/>
          <w:szCs w:val="22"/>
        </w:rPr>
        <w:t xml:space="preserve"> </w:t>
      </w:r>
      <w:r w:rsidRPr="002511C0">
        <w:rPr>
          <w:b/>
          <w:bCs/>
          <w:color w:val="000000" w:themeColor="text1"/>
          <w:sz w:val="22"/>
          <w:szCs w:val="22"/>
        </w:rPr>
        <w:t xml:space="preserve">fat </w:t>
      </w:r>
      <w:r w:rsidR="00A11BFC" w:rsidRPr="002511C0">
        <w:rPr>
          <w:b/>
          <w:bCs/>
          <w:color w:val="000000" w:themeColor="text1"/>
          <w:sz w:val="22"/>
          <w:szCs w:val="22"/>
        </w:rPr>
        <w:t xml:space="preserve">quantification </w:t>
      </w:r>
      <w:r w:rsidRPr="002511C0">
        <w:rPr>
          <w:b/>
          <w:bCs/>
          <w:color w:val="000000" w:themeColor="text1"/>
          <w:sz w:val="22"/>
          <w:szCs w:val="22"/>
        </w:rPr>
        <w:t xml:space="preserve">using a convolutional neural network </w:t>
      </w:r>
      <w:r w:rsidR="007C7689" w:rsidRPr="002511C0">
        <w:rPr>
          <w:b/>
          <w:bCs/>
          <w:color w:val="000000" w:themeColor="text1"/>
          <w:sz w:val="22"/>
          <w:szCs w:val="22"/>
        </w:rPr>
        <w:t>in the UK Biobank</w:t>
      </w:r>
    </w:p>
    <w:p w14:paraId="4340916F" w14:textId="1F182100" w:rsidR="002C3303" w:rsidRPr="002511C0" w:rsidRDefault="002C3303" w:rsidP="00FF2DC9">
      <w:pPr>
        <w:rPr>
          <w:b/>
          <w:bCs/>
          <w:color w:val="000000" w:themeColor="text1"/>
          <w:sz w:val="22"/>
          <w:szCs w:val="22"/>
        </w:rPr>
      </w:pPr>
    </w:p>
    <w:p w14:paraId="7BB6B006" w14:textId="4874901D" w:rsidR="002C3303" w:rsidRPr="002511C0" w:rsidRDefault="002C3303" w:rsidP="00FF2DC9">
      <w:pPr>
        <w:rPr>
          <w:b/>
          <w:bCs/>
          <w:color w:val="000000" w:themeColor="text1"/>
          <w:sz w:val="22"/>
          <w:szCs w:val="22"/>
        </w:rPr>
      </w:pPr>
      <w:r w:rsidRPr="002511C0">
        <w:rPr>
          <w:b/>
          <w:bCs/>
          <w:color w:val="000000" w:themeColor="text1"/>
          <w:sz w:val="22"/>
          <w:szCs w:val="22"/>
        </w:rPr>
        <w:t>Brief title: Automated CMR pericardial fat quantification</w:t>
      </w:r>
    </w:p>
    <w:p w14:paraId="6899293F" w14:textId="77777777" w:rsidR="007C7689" w:rsidRPr="001900FE" w:rsidRDefault="007C7689" w:rsidP="00FF2DC9">
      <w:pPr>
        <w:rPr>
          <w:sz w:val="22"/>
          <w:szCs w:val="22"/>
        </w:rPr>
      </w:pPr>
    </w:p>
    <w:p w14:paraId="0D14151D" w14:textId="18B1EFF4" w:rsidR="007C7689" w:rsidRPr="001900FE" w:rsidRDefault="007C7689" w:rsidP="00FF2DC9">
      <w:pPr>
        <w:rPr>
          <w:sz w:val="22"/>
          <w:szCs w:val="22"/>
        </w:rPr>
      </w:pPr>
      <w:r w:rsidRPr="001900FE">
        <w:rPr>
          <w:sz w:val="22"/>
          <w:szCs w:val="22"/>
        </w:rPr>
        <w:t>Andrew Bard</w:t>
      </w:r>
      <w:r w:rsidR="00FF2DC9" w:rsidRPr="001900FE">
        <w:rPr>
          <w:sz w:val="22"/>
          <w:szCs w:val="22"/>
          <w:vertAlign w:val="superscript"/>
        </w:rPr>
        <w:t>†</w:t>
      </w:r>
      <w:r w:rsidR="00FF2DC9">
        <w:rPr>
          <w:sz w:val="22"/>
          <w:szCs w:val="22"/>
          <w:vertAlign w:val="superscript"/>
        </w:rPr>
        <w:t>1</w:t>
      </w:r>
      <w:r w:rsidRPr="001900FE">
        <w:rPr>
          <w:sz w:val="22"/>
          <w:szCs w:val="22"/>
          <w:vertAlign w:val="superscript"/>
        </w:rPr>
        <w:t>,</w:t>
      </w:r>
      <w:r w:rsidR="00FF2DC9">
        <w:rPr>
          <w:sz w:val="22"/>
          <w:szCs w:val="22"/>
          <w:vertAlign w:val="superscript"/>
        </w:rPr>
        <w:t>2</w:t>
      </w:r>
      <w:r w:rsidRPr="001900FE">
        <w:rPr>
          <w:sz w:val="22"/>
          <w:szCs w:val="22"/>
        </w:rPr>
        <w:t>, Zahra Raisi-Estabragh</w:t>
      </w:r>
      <w:r w:rsidR="00FF2DC9" w:rsidRPr="001900FE">
        <w:rPr>
          <w:sz w:val="22"/>
          <w:szCs w:val="22"/>
          <w:vertAlign w:val="superscript"/>
        </w:rPr>
        <w:t>†</w:t>
      </w:r>
      <w:r w:rsidR="00FF2DC9">
        <w:rPr>
          <w:sz w:val="22"/>
          <w:szCs w:val="22"/>
          <w:vertAlign w:val="superscript"/>
        </w:rPr>
        <w:t>1</w:t>
      </w:r>
      <w:r w:rsidR="004F022B" w:rsidRPr="001900FE">
        <w:rPr>
          <w:sz w:val="22"/>
          <w:szCs w:val="22"/>
          <w:vertAlign w:val="superscript"/>
        </w:rPr>
        <w:t>,</w:t>
      </w:r>
      <w:r w:rsidR="00FF2DC9">
        <w:rPr>
          <w:sz w:val="22"/>
          <w:szCs w:val="22"/>
          <w:vertAlign w:val="superscript"/>
        </w:rPr>
        <w:t>2</w:t>
      </w:r>
      <w:r w:rsidRPr="001900FE">
        <w:rPr>
          <w:sz w:val="22"/>
          <w:szCs w:val="22"/>
        </w:rPr>
        <w:t>, Maddalena Ardissino</w:t>
      </w:r>
      <w:r w:rsidR="00FF2DC9">
        <w:rPr>
          <w:sz w:val="22"/>
          <w:szCs w:val="22"/>
          <w:vertAlign w:val="superscript"/>
        </w:rPr>
        <w:t>3</w:t>
      </w:r>
      <w:r w:rsidRPr="001900FE">
        <w:rPr>
          <w:sz w:val="22"/>
          <w:szCs w:val="22"/>
        </w:rPr>
        <w:t>, Aaron Mark Lee</w:t>
      </w:r>
      <w:r w:rsidR="00FF2DC9">
        <w:rPr>
          <w:sz w:val="22"/>
          <w:szCs w:val="22"/>
          <w:vertAlign w:val="superscript"/>
        </w:rPr>
        <w:t>1</w:t>
      </w:r>
      <w:r w:rsidRPr="001900FE">
        <w:rPr>
          <w:sz w:val="22"/>
          <w:szCs w:val="22"/>
        </w:rPr>
        <w:t>, Francesca Pugliese</w:t>
      </w:r>
      <w:r w:rsidR="00FF2DC9">
        <w:rPr>
          <w:sz w:val="22"/>
          <w:szCs w:val="22"/>
          <w:vertAlign w:val="superscript"/>
        </w:rPr>
        <w:t>1, 2</w:t>
      </w:r>
      <w:r w:rsidRPr="001900FE">
        <w:rPr>
          <w:sz w:val="22"/>
          <w:szCs w:val="22"/>
        </w:rPr>
        <w:t>, Damini Dey</w:t>
      </w:r>
      <w:r w:rsidR="00FF2DC9">
        <w:rPr>
          <w:sz w:val="22"/>
          <w:szCs w:val="22"/>
          <w:vertAlign w:val="superscript"/>
        </w:rPr>
        <w:t>4</w:t>
      </w:r>
      <w:r w:rsidR="00A11BFC">
        <w:rPr>
          <w:sz w:val="22"/>
          <w:szCs w:val="22"/>
        </w:rPr>
        <w:t xml:space="preserve">, </w:t>
      </w:r>
      <w:r w:rsidR="003C61B5" w:rsidRPr="001900FE">
        <w:rPr>
          <w:sz w:val="22"/>
          <w:szCs w:val="22"/>
        </w:rPr>
        <w:t xml:space="preserve">Sandip </w:t>
      </w:r>
      <w:r w:rsidR="003C61B5" w:rsidRPr="00DA22CB">
        <w:rPr>
          <w:sz w:val="22"/>
          <w:szCs w:val="22"/>
        </w:rPr>
        <w:t>Sarkar</w:t>
      </w:r>
      <w:r w:rsidR="00FF2DC9">
        <w:rPr>
          <w:sz w:val="22"/>
          <w:szCs w:val="22"/>
          <w:vertAlign w:val="superscript"/>
        </w:rPr>
        <w:t>2</w:t>
      </w:r>
      <w:r w:rsidR="004F7A12">
        <w:rPr>
          <w:sz w:val="22"/>
          <w:szCs w:val="22"/>
        </w:rPr>
        <w:t xml:space="preserve">, </w:t>
      </w:r>
      <w:r w:rsidRPr="001900FE">
        <w:rPr>
          <w:sz w:val="22"/>
          <w:szCs w:val="22"/>
        </w:rPr>
        <w:t>Patricia B. Munroe</w:t>
      </w:r>
      <w:r w:rsidR="00FF2DC9">
        <w:rPr>
          <w:sz w:val="22"/>
          <w:szCs w:val="22"/>
          <w:vertAlign w:val="superscript"/>
        </w:rPr>
        <w:t>1</w:t>
      </w:r>
      <w:r w:rsidRPr="001900FE">
        <w:rPr>
          <w:sz w:val="22"/>
          <w:szCs w:val="22"/>
        </w:rPr>
        <w:t>, Stefan Neubauer</w:t>
      </w:r>
      <w:r w:rsidR="00FF2DC9">
        <w:rPr>
          <w:sz w:val="22"/>
          <w:szCs w:val="22"/>
          <w:vertAlign w:val="superscript"/>
        </w:rPr>
        <w:t>5</w:t>
      </w:r>
      <w:r w:rsidRPr="001900FE">
        <w:rPr>
          <w:sz w:val="22"/>
          <w:szCs w:val="22"/>
        </w:rPr>
        <w:t>, Nicholas C. Harvey</w:t>
      </w:r>
      <w:r w:rsidR="00FF2DC9">
        <w:rPr>
          <w:sz w:val="22"/>
          <w:szCs w:val="22"/>
          <w:vertAlign w:val="superscript"/>
        </w:rPr>
        <w:t>6</w:t>
      </w:r>
      <w:r w:rsidR="006A7EA8">
        <w:rPr>
          <w:sz w:val="22"/>
          <w:szCs w:val="22"/>
          <w:vertAlign w:val="superscript"/>
        </w:rPr>
        <w:t xml:space="preserve">, </w:t>
      </w:r>
      <w:r w:rsidR="00FF2DC9">
        <w:rPr>
          <w:sz w:val="22"/>
          <w:szCs w:val="22"/>
          <w:vertAlign w:val="superscript"/>
        </w:rPr>
        <w:t>7</w:t>
      </w:r>
      <w:r w:rsidRPr="001900FE">
        <w:rPr>
          <w:sz w:val="22"/>
          <w:szCs w:val="22"/>
        </w:rPr>
        <w:t>, Steffen E. Petersen</w:t>
      </w:r>
      <w:r w:rsidR="00FF2DC9">
        <w:rPr>
          <w:sz w:val="22"/>
          <w:szCs w:val="22"/>
          <w:vertAlign w:val="superscript"/>
        </w:rPr>
        <w:t>1</w:t>
      </w:r>
      <w:r w:rsidR="004F022B" w:rsidRPr="001900FE">
        <w:rPr>
          <w:sz w:val="22"/>
          <w:szCs w:val="22"/>
          <w:vertAlign w:val="superscript"/>
        </w:rPr>
        <w:t>,</w:t>
      </w:r>
      <w:r w:rsidR="00FF2DC9">
        <w:rPr>
          <w:sz w:val="22"/>
          <w:szCs w:val="22"/>
          <w:vertAlign w:val="superscript"/>
        </w:rPr>
        <w:t xml:space="preserve"> 2</w:t>
      </w:r>
    </w:p>
    <w:p w14:paraId="236A7E36" w14:textId="64C94B43" w:rsidR="00893C05" w:rsidRDefault="00893C05" w:rsidP="00FF2DC9">
      <w:pPr>
        <w:rPr>
          <w:sz w:val="22"/>
          <w:szCs w:val="22"/>
        </w:rPr>
      </w:pPr>
    </w:p>
    <w:p w14:paraId="0C14A879" w14:textId="77777777" w:rsidR="00FF2DC9" w:rsidRPr="00FF2DC9" w:rsidRDefault="00FF2DC9" w:rsidP="00FF2DC9">
      <w:pPr>
        <w:rPr>
          <w:sz w:val="22"/>
          <w:szCs w:val="22"/>
        </w:rPr>
      </w:pPr>
      <w:r w:rsidRPr="00FF2DC9">
        <w:rPr>
          <w:sz w:val="22"/>
          <w:szCs w:val="22"/>
          <w:vertAlign w:val="superscript"/>
        </w:rPr>
        <w:t>†</w:t>
      </w:r>
      <w:r w:rsidRPr="00FF2DC9">
        <w:rPr>
          <w:sz w:val="22"/>
          <w:szCs w:val="22"/>
        </w:rPr>
        <w:t>These authors have contributed equally to this work and share first authorship</w:t>
      </w:r>
    </w:p>
    <w:p w14:paraId="24442196" w14:textId="77777777" w:rsidR="00FF2DC9" w:rsidRPr="001900FE" w:rsidRDefault="00FF2DC9" w:rsidP="00FF2DC9">
      <w:pPr>
        <w:rPr>
          <w:sz w:val="22"/>
          <w:szCs w:val="22"/>
        </w:rPr>
      </w:pPr>
    </w:p>
    <w:p w14:paraId="3DB621F5" w14:textId="27D12F49" w:rsidR="007C7689" w:rsidRPr="001900FE" w:rsidRDefault="00FF2DC9" w:rsidP="00FF2DC9">
      <w:pPr>
        <w:rPr>
          <w:sz w:val="22"/>
          <w:szCs w:val="22"/>
        </w:rPr>
      </w:pPr>
      <w:r>
        <w:rPr>
          <w:sz w:val="22"/>
          <w:szCs w:val="22"/>
        </w:rPr>
        <w:t>1</w:t>
      </w:r>
      <w:r w:rsidR="007C7689" w:rsidRPr="001900FE">
        <w:rPr>
          <w:sz w:val="22"/>
          <w:szCs w:val="22"/>
        </w:rPr>
        <w:t>.William Harvey Research Institute, NIHR Barts Biomedical Research Centre, Queen Mary University of London, Charterhouse Square, London, EC1M 6BQ, UK</w:t>
      </w:r>
    </w:p>
    <w:p w14:paraId="604D5040" w14:textId="1F0FD199" w:rsidR="007C7689" w:rsidRPr="001900FE" w:rsidRDefault="00FF2DC9" w:rsidP="00FF2DC9">
      <w:pPr>
        <w:rPr>
          <w:sz w:val="22"/>
          <w:szCs w:val="22"/>
        </w:rPr>
      </w:pPr>
      <w:r>
        <w:rPr>
          <w:sz w:val="22"/>
          <w:szCs w:val="22"/>
        </w:rPr>
        <w:t>2</w:t>
      </w:r>
      <w:r w:rsidR="007C7689" w:rsidRPr="001900FE">
        <w:rPr>
          <w:sz w:val="22"/>
          <w:szCs w:val="22"/>
        </w:rPr>
        <w:t>. St Bartholomew’s Hospital, Barts Health NHS Trust, West Smithfield, EC1A 7BE, London, UK</w:t>
      </w:r>
    </w:p>
    <w:p w14:paraId="2CE885AB" w14:textId="6E4B832A" w:rsidR="007C7689" w:rsidRDefault="00FF2DC9" w:rsidP="00FF2DC9">
      <w:pPr>
        <w:rPr>
          <w:sz w:val="22"/>
          <w:szCs w:val="22"/>
        </w:rPr>
      </w:pPr>
      <w:r>
        <w:rPr>
          <w:sz w:val="22"/>
          <w:szCs w:val="22"/>
        </w:rPr>
        <w:t>3</w:t>
      </w:r>
      <w:r w:rsidR="007C7689" w:rsidRPr="001900FE">
        <w:rPr>
          <w:sz w:val="22"/>
          <w:szCs w:val="22"/>
        </w:rPr>
        <w:t>. Imperial College London, Exhibition Road, SW7 2AZ, London, UK</w:t>
      </w:r>
    </w:p>
    <w:p w14:paraId="1EBBF9E5" w14:textId="72AAD81C" w:rsidR="007C7689" w:rsidRDefault="00FF2DC9" w:rsidP="00FF2DC9">
      <w:pPr>
        <w:rPr>
          <w:sz w:val="22"/>
          <w:szCs w:val="22"/>
        </w:rPr>
      </w:pPr>
      <w:r>
        <w:rPr>
          <w:sz w:val="22"/>
          <w:szCs w:val="22"/>
        </w:rPr>
        <w:t>4</w:t>
      </w:r>
      <w:r w:rsidR="007C7689" w:rsidRPr="001900FE">
        <w:rPr>
          <w:sz w:val="22"/>
          <w:szCs w:val="22"/>
        </w:rPr>
        <w:t xml:space="preserve">. Biomedical Imaging Research Institute, Cedars-Sinai Medical </w:t>
      </w:r>
      <w:r w:rsidR="009707B5" w:rsidRPr="001900FE">
        <w:rPr>
          <w:sz w:val="22"/>
          <w:szCs w:val="22"/>
        </w:rPr>
        <w:t>Centre</w:t>
      </w:r>
      <w:r w:rsidR="007C7689" w:rsidRPr="001900FE">
        <w:rPr>
          <w:sz w:val="22"/>
          <w:szCs w:val="22"/>
        </w:rPr>
        <w:t>, USA</w:t>
      </w:r>
    </w:p>
    <w:p w14:paraId="7ECAAC17" w14:textId="7B1108C7" w:rsidR="007C7689" w:rsidRPr="001900FE" w:rsidRDefault="00FF2DC9" w:rsidP="00FF2DC9">
      <w:pPr>
        <w:rPr>
          <w:sz w:val="22"/>
          <w:szCs w:val="22"/>
        </w:rPr>
      </w:pPr>
      <w:r>
        <w:rPr>
          <w:sz w:val="22"/>
          <w:szCs w:val="22"/>
        </w:rPr>
        <w:t>5</w:t>
      </w:r>
      <w:r w:rsidR="007C7689" w:rsidRPr="001900FE">
        <w:rPr>
          <w:sz w:val="22"/>
          <w:szCs w:val="22"/>
        </w:rPr>
        <w:t xml:space="preserve">. </w:t>
      </w:r>
      <w:bookmarkStart w:id="0" w:name="_GoBack"/>
      <w:r w:rsidR="007C7689" w:rsidRPr="001900FE">
        <w:rPr>
          <w:sz w:val="22"/>
          <w:szCs w:val="22"/>
        </w:rPr>
        <w:t>National Institute for Health Research Oxford Biomedical Research Centre, Division of Cardiovascular Medicine, Radcliffe Department of Medicine, University of Oxford, Oxford, UK</w:t>
      </w:r>
      <w:bookmarkEnd w:id="0"/>
    </w:p>
    <w:p w14:paraId="1A12A524" w14:textId="035DE0B8" w:rsidR="007C7689" w:rsidRPr="001900FE" w:rsidRDefault="00FF2DC9" w:rsidP="00FF2DC9">
      <w:pPr>
        <w:rPr>
          <w:sz w:val="22"/>
          <w:szCs w:val="22"/>
        </w:rPr>
      </w:pPr>
      <w:r>
        <w:rPr>
          <w:sz w:val="22"/>
          <w:szCs w:val="22"/>
        </w:rPr>
        <w:t>6</w:t>
      </w:r>
      <w:r w:rsidR="007C7689" w:rsidRPr="001900FE">
        <w:rPr>
          <w:sz w:val="22"/>
          <w:szCs w:val="22"/>
        </w:rPr>
        <w:t>. MRC Lifecourse Epidemiology Unit, University of Southampton, Southampton</w:t>
      </w:r>
      <w:r w:rsidR="00167121">
        <w:rPr>
          <w:sz w:val="22"/>
          <w:szCs w:val="22"/>
        </w:rPr>
        <w:t>,</w:t>
      </w:r>
      <w:r w:rsidR="007C7689" w:rsidRPr="001900FE">
        <w:rPr>
          <w:sz w:val="22"/>
          <w:szCs w:val="22"/>
        </w:rPr>
        <w:t xml:space="preserve"> SO16 6YD, UK</w:t>
      </w:r>
    </w:p>
    <w:p w14:paraId="6F5CBEBF" w14:textId="06084B68" w:rsidR="007C7689" w:rsidRPr="001900FE" w:rsidRDefault="00FF2DC9" w:rsidP="00FF2DC9">
      <w:pPr>
        <w:rPr>
          <w:sz w:val="22"/>
          <w:szCs w:val="22"/>
        </w:rPr>
      </w:pPr>
      <w:r>
        <w:rPr>
          <w:sz w:val="22"/>
          <w:szCs w:val="22"/>
        </w:rPr>
        <w:t>7</w:t>
      </w:r>
      <w:r w:rsidR="007C7689" w:rsidRPr="001900FE">
        <w:rPr>
          <w:sz w:val="22"/>
          <w:szCs w:val="22"/>
        </w:rPr>
        <w:t xml:space="preserve">. NIHR Southampton Biomedical Research Centre, University of Southampton and University Hospital Southampton NHS Foundation Trust, Southampton, </w:t>
      </w:r>
      <w:r w:rsidR="00167121" w:rsidRPr="001900FE">
        <w:rPr>
          <w:sz w:val="22"/>
          <w:szCs w:val="22"/>
        </w:rPr>
        <w:t>SO16 6YD</w:t>
      </w:r>
      <w:r w:rsidR="00167121">
        <w:rPr>
          <w:sz w:val="22"/>
          <w:szCs w:val="22"/>
        </w:rPr>
        <w:t>,</w:t>
      </w:r>
      <w:r w:rsidR="00167121" w:rsidRPr="001900FE">
        <w:rPr>
          <w:sz w:val="22"/>
          <w:szCs w:val="22"/>
        </w:rPr>
        <w:t xml:space="preserve"> </w:t>
      </w:r>
      <w:r w:rsidR="007C7689" w:rsidRPr="001900FE">
        <w:rPr>
          <w:sz w:val="22"/>
          <w:szCs w:val="22"/>
        </w:rPr>
        <w:t>UK</w:t>
      </w:r>
    </w:p>
    <w:p w14:paraId="137CC6A0" w14:textId="18B5D37B" w:rsidR="00783690" w:rsidRPr="001900FE" w:rsidRDefault="00783690" w:rsidP="00FF2DC9">
      <w:pPr>
        <w:rPr>
          <w:sz w:val="22"/>
          <w:szCs w:val="22"/>
        </w:rPr>
      </w:pPr>
    </w:p>
    <w:p w14:paraId="0EA25F89" w14:textId="1CA4C335" w:rsidR="007C7689" w:rsidRPr="001900FE" w:rsidRDefault="004F022B" w:rsidP="00FF2DC9">
      <w:pPr>
        <w:rPr>
          <w:sz w:val="22"/>
          <w:szCs w:val="22"/>
        </w:rPr>
      </w:pPr>
      <w:r>
        <w:rPr>
          <w:b/>
          <w:bCs/>
          <w:sz w:val="22"/>
          <w:szCs w:val="22"/>
        </w:rPr>
        <w:t>Address for correspondence</w:t>
      </w:r>
      <w:r w:rsidR="007C7689" w:rsidRPr="001900FE">
        <w:rPr>
          <w:b/>
          <w:bCs/>
          <w:sz w:val="22"/>
          <w:szCs w:val="22"/>
        </w:rPr>
        <w:t>:</w:t>
      </w:r>
      <w:r w:rsidR="007C7689" w:rsidRPr="001900FE">
        <w:rPr>
          <w:sz w:val="22"/>
          <w:szCs w:val="22"/>
        </w:rPr>
        <w:t xml:space="preserve"> Professor Steffen E. Petersen. William Harvey Research Institute, NIHR Barts Biomedical Research Centre, Queen Mary University of London, London, UK; Email: s.e.petersen@qmul.ac.uk; Telephone: +44-2078826902</w:t>
      </w:r>
      <w:r w:rsidR="007C7689" w:rsidRPr="001900FE">
        <w:rPr>
          <w:sz w:val="22"/>
          <w:szCs w:val="22"/>
        </w:rPr>
        <w:br w:type="page"/>
      </w:r>
    </w:p>
    <w:p w14:paraId="2A8C5E5D" w14:textId="77E18145" w:rsidR="007C7689" w:rsidRPr="001900FE" w:rsidRDefault="007C7689" w:rsidP="00FF2DC9">
      <w:pPr>
        <w:rPr>
          <w:b/>
          <w:bCs/>
          <w:sz w:val="22"/>
          <w:szCs w:val="22"/>
        </w:rPr>
      </w:pPr>
      <w:r w:rsidRPr="00355230">
        <w:rPr>
          <w:b/>
          <w:bCs/>
          <w:color w:val="000000" w:themeColor="text1"/>
          <w:sz w:val="22"/>
          <w:szCs w:val="22"/>
        </w:rPr>
        <w:lastRenderedPageBreak/>
        <w:t>Abstract</w:t>
      </w:r>
    </w:p>
    <w:p w14:paraId="6B1C18C5" w14:textId="50B569B0" w:rsidR="00D10687" w:rsidRDefault="00D10687" w:rsidP="00FF2DC9">
      <w:pPr>
        <w:rPr>
          <w:sz w:val="22"/>
          <w:szCs w:val="22"/>
        </w:rPr>
      </w:pPr>
      <w:r w:rsidRPr="00F139A6">
        <w:rPr>
          <w:b/>
          <w:bCs/>
          <w:sz w:val="22"/>
          <w:szCs w:val="22"/>
        </w:rPr>
        <w:t xml:space="preserve">Background: </w:t>
      </w:r>
      <w:r w:rsidR="00311569">
        <w:rPr>
          <w:sz w:val="22"/>
          <w:szCs w:val="22"/>
        </w:rPr>
        <w:t>P</w:t>
      </w:r>
      <w:r w:rsidRPr="00F139A6">
        <w:rPr>
          <w:sz w:val="22"/>
          <w:szCs w:val="22"/>
        </w:rPr>
        <w:t xml:space="preserve">ericardial adipose tissue (PAT) </w:t>
      </w:r>
      <w:r w:rsidR="00311569">
        <w:rPr>
          <w:sz w:val="22"/>
          <w:szCs w:val="22"/>
        </w:rPr>
        <w:t>may represent</w:t>
      </w:r>
      <w:r w:rsidRPr="00F139A6">
        <w:rPr>
          <w:sz w:val="22"/>
          <w:szCs w:val="22"/>
        </w:rPr>
        <w:t xml:space="preserve"> a novel risk marker</w:t>
      </w:r>
      <w:r w:rsidR="00311569">
        <w:rPr>
          <w:sz w:val="22"/>
          <w:szCs w:val="22"/>
        </w:rPr>
        <w:t xml:space="preserve"> for cardiovascular disease</w:t>
      </w:r>
      <w:r w:rsidRPr="00F139A6">
        <w:rPr>
          <w:sz w:val="22"/>
          <w:szCs w:val="22"/>
        </w:rPr>
        <w:t xml:space="preserve">. However, absence of rapid radiation-free PAT quantification methods has precluded </w:t>
      </w:r>
      <w:r w:rsidR="00311569">
        <w:rPr>
          <w:sz w:val="22"/>
          <w:szCs w:val="22"/>
        </w:rPr>
        <w:t xml:space="preserve">its </w:t>
      </w:r>
      <w:r w:rsidRPr="00F139A6">
        <w:rPr>
          <w:sz w:val="22"/>
          <w:szCs w:val="22"/>
        </w:rPr>
        <w:t>examination in large cohorts.</w:t>
      </w:r>
    </w:p>
    <w:p w14:paraId="04C04752" w14:textId="77777777" w:rsidR="00D10687" w:rsidRDefault="00D10687" w:rsidP="00FF2DC9">
      <w:pPr>
        <w:rPr>
          <w:sz w:val="22"/>
          <w:szCs w:val="22"/>
        </w:rPr>
      </w:pPr>
    </w:p>
    <w:p w14:paraId="74B222B5" w14:textId="26345B39" w:rsidR="00D10687" w:rsidRPr="00736468" w:rsidRDefault="00D10687" w:rsidP="00FF2DC9">
      <w:pPr>
        <w:rPr>
          <w:sz w:val="22"/>
          <w:szCs w:val="22"/>
        </w:rPr>
      </w:pPr>
      <w:r w:rsidRPr="00D10687">
        <w:rPr>
          <w:b/>
          <w:bCs/>
          <w:sz w:val="22"/>
          <w:szCs w:val="22"/>
        </w:rPr>
        <w:t xml:space="preserve">Objectives: </w:t>
      </w:r>
      <w:r w:rsidRPr="00F139A6">
        <w:rPr>
          <w:sz w:val="22"/>
          <w:szCs w:val="22"/>
        </w:rPr>
        <w:t xml:space="preserve">We developed a fully automated quality-controlled tool for </w:t>
      </w:r>
      <w:r w:rsidR="008E18D5" w:rsidRPr="00736468">
        <w:rPr>
          <w:sz w:val="22"/>
          <w:szCs w:val="22"/>
        </w:rPr>
        <w:t xml:space="preserve">cardiovascular magnetic resonance (CMR) </w:t>
      </w:r>
      <w:r w:rsidRPr="00736468">
        <w:rPr>
          <w:sz w:val="22"/>
          <w:szCs w:val="22"/>
        </w:rPr>
        <w:t>PAT</w:t>
      </w:r>
      <w:r w:rsidRPr="00D10687">
        <w:rPr>
          <w:sz w:val="22"/>
          <w:szCs w:val="22"/>
        </w:rPr>
        <w:t xml:space="preserve"> </w:t>
      </w:r>
      <w:r w:rsidR="001C66A9">
        <w:rPr>
          <w:sz w:val="22"/>
          <w:szCs w:val="22"/>
        </w:rPr>
        <w:t>quantification</w:t>
      </w:r>
      <w:r w:rsidRPr="00736468">
        <w:rPr>
          <w:sz w:val="22"/>
          <w:szCs w:val="22"/>
        </w:rPr>
        <w:t xml:space="preserve"> in the UK Biobank</w:t>
      </w:r>
      <w:r w:rsidR="003F11D4">
        <w:rPr>
          <w:sz w:val="22"/>
          <w:szCs w:val="22"/>
        </w:rPr>
        <w:t xml:space="preserve"> (UKB)</w:t>
      </w:r>
      <w:r w:rsidRPr="00736468">
        <w:rPr>
          <w:sz w:val="22"/>
          <w:szCs w:val="22"/>
        </w:rPr>
        <w:t>.</w:t>
      </w:r>
    </w:p>
    <w:p w14:paraId="70EA79A7" w14:textId="77777777" w:rsidR="00D10687" w:rsidRPr="00736468" w:rsidRDefault="00D10687" w:rsidP="00FF2DC9">
      <w:pPr>
        <w:rPr>
          <w:sz w:val="22"/>
          <w:szCs w:val="22"/>
        </w:rPr>
      </w:pPr>
    </w:p>
    <w:p w14:paraId="6E49FE44" w14:textId="3083F502" w:rsidR="00D10687" w:rsidRDefault="00D10687" w:rsidP="00FF2DC9">
      <w:pPr>
        <w:rPr>
          <w:sz w:val="22"/>
          <w:szCs w:val="22"/>
        </w:rPr>
      </w:pPr>
      <w:r w:rsidRPr="00736468">
        <w:rPr>
          <w:b/>
          <w:bCs/>
          <w:sz w:val="22"/>
          <w:szCs w:val="22"/>
        </w:rPr>
        <w:t>Methods:</w:t>
      </w:r>
      <w:r w:rsidRPr="00736468">
        <w:rPr>
          <w:sz w:val="22"/>
          <w:szCs w:val="22"/>
        </w:rPr>
        <w:t xml:space="preserve"> </w:t>
      </w:r>
      <w:r w:rsidR="00545BC7">
        <w:rPr>
          <w:sz w:val="22"/>
          <w:szCs w:val="22"/>
        </w:rPr>
        <w:t>Image analysis</w:t>
      </w:r>
      <w:r w:rsidR="003F11D4">
        <w:rPr>
          <w:sz w:val="22"/>
          <w:szCs w:val="22"/>
        </w:rPr>
        <w:t xml:space="preserve"> comprised </w:t>
      </w:r>
      <w:r w:rsidR="001C66A9">
        <w:rPr>
          <w:sz w:val="22"/>
          <w:szCs w:val="22"/>
        </w:rPr>
        <w:t>contour</w:t>
      </w:r>
      <w:r w:rsidR="003F11D4">
        <w:rPr>
          <w:sz w:val="22"/>
          <w:szCs w:val="22"/>
        </w:rPr>
        <w:t>ing</w:t>
      </w:r>
      <w:r w:rsidR="00AF38E5">
        <w:rPr>
          <w:sz w:val="22"/>
          <w:szCs w:val="22"/>
        </w:rPr>
        <w:t xml:space="preserve"> </w:t>
      </w:r>
      <w:r w:rsidR="00545BC7">
        <w:rPr>
          <w:sz w:val="22"/>
          <w:szCs w:val="22"/>
        </w:rPr>
        <w:t xml:space="preserve">an </w:t>
      </w:r>
      <w:r w:rsidR="00AF38E5">
        <w:rPr>
          <w:sz w:val="22"/>
          <w:szCs w:val="22"/>
        </w:rPr>
        <w:t>en</w:t>
      </w:r>
      <w:r w:rsidR="00545BC7">
        <w:rPr>
          <w:sz w:val="22"/>
          <w:szCs w:val="22"/>
        </w:rPr>
        <w:t>-</w:t>
      </w:r>
      <w:r w:rsidR="00AF38E5">
        <w:rPr>
          <w:sz w:val="22"/>
          <w:szCs w:val="22"/>
        </w:rPr>
        <w:t>bloc</w:t>
      </w:r>
      <w:r w:rsidR="001C66A9">
        <w:rPr>
          <w:sz w:val="22"/>
          <w:szCs w:val="22"/>
        </w:rPr>
        <w:t xml:space="preserve"> </w:t>
      </w:r>
      <w:r w:rsidRPr="00736468">
        <w:rPr>
          <w:sz w:val="22"/>
          <w:szCs w:val="22"/>
        </w:rPr>
        <w:t xml:space="preserve">PAT </w:t>
      </w:r>
      <w:r w:rsidR="008E18D5">
        <w:rPr>
          <w:sz w:val="22"/>
          <w:szCs w:val="22"/>
        </w:rPr>
        <w:t xml:space="preserve">area </w:t>
      </w:r>
      <w:r w:rsidRPr="00481087">
        <w:rPr>
          <w:sz w:val="22"/>
          <w:szCs w:val="22"/>
        </w:rPr>
        <w:t>on</w:t>
      </w:r>
      <w:r w:rsidRPr="00736468">
        <w:rPr>
          <w:sz w:val="22"/>
          <w:szCs w:val="22"/>
        </w:rPr>
        <w:t xml:space="preserve"> 4-chamber cine images</w:t>
      </w:r>
      <w:r w:rsidR="008E18D5">
        <w:rPr>
          <w:sz w:val="22"/>
          <w:szCs w:val="22"/>
        </w:rPr>
        <w:t xml:space="preserve">. We </w:t>
      </w:r>
      <w:r w:rsidRPr="00F139A6">
        <w:rPr>
          <w:sz w:val="22"/>
          <w:szCs w:val="22"/>
        </w:rPr>
        <w:t xml:space="preserve">created a ground truth manual analysis dataset randomly split into training </w:t>
      </w:r>
      <w:r>
        <w:rPr>
          <w:sz w:val="22"/>
          <w:szCs w:val="22"/>
        </w:rPr>
        <w:t xml:space="preserve">and </w:t>
      </w:r>
      <w:r w:rsidRPr="00F139A6">
        <w:rPr>
          <w:sz w:val="22"/>
          <w:szCs w:val="22"/>
        </w:rPr>
        <w:t>test set</w:t>
      </w:r>
      <w:r>
        <w:rPr>
          <w:sz w:val="22"/>
          <w:szCs w:val="22"/>
        </w:rPr>
        <w:t>s</w:t>
      </w:r>
      <w:r w:rsidRPr="00F139A6">
        <w:rPr>
          <w:sz w:val="22"/>
          <w:szCs w:val="22"/>
        </w:rPr>
        <w:t xml:space="preserve">. </w:t>
      </w:r>
      <w:r w:rsidRPr="00736468">
        <w:rPr>
          <w:sz w:val="22"/>
          <w:szCs w:val="22"/>
        </w:rPr>
        <w:t>We built a neural network for automated segmentation using a Multi-residual U-net architecture with</w:t>
      </w:r>
      <w:r w:rsidR="00913D04">
        <w:rPr>
          <w:sz w:val="22"/>
          <w:szCs w:val="22"/>
        </w:rPr>
        <w:t xml:space="preserve"> </w:t>
      </w:r>
      <w:r w:rsidRPr="00736468">
        <w:rPr>
          <w:sz w:val="22"/>
          <w:szCs w:val="22"/>
        </w:rPr>
        <w:t xml:space="preserve">incorporation of permanently-active dropout layers to facilitate quality control of the model’s output using Monte-Carlo sampling. </w:t>
      </w:r>
      <w:r w:rsidR="00545BC7">
        <w:rPr>
          <w:sz w:val="22"/>
          <w:szCs w:val="22"/>
        </w:rPr>
        <w:t>We developed an</w:t>
      </w:r>
      <w:r w:rsidRPr="00736468">
        <w:rPr>
          <w:sz w:val="22"/>
          <w:szCs w:val="22"/>
        </w:rPr>
        <w:t xml:space="preserve"> in-built quality control feature</w:t>
      </w:r>
      <w:r w:rsidR="00545BC7">
        <w:rPr>
          <w:sz w:val="22"/>
          <w:szCs w:val="22"/>
        </w:rPr>
        <w:t>, which</w:t>
      </w:r>
      <w:r w:rsidRPr="00736468">
        <w:rPr>
          <w:sz w:val="22"/>
          <w:szCs w:val="22"/>
        </w:rPr>
        <w:t xml:space="preserve"> present</w:t>
      </w:r>
      <w:r w:rsidR="00B42E8C">
        <w:rPr>
          <w:sz w:val="22"/>
          <w:szCs w:val="22"/>
        </w:rPr>
        <w:t>s</w:t>
      </w:r>
      <w:r w:rsidRPr="00736468">
        <w:rPr>
          <w:sz w:val="22"/>
          <w:szCs w:val="22"/>
        </w:rPr>
        <w:t xml:space="preserve"> predicted Dice scores. </w:t>
      </w:r>
      <w:r w:rsidR="00AF38E5">
        <w:rPr>
          <w:sz w:val="22"/>
          <w:szCs w:val="22"/>
        </w:rPr>
        <w:t xml:space="preserve">We </w:t>
      </w:r>
      <w:r w:rsidR="00AF38E5" w:rsidRPr="00736468">
        <w:rPr>
          <w:sz w:val="22"/>
          <w:szCs w:val="22"/>
        </w:rPr>
        <w:t xml:space="preserve">evaluated </w:t>
      </w:r>
      <w:r w:rsidR="00AF38E5">
        <w:rPr>
          <w:sz w:val="22"/>
          <w:szCs w:val="22"/>
        </w:rPr>
        <w:t xml:space="preserve">model </w:t>
      </w:r>
      <w:r w:rsidR="00AF38E5" w:rsidRPr="00736468">
        <w:rPr>
          <w:sz w:val="22"/>
          <w:szCs w:val="22"/>
        </w:rPr>
        <w:t xml:space="preserve">performance against </w:t>
      </w:r>
      <w:r w:rsidR="00AF38E5">
        <w:rPr>
          <w:sz w:val="22"/>
          <w:szCs w:val="22"/>
        </w:rPr>
        <w:t>the test set</w:t>
      </w:r>
      <w:r w:rsidR="00545BC7">
        <w:rPr>
          <w:sz w:val="22"/>
          <w:szCs w:val="22"/>
        </w:rPr>
        <w:t xml:space="preserve"> (n=87)</w:t>
      </w:r>
      <w:r w:rsidR="00AF38E5">
        <w:rPr>
          <w:sz w:val="22"/>
          <w:szCs w:val="22"/>
        </w:rPr>
        <w:t xml:space="preserve">, the </w:t>
      </w:r>
      <w:r w:rsidR="003F11D4">
        <w:rPr>
          <w:sz w:val="22"/>
          <w:szCs w:val="22"/>
        </w:rPr>
        <w:t>whole</w:t>
      </w:r>
      <w:r w:rsidR="00AF38E5">
        <w:rPr>
          <w:sz w:val="22"/>
          <w:szCs w:val="22"/>
        </w:rPr>
        <w:t xml:space="preserve"> UK</w:t>
      </w:r>
      <w:r w:rsidR="003F11D4">
        <w:rPr>
          <w:sz w:val="22"/>
          <w:szCs w:val="22"/>
        </w:rPr>
        <w:t>B</w:t>
      </w:r>
      <w:r w:rsidR="00AF38E5">
        <w:rPr>
          <w:sz w:val="22"/>
          <w:szCs w:val="22"/>
        </w:rPr>
        <w:t xml:space="preserve"> imaging cohort (n=</w:t>
      </w:r>
      <w:r w:rsidR="00B22308" w:rsidRPr="001900FE">
        <w:rPr>
          <w:sz w:val="22"/>
          <w:szCs w:val="22"/>
        </w:rPr>
        <w:t>45</w:t>
      </w:r>
      <w:r w:rsidR="00B22308">
        <w:rPr>
          <w:sz w:val="22"/>
          <w:szCs w:val="22"/>
        </w:rPr>
        <w:t>,</w:t>
      </w:r>
      <w:r w:rsidR="00B22308" w:rsidRPr="001900FE">
        <w:rPr>
          <w:sz w:val="22"/>
          <w:szCs w:val="22"/>
        </w:rPr>
        <w:t>519</w:t>
      </w:r>
      <w:r w:rsidR="00AF38E5">
        <w:rPr>
          <w:sz w:val="22"/>
          <w:szCs w:val="22"/>
        </w:rPr>
        <w:t>), and an external dataset (n=103).</w:t>
      </w:r>
      <w:r w:rsidR="00AF38E5" w:rsidRPr="00736468">
        <w:rPr>
          <w:sz w:val="22"/>
          <w:szCs w:val="22"/>
        </w:rPr>
        <w:t xml:space="preserve"> </w:t>
      </w:r>
      <w:r w:rsidRPr="00736468">
        <w:rPr>
          <w:sz w:val="22"/>
          <w:szCs w:val="22"/>
        </w:rPr>
        <w:t xml:space="preserve">In an </w:t>
      </w:r>
      <w:r w:rsidR="009B6CB3">
        <w:rPr>
          <w:sz w:val="22"/>
          <w:szCs w:val="22"/>
        </w:rPr>
        <w:t>independent</w:t>
      </w:r>
      <w:r w:rsidRPr="00736468">
        <w:rPr>
          <w:sz w:val="22"/>
          <w:szCs w:val="22"/>
        </w:rPr>
        <w:t xml:space="preserve"> dataset, we </w:t>
      </w:r>
      <w:r w:rsidR="00311569">
        <w:rPr>
          <w:sz w:val="22"/>
          <w:szCs w:val="22"/>
        </w:rPr>
        <w:t>compared</w:t>
      </w:r>
      <w:r w:rsidRPr="00736468">
        <w:rPr>
          <w:sz w:val="22"/>
          <w:szCs w:val="22"/>
        </w:rPr>
        <w:t xml:space="preserve"> automated CMR </w:t>
      </w:r>
      <w:r w:rsidR="001C66A9">
        <w:rPr>
          <w:sz w:val="22"/>
          <w:szCs w:val="22"/>
        </w:rPr>
        <w:t>and</w:t>
      </w:r>
      <w:r w:rsidRPr="00736468">
        <w:rPr>
          <w:sz w:val="22"/>
          <w:szCs w:val="22"/>
        </w:rPr>
        <w:t xml:space="preserve"> cardiac compute</w:t>
      </w:r>
      <w:r w:rsidR="003F6569">
        <w:rPr>
          <w:sz w:val="22"/>
          <w:szCs w:val="22"/>
        </w:rPr>
        <w:t>d</w:t>
      </w:r>
      <w:r w:rsidRPr="00736468">
        <w:rPr>
          <w:sz w:val="22"/>
          <w:szCs w:val="22"/>
        </w:rPr>
        <w:t xml:space="preserve"> tomography (CCT) PAT </w:t>
      </w:r>
      <w:r w:rsidR="009B6CB3">
        <w:rPr>
          <w:sz w:val="22"/>
          <w:szCs w:val="22"/>
        </w:rPr>
        <w:t>quantification</w:t>
      </w:r>
      <w:r w:rsidRPr="00736468">
        <w:rPr>
          <w:sz w:val="22"/>
          <w:szCs w:val="22"/>
        </w:rPr>
        <w:t xml:space="preserve">. Finally, we </w:t>
      </w:r>
      <w:r w:rsidR="003F6569">
        <w:rPr>
          <w:sz w:val="22"/>
          <w:szCs w:val="22"/>
        </w:rPr>
        <w:t>tested</w:t>
      </w:r>
      <w:r w:rsidR="00311569" w:rsidRPr="00736468">
        <w:rPr>
          <w:sz w:val="22"/>
          <w:szCs w:val="22"/>
        </w:rPr>
        <w:t xml:space="preserve"> </w:t>
      </w:r>
      <w:r w:rsidR="00311569">
        <w:rPr>
          <w:sz w:val="22"/>
          <w:szCs w:val="22"/>
        </w:rPr>
        <w:t xml:space="preserve">association </w:t>
      </w:r>
      <w:r w:rsidR="003F6569">
        <w:rPr>
          <w:sz w:val="22"/>
          <w:szCs w:val="22"/>
        </w:rPr>
        <w:t>of</w:t>
      </w:r>
      <w:r w:rsidRPr="00736468">
        <w:rPr>
          <w:sz w:val="22"/>
          <w:szCs w:val="22"/>
        </w:rPr>
        <w:t xml:space="preserve"> CMR PAT </w:t>
      </w:r>
      <w:r w:rsidR="003F6569">
        <w:rPr>
          <w:sz w:val="22"/>
          <w:szCs w:val="22"/>
        </w:rPr>
        <w:t>with</w:t>
      </w:r>
      <w:r w:rsidRPr="00736468">
        <w:rPr>
          <w:sz w:val="22"/>
          <w:szCs w:val="22"/>
        </w:rPr>
        <w:t xml:space="preserve"> diabetes in </w:t>
      </w:r>
      <w:r w:rsidR="00545BC7">
        <w:rPr>
          <w:sz w:val="22"/>
          <w:szCs w:val="22"/>
        </w:rPr>
        <w:t xml:space="preserve">the </w:t>
      </w:r>
      <w:r w:rsidR="003A71F8" w:rsidRPr="00736468">
        <w:rPr>
          <w:sz w:val="22"/>
          <w:szCs w:val="22"/>
        </w:rPr>
        <w:t>UK</w:t>
      </w:r>
      <w:r w:rsidR="003F11D4">
        <w:rPr>
          <w:sz w:val="22"/>
          <w:szCs w:val="22"/>
        </w:rPr>
        <w:t>B</w:t>
      </w:r>
      <w:r w:rsidR="00B22308">
        <w:rPr>
          <w:sz w:val="22"/>
          <w:szCs w:val="22"/>
        </w:rPr>
        <w:t xml:space="preserve"> (n=42,928)</w:t>
      </w:r>
      <w:r w:rsidRPr="00736468">
        <w:rPr>
          <w:sz w:val="22"/>
          <w:szCs w:val="22"/>
        </w:rPr>
        <w:t>.</w:t>
      </w:r>
    </w:p>
    <w:p w14:paraId="27AC679F" w14:textId="77777777" w:rsidR="00D10687" w:rsidRPr="00736468" w:rsidRDefault="00D10687" w:rsidP="00FF2DC9">
      <w:pPr>
        <w:rPr>
          <w:sz w:val="22"/>
          <w:szCs w:val="22"/>
        </w:rPr>
      </w:pPr>
    </w:p>
    <w:p w14:paraId="1C100E6A" w14:textId="4B0919FA" w:rsidR="00D10687" w:rsidRPr="00F139A6" w:rsidRDefault="00D10687" w:rsidP="00FF2DC9">
      <w:pPr>
        <w:rPr>
          <w:sz w:val="22"/>
          <w:szCs w:val="22"/>
        </w:rPr>
      </w:pPr>
      <w:r w:rsidRPr="00736468">
        <w:rPr>
          <w:b/>
          <w:bCs/>
          <w:sz w:val="22"/>
          <w:szCs w:val="22"/>
        </w:rPr>
        <w:t>Results:</w:t>
      </w:r>
      <w:r w:rsidRPr="00736468">
        <w:rPr>
          <w:i/>
          <w:iCs/>
          <w:sz w:val="22"/>
          <w:szCs w:val="22"/>
        </w:rPr>
        <w:t xml:space="preserve"> </w:t>
      </w:r>
      <w:r w:rsidR="00803EBA">
        <w:rPr>
          <w:sz w:val="22"/>
          <w:szCs w:val="22"/>
        </w:rPr>
        <w:t>A</w:t>
      </w:r>
      <w:r w:rsidR="001C66A9">
        <w:rPr>
          <w:sz w:val="22"/>
          <w:szCs w:val="22"/>
        </w:rPr>
        <w:t xml:space="preserve">greement between </w:t>
      </w:r>
      <w:r w:rsidRPr="00736468">
        <w:rPr>
          <w:sz w:val="22"/>
          <w:szCs w:val="22"/>
        </w:rPr>
        <w:t xml:space="preserve">automated </w:t>
      </w:r>
      <w:r w:rsidR="001C66A9">
        <w:rPr>
          <w:sz w:val="22"/>
          <w:szCs w:val="22"/>
        </w:rPr>
        <w:t>and</w:t>
      </w:r>
      <w:r w:rsidRPr="00736468">
        <w:rPr>
          <w:sz w:val="22"/>
          <w:szCs w:val="22"/>
        </w:rPr>
        <w:t xml:space="preserve"> manual </w:t>
      </w:r>
      <w:r w:rsidR="001C66A9">
        <w:rPr>
          <w:sz w:val="22"/>
          <w:szCs w:val="22"/>
        </w:rPr>
        <w:t>segmentations</w:t>
      </w:r>
      <w:r w:rsidRPr="00736468">
        <w:rPr>
          <w:sz w:val="22"/>
          <w:szCs w:val="22"/>
        </w:rPr>
        <w:t xml:space="preserve"> </w:t>
      </w:r>
      <w:r w:rsidR="003F11D4">
        <w:rPr>
          <w:sz w:val="22"/>
          <w:szCs w:val="22"/>
        </w:rPr>
        <w:t>in the test set</w:t>
      </w:r>
      <w:r w:rsidR="00803EBA">
        <w:rPr>
          <w:sz w:val="22"/>
          <w:szCs w:val="22"/>
        </w:rPr>
        <w:t xml:space="preserve"> was </w:t>
      </w:r>
      <w:r w:rsidRPr="00736468">
        <w:rPr>
          <w:sz w:val="22"/>
          <w:szCs w:val="22"/>
        </w:rPr>
        <w:t xml:space="preserve">almost identical </w:t>
      </w:r>
      <w:r w:rsidR="00545BC7">
        <w:rPr>
          <w:sz w:val="22"/>
          <w:szCs w:val="22"/>
        </w:rPr>
        <w:t xml:space="preserve">to </w:t>
      </w:r>
      <w:r w:rsidRPr="00736468">
        <w:rPr>
          <w:sz w:val="22"/>
          <w:szCs w:val="22"/>
        </w:rPr>
        <w:t>inter-observer variability</w:t>
      </w:r>
      <w:r w:rsidR="00803EBA">
        <w:rPr>
          <w:sz w:val="22"/>
          <w:szCs w:val="22"/>
        </w:rPr>
        <w:t xml:space="preserve"> (mean Dice score=0.8</w:t>
      </w:r>
      <w:r w:rsidR="003F11D4">
        <w:rPr>
          <w:sz w:val="22"/>
          <w:szCs w:val="22"/>
        </w:rPr>
        <w:t>)</w:t>
      </w:r>
      <w:r w:rsidRPr="00736468">
        <w:rPr>
          <w:sz w:val="22"/>
          <w:szCs w:val="22"/>
        </w:rPr>
        <w:t xml:space="preserve">. </w:t>
      </w:r>
      <w:r w:rsidR="00BB59D9">
        <w:rPr>
          <w:sz w:val="22"/>
          <w:szCs w:val="22"/>
        </w:rPr>
        <w:t xml:space="preserve">The </w:t>
      </w:r>
      <w:r w:rsidRPr="00736468">
        <w:rPr>
          <w:sz w:val="22"/>
          <w:szCs w:val="22"/>
        </w:rPr>
        <w:t>quality control method predict</w:t>
      </w:r>
      <w:r w:rsidR="00A82D27">
        <w:rPr>
          <w:sz w:val="22"/>
          <w:szCs w:val="22"/>
        </w:rPr>
        <w:t>ed</w:t>
      </w:r>
      <w:r w:rsidR="00BB59D9">
        <w:rPr>
          <w:sz w:val="22"/>
          <w:szCs w:val="22"/>
        </w:rPr>
        <w:t xml:space="preserve"> </w:t>
      </w:r>
      <w:r w:rsidRPr="00736468">
        <w:rPr>
          <w:sz w:val="22"/>
          <w:szCs w:val="22"/>
        </w:rPr>
        <w:t xml:space="preserve">individual Dice scores with Pearson r=0.75. </w:t>
      </w:r>
      <w:r w:rsidR="00A752D7">
        <w:rPr>
          <w:sz w:val="22"/>
          <w:szCs w:val="22"/>
        </w:rPr>
        <w:t xml:space="preserve">Model performance remained high in the </w:t>
      </w:r>
      <w:r w:rsidR="00B42E8C">
        <w:rPr>
          <w:sz w:val="22"/>
          <w:szCs w:val="22"/>
        </w:rPr>
        <w:t xml:space="preserve">whole </w:t>
      </w:r>
      <w:r w:rsidR="00A752D7">
        <w:rPr>
          <w:sz w:val="22"/>
          <w:szCs w:val="22"/>
        </w:rPr>
        <w:t>UK</w:t>
      </w:r>
      <w:r w:rsidR="003F11D4">
        <w:rPr>
          <w:sz w:val="22"/>
          <w:szCs w:val="22"/>
        </w:rPr>
        <w:t>B</w:t>
      </w:r>
      <w:r w:rsidR="00A752D7">
        <w:rPr>
          <w:sz w:val="22"/>
          <w:szCs w:val="22"/>
        </w:rPr>
        <w:t xml:space="preserve"> Imaging cohort</w:t>
      </w:r>
      <w:r w:rsidR="00B42E8C">
        <w:rPr>
          <w:sz w:val="22"/>
          <w:szCs w:val="22"/>
        </w:rPr>
        <w:t xml:space="preserve"> and </w:t>
      </w:r>
      <w:r w:rsidR="00A82D27">
        <w:rPr>
          <w:sz w:val="22"/>
          <w:szCs w:val="22"/>
        </w:rPr>
        <w:t xml:space="preserve">in </w:t>
      </w:r>
      <w:r w:rsidR="00B42E8C">
        <w:rPr>
          <w:sz w:val="22"/>
          <w:szCs w:val="22"/>
        </w:rPr>
        <w:t>the external dataset, with medium-good quality segmentation in 94.3%</w:t>
      </w:r>
      <w:r w:rsidR="00BF3BA4">
        <w:rPr>
          <w:sz w:val="22"/>
          <w:szCs w:val="22"/>
        </w:rPr>
        <w:t xml:space="preserve"> (mean Dice score=0.77)</w:t>
      </w:r>
      <w:r w:rsidR="00B42E8C">
        <w:rPr>
          <w:sz w:val="22"/>
          <w:szCs w:val="22"/>
        </w:rPr>
        <w:t xml:space="preserve"> and 94.4% </w:t>
      </w:r>
      <w:r w:rsidR="00BF3BA4">
        <w:rPr>
          <w:sz w:val="22"/>
          <w:szCs w:val="22"/>
        </w:rPr>
        <w:t>(</w:t>
      </w:r>
      <w:r w:rsidR="00B42E8C">
        <w:rPr>
          <w:sz w:val="22"/>
          <w:szCs w:val="22"/>
        </w:rPr>
        <w:t>mean Dice score</w:t>
      </w:r>
      <w:r w:rsidR="00BF3BA4">
        <w:rPr>
          <w:sz w:val="22"/>
          <w:szCs w:val="22"/>
        </w:rPr>
        <w:t>=</w:t>
      </w:r>
      <w:r w:rsidR="00B42E8C">
        <w:rPr>
          <w:sz w:val="22"/>
          <w:szCs w:val="22"/>
        </w:rPr>
        <w:t>0.78</w:t>
      </w:r>
      <w:r w:rsidR="00BF3BA4">
        <w:rPr>
          <w:sz w:val="22"/>
          <w:szCs w:val="22"/>
        </w:rPr>
        <w:t>)</w:t>
      </w:r>
      <w:r w:rsidR="00B42E8C">
        <w:rPr>
          <w:sz w:val="22"/>
          <w:szCs w:val="22"/>
        </w:rPr>
        <w:t xml:space="preserve"> respectively.</w:t>
      </w:r>
      <w:r w:rsidR="00A752D7">
        <w:rPr>
          <w:sz w:val="22"/>
          <w:szCs w:val="22"/>
        </w:rPr>
        <w:t xml:space="preserve"> There was</w:t>
      </w:r>
      <w:r w:rsidR="001C66A9">
        <w:rPr>
          <w:sz w:val="22"/>
          <w:szCs w:val="22"/>
        </w:rPr>
        <w:t xml:space="preserve"> </w:t>
      </w:r>
      <w:r w:rsidRPr="00F139A6">
        <w:rPr>
          <w:sz w:val="22"/>
          <w:szCs w:val="22"/>
        </w:rPr>
        <w:t xml:space="preserve">high correlation </w:t>
      </w:r>
      <w:r w:rsidR="00311569">
        <w:rPr>
          <w:sz w:val="22"/>
          <w:szCs w:val="22"/>
        </w:rPr>
        <w:t>between</w:t>
      </w:r>
      <w:r w:rsidR="00311569" w:rsidRPr="00F139A6">
        <w:rPr>
          <w:sz w:val="22"/>
          <w:szCs w:val="22"/>
        </w:rPr>
        <w:t xml:space="preserve"> </w:t>
      </w:r>
      <w:r w:rsidRPr="00F139A6">
        <w:rPr>
          <w:sz w:val="22"/>
          <w:szCs w:val="22"/>
        </w:rPr>
        <w:t xml:space="preserve">CMR </w:t>
      </w:r>
      <w:r w:rsidR="001C66A9">
        <w:rPr>
          <w:sz w:val="22"/>
          <w:szCs w:val="22"/>
        </w:rPr>
        <w:t>and</w:t>
      </w:r>
      <w:r w:rsidRPr="00F139A6">
        <w:rPr>
          <w:sz w:val="22"/>
          <w:szCs w:val="22"/>
        </w:rPr>
        <w:t xml:space="preserve"> CCT PAT measures (Pearson r=0.72, p-value 5.3 </w:t>
      </w:r>
      <m:oMath>
        <m:r>
          <w:rPr>
            <w:rFonts w:ascii="Cambria Math" w:hAnsi="Cambria Math"/>
            <w:sz w:val="22"/>
            <w:szCs w:val="22"/>
          </w:rPr>
          <m:t>×</m:t>
        </m:r>
      </m:oMath>
      <w:r w:rsidRPr="00F139A6">
        <w:rPr>
          <w:sz w:val="22"/>
          <w:szCs w:val="22"/>
        </w:rPr>
        <w:t xml:space="preserve"> 10</w:t>
      </w:r>
      <w:r w:rsidRPr="00F139A6">
        <w:rPr>
          <w:sz w:val="22"/>
          <w:szCs w:val="22"/>
          <w:vertAlign w:val="superscript"/>
        </w:rPr>
        <w:t>-18</w:t>
      </w:r>
      <w:r w:rsidRPr="00F139A6">
        <w:rPr>
          <w:sz w:val="22"/>
          <w:szCs w:val="22"/>
        </w:rPr>
        <w:t xml:space="preserve">). </w:t>
      </w:r>
      <w:r w:rsidR="00545BC7">
        <w:rPr>
          <w:sz w:val="22"/>
          <w:szCs w:val="22"/>
        </w:rPr>
        <w:t>L</w:t>
      </w:r>
      <w:r w:rsidRPr="00F139A6">
        <w:rPr>
          <w:sz w:val="22"/>
          <w:szCs w:val="22"/>
        </w:rPr>
        <w:t xml:space="preserve">arger CMR PAT </w:t>
      </w:r>
      <w:r>
        <w:rPr>
          <w:sz w:val="22"/>
          <w:szCs w:val="22"/>
        </w:rPr>
        <w:t xml:space="preserve">area </w:t>
      </w:r>
      <w:r w:rsidRPr="00F139A6">
        <w:rPr>
          <w:sz w:val="22"/>
          <w:szCs w:val="22"/>
        </w:rPr>
        <w:t xml:space="preserve">was associated </w:t>
      </w:r>
      <w:r>
        <w:rPr>
          <w:sz w:val="22"/>
          <w:szCs w:val="22"/>
        </w:rPr>
        <w:t xml:space="preserve">with </w:t>
      </w:r>
      <w:r w:rsidRPr="00F139A6">
        <w:rPr>
          <w:sz w:val="22"/>
          <w:szCs w:val="22"/>
        </w:rPr>
        <w:t>significantly greater odds of diabetes</w:t>
      </w:r>
      <w:r>
        <w:rPr>
          <w:sz w:val="22"/>
          <w:szCs w:val="22"/>
        </w:rPr>
        <w:t xml:space="preserve"> independent of </w:t>
      </w:r>
      <w:r w:rsidRPr="00F139A6">
        <w:rPr>
          <w:sz w:val="22"/>
          <w:szCs w:val="22"/>
        </w:rPr>
        <w:t>age, sex, and body mass index</w:t>
      </w:r>
      <w:r>
        <w:rPr>
          <w:sz w:val="22"/>
          <w:szCs w:val="22"/>
        </w:rPr>
        <w:t>.</w:t>
      </w:r>
    </w:p>
    <w:p w14:paraId="2F05AF35" w14:textId="77777777" w:rsidR="00D10687" w:rsidRPr="00F139A6" w:rsidRDefault="00D10687" w:rsidP="00FF2DC9">
      <w:pPr>
        <w:rPr>
          <w:sz w:val="22"/>
          <w:szCs w:val="22"/>
        </w:rPr>
      </w:pPr>
    </w:p>
    <w:p w14:paraId="4F09D512" w14:textId="07C705F4" w:rsidR="00913D04" w:rsidRPr="00913D04" w:rsidRDefault="00D10687" w:rsidP="00FF2DC9">
      <w:pPr>
        <w:rPr>
          <w:sz w:val="22"/>
          <w:szCs w:val="22"/>
        </w:rPr>
      </w:pPr>
      <w:r w:rsidRPr="00F139A6">
        <w:rPr>
          <w:b/>
          <w:bCs/>
          <w:sz w:val="22"/>
          <w:szCs w:val="22"/>
        </w:rPr>
        <w:t xml:space="preserve">Conclusions: </w:t>
      </w:r>
      <w:r w:rsidR="00311569">
        <w:rPr>
          <w:sz w:val="22"/>
          <w:szCs w:val="22"/>
        </w:rPr>
        <w:t>This</w:t>
      </w:r>
      <w:r w:rsidRPr="00F139A6">
        <w:rPr>
          <w:sz w:val="22"/>
          <w:szCs w:val="22"/>
        </w:rPr>
        <w:t xml:space="preserve"> novel </w:t>
      </w:r>
      <w:r w:rsidR="00803EBA">
        <w:rPr>
          <w:sz w:val="22"/>
          <w:szCs w:val="22"/>
        </w:rPr>
        <w:t xml:space="preserve">fully </w:t>
      </w:r>
      <w:r w:rsidRPr="00F139A6">
        <w:rPr>
          <w:sz w:val="22"/>
          <w:szCs w:val="22"/>
        </w:rPr>
        <w:t xml:space="preserve">automated method for </w:t>
      </w:r>
      <w:r w:rsidR="003A71F8">
        <w:rPr>
          <w:sz w:val="22"/>
          <w:szCs w:val="22"/>
        </w:rPr>
        <w:t xml:space="preserve">CMR </w:t>
      </w:r>
      <w:r w:rsidRPr="00F139A6">
        <w:rPr>
          <w:sz w:val="22"/>
          <w:szCs w:val="22"/>
        </w:rPr>
        <w:t xml:space="preserve">PAT quantification </w:t>
      </w:r>
      <w:r w:rsidR="00311569">
        <w:rPr>
          <w:sz w:val="22"/>
          <w:szCs w:val="22"/>
        </w:rPr>
        <w:t>demonstrates</w:t>
      </w:r>
      <w:r w:rsidR="00A752D7">
        <w:rPr>
          <w:sz w:val="22"/>
          <w:szCs w:val="22"/>
        </w:rPr>
        <w:t xml:space="preserve"> good model performance on </w:t>
      </w:r>
      <w:r w:rsidR="00A82D27">
        <w:rPr>
          <w:sz w:val="22"/>
          <w:szCs w:val="22"/>
        </w:rPr>
        <w:t xml:space="preserve">independent and external datasets, </w:t>
      </w:r>
      <w:r w:rsidRPr="00F139A6">
        <w:rPr>
          <w:sz w:val="22"/>
          <w:szCs w:val="22"/>
        </w:rPr>
        <w:t xml:space="preserve">correlation with </w:t>
      </w:r>
      <w:r w:rsidR="00A752D7">
        <w:rPr>
          <w:sz w:val="22"/>
          <w:szCs w:val="22"/>
        </w:rPr>
        <w:t xml:space="preserve">reference standard </w:t>
      </w:r>
      <w:r>
        <w:rPr>
          <w:sz w:val="22"/>
          <w:szCs w:val="22"/>
        </w:rPr>
        <w:t>C</w:t>
      </w:r>
      <w:r w:rsidRPr="00F139A6">
        <w:rPr>
          <w:sz w:val="22"/>
          <w:szCs w:val="22"/>
        </w:rPr>
        <w:t xml:space="preserve">CT </w:t>
      </w:r>
      <w:r w:rsidR="00A752D7">
        <w:rPr>
          <w:sz w:val="22"/>
          <w:szCs w:val="22"/>
        </w:rPr>
        <w:t xml:space="preserve">PAT </w:t>
      </w:r>
      <w:r w:rsidR="009B6CB3">
        <w:rPr>
          <w:sz w:val="22"/>
          <w:szCs w:val="22"/>
        </w:rPr>
        <w:t>measurement</w:t>
      </w:r>
      <w:r w:rsidR="00A752D7">
        <w:rPr>
          <w:sz w:val="22"/>
          <w:szCs w:val="22"/>
        </w:rPr>
        <w:t>,</w:t>
      </w:r>
      <w:r w:rsidRPr="00F139A6">
        <w:rPr>
          <w:sz w:val="22"/>
          <w:szCs w:val="22"/>
        </w:rPr>
        <w:t xml:space="preserve"> and expected clinical associations with diabetes.</w:t>
      </w:r>
    </w:p>
    <w:p w14:paraId="423F8CA9" w14:textId="77777777" w:rsidR="005C5387" w:rsidRDefault="005C5387" w:rsidP="00FF2DC9">
      <w:pPr>
        <w:rPr>
          <w:sz w:val="22"/>
          <w:szCs w:val="22"/>
        </w:rPr>
      </w:pPr>
    </w:p>
    <w:p w14:paraId="39A0B57C" w14:textId="255D4478" w:rsidR="009049BC" w:rsidRPr="005C5387" w:rsidRDefault="005C5387" w:rsidP="00FF2DC9">
      <w:pPr>
        <w:rPr>
          <w:b/>
          <w:bCs/>
          <w:sz w:val="22"/>
          <w:szCs w:val="22"/>
        </w:rPr>
      </w:pPr>
      <w:r w:rsidRPr="005C5387">
        <w:rPr>
          <w:b/>
          <w:bCs/>
          <w:sz w:val="22"/>
          <w:szCs w:val="22"/>
        </w:rPr>
        <w:t xml:space="preserve">Keywords: </w:t>
      </w:r>
      <w:r>
        <w:rPr>
          <w:sz w:val="22"/>
          <w:szCs w:val="22"/>
        </w:rPr>
        <w:t>cardiovascular magnetic resonance; pericardial fat; automated image analysis; neural network</w:t>
      </w:r>
      <w:r w:rsidR="00FF2DC9">
        <w:rPr>
          <w:sz w:val="22"/>
          <w:szCs w:val="22"/>
        </w:rPr>
        <w:t>; machine learning</w:t>
      </w:r>
      <w:r w:rsidR="009049BC" w:rsidRPr="005C5387">
        <w:rPr>
          <w:b/>
          <w:bCs/>
          <w:sz w:val="22"/>
          <w:szCs w:val="22"/>
        </w:rPr>
        <w:br w:type="page"/>
      </w:r>
    </w:p>
    <w:p w14:paraId="52306127" w14:textId="44CB0D69" w:rsidR="007C7689" w:rsidRPr="001900FE" w:rsidRDefault="007C7689" w:rsidP="00FF2DC9">
      <w:pPr>
        <w:rPr>
          <w:b/>
          <w:bCs/>
          <w:sz w:val="22"/>
          <w:szCs w:val="22"/>
        </w:rPr>
      </w:pPr>
      <w:r w:rsidRPr="009B6CB3">
        <w:rPr>
          <w:b/>
          <w:bCs/>
          <w:sz w:val="22"/>
          <w:szCs w:val="22"/>
        </w:rPr>
        <w:lastRenderedPageBreak/>
        <w:t>Introduction</w:t>
      </w:r>
    </w:p>
    <w:p w14:paraId="0EF916CC" w14:textId="5724B635" w:rsidR="00875D8C" w:rsidRPr="001900FE" w:rsidRDefault="007C7689" w:rsidP="00FF2DC9">
      <w:pPr>
        <w:rPr>
          <w:sz w:val="22"/>
          <w:szCs w:val="22"/>
        </w:rPr>
      </w:pPr>
      <w:r w:rsidRPr="001900FE">
        <w:rPr>
          <w:sz w:val="22"/>
          <w:szCs w:val="22"/>
        </w:rPr>
        <w:t xml:space="preserve">Pericardial adipose tissue (PAT), which surrounds the surface of the heart and adventitia of the coronary arteries, has been linked to </w:t>
      </w:r>
      <w:r w:rsidR="00573764" w:rsidRPr="001900FE">
        <w:rPr>
          <w:sz w:val="22"/>
          <w:szCs w:val="22"/>
        </w:rPr>
        <w:t xml:space="preserve">a </w:t>
      </w:r>
      <w:r w:rsidR="00885996" w:rsidRPr="001900FE">
        <w:rPr>
          <w:sz w:val="22"/>
          <w:szCs w:val="22"/>
        </w:rPr>
        <w:t>range</w:t>
      </w:r>
      <w:r w:rsidRPr="001900FE">
        <w:rPr>
          <w:sz w:val="22"/>
          <w:szCs w:val="22"/>
        </w:rPr>
        <w:t xml:space="preserve"> </w:t>
      </w:r>
      <w:r w:rsidR="00885996" w:rsidRPr="001900FE">
        <w:rPr>
          <w:sz w:val="22"/>
          <w:szCs w:val="22"/>
        </w:rPr>
        <w:t xml:space="preserve">of </w:t>
      </w:r>
      <w:r w:rsidRPr="001900FE">
        <w:rPr>
          <w:sz w:val="22"/>
          <w:szCs w:val="22"/>
        </w:rPr>
        <w:t>important cardiovascular and metabolic conditions</w:t>
      </w:r>
      <w:r w:rsidR="00885996" w:rsidRPr="001900FE">
        <w:rPr>
          <w:sz w:val="22"/>
          <w:szCs w:val="22"/>
        </w:rPr>
        <w:t xml:space="preserve">, including </w:t>
      </w:r>
      <w:r w:rsidRPr="001900FE">
        <w:rPr>
          <w:sz w:val="22"/>
          <w:szCs w:val="22"/>
        </w:rPr>
        <w:t>atrial fibrillation</w:t>
      </w:r>
      <w:r w:rsidR="007076BF" w:rsidRPr="001900FE">
        <w:rPr>
          <w:sz w:val="22"/>
          <w:szCs w:val="22"/>
        </w:rPr>
        <w:fldChar w:fldCharType="begin" w:fldLock="1"/>
      </w:r>
      <w:r w:rsidR="00FF2DC9">
        <w:rPr>
          <w:sz w:val="22"/>
          <w:szCs w:val="22"/>
        </w:rPr>
        <w:instrText>ADDIN CSL_CITATION {"citationItems":[{"id":"ITEM-1","itemData":{"DOI":"10.1093/eurheartj/ehw045","ISSN":"15229645","PMID":"26935271","abstract":"Obesity is increasingly recognized as a major modifiable determinant of atrial fibrillation (AF). Although body mass index and other clinical measures are useful indications of general adiposity, much recent interest has focused on epicardial fat, a distinct adipose tissue depot that can be readily assessed using non-invasive imaging techniques. A growing body of data from epidemiological and clinical studies has demonstrated that epicardial fat is consistently associated with the presence, severity, and recurrence of AF across a range of clinical settings. Evidence from basic science and translational studies has also suggested that arrhythmogenic mechanisms may involve adipocyte infiltration, pro-fibrotic, and pro-inflammatory paracrine effects, oxidative stress, and other pathways. Despite these advances, however, significant uncertainty exists and many questions remain unanswered. In this article, we review our present understanding of epicardial fat, including its classification and quantification, existing evidence implicating its role in AF, potential mechanisms, implications for clinicians, and future directions for research. Published on behalf of the European Society of Cardiology. All rights reserved.","author":[{"dropping-particle":"","family":"Wong","given":"Christopher X.","non-dropping-particle":"","parse-names":false,"suffix":""},{"dropping-particle":"","family":"Ganesan","given":"Anand N.","non-dropping-particle":"","parse-names":false,"suffix":""},{"dropping-particle":"","family":"Selvanayagam","given":"Joseph B.","non-dropping-particle":"","parse-names":false,"suffix":""}],"container-title":"European Heart Journal","id":"ITEM-1","issue":"17","issued":{"date-parts":[["2017","5","1"]]},"page":"1294-1302","publisher":"Oxford University Press","title":"Epicardial fat and atrial fibrillation: Current evidence, potential mechanisms, clinical implications, and future directions","type":"article","volume":"38"},"uris":["http://www.mendeley.com/documents/?uuid=2e7cce9b-db0d-30f6-8170-775e566f5395"]}],"mendeley":{"formattedCitation":"(1)","plainTextFormattedCitation":"(1)","previouslyFormattedCitation":"(1)"},"properties":{"noteIndex":0},"schema":"https://github.com/citation-style-language/schema/raw/master/csl-citation.json"}</w:instrText>
      </w:r>
      <w:r w:rsidR="007076BF" w:rsidRPr="001900FE">
        <w:rPr>
          <w:sz w:val="22"/>
          <w:szCs w:val="22"/>
        </w:rPr>
        <w:fldChar w:fldCharType="separate"/>
      </w:r>
      <w:r w:rsidR="002C3303" w:rsidRPr="002C3303">
        <w:rPr>
          <w:noProof/>
          <w:sz w:val="22"/>
          <w:szCs w:val="22"/>
        </w:rPr>
        <w:t>(1)</w:t>
      </w:r>
      <w:r w:rsidR="007076BF" w:rsidRPr="001900FE">
        <w:rPr>
          <w:sz w:val="22"/>
          <w:szCs w:val="22"/>
        </w:rPr>
        <w:fldChar w:fldCharType="end"/>
      </w:r>
      <w:r w:rsidR="007076BF" w:rsidRPr="001900FE">
        <w:rPr>
          <w:sz w:val="22"/>
          <w:szCs w:val="22"/>
        </w:rPr>
        <w:t>,</w:t>
      </w:r>
      <w:r w:rsidRPr="001900FE">
        <w:rPr>
          <w:sz w:val="22"/>
          <w:szCs w:val="22"/>
        </w:rPr>
        <w:t xml:space="preserve"> diabetes</w:t>
      </w:r>
      <w:r w:rsidR="007076BF" w:rsidRPr="001900FE">
        <w:rPr>
          <w:sz w:val="22"/>
          <w:szCs w:val="22"/>
        </w:rPr>
        <w:fldChar w:fldCharType="begin" w:fldLock="1"/>
      </w:r>
      <w:r w:rsidR="002502E9">
        <w:rPr>
          <w:sz w:val="22"/>
          <w:szCs w:val="22"/>
        </w:rPr>
        <w:instrText>ADDIN CSL_CITATION {"citationItems":[{"id":"ITEM-1","itemData":{"DOI":"10.1186/s12933-019-0807-3","ISSN":"14752840","PMID":"30630489","abstract":"Background: Epicardial fat tissue (EFT) is the visceral fat distributed along the coronary arteries between the pericardium and the myocardium. Increases in EFT are closely related to the occurrence of diabetes mellitus (DM) and cardiovascular disease. To further understand the link between EFT and DM, we conducted a meta-analysis of the relevant literature. Methods: We systematically searched electronic databases for studies on EFT performed in DM patients and published up to 30 September 2018. We included data on EFT in a DM patient group and a non-DM control group. We then assessed the effect of DM on EFT by meta-analysis and trial sequential analysis (TSA). All statistical analyses were performed using Stata 12.0 and TSA software. Results: A total of 13 studies (n = 1102 patients) were included in the final analysis. Compared with the control group, DM patients had significantly higher EFT (SMD: 1.23; 95% CI 0.98, 1.48; P = 0.000; TSA-adjusted 95% CI 0.91, 2.13; P &lt; 0.0001). The TSA indicated that the available samples were sufficient and confirmed that firm evidence was reached. According to the regression analysis and subgroup analyses, DM typing, EFT ultrasound measurements, total cholesterol (TC) and triglyceride (TG) levels were confounding factors that significantly affected our results. Conclusions: Our meta-analysis suggests that the amount of EFT is significantly higher in DM patients than in non-DM patients.","author":[{"dropping-particle":"","family":"Li","given":"Yingrui","non-dropping-particle":"","parse-names":false,"suffix":""},{"dropping-particle":"","family":"Liu","given":"Bin","non-dropping-particle":"","parse-names":false,"suffix":""},{"dropping-particle":"","family":"Li","given":"Yu","non-dropping-particle":"","parse-names":false,"suffix":""},{"dropping-particle":"","family":"Jing","given":"Xiaodong","non-dropping-particle":"","parse-names":false,"suffix":""},{"dropping-particle":"","family":"Deng","given":"Songbai","non-dropping-particle":"","parse-names":false,"suffix":""},{"dropping-particle":"","family":"Yan","given":"Yulin","non-dropping-particle":"","parse-names":false,"suffix":""},{"dropping-particle":"","family":"She","given":"Qiang","non-dropping-particle":"","parse-names":false,"suffix":""}],"container-title":"Cardiovascular Diabetology","id":"ITEM-1","issued":{"date-parts":[["2019"]]},"title":"Epicardial fat tissue in patients with diabetes mellitus: A systematic review and meta-analysis","type":"article"},"uris":["http://www.mendeley.com/documents/?uuid=e7c6b37a-d512-44b9-8726-886acc47755c"]}],"mendeley":{"formattedCitation":"(2)","plainTextFormattedCitation":"(2)","previouslyFormattedCitation":"(2)"},"properties":{"noteIndex":0},"schema":"https://github.com/citation-style-language/schema/raw/master/csl-citation.json"}</w:instrText>
      </w:r>
      <w:r w:rsidR="007076BF" w:rsidRPr="001900FE">
        <w:rPr>
          <w:sz w:val="22"/>
          <w:szCs w:val="22"/>
        </w:rPr>
        <w:fldChar w:fldCharType="separate"/>
      </w:r>
      <w:r w:rsidR="002C3303" w:rsidRPr="002C3303">
        <w:rPr>
          <w:noProof/>
          <w:sz w:val="22"/>
          <w:szCs w:val="22"/>
        </w:rPr>
        <w:t>(2)</w:t>
      </w:r>
      <w:r w:rsidR="007076BF" w:rsidRPr="001900FE">
        <w:rPr>
          <w:sz w:val="22"/>
          <w:szCs w:val="22"/>
        </w:rPr>
        <w:fldChar w:fldCharType="end"/>
      </w:r>
      <w:r w:rsidR="007076BF" w:rsidRPr="001900FE">
        <w:rPr>
          <w:sz w:val="22"/>
          <w:szCs w:val="22"/>
        </w:rPr>
        <w:t xml:space="preserve">, </w:t>
      </w:r>
      <w:r w:rsidRPr="001900FE">
        <w:rPr>
          <w:sz w:val="22"/>
          <w:szCs w:val="22"/>
        </w:rPr>
        <w:t>and coronary artery disease</w:t>
      </w:r>
      <w:r w:rsidR="007076BF" w:rsidRPr="001900FE">
        <w:rPr>
          <w:sz w:val="22"/>
          <w:szCs w:val="22"/>
        </w:rPr>
        <w:fldChar w:fldCharType="begin" w:fldLock="1"/>
      </w:r>
      <w:r w:rsidR="00D441C9">
        <w:rPr>
          <w:sz w:val="22"/>
          <w:szCs w:val="22"/>
        </w:rPr>
        <w:instrText>ADDIN CSL_CITATION {"citationItems":[{"id":"ITEM-1","itemData":{"DOI":"10.1161/ATVBAHA.108.180653","ISSN":"10795642","PMID":"19229071","abstract":"OBJECTIVES-: Pericardial fat as a visceral fat depot may be involved in the pathogenesis of coronary atherosclerosis. To gain evidence for that concept we sought to investigate the relation of pericardial fat volumes to risk factors, serum adiponectin levels, inflammatory biomarkers, and the quantity and morphology of coronary atherosclerosis. METHODS AND RESULTS-: Using Dual source CT angiography pericardial fat volume and coronary atherosclerosis were assessed simultaneously. Plaques were classified as calcified, mixed, and noncalcified, and the number of affected segments served as quantitative score. Patients with atherosclerotic lesions had significant larger PAT volumes (226 cm±92 cm) than patients without atherosclerosis (134 cm3±563 cm; P&gt;0.001). No association was found between BMI and coronary atherosclerosis. PAT volumes &gt;300 cm were the strongest independent risk factor for coronary atherosclerosis (odds ratio 4.1; CI 3.63 to 4.33) also significantly stronger compared to the Framingham score. We furthermore demonstrated that elevated PAT volumes are significantly associated with low adiponectin levels, low HDL levels, elevated TNF-α levels, and hsCRP. CONCLUSION-: In the present study we demonstrated that elevated PAT volumes are associated with coronary atherosclerosis, hypoadiponectinemia, and inflammation and represent the strongest risk factor for the presence of atherosclerosis and may be important for risk stratification and monitoring. © 2009 American Heart Association, Inc.","author":[{"dropping-particle":"","family":"Greif","given":"Martin","non-dropping-particle":"","parse-names":false,"suffix":""},{"dropping-particle":"","family":"Becker","given":"Alexander","non-dropping-particle":"","parse-names":false,"suffix":""},{"dropping-particle":"","family":"Ziegler","given":"Franz","non-dropping-particle":"Von","parse-names":false,"suffix":""},{"dropping-particle":"","family":"Lebherz","given":"Corinna","non-dropping-particle":"","parse-names":false,"suffix":""},{"dropping-particle":"","family":"Lehrke","given":"Michael","non-dropping-particle":"","parse-names":false,"suffix":""},{"dropping-particle":"","family":"Broedl","given":"Uli C.","non-dropping-particle":"","parse-names":false,"suffix":""},{"dropping-particle":"","family":"Tittus","given":"Janine","non-dropping-particle":"","parse-names":false,"suffix":""},{"dropping-particle":"","family":"Parhofer","given":"Klaus","non-dropping-particle":"","parse-names":false,"suffix":""},{"dropping-particle":"","family":"Becker","given":"Christoph","non-dropping-particle":"","parse-names":false,"suffix":""},{"dropping-particle":"","family":"Reiser","given":"Maximilian","non-dropping-particle":"","parse-names":false,"suffix":""},{"dropping-particle":"","family":"Knez","given":"Andreas","non-dropping-particle":"","parse-names":false,"suffix":""},{"dropping-particle":"","family":"Leber","given":"Alexander W.","non-dropping-particle":"","parse-names":false,"suffix":""}],"container-title":"Arteriosclerosis, Thrombosis, and Vascular Biology","id":"ITEM-1","issue":"5","issued":{"date-parts":[["2009","5","1"]]},"page":"781-786","publisher":"Lippincott Williams &amp; Wilkins","title":"Pericardial Adipose Tissue Determined by Dual Source CT Is a Risk Factor for Coronary Atherosclerosis","type":"article-journal","volume":"29"},"uris":["http://www.mendeley.com/documents/?uuid=ff5f3646-1194-43f1-af43-d3051d62c8c7"]}],"mendeley":{"formattedCitation":"(3)","plainTextFormattedCitation":"(3)","previouslyFormattedCitation":"(3)"},"properties":{"noteIndex":0},"schema":"https://github.com/citation-style-language/schema/raw/master/csl-citation.json"}</w:instrText>
      </w:r>
      <w:r w:rsidR="007076BF" w:rsidRPr="001900FE">
        <w:rPr>
          <w:sz w:val="22"/>
          <w:szCs w:val="22"/>
        </w:rPr>
        <w:fldChar w:fldCharType="separate"/>
      </w:r>
      <w:r w:rsidR="002C3303" w:rsidRPr="002C3303">
        <w:rPr>
          <w:noProof/>
          <w:sz w:val="22"/>
          <w:szCs w:val="22"/>
        </w:rPr>
        <w:t>(3)</w:t>
      </w:r>
      <w:r w:rsidR="007076BF" w:rsidRPr="001900FE">
        <w:rPr>
          <w:sz w:val="22"/>
          <w:szCs w:val="22"/>
        </w:rPr>
        <w:fldChar w:fldCharType="end"/>
      </w:r>
      <w:r w:rsidR="00FB07BC" w:rsidRPr="001900FE">
        <w:rPr>
          <w:sz w:val="22"/>
          <w:szCs w:val="22"/>
        </w:rPr>
        <w:t>.</w:t>
      </w:r>
      <w:r w:rsidR="00573764" w:rsidRPr="001900FE">
        <w:rPr>
          <w:sz w:val="22"/>
          <w:szCs w:val="22"/>
        </w:rPr>
        <w:t xml:space="preserve"> </w:t>
      </w:r>
      <w:r w:rsidRPr="001900FE">
        <w:rPr>
          <w:sz w:val="22"/>
          <w:szCs w:val="22"/>
        </w:rPr>
        <w:t>These relationships appear independent of subcutaneous fat, total body weight, and classical cardiovascular risk factors</w:t>
      </w:r>
      <w:r w:rsidR="00FB07BC" w:rsidRPr="001900FE">
        <w:rPr>
          <w:sz w:val="22"/>
          <w:szCs w:val="22"/>
        </w:rPr>
        <w:fldChar w:fldCharType="begin" w:fldLock="1"/>
      </w:r>
      <w:r w:rsidR="002502E9">
        <w:rPr>
          <w:sz w:val="22"/>
          <w:szCs w:val="22"/>
        </w:rPr>
        <w:instrText>ADDIN CSL_CITATION {"citationItems":[{"id":"ITEM-1","itemData":{"DOI":"10.1016/j.jacc.2012.11.062","ISSN":"07351097","PMID":"23433560","abstract":"Objectives: This study sought to determine whether epicardial fat volume predicts coronary events in the general population. Background: Epicardial adipose tissue (EAT) is suggested to promote plaque development in the coronary artery tree. Methods: We quantified EAT volume in participants from the prospective population-based Heinz Nixdorf Recall cohort study free of cardiovascular disease. Incident coronary events were assessed during a follow-up period of 8.0 ± 1.5 years. Multivariable association of EAT with cardiovascular risk factors, coronary artery calcification (CAC), and coronary events was assessed using regression analysis. Results: From the overall 4,093 participants (age 59.4 years, 47% male), 130 subjects developed a fatal or nonfatal coronary event. Incidence of coronary events increased by quartile of EAT (0.9% vs. 4.7% for 1st and 4th quartile, respectively, p &lt; 0.001). Doubling of EAT was associated with a 1.5-fold risk of coronary events when adjusting for cardiovascular risk factors (hazard ratio [HR] [95% confidence interval (CI)]: 1.54 [1.09 to 2.19]), which remained unaltered after further adjustment for CAC score (HR [95% CI]: 1.50 [1.07 to 2.11]). For discrimination of subjects with events from those without, we observed a trend for improvement of Harrell's C and explained variance by EAT over traditional cardiovascular risk factors, which, however, did not reach statistical significance (0.720 to 0.730 for risk factors alone and with EAT added, respectively, p = 0.10, R2 = 2.73% to R2 = 2.92%, time-dependent integrated discrimination improvement = 0.196%). Conclusions: Epicardial fat is associated with fatal and nonfatal coronary events in the general population independent of traditional cardiovascular risk factors and complements information from cardiac computed tomography above the CAC score. © 2013 American College of Cardiology Foundation.","author":[{"dropping-particle":"","family":"Mahabadi","given":"Amir A.","non-dropping-particle":"","parse-names":false,"suffix":""},{"dropping-particle":"","family":"Berg","given":"Marie H.","non-dropping-particle":"","parse-names":false,"suffix":""},{"dropping-particle":"","family":"Lehmann","given":"Nils","non-dropping-particle":"","parse-names":false,"suffix":""},{"dropping-particle":"","family":"Kälsch","given":"Hagen","non-dropping-particle":"","parse-names":false,"suffix":""},{"dropping-particle":"","family":"Bauer","given":"Marcus","non-dropping-particle":"","parse-names":false,"suffix":""},{"dropping-particle":"","family":"Kara","given":"Kaffer","non-dropping-particle":"","parse-names":false,"suffix":""},{"dropping-particle":"","family":"Dragano","given":"Nico","non-dropping-particle":"","parse-names":false,"suffix":""},{"dropping-particle":"","family":"Moebus","given":"Susanne","non-dropping-particle":"","parse-names":false,"suffix":""},{"dropping-particle":"","family":"Jöckel","given":"Karl Heinz","non-dropping-particle":"","parse-names":false,"suffix":""},{"dropping-particle":"","family":"Erbel","given":"Raimund","non-dropping-particle":"","parse-names":false,"suffix":""},{"dropping-particle":"","family":"Möhlenkamp","given":"Stefan","non-dropping-particle":"","parse-names":false,"suffix":""}],"container-title":"Journal of the American College of Cardiology","id":"ITEM-1","issue":"13","issued":{"date-parts":[["2013","4","2"]]},"page":"1388-1395","publisher":"J Am Coll Cardiol","title":"Association of epicardial fat with cardiovascular risk factors and incident myocardial infarction in the general population: The Heinz Nixdorf recall study","type":"article-journal","volume":"61"},"uris":["http://www.mendeley.com/documents/?uuid=c0959be4-0ad5-33ad-be6b-0ffd8b610582"]}],"mendeley":{"formattedCitation":"(4)","plainTextFormattedCitation":"(4)","previouslyFormattedCitation":"(4)"},"properties":{"noteIndex":0},"schema":"https://github.com/citation-style-language/schema/raw/master/csl-citation.json"}</w:instrText>
      </w:r>
      <w:r w:rsidR="00FB07BC" w:rsidRPr="001900FE">
        <w:rPr>
          <w:sz w:val="22"/>
          <w:szCs w:val="22"/>
        </w:rPr>
        <w:fldChar w:fldCharType="separate"/>
      </w:r>
      <w:r w:rsidR="002C3303" w:rsidRPr="002C3303">
        <w:rPr>
          <w:noProof/>
          <w:sz w:val="22"/>
          <w:szCs w:val="22"/>
        </w:rPr>
        <w:t>(4)</w:t>
      </w:r>
      <w:r w:rsidR="00FB07BC" w:rsidRPr="001900FE">
        <w:rPr>
          <w:sz w:val="22"/>
          <w:szCs w:val="22"/>
        </w:rPr>
        <w:fldChar w:fldCharType="end"/>
      </w:r>
      <w:r w:rsidR="00FB07BC" w:rsidRPr="001900FE">
        <w:rPr>
          <w:sz w:val="22"/>
          <w:szCs w:val="22"/>
        </w:rPr>
        <w:t xml:space="preserve">, </w:t>
      </w:r>
      <w:r w:rsidRPr="001900FE">
        <w:rPr>
          <w:sz w:val="22"/>
          <w:szCs w:val="22"/>
        </w:rPr>
        <w:t xml:space="preserve">suggesting </w:t>
      </w:r>
      <w:r w:rsidR="009B6CB3">
        <w:rPr>
          <w:sz w:val="22"/>
          <w:szCs w:val="22"/>
        </w:rPr>
        <w:t>distinct</w:t>
      </w:r>
      <w:r w:rsidRPr="001900FE">
        <w:rPr>
          <w:sz w:val="22"/>
          <w:szCs w:val="22"/>
        </w:rPr>
        <w:t xml:space="preserve"> biological </w:t>
      </w:r>
      <w:r w:rsidR="00573764" w:rsidRPr="001900FE">
        <w:rPr>
          <w:sz w:val="22"/>
          <w:szCs w:val="22"/>
        </w:rPr>
        <w:t>significance of PAT</w:t>
      </w:r>
      <w:r w:rsidRPr="001900FE">
        <w:rPr>
          <w:sz w:val="22"/>
          <w:szCs w:val="22"/>
        </w:rPr>
        <w:t xml:space="preserve">. </w:t>
      </w:r>
      <w:r w:rsidR="00885996" w:rsidRPr="001900FE">
        <w:rPr>
          <w:sz w:val="22"/>
          <w:szCs w:val="22"/>
        </w:rPr>
        <w:t xml:space="preserve">Indeed, </w:t>
      </w:r>
      <w:r w:rsidR="00163352" w:rsidRPr="001900FE">
        <w:rPr>
          <w:sz w:val="22"/>
          <w:szCs w:val="22"/>
        </w:rPr>
        <w:t xml:space="preserve">it has been proposed that </w:t>
      </w:r>
      <w:r w:rsidR="00885996" w:rsidRPr="001900FE">
        <w:rPr>
          <w:sz w:val="22"/>
          <w:szCs w:val="22"/>
        </w:rPr>
        <w:t xml:space="preserve">adipocytokines and proinflammatory markers secreted by metabolically active PAT may act as mediators for these associations through promotion of a milieu for disease development at </w:t>
      </w:r>
      <w:r w:rsidR="00163352" w:rsidRPr="001900FE">
        <w:rPr>
          <w:sz w:val="22"/>
          <w:szCs w:val="22"/>
        </w:rPr>
        <w:t xml:space="preserve">both </w:t>
      </w:r>
      <w:r w:rsidR="00885996" w:rsidRPr="001900FE">
        <w:rPr>
          <w:sz w:val="22"/>
          <w:szCs w:val="22"/>
        </w:rPr>
        <w:t>local and systemic levels</w:t>
      </w:r>
      <w:r w:rsidR="00885996" w:rsidRPr="001900FE">
        <w:rPr>
          <w:sz w:val="22"/>
          <w:szCs w:val="22"/>
        </w:rPr>
        <w:fldChar w:fldCharType="begin" w:fldLock="1"/>
      </w:r>
      <w:r w:rsidR="00D441C9">
        <w:rPr>
          <w:sz w:val="22"/>
          <w:szCs w:val="22"/>
        </w:rPr>
        <w:instrText>ADDIN CSL_CITATION {"citationItems":[{"id":"ITEM-1","itemData":{"DOI":"10.1016/j.tem.2011.07.003","ISSN":"10432760","PMID":"21852149","abstract":"Epicardial adipose tissue is an unusual visceral fat depot with anatomical and functional contiguity to the myocardium and coronary arteries. Under physiological conditions, epicardial adipose tissue displays biochemical, mechanical and thermogenic cardioprotective properties. Under pathological circumstances, epicardial fat can locally affect the heart and coronary arteries through vasocrine or paracrine secretion of proinflammatory cytokines. What influences this equilibrium remains unclear. Improved local vascularization, weight loss, and targeted pharmaceutical interventions could help to return epicardial fat to its physiological role. This review focuses on the emerging physiological and pathophysiological aspects of the epicardial fat and its numerous and innovative clinical applications. Particular emphasis is placed on the paracrine/endocrine properties of epicardial fat and its role in the development and progression of atherosclerosis. © 2011 Elsevier Ltd.","author":[{"dropping-particle":"","family":"Iacobellis","given":"Gianluca","non-dropping-particle":"","parse-names":false,"suffix":""},{"dropping-particle":"","family":"Bianco","given":"Antonio C.","non-dropping-particle":"","parse-names":false,"suffix":""}],"container-title":"Trends in Endocrinology and Metabolism","id":"ITEM-1","issue":"11","issued":{"date-parts":[["2011","11"]]},"page":"450-457","publisher":"Trends Endocrinol Metab","title":"Epicardial adipose tissue: Emerging physiological, pathophysiological and clinical features","type":"article","volume":"22"},"uris":["http://www.mendeley.com/documents/?uuid=2db73202-33dc-3868-9d34-1df06e614dc7"]},{"id":"ITEM-2","itemData":{"DOI":"10.1038/sj.ijo.0803726","ISSN":"03070565","PMID":"17878891","abstract":"Objective: Epicardial and abdominal adipose tissues have recently been demonstrated to play inflammatory roles in coronary atherosclerosis. We sought to compare tissue adipocytokine levels of these two anatomically distinct adipose stores in patients with and without coronary artery diseases (CAD). Design: Samples of abdominal and epicardial fat tissues were harvested to detect the levels of adipocytokines and proinflammatory mediators. Subjects: Forty-six patients with CAD who underwent coronary artery bypass surgery and 12 non-CAD control subjects who underwent other types of open-heart surgery. Measurements: Tissue levels of adipocytokines (adiponectin, leptin and visfatin) and proinflammatory mediators (tumor necrosis factor-α (TNF-α) and interleukin-6 (IL-6)) were determined by enzyme-linked immunosorbent assay. Results: Tissue levels of TNF-α, IL-6, leptin and visfatin were significantly higher in CAD patients relative to control subjects. In addition, significantly higher tissue levels of these four cytokines from abdominal fat depots were found compared to those from epicardial fat in CAD patients. Conversely, in comparison with control subjects, tissue levels of adiponectin were significantly reduced in CAD patients with a significantly lower tissue levels of abdominal than epicardial fat depots demonstrated. Conclusion: Abdominal adiposity may play more significant role than epicardial fat in the pathogenesis of coronary atherosclerosis. © 2008 Nature Publishing Group All rights reserved.","author":[{"dropping-particle":"","family":"Cheng","given":"K. H.","non-dropping-particle":"","parse-names":false,"suffix":""},{"dropping-particle":"","family":"Chu","given":"C. S.","non-dropping-particle":"","parse-names":false,"suffix":""},{"dropping-particle":"","family":"Lee","given":"K. T.","non-dropping-particle":"","parse-names":false,"suffix":""},{"dropping-particle":"","family":"Lin","given":"T. H.","non-dropping-particle":"","parse-names":false,"suffix":""},{"dropping-particle":"","family":"Hsieh","given":"C. C.","non-dropping-particle":"","parse-names":false,"suffix":""},{"dropping-particle":"","family":"Chiu","given":"C. C.","non-dropping-particle":"","parse-names":false,"suffix":""},{"dropping-particle":"","family":"Voon","given":"W. C.","non-dropping-particle":"","parse-names":false,"suffix":""},{"dropping-particle":"","family":"Sheu","given":"S. H.","non-dropping-particle":"","parse-names":false,"suffix":""},{"dropping-particle":"","family":"Lai","given":"W. T.","non-dropping-particle":"","parse-names":false,"suffix":""}],"container-title":"International Journal of Obesity","id":"ITEM-2","issue":"2","issued":{"date-parts":[["2008","2"]]},"page":"268-274","publisher":"Int J Obes (Lond)","title":"Adipocytokines and proinflammatory mediators from abdominal and epicardial adipose tissue in patients with coronary artery disease","type":"article-journal","volume":"32"},"uris":["http://www.mendeley.com/documents/?uuid=26d5f8f0-b73b-3ad5-a9a7-ea93a67c4a27"]}],"mendeley":{"formattedCitation":"(5,6)","plainTextFormattedCitation":"(5,6)","previouslyFormattedCitation":"(5,6)"},"properties":{"noteIndex":0},"schema":"https://github.com/citation-style-language/schema/raw/master/csl-citation.json"}</w:instrText>
      </w:r>
      <w:r w:rsidR="00885996" w:rsidRPr="001900FE">
        <w:rPr>
          <w:sz w:val="22"/>
          <w:szCs w:val="22"/>
        </w:rPr>
        <w:fldChar w:fldCharType="separate"/>
      </w:r>
      <w:r w:rsidR="00FF2DC9" w:rsidRPr="00FF2DC9">
        <w:rPr>
          <w:noProof/>
          <w:sz w:val="22"/>
          <w:szCs w:val="22"/>
        </w:rPr>
        <w:t>(5,6)</w:t>
      </w:r>
      <w:r w:rsidR="00885996" w:rsidRPr="001900FE">
        <w:rPr>
          <w:sz w:val="22"/>
          <w:szCs w:val="22"/>
        </w:rPr>
        <w:fldChar w:fldCharType="end"/>
      </w:r>
      <w:r w:rsidR="00885996" w:rsidRPr="001900FE">
        <w:rPr>
          <w:sz w:val="22"/>
          <w:szCs w:val="22"/>
        </w:rPr>
        <w:t xml:space="preserve">. Thus, </w:t>
      </w:r>
      <w:r w:rsidR="0068607B" w:rsidRPr="001900FE">
        <w:rPr>
          <w:sz w:val="22"/>
          <w:szCs w:val="22"/>
        </w:rPr>
        <w:t xml:space="preserve">PAT may provide novel insights into disease processes and has </w:t>
      </w:r>
      <w:r w:rsidR="00574B19">
        <w:rPr>
          <w:sz w:val="22"/>
          <w:szCs w:val="22"/>
        </w:rPr>
        <w:t xml:space="preserve">a </w:t>
      </w:r>
      <w:r w:rsidR="00574B19" w:rsidRPr="001900FE">
        <w:rPr>
          <w:sz w:val="22"/>
          <w:szCs w:val="22"/>
        </w:rPr>
        <w:t>potential</w:t>
      </w:r>
      <w:r w:rsidR="00574B19">
        <w:rPr>
          <w:sz w:val="22"/>
          <w:szCs w:val="22"/>
        </w:rPr>
        <w:t xml:space="preserve"> role</w:t>
      </w:r>
      <w:r w:rsidR="0068607B" w:rsidRPr="001900FE">
        <w:rPr>
          <w:sz w:val="22"/>
          <w:szCs w:val="22"/>
        </w:rPr>
        <w:t xml:space="preserve"> as </w:t>
      </w:r>
      <w:r w:rsidR="00B7733B">
        <w:rPr>
          <w:sz w:val="22"/>
          <w:szCs w:val="22"/>
        </w:rPr>
        <w:t xml:space="preserve">a </w:t>
      </w:r>
      <w:r w:rsidR="00574B19">
        <w:rPr>
          <w:sz w:val="22"/>
          <w:szCs w:val="22"/>
        </w:rPr>
        <w:t>marker of cardiovascular risk</w:t>
      </w:r>
      <w:r w:rsidR="0068607B" w:rsidRPr="001900FE">
        <w:rPr>
          <w:sz w:val="22"/>
          <w:szCs w:val="22"/>
        </w:rPr>
        <w:t xml:space="preserve">. </w:t>
      </w:r>
    </w:p>
    <w:p w14:paraId="79F1C03E" w14:textId="77777777" w:rsidR="00875D8C" w:rsidRPr="001900FE" w:rsidRDefault="00875D8C" w:rsidP="00FF2DC9">
      <w:pPr>
        <w:rPr>
          <w:sz w:val="22"/>
          <w:szCs w:val="22"/>
        </w:rPr>
      </w:pPr>
    </w:p>
    <w:p w14:paraId="63BAE684" w14:textId="6B26138A" w:rsidR="007C7689" w:rsidRPr="001900FE" w:rsidRDefault="00875D8C" w:rsidP="00FF2DC9">
      <w:pPr>
        <w:rPr>
          <w:sz w:val="22"/>
          <w:szCs w:val="22"/>
        </w:rPr>
      </w:pPr>
      <w:r w:rsidRPr="001900FE">
        <w:rPr>
          <w:sz w:val="22"/>
          <w:szCs w:val="22"/>
        </w:rPr>
        <w:t>T</w:t>
      </w:r>
      <w:r w:rsidR="0068607B" w:rsidRPr="001900FE">
        <w:rPr>
          <w:sz w:val="22"/>
          <w:szCs w:val="22"/>
        </w:rPr>
        <w:t xml:space="preserve">echnical difficulties in quantification of PAT in an efficient and radiation-free manner have </w:t>
      </w:r>
      <w:r w:rsidR="005C5387">
        <w:rPr>
          <w:sz w:val="22"/>
          <w:szCs w:val="22"/>
        </w:rPr>
        <w:t>precluded</w:t>
      </w:r>
      <w:r w:rsidR="0068607B" w:rsidRPr="001900FE">
        <w:rPr>
          <w:sz w:val="22"/>
          <w:szCs w:val="22"/>
        </w:rPr>
        <w:t xml:space="preserve"> its systematic study in large </w:t>
      </w:r>
      <w:r w:rsidR="001851F6" w:rsidRPr="001900FE">
        <w:rPr>
          <w:sz w:val="22"/>
          <w:szCs w:val="22"/>
        </w:rPr>
        <w:t>cohorts</w:t>
      </w:r>
      <w:r w:rsidR="0068607B" w:rsidRPr="001900FE">
        <w:rPr>
          <w:sz w:val="22"/>
          <w:szCs w:val="22"/>
        </w:rPr>
        <w:t xml:space="preserve">. Whilst </w:t>
      </w:r>
      <w:r w:rsidR="008E4D77">
        <w:rPr>
          <w:sz w:val="22"/>
          <w:szCs w:val="22"/>
        </w:rPr>
        <w:t xml:space="preserve">cardiac </w:t>
      </w:r>
      <w:r w:rsidR="0068607B" w:rsidRPr="001900FE">
        <w:rPr>
          <w:sz w:val="22"/>
          <w:szCs w:val="22"/>
        </w:rPr>
        <w:t>computed tomography (</w:t>
      </w:r>
      <w:r w:rsidR="008E4D77">
        <w:rPr>
          <w:sz w:val="22"/>
          <w:szCs w:val="22"/>
        </w:rPr>
        <w:t>C</w:t>
      </w:r>
      <w:r w:rsidR="0068607B" w:rsidRPr="001900FE">
        <w:rPr>
          <w:sz w:val="22"/>
          <w:szCs w:val="22"/>
        </w:rPr>
        <w:t xml:space="preserve">CT) </w:t>
      </w:r>
      <w:r w:rsidR="009B6CB3" w:rsidRPr="001900FE">
        <w:rPr>
          <w:sz w:val="22"/>
          <w:szCs w:val="22"/>
        </w:rPr>
        <w:t xml:space="preserve">PAT quantification </w:t>
      </w:r>
      <w:r w:rsidR="0068607B" w:rsidRPr="001900FE">
        <w:rPr>
          <w:sz w:val="22"/>
          <w:szCs w:val="22"/>
        </w:rPr>
        <w:t>is well-established</w:t>
      </w:r>
      <w:r w:rsidR="0068607B" w:rsidRPr="001900FE">
        <w:rPr>
          <w:sz w:val="22"/>
          <w:szCs w:val="22"/>
        </w:rPr>
        <w:fldChar w:fldCharType="begin" w:fldLock="1"/>
      </w:r>
      <w:r w:rsidR="00D441C9">
        <w:rPr>
          <w:sz w:val="22"/>
          <w:szCs w:val="22"/>
        </w:rPr>
        <w:instrText>ADDIN CSL_CITATION {"citationItems":[{"id":"ITEM-1","itemData":{"DOI":"10.1148/ryai.2019190045","ISSN":"2638-6100","abstract":"Purpose To evaluate the performance of deep learning for robust and fully automated quantification of epicardial adipose tissue (EAT) from multicenter cardiac CT data. Materials and Methods In this multicenter study, a convolutional neural network approach was trained to quantify EAT on non–contrast material–enhanced calcium-scoring CT scans from multiple cohorts, scanners, and protocols (n = 850). Deep learning performance was compared with the performance of three expert readers and with interobserver variability in a subset of 141 scans. The deep learning algorithm was incorporated into research software. Automated EAT progression was compared with expert measurements for 70 patients with baseline and follow-up scans. Results Automated quantification was performed in a mean (± standard deviation) time of 1.57 seconds ± 0.49, compared with 15 minutes for experts. Deep learning provided high agreement with expert manual quantification for all scans (R = 0.974; P &lt; .001), with no significant bias (0.53 cm3; P = .13). Manual EAT volumes measured by two experienced readers were highly correlated (R = 0.984; P &lt; .001) but with a bias of 4.35 cm3 (P &lt; .001). Deep learning quantifications were highly correlated with the measurements of both experts (R = 0.973 and R = 0.979; P &lt; .001), with significant bias for reader 1 (5.11 cm3; P &lt; .001) but not for reader 2 (0.88 cm3; P = .26). EAT progression by deep learning correlated strongly with manual EAT progression (R = 0.905; P &lt; .001) in 70 patients, with no significant bias (0.64 cm3; P = .43), and was related to an increased noncalcified plaque burden quantified from coronary CT angiography (5.7% vs 1.8%; P = .026). Conclusion Deep learning allows rapid, robust, and fully automated quantification of EAT from calcium scoring CT. It performs as well as an expert reader and can be implemented for routine cardiovascular risk assessment. © RSNA, 2019 See also the commentary by Schoepf and Abadia in this issue.","author":[{"dropping-particle":"","family":"Commandeur","given":"Frederic","non-dropping-particle":"","parse-names":false,"suffix":""},{"dropping-particle":"","family":"Goeller","given":"Markus","non-dropping-particle":"","parse-names":false,"suffix":""},{"dropping-particle":"","family":"Razipour","given":"Aryabod","non-dropping-particle":"","parse-names":false,"suffix":""},{"dropping-particle":"","family":"Cadet","given":"Sebastien","non-dropping-particle":"","parse-names":false,"suffix":""},{"dropping-particle":"","family":"Hell","given":"Michaela M.","non-dropping-particle":"","parse-names":false,"suffix":""},{"dropping-particle":"","family":"Kwiecinski","given":"Jacek","non-dropping-particle":"","parse-names":false,"suffix":""},{"dropping-particle":"","family":"Chen","given":"Xi","non-dropping-particle":"","parse-names":false,"suffix":""},{"dropping-particle":"","family":"Chang","given":"Hyuk-Jae","non-dropping-particle":"","parse-names":false,"suffix":""},{"dropping-particle":"","family":"Marwan","given":"Mohamed","non-dropping-particle":"","parse-names":false,"suffix":""},{"dropping-particle":"","family":"Achenbach","given":"Stephan","non-dropping-particle":"","parse-names":false,"suffix":""},{"dropping-particle":"","family":"Berman","given":"Daniel S.","non-dropping-particle":"","parse-names":false,"suffix":""},{"dropping-particle":"","family":"Slomka","given":"Piotr J.","non-dropping-particle":"","parse-names":false,"suffix":""},{"dropping-particle":"","family":"Tamarappoo","given":"Balaji K.","non-dropping-particle":"","parse-names":false,"suffix":""},{"dropping-particle":"","family":"Dey","given":"Damini","non-dropping-particle":"","parse-names":false,"suffix":""}],"container-title":"Radiology: Artificial Intelligence","id":"ITEM-1","issue":"6","issued":{"date-parts":[["2019","11","1"]]},"page":"e190045","publisher":"Radiological Society of North America (RSNA)","title":"Fully Automated CT Quantification of Epicardial Adipose Tissue by Deep Learning: A Multicenter Study","type":"article-journal","volume":"1"},"uris":["http://www.mendeley.com/documents/?uuid=4c1f13d4-7777-3e0d-8f18-bbc5462de611"]},{"id":"ITEM-2","itemData":{"DOI":"10.1161/CIRCIMAGING.119.009829","ISSN":"19420080","PMID":"32063057","abstract":"Background: Epicardial adipose tissue (EAT) volume (cm3) and attenuation (Hounsfield units) may predict major adverse cardiovascular events (MACE). We aimed to evaluate the prognostic value of fully automated deep learning-based EAT volume and attenuation measurements quantified from noncontrast cardiac computed tomography. Methods: Our study included 2068 asymptomatic subjects (569 years, 59% male) from the EISNER trial (Early Identification of Subclinical Atherosclerosis by Noninvasive Imaging Research) with long-term follow-up after coronary artery calcium measurement. EAT volume and mean attenuation were quantified using automated deep learning software from noncontrast cardiac computed tomography. MACE was defined as myocardial infarction, late (&gt;180 days) revascularization, and cardiac death. EAT measures were compared to coronary artery calcium score and atherosclerotic cardiovascular disease risk score for MACE prediction. Results: At 143 years, 223 subjects suffered MACE. Increased EAT volume and decreased EAT attenuation were both independently associated with MACE. Atherosclerotic cardiovascular disease risk score, coronary artery calcium, and EAT volume were associated with increased risk of MACE (hazard ratio [95%CI]: 1.03 [1.01-1.04]; 1.25 [1.19-1.30]; and 1.35 [1.07-1.68], P&lt;0.01 for all) and EAT attenuation was inversely associated with MACE (hazard ratio, 0.83 [95% CI, 0.72-0.96]; P=0.01), with corresponding Harrell C statistic of 0.76. MACE risk progressively increased with EAT volume ≥113 cm3 and coronary artery calcium ≥100 AU and was highest in subjects with both (P&lt;0.02 for all). In 1317 subjects, EAT volume was correlated with inflammatory biomarkers C-reactive protein, myeloperoxidase, and adiponectin reduction; EAT attenuation was inversely related to these biomarkers. Conclusions: Fully automated EAT volume and attenuation quantification by deep learning from noncontrast cardiac computed tomography can provide prognostic value for the asymptomatic patient, without additional imaging or physician interaction.","author":[{"dropping-particle":"","family":"Eisenberg","given":"Evann","non-dropping-particle":"","parse-names":false,"suffix":""},{"dropping-particle":"","family":"McElhinney","given":"Priscilla A.","non-dropping-particle":"","parse-names":false,"suffix":""},{"dropping-particle":"","family":"Commandeur","given":"Frederic","non-dropping-particle":"","parse-names":false,"suffix":""},{"dropping-particle":"","family":"Chen","given":"Xi","non-dropping-particle":"","parse-names":false,"suffix":""},{"dropping-particle":"","family":"Cadet","given":"Sebastien","non-dropping-particle":"","parse-names":false,"suffix":""},{"dropping-particle":"","family":"Goeller","given":"Markus","non-dropping-particle":"","parse-names":false,"suffix":""},{"dropping-particle":"","family":"Razipour","given":"Aryabod","non-dropping-particle":"","parse-names":false,"suffix":""},{"dropping-particle":"","family":"Gransar","given":"Heidi","non-dropping-particle":"","parse-names":false,"suffix":""},{"dropping-particle":"","family":"Cantu","given":"Stephanie","non-dropping-particle":"","parse-names":false,"suffix":""},{"dropping-particle":"","family":"Miller","given":"Robert J.H.","non-dropping-particle":"","parse-names":false,"suffix":""},{"dropping-particle":"","family":"Slomka","given":"Piotr J.","non-dropping-particle":"","parse-names":false,"suffix":""},{"dropping-particle":"","family":"Wong","given":"Nathan D.","non-dropping-particle":"","parse-names":false,"suffix":""},{"dropping-particle":"","family":"Rozanski","given":"Alan","non-dropping-particle":"","parse-names":false,"suffix":""},{"dropping-particle":"","family":"Achenbach","given":"Stephan","non-dropping-particle":"","parse-names":false,"suffix":""},{"dropping-particle":"","family":"Tamarappoo","given":"Balaji K.","non-dropping-particle":"","parse-names":false,"suffix":""},{"dropping-particle":"","family":"Berman","given":"Daniel S.","non-dropping-particle":"","parse-names":false,"suffix":""},{"dropping-particle":"","family":"Dey","given":"Damini","non-dropping-particle":"","parse-names":false,"suffix":""}],"container-title":"Circulation: Cardiovascular Imaging","id":"ITEM-2","issue":"2","issued":{"date-parts":[["2020","2"]]},"publisher":"Lippincott Williams and Wilkins","title":"Deep Learning-Based Quantification of Epicardial Adipose Tissue Volume and Attenuation Predicts Major Adverse Cardiovascular Events in Asymptomatic Subjects","type":"article-journal","volume":"13"},"uris":["http://www.mendeley.com/documents/?uuid=bfe48485-d170-30e0-a6d1-97c9beb145bc"]},{"id":"ITEM-3","itemData":{"DOI":"10.1161/ATVBAHA.108.180653","ISSN":"10795642","PMID":"19229071","abstract":"OBJECTIVES-: Pericardial fat as a visceral fat depot may be involved in the pathogenesis of coronary atherosclerosis. To gain evidence for that concept we sought to investigate the relation of pericardial fat volumes to risk factors, serum adiponectin levels, inflammatory biomarkers, and the quantity and morphology of coronary atherosclerosis. METHODS AND RESULTS-: Using Dual source CT angiography pericardial fat volume and coronary atherosclerosis were assessed simultaneously. Plaques were classified as calcified, mixed, and noncalcified, and the number of affected segments served as quantitative score. Patients with atherosclerotic lesions had significant larger PAT volumes (226 cm±92 cm) than patients without atherosclerosis (134 cm3±563 cm; P&gt;0.001). No association was found between BMI and coronary atherosclerosis. PAT volumes &gt;300 cm were the strongest independent risk factor for coronary atherosclerosis (odds ratio 4.1; CI 3.63 to 4.33) also significantly stronger compared to the Framingham score. We furthermore demonstrated that elevated PAT volumes are significantly associated with low adiponectin levels, low HDL levels, elevated TNF-α levels, and hsCRP. CONCLUSION-: In the present study we demonstrated that elevated PAT volumes are associated with coronary atherosclerosis, hypoadiponectinemia, and inflammation and represent the strongest risk factor for the presence of atherosclerosis and may be important for risk stratification and monitoring. © 2009 American Heart Association, Inc.","author":[{"dropping-particle":"","family":"Greif","given":"Martin","non-dropping-particle":"","parse-names":false,"suffix":""},{"dropping-particle":"","family":"Becker","given":"Alexander","non-dropping-particle":"","parse-names":false,"suffix":""},{"dropping-particle":"","family":"Ziegler","given":"Franz","non-dropping-particle":"Von","parse-names":false,"suffix":""},{"dropping-particle":"","family":"Lebherz","given":"Corinna","non-dropping-particle":"","parse-names":false,"suffix":""},{"dropping-particle":"","family":"Lehrke","given":"Michael","non-dropping-particle":"","parse-names":false,"suffix":""},{"dropping-particle":"","family":"Broedl","given":"Uli C.","non-dropping-particle":"","parse-names":false,"suffix":""},{"dropping-particle":"","family":"Tittus","given":"Janine","non-dropping-particle":"","parse-names":false,"suffix":""},{"dropping-particle":"","family":"Parhofer","given":"Klaus","non-dropping-particle":"","parse-names":false,"suffix":""},{"dropping-particle":"","family":"Becker","given":"Christoph","non-dropping-particle":"","parse-names":false,"suffix":""},{"dropping-particle":"","family":"Reiser","given":"Maximilian","non-dropping-particle":"","parse-names":false,"suffix":""},{"dropping-particle":"","family":"Knez","given":"Andreas","non-dropping-particle":"","parse-names":false,"suffix":""},{"dropping-particle":"","family":"Leber","given":"Alexander W.","non-dropping-particle":"","parse-names":false,"suffix":""}],"container-title":"Arteriosclerosis, Thrombosis, and Vascular Biology","id":"ITEM-3","issue":"5","issued":{"date-parts":[["2009","5","1"]]},"page":"781-786","publisher":"Lippincott Williams &amp; Wilkins","title":"Pericardial Adipose Tissue Determined by Dual Source CT Is a Risk Factor for Coronary Atherosclerosis","type":"article-journal","volume":"29"},"uris":["http://www.mendeley.com/documents/?uuid=ff5f3646-1194-43f1-af43-d3051d62c8c7"]},{"id":"ITEM-4","itemData":{"DOI":"10.1007/s00330-013-3052-2","ISSN":"09387994","PMID":"24192980","abstract":"Objectives: This study evaluated the performance of a novel automated software tool for epicardial fat volume (EFV) quantification compared to a standard manual technique at coronary CT angiography (cCTA). Methods: cCTA data sets of 70 patients (58.6 ± 12.9 years, 33 men) were retrospectively analysed using two different post-processing software applications. Observer 1 performed a manual single-plane pericardial border definition and EFV M segmentation (manual approach). Two observers used a software program with fully automated 3D pericardial border definition and EFV A calculation (automated approach). EFV and time required for measuring EFV (including software processing time and manual optimization time) for each method were recorded. Intraobserver and interobserver reliability was assessed on the prototype software measurements. T test, Spearman's rho, and Bland-Altman plots were used for statistical analysis. Results: The final EFVA (with manual border optimization) was strongly correlated with the manual axial segmentation measurement (60.9 ± 33.2 mL vs. 65.8 ± 37.0 mL, rho = 0.970, P &lt; 0.001). A mean of 3.9 ± 1.9 manual border edits were performed to optimize the automated process. The software prototype required significantly less time to perform the measurements (135.6 ± 24.6 s vs. 314.3 ± 76.3 s, P &lt; 0.001) and showed high reliability (ICC &gt; 0.9). Conclusions: Automated EFVA quantification is an accurate and time-saving method for quantification of EFV compared to established manual axial segmentation methods. Key Points: • Manual epicardial fat volume quantification correlates with risk factors but is time-consuming. • The novel software prototype automates measurement of epicardial fat volume with good accuracy. • This novel approach is less time-consuming and could be incorporated into clinical workflow. © 2013 European Society of Radiology.","author":[{"dropping-particle":"V.","family":"Spearman","given":"James","non-dropping-particle":"","parse-names":false,"suffix":""},{"dropping-particle":"","family":"Meinel","given":"Felix G.","non-dropping-particle":"","parse-names":false,"suffix":""},{"dropping-particle":"","family":"Schoepf","given":"U. Joseph","non-dropping-particle":"","parse-names":false,"suffix":""},{"dropping-particle":"","family":"Apfaltrer","given":"Paul","non-dropping-particle":"","parse-names":false,"suffix":""},{"dropping-particle":"","family":"Silverman","given":"Justin R.","non-dropping-particle":"","parse-names":false,"suffix":""},{"dropping-particle":"","family":"Krazinski","given":"Aleksander W.","non-dropping-particle":"","parse-names":false,"suffix":""},{"dropping-particle":"","family":"Canstein","given":"Christian","non-dropping-particle":"","parse-names":false,"suffix":""},{"dropping-particle":"","family":"Cecco","given":"Carlo Nicola","non-dropping-particle":"De","parse-names":false,"suffix":""},{"dropping-particle":"","family":"Costello","given":"Philip","non-dropping-particle":"","parse-names":false,"suffix":""},{"dropping-particle":"","family":"Geyer","given":"Lucas L.","non-dropping-particle":"","parse-names":false,"suffix":""}],"container-title":"European Radiology","id":"ITEM-4","issue":"2","issued":{"date-parts":[["2014","2"]]},"page":"519-526","publisher":"Eur Radiol","title":"Automated quantification of epicardial adipose tissue using CT angiography: Evaluation of a prototype software","type":"article-journal","volume":"24"},"uris":["http://www.mendeley.com/documents/?uuid=8f01d498-13f8-32f2-8329-441d83747f06"]}],"mendeley":{"formattedCitation":"(3,7–9)","plainTextFormattedCitation":"(3,7–9)","previouslyFormattedCitation":"(7–10)"},"properties":{"noteIndex":0},"schema":"https://github.com/citation-style-language/schema/raw/master/csl-citation.json"}</w:instrText>
      </w:r>
      <w:r w:rsidR="0068607B" w:rsidRPr="001900FE">
        <w:rPr>
          <w:sz w:val="22"/>
          <w:szCs w:val="22"/>
        </w:rPr>
        <w:fldChar w:fldCharType="separate"/>
      </w:r>
      <w:r w:rsidR="00D441C9" w:rsidRPr="00D441C9">
        <w:rPr>
          <w:noProof/>
          <w:sz w:val="22"/>
          <w:szCs w:val="22"/>
        </w:rPr>
        <w:t>(3,7–9)</w:t>
      </w:r>
      <w:r w:rsidR="0068607B" w:rsidRPr="001900FE">
        <w:rPr>
          <w:sz w:val="22"/>
          <w:szCs w:val="22"/>
        </w:rPr>
        <w:fldChar w:fldCharType="end"/>
      </w:r>
      <w:r w:rsidR="0068607B" w:rsidRPr="001900FE">
        <w:rPr>
          <w:sz w:val="22"/>
          <w:szCs w:val="22"/>
        </w:rPr>
        <w:t>, exposure of large population cohorts to ionising radiation is not ethically permissible</w:t>
      </w:r>
      <w:r w:rsidR="0068607B" w:rsidRPr="001900FE">
        <w:rPr>
          <w:sz w:val="22"/>
          <w:szCs w:val="22"/>
        </w:rPr>
        <w:fldChar w:fldCharType="begin" w:fldLock="1"/>
      </w:r>
      <w:r w:rsidR="00D441C9">
        <w:rPr>
          <w:sz w:val="22"/>
          <w:szCs w:val="22"/>
        </w:rPr>
        <w:instrText>ADDIN CSL_CITATION {"citationItems":[{"id":"ITEM-1","itemData":{"DOI":"10.1186/1532-429X-15-46","ISSN":"1532-429X","abstract":"UK Biobank is a prospective cohort study with 500,000 participants aged 40 to 69. Recently an enhanced imaging study received funding. Cardiovascular magnetic resonance (CMR) will be part of a multi-organ, multi-modality imaging visit in 3–4 dedicated UK Biobank imaging centres that will acquire and store imaging data from 100,000 participants (subject to successful piloting). In each of UK Biobank’s dedicated bespoke imaging centres, it is proposed that 15–20 participants will undergo a 2 to 3 hour visit per day, seven days a week over a period of 5–6 years. The imaging modalities will include brain MRI at 3 Tesla, CMR and abdominal MRI at 1.5 Tesla, carotid ultrasound and DEXA scans using carefully selected protocols. We reviewed the rationale, challenges and proposed approaches for concise phenotyping using CMR on such a large scale. Here, we discuss the benefits of this imaging study and review existing and planned population based cardiovascular imaging in prospective cohort studies. We will evaluate the CMR protocol, feasibility, process optimisation and costs. Procedures for incidental findings, quality control and data processing and analysis are also presented. As is the case for all other data in the UK Biobank resource, this database of images and related information will be made available through UK Biobank’s Access Procedures to researchers (irrespective of their country of origin and whether they are academic or commercial) for health-related research that is in the public interest.","author":[{"dropping-particle":"","family":"Petersen","given":"Steffen E","non-dropping-particle":"","parse-names":false,"suffix":""},{"dropping-particle":"","family":"Matthews","given":"Paul M","non-dropping-particle":"","parse-names":false,"suffix":""},{"dropping-particle":"","family":"Bamberg","given":"Fabian","non-dropping-particle":"","parse-names":false,"suffix":""},{"dropping-particle":"","family":"Bluemke","given":"David A","non-dropping-particle":"","parse-names":false,"suffix":""},{"dropping-particle":"","family":"Francis","given":"Jane M","non-dropping-particle":"","parse-names":false,"suffix":""},{"dropping-particle":"","family":"Friedrich","given":"Matthias G","non-dropping-particle":"","parse-names":false,"suffix":""},{"dropping-particle":"","family":"Leeson","given":"Paul","non-dropping-particle":"","parse-names":false,"suffix":""},{"dropping-particle":"","family":"Nagel","given":"Eike","non-dropping-particle":"","parse-names":false,"suffix":""},{"dropping-particle":"","family":"Plein","given":"Sven","non-dropping-particle":"","parse-names":false,"suffix":""},{"dropping-particle":"","family":"Rademakers","given":"Frank E","non-dropping-particle":"","parse-names":false,"suffix":""},{"dropping-particle":"","family":"Young","given":"Alistair A","non-dropping-particle":"","parse-names":false,"suffix":""},{"dropping-particle":"","family":"Garratt","given":"Steve","non-dropping-particle":"","parse-names":false,"suffix":""},{"dropping-particle":"","family":"Peakman","given":"Tim","non-dropping-particle":"","parse-names":false,"suffix":""},{"dropping-particle":"","family":"Sellors","given":"Jonathan","non-dropping-particle":"","parse-names":false,"suffix":""},{"dropping-particle":"","family":"Collins","given":"Rory","non-dropping-particle":"","parse-names":false,"suffix":""},{"dropping-particle":"","family":"Neubauer","given":"Stefan","non-dropping-particle":"","parse-names":false,"suffix":""}],"container-title":"Journal of Cardiovascular Magnetic Resonance","id":"ITEM-1","issue":"1","issued":{"date-parts":[["2013","12","28"]]},"page":"46","publisher":"BioMed Central","title":"Imaging in population science: cardiovascular magnetic resonance in 100,000 participants of UK Biobank - rationale, challenges and approaches","type":"article-journal","volume":"15"},"uris":["http://www.mendeley.com/documents/?uuid=dde8f134-f4b6-3b08-97c8-116c0dc0cf7f"]}],"mendeley":{"formattedCitation":"(10)","plainTextFormattedCitation":"(10)","previouslyFormattedCitation":"(11)"},"properties":{"noteIndex":0},"schema":"https://github.com/citation-style-language/schema/raw/master/csl-citation.json"}</w:instrText>
      </w:r>
      <w:r w:rsidR="0068607B" w:rsidRPr="001900FE">
        <w:rPr>
          <w:sz w:val="22"/>
          <w:szCs w:val="22"/>
        </w:rPr>
        <w:fldChar w:fldCharType="separate"/>
      </w:r>
      <w:r w:rsidR="00D441C9" w:rsidRPr="00D441C9">
        <w:rPr>
          <w:noProof/>
          <w:sz w:val="22"/>
          <w:szCs w:val="22"/>
        </w:rPr>
        <w:t>(10)</w:t>
      </w:r>
      <w:r w:rsidR="0068607B" w:rsidRPr="001900FE">
        <w:rPr>
          <w:sz w:val="22"/>
          <w:szCs w:val="22"/>
        </w:rPr>
        <w:fldChar w:fldCharType="end"/>
      </w:r>
      <w:r w:rsidR="0068607B" w:rsidRPr="001900FE">
        <w:rPr>
          <w:sz w:val="22"/>
          <w:szCs w:val="22"/>
        </w:rPr>
        <w:t>.</w:t>
      </w:r>
      <w:r w:rsidR="00AF1A2C" w:rsidRPr="001900FE">
        <w:rPr>
          <w:sz w:val="22"/>
          <w:szCs w:val="22"/>
        </w:rPr>
        <w:t xml:space="preserve"> </w:t>
      </w:r>
      <w:r w:rsidR="007C7689" w:rsidRPr="001900FE">
        <w:rPr>
          <w:sz w:val="22"/>
          <w:szCs w:val="22"/>
        </w:rPr>
        <w:t>Cardiovascular magnetic resonance (CMR) is the reference imaging modality for assessment of cardiac structure and function</w:t>
      </w:r>
      <w:r w:rsidR="0068607B" w:rsidRPr="001900FE">
        <w:rPr>
          <w:sz w:val="22"/>
          <w:szCs w:val="22"/>
        </w:rPr>
        <w:t xml:space="preserve"> and </w:t>
      </w:r>
      <w:r w:rsidR="007C7689" w:rsidRPr="001900FE">
        <w:rPr>
          <w:sz w:val="22"/>
          <w:szCs w:val="22"/>
        </w:rPr>
        <w:t xml:space="preserve">has been used </w:t>
      </w:r>
      <w:r w:rsidR="0068607B" w:rsidRPr="001900FE">
        <w:rPr>
          <w:sz w:val="22"/>
          <w:szCs w:val="22"/>
        </w:rPr>
        <w:t>in</w:t>
      </w:r>
      <w:r w:rsidR="007C7689" w:rsidRPr="001900FE">
        <w:rPr>
          <w:sz w:val="22"/>
          <w:szCs w:val="22"/>
        </w:rPr>
        <w:t xml:space="preserve"> several large population studies, </w:t>
      </w:r>
      <w:r w:rsidR="00AF1A2C" w:rsidRPr="001900FE">
        <w:rPr>
          <w:sz w:val="22"/>
          <w:szCs w:val="22"/>
        </w:rPr>
        <w:t>including</w:t>
      </w:r>
      <w:r w:rsidR="007C7689" w:rsidRPr="001900FE">
        <w:rPr>
          <w:sz w:val="22"/>
          <w:szCs w:val="22"/>
        </w:rPr>
        <w:t xml:space="preserve"> the Multi-ethnic Study of Atherosclerosis</w:t>
      </w:r>
      <w:r w:rsidR="008A3AE7" w:rsidRPr="001900FE">
        <w:rPr>
          <w:sz w:val="22"/>
          <w:szCs w:val="22"/>
        </w:rPr>
        <w:fldChar w:fldCharType="begin" w:fldLock="1"/>
      </w:r>
      <w:r w:rsidR="00D441C9">
        <w:rPr>
          <w:sz w:val="22"/>
          <w:szCs w:val="22"/>
        </w:rPr>
        <w:instrText>ADDIN CSL_CITATION {"citationItems":[{"id":"ITEM-1","itemData":{"DOI":"10.1093/aje/kwf113","ISSN":"00029262","PMID":"12397006","abstract":"The Multi-Ethnic Study of Atherosclerosis was initiated in July 2000 to investigate the prevalence, correlates, and progression of subclinical cardiovascular disease (CVD) in a population-based sample of 6,500 men and women aged 45-84 years. The cohort will be selected from six US field centers. Approximately 38% of the cohort will be White, 28% African-American, 23% Hispanic, and 11% Asian (of Chinese descent). Baseline measurements will include measurement of coronary calcium using computed tomography; measurement of ventricular mass and function using cardiac magnetic resonance imaging; measurement of flow-mediated brachial artery endothelial vasodilation, carotid intimal-medial wall thickness, and distensibility of the carotid arteries using ultrasonography; measurement of peripheral vascular disease using ankle and brachial blood pressures; electrocardiography; and assessments of microalbuminuria, standard CVD risk factors, sociodemographic factors, life habits, and psychosocial factors. Blood samples will be assayed for putative biochemical risk factors and stored for use in nested case-control studies. DNA will be extracted and lymphocytes will be immortalized for genetic studies. Measurement of selected subclinical disease indicators and risk factors will be repeated for the study of progression over 7 years. Participants will be followed through 2008 for identification and characterization of CVD events, including acute myocardial infarction and other coronary heart disease, stroke, peripheral vascular disease, and congestive heart failure; therapeutic interventions for CVD; and mortality.","author":[{"dropping-particle":"","family":"Bild","given":"Diane E.","non-dropping-particle":"","parse-names":false,"suffix":""},{"dropping-particle":"","family":"Bluemke","given":"David A.","non-dropping-particle":"","parse-names":false,"suffix":""},{"dropping-particle":"","family":"Burke","given":"Gregory L.","non-dropping-particle":"","parse-names":false,"suffix":""},{"dropping-particle":"","family":"Detrano","given":"Robert","non-dropping-particle":"","parse-names":false,"suffix":""},{"dropping-particle":"V.","family":"Diez Roux","given":"Ana","non-dropping-particle":"","parse-names":false,"suffix":""},{"dropping-particle":"","family":"Folsom","given":"Aaron R.","non-dropping-particle":"","parse-names":false,"suffix":""},{"dropping-particle":"","family":"Greenland","given":"Philip","non-dropping-particle":"","parse-names":false,"suffix":""},{"dropping-particle":"","family":"Jacobs","given":"David R.","non-dropping-particle":"","parse-names":false,"suffix":""},{"dropping-particle":"","family":"Kronmal","given":"Richard","non-dropping-particle":"","parse-names":false,"suffix":""},{"dropping-particle":"","family":"Liu","given":"Kiang","non-dropping-particle":"","parse-names":false,"suffix":""},{"dropping-particle":"","family":"Nelson","given":"Jennifer Clark","non-dropping-particle":"","parse-names":false,"suffix":""},{"dropping-particle":"","family":"O'Leary","given":"Daniel","non-dropping-particle":"","parse-names":false,"suffix":""},{"dropping-particle":"","family":"Saad","given":"Mohammed F.","non-dropping-particle":"","parse-names":false,"suffix":""},{"dropping-particle":"","family":"Shea","given":"Steven","non-dropping-particle":"","parse-names":false,"suffix":""},{"dropping-particle":"","family":"Szklo","given":"Moyses","non-dropping-particle":"","parse-names":false,"suffix":""},{"dropping-particle":"","family":"Tracy","given":"Russell P.","non-dropping-particle":"","parse-names":false,"suffix":""}],"container-title":"American Journal of Epidemiology","id":"ITEM-1","issue":"9","issued":{"date-parts":[["2002","11","1"]]},"page":"871-881","publisher":"Am J Epidemiol","title":"Multi-Ethnic Study of Atherosclerosis: Objectives and design","type":"article-journal","volume":"156"},"uris":["http://www.mendeley.com/documents/?uuid=e66675a7-58d1-324c-abc1-10dd89c1897d"]}],"mendeley":{"formattedCitation":"(11)","plainTextFormattedCitation":"(11)","previouslyFormattedCitation":"(12)"},"properties":{"noteIndex":0},"schema":"https://github.com/citation-style-language/schema/raw/master/csl-citation.json"}</w:instrText>
      </w:r>
      <w:r w:rsidR="008A3AE7" w:rsidRPr="001900FE">
        <w:rPr>
          <w:sz w:val="22"/>
          <w:szCs w:val="22"/>
        </w:rPr>
        <w:fldChar w:fldCharType="separate"/>
      </w:r>
      <w:r w:rsidR="00D441C9" w:rsidRPr="00D441C9">
        <w:rPr>
          <w:noProof/>
          <w:sz w:val="22"/>
          <w:szCs w:val="22"/>
        </w:rPr>
        <w:t>(11)</w:t>
      </w:r>
      <w:r w:rsidR="008A3AE7" w:rsidRPr="001900FE">
        <w:rPr>
          <w:sz w:val="22"/>
          <w:szCs w:val="22"/>
        </w:rPr>
        <w:fldChar w:fldCharType="end"/>
      </w:r>
      <w:r w:rsidR="007C7689" w:rsidRPr="001900FE">
        <w:rPr>
          <w:sz w:val="22"/>
          <w:szCs w:val="22"/>
        </w:rPr>
        <w:t xml:space="preserve">, </w:t>
      </w:r>
      <w:r w:rsidR="008A3AE7" w:rsidRPr="001900FE">
        <w:rPr>
          <w:sz w:val="22"/>
          <w:szCs w:val="22"/>
        </w:rPr>
        <w:t xml:space="preserve">the </w:t>
      </w:r>
      <w:r w:rsidR="007C7689" w:rsidRPr="001900FE">
        <w:rPr>
          <w:sz w:val="22"/>
          <w:szCs w:val="22"/>
        </w:rPr>
        <w:t>Framingham Heart Study</w:t>
      </w:r>
      <w:r w:rsidR="008A3AE7" w:rsidRPr="001900FE">
        <w:rPr>
          <w:sz w:val="22"/>
          <w:szCs w:val="22"/>
        </w:rPr>
        <w:fldChar w:fldCharType="begin" w:fldLock="1"/>
      </w:r>
      <w:r w:rsidR="00D441C9">
        <w:rPr>
          <w:sz w:val="22"/>
          <w:szCs w:val="22"/>
        </w:rPr>
        <w:instrText>ADDIN CSL_CITATION {"citationItems":[{"id":"ITEM-1","itemData":{"DOI":"10.1016/S0735-1097(02)01712-6","ISSN":"07351097","PMID":"11897450","abstract":"OBJECTIVES: We sought to derive gender-specific cardiovascular magnetic resonance (CMR) reference values for normative left ventricular (LV) anatomy and function in a healthy adult population of clinically relevant age. BACKGROUND: Cardiovascular magnetic resonance imaging is increasingly applied in the clinical setting, but age-relevant, gender-specific normative values are currently unavailable. METHODS: A representative sample of 318 Framingham Heart Study (FHS) Offspring participants free of clinically overt cardiovascular disease underwent CMR examination to determine LV end-diastolic and end-systolic volume (EDV and ESV, respectively), mass, ejection fraction (EF) and linear dimensions (wall thickness, cavity length). Subjects with a clinical history of hypertension or those with a systolic blood pressure ≥140 mm Hg or diastolic pressure ≥90 mm Hg at any FHS cycle examination were excluded, leaving 142 subjects (63 men, 79 women; age 57 ± 9 years). RESULTS: All volumetric (EDV, ESV, mass) and unidimensional measures were significantly greater (p &lt; 0.001) in men than in women and remained greater (p &lt; 0.02) after adjustment for subject height. Volumetric measures were greater (p &lt; 0.001) in men than in women after adjustment for body surface area (BSA), but there were increased linear dimensions in women after adjustment for BSA. In particular, end-diastolic dimension indexed to BSA was greater in women (p &lt; 0.001) than in men. There were no gender differences in global LVEF (men = 0.69; women = 0.70). CONCLUSIONS: Cardiovascular magnetic resonance measures of LV volumes, mass and linear dimensions differ significantly according to gender and body size. This study provides gender-specific normal CMR reference values, uniquely derived from a population-based sample of persons free of cardiovascular disease and clinical hypertension. These data may serve as a reference to identify LV pathology in the adult population. © 2002 by the American College of Cardiology Foundation.","author":[{"dropping-particle":"","family":"Salton","given":"Carol J.","non-dropping-particle":"","parse-names":false,"suffix":""},{"dropping-particle":"","family":"Chuang","given":"Michael L.","non-dropping-particle":"","parse-names":false,"suffix":""},{"dropping-particle":"","family":"O'Donnell","given":"Christopher J.","non-dropping-particle":"","parse-names":false,"suffix":""},{"dropping-particle":"","family":"Kupka","given":"Michelle J.","non-dropping-particle":"","parse-names":false,"suffix":""},{"dropping-particle":"","family":"Larson","given":"Martin G.","non-dropping-particle":"","parse-names":false,"suffix":""},{"dropping-particle":"V.","family":"Kissinger","given":"Kraig","non-dropping-particle":"","parse-names":false,"suffix":""},{"dropping-particle":"","family":"Edelman","given":"Robert R.","non-dropping-particle":"","parse-names":false,"suffix":""},{"dropping-particle":"","family":"Levy","given":"Daniel","non-dropping-particle":"","parse-names":false,"suffix":""},{"dropping-particle":"","family":"Manning","given":"Warren J.","non-dropping-particle":"","parse-names":false,"suffix":""}],"container-title":"Journal of the American College of Cardiology","id":"ITEM-1","issue":"6","issued":{"date-parts":[["2002","3","20"]]},"page":"1055-1060","publisher":"J Am Coll Cardiol","title":"Gender differences and normal left ventricular anatomy in an adult population free of hypertension: A cardiovascular magnetic resonance study of the Framingham Heart Study Offspring cohort","type":"article-journal","volume":"39"},"uris":["http://www.mendeley.com/documents/?uuid=c088bc78-20bd-3cb6-b752-ca2e68074ead"]}],"mendeley":{"formattedCitation":"(12)","plainTextFormattedCitation":"(12)","previouslyFormattedCitation":"(13)"},"properties":{"noteIndex":0},"schema":"https://github.com/citation-style-language/schema/raw/master/csl-citation.json"}</w:instrText>
      </w:r>
      <w:r w:rsidR="008A3AE7" w:rsidRPr="001900FE">
        <w:rPr>
          <w:sz w:val="22"/>
          <w:szCs w:val="22"/>
        </w:rPr>
        <w:fldChar w:fldCharType="separate"/>
      </w:r>
      <w:r w:rsidR="00D441C9" w:rsidRPr="00D441C9">
        <w:rPr>
          <w:noProof/>
          <w:sz w:val="22"/>
          <w:szCs w:val="22"/>
        </w:rPr>
        <w:t>(12)</w:t>
      </w:r>
      <w:r w:rsidR="008A3AE7" w:rsidRPr="001900FE">
        <w:rPr>
          <w:sz w:val="22"/>
          <w:szCs w:val="22"/>
        </w:rPr>
        <w:fldChar w:fldCharType="end"/>
      </w:r>
      <w:r w:rsidR="008A3AE7" w:rsidRPr="001900FE">
        <w:rPr>
          <w:sz w:val="22"/>
          <w:szCs w:val="22"/>
        </w:rPr>
        <w:t xml:space="preserve">, </w:t>
      </w:r>
      <w:r w:rsidR="007C7689" w:rsidRPr="001900FE">
        <w:rPr>
          <w:sz w:val="22"/>
          <w:szCs w:val="22"/>
        </w:rPr>
        <w:t xml:space="preserve">and </w:t>
      </w:r>
      <w:r w:rsidR="008A3AE7" w:rsidRPr="001900FE">
        <w:rPr>
          <w:sz w:val="22"/>
          <w:szCs w:val="22"/>
        </w:rPr>
        <w:t xml:space="preserve">the </w:t>
      </w:r>
      <w:r w:rsidR="007C7689" w:rsidRPr="001900FE">
        <w:rPr>
          <w:sz w:val="22"/>
          <w:szCs w:val="22"/>
        </w:rPr>
        <w:t>UK Biobank</w:t>
      </w:r>
      <w:r w:rsidR="00BF3BA4">
        <w:rPr>
          <w:sz w:val="22"/>
          <w:szCs w:val="22"/>
        </w:rPr>
        <w:t xml:space="preserve"> (UKB)</w:t>
      </w:r>
      <w:r w:rsidR="008A3AE7" w:rsidRPr="001900FE">
        <w:rPr>
          <w:sz w:val="22"/>
          <w:szCs w:val="22"/>
        </w:rPr>
        <w:fldChar w:fldCharType="begin" w:fldLock="1"/>
      </w:r>
      <w:r w:rsidR="00D441C9">
        <w:rPr>
          <w:sz w:val="22"/>
          <w:szCs w:val="22"/>
        </w:rPr>
        <w:instrText>ADDIN CSL_CITATION {"citationItems":[{"id":"ITEM-1","itemData":{"DOI":"10.1186/s12968-016-0227-4","ISSN":"1532-429X","abstract":"UK Biobank’s ambitious aim is to perform cardiovascular magnetic resonance (CMR) in 100,000 people previously recruited into this prospective cohort study of half a million 40-69 year-olds. We describe the CMR protocol applied in UK Biobank’s pilot phase, which will be extended into the main phase with three centres using the same equipment and protocols. The CMR protocol includes white blood CMR (sagittal anatomy, coronary and transverse anatomy), cine CMR (long axis cines, short axis cines of the ventricles, coronal LVOT cine), strain CMR (tagging), flow CMR (aortic valve flow) and parametric CMR (native T1 map). This report will serve as a reference to researchers intending to use the UK Biobank resource or to replicate the UK Biobank cardiovascular magnetic resonance protocol in different settings.","author":[{"dropping-particle":"","family":"Petersen","given":"Steffen E.","non-dropping-particle":"","parse-names":false,"suffix":""},{"dropping-particle":"","family":"Matthews","given":"Paul M.","non-dropping-particle":"","parse-names":false,"suffix":""},{"dropping-particle":"","family":"Francis","given":"Jane M.","non-dropping-particle":"","parse-names":false,"suffix":""},{"dropping-particle":"","family":"Robson","given":"Matthew D.","non-dropping-particle":"","parse-names":false,"suffix":""},{"dropping-particle":"","family":"Zemrak","given":"Filip","non-dropping-particle":"","parse-names":false,"suffix":""},{"dropping-particle":"","family":"Boubertakh","given":"Redha","non-dropping-particle":"","parse-names":false,"suffix":""},{"dropping-particle":"","family":"Young","given":"Alistair A.","non-dropping-particle":"","parse-names":false,"suffix":""},{"dropping-particle":"","family":"Hudson","given":"Sarah","non-dropping-particle":"","parse-names":false,"suffix":""},{"dropping-particle":"","family":"Weale","given":"Peter","non-dropping-particle":"","parse-names":false,"suffix":""},{"dropping-particle":"","family":"Garratt","given":"Steve","non-dropping-particle":"","parse-names":false,"suffix":""},{"dropping-particle":"","family":"Collins","given":"Rory","non-dropping-particle":"","parse-names":false,"suffix":""},{"dropping-particle":"","family":"Piechnik","given":"Stefan","non-dropping-particle":"","parse-names":false,"suffix":""},{"dropping-particle":"","family":"Neubauer","given":"Stefan","non-dropping-particle":"","parse-names":false,"suffix":""}],"container-title":"Journal of Cardiovascular Magnetic Resonance","id":"ITEM-1","issue":"1","issued":{"date-parts":[["2015","12","1"]]},"page":"8","publisher":"BioMed Central","title":"UK Biobank’s cardiovascular magnetic resonance protocol","type":"article-journal","volume":"18"},"uris":["http://www.mendeley.com/documents/?uuid=8bee3010-88ca-3578-a84d-fb560cdba4b3"]}],"mendeley":{"formattedCitation":"(13)","plainTextFormattedCitation":"(13)","previouslyFormattedCitation":"(14)"},"properties":{"noteIndex":0},"schema":"https://github.com/citation-style-language/schema/raw/master/csl-citation.json"}</w:instrText>
      </w:r>
      <w:r w:rsidR="008A3AE7" w:rsidRPr="001900FE">
        <w:rPr>
          <w:sz w:val="22"/>
          <w:szCs w:val="22"/>
        </w:rPr>
        <w:fldChar w:fldCharType="separate"/>
      </w:r>
      <w:r w:rsidR="00D441C9" w:rsidRPr="00D441C9">
        <w:rPr>
          <w:noProof/>
          <w:sz w:val="22"/>
          <w:szCs w:val="22"/>
        </w:rPr>
        <w:t>(13)</w:t>
      </w:r>
      <w:r w:rsidR="008A3AE7" w:rsidRPr="001900FE">
        <w:rPr>
          <w:sz w:val="22"/>
          <w:szCs w:val="22"/>
        </w:rPr>
        <w:fldChar w:fldCharType="end"/>
      </w:r>
      <w:r w:rsidR="007C7689" w:rsidRPr="001900FE">
        <w:rPr>
          <w:sz w:val="22"/>
          <w:szCs w:val="22"/>
        </w:rPr>
        <w:t xml:space="preserve">. </w:t>
      </w:r>
      <w:r w:rsidR="006D7326">
        <w:rPr>
          <w:sz w:val="22"/>
          <w:szCs w:val="22"/>
        </w:rPr>
        <w:t xml:space="preserve">Thus, </w:t>
      </w:r>
      <w:r w:rsidR="00AF1A2C" w:rsidRPr="001900FE">
        <w:rPr>
          <w:sz w:val="22"/>
          <w:szCs w:val="22"/>
        </w:rPr>
        <w:t xml:space="preserve">CMR PAT </w:t>
      </w:r>
      <w:r w:rsidR="007C7689" w:rsidRPr="001900FE">
        <w:rPr>
          <w:sz w:val="22"/>
          <w:szCs w:val="22"/>
        </w:rPr>
        <w:t xml:space="preserve">quantification would have high utility for research, with potential </w:t>
      </w:r>
      <w:r w:rsidR="002C2AC7" w:rsidRPr="001900FE">
        <w:rPr>
          <w:sz w:val="22"/>
          <w:szCs w:val="22"/>
        </w:rPr>
        <w:t>for</w:t>
      </w:r>
      <w:r w:rsidR="007C7689" w:rsidRPr="001900FE">
        <w:rPr>
          <w:sz w:val="22"/>
          <w:szCs w:val="22"/>
        </w:rPr>
        <w:t xml:space="preserve"> translat</w:t>
      </w:r>
      <w:r w:rsidR="002C2AC7" w:rsidRPr="001900FE">
        <w:rPr>
          <w:sz w:val="22"/>
          <w:szCs w:val="22"/>
        </w:rPr>
        <w:t>ion</w:t>
      </w:r>
      <w:r w:rsidR="007C7689" w:rsidRPr="001900FE">
        <w:rPr>
          <w:sz w:val="22"/>
          <w:szCs w:val="22"/>
        </w:rPr>
        <w:t xml:space="preserve"> into clinical care</w:t>
      </w:r>
      <w:r w:rsidR="000519B3">
        <w:rPr>
          <w:sz w:val="22"/>
          <w:szCs w:val="22"/>
        </w:rPr>
        <w:t>; h</w:t>
      </w:r>
      <w:r w:rsidR="007C7689" w:rsidRPr="001900FE">
        <w:rPr>
          <w:sz w:val="22"/>
          <w:szCs w:val="22"/>
        </w:rPr>
        <w:t xml:space="preserve">owever, existing </w:t>
      </w:r>
      <w:r w:rsidRPr="001900FE">
        <w:rPr>
          <w:sz w:val="22"/>
          <w:szCs w:val="22"/>
        </w:rPr>
        <w:t xml:space="preserve">methods </w:t>
      </w:r>
      <w:r w:rsidR="009366EC" w:rsidRPr="001900FE">
        <w:rPr>
          <w:sz w:val="22"/>
          <w:szCs w:val="22"/>
        </w:rPr>
        <w:t>require</w:t>
      </w:r>
      <w:r w:rsidR="007C7689" w:rsidRPr="001900FE">
        <w:rPr>
          <w:sz w:val="22"/>
          <w:szCs w:val="22"/>
        </w:rPr>
        <w:t xml:space="preserve"> dedicated acquisitions </w:t>
      </w:r>
      <w:r w:rsidR="009366EC" w:rsidRPr="001900FE">
        <w:rPr>
          <w:sz w:val="22"/>
          <w:szCs w:val="22"/>
        </w:rPr>
        <w:t xml:space="preserve">and, </w:t>
      </w:r>
      <w:r w:rsidR="007C7689" w:rsidRPr="001900FE">
        <w:rPr>
          <w:sz w:val="22"/>
          <w:szCs w:val="22"/>
        </w:rPr>
        <w:t>often</w:t>
      </w:r>
      <w:r w:rsidR="009366EC" w:rsidRPr="001900FE">
        <w:rPr>
          <w:sz w:val="22"/>
          <w:szCs w:val="22"/>
        </w:rPr>
        <w:t>,</w:t>
      </w:r>
      <w:r w:rsidR="007C7689" w:rsidRPr="001900FE">
        <w:rPr>
          <w:sz w:val="22"/>
          <w:szCs w:val="22"/>
        </w:rPr>
        <w:t xml:space="preserve"> arduous </w:t>
      </w:r>
      <w:r w:rsidR="0068607B" w:rsidRPr="001900FE">
        <w:rPr>
          <w:sz w:val="22"/>
          <w:szCs w:val="22"/>
        </w:rPr>
        <w:t xml:space="preserve">manual </w:t>
      </w:r>
      <w:r w:rsidR="007C7689" w:rsidRPr="001900FE">
        <w:rPr>
          <w:sz w:val="22"/>
          <w:szCs w:val="22"/>
        </w:rPr>
        <w:t>image analysis</w:t>
      </w:r>
      <w:r w:rsidR="009366EC" w:rsidRPr="001900FE">
        <w:rPr>
          <w:sz w:val="22"/>
          <w:szCs w:val="22"/>
        </w:rPr>
        <w:fldChar w:fldCharType="begin" w:fldLock="1"/>
      </w:r>
      <w:r w:rsidR="00D441C9">
        <w:rPr>
          <w:sz w:val="22"/>
          <w:szCs w:val="22"/>
        </w:rPr>
        <w:instrText>ADDIN CSL_CITATION {"citationItems":[{"id":"ITEM-1","itemData":{"DOI":"10.1117/1.jmi.3.1.014002","ISSN":"2329-4302","abstract":"© 2016 Society of Photo-Optical Instrumentation Engineers (SPIE). Pericardial fat volume (PFV) is emerging as an important parameter for cardiovascular risk stratification. We propose a hybrid approach for automated PFV quantification from water/fat-resolved whole-heart noncontrast coronary magnetic resonance angiography (MRA). Ten coronary MRA datasets were acquired. Image reconstruction and phase-based water-fat separation were conducted offline. Our proposed algorithm first roughly segments the heart region on the original image using a simplified atlas-based segmentation with four cases in the atlas. To get exact boundaries of pericardial fat, a three-dimensional graph-based segmentation is used to generate fat and nonfat components on the fat-only image. The algorithm then selects the components that represent pericardial fat. We validated the quantification results on the remaining six subjects and compared them with manual quantifications by an expert reader. The PFV quantified by our algorithm was 62.78±27.85 cm3, compared to 58.66±27.05 cm3 by the expert reader, which were not significantly different (p=0.47) and showed excellent correlation (R=0.89,p &lt; 0.01). The mean absolute difference in PFV between the algorithm and the expert reader was 9.9±8.2 cm3. The mean value of the paired differences was -4.13 cm3 (95% confidence interval: -14.47 to 6.21). The mean Dice coefficient of pericardial fat voxels was 0.82±0.06. Our approach may potentially be applied in a clinical setting, allowing for accurate magnetic resonance imaging (MRI)-based PFV quantification without tedious manual tracing.","author":[{"dropping-particle":"","family":"Ding","given":"Xiaowei","non-dropping-particle":"","parse-names":false,"suffix":""},{"dropping-particle":"","family":"Pang","given":"Jianing","non-dropping-particle":"","parse-names":false,"suffix":""},{"dropping-particle":"","family":"Ren","given":"Zhou","non-dropping-particle":"","parse-names":false,"suffix":""},{"dropping-particle":"","family":"Diaz-Zamudio","given":"Mariana","non-dropping-particle":"","parse-names":false,"suffix":""},{"dropping-particle":"","family":"Jiang","given":"Chenfanfu","non-dropping-particle":"","parse-names":false,"suffix":""},{"dropping-particle":"","family":"Fan","given":"Zhaoyang","non-dropping-particle":"","parse-names":false,"suffix":""},{"dropping-particle":"","family":"Berman","given":"Daniel S.","non-dropping-particle":"","parse-names":false,"suffix":""},{"dropping-particle":"","family":"Li","given":"Debiao","non-dropping-particle":"","parse-names":false,"suffix":""},{"dropping-particle":"","family":"Terzopoulos","given":"Demetri","non-dropping-particle":"","parse-names":false,"suffix":""},{"dropping-particle":"","family":"Slomka","given":"Piotr J.","non-dropping-particle":"","parse-names":false,"suffix":""},{"dropping-particle":"","family":"Dey","given":"Damini","non-dropping-particle":"","parse-names":false,"suffix":""}],"container-title":"Journal of Medical Imaging","id":"ITEM-1","issue":"1","issued":{"date-parts":[["2016","2","18"]]},"page":"014002","publisher":"SPIE-Intl Soc Optical Eng","title":"Automated pericardial fat quantification from coronary magnetic resonance angiography: feasibility study","type":"article-journal","volume":"3"},"uris":["http://www.mendeley.com/documents/?uuid=5d00ebb4-837c-3de4-892a-39dc72f8e23c"]},{"id":"ITEM-2","itemData":{"DOI":"10.1259/bjr.20180562","ISSN":"1748880X","PMID":"30633543","abstract":"objective: To analyze the associations between epicardial and paracardial fat and impaired glucose tolerance as well as left ventricular (LV) alterations. Methods: 400 subjects underwent 3 T MRI and fat depots were delineated in the four chamber-view of the steady-state free precession cine sequence (repetition time: 29.97 ms; echo time 1.46 ms). LV parameters were also derived from MRI. Oral glucose tolerance tests were performed. results: Epi- and paracardial fat was derived in 372 (93%) subjects (220 healthy controls, 100 persons with prediabetes, 52 with diabetes). Epi- and paracardial fat increased from normal glucose tolerance (NGT) to prediabetes and diabetes (7.7 vs 9.2 vs 10.3cm2 and 14.3 vs 20.3 vs 27.4cm2, respectively; all p &lt; 0.001). However, the association between impaired glucose metabolism and cardiac fat attenuated after adjustment, mainly confounded by visceral adipose tissue (VAT). 93 subjects (27%) had LV impairment, defined as late gadolinium enhancement, ejection fraction &lt; 55% or LV concentricity index &gt; 1.3 g ml−1 . Mean epicardial fat was higher in subjects with LV impairment (11.0 vs 8.1 cm2, p &lt; 0.001). This association remained independent after adjustment for traditional risk factors and VAT [β: 1.13 (0.22; 2.03), p = 0.02]. conclusion: Although epicardial and paracardial fat are increased in prediabetes and diabetes, the association is mostly confounded by VAT. Epicardial fat is independently associated with subclinical LV impairment in subjects without known cardiovascular disease. advances in knowledge: This study contributes to the picture of epicardial fat as a pathogenic local fat depot that is independently associated with MR-derived markers of left ventricular alterations.","author":[{"dropping-particle":"","family":"Rado","given":"Sophia D.","non-dropping-particle":"","parse-names":false,"suffix":""},{"dropping-particle":"","family":"Lorbeer","given":"Roberto","non-dropping-particle":"","parse-names":false,"suffix":""},{"dropping-particle":"","family":"Gatidis","given":"Sergios","non-dropping-particle":"","parse-names":false,"suffix":""},{"dropping-particle":"","family":"Machann","given":"Jürgen","non-dropping-particle":"","parse-names":false,"suffix":""},{"dropping-particle":"","family":"Storz","given":"Corinna","non-dropping-particle":"","parse-names":false,"suffix":""},{"dropping-particle":"","family":"Nikolaou","given":"Konstantin","non-dropping-particle":"","parse-names":false,"suffix":""},{"dropping-particle":"","family":"Rathmann","given":"Wolfgang","non-dropping-particle":"","parse-names":false,"suffix":""},{"dropping-particle":"","family":"Hoffmann","given":"Udo","non-dropping-particle":"","parse-names":false,"suffix":""},{"dropping-particle":"","family":"Peters","given":"Annette","non-dropping-particle":"","parse-names":false,"suffix":""},{"dropping-particle":"","family":"Bamberg","given":"Fab Ian","non-dropping-particle":"","parse-names":false,"suffix":""},{"dropping-particle":"","family":"Schlett","given":"Christopher L.","non-dropping-particle":"","parse-names":false,"suffix":""}],"container-title":"British Journal of Radiology","id":"ITEM-2","issue":"1096","issued":{"date-parts":[["2019"]]},"publisher":"British Institute of Radiology","title":"MRI-based assessment and characterization of epicardial and paracardial fat depots in the context of impaired glucose metabolism and subclinical left-ventricular alterations","type":"article-journal","volume":"92"},"uris":["http://www.mendeley.com/documents/?uuid=bcdf57c0-34b2-3283-9570-2d28891a37d5"]}],"mendeley":{"formattedCitation":"(14,15)","plainTextFormattedCitation":"(14,15)","previouslyFormattedCitation":"(15,16)"},"properties":{"noteIndex":0},"schema":"https://github.com/citation-style-language/schema/raw/master/csl-citation.json"}</w:instrText>
      </w:r>
      <w:r w:rsidR="009366EC" w:rsidRPr="001900FE">
        <w:rPr>
          <w:sz w:val="22"/>
          <w:szCs w:val="22"/>
        </w:rPr>
        <w:fldChar w:fldCharType="separate"/>
      </w:r>
      <w:r w:rsidR="00D441C9" w:rsidRPr="00D441C9">
        <w:rPr>
          <w:noProof/>
          <w:sz w:val="22"/>
          <w:szCs w:val="22"/>
        </w:rPr>
        <w:t>(14,15)</w:t>
      </w:r>
      <w:r w:rsidR="009366EC" w:rsidRPr="001900FE">
        <w:rPr>
          <w:sz w:val="22"/>
          <w:szCs w:val="22"/>
        </w:rPr>
        <w:fldChar w:fldCharType="end"/>
      </w:r>
      <w:r w:rsidR="009366EC" w:rsidRPr="001900FE">
        <w:rPr>
          <w:sz w:val="22"/>
          <w:szCs w:val="22"/>
        </w:rPr>
        <w:t xml:space="preserve">, </w:t>
      </w:r>
      <w:r w:rsidR="007C7689" w:rsidRPr="001900FE">
        <w:rPr>
          <w:sz w:val="22"/>
          <w:szCs w:val="22"/>
        </w:rPr>
        <w:t>limiting their applicability to large datasets with standard sequence acquisitions.</w:t>
      </w:r>
    </w:p>
    <w:p w14:paraId="142A4C45" w14:textId="77777777" w:rsidR="007C7689" w:rsidRPr="001900FE" w:rsidRDefault="007C7689" w:rsidP="00FF2DC9">
      <w:pPr>
        <w:rPr>
          <w:sz w:val="22"/>
          <w:szCs w:val="22"/>
        </w:rPr>
      </w:pPr>
    </w:p>
    <w:p w14:paraId="410D2658" w14:textId="5AC9F086" w:rsidR="0008016B" w:rsidRPr="00BF3BA4" w:rsidRDefault="007C7689" w:rsidP="00FF2DC9">
      <w:pPr>
        <w:rPr>
          <w:b/>
          <w:bCs/>
          <w:sz w:val="22"/>
          <w:szCs w:val="22"/>
        </w:rPr>
      </w:pPr>
      <w:r w:rsidRPr="001900FE">
        <w:rPr>
          <w:sz w:val="22"/>
          <w:szCs w:val="22"/>
        </w:rPr>
        <w:t xml:space="preserve">We present a novel </w:t>
      </w:r>
      <w:r w:rsidR="00D14DD0" w:rsidRPr="001900FE">
        <w:rPr>
          <w:sz w:val="22"/>
          <w:szCs w:val="22"/>
        </w:rPr>
        <w:t xml:space="preserve">fully automated </w:t>
      </w:r>
      <w:r w:rsidRPr="001900FE">
        <w:rPr>
          <w:sz w:val="22"/>
          <w:szCs w:val="22"/>
        </w:rPr>
        <w:t>method for PAT quantification using standard of care CMR images</w:t>
      </w:r>
      <w:r w:rsidR="00D14DD0" w:rsidRPr="001900FE">
        <w:rPr>
          <w:sz w:val="22"/>
          <w:szCs w:val="22"/>
        </w:rPr>
        <w:t xml:space="preserve"> </w:t>
      </w:r>
      <w:r w:rsidRPr="001900FE">
        <w:rPr>
          <w:sz w:val="22"/>
          <w:szCs w:val="22"/>
        </w:rPr>
        <w:t>with in-built quality control (QC)</w:t>
      </w:r>
      <w:r w:rsidR="009366EC" w:rsidRPr="001900FE">
        <w:rPr>
          <w:sz w:val="22"/>
          <w:szCs w:val="22"/>
        </w:rPr>
        <w:t xml:space="preserve"> developed and tested in the UK</w:t>
      </w:r>
      <w:r w:rsidR="00D441C9">
        <w:rPr>
          <w:sz w:val="22"/>
          <w:szCs w:val="22"/>
        </w:rPr>
        <w:t>B</w:t>
      </w:r>
      <w:r w:rsidR="009366EC" w:rsidRPr="001900FE">
        <w:rPr>
          <w:sz w:val="22"/>
          <w:szCs w:val="22"/>
        </w:rPr>
        <w:t xml:space="preserve">. We </w:t>
      </w:r>
      <w:r w:rsidR="00D14DD0" w:rsidRPr="001900FE">
        <w:rPr>
          <w:sz w:val="22"/>
          <w:szCs w:val="22"/>
        </w:rPr>
        <w:t xml:space="preserve">test </w:t>
      </w:r>
      <w:r w:rsidR="00B7733B">
        <w:rPr>
          <w:sz w:val="22"/>
          <w:szCs w:val="22"/>
        </w:rPr>
        <w:t xml:space="preserve">the </w:t>
      </w:r>
      <w:r w:rsidR="009366EC" w:rsidRPr="001900FE">
        <w:rPr>
          <w:sz w:val="22"/>
          <w:szCs w:val="22"/>
        </w:rPr>
        <w:t xml:space="preserve">correlation of this </w:t>
      </w:r>
      <w:r w:rsidR="00F50832">
        <w:rPr>
          <w:sz w:val="22"/>
          <w:szCs w:val="22"/>
        </w:rPr>
        <w:t>CMR</w:t>
      </w:r>
      <w:r w:rsidR="009366EC" w:rsidRPr="001900FE">
        <w:rPr>
          <w:sz w:val="22"/>
          <w:szCs w:val="22"/>
        </w:rPr>
        <w:t xml:space="preserve"> </w:t>
      </w:r>
      <w:r w:rsidR="00F50832">
        <w:rPr>
          <w:sz w:val="22"/>
          <w:szCs w:val="22"/>
        </w:rPr>
        <w:t xml:space="preserve">PAT </w:t>
      </w:r>
      <w:r w:rsidR="00B7733B">
        <w:rPr>
          <w:sz w:val="22"/>
          <w:szCs w:val="22"/>
        </w:rPr>
        <w:t xml:space="preserve">metric </w:t>
      </w:r>
      <w:r w:rsidR="009366EC" w:rsidRPr="001900FE">
        <w:rPr>
          <w:sz w:val="22"/>
          <w:szCs w:val="22"/>
        </w:rPr>
        <w:t>with</w:t>
      </w:r>
      <w:r w:rsidR="004F6EDE">
        <w:rPr>
          <w:sz w:val="22"/>
          <w:szCs w:val="22"/>
        </w:rPr>
        <w:t xml:space="preserve"> reference standard </w:t>
      </w:r>
      <w:r w:rsidR="00EF2A91">
        <w:rPr>
          <w:sz w:val="22"/>
          <w:szCs w:val="22"/>
        </w:rPr>
        <w:t>C</w:t>
      </w:r>
      <w:r w:rsidR="009366EC" w:rsidRPr="001900FE">
        <w:rPr>
          <w:sz w:val="22"/>
          <w:szCs w:val="22"/>
        </w:rPr>
        <w:t xml:space="preserve">CT PAT </w:t>
      </w:r>
      <w:r w:rsidR="00F50832">
        <w:rPr>
          <w:sz w:val="22"/>
          <w:szCs w:val="22"/>
        </w:rPr>
        <w:t xml:space="preserve">quantification </w:t>
      </w:r>
      <w:r w:rsidR="009366EC" w:rsidRPr="001900FE">
        <w:rPr>
          <w:sz w:val="22"/>
          <w:szCs w:val="22"/>
        </w:rPr>
        <w:t>in an external dataset</w:t>
      </w:r>
      <w:r w:rsidR="00D14DD0" w:rsidRPr="001900FE">
        <w:rPr>
          <w:sz w:val="22"/>
          <w:szCs w:val="22"/>
        </w:rPr>
        <w:t xml:space="preserve"> and</w:t>
      </w:r>
      <w:r w:rsidR="009366EC" w:rsidRPr="001900FE">
        <w:rPr>
          <w:sz w:val="22"/>
          <w:szCs w:val="22"/>
        </w:rPr>
        <w:t xml:space="preserve"> </w:t>
      </w:r>
      <w:r w:rsidR="006D7326">
        <w:rPr>
          <w:sz w:val="22"/>
          <w:szCs w:val="22"/>
        </w:rPr>
        <w:t xml:space="preserve">investigate </w:t>
      </w:r>
      <w:r w:rsidR="009366EC" w:rsidRPr="001900FE">
        <w:rPr>
          <w:sz w:val="22"/>
          <w:szCs w:val="22"/>
        </w:rPr>
        <w:t xml:space="preserve">clinical validity through </w:t>
      </w:r>
      <w:r w:rsidR="005C5387">
        <w:rPr>
          <w:sz w:val="22"/>
          <w:szCs w:val="22"/>
        </w:rPr>
        <w:t xml:space="preserve">consideration of </w:t>
      </w:r>
      <w:r w:rsidR="009366EC" w:rsidRPr="001900FE">
        <w:rPr>
          <w:sz w:val="22"/>
          <w:szCs w:val="22"/>
        </w:rPr>
        <w:t>associations with diabetes in UK</w:t>
      </w:r>
      <w:r w:rsidR="00F50832">
        <w:rPr>
          <w:sz w:val="22"/>
          <w:szCs w:val="22"/>
        </w:rPr>
        <w:t>B</w:t>
      </w:r>
      <w:r w:rsidR="009366EC" w:rsidRPr="001900FE">
        <w:rPr>
          <w:sz w:val="22"/>
          <w:szCs w:val="22"/>
        </w:rPr>
        <w:t xml:space="preserve">. </w:t>
      </w:r>
      <w:r w:rsidR="006930D0">
        <w:rPr>
          <w:sz w:val="22"/>
          <w:szCs w:val="22"/>
        </w:rPr>
        <w:t xml:space="preserve">Reporting in this paper is in accordance with relevant aspects of the Proposed </w:t>
      </w:r>
      <w:r w:rsidR="006930D0" w:rsidRPr="006930D0">
        <w:rPr>
          <w:sz w:val="22"/>
          <w:szCs w:val="22"/>
        </w:rPr>
        <w:t>Requirements for Cardiovascular Imaging-Related Machine Learning Evaluation (PRIME) guidance</w:t>
      </w:r>
      <w:r w:rsidR="006930D0">
        <w:rPr>
          <w:sz w:val="22"/>
          <w:szCs w:val="22"/>
        </w:rPr>
        <w:fldChar w:fldCharType="begin" w:fldLock="1"/>
      </w:r>
      <w:r w:rsidR="00D441C9">
        <w:rPr>
          <w:sz w:val="22"/>
          <w:szCs w:val="22"/>
        </w:rPr>
        <w:instrText>ADDIN CSL_CITATION {"citationItems":[{"id":"ITEM-1","itemData":{"DOI":"10.1016/j.jcmg.2020.07.015","ISSN":"18767591","PMID":"32912474","abstract":"Machine learning (ML) has been increasingly used within cardiology, particularly in the domain of cardiovascular imaging. Due to the inherent complexity and flexibility of ML algorithms, inconsistencies in the model performance and interpretation may occur. Several review articles have been recently published that introduce the fundamental principles and clinical application of ML for cardiologists. This paper builds on these introductory principles and outlines a more comprehensive list of crucial responsibilities that need to be completed when developing ML models. This paper aims to serve as a scientific foundation to aid investigators, data scientists, authors, editors, and reviewers involved in machine learning research with the intent of uniform reporting of ML investigations. An independent multidisciplinary panel of ML experts, clinicians, and statisticians worked together to review the theoretical rationale underlying 7 sets of requirements that may reduce algorithmic errors and biases. Finally, the paper summarizes a list of reporting items as an itemized checklist that highlights steps for ensuring correct application of ML models and the consistent reporting of model specifications and results. It is expected that the rapid pace of research and development and the increased availability of real-world evidence may require periodic updates to the checklist.","author":[{"dropping-particle":"","family":"Sengupta","given":"Partho P.","non-dropping-particle":"","parse-names":false,"suffix":""},{"dropping-particle":"","family":"Shrestha","given":"Sirish","non-dropping-particle":"","parse-names":false,"suffix":""},{"dropping-particle":"","family":"Berthon","given":"Béatrice","non-dropping-particle":"","parse-names":false,"suffix":""},{"dropping-particle":"","family":"Messas","given":"Emmanuel","non-dropping-particle":"","parse-names":false,"suffix":""},{"dropping-particle":"","family":"Donal","given":"Erwan","non-dropping-particle":"","parse-names":false,"suffix":""},{"dropping-particle":"","family":"Tison","given":"Geoffrey H.","non-dropping-particle":"","parse-names":false,"suffix":""},{"dropping-particle":"","family":"Min","given":"James K.","non-dropping-particle":"","parse-names":false,"suffix":""},{"dropping-particle":"","family":"D'hooge","given":"Jan","non-dropping-particle":"","parse-names":false,"suffix":""},{"dropping-particle":"","family":"Voigt","given":"Jens Uwe","non-dropping-particle":"","parse-names":false,"suffix":""},{"dropping-particle":"","family":"Dudley","given":"Joel","non-dropping-particle":"","parse-names":false,"suffix":""},{"dropping-particle":"","family":"Verjans","given":"Johan W.","non-dropping-particle":"","parse-names":false,"suffix":""},{"dropping-particle":"","family":"Shameer","given":"Khader","non-dropping-particle":"","parse-names":false,"suffix":""},{"dropping-particle":"","family":"Johnson","given":"Kipp","non-dropping-particle":"","parse-names":false,"suffix":""},{"dropping-particle":"","family":"Lovstakken","given":"Lasse","non-dropping-particle":"","parse-names":false,"suffix":""},{"dropping-particle":"","family":"Tabassian","given":"Mahdi","non-dropping-particle":"","parse-names":false,"suffix":""},{"dropping-particle":"","family":"Piccirilli","given":"Marco","non-dropping-particle":"","parse-names":false,"suffix":""},{"dropping-particle":"","family":"Pernot","given":"Mathieu","non-dropping-particle":"","parse-names":false,"suffix":""},{"dropping-particle":"","family":"Yanamala","given":"Naveena","non-dropping-particle":"","parse-names":false,"suffix":""},{"dropping-particle":"","family":"Duchateau","given":"Nicolas","non-dropping-particle":"","parse-names":false,"suffix":""},{"dropping-particle":"","family":"Kagiyama","given":"Nobuyuki","non-dropping-particle":"","parse-names":false,"suffix":""},{"dropping-particle":"","family":"Bernard","given":"Olivier","non-dropping-particle":"","parse-names":false,"suffix":""},{"dropping-particle":"","family":"Slomka","given":"Piotr","non-dropping-particle":"","parse-names":false,"suffix":""},{"dropping-particle":"","family":"Deo","given":"Rahul","non-dropping-particle":"","parse-names":false,"suffix":""},{"dropping-particle":"","family":"Arnaout","given":"Rima","non-dropping-particle":"","parse-names":false,"suffix":""}],"container-title":"JACC: Cardiovascular Imaging","id":"ITEM-1","issue":"9","issued":{"date-parts":[["2020"]]},"page":"2017-2035","title":"Proposed Requirements for Cardiovascular Imaging-Related Machine Learning Evaluation (PRIME): A Checklist: Reviewed by the American College of Cardiology Healthcare Innovation Council","type":"article-journal","volume":"13"},"uris":["http://www.mendeley.com/documents/?uuid=50640ba7-9468-4adf-8c72-d03466727009"]}],"mendeley":{"formattedCitation":"(16)","plainTextFormattedCitation":"(16)","previouslyFormattedCitation":"(17)"},"properties":{"noteIndex":0},"schema":"https://github.com/citation-style-language/schema/raw/master/csl-citation.json"}</w:instrText>
      </w:r>
      <w:r w:rsidR="006930D0">
        <w:rPr>
          <w:sz w:val="22"/>
          <w:szCs w:val="22"/>
        </w:rPr>
        <w:fldChar w:fldCharType="separate"/>
      </w:r>
      <w:r w:rsidR="00D441C9" w:rsidRPr="00D441C9">
        <w:rPr>
          <w:noProof/>
          <w:sz w:val="22"/>
          <w:szCs w:val="22"/>
        </w:rPr>
        <w:t>(16)</w:t>
      </w:r>
      <w:r w:rsidR="006930D0">
        <w:rPr>
          <w:sz w:val="22"/>
          <w:szCs w:val="22"/>
        </w:rPr>
        <w:fldChar w:fldCharType="end"/>
      </w:r>
      <w:r w:rsidR="006930D0">
        <w:rPr>
          <w:sz w:val="22"/>
          <w:szCs w:val="22"/>
        </w:rPr>
        <w:t>.</w:t>
      </w:r>
      <w:r w:rsidRPr="001900FE">
        <w:rPr>
          <w:sz w:val="22"/>
          <w:szCs w:val="22"/>
        </w:rPr>
        <w:br w:type="page"/>
      </w:r>
      <w:bookmarkStart w:id="1" w:name="materials-and-methods"/>
      <w:r w:rsidR="00D441C9" w:rsidRPr="00D441C9">
        <w:rPr>
          <w:b/>
          <w:bCs/>
          <w:sz w:val="22"/>
          <w:szCs w:val="22"/>
        </w:rPr>
        <w:t xml:space="preserve">Materials and </w:t>
      </w:r>
      <w:r w:rsidR="00FB07BC" w:rsidRPr="00D441C9">
        <w:rPr>
          <w:b/>
          <w:bCs/>
          <w:sz w:val="22"/>
          <w:szCs w:val="22"/>
        </w:rPr>
        <w:t>M</w:t>
      </w:r>
      <w:r w:rsidR="00FB07BC" w:rsidRPr="00BF3BA4">
        <w:rPr>
          <w:b/>
          <w:bCs/>
          <w:sz w:val="22"/>
          <w:szCs w:val="22"/>
        </w:rPr>
        <w:t>ethods</w:t>
      </w:r>
      <w:bookmarkStart w:id="2" w:name="setting-and-study-population"/>
      <w:bookmarkEnd w:id="1"/>
    </w:p>
    <w:p w14:paraId="0A7504C7" w14:textId="7E2DE091" w:rsidR="00FB07BC" w:rsidRPr="001900FE" w:rsidRDefault="00FB07BC" w:rsidP="00FF2DC9">
      <w:pPr>
        <w:rPr>
          <w:b/>
          <w:bCs/>
          <w:sz w:val="22"/>
          <w:szCs w:val="22"/>
        </w:rPr>
      </w:pPr>
      <w:r w:rsidRPr="00BF3BA4">
        <w:rPr>
          <w:b/>
          <w:bCs/>
          <w:sz w:val="22"/>
          <w:szCs w:val="22"/>
        </w:rPr>
        <w:t>Setting and study population</w:t>
      </w:r>
      <w:bookmarkEnd w:id="2"/>
    </w:p>
    <w:p w14:paraId="59AE43EC" w14:textId="2E3C4CCB" w:rsidR="0008016B" w:rsidRPr="001900FE" w:rsidRDefault="006D7326" w:rsidP="00FF2DC9">
      <w:pPr>
        <w:pStyle w:val="Firstparagraph"/>
        <w:rPr>
          <w:rFonts w:cs="Times New Roman"/>
          <w:sz w:val="22"/>
          <w:szCs w:val="22"/>
          <w:lang w:val="en-GB"/>
        </w:rPr>
      </w:pPr>
      <w:r>
        <w:rPr>
          <w:rFonts w:cs="Times New Roman"/>
          <w:sz w:val="22"/>
          <w:szCs w:val="22"/>
          <w:lang w:val="en-GB"/>
        </w:rPr>
        <w:t xml:space="preserve">The </w:t>
      </w:r>
      <w:r w:rsidR="00FB07BC" w:rsidRPr="001900FE">
        <w:rPr>
          <w:rFonts w:cs="Times New Roman"/>
          <w:sz w:val="22"/>
          <w:szCs w:val="22"/>
          <w:lang w:val="en-GB"/>
        </w:rPr>
        <w:t>UK</w:t>
      </w:r>
      <w:r w:rsidR="00BF3BA4">
        <w:rPr>
          <w:rFonts w:cs="Times New Roman"/>
          <w:sz w:val="22"/>
          <w:szCs w:val="22"/>
          <w:lang w:val="en-GB"/>
        </w:rPr>
        <w:t>B</w:t>
      </w:r>
      <w:r w:rsidR="00FB07BC" w:rsidRPr="001900FE">
        <w:rPr>
          <w:rFonts w:cs="Times New Roman"/>
          <w:sz w:val="22"/>
          <w:szCs w:val="22"/>
          <w:lang w:val="en-GB"/>
        </w:rPr>
        <w:t xml:space="preserve"> incorporat</w:t>
      </w:r>
      <w:r w:rsidR="00BF3BA4">
        <w:rPr>
          <w:rFonts w:cs="Times New Roman"/>
          <w:sz w:val="22"/>
          <w:szCs w:val="22"/>
          <w:lang w:val="en-GB"/>
        </w:rPr>
        <w:t>es</w:t>
      </w:r>
      <w:r w:rsidR="00FB07BC" w:rsidRPr="001900FE">
        <w:rPr>
          <w:rFonts w:cs="Times New Roman"/>
          <w:sz w:val="22"/>
          <w:szCs w:val="22"/>
          <w:lang w:val="en-GB"/>
        </w:rPr>
        <w:t xml:space="preserve"> data from over </w:t>
      </w:r>
      <w:r w:rsidR="0008016B" w:rsidRPr="001900FE">
        <w:rPr>
          <w:rFonts w:cs="Times New Roman"/>
          <w:sz w:val="22"/>
          <w:szCs w:val="22"/>
          <w:lang w:val="en-GB"/>
        </w:rPr>
        <w:t>half a million</w:t>
      </w:r>
      <w:r w:rsidR="00FB07BC" w:rsidRPr="001900FE">
        <w:rPr>
          <w:rFonts w:cs="Times New Roman"/>
          <w:sz w:val="22"/>
          <w:szCs w:val="22"/>
          <w:lang w:val="en-GB"/>
        </w:rPr>
        <w:t xml:space="preserve"> </w:t>
      </w:r>
      <w:r w:rsidR="00BF3BA4">
        <w:rPr>
          <w:rFonts w:cs="Times New Roman"/>
          <w:sz w:val="22"/>
          <w:szCs w:val="22"/>
          <w:lang w:val="en-GB"/>
        </w:rPr>
        <w:t>participants</w:t>
      </w:r>
      <w:r w:rsidR="0008016B" w:rsidRPr="001900FE">
        <w:rPr>
          <w:rFonts w:cs="Times New Roman"/>
          <w:sz w:val="22"/>
          <w:szCs w:val="22"/>
          <w:lang w:val="en-GB"/>
        </w:rPr>
        <w:t xml:space="preserve"> </w:t>
      </w:r>
      <w:r w:rsidR="00FB07BC" w:rsidRPr="001900FE">
        <w:rPr>
          <w:rFonts w:cs="Times New Roman"/>
          <w:sz w:val="22"/>
          <w:szCs w:val="22"/>
          <w:lang w:val="en-GB"/>
        </w:rPr>
        <w:t>recruited between 2006-2010</w:t>
      </w:r>
      <w:r w:rsidR="0008016B" w:rsidRPr="001900FE">
        <w:rPr>
          <w:rFonts w:cs="Times New Roman"/>
          <w:sz w:val="22"/>
          <w:szCs w:val="22"/>
          <w:lang w:val="en-GB"/>
        </w:rPr>
        <w:t xml:space="preserve"> from across the UK</w:t>
      </w:r>
      <w:r w:rsidR="00FB07BC" w:rsidRPr="001900FE">
        <w:rPr>
          <w:rFonts w:cs="Times New Roman"/>
          <w:sz w:val="22"/>
          <w:szCs w:val="22"/>
          <w:lang w:val="en-GB"/>
        </w:rPr>
        <w:t>. Individuals aged 40-69 years old were identified through National Health Service</w:t>
      </w:r>
      <w:r w:rsidR="00F50832">
        <w:rPr>
          <w:rFonts w:cs="Times New Roman"/>
          <w:sz w:val="22"/>
          <w:szCs w:val="22"/>
          <w:lang w:val="en-GB"/>
        </w:rPr>
        <w:t xml:space="preserve"> (NHS)</w:t>
      </w:r>
      <w:r w:rsidR="00FB07BC" w:rsidRPr="001900FE">
        <w:rPr>
          <w:rFonts w:cs="Times New Roman"/>
          <w:sz w:val="22"/>
          <w:szCs w:val="22"/>
          <w:lang w:val="en-GB"/>
        </w:rPr>
        <w:t xml:space="preserve"> registers and requested to participate via postal invites. There was detailed </w:t>
      </w:r>
      <w:r w:rsidR="008521ED" w:rsidRPr="001900FE">
        <w:rPr>
          <w:rFonts w:cs="Times New Roman"/>
          <w:sz w:val="22"/>
          <w:szCs w:val="22"/>
          <w:lang w:val="en-GB"/>
        </w:rPr>
        <w:t xml:space="preserve">baseline </w:t>
      </w:r>
      <w:r w:rsidR="00FB07BC" w:rsidRPr="001900FE">
        <w:rPr>
          <w:rFonts w:cs="Times New Roman"/>
          <w:sz w:val="22"/>
          <w:szCs w:val="22"/>
          <w:lang w:val="en-GB"/>
        </w:rPr>
        <w:t>characterisation of participant demographics, lifestyle, and medical history</w:t>
      </w:r>
      <w:r w:rsidR="00655368">
        <w:rPr>
          <w:rFonts w:cs="Times New Roman"/>
          <w:sz w:val="22"/>
          <w:szCs w:val="22"/>
          <w:lang w:val="en-GB"/>
        </w:rPr>
        <w:fldChar w:fldCharType="begin" w:fldLock="1"/>
      </w:r>
      <w:r w:rsidR="00D441C9">
        <w:rPr>
          <w:rFonts w:cs="Times New Roman"/>
          <w:sz w:val="22"/>
          <w:szCs w:val="22"/>
          <w:lang w:val="en-GB"/>
        </w:rPr>
        <w:instrText>ADDIN CSL_CITATION {"citationItems":[{"id":"ITEM-1","itemData":{"DOI":"10.1093/cvr/cvz294","ISSN":"0008-6363","author":[{"dropping-particle":"","family":"Raisi-Estabragh","given":"Zahra","non-dropping-particle":"","parse-names":false,"suffix":""},{"dropping-particle":"","family":"Petersen","given":"Steffen E","non-dropping-particle":"","parse-names":false,"suffix":""}],"container-title":"Cardiovascular Research","id":"ITEM-1","issue":"1","issued":{"date-parts":[["2020"]]},"page":"e12-e15","title":"Cardiovascular research highlights from the UK Biobank: opportunities and challenges","type":"article-journal","volume":"116"},"uris":["http://www.mendeley.com/documents/?uuid=368937b0-7686-4fc9-9b7d-890622aaeeac"]}],"mendeley":{"formattedCitation":"(17)","plainTextFormattedCitation":"(17)","previouslyFormattedCitation":"(18)"},"properties":{"noteIndex":0},"schema":"https://github.com/citation-style-language/schema/raw/master/csl-citation.json"}</w:instrText>
      </w:r>
      <w:r w:rsidR="00655368">
        <w:rPr>
          <w:rFonts w:cs="Times New Roman"/>
          <w:sz w:val="22"/>
          <w:szCs w:val="22"/>
          <w:lang w:val="en-GB"/>
        </w:rPr>
        <w:fldChar w:fldCharType="separate"/>
      </w:r>
      <w:r w:rsidR="00D441C9" w:rsidRPr="00D441C9">
        <w:rPr>
          <w:rFonts w:cs="Times New Roman"/>
          <w:noProof/>
          <w:sz w:val="22"/>
          <w:szCs w:val="22"/>
          <w:lang w:val="en-GB"/>
        </w:rPr>
        <w:t>(17)</w:t>
      </w:r>
      <w:r w:rsidR="00655368">
        <w:rPr>
          <w:rFonts w:cs="Times New Roman"/>
          <w:sz w:val="22"/>
          <w:szCs w:val="22"/>
          <w:lang w:val="en-GB"/>
        </w:rPr>
        <w:fldChar w:fldCharType="end"/>
      </w:r>
      <w:r w:rsidR="00FB07BC" w:rsidRPr="001900FE">
        <w:rPr>
          <w:rFonts w:cs="Times New Roman"/>
          <w:sz w:val="22"/>
          <w:szCs w:val="22"/>
          <w:lang w:val="en-GB"/>
        </w:rPr>
        <w:t xml:space="preserve">. The </w:t>
      </w:r>
      <w:r w:rsidR="0008016B" w:rsidRPr="001900FE">
        <w:rPr>
          <w:rFonts w:cs="Times New Roman"/>
          <w:sz w:val="22"/>
          <w:szCs w:val="22"/>
          <w:lang w:val="en-GB"/>
        </w:rPr>
        <w:t>UK</w:t>
      </w:r>
      <w:r w:rsidR="00BF3BA4">
        <w:rPr>
          <w:rFonts w:cs="Times New Roman"/>
          <w:sz w:val="22"/>
          <w:szCs w:val="22"/>
          <w:lang w:val="en-GB"/>
        </w:rPr>
        <w:t>B</w:t>
      </w:r>
      <w:r w:rsidR="0008016B" w:rsidRPr="001900FE">
        <w:rPr>
          <w:rFonts w:cs="Times New Roman"/>
          <w:sz w:val="22"/>
          <w:szCs w:val="22"/>
          <w:lang w:val="en-GB"/>
        </w:rPr>
        <w:t xml:space="preserve"> </w:t>
      </w:r>
      <w:r w:rsidR="00FB07BC" w:rsidRPr="001900FE">
        <w:rPr>
          <w:rFonts w:cs="Times New Roman"/>
          <w:sz w:val="22"/>
          <w:szCs w:val="22"/>
          <w:lang w:val="en-GB"/>
        </w:rPr>
        <w:t>protocol is publicly available</w:t>
      </w:r>
      <w:r w:rsidR="008521ED" w:rsidRPr="001900FE">
        <w:rPr>
          <w:rFonts w:cs="Times New Roman"/>
          <w:sz w:val="22"/>
          <w:szCs w:val="22"/>
          <w:lang w:val="en-GB"/>
        </w:rPr>
        <w:fldChar w:fldCharType="begin" w:fldLock="1"/>
      </w:r>
      <w:r w:rsidR="00D441C9">
        <w:rPr>
          <w:rFonts w:cs="Times New Roman"/>
          <w:sz w:val="22"/>
          <w:szCs w:val="22"/>
          <w:lang w:val="en-GB"/>
        </w:rPr>
        <w:instrText>ADDIN CSL_CITATION {"citationItems":[{"id":"ITEM-1","itemData":{"URL":"https://www.ukbiobank.ac.uk/wp-content/uploads/2011/11/UK-Biobank-Protocol.pdf","accessed":{"date-parts":[["2019","12","13"]]},"id":"ITEM-1","issued":{"date-parts":[["2007"]]},"title":"UK Biobank: Protocol for a large-scale prospective epidemiological resource","type":"webpage"},"uris":["http://www.mendeley.com/documents/?uuid=b594a985-6dd1-3d5c-a8ed-657713d389f7"]}],"mendeley":{"formattedCitation":"(18)","plainTextFormattedCitation":"(18)","previouslyFormattedCitation":"(19)"},"properties":{"noteIndex":0},"schema":"https://github.com/citation-style-language/schema/raw/master/csl-citation.json"}</w:instrText>
      </w:r>
      <w:r w:rsidR="008521ED" w:rsidRPr="001900FE">
        <w:rPr>
          <w:rFonts w:cs="Times New Roman"/>
          <w:sz w:val="22"/>
          <w:szCs w:val="22"/>
          <w:lang w:val="en-GB"/>
        </w:rPr>
        <w:fldChar w:fldCharType="separate"/>
      </w:r>
      <w:r w:rsidR="00D441C9" w:rsidRPr="00D441C9">
        <w:rPr>
          <w:rFonts w:cs="Times New Roman"/>
          <w:noProof/>
          <w:sz w:val="22"/>
          <w:szCs w:val="22"/>
          <w:lang w:val="en-GB"/>
        </w:rPr>
        <w:t>(18)</w:t>
      </w:r>
      <w:r w:rsidR="008521ED" w:rsidRPr="001900FE">
        <w:rPr>
          <w:rFonts w:cs="Times New Roman"/>
          <w:sz w:val="22"/>
          <w:szCs w:val="22"/>
          <w:lang w:val="en-GB"/>
        </w:rPr>
        <w:fldChar w:fldCharType="end"/>
      </w:r>
      <w:r w:rsidR="00FB07BC" w:rsidRPr="001900FE">
        <w:rPr>
          <w:rFonts w:cs="Times New Roman"/>
          <w:sz w:val="22"/>
          <w:szCs w:val="22"/>
          <w:lang w:val="en-GB"/>
        </w:rPr>
        <w:t xml:space="preserve">. </w:t>
      </w:r>
      <w:r w:rsidR="008521ED" w:rsidRPr="001900FE">
        <w:rPr>
          <w:rFonts w:cs="Times New Roman"/>
          <w:sz w:val="22"/>
          <w:szCs w:val="22"/>
          <w:lang w:val="en-GB"/>
        </w:rPr>
        <w:t>T</w:t>
      </w:r>
      <w:r w:rsidR="00FB07BC" w:rsidRPr="001900FE">
        <w:rPr>
          <w:rFonts w:cs="Times New Roman"/>
          <w:sz w:val="22"/>
          <w:szCs w:val="22"/>
          <w:lang w:val="en-GB"/>
        </w:rPr>
        <w:t>he UK</w:t>
      </w:r>
      <w:r w:rsidR="00BF3BA4">
        <w:rPr>
          <w:rFonts w:cs="Times New Roman"/>
          <w:sz w:val="22"/>
          <w:szCs w:val="22"/>
          <w:lang w:val="en-GB"/>
        </w:rPr>
        <w:t xml:space="preserve">B </w:t>
      </w:r>
      <w:r w:rsidR="00FB07BC" w:rsidRPr="001900FE">
        <w:rPr>
          <w:rFonts w:cs="Times New Roman"/>
          <w:sz w:val="22"/>
          <w:szCs w:val="22"/>
          <w:lang w:val="en-GB"/>
        </w:rPr>
        <w:t>Imaging Study</w:t>
      </w:r>
      <w:r w:rsidR="00BC01A0">
        <w:rPr>
          <w:rFonts w:cs="Times New Roman"/>
          <w:sz w:val="22"/>
          <w:szCs w:val="22"/>
          <w:lang w:val="en-GB"/>
        </w:rPr>
        <w:t xml:space="preserve">, which </w:t>
      </w:r>
      <w:r w:rsidR="00BC01A0" w:rsidRPr="001900FE">
        <w:rPr>
          <w:rFonts w:cs="Times New Roman"/>
          <w:sz w:val="22"/>
          <w:szCs w:val="22"/>
          <w:lang w:val="en-GB"/>
        </w:rPr>
        <w:t xml:space="preserve">includes detailed CMR </w:t>
      </w:r>
      <w:r w:rsidR="00BC01A0">
        <w:rPr>
          <w:rFonts w:cs="Times New Roman"/>
          <w:sz w:val="22"/>
          <w:szCs w:val="22"/>
          <w:lang w:val="en-GB"/>
        </w:rPr>
        <w:t>imaging,</w:t>
      </w:r>
      <w:r w:rsidR="00FB07BC" w:rsidRPr="001900FE">
        <w:rPr>
          <w:rFonts w:cs="Times New Roman"/>
          <w:sz w:val="22"/>
          <w:szCs w:val="22"/>
          <w:lang w:val="en-GB"/>
        </w:rPr>
        <w:t xml:space="preserve"> aim</w:t>
      </w:r>
      <w:r w:rsidR="00BC01A0">
        <w:rPr>
          <w:rFonts w:cs="Times New Roman"/>
          <w:sz w:val="22"/>
          <w:szCs w:val="22"/>
          <w:lang w:val="en-GB"/>
        </w:rPr>
        <w:t>s to</w:t>
      </w:r>
      <w:r w:rsidR="00FB07BC" w:rsidRPr="001900FE">
        <w:rPr>
          <w:rFonts w:cs="Times New Roman"/>
          <w:sz w:val="22"/>
          <w:szCs w:val="22"/>
          <w:lang w:val="en-GB"/>
        </w:rPr>
        <w:t xml:space="preserve"> scan 100,000 of the original participants</w:t>
      </w:r>
      <w:r w:rsidR="00BC01A0">
        <w:rPr>
          <w:rFonts w:cs="Times New Roman"/>
          <w:sz w:val="22"/>
          <w:szCs w:val="22"/>
          <w:lang w:val="en-GB"/>
        </w:rPr>
        <w:t xml:space="preserve"> (</w:t>
      </w:r>
      <w:r w:rsidR="00BF3BA4">
        <w:rPr>
          <w:rFonts w:cs="Times New Roman"/>
          <w:sz w:val="22"/>
          <w:szCs w:val="22"/>
          <w:lang w:val="en-GB"/>
        </w:rPr>
        <w:t>&gt;</w:t>
      </w:r>
      <w:r w:rsidR="00FB07BC" w:rsidRPr="001900FE">
        <w:rPr>
          <w:rFonts w:cs="Times New Roman"/>
          <w:sz w:val="22"/>
          <w:szCs w:val="22"/>
          <w:lang w:val="en-GB"/>
        </w:rPr>
        <w:t xml:space="preserve">48,000 </w:t>
      </w:r>
      <w:bookmarkStart w:id="3" w:name="image-acquisition"/>
      <w:r w:rsidR="00BC01A0">
        <w:rPr>
          <w:rFonts w:cs="Times New Roman"/>
          <w:sz w:val="22"/>
          <w:szCs w:val="22"/>
          <w:lang w:val="en-GB"/>
        </w:rPr>
        <w:t xml:space="preserve">completed, </w:t>
      </w:r>
      <w:r w:rsidR="00F50832">
        <w:rPr>
          <w:rFonts w:cs="Times New Roman"/>
          <w:sz w:val="22"/>
          <w:szCs w:val="22"/>
          <w:lang w:val="en-GB"/>
        </w:rPr>
        <w:t>January</w:t>
      </w:r>
      <w:r w:rsidR="00BC01A0">
        <w:rPr>
          <w:rFonts w:cs="Times New Roman"/>
          <w:sz w:val="22"/>
          <w:szCs w:val="22"/>
          <w:lang w:val="en-GB"/>
        </w:rPr>
        <w:t xml:space="preserve"> 202</w:t>
      </w:r>
      <w:r w:rsidR="00F50832">
        <w:rPr>
          <w:rFonts w:cs="Times New Roman"/>
          <w:sz w:val="22"/>
          <w:szCs w:val="22"/>
          <w:lang w:val="en-GB"/>
        </w:rPr>
        <w:t>1</w:t>
      </w:r>
      <w:r w:rsidR="00BC01A0">
        <w:rPr>
          <w:rFonts w:cs="Times New Roman"/>
          <w:sz w:val="22"/>
          <w:szCs w:val="22"/>
          <w:lang w:val="en-GB"/>
        </w:rPr>
        <w:t>)</w:t>
      </w:r>
      <w:r w:rsidR="00655368">
        <w:rPr>
          <w:rFonts w:cs="Times New Roman"/>
          <w:sz w:val="22"/>
          <w:szCs w:val="22"/>
          <w:lang w:val="en-GB"/>
        </w:rPr>
        <w:fldChar w:fldCharType="begin" w:fldLock="1"/>
      </w:r>
      <w:r w:rsidR="00D441C9">
        <w:rPr>
          <w:rFonts w:cs="Times New Roman"/>
          <w:sz w:val="22"/>
          <w:szCs w:val="22"/>
          <w:lang w:val="en-GB"/>
        </w:rPr>
        <w:instrText>ADDIN CSL_CITATION {"citationItems":[{"id":"ITEM-1","itemData":{"DOI":"10.1093/ehjci/jeaa297","ISSN":"2047-2404","author":[{"dropping-particle":"","family":"Raisi-Estabragh","given":"Zahra","non-dropping-particle":"","parse-names":false,"suffix":""},{"dropping-particle":"","family":"Harvey","given":"Nicholas C","non-dropping-particle":"","parse-names":false,"suffix":""},{"dropping-particle":"","family":"Neubauer","given":"Stefan","non-dropping-particle":"","parse-names":false,"suffix":""},{"dropping-particle":"","family":"Petersen","given":"Steffen E","non-dropping-particle":"","parse-names":false,"suffix":""}],"container-title":"European Heart Journal - Cardiovascular Imaging","id":"ITEM-1","issued":{"date-parts":[["2020"]]},"page":"jea297","title":"Cardiovascular magnetic resonance imaging in the UK Biobank: a major international health research resource","type":"article-journal"},"uris":["http://www.mendeley.com/documents/?uuid=b6a6ca7c-f8f7-4141-8d50-f3df3e9624bc"]}],"mendeley":{"formattedCitation":"(19)","plainTextFormattedCitation":"(19)","previouslyFormattedCitation":"(20)"},"properties":{"noteIndex":0},"schema":"https://github.com/citation-style-language/schema/raw/master/csl-citation.json"}</w:instrText>
      </w:r>
      <w:r w:rsidR="00655368">
        <w:rPr>
          <w:rFonts w:cs="Times New Roman"/>
          <w:sz w:val="22"/>
          <w:szCs w:val="22"/>
          <w:lang w:val="en-GB"/>
        </w:rPr>
        <w:fldChar w:fldCharType="separate"/>
      </w:r>
      <w:r w:rsidR="00D441C9" w:rsidRPr="00D441C9">
        <w:rPr>
          <w:rFonts w:cs="Times New Roman"/>
          <w:noProof/>
          <w:sz w:val="22"/>
          <w:szCs w:val="22"/>
          <w:lang w:val="en-GB"/>
        </w:rPr>
        <w:t>(19)</w:t>
      </w:r>
      <w:r w:rsidR="00655368">
        <w:rPr>
          <w:rFonts w:cs="Times New Roman"/>
          <w:sz w:val="22"/>
          <w:szCs w:val="22"/>
          <w:lang w:val="en-GB"/>
        </w:rPr>
        <w:fldChar w:fldCharType="end"/>
      </w:r>
      <w:r w:rsidR="00BC01A0">
        <w:rPr>
          <w:rFonts w:cs="Times New Roman"/>
          <w:sz w:val="22"/>
          <w:szCs w:val="22"/>
          <w:lang w:val="en-GB"/>
        </w:rPr>
        <w:t>.</w:t>
      </w:r>
    </w:p>
    <w:p w14:paraId="36367FBE" w14:textId="77777777" w:rsidR="0008016B" w:rsidRPr="001900FE" w:rsidRDefault="0008016B" w:rsidP="00FF2DC9">
      <w:pPr>
        <w:pStyle w:val="Firstparagraph"/>
        <w:rPr>
          <w:rFonts w:cs="Times New Roman"/>
          <w:sz w:val="22"/>
          <w:szCs w:val="22"/>
          <w:lang w:val="en-GB"/>
        </w:rPr>
      </w:pPr>
    </w:p>
    <w:p w14:paraId="62146ADF" w14:textId="657FD8D0" w:rsidR="00FB07BC" w:rsidRPr="001900FE" w:rsidRDefault="00314A0A" w:rsidP="00FF2DC9">
      <w:pPr>
        <w:pStyle w:val="Firstparagraph"/>
        <w:rPr>
          <w:rFonts w:cs="Times New Roman"/>
          <w:b/>
          <w:bCs/>
          <w:sz w:val="22"/>
          <w:szCs w:val="22"/>
          <w:lang w:val="en-GB"/>
        </w:rPr>
      </w:pPr>
      <w:r w:rsidRPr="00BF3BA4">
        <w:rPr>
          <w:rFonts w:cs="Times New Roman"/>
          <w:b/>
          <w:bCs/>
          <w:sz w:val="22"/>
          <w:szCs w:val="22"/>
          <w:lang w:val="en-GB"/>
        </w:rPr>
        <w:t>CMR i</w:t>
      </w:r>
      <w:r w:rsidR="00FB07BC" w:rsidRPr="00BF3BA4">
        <w:rPr>
          <w:rFonts w:cs="Times New Roman"/>
          <w:b/>
          <w:bCs/>
          <w:sz w:val="22"/>
          <w:szCs w:val="22"/>
          <w:lang w:val="en-GB"/>
        </w:rPr>
        <w:t>mage acquisition</w:t>
      </w:r>
      <w:bookmarkEnd w:id="3"/>
    </w:p>
    <w:p w14:paraId="4BEBD900" w14:textId="65B142FA" w:rsidR="008074A6" w:rsidRPr="001900FE" w:rsidRDefault="00314A0A" w:rsidP="00FF2DC9">
      <w:pPr>
        <w:pStyle w:val="Firstparagraph"/>
        <w:rPr>
          <w:rFonts w:cs="Times New Roman"/>
          <w:sz w:val="22"/>
          <w:szCs w:val="22"/>
          <w:lang w:val="en-GB"/>
        </w:rPr>
      </w:pPr>
      <w:r w:rsidRPr="001900FE">
        <w:rPr>
          <w:rFonts w:cs="Times New Roman"/>
          <w:sz w:val="22"/>
          <w:szCs w:val="22"/>
          <w:lang w:val="en-GB"/>
        </w:rPr>
        <w:t>CMR imaging was with 1.5 Tesla scanners (MAGNETOM Aera, Syngo Platform VD13A, Siemens Healthcare, Erlangen, Germany) using a standardised acquisition protocol,</w:t>
      </w:r>
      <w:r w:rsidR="006D7326">
        <w:rPr>
          <w:rFonts w:cs="Times New Roman"/>
          <w:sz w:val="22"/>
          <w:szCs w:val="22"/>
          <w:lang w:val="en-GB"/>
        </w:rPr>
        <w:t xml:space="preserve"> which is </w:t>
      </w:r>
      <w:r w:rsidRPr="001900FE">
        <w:rPr>
          <w:rFonts w:cs="Times New Roman"/>
          <w:sz w:val="22"/>
          <w:szCs w:val="22"/>
          <w:lang w:val="en-GB"/>
        </w:rPr>
        <w:t xml:space="preserve">detailed </w:t>
      </w:r>
      <w:r w:rsidR="00892681">
        <w:rPr>
          <w:rFonts w:cs="Times New Roman"/>
          <w:sz w:val="22"/>
          <w:szCs w:val="22"/>
          <w:lang w:val="en-GB"/>
        </w:rPr>
        <w:t>elsewhere</w:t>
      </w:r>
      <w:r w:rsidRPr="001900FE">
        <w:rPr>
          <w:rFonts w:cs="Times New Roman"/>
          <w:sz w:val="22"/>
          <w:szCs w:val="22"/>
          <w:lang w:val="en-GB"/>
        </w:rPr>
        <w:fldChar w:fldCharType="begin" w:fldLock="1"/>
      </w:r>
      <w:r w:rsidR="00D441C9">
        <w:rPr>
          <w:rFonts w:cs="Times New Roman"/>
          <w:sz w:val="22"/>
          <w:szCs w:val="22"/>
          <w:lang w:val="en-GB"/>
        </w:rPr>
        <w:instrText>ADDIN CSL_CITATION {"citationItems":[{"id":"ITEM-1","itemData":{"DOI":"10.1186/s12968-016-0227-4","ISSN":"1532-429X","abstract":"UK Biobank’s ambitious aim is to perform cardiovascular magnetic resonance (CMR) in 100,000 people previously recruited into this prospective cohort study of half a million 40-69 year-olds. We describe the CMR protocol applied in UK Biobank’s pilot phase, which will be extended into the main phase with three centres using the same equipment and protocols. The CMR protocol includes white blood CMR (sagittal anatomy, coronary and transverse anatomy), cine CMR (long axis cines, short axis cines of the ventricles, coronal LVOT cine), strain CMR (tagging), flow CMR (aortic valve flow) and parametric CMR (native T1 map). This report will serve as a reference to researchers intending to use the UK Biobank resource or to replicate the UK Biobank cardiovascular magnetic resonance protocol in different settings.","author":[{"dropping-particle":"","family":"Petersen","given":"Steffen E.","non-dropping-particle":"","parse-names":false,"suffix":""},{"dropping-particle":"","family":"Matthews","given":"Paul M.","non-dropping-particle":"","parse-names":false,"suffix":""},{"dropping-particle":"","family":"Francis","given":"Jane M.","non-dropping-particle":"","parse-names":false,"suffix":""},{"dropping-particle":"","family":"Robson","given":"Matthew D.","non-dropping-particle":"","parse-names":false,"suffix":""},{"dropping-particle":"","family":"Zemrak","given":"Filip","non-dropping-particle":"","parse-names":false,"suffix":""},{"dropping-particle":"","family":"Boubertakh","given":"Redha","non-dropping-particle":"","parse-names":false,"suffix":""},{"dropping-particle":"","family":"Young","given":"Alistair A.","non-dropping-particle":"","parse-names":false,"suffix":""},{"dropping-particle":"","family":"Hudson","given":"Sarah","non-dropping-particle":"","parse-names":false,"suffix":""},{"dropping-particle":"","family":"Weale","given":"Peter","non-dropping-particle":"","parse-names":false,"suffix":""},{"dropping-particle":"","family":"Garratt","given":"Steve","non-dropping-particle":"","parse-names":false,"suffix":""},{"dropping-particle":"","family":"Collins","given":"Rory","non-dropping-particle":"","parse-names":false,"suffix":""},{"dropping-particle":"","family":"Piechnik","given":"Stefan","non-dropping-particle":"","parse-names":false,"suffix":""},{"dropping-particle":"","family":"Neubauer","given":"Stefan","non-dropping-particle":"","parse-names":false,"suffix":""}],"container-title":"Journal of Cardiovascular Magnetic Resonance","id":"ITEM-1","issue":"1","issued":{"date-parts":[["2015","12","1"]]},"page":"8","publisher":"BioMed Central","title":"UK Biobank’s cardiovascular magnetic resonance protocol","type":"article-journal","volume":"18"},"uris":["http://www.mendeley.com/documents/?uuid=8bee3010-88ca-3578-a84d-fb560cdba4b3"]}],"mendeley":{"formattedCitation":"(13)","plainTextFormattedCitation":"(13)","previouslyFormattedCitation":"(14)"},"properties":{"noteIndex":0},"schema":"https://github.com/citation-style-language/schema/raw/master/csl-citation.json"}</w:instrText>
      </w:r>
      <w:r w:rsidRPr="001900FE">
        <w:rPr>
          <w:rFonts w:cs="Times New Roman"/>
          <w:sz w:val="22"/>
          <w:szCs w:val="22"/>
          <w:lang w:val="en-GB"/>
        </w:rPr>
        <w:fldChar w:fldCharType="separate"/>
      </w:r>
      <w:r w:rsidR="00D441C9" w:rsidRPr="00D441C9">
        <w:rPr>
          <w:rFonts w:cs="Times New Roman"/>
          <w:noProof/>
          <w:sz w:val="22"/>
          <w:szCs w:val="22"/>
          <w:lang w:val="en-GB"/>
        </w:rPr>
        <w:t>(13)</w:t>
      </w:r>
      <w:r w:rsidRPr="001900FE">
        <w:rPr>
          <w:rFonts w:cs="Times New Roman"/>
          <w:sz w:val="22"/>
          <w:szCs w:val="22"/>
          <w:lang w:val="en-GB"/>
        </w:rPr>
        <w:fldChar w:fldCharType="end"/>
      </w:r>
      <w:r w:rsidRPr="001900FE">
        <w:rPr>
          <w:rFonts w:cs="Times New Roman"/>
          <w:sz w:val="22"/>
          <w:szCs w:val="22"/>
          <w:lang w:val="en-GB"/>
        </w:rPr>
        <w:t xml:space="preserve">. </w:t>
      </w:r>
      <w:r w:rsidR="00FB07BC" w:rsidRPr="001900FE">
        <w:rPr>
          <w:rFonts w:cs="Times New Roman"/>
          <w:sz w:val="22"/>
          <w:szCs w:val="22"/>
          <w:lang w:val="en-GB"/>
        </w:rPr>
        <w:t>Cardiac function was assessed using balanced steady state free precession</w:t>
      </w:r>
      <w:r w:rsidR="00655368">
        <w:rPr>
          <w:rFonts w:cs="Times New Roman"/>
          <w:sz w:val="22"/>
          <w:szCs w:val="22"/>
          <w:lang w:val="en-GB"/>
        </w:rPr>
        <w:t xml:space="preserve"> </w:t>
      </w:r>
      <w:r w:rsidR="00FB07BC" w:rsidRPr="001900FE">
        <w:rPr>
          <w:rFonts w:cs="Times New Roman"/>
          <w:sz w:val="22"/>
          <w:szCs w:val="22"/>
          <w:lang w:val="en-GB"/>
        </w:rPr>
        <w:t>cine sequences with standard long axis cuts and a complete short axis stack. No signal or image filtering was applied, with exception of distortion correction.</w:t>
      </w:r>
      <w:bookmarkStart w:id="4" w:name="standard-operating-procedure-for-manual-"/>
    </w:p>
    <w:p w14:paraId="7C899C14" w14:textId="77777777" w:rsidR="008074A6" w:rsidRPr="001900FE" w:rsidRDefault="008074A6" w:rsidP="00FF2DC9">
      <w:pPr>
        <w:pStyle w:val="Firstparagraph"/>
        <w:rPr>
          <w:rFonts w:cs="Times New Roman"/>
          <w:sz w:val="22"/>
          <w:szCs w:val="22"/>
          <w:lang w:val="en-GB"/>
        </w:rPr>
      </w:pPr>
    </w:p>
    <w:p w14:paraId="04EFD8C4" w14:textId="21A0D627" w:rsidR="00FB07BC" w:rsidRPr="001900FE" w:rsidRDefault="00FB07BC" w:rsidP="00FF2DC9">
      <w:pPr>
        <w:pStyle w:val="Firstparagraph"/>
        <w:rPr>
          <w:rFonts w:cs="Times New Roman"/>
          <w:b/>
          <w:bCs/>
          <w:iCs/>
          <w:sz w:val="22"/>
          <w:szCs w:val="22"/>
          <w:lang w:val="en-GB"/>
        </w:rPr>
      </w:pPr>
      <w:r w:rsidRPr="00BF3BA4">
        <w:rPr>
          <w:rFonts w:cs="Times New Roman"/>
          <w:b/>
          <w:bCs/>
          <w:iCs/>
          <w:sz w:val="22"/>
          <w:szCs w:val="22"/>
          <w:lang w:val="en-GB"/>
        </w:rPr>
        <w:t xml:space="preserve">Standard operating procedure for </w:t>
      </w:r>
      <w:r w:rsidR="006D7326" w:rsidRPr="00BF3BA4">
        <w:rPr>
          <w:rFonts w:cs="Times New Roman"/>
          <w:b/>
          <w:bCs/>
          <w:iCs/>
          <w:sz w:val="22"/>
          <w:szCs w:val="22"/>
          <w:lang w:val="en-GB"/>
        </w:rPr>
        <w:t xml:space="preserve">PAT </w:t>
      </w:r>
      <w:r w:rsidRPr="00BF3BA4">
        <w:rPr>
          <w:rFonts w:cs="Times New Roman"/>
          <w:b/>
          <w:bCs/>
          <w:iCs/>
          <w:sz w:val="22"/>
          <w:szCs w:val="22"/>
          <w:lang w:val="en-GB"/>
        </w:rPr>
        <w:t>segmentation</w:t>
      </w:r>
      <w:bookmarkEnd w:id="4"/>
      <w:r w:rsidR="0038175E" w:rsidRPr="00BF3BA4">
        <w:rPr>
          <w:rFonts w:cs="Times New Roman"/>
          <w:b/>
          <w:bCs/>
          <w:iCs/>
          <w:sz w:val="22"/>
          <w:szCs w:val="22"/>
          <w:lang w:val="en-GB"/>
        </w:rPr>
        <w:t xml:space="preserve"> </w:t>
      </w:r>
    </w:p>
    <w:p w14:paraId="005B88BC" w14:textId="55EBEE73" w:rsidR="00FB07BC" w:rsidRPr="001900FE" w:rsidRDefault="00BF3BA4" w:rsidP="00FF2DC9">
      <w:pPr>
        <w:pStyle w:val="Firstparagraph"/>
        <w:rPr>
          <w:rFonts w:cs="Times New Roman"/>
          <w:sz w:val="22"/>
          <w:szCs w:val="22"/>
          <w:lang w:val="en-GB"/>
        </w:rPr>
      </w:pPr>
      <w:r>
        <w:rPr>
          <w:rFonts w:cs="Times New Roman"/>
          <w:sz w:val="22"/>
          <w:szCs w:val="22"/>
          <w:lang w:val="en-GB"/>
        </w:rPr>
        <w:t xml:space="preserve">The analysis protocol comprised segmentation of an en bloc </w:t>
      </w:r>
      <w:r w:rsidR="005453EF" w:rsidRPr="001900FE">
        <w:rPr>
          <w:rFonts w:cs="Times New Roman"/>
          <w:sz w:val="22"/>
          <w:szCs w:val="22"/>
          <w:lang w:val="en-GB"/>
        </w:rPr>
        <w:t>PAT</w:t>
      </w:r>
      <w:r w:rsidR="00FB07BC" w:rsidRPr="001900FE">
        <w:rPr>
          <w:rFonts w:cs="Times New Roman"/>
          <w:sz w:val="22"/>
          <w:szCs w:val="22"/>
          <w:lang w:val="en-GB"/>
        </w:rPr>
        <w:t xml:space="preserve"> </w:t>
      </w:r>
      <w:r w:rsidRPr="00B7733B">
        <w:rPr>
          <w:rFonts w:cs="Times New Roman"/>
          <w:sz w:val="22"/>
          <w:szCs w:val="22"/>
          <w:lang w:val="en-GB"/>
        </w:rPr>
        <w:t>area</w:t>
      </w:r>
      <w:r w:rsidR="00892681" w:rsidRPr="00B7733B">
        <w:rPr>
          <w:rFonts w:cs="Times New Roman"/>
          <w:sz w:val="22"/>
          <w:szCs w:val="22"/>
          <w:lang w:val="en-GB"/>
        </w:rPr>
        <w:t xml:space="preserve"> </w:t>
      </w:r>
      <w:r w:rsidR="000A0799" w:rsidRPr="00B7733B">
        <w:rPr>
          <w:rFonts w:cs="Times New Roman"/>
          <w:sz w:val="22"/>
          <w:szCs w:val="22"/>
          <w:lang w:val="en-GB"/>
        </w:rPr>
        <w:t>from</w:t>
      </w:r>
      <w:r w:rsidR="00FB07BC" w:rsidRPr="00B7733B">
        <w:rPr>
          <w:rFonts w:cs="Times New Roman"/>
          <w:sz w:val="22"/>
          <w:szCs w:val="22"/>
          <w:lang w:val="en-GB"/>
        </w:rPr>
        <w:t xml:space="preserve"> </w:t>
      </w:r>
      <w:r w:rsidR="00FE44E3" w:rsidRPr="00B7733B">
        <w:rPr>
          <w:rFonts w:cs="Times New Roman"/>
          <w:sz w:val="22"/>
          <w:szCs w:val="22"/>
          <w:lang w:val="en-GB"/>
        </w:rPr>
        <w:t xml:space="preserve">standard </w:t>
      </w:r>
      <w:r w:rsidR="00FB07BC" w:rsidRPr="00B7733B">
        <w:rPr>
          <w:rFonts w:cs="Times New Roman"/>
          <w:sz w:val="22"/>
          <w:szCs w:val="22"/>
          <w:lang w:val="en-GB"/>
        </w:rPr>
        <w:t>4-chamber</w:t>
      </w:r>
      <w:r w:rsidR="005453EF" w:rsidRPr="001900FE">
        <w:rPr>
          <w:rFonts w:cs="Times New Roman"/>
          <w:sz w:val="22"/>
          <w:szCs w:val="22"/>
          <w:lang w:val="en-GB"/>
        </w:rPr>
        <w:t xml:space="preserve"> </w:t>
      </w:r>
      <w:r w:rsidR="00FB07BC" w:rsidRPr="001900FE">
        <w:rPr>
          <w:rFonts w:cs="Times New Roman"/>
          <w:sz w:val="22"/>
          <w:szCs w:val="22"/>
          <w:lang w:val="en-GB"/>
        </w:rPr>
        <w:t xml:space="preserve">cine </w:t>
      </w:r>
      <w:r w:rsidR="005453EF" w:rsidRPr="001900FE">
        <w:rPr>
          <w:rFonts w:cs="Times New Roman"/>
          <w:sz w:val="22"/>
          <w:szCs w:val="22"/>
          <w:lang w:val="en-GB"/>
        </w:rPr>
        <w:t>image</w:t>
      </w:r>
      <w:r w:rsidR="006D7326">
        <w:rPr>
          <w:rFonts w:cs="Times New Roman"/>
          <w:sz w:val="22"/>
          <w:szCs w:val="22"/>
          <w:lang w:val="en-GB"/>
        </w:rPr>
        <w:t>s</w:t>
      </w:r>
      <w:r w:rsidR="00E31AF8">
        <w:rPr>
          <w:rFonts w:cs="Times New Roman"/>
          <w:sz w:val="22"/>
          <w:szCs w:val="22"/>
          <w:lang w:val="en-GB"/>
        </w:rPr>
        <w:t xml:space="preserve"> (single 2D slice)</w:t>
      </w:r>
      <w:r w:rsidR="00203F35">
        <w:rPr>
          <w:rFonts w:cs="Times New Roman"/>
          <w:sz w:val="22"/>
          <w:szCs w:val="22"/>
          <w:lang w:val="en-GB"/>
        </w:rPr>
        <w:t xml:space="preserve">, a </w:t>
      </w:r>
      <w:r w:rsidR="00FB07BC" w:rsidRPr="001900FE">
        <w:rPr>
          <w:rFonts w:cs="Times New Roman"/>
          <w:sz w:val="22"/>
          <w:szCs w:val="22"/>
          <w:lang w:val="en-GB"/>
        </w:rPr>
        <w:t xml:space="preserve">universal component of </w:t>
      </w:r>
      <w:r w:rsidR="00203F35">
        <w:rPr>
          <w:rFonts w:cs="Times New Roman"/>
          <w:sz w:val="22"/>
          <w:szCs w:val="22"/>
          <w:lang w:val="en-GB"/>
        </w:rPr>
        <w:t xml:space="preserve">standard </w:t>
      </w:r>
      <w:r w:rsidR="00FB07BC" w:rsidRPr="001900FE">
        <w:rPr>
          <w:rFonts w:cs="Times New Roman"/>
          <w:sz w:val="22"/>
          <w:szCs w:val="22"/>
          <w:lang w:val="en-GB"/>
        </w:rPr>
        <w:t xml:space="preserve">CMR studies and </w:t>
      </w:r>
      <w:r w:rsidR="00203F35">
        <w:rPr>
          <w:rFonts w:cs="Times New Roman"/>
          <w:sz w:val="22"/>
          <w:szCs w:val="22"/>
          <w:lang w:val="en-GB"/>
        </w:rPr>
        <w:t xml:space="preserve">one which </w:t>
      </w:r>
      <w:r w:rsidR="00FB07BC" w:rsidRPr="001900FE">
        <w:rPr>
          <w:rFonts w:cs="Times New Roman"/>
          <w:sz w:val="22"/>
          <w:szCs w:val="22"/>
          <w:lang w:val="en-GB"/>
        </w:rPr>
        <w:t xml:space="preserve">demonstrates less variability in </w:t>
      </w:r>
      <w:r w:rsidR="00203F35">
        <w:rPr>
          <w:rFonts w:cs="Times New Roman"/>
          <w:sz w:val="22"/>
          <w:szCs w:val="22"/>
          <w:lang w:val="en-GB"/>
        </w:rPr>
        <w:t xml:space="preserve">cut plane </w:t>
      </w:r>
      <w:r w:rsidR="00FB07BC" w:rsidRPr="001900FE">
        <w:rPr>
          <w:rFonts w:cs="Times New Roman"/>
          <w:sz w:val="22"/>
          <w:szCs w:val="22"/>
          <w:lang w:val="en-GB"/>
        </w:rPr>
        <w:t xml:space="preserve">positioning compared to other </w:t>
      </w:r>
      <w:r w:rsidR="005453EF" w:rsidRPr="001900FE">
        <w:rPr>
          <w:rFonts w:cs="Times New Roman"/>
          <w:sz w:val="22"/>
          <w:szCs w:val="22"/>
          <w:lang w:val="en-GB"/>
        </w:rPr>
        <w:t>acquisitions</w:t>
      </w:r>
      <w:r w:rsidR="00FB07BC" w:rsidRPr="001900FE">
        <w:rPr>
          <w:rFonts w:cs="Times New Roman"/>
          <w:sz w:val="22"/>
          <w:szCs w:val="22"/>
          <w:lang w:val="en-GB"/>
        </w:rPr>
        <w:t xml:space="preserve"> (e.g. short axis slices).</w:t>
      </w:r>
      <w:r w:rsidR="00137E8F" w:rsidRPr="001900FE">
        <w:rPr>
          <w:rFonts w:cs="Times New Roman"/>
          <w:sz w:val="22"/>
          <w:szCs w:val="22"/>
          <w:lang w:val="en-GB"/>
        </w:rPr>
        <w:t xml:space="preserve"> F</w:t>
      </w:r>
      <w:r w:rsidR="00FB07BC" w:rsidRPr="001900FE">
        <w:rPr>
          <w:rFonts w:cs="Times New Roman"/>
          <w:sz w:val="22"/>
          <w:szCs w:val="22"/>
          <w:lang w:val="en-GB"/>
        </w:rPr>
        <w:t>or consistency, we measure</w:t>
      </w:r>
      <w:r w:rsidR="006D7326">
        <w:rPr>
          <w:rFonts w:cs="Times New Roman"/>
          <w:sz w:val="22"/>
          <w:szCs w:val="22"/>
          <w:lang w:val="en-GB"/>
        </w:rPr>
        <w:t>d</w:t>
      </w:r>
      <w:r w:rsidR="00FB07BC" w:rsidRPr="001900FE">
        <w:rPr>
          <w:rFonts w:cs="Times New Roman"/>
          <w:sz w:val="22"/>
          <w:szCs w:val="22"/>
          <w:lang w:val="en-GB"/>
        </w:rPr>
        <w:t xml:space="preserve"> PAT at phase 1 of the imaging cycle</w:t>
      </w:r>
      <w:r w:rsidR="00892681">
        <w:rPr>
          <w:rFonts w:cs="Times New Roman"/>
          <w:sz w:val="22"/>
          <w:szCs w:val="22"/>
          <w:lang w:val="en-GB"/>
        </w:rPr>
        <w:t xml:space="preserve"> (</w:t>
      </w:r>
      <w:r w:rsidR="00FB07BC" w:rsidRPr="001900FE">
        <w:rPr>
          <w:rFonts w:cs="Times New Roman"/>
          <w:sz w:val="22"/>
          <w:szCs w:val="22"/>
          <w:lang w:val="en-GB"/>
        </w:rPr>
        <w:t>approximate</w:t>
      </w:r>
      <w:r w:rsidR="00892681">
        <w:rPr>
          <w:rFonts w:cs="Times New Roman"/>
          <w:sz w:val="22"/>
          <w:szCs w:val="22"/>
          <w:lang w:val="en-GB"/>
        </w:rPr>
        <w:t>ly</w:t>
      </w:r>
      <w:r w:rsidR="00FB07BC" w:rsidRPr="001900FE">
        <w:rPr>
          <w:rFonts w:cs="Times New Roman"/>
          <w:sz w:val="22"/>
          <w:szCs w:val="22"/>
          <w:lang w:val="en-GB"/>
        </w:rPr>
        <w:t xml:space="preserve"> end-diastole</w:t>
      </w:r>
      <w:r w:rsidR="00892681">
        <w:rPr>
          <w:rFonts w:cs="Times New Roman"/>
          <w:sz w:val="22"/>
          <w:szCs w:val="22"/>
          <w:lang w:val="en-GB"/>
        </w:rPr>
        <w:t>)</w:t>
      </w:r>
      <w:r w:rsidR="00FB07BC" w:rsidRPr="001900FE">
        <w:rPr>
          <w:rFonts w:cs="Times New Roman"/>
          <w:sz w:val="22"/>
          <w:szCs w:val="22"/>
          <w:lang w:val="en-GB"/>
        </w:rPr>
        <w:t xml:space="preserve">. A single contour was drawn to select areas of high signal intensity adjacent to </w:t>
      </w:r>
      <w:r w:rsidR="005453EF" w:rsidRPr="001900FE">
        <w:rPr>
          <w:rFonts w:cs="Times New Roman"/>
          <w:sz w:val="22"/>
          <w:szCs w:val="22"/>
          <w:lang w:val="en-GB"/>
        </w:rPr>
        <w:t xml:space="preserve">the </w:t>
      </w:r>
      <w:r w:rsidR="00FB07BC" w:rsidRPr="001900FE">
        <w:rPr>
          <w:rFonts w:cs="Times New Roman"/>
          <w:sz w:val="22"/>
          <w:szCs w:val="22"/>
          <w:lang w:val="en-GB"/>
        </w:rPr>
        <w:t>epicardial surface of the left and right ventricular myocardium</w:t>
      </w:r>
      <w:r w:rsidR="00E31AF8">
        <w:rPr>
          <w:rFonts w:cs="Times New Roman"/>
          <w:sz w:val="22"/>
          <w:szCs w:val="22"/>
          <w:lang w:val="en-GB"/>
        </w:rPr>
        <w:t xml:space="preserve">, </w:t>
      </w:r>
      <w:r w:rsidR="00E31AF8" w:rsidRPr="001900FE">
        <w:rPr>
          <w:rFonts w:cs="Times New Roman"/>
          <w:sz w:val="22"/>
          <w:szCs w:val="22"/>
          <w:lang w:val="en-GB"/>
        </w:rPr>
        <w:t>result</w:t>
      </w:r>
      <w:r w:rsidR="00E31AF8">
        <w:rPr>
          <w:rFonts w:cs="Times New Roman"/>
          <w:sz w:val="22"/>
          <w:szCs w:val="22"/>
          <w:lang w:val="en-GB"/>
        </w:rPr>
        <w:t>ing</w:t>
      </w:r>
      <w:r w:rsidR="00E31AF8" w:rsidRPr="001900FE">
        <w:rPr>
          <w:rFonts w:cs="Times New Roman"/>
          <w:sz w:val="22"/>
          <w:szCs w:val="22"/>
          <w:lang w:val="en-GB"/>
        </w:rPr>
        <w:t xml:space="preserve"> in output of a</w:t>
      </w:r>
      <w:r w:rsidR="00655368">
        <w:rPr>
          <w:rFonts w:cs="Times New Roman"/>
          <w:sz w:val="22"/>
          <w:szCs w:val="22"/>
          <w:lang w:val="en-GB"/>
        </w:rPr>
        <w:t>n</w:t>
      </w:r>
      <w:r w:rsidR="00E31AF8" w:rsidRPr="001900FE">
        <w:rPr>
          <w:rFonts w:cs="Times New Roman"/>
          <w:sz w:val="22"/>
          <w:szCs w:val="22"/>
          <w:lang w:val="en-GB"/>
        </w:rPr>
        <w:t xml:space="preserve"> area measure in </w:t>
      </w:r>
      <w:r w:rsidR="00E31AF8" w:rsidRPr="000D0470">
        <w:rPr>
          <w:rFonts w:cs="Times New Roman"/>
          <w:sz w:val="22"/>
          <w:szCs w:val="22"/>
          <w:lang w:val="en-GB"/>
        </w:rPr>
        <w:t>cm</w:t>
      </w:r>
      <w:r w:rsidR="00E31AF8" w:rsidRPr="000D0470">
        <w:rPr>
          <w:rFonts w:cs="Times New Roman"/>
          <w:sz w:val="22"/>
          <w:szCs w:val="22"/>
          <w:vertAlign w:val="superscript"/>
          <w:lang w:val="en-GB"/>
        </w:rPr>
        <w:t xml:space="preserve">2 </w:t>
      </w:r>
      <w:r w:rsidR="00E31AF8" w:rsidRPr="000D0470">
        <w:rPr>
          <w:rFonts w:cs="Times New Roman"/>
          <w:sz w:val="22"/>
          <w:szCs w:val="22"/>
          <w:lang w:val="en-GB"/>
        </w:rPr>
        <w:t>(Figure 1).</w:t>
      </w:r>
      <w:r w:rsidR="00FB07BC" w:rsidRPr="000D0470">
        <w:rPr>
          <w:rFonts w:cs="Times New Roman"/>
          <w:sz w:val="22"/>
          <w:szCs w:val="22"/>
          <w:lang w:val="en-GB"/>
        </w:rPr>
        <w:t xml:space="preserve"> Areas of high signal intensity over the liver were not included</w:t>
      </w:r>
      <w:r w:rsidR="005453EF" w:rsidRPr="000D0470">
        <w:rPr>
          <w:rFonts w:cs="Times New Roman"/>
          <w:sz w:val="22"/>
          <w:szCs w:val="22"/>
          <w:lang w:val="en-GB"/>
        </w:rPr>
        <w:t xml:space="preserve">, as this </w:t>
      </w:r>
      <w:r w:rsidR="00E31AF8" w:rsidRPr="000D0470">
        <w:rPr>
          <w:rFonts w:cs="Times New Roman"/>
          <w:sz w:val="22"/>
          <w:szCs w:val="22"/>
          <w:lang w:val="en-GB"/>
        </w:rPr>
        <w:t xml:space="preserve">almost always </w:t>
      </w:r>
      <w:r w:rsidR="005453EF" w:rsidRPr="000D0470">
        <w:rPr>
          <w:rFonts w:cs="Times New Roman"/>
          <w:sz w:val="22"/>
          <w:szCs w:val="22"/>
          <w:lang w:val="en-GB"/>
        </w:rPr>
        <w:t>represents adipose tissue below the diaphragm</w:t>
      </w:r>
      <w:r w:rsidR="00E87A1F" w:rsidRPr="000D0470">
        <w:rPr>
          <w:rFonts w:cs="Times New Roman"/>
          <w:sz w:val="22"/>
          <w:szCs w:val="22"/>
          <w:lang w:val="en-GB"/>
        </w:rPr>
        <w:t xml:space="preserve"> (Figure 1B)</w:t>
      </w:r>
      <w:r w:rsidR="00FB07BC" w:rsidRPr="000D0470">
        <w:rPr>
          <w:rFonts w:cs="Times New Roman"/>
          <w:sz w:val="22"/>
          <w:szCs w:val="22"/>
          <w:lang w:val="en-GB"/>
        </w:rPr>
        <w:t>.</w:t>
      </w:r>
    </w:p>
    <w:p w14:paraId="52994A3F" w14:textId="77777777" w:rsidR="00FB07BC" w:rsidRPr="001900FE" w:rsidRDefault="00FB07BC" w:rsidP="00FF2DC9">
      <w:pPr>
        <w:pStyle w:val="BodyText"/>
        <w:rPr>
          <w:rFonts w:cs="Times New Roman"/>
          <w:b/>
          <w:bCs/>
          <w:sz w:val="22"/>
          <w:szCs w:val="22"/>
          <w:lang w:val="en-GB"/>
        </w:rPr>
      </w:pPr>
    </w:p>
    <w:p w14:paraId="5DC22455" w14:textId="7D949E94" w:rsidR="00FB07BC" w:rsidRPr="001900FE" w:rsidRDefault="00FB07BC" w:rsidP="00FF2DC9">
      <w:pPr>
        <w:pStyle w:val="BodyText"/>
        <w:rPr>
          <w:rFonts w:cs="Times New Roman"/>
          <w:b/>
          <w:bCs/>
          <w:sz w:val="22"/>
          <w:szCs w:val="22"/>
          <w:lang w:val="en-GB"/>
        </w:rPr>
      </w:pPr>
      <w:r w:rsidRPr="00203F35">
        <w:rPr>
          <w:rFonts w:cs="Times New Roman"/>
          <w:b/>
          <w:bCs/>
          <w:sz w:val="22"/>
          <w:szCs w:val="22"/>
          <w:lang w:val="en-GB"/>
        </w:rPr>
        <w:t xml:space="preserve">Creation of a </w:t>
      </w:r>
      <w:r w:rsidR="003E52FE" w:rsidRPr="00203F35">
        <w:rPr>
          <w:rFonts w:cs="Times New Roman"/>
          <w:b/>
          <w:bCs/>
          <w:sz w:val="22"/>
          <w:szCs w:val="22"/>
          <w:lang w:val="en-GB"/>
        </w:rPr>
        <w:t>ground truth</w:t>
      </w:r>
      <w:r w:rsidRPr="00203F35">
        <w:rPr>
          <w:rFonts w:cs="Times New Roman"/>
          <w:b/>
          <w:bCs/>
          <w:sz w:val="22"/>
          <w:szCs w:val="22"/>
          <w:lang w:val="en-GB"/>
        </w:rPr>
        <w:t xml:space="preserve"> manual segmentation dataset</w:t>
      </w:r>
    </w:p>
    <w:p w14:paraId="55CBA99E" w14:textId="2C1A49FC" w:rsidR="00281D47" w:rsidRDefault="00FB07BC" w:rsidP="00FF2DC9">
      <w:pPr>
        <w:pStyle w:val="BodyText"/>
        <w:rPr>
          <w:rFonts w:cs="Times New Roman"/>
          <w:sz w:val="22"/>
          <w:szCs w:val="22"/>
          <w:lang w:val="en-GB"/>
        </w:rPr>
      </w:pPr>
      <w:r w:rsidRPr="001900FE">
        <w:rPr>
          <w:rFonts w:cs="Times New Roman"/>
          <w:sz w:val="22"/>
          <w:szCs w:val="22"/>
          <w:lang w:val="en-GB"/>
        </w:rPr>
        <w:t xml:space="preserve">We selected 500 </w:t>
      </w:r>
      <w:r w:rsidR="00B652A4" w:rsidRPr="001900FE">
        <w:rPr>
          <w:rFonts w:cs="Times New Roman"/>
          <w:sz w:val="22"/>
          <w:szCs w:val="22"/>
          <w:lang w:val="en-GB"/>
        </w:rPr>
        <w:t xml:space="preserve">random </w:t>
      </w:r>
      <w:r w:rsidR="00203F35">
        <w:rPr>
          <w:rFonts w:cs="Times New Roman"/>
          <w:sz w:val="22"/>
          <w:szCs w:val="22"/>
          <w:lang w:val="en-GB"/>
        </w:rPr>
        <w:t xml:space="preserve">UKB </w:t>
      </w:r>
      <w:r w:rsidRPr="001900FE">
        <w:rPr>
          <w:rFonts w:cs="Times New Roman"/>
          <w:sz w:val="22"/>
          <w:szCs w:val="22"/>
          <w:lang w:val="en-GB"/>
        </w:rPr>
        <w:t xml:space="preserve">participants </w:t>
      </w:r>
      <w:r w:rsidR="000A0799">
        <w:rPr>
          <w:rFonts w:cs="Times New Roman"/>
          <w:sz w:val="22"/>
          <w:szCs w:val="22"/>
          <w:lang w:val="en-GB"/>
        </w:rPr>
        <w:t xml:space="preserve">with record of an imaging centre visit </w:t>
      </w:r>
      <w:r w:rsidRPr="00F34F0F">
        <w:rPr>
          <w:rFonts w:cs="Times New Roman"/>
          <w:sz w:val="22"/>
          <w:szCs w:val="22"/>
          <w:lang w:val="en-GB"/>
        </w:rPr>
        <w:t>using the random number generator package in R</w:t>
      </w:r>
      <w:r w:rsidR="00281D47" w:rsidRPr="001900FE">
        <w:rPr>
          <w:rFonts w:cs="Times New Roman"/>
          <w:sz w:val="22"/>
          <w:szCs w:val="22"/>
          <w:lang w:val="en-GB"/>
        </w:rPr>
        <w:t xml:space="preserve">. </w:t>
      </w:r>
      <w:r w:rsidR="00655368">
        <w:rPr>
          <w:rFonts w:cs="Times New Roman"/>
          <w:sz w:val="22"/>
          <w:szCs w:val="22"/>
          <w:lang w:val="en-GB"/>
        </w:rPr>
        <w:t>We</w:t>
      </w:r>
      <w:r w:rsidR="00892681">
        <w:rPr>
          <w:rFonts w:cs="Times New Roman"/>
          <w:sz w:val="22"/>
          <w:szCs w:val="22"/>
          <w:lang w:val="en-GB"/>
        </w:rPr>
        <w:t xml:space="preserve"> exclu</w:t>
      </w:r>
      <w:r w:rsidR="00655368">
        <w:rPr>
          <w:rFonts w:cs="Times New Roman"/>
          <w:sz w:val="22"/>
          <w:szCs w:val="22"/>
          <w:lang w:val="en-GB"/>
        </w:rPr>
        <w:t>ded</w:t>
      </w:r>
      <w:r w:rsidR="00892681">
        <w:rPr>
          <w:rFonts w:cs="Times New Roman"/>
          <w:sz w:val="22"/>
          <w:szCs w:val="22"/>
          <w:lang w:val="en-GB"/>
        </w:rPr>
        <w:t xml:space="preserve"> p</w:t>
      </w:r>
      <w:r w:rsidRPr="001900FE">
        <w:rPr>
          <w:rFonts w:cs="Times New Roman"/>
          <w:sz w:val="22"/>
          <w:szCs w:val="22"/>
          <w:lang w:val="en-GB"/>
        </w:rPr>
        <w:t xml:space="preserve">articipants </w:t>
      </w:r>
      <w:r w:rsidR="00892681">
        <w:rPr>
          <w:rFonts w:cs="Times New Roman"/>
          <w:sz w:val="22"/>
          <w:szCs w:val="22"/>
          <w:lang w:val="en-GB"/>
        </w:rPr>
        <w:t>wi</w:t>
      </w:r>
      <w:r w:rsidR="00967C71">
        <w:rPr>
          <w:rFonts w:cs="Times New Roman"/>
          <w:sz w:val="22"/>
          <w:szCs w:val="22"/>
          <w:lang w:val="en-GB"/>
        </w:rPr>
        <w:t>th</w:t>
      </w:r>
      <w:r w:rsidR="00892681">
        <w:rPr>
          <w:rFonts w:cs="Times New Roman"/>
          <w:sz w:val="22"/>
          <w:szCs w:val="22"/>
          <w:lang w:val="en-GB"/>
        </w:rPr>
        <w:t xml:space="preserve"> missing</w:t>
      </w:r>
      <w:r w:rsidRPr="001900FE">
        <w:rPr>
          <w:rFonts w:cs="Times New Roman"/>
          <w:sz w:val="22"/>
          <w:szCs w:val="22"/>
          <w:lang w:val="en-GB"/>
        </w:rPr>
        <w:t xml:space="preserve"> </w:t>
      </w:r>
      <w:r w:rsidR="00892681">
        <w:rPr>
          <w:rFonts w:cs="Times New Roman"/>
          <w:sz w:val="22"/>
          <w:szCs w:val="22"/>
          <w:lang w:val="en-GB"/>
        </w:rPr>
        <w:t>(n=45</w:t>
      </w:r>
      <w:r w:rsidRPr="001900FE">
        <w:rPr>
          <w:rFonts w:cs="Times New Roman"/>
          <w:sz w:val="22"/>
          <w:szCs w:val="22"/>
          <w:lang w:val="en-GB"/>
        </w:rPr>
        <w:t>)</w:t>
      </w:r>
      <w:r w:rsidR="00892681">
        <w:rPr>
          <w:rFonts w:cs="Times New Roman"/>
          <w:sz w:val="22"/>
          <w:szCs w:val="22"/>
          <w:lang w:val="en-GB"/>
        </w:rPr>
        <w:t xml:space="preserve"> or </w:t>
      </w:r>
      <w:r w:rsidRPr="001900FE">
        <w:rPr>
          <w:rFonts w:cs="Times New Roman"/>
          <w:sz w:val="22"/>
          <w:szCs w:val="22"/>
          <w:lang w:val="en-GB"/>
        </w:rPr>
        <w:t>inadequate quality</w:t>
      </w:r>
      <w:r w:rsidR="00281D47" w:rsidRPr="001900FE">
        <w:rPr>
          <w:rFonts w:cs="Times New Roman"/>
          <w:sz w:val="22"/>
          <w:szCs w:val="22"/>
          <w:lang w:val="en-GB"/>
        </w:rPr>
        <w:t xml:space="preserve"> (</w:t>
      </w:r>
      <w:r w:rsidR="00892681">
        <w:rPr>
          <w:rFonts w:cs="Times New Roman"/>
          <w:sz w:val="22"/>
          <w:szCs w:val="22"/>
          <w:lang w:val="en-GB"/>
        </w:rPr>
        <w:t>n=23</w:t>
      </w:r>
      <w:r w:rsidR="00281D47" w:rsidRPr="001900FE">
        <w:rPr>
          <w:rFonts w:cs="Times New Roman"/>
          <w:sz w:val="22"/>
          <w:szCs w:val="22"/>
          <w:lang w:val="en-GB"/>
        </w:rPr>
        <w:t>)</w:t>
      </w:r>
      <w:r w:rsidR="00892681">
        <w:rPr>
          <w:rFonts w:cs="Times New Roman"/>
          <w:sz w:val="22"/>
          <w:szCs w:val="22"/>
          <w:lang w:val="en-GB"/>
        </w:rPr>
        <w:t xml:space="preserve"> CMR images</w:t>
      </w:r>
      <w:r w:rsidRPr="001900FE">
        <w:rPr>
          <w:rFonts w:cs="Times New Roman"/>
          <w:sz w:val="22"/>
          <w:szCs w:val="22"/>
          <w:lang w:val="en-GB"/>
        </w:rPr>
        <w:t xml:space="preserve">. Thus, PAT contours were </w:t>
      </w:r>
      <w:r w:rsidR="00967C71">
        <w:rPr>
          <w:rFonts w:cs="Times New Roman"/>
          <w:sz w:val="22"/>
          <w:szCs w:val="22"/>
          <w:lang w:val="en-GB"/>
        </w:rPr>
        <w:t xml:space="preserve">manually </w:t>
      </w:r>
      <w:r w:rsidRPr="001900FE">
        <w:rPr>
          <w:rFonts w:cs="Times New Roman"/>
          <w:sz w:val="22"/>
          <w:szCs w:val="22"/>
          <w:lang w:val="en-GB"/>
        </w:rPr>
        <w:t>drawn for n=432 participants. For the purposes of model training and evaluation, th</w:t>
      </w:r>
      <w:r w:rsidR="00967C71">
        <w:rPr>
          <w:rFonts w:cs="Times New Roman"/>
          <w:sz w:val="22"/>
          <w:szCs w:val="22"/>
          <w:lang w:val="en-GB"/>
        </w:rPr>
        <w:t>e sample</w:t>
      </w:r>
      <w:r w:rsidRPr="001900FE">
        <w:rPr>
          <w:rFonts w:cs="Times New Roman"/>
          <w:sz w:val="22"/>
          <w:szCs w:val="22"/>
          <w:lang w:val="en-GB"/>
        </w:rPr>
        <w:t xml:space="preserve"> was </w:t>
      </w:r>
      <w:r w:rsidR="00281D47" w:rsidRPr="001900FE">
        <w:rPr>
          <w:rFonts w:cs="Times New Roman"/>
          <w:sz w:val="22"/>
          <w:szCs w:val="22"/>
          <w:lang w:val="en-GB"/>
        </w:rPr>
        <w:t xml:space="preserve">randomly </w:t>
      </w:r>
      <w:r w:rsidRPr="001900FE">
        <w:rPr>
          <w:rFonts w:cs="Times New Roman"/>
          <w:sz w:val="22"/>
          <w:szCs w:val="22"/>
          <w:lang w:val="en-GB"/>
        </w:rPr>
        <w:t xml:space="preserve">split into training </w:t>
      </w:r>
      <w:r w:rsidR="00967C71">
        <w:rPr>
          <w:rFonts w:cs="Times New Roman"/>
          <w:sz w:val="22"/>
          <w:szCs w:val="22"/>
          <w:lang w:val="en-GB"/>
        </w:rPr>
        <w:t xml:space="preserve">(n=345) and </w:t>
      </w:r>
      <w:r w:rsidRPr="001900FE">
        <w:rPr>
          <w:rFonts w:cs="Times New Roman"/>
          <w:sz w:val="22"/>
          <w:szCs w:val="22"/>
          <w:lang w:val="en-GB"/>
        </w:rPr>
        <w:t xml:space="preserve">test </w:t>
      </w:r>
      <w:r w:rsidR="00967C71">
        <w:rPr>
          <w:rFonts w:cs="Times New Roman"/>
          <w:sz w:val="22"/>
          <w:szCs w:val="22"/>
          <w:lang w:val="en-GB"/>
        </w:rPr>
        <w:t xml:space="preserve">(n=87) </w:t>
      </w:r>
      <w:r w:rsidRPr="001900FE">
        <w:rPr>
          <w:rFonts w:cs="Times New Roman"/>
          <w:sz w:val="22"/>
          <w:szCs w:val="22"/>
          <w:lang w:val="en-GB"/>
        </w:rPr>
        <w:t>set</w:t>
      </w:r>
      <w:r w:rsidR="00967C71">
        <w:rPr>
          <w:rFonts w:cs="Times New Roman"/>
          <w:sz w:val="22"/>
          <w:szCs w:val="22"/>
          <w:lang w:val="en-GB"/>
        </w:rPr>
        <w:t>s</w:t>
      </w:r>
      <w:r w:rsidRPr="001900FE">
        <w:rPr>
          <w:rFonts w:cs="Times New Roman"/>
          <w:sz w:val="22"/>
          <w:szCs w:val="22"/>
          <w:lang w:val="en-GB"/>
        </w:rPr>
        <w:t xml:space="preserve">. </w:t>
      </w:r>
      <w:r w:rsidR="000A0799" w:rsidRPr="001900FE">
        <w:rPr>
          <w:rFonts w:cs="Times New Roman"/>
          <w:sz w:val="22"/>
          <w:szCs w:val="22"/>
          <w:lang w:val="en-GB"/>
        </w:rPr>
        <w:t>Image analysis was performed blind to participant details</w:t>
      </w:r>
      <w:r w:rsidR="000A0799">
        <w:rPr>
          <w:rFonts w:cs="Times New Roman"/>
          <w:sz w:val="22"/>
          <w:szCs w:val="22"/>
          <w:lang w:val="en-GB"/>
        </w:rPr>
        <w:t xml:space="preserve"> using </w:t>
      </w:r>
      <w:r w:rsidR="00281D47" w:rsidRPr="001900FE">
        <w:rPr>
          <w:rFonts w:cs="Times New Roman"/>
          <w:sz w:val="22"/>
          <w:szCs w:val="22"/>
        </w:rPr>
        <w:t>CVI</w:t>
      </w:r>
      <w:r w:rsidR="00281D47" w:rsidRPr="001900FE">
        <w:rPr>
          <w:rFonts w:cs="Times New Roman"/>
          <w:sz w:val="22"/>
          <w:szCs w:val="22"/>
          <w:vertAlign w:val="superscript"/>
        </w:rPr>
        <w:t>42</w:t>
      </w:r>
      <w:r w:rsidR="00281D47" w:rsidRPr="001900FE">
        <w:rPr>
          <w:rFonts w:cs="Times New Roman"/>
          <w:sz w:val="22"/>
          <w:szCs w:val="22"/>
        </w:rPr>
        <w:sym w:font="Symbol" w:char="F0E2"/>
      </w:r>
      <w:r w:rsidR="00281D47" w:rsidRPr="001900FE">
        <w:rPr>
          <w:rFonts w:cs="Times New Roman"/>
          <w:sz w:val="22"/>
          <w:szCs w:val="22"/>
        </w:rPr>
        <w:t xml:space="preserve"> post-processing software (Version 5.11, Circle Cardiovascular Imaging Inc., Calgary, Canada)</w:t>
      </w:r>
      <w:r w:rsidRPr="001900FE">
        <w:rPr>
          <w:rFonts w:cs="Times New Roman"/>
          <w:sz w:val="22"/>
          <w:szCs w:val="22"/>
          <w:lang w:val="en-GB"/>
        </w:rPr>
        <w:t>. Contours were drawn by AB and cross-checked by ZRE.</w:t>
      </w:r>
      <w:bookmarkStart w:id="5" w:name="neural-network-architecture"/>
    </w:p>
    <w:p w14:paraId="75556635" w14:textId="66DE8924" w:rsidR="00924460" w:rsidRDefault="00924460" w:rsidP="00FF2DC9">
      <w:pPr>
        <w:pStyle w:val="BodyText"/>
        <w:rPr>
          <w:rFonts w:cs="Times New Roman"/>
          <w:sz w:val="22"/>
          <w:szCs w:val="22"/>
          <w:lang w:val="en-GB"/>
        </w:rPr>
      </w:pPr>
    </w:p>
    <w:p w14:paraId="5D8D81BA" w14:textId="3F469559" w:rsidR="007632BD" w:rsidRPr="007632BD" w:rsidRDefault="007632BD" w:rsidP="00FF2DC9">
      <w:pPr>
        <w:pStyle w:val="BodyText"/>
        <w:rPr>
          <w:rFonts w:cs="Times New Roman"/>
          <w:b/>
          <w:bCs/>
          <w:color w:val="000000" w:themeColor="text1"/>
          <w:sz w:val="22"/>
          <w:szCs w:val="22"/>
          <w:lang w:val="en-GB"/>
        </w:rPr>
      </w:pPr>
      <w:r w:rsidRPr="00203F35">
        <w:rPr>
          <w:rFonts w:cs="Times New Roman"/>
          <w:b/>
          <w:bCs/>
          <w:sz w:val="22"/>
          <w:szCs w:val="22"/>
          <w:lang w:val="en-GB"/>
        </w:rPr>
        <w:t xml:space="preserve">Neural </w:t>
      </w:r>
      <w:r w:rsidRPr="00203F35">
        <w:rPr>
          <w:rFonts w:cs="Times New Roman"/>
          <w:b/>
          <w:bCs/>
          <w:color w:val="000000" w:themeColor="text1"/>
          <w:sz w:val="22"/>
          <w:szCs w:val="22"/>
          <w:lang w:val="en-GB"/>
        </w:rPr>
        <w:t>network architecture</w:t>
      </w:r>
    </w:p>
    <w:p w14:paraId="089BBE6C" w14:textId="536EB390" w:rsidR="00843499" w:rsidRDefault="00924460" w:rsidP="00FF2DC9">
      <w:pPr>
        <w:pStyle w:val="Firstparagraph"/>
        <w:rPr>
          <w:rFonts w:cs="Times New Roman"/>
          <w:sz w:val="22"/>
          <w:szCs w:val="22"/>
        </w:rPr>
      </w:pPr>
      <w:r w:rsidRPr="007632BD">
        <w:rPr>
          <w:rFonts w:cs="Times New Roman"/>
          <w:sz w:val="22"/>
          <w:szCs w:val="22"/>
        </w:rPr>
        <w:t xml:space="preserve">As the </w:t>
      </w:r>
      <w:r w:rsidRPr="001900FE">
        <w:rPr>
          <w:rFonts w:cs="Times New Roman"/>
          <w:sz w:val="22"/>
          <w:szCs w:val="22"/>
        </w:rPr>
        <w:t>size of PAT does not alter during the cardiac cycle, it may be quantified on static images, without consideration to cardiac motion. Thus, PAT quantification can be framed as a simple foreground-segmentation problem using a single frame per experimental subject, from which the area it occupies can be extracted. The task is to predict whether individual pixels represent a point of interest (i.e.</w:t>
      </w:r>
      <w:r w:rsidR="00B7733B">
        <w:rPr>
          <w:rFonts w:cs="Times New Roman"/>
          <w:sz w:val="22"/>
          <w:szCs w:val="22"/>
        </w:rPr>
        <w:t>,</w:t>
      </w:r>
      <w:r w:rsidRPr="001900FE">
        <w:rPr>
          <w:rFonts w:cs="Times New Roman"/>
          <w:sz w:val="22"/>
          <w:szCs w:val="22"/>
        </w:rPr>
        <w:t xml:space="preserve"> within PAT) or are a part of the background.</w:t>
      </w:r>
    </w:p>
    <w:p w14:paraId="3D5EA430" w14:textId="0DC1AFFB" w:rsidR="00843499" w:rsidRDefault="00843499" w:rsidP="00FF2DC9">
      <w:pPr>
        <w:pStyle w:val="Firstparagraph"/>
        <w:rPr>
          <w:rFonts w:cs="Times New Roman"/>
          <w:sz w:val="22"/>
          <w:szCs w:val="22"/>
        </w:rPr>
      </w:pPr>
    </w:p>
    <w:p w14:paraId="4743CD15" w14:textId="59F47373" w:rsidR="00843499" w:rsidRPr="003D7B43" w:rsidRDefault="00203F35" w:rsidP="00FE44E3">
      <w:pPr>
        <w:rPr>
          <w:color w:val="000000" w:themeColor="text1"/>
          <w:sz w:val="22"/>
          <w:szCs w:val="22"/>
        </w:rPr>
      </w:pPr>
      <w:r>
        <w:rPr>
          <w:sz w:val="22"/>
          <w:szCs w:val="22"/>
        </w:rPr>
        <w:t>G</w:t>
      </w:r>
      <w:r w:rsidR="00655368">
        <w:rPr>
          <w:sz w:val="22"/>
          <w:szCs w:val="22"/>
        </w:rPr>
        <w:t xml:space="preserve">reat progress has been made with automated </w:t>
      </w:r>
      <w:r w:rsidR="002502E9" w:rsidRPr="00924460">
        <w:rPr>
          <w:sz w:val="22"/>
          <w:szCs w:val="22"/>
        </w:rPr>
        <w:t>medical image segmentation using fully-convolutional neural networks</w:t>
      </w:r>
      <w:r w:rsidR="002502E9" w:rsidRPr="00924460">
        <w:rPr>
          <w:sz w:val="22"/>
          <w:szCs w:val="22"/>
        </w:rPr>
        <w:fldChar w:fldCharType="begin" w:fldLock="1"/>
      </w:r>
      <w:r w:rsidR="00D441C9">
        <w:rPr>
          <w:sz w:val="22"/>
          <w:szCs w:val="22"/>
        </w:rPr>
        <w:instrText>ADDIN CSL_CITATION {"citationItems":[{"id":"ITEM-1","itemData":{"DOI":"10.1186/s12968-018-0471-x","ISSN":"1532-429X","abstract":"Cardiovascular resonance (CMR) imaging is a standard imaging modality for assessing cardiovascular diseases (CVDs), the leading cause of death globally. CMR enables accurate quantification of the cardiac chamber volume, ejection fraction and myocardial mass, providing information for diagnosis and monitoring of CVDs. However, for years, clinicians have been relying on manual approaches for CMR image analysis, which is time consuming and prone to subjective errors. It is a major clinical challenge to automatically derive quantitative and clinically relevant information from CMR images. Deep neural networks have shown a great potential in image pattern recognition and segmentation for a variety of tasks. Here we demonstrate an automated analysis method for CMR images, which is based on a fully convolutional network (FCN). The network is trained and evaluated on a large-scale dataset from the UK Biobank, consisting of 4,875 subjects with 93,500 pixelwise annotated images. The performance of the method has been evaluated using a number of technical metrics, including the Dice metric, mean contour distance and Hausdorff distance, as well as clinically relevant measures, including left ventricle (LV) end-diastolic volume (LVEDV) and end-systolic volume (LVESV), LV mass (LVM); right ventricle (RV) end-diastolic volume (RVEDV) and end-systolic volume (RVESV). By combining FCN with a large-scale annotated dataset, the proposed automated method achieves a high performance in segmenting the LV and RV on short-axis CMR images and the left atrium (LA) and right atrium (RA) on long-axis CMR images. On a short-axis image test set of 600 subjects, it achieves an average Dice metric of 0.94 for the LV cavity, 0.88 for the LV myocardium and 0.90 for the RV cavity. The mean absolute difference between automated measurement and manual measurement is 6.1 mL for LVEDV, 5.3 mL for LVESV, 6.9 gram for LVM, 8.5 mL for RVEDV and 7.2 mL for RVESV. On long-axis image test sets, the average Dice metric is 0.93 for the LA cavity (2-chamber view), 0.95 for the LA cavity (4-chamber view) and 0.96 for the RA cavity (4-chamber view). The performance is comparable to human inter-observer variability. We show that an automated method achieves a performance on par with human experts in analysing CMR images and deriving clinically relevant measures.","author":[{"dropping-particle":"","family":"Bai","given":"Wenjia","non-dropping-particle":"","parse-names":false,"suffix":""},{"dropping-particle":"","family":"Sinclair","given":"Matthew","non-dropping-particle":"","parse-names":false,"suffix":""},{"dropping-particle":"","family":"Tarroni","given":"Giacomo","non-dropping-particle":"","parse-names":false,"suffix":""},{"dropping-particle":"","family":"Oktay","given":"Ozan","non-dropping-particle":"","parse-names":false,"suffix":""},{"dropping-particle":"","family":"Rajchl","given":"Martin","non-dropping-particle":"","parse-names":false,"suffix":""},{"dropping-particle":"","family":"Vaillant","given":"Ghislain","non-dropping-particle":"","parse-names":false,"suffix":""},{"dropping-particle":"","family":"Lee","given":"Aaron M.","non-dropping-particle":"","parse-names":false,"suffix":""},{"dropping-particle":"","family":"Aung","given":"Nay","non-dropping-particle":"","parse-names":false,"suffix":""},{"dropping-particle":"","family":"Lukaschuk","given":"Elena","non-dropping-particle":"","parse-names":false,"suffix":""},{"dropping-particle":"","family":"Sanghvi","given":"Mihir M.","non-dropping-particle":"","parse-names":false,"suffix":""},{"dropping-particle":"","family":"Zemrak","given":"Filip","non-dropping-particle":"","parse-names":false,"suffix":""},{"dropping-particle":"","family":"Fung","given":"Kenneth","non-dropping-particle":"","parse-names":false,"suffix":""},{"dropping-particle":"","family":"Paiva","given":"Jose Miguel","non-dropping-particle":"","parse-names":false,"suffix":""},{"dropping-particle":"","family":"Carapella","given":"Valentina","non-dropping-particle":"","parse-names":false,"suffix":""},{"dropping-particle":"","family":"Kim","given":"Young Jin","non-dropping-particle":"","parse-names":false,"suffix":""},{"dropping-particle":"","family":"Suzuki","given":"Hideaki","non-dropping-particle":"","parse-names":false,"suffix":""},{"dropping-particle":"","family":"Kainz","given":"Bernhard","non-dropping-particle":"","parse-names":false,"suffix":""},{"dropping-particle":"","family":"Matthews","given":"Paul M.","non-dropping-particle":"","parse-names":false,"suffix":""},{"dropping-particle":"","family":"Petersen","given":"Steffen E.","non-dropping-particle":"","parse-names":false,"suffix":""},{"dropping-particle":"","family":"Piechnik","given":"Stefan K.","non-dropping-particle":"","parse-names":false,"suffix":""},{"dropping-particle":"","family":"Neubauer","given":"Stefan","non-dropping-particle":"","parse-names":false,"suffix":""},{"dropping-particle":"","family":"Glocker","given":"Ben","non-dropping-particle":"","parse-names":false,"suffix":""},{"dropping-particle":"","family":"Rueckert","given":"Daniel","non-dropping-particle":"","parse-names":false,"suffix":""}],"container-title":"Journal of Cardiovascular Magnetic Resonance","id":"ITEM-1","issue":"1","issued":{"date-parts":[["2018","12","14"]]},"page":"65","publisher":"BioMed Central","title":"Automated cardiovascular magnetic resonance image analysis with fully convolutional networks","type":"article-journal","volume":"20"},"uris":["http://www.mendeley.com/documents/?uuid=415f10b6-aa5a-30e8-a6f4-ed5a72f2313a"]},{"id":"ITEM-2","itemData":{"DOI":"10.1007/978-3-319-24574-4_28","ISBN":"9783319245737","ISSN":"16113349","abstract":"There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author":[{"dropping-particle":"","family":"Ronneberger","given":"Olaf","non-dropping-particle":"","parse-names":false,"suffix":""},{"dropping-particle":"","family":"Fischer","given":"Philipp","non-dropping-particle":"","parse-names":false,"suffix":""},{"dropping-particle":"","family":"Brox","given":"Thomas","non-dropping-particle":"","parse-names":false,"suffix":""}],"container-title":"Lecture Notes in Computer Science (including subseries Lecture Notes in Artificial Intelligence and Lecture Notes in Bioinformatics)","id":"ITEM-2","issued":{"date-parts":[["2015"]]},"page":"234-241","title":"U-net: Convolutional networks for biomedical image segmentation","type":"article-journal","volume":"9351"},"uris":["http://www.mendeley.com/documents/?uuid=41b93e0e-fd1a-4855-bef7-bb086dd7702f"]}],"mendeley":{"formattedCitation":"(20,21)","plainTextFormattedCitation":"(20,21)","previouslyFormattedCitation":"(21,22)"},"properties":{"noteIndex":0},"schema":"https://github.com/citation-style-language/schema/raw/master/csl-citation.json"}</w:instrText>
      </w:r>
      <w:r w:rsidR="002502E9" w:rsidRPr="00924460">
        <w:rPr>
          <w:sz w:val="22"/>
          <w:szCs w:val="22"/>
        </w:rPr>
        <w:fldChar w:fldCharType="separate"/>
      </w:r>
      <w:r w:rsidR="00D441C9" w:rsidRPr="00D441C9">
        <w:rPr>
          <w:noProof/>
          <w:sz w:val="22"/>
          <w:szCs w:val="22"/>
        </w:rPr>
        <w:t>(20,21)</w:t>
      </w:r>
      <w:r w:rsidR="002502E9" w:rsidRPr="00924460">
        <w:rPr>
          <w:sz w:val="22"/>
          <w:szCs w:val="22"/>
        </w:rPr>
        <w:fldChar w:fldCharType="end"/>
      </w:r>
      <w:r w:rsidR="00655368">
        <w:rPr>
          <w:sz w:val="22"/>
          <w:szCs w:val="22"/>
        </w:rPr>
        <w:t>,</w:t>
      </w:r>
      <w:r w:rsidR="002502E9">
        <w:rPr>
          <w:sz w:val="22"/>
          <w:szCs w:val="22"/>
        </w:rPr>
        <w:t xml:space="preserve"> p</w:t>
      </w:r>
      <w:r w:rsidR="002502E9" w:rsidRPr="00924460">
        <w:rPr>
          <w:sz w:val="22"/>
          <w:szCs w:val="22"/>
        </w:rPr>
        <w:t>articularly</w:t>
      </w:r>
      <w:r w:rsidR="002502E9">
        <w:rPr>
          <w:sz w:val="22"/>
          <w:szCs w:val="22"/>
        </w:rPr>
        <w:t>,</w:t>
      </w:r>
      <w:r w:rsidR="002502E9" w:rsidRPr="00924460">
        <w:rPr>
          <w:sz w:val="22"/>
          <w:szCs w:val="22"/>
        </w:rPr>
        <w:t xml:space="preserve"> using encoder-decoder architectures</w:t>
      </w:r>
      <w:r w:rsidR="002502E9" w:rsidRPr="00924460">
        <w:rPr>
          <w:sz w:val="22"/>
          <w:szCs w:val="22"/>
        </w:rPr>
        <w:fldChar w:fldCharType="begin" w:fldLock="1"/>
      </w:r>
      <w:r w:rsidR="00D441C9">
        <w:rPr>
          <w:sz w:val="22"/>
          <w:szCs w:val="22"/>
        </w:rPr>
        <w:instrText>ADDIN CSL_CITATION {"citationItems":[{"id":"ITEM-1","itemData":{"abstract":"The importance of skip connections in biomedical image segmentation.","author":[{"dropping-particle":"","family":"Drozdzal","given":"M","non-dropping-particle":"","parse-names":false,"suffix":""},{"dropping-particle":"","family":"Vorontsov","given":"E","non-dropping-particle":"","parse-names":false,"suffix":""},{"dropping-particle":"","family":"Chartrand","given":"G","non-dropping-particle":"","parse-names":false,"suffix":""},{"dropping-particle":"","family":"Kadoury","given":"S","non-dropping-particle":"","parse-names":false,"suffix":""},{"dropping-particle":"","family":"Pal","given":"C","non-dropping-particle":"","parse-names":false,"suffix":""}],"id":"ITEM-1","issued":{"date-parts":[["2016"]]},"number-of-pages":"179-187","title":"Lecture Notes in Computer Science (including subseries Lecture Notes in Artificial Intelligence and Lecture Notes in Bioinformatics)","type":"book","volume":"10008 LNCS"},"uris":["http://www.mendeley.com/documents/?uuid=b13beda8-da86-3e08-9b58-876ef062f3e4"]}],"mendeley":{"formattedCitation":"(22)","plainTextFormattedCitation":"(22)","previouslyFormattedCitation":"(23)"},"properties":{"noteIndex":0},"schema":"https://github.com/citation-style-language/schema/raw/master/csl-citation.json"}</w:instrText>
      </w:r>
      <w:r w:rsidR="002502E9" w:rsidRPr="00924460">
        <w:rPr>
          <w:sz w:val="22"/>
          <w:szCs w:val="22"/>
        </w:rPr>
        <w:fldChar w:fldCharType="separate"/>
      </w:r>
      <w:r w:rsidR="00D441C9" w:rsidRPr="00D441C9">
        <w:rPr>
          <w:noProof/>
          <w:sz w:val="22"/>
          <w:szCs w:val="22"/>
        </w:rPr>
        <w:t>(22)</w:t>
      </w:r>
      <w:r w:rsidR="002502E9" w:rsidRPr="00924460">
        <w:rPr>
          <w:sz w:val="22"/>
          <w:szCs w:val="22"/>
        </w:rPr>
        <w:fldChar w:fldCharType="end"/>
      </w:r>
      <w:r w:rsidR="002502E9" w:rsidRPr="00924460">
        <w:rPr>
          <w:sz w:val="22"/>
          <w:szCs w:val="22"/>
        </w:rPr>
        <w:t xml:space="preserve">. </w:t>
      </w:r>
      <w:r w:rsidR="00843499">
        <w:rPr>
          <w:sz w:val="22"/>
          <w:szCs w:val="22"/>
        </w:rPr>
        <w:t>W</w:t>
      </w:r>
      <w:r w:rsidR="00843499" w:rsidRPr="00924460">
        <w:rPr>
          <w:sz w:val="22"/>
          <w:szCs w:val="22"/>
        </w:rPr>
        <w:t xml:space="preserve">e </w:t>
      </w:r>
      <w:r w:rsidR="002502E9">
        <w:rPr>
          <w:sz w:val="22"/>
          <w:szCs w:val="22"/>
        </w:rPr>
        <w:t>developed a neural network using</w:t>
      </w:r>
      <w:r w:rsidR="00843499" w:rsidRPr="00924460">
        <w:rPr>
          <w:sz w:val="22"/>
          <w:szCs w:val="22"/>
        </w:rPr>
        <w:t xml:space="preserve"> </w:t>
      </w:r>
      <w:r w:rsidR="00843499">
        <w:rPr>
          <w:sz w:val="22"/>
          <w:szCs w:val="22"/>
        </w:rPr>
        <w:t xml:space="preserve">a </w:t>
      </w:r>
      <w:r w:rsidR="00843499" w:rsidRPr="00924460">
        <w:rPr>
          <w:sz w:val="22"/>
          <w:szCs w:val="22"/>
        </w:rPr>
        <w:t xml:space="preserve">Multi-residual U-net </w:t>
      </w:r>
      <w:r w:rsidR="00843499">
        <w:rPr>
          <w:sz w:val="22"/>
          <w:szCs w:val="22"/>
        </w:rPr>
        <w:t>(</w:t>
      </w:r>
      <w:r w:rsidR="00843499" w:rsidRPr="00924460">
        <w:rPr>
          <w:sz w:val="22"/>
          <w:szCs w:val="22"/>
        </w:rPr>
        <w:t>MultiResUNet</w:t>
      </w:r>
      <w:r w:rsidR="00843499">
        <w:rPr>
          <w:sz w:val="22"/>
          <w:szCs w:val="22"/>
        </w:rPr>
        <w:t>)</w:t>
      </w:r>
      <w:r w:rsidR="00843499" w:rsidRPr="00924460">
        <w:rPr>
          <w:sz w:val="22"/>
          <w:szCs w:val="22"/>
        </w:rPr>
        <w:t xml:space="preserve"> base architecture</w:t>
      </w:r>
      <w:r w:rsidR="00843499" w:rsidRPr="00924460">
        <w:rPr>
          <w:sz w:val="22"/>
          <w:szCs w:val="22"/>
        </w:rPr>
        <w:fldChar w:fldCharType="begin" w:fldLock="1"/>
      </w:r>
      <w:r w:rsidR="00D441C9">
        <w:rPr>
          <w:sz w:val="22"/>
          <w:szCs w:val="22"/>
        </w:rPr>
        <w:instrText>ADDIN CSL_CITATION {"citationItems":[{"id":"ITEM-1","itemData":{"DOI":"10.1016/j.neunet.2019.08.025","ISSN":"18792782","PMID":"31536901","abstract":"In recent years Deep Learning has brought about a breakthrough in Medical Image Segmentation. In this regard, U-Net has been the most popular architecture in the medical imaging community. Despite outstanding overall performance in segmenting multimodal medical images, through extensive experimentations on some challenging datasets, we demonstrate that the classical U-Net architecture seems to be lacking in certain aspects. Therefore, we propose some modifications to improve upon the already state-of-the-art U-Net model. Following these modifications, we develop a novel architecture, MultiResUNet, as the potential successor to the U-Net architecture. We have tested and compared MultiResUNet with the classical U-Net on a vast repertoire of multimodal medical images. Although only slight improvements in the cases of ideal images are noticed, remarkable gains in performance have been attained for the challenging ones. We have evaluated our model on five different datasets, each with their own unique challenges, and have obtained a relative improvement in performance of 10.15%, 5.07%, 2.63%, 1.41%, and 0.62% respectively. We have also discussed and highlighted some qualitatively superior aspects of MultiResUNet over classical U-Net that are not really reflected in the quantitative measures.","author":[{"dropping-particle":"","family":"Ibtehaz","given":"Nabil","non-dropping-particle":"","parse-names":false,"suffix":""},{"dropping-particle":"","family":"Rahman","given":"M. Sohel","non-dropping-particle":"","parse-names":false,"suffix":""}],"container-title":"Neural Networks","id":"ITEM-1","issued":{"date-parts":[["2020","1","1"]]},"page":"74-87","publisher":"Elsevier Ltd","title":"MultiResUNet: Rethinking the U-Net architecture for multimodal biomedical image segmentation","type":"article-journal","volume":"121"},"uris":["http://www.mendeley.com/documents/?uuid=7a1ecda0-f051-3464-9056-8ee31a0146e5"]}],"mendeley":{"formattedCitation":"(23)","plainTextFormattedCitation":"(23)","previouslyFormattedCitation":"(24)"},"properties":{"noteIndex":0},"schema":"https://github.com/citation-style-language/schema/raw/master/csl-citation.json"}</w:instrText>
      </w:r>
      <w:r w:rsidR="00843499" w:rsidRPr="00924460">
        <w:rPr>
          <w:sz w:val="22"/>
          <w:szCs w:val="22"/>
        </w:rPr>
        <w:fldChar w:fldCharType="separate"/>
      </w:r>
      <w:r w:rsidR="00D441C9" w:rsidRPr="00D441C9">
        <w:rPr>
          <w:noProof/>
          <w:sz w:val="22"/>
          <w:szCs w:val="22"/>
        </w:rPr>
        <w:t>(23)</w:t>
      </w:r>
      <w:r w:rsidR="00843499" w:rsidRPr="00924460">
        <w:rPr>
          <w:sz w:val="22"/>
          <w:szCs w:val="22"/>
        </w:rPr>
        <w:fldChar w:fldCharType="end"/>
      </w:r>
      <w:r w:rsidR="00843499" w:rsidRPr="00924460">
        <w:rPr>
          <w:sz w:val="22"/>
          <w:szCs w:val="22"/>
        </w:rPr>
        <w:t xml:space="preserve"> with the incorporation of a permanently-active dropout layer</w:t>
      </w:r>
      <w:r w:rsidR="00843499" w:rsidRPr="00924460">
        <w:rPr>
          <w:sz w:val="22"/>
          <w:szCs w:val="22"/>
        </w:rPr>
        <w:fldChar w:fldCharType="begin" w:fldLock="1"/>
      </w:r>
      <w:r w:rsidR="00D441C9">
        <w:rPr>
          <w:sz w:val="22"/>
          <w:szCs w:val="22"/>
        </w:rPr>
        <w:instrText>ADDIN CSL_CITATION {"citationItems":[{"id":"ITEM-1","itemData":{"DOI":"10.1016/j.neuroimage.2019.03.042","ISSN":"10959572","PMID":"30926511","abstract":"We introduce Bayesian QuickNAT for the automated quality control of whole-brain segmentation on MRI T1 scans. Next to the Bayesian fully convolutional neural network, we also present inherent measures of segmentation uncertainty that allow for quality control per brain structure. For estimating model uncertainty, we follow a Bayesian approach, wherein, Monte Carlo (MC) samples from the posterior distribution are generated by keeping the dropout layers active at test time. Entropy over the MC samples provides a voxel-wise model uncertainty map, whereas expectation over the MC predictions provides the final segmentation. Next to voxel-wise uncertainty, we introduce four metrics to quantify structure-wise uncertainty in segmentation for quality control. We report experiments on four out-of-sample datasets comprising of diverse age range, pathology and imaging artifacts. The proposed structure-wise uncertainty metrics are highly correlated with the Dice score estimated with manual annotation and therefore present an inherent measure of segmentation quality. In particular, the intersection over union over all the MC samples is a suitable proxy for the Dice score. In addition to quality control at scan-level, we propose to incorporate the structure-wise uncertainty as a measure of confidence to do reliable group analysis on large data repositories. We envisage that the introduced uncertainty metrics would help assess the fidelity of automated deep learning based segmentation methods for large-scale population studies, as they enable automated quality control and group analyses in processing large data repositories.","author":[{"dropping-particle":"","family":"Roy","given":"Abhijit Guha","non-dropping-particle":"","parse-names":false,"suffix":""},{"dropping-particle":"","family":"Conjeti","given":"Sailesh","non-dropping-particle":"","parse-names":false,"suffix":""},{"dropping-particle":"","family":"Navab","given":"Nassir","non-dropping-particle":"","parse-names":false,"suffix":""},{"dropping-particle":"","family":"Wachinger","given":"Christian","non-dropping-particle":"","parse-names":false,"suffix":""}],"container-title":"NeuroImage","id":"ITEM-1","issued":{"date-parts":[["2019","7","15"]]},"page":"11-22","publisher":"Academic Press Inc.","title":"Bayesian QuickNAT: Model uncertainty in deep whole-brain segmentation for structure-wise quality control","type":"article-journal","volume":"195"},"uris":["http://www.mendeley.com/documents/?uuid=6eaabf28-418b-3838-bd33-4101d7cc8256"]}],"mendeley":{"formattedCitation":"(24)","plainTextFormattedCitation":"(24)","previouslyFormattedCitation":"(25)"},"properties":{"noteIndex":0},"schema":"https://github.com/citation-style-language/schema/raw/master/csl-citation.json"}</w:instrText>
      </w:r>
      <w:r w:rsidR="00843499" w:rsidRPr="00924460">
        <w:rPr>
          <w:sz w:val="22"/>
          <w:szCs w:val="22"/>
        </w:rPr>
        <w:fldChar w:fldCharType="separate"/>
      </w:r>
      <w:r w:rsidR="00D441C9" w:rsidRPr="00D441C9">
        <w:rPr>
          <w:noProof/>
          <w:sz w:val="22"/>
          <w:szCs w:val="22"/>
        </w:rPr>
        <w:t>(24)</w:t>
      </w:r>
      <w:r w:rsidR="00843499" w:rsidRPr="00924460">
        <w:rPr>
          <w:sz w:val="22"/>
          <w:szCs w:val="22"/>
        </w:rPr>
        <w:fldChar w:fldCharType="end"/>
      </w:r>
      <w:r w:rsidR="00843499" w:rsidRPr="00924460">
        <w:rPr>
          <w:sz w:val="22"/>
          <w:szCs w:val="22"/>
        </w:rPr>
        <w:t xml:space="preserve"> at the end of each multi-residual </w:t>
      </w:r>
      <w:r w:rsidR="00843499" w:rsidRPr="00C30B86">
        <w:rPr>
          <w:sz w:val="22"/>
          <w:szCs w:val="22"/>
        </w:rPr>
        <w:t>block (</w:t>
      </w:r>
      <w:r w:rsidR="00F34F0F" w:rsidRPr="00C30B86">
        <w:rPr>
          <w:b/>
          <w:bCs/>
          <w:sz w:val="22"/>
          <w:szCs w:val="22"/>
        </w:rPr>
        <w:t>Central illustration</w:t>
      </w:r>
      <w:r w:rsidR="00843499" w:rsidRPr="00924460">
        <w:rPr>
          <w:sz w:val="22"/>
          <w:szCs w:val="22"/>
        </w:rPr>
        <w:t xml:space="preserve">). The </w:t>
      </w:r>
      <w:r w:rsidR="00843499" w:rsidRPr="00B7733B">
        <w:rPr>
          <w:sz w:val="22"/>
          <w:szCs w:val="22"/>
        </w:rPr>
        <w:t xml:space="preserve">best trade-off between overall segmentation accuracy and prediction of that accuracy was </w:t>
      </w:r>
      <w:r w:rsidR="00B7733B">
        <w:rPr>
          <w:sz w:val="22"/>
          <w:szCs w:val="22"/>
        </w:rPr>
        <w:t>obtained</w:t>
      </w:r>
      <w:r w:rsidR="00843499" w:rsidRPr="00B7733B">
        <w:rPr>
          <w:sz w:val="22"/>
          <w:szCs w:val="22"/>
        </w:rPr>
        <w:t xml:space="preserve"> </w:t>
      </w:r>
      <w:r w:rsidR="002502E9" w:rsidRPr="00B7733B">
        <w:rPr>
          <w:sz w:val="22"/>
          <w:szCs w:val="22"/>
        </w:rPr>
        <w:t>with a</w:t>
      </w:r>
      <w:r w:rsidR="00843499" w:rsidRPr="00B7733B">
        <w:rPr>
          <w:sz w:val="22"/>
          <w:szCs w:val="22"/>
        </w:rPr>
        <w:t xml:space="preserve"> </w:t>
      </w:r>
      <w:r w:rsidR="00952739" w:rsidRPr="00B7733B">
        <w:rPr>
          <w:sz w:val="22"/>
          <w:szCs w:val="22"/>
        </w:rPr>
        <w:t>d</w:t>
      </w:r>
      <w:r w:rsidR="00843499" w:rsidRPr="00B7733B">
        <w:rPr>
          <w:sz w:val="22"/>
          <w:szCs w:val="22"/>
        </w:rPr>
        <w:t xml:space="preserve">ropout </w:t>
      </w:r>
      <w:r w:rsidR="00991247" w:rsidRPr="00B7733B">
        <w:rPr>
          <w:color w:val="000000" w:themeColor="text1"/>
          <w:sz w:val="22"/>
          <w:szCs w:val="22"/>
        </w:rPr>
        <w:t>rate</w:t>
      </w:r>
      <w:r w:rsidR="00991247" w:rsidRPr="00B7733B">
        <w:rPr>
          <w:color w:val="FF0000"/>
          <w:sz w:val="22"/>
          <w:szCs w:val="22"/>
        </w:rPr>
        <w:t xml:space="preserve"> </w:t>
      </w:r>
      <w:r w:rsidR="002502E9" w:rsidRPr="00B7733B">
        <w:rPr>
          <w:sz w:val="22"/>
          <w:szCs w:val="22"/>
        </w:rPr>
        <w:t xml:space="preserve">r=0.3, </w:t>
      </w:r>
      <w:r w:rsidR="00843499" w:rsidRPr="00B7733B">
        <w:rPr>
          <w:sz w:val="22"/>
          <w:szCs w:val="22"/>
        </w:rPr>
        <w:t>which we found to be optimal for model performance</w:t>
      </w:r>
      <w:r w:rsidR="007578B4" w:rsidRPr="00B7733B">
        <w:rPr>
          <w:sz w:val="22"/>
          <w:szCs w:val="22"/>
        </w:rPr>
        <w:t xml:space="preserve">. </w:t>
      </w:r>
      <w:r w:rsidR="007578B4" w:rsidRPr="00B7733B">
        <w:rPr>
          <w:color w:val="000000" w:themeColor="text1"/>
          <w:sz w:val="22"/>
          <w:szCs w:val="22"/>
        </w:rPr>
        <w:t xml:space="preserve">This was selected as the largest </w:t>
      </w:r>
      <w:r w:rsidR="00B7733B">
        <w:rPr>
          <w:color w:val="000000" w:themeColor="text1"/>
          <w:sz w:val="22"/>
          <w:szCs w:val="22"/>
        </w:rPr>
        <w:t xml:space="preserve">r </w:t>
      </w:r>
      <w:r w:rsidR="007578B4" w:rsidRPr="00B7733B">
        <w:rPr>
          <w:color w:val="000000" w:themeColor="text1"/>
          <w:sz w:val="22"/>
          <w:szCs w:val="22"/>
        </w:rPr>
        <w:t>value at which the segmentation quality was not statistically reduced relative to a non-stochastic network (Supplementary figure 1).</w:t>
      </w:r>
      <w:r w:rsidR="007578B4" w:rsidRPr="00B7733B">
        <w:rPr>
          <w:color w:val="4472C4" w:themeColor="accent1"/>
          <w:sz w:val="22"/>
          <w:szCs w:val="22"/>
        </w:rPr>
        <w:t xml:space="preserve"> </w:t>
      </w:r>
      <w:r w:rsidR="00843499" w:rsidRPr="00B7733B">
        <w:rPr>
          <w:sz w:val="22"/>
          <w:szCs w:val="22"/>
        </w:rPr>
        <w:t>To incorporate a measure of uncer</w:t>
      </w:r>
      <w:r w:rsidR="00843499" w:rsidRPr="00B7733B">
        <w:rPr>
          <w:color w:val="000000" w:themeColor="text1"/>
          <w:sz w:val="22"/>
          <w:szCs w:val="22"/>
        </w:rPr>
        <w:t>tainty</w:t>
      </w:r>
      <w:r w:rsidR="00841078" w:rsidRPr="00B7733B">
        <w:rPr>
          <w:color w:val="000000" w:themeColor="text1"/>
          <w:sz w:val="22"/>
          <w:szCs w:val="22"/>
        </w:rPr>
        <w:t xml:space="preserve"> which can be used for QC</w:t>
      </w:r>
      <w:r w:rsidR="00843499" w:rsidRPr="00B7733B">
        <w:rPr>
          <w:color w:val="000000" w:themeColor="text1"/>
          <w:sz w:val="22"/>
          <w:szCs w:val="22"/>
        </w:rPr>
        <w:t>,</w:t>
      </w:r>
      <w:r w:rsidR="00843499" w:rsidRPr="003D7B43">
        <w:rPr>
          <w:color w:val="000000" w:themeColor="text1"/>
          <w:sz w:val="22"/>
          <w:szCs w:val="22"/>
        </w:rPr>
        <w:t xml:space="preserve"> we used permanently-active </w:t>
      </w:r>
      <w:r w:rsidR="00952739" w:rsidRPr="003D7B43">
        <w:rPr>
          <w:color w:val="000000" w:themeColor="text1"/>
          <w:sz w:val="22"/>
          <w:szCs w:val="22"/>
        </w:rPr>
        <w:t>d</w:t>
      </w:r>
      <w:r w:rsidR="00843499" w:rsidRPr="003D7B43">
        <w:rPr>
          <w:color w:val="000000" w:themeColor="text1"/>
          <w:sz w:val="22"/>
          <w:szCs w:val="22"/>
        </w:rPr>
        <w:t xml:space="preserve">ropout layers to add a stochastic component to their network outputs, meaning </w:t>
      </w:r>
      <w:r w:rsidR="00843499" w:rsidRPr="00924460">
        <w:rPr>
          <w:sz w:val="22"/>
          <w:szCs w:val="22"/>
        </w:rPr>
        <w:t>that multiple Monte-Carlo (MC) samples can be drawn for any given input</w:t>
      </w:r>
      <w:r w:rsidR="00843499" w:rsidRPr="00924460">
        <w:rPr>
          <w:sz w:val="22"/>
          <w:szCs w:val="22"/>
        </w:rPr>
        <w:fldChar w:fldCharType="begin" w:fldLock="1"/>
      </w:r>
      <w:r w:rsidR="00D441C9">
        <w:rPr>
          <w:sz w:val="22"/>
          <w:szCs w:val="22"/>
        </w:rPr>
        <w:instrText>ADDIN CSL_CITATION {"citationItems":[{"id":"ITEM-1","itemData":{"DOI":"10.1016/j.neuroimage.2019.03.042","ISSN":"10959572","PMID":"30926511","abstract":"We introduce Bayesian QuickNAT for the automated quality control of whole-brain segmentation on MRI T1 scans. Next to the Bayesian fully convolutional neural network, we also present inherent measures of segmentation uncertainty that allow for quality control per brain structure. For estimating model uncertainty, we follow a Bayesian approach, wherein, Monte Carlo (MC) samples from the posterior distribution are generated by keeping the dropout layers active at test time. Entropy over the MC samples provides a voxel-wise model uncertainty map, whereas expectation over the MC predictions provides the final segmentation. Next to voxel-wise uncertainty, we introduce four metrics to quantify structure-wise uncertainty in segmentation for quality control. We report experiments on four out-of-sample datasets comprising of diverse age range, pathology and imaging artifacts. The proposed structure-wise uncertainty metrics are highly correlated with the Dice score estimated with manual annotation and therefore present an inherent measure of segmentation quality. In particular, the intersection over union over all the MC samples is a suitable proxy for the Dice score. In addition to quality control at scan-level, we propose to incorporate the structure-wise uncertainty as a measure of confidence to do reliable group analysis on large data repositories. We envisage that the introduced uncertainty metrics would help assess the fidelity of automated deep learning based segmentation methods for large-scale population studies, as they enable automated quality control and group analyses in processing large data repositories.","author":[{"dropping-particle":"","family":"Roy","given":"Abhijit Guha","non-dropping-particle":"","parse-names":false,"suffix":""},{"dropping-particle":"","family":"Conjeti","given":"Sailesh","non-dropping-particle":"","parse-names":false,"suffix":""},{"dropping-particle":"","family":"Navab","given":"Nassir","non-dropping-particle":"","parse-names":false,"suffix":""},{"dropping-particle":"","family":"Wachinger","given":"Christian","non-dropping-particle":"","parse-names":false,"suffix":""}],"container-title":"NeuroImage","id":"ITEM-1","issued":{"date-parts":[["2019","7","15"]]},"page":"11-22","publisher":"Academic Press Inc.","title":"Bayesian QuickNAT: Model uncertainty in deep whole-brain segmentation for structure-wise quality control","type":"article-journal","volume":"195"},"uris":["http://www.mendeley.com/documents/?uuid=6eaabf28-418b-3838-bd33-4101d7cc8256"]}],"mendeley":{"formattedCitation":"(24)","plainTextFormattedCitation":"(24)","previouslyFormattedCitation":"(25)"},"properties":{"noteIndex":0},"schema":"https://github.com/citation-style-language/schema/raw/master/csl-citation.json"}</w:instrText>
      </w:r>
      <w:r w:rsidR="00843499" w:rsidRPr="00924460">
        <w:rPr>
          <w:sz w:val="22"/>
          <w:szCs w:val="22"/>
        </w:rPr>
        <w:fldChar w:fldCharType="separate"/>
      </w:r>
      <w:r w:rsidR="00D441C9" w:rsidRPr="00D441C9">
        <w:rPr>
          <w:noProof/>
          <w:sz w:val="22"/>
          <w:szCs w:val="22"/>
        </w:rPr>
        <w:t>(24)</w:t>
      </w:r>
      <w:r w:rsidR="00843499" w:rsidRPr="00924460">
        <w:rPr>
          <w:sz w:val="22"/>
          <w:szCs w:val="22"/>
        </w:rPr>
        <w:fldChar w:fldCharType="end"/>
      </w:r>
      <w:r w:rsidR="00843499" w:rsidRPr="00924460">
        <w:rPr>
          <w:sz w:val="22"/>
          <w:szCs w:val="22"/>
        </w:rPr>
        <w:t xml:space="preserve">. This MC sampling from a stochastic neural network generates </w:t>
      </w:r>
      <m:oMath>
        <m:r>
          <m:rPr>
            <m:sty m:val="p"/>
          </m:rPr>
          <w:rPr>
            <w:rFonts w:ascii="Cambria Math" w:hAnsi="Cambria Math"/>
            <w:sz w:val="22"/>
            <w:szCs w:val="22"/>
          </w:rPr>
          <m:t>N</m:t>
        </m:r>
      </m:oMath>
      <w:r w:rsidR="00843499" w:rsidRPr="00924460">
        <w:rPr>
          <w:sz w:val="22"/>
          <w:szCs w:val="22"/>
        </w:rPr>
        <w:t xml:space="preserve"> samples of predicted </w:t>
      </w:r>
      <w:r w:rsidR="00843499" w:rsidRPr="003D7B43">
        <w:rPr>
          <w:color w:val="000000" w:themeColor="text1"/>
          <w:sz w:val="22"/>
          <w:szCs w:val="22"/>
        </w:rPr>
        <w:t xml:space="preserve">probability maps </w:t>
      </w:r>
      <m:oMath>
        <m:d>
          <m:dPr>
            <m:begChr m:val="{"/>
            <m:endChr m:val="}"/>
            <m:ctrlPr>
              <w:rPr>
                <w:rFonts w:ascii="Cambria Math" w:hAnsi="Cambria Math"/>
                <w:color w:val="000000" w:themeColor="text1"/>
                <w:sz w:val="22"/>
                <w:szCs w:val="22"/>
              </w:rPr>
            </m:ctrlPr>
          </m:dPr>
          <m:e>
            <m:sSub>
              <m:sSubPr>
                <m:ctrlPr>
                  <w:rPr>
                    <w:rFonts w:ascii="Cambria Math" w:hAnsi="Cambria Math"/>
                    <w:color w:val="000000" w:themeColor="text1"/>
                    <w:sz w:val="22"/>
                    <w:szCs w:val="22"/>
                  </w:rPr>
                </m:ctrlPr>
              </m:sSubPr>
              <m:e>
                <m:r>
                  <m:rPr>
                    <m:sty m:val="p"/>
                  </m:rPr>
                  <w:rPr>
                    <w:rFonts w:ascii="Cambria Math" w:hAnsi="Cambria Math"/>
                    <w:color w:val="000000" w:themeColor="text1"/>
                    <w:sz w:val="22"/>
                    <w:szCs w:val="22"/>
                  </w:rPr>
                  <m:t>P</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m:rPr>
                    <m:sty m:val="p"/>
                  </m:rPr>
                  <w:rPr>
                    <w:rFonts w:ascii="Cambria Math" w:hAnsi="Cambria Math"/>
                    <w:color w:val="000000" w:themeColor="text1"/>
                    <w:sz w:val="22"/>
                    <w:szCs w:val="22"/>
                  </w:rPr>
                  <m:t>P</m:t>
                </m:r>
              </m:e>
              <m:sub>
                <m:r>
                  <m:rPr>
                    <m:sty m:val="p"/>
                  </m:rPr>
                  <w:rPr>
                    <w:rFonts w:ascii="Cambria Math" w:hAnsi="Cambria Math"/>
                    <w:color w:val="000000" w:themeColor="text1"/>
                    <w:sz w:val="22"/>
                    <w:szCs w:val="22"/>
                  </w:rPr>
                  <m:t>N</m:t>
                </m:r>
              </m:sub>
            </m:sSub>
          </m:e>
        </m:d>
      </m:oMath>
      <w:r w:rsidR="00843499" w:rsidRPr="003D7B43">
        <w:rPr>
          <w:color w:val="000000" w:themeColor="text1"/>
          <w:sz w:val="22"/>
          <w:szCs w:val="22"/>
        </w:rPr>
        <w:t xml:space="preserve">, from which thresholding at 0.5 can generate </w:t>
      </w:r>
      <w:r w:rsidR="000D0470" w:rsidRPr="003D7B43">
        <w:rPr>
          <w:color w:val="000000" w:themeColor="text1"/>
          <w:sz w:val="22"/>
          <w:szCs w:val="22"/>
        </w:rPr>
        <w:t>Boolean</w:t>
      </w:r>
      <w:r w:rsidR="00843499" w:rsidRPr="003D7B43">
        <w:rPr>
          <w:color w:val="000000" w:themeColor="text1"/>
          <w:sz w:val="22"/>
          <w:szCs w:val="22"/>
        </w:rPr>
        <w:t xml:space="preserve"> segmentation maps </w:t>
      </w:r>
      <m:oMath>
        <m:d>
          <m:dPr>
            <m:begChr m:val="{"/>
            <m:endChr m:val="}"/>
            <m:ctrlPr>
              <w:rPr>
                <w:rFonts w:ascii="Cambria Math" w:hAnsi="Cambria Math"/>
                <w:color w:val="000000" w:themeColor="text1"/>
                <w:sz w:val="22"/>
                <w:szCs w:val="22"/>
              </w:rPr>
            </m:ctrlPr>
          </m:dPr>
          <m:e>
            <m:sSub>
              <m:sSubPr>
                <m:ctrlPr>
                  <w:rPr>
                    <w:rFonts w:ascii="Cambria Math" w:hAnsi="Cambria Math"/>
                    <w:color w:val="000000" w:themeColor="text1"/>
                    <w:sz w:val="22"/>
                    <w:szCs w:val="22"/>
                  </w:rPr>
                </m:ctrlPr>
              </m:sSubPr>
              <m:e>
                <m:r>
                  <m:rPr>
                    <m:sty m:val="p"/>
                  </m:rPr>
                  <w:rPr>
                    <w:rFonts w:ascii="Cambria Math" w:hAnsi="Cambria Math"/>
                    <w:color w:val="000000" w:themeColor="text1"/>
                    <w:sz w:val="22"/>
                    <w:szCs w:val="22"/>
                  </w:rPr>
                  <m:t>S</m:t>
                </m:r>
              </m:e>
              <m:sub>
                <m:r>
                  <m:rPr>
                    <m:sty m:val="p"/>
                  </m:rPr>
                  <w:rPr>
                    <w:rFonts w:ascii="Cambria Math" w:hAnsi="Cambria Math"/>
                    <w:color w:val="000000" w:themeColor="text1"/>
                    <w:sz w:val="22"/>
                    <w:szCs w:val="22"/>
                  </w:rPr>
                  <m:t>1</m:t>
                </m:r>
              </m:sub>
            </m:sSub>
            <m:r>
              <m:rPr>
                <m:sty m:val="p"/>
              </m:rP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m:rPr>
                    <m:sty m:val="p"/>
                  </m:rPr>
                  <w:rPr>
                    <w:rFonts w:ascii="Cambria Math" w:hAnsi="Cambria Math"/>
                    <w:color w:val="000000" w:themeColor="text1"/>
                    <w:sz w:val="22"/>
                    <w:szCs w:val="22"/>
                  </w:rPr>
                  <m:t>S</m:t>
                </m:r>
              </m:e>
              <m:sub>
                <m:r>
                  <m:rPr>
                    <m:sty m:val="p"/>
                  </m:rPr>
                  <w:rPr>
                    <w:rFonts w:ascii="Cambria Math" w:hAnsi="Cambria Math"/>
                    <w:color w:val="000000" w:themeColor="text1"/>
                    <w:sz w:val="22"/>
                    <w:szCs w:val="22"/>
                  </w:rPr>
                  <m:t>N</m:t>
                </m:r>
              </m:sub>
            </m:sSub>
          </m:e>
        </m:d>
      </m:oMath>
      <w:r w:rsidR="00843499" w:rsidRPr="003D7B43">
        <w:rPr>
          <w:color w:val="000000" w:themeColor="text1"/>
          <w:sz w:val="22"/>
          <w:szCs w:val="22"/>
        </w:rPr>
        <w:t xml:space="preserve">. For our foreground detection problem, the final segmentation </w:t>
      </w:r>
      <m:oMath>
        <m:r>
          <m:rPr>
            <m:sty m:val="p"/>
          </m:rPr>
          <w:rPr>
            <w:rFonts w:ascii="Cambria Math" w:hAnsi="Cambria Math"/>
            <w:color w:val="000000" w:themeColor="text1"/>
            <w:sz w:val="22"/>
            <w:szCs w:val="22"/>
          </w:rPr>
          <m:t>S</m:t>
        </m:r>
      </m:oMath>
      <w:r w:rsidR="00843499" w:rsidRPr="003D7B43">
        <w:rPr>
          <w:color w:val="000000" w:themeColor="text1"/>
          <w:sz w:val="22"/>
          <w:szCs w:val="22"/>
        </w:rPr>
        <w:t xml:space="preserve"> for each voxel (</w:t>
      </w:r>
      <m:oMath>
        <m:r>
          <m:rPr>
            <m:sty m:val="p"/>
          </m:rPr>
          <w:rPr>
            <w:rFonts w:ascii="Cambria Math" w:hAnsi="Cambria Math"/>
            <w:color w:val="000000" w:themeColor="text1"/>
            <w:sz w:val="22"/>
            <w:szCs w:val="22"/>
          </w:rPr>
          <m:t>x</m:t>
        </m:r>
      </m:oMath>
      <w:r w:rsidR="00843499" w:rsidRPr="003D7B43">
        <w:rPr>
          <w:color w:val="000000" w:themeColor="text1"/>
          <w:sz w:val="22"/>
          <w:szCs w:val="22"/>
        </w:rPr>
        <w:t xml:space="preserve">) is defined by thresholding the voxelwise mean of </w:t>
      </w:r>
      <m:oMath>
        <m:r>
          <m:rPr>
            <m:sty m:val="p"/>
          </m:rPr>
          <w:rPr>
            <w:rFonts w:ascii="Cambria Math" w:hAnsi="Cambria Math"/>
            <w:color w:val="000000" w:themeColor="text1"/>
            <w:sz w:val="22"/>
            <w:szCs w:val="22"/>
          </w:rPr>
          <m:t>S</m:t>
        </m:r>
      </m:oMath>
      <w:r w:rsidR="00843499" w:rsidRPr="003D7B43">
        <w:rPr>
          <w:color w:val="000000" w:themeColor="text1"/>
          <w:sz w:val="22"/>
          <w:szCs w:val="22"/>
        </w:rPr>
        <w:t>:</w:t>
      </w:r>
    </w:p>
    <w:p w14:paraId="7E5F94C7" w14:textId="77777777" w:rsidR="00235510" w:rsidRPr="003D7B43" w:rsidRDefault="00235510" w:rsidP="00FF2DC9">
      <w:pPr>
        <w:pStyle w:val="BodyText"/>
        <w:rPr>
          <w:color w:val="000000" w:themeColor="text1"/>
          <w:lang w:val="en-GB"/>
        </w:rPr>
      </w:pPr>
    </w:p>
    <w:p w14:paraId="7D70194E" w14:textId="15C02BAA" w:rsidR="00235510" w:rsidRPr="003D7B43" w:rsidRDefault="00843499" w:rsidP="00FF2DC9">
      <w:pPr>
        <w:pStyle w:val="BodyText"/>
        <w:rPr>
          <w:rFonts w:cs="Times New Roman"/>
          <w:color w:val="000000" w:themeColor="text1"/>
          <w:sz w:val="22"/>
          <w:szCs w:val="22"/>
          <w:lang w:val="en-GB"/>
        </w:rPr>
      </w:pPr>
      <m:oMathPara>
        <m:oMath>
          <m:r>
            <m:rPr>
              <m:sty m:val="p"/>
            </m:rPr>
            <w:rPr>
              <w:rFonts w:ascii="Cambria Math" w:hAnsi="Cambria Math" w:cs="Times New Roman"/>
              <w:color w:val="000000" w:themeColor="text1"/>
              <w:sz w:val="22"/>
              <w:szCs w:val="22"/>
              <w:lang w:val="en-GB"/>
            </w:rPr>
            <m:t>S(x)=</m:t>
          </m:r>
          <m:d>
            <m:dPr>
              <m:begChr m:val="{"/>
              <m:endChr m:val=""/>
              <m:ctrlPr>
                <w:rPr>
                  <w:rFonts w:ascii="Cambria Math" w:hAnsi="Cambria Math" w:cs="Times New Roman"/>
                  <w:color w:val="000000" w:themeColor="text1"/>
                  <w:sz w:val="22"/>
                  <w:szCs w:val="22"/>
                  <w:lang w:val="en-GB"/>
                </w:rPr>
              </m:ctrlPr>
            </m:dPr>
            <m:e>
              <m:m>
                <m:mPr>
                  <m:mcs>
                    <m:mc>
                      <m:mcPr>
                        <m:count m:val="2"/>
                        <m:mcJc m:val="center"/>
                      </m:mcPr>
                    </m:mc>
                  </m:mcs>
                  <m:ctrlPr>
                    <w:rPr>
                      <w:rFonts w:ascii="Cambria Math" w:hAnsi="Cambria Math" w:cs="Times New Roman"/>
                      <w:color w:val="000000" w:themeColor="text1"/>
                      <w:sz w:val="22"/>
                      <w:szCs w:val="22"/>
                      <w:lang w:val="en-GB"/>
                    </w:rPr>
                  </m:ctrlPr>
                </m:mPr>
                <m:mr>
                  <m:e>
                    <m:r>
                      <m:rPr>
                        <m:sty m:val="p"/>
                      </m:rPr>
                      <w:rPr>
                        <w:rFonts w:ascii="Cambria Math" w:hAnsi="Cambria Math" w:cs="Times New Roman"/>
                        <w:color w:val="000000" w:themeColor="text1"/>
                        <w:sz w:val="22"/>
                        <w:szCs w:val="22"/>
                        <w:lang w:val="en-GB"/>
                      </w:rPr>
                      <m:t>1</m:t>
                    </m:r>
                  </m:e>
                  <m:e>
                    <m:f>
                      <m:fPr>
                        <m:ctrlPr>
                          <w:rPr>
                            <w:rFonts w:ascii="Cambria Math" w:hAnsi="Cambria Math" w:cs="Times New Roman"/>
                            <w:color w:val="000000" w:themeColor="text1"/>
                            <w:sz w:val="22"/>
                            <w:szCs w:val="22"/>
                            <w:lang w:val="en-GB"/>
                          </w:rPr>
                        </m:ctrlPr>
                      </m:fPr>
                      <m:num>
                        <m:nary>
                          <m:naryPr>
                            <m:chr m:val="∑"/>
                            <m:ctrlPr>
                              <w:rPr>
                                <w:rFonts w:ascii="Cambria Math" w:hAnsi="Cambria Math" w:cs="Times New Roman"/>
                                <w:color w:val="000000" w:themeColor="text1"/>
                                <w:sz w:val="22"/>
                                <w:szCs w:val="22"/>
                                <w:lang w:val="en-GB"/>
                              </w:rPr>
                            </m:ctrlPr>
                          </m:naryPr>
                          <m:sub>
                            <m:r>
                              <m:rPr>
                                <m:sty m:val="p"/>
                              </m:rPr>
                              <w:rPr>
                                <w:rFonts w:ascii="Cambria Math" w:hAnsi="Cambria Math" w:cs="Times New Roman"/>
                                <w:color w:val="000000" w:themeColor="text1"/>
                                <w:sz w:val="22"/>
                                <w:szCs w:val="22"/>
                                <w:lang w:val="en-GB"/>
                              </w:rPr>
                              <m:t>i=1</m:t>
                            </m:r>
                          </m:sub>
                          <m:sup>
                            <m:r>
                              <m:rPr>
                                <m:sty m:val="p"/>
                              </m:rPr>
                              <w:rPr>
                                <w:rFonts w:ascii="Cambria Math" w:hAnsi="Cambria Math" w:cs="Times New Roman"/>
                                <w:color w:val="000000" w:themeColor="text1"/>
                                <w:sz w:val="22"/>
                                <w:szCs w:val="22"/>
                                <w:lang w:val="en-GB"/>
                              </w:rPr>
                              <m:t>N</m:t>
                            </m:r>
                          </m:sup>
                          <m:e>
                            <m:sSub>
                              <m:sSubPr>
                                <m:ctrlPr>
                                  <w:rPr>
                                    <w:rFonts w:ascii="Cambria Math" w:hAnsi="Cambria Math" w:cs="Times New Roman"/>
                                    <w:color w:val="000000" w:themeColor="text1"/>
                                    <w:sz w:val="22"/>
                                    <w:szCs w:val="22"/>
                                    <w:lang w:val="en-GB"/>
                                  </w:rPr>
                                </m:ctrlPr>
                              </m:sSubPr>
                              <m:e>
                                <m:r>
                                  <m:rPr>
                                    <m:sty m:val="p"/>
                                  </m:rPr>
                                  <w:rPr>
                                    <w:rFonts w:ascii="Cambria Math" w:hAnsi="Cambria Math" w:cs="Times New Roman"/>
                                    <w:color w:val="000000" w:themeColor="text1"/>
                                    <w:sz w:val="22"/>
                                    <w:szCs w:val="22"/>
                                    <w:lang w:val="en-GB"/>
                                  </w:rPr>
                                  <m:t>S</m:t>
                                </m:r>
                              </m:e>
                              <m:sub>
                                <m:r>
                                  <m:rPr>
                                    <m:sty m:val="p"/>
                                  </m:rPr>
                                  <w:rPr>
                                    <w:rFonts w:ascii="Cambria Math" w:hAnsi="Cambria Math" w:cs="Times New Roman"/>
                                    <w:color w:val="000000" w:themeColor="text1"/>
                                    <w:sz w:val="22"/>
                                    <w:szCs w:val="22"/>
                                    <w:lang w:val="en-GB"/>
                                  </w:rPr>
                                  <m:t>i</m:t>
                                </m:r>
                              </m:sub>
                            </m:sSub>
                          </m:e>
                        </m:nary>
                        <m:r>
                          <m:rPr>
                            <m:sty m:val="p"/>
                          </m:rPr>
                          <w:rPr>
                            <w:rFonts w:ascii="Cambria Math" w:hAnsi="Cambria Math" w:cs="Times New Roman"/>
                            <w:color w:val="000000" w:themeColor="text1"/>
                            <w:sz w:val="22"/>
                            <w:szCs w:val="22"/>
                            <w:lang w:val="en-GB"/>
                          </w:rPr>
                          <m:t>(x)</m:t>
                        </m:r>
                      </m:num>
                      <m:den>
                        <m:r>
                          <m:rPr>
                            <m:sty m:val="p"/>
                          </m:rPr>
                          <w:rPr>
                            <w:rFonts w:ascii="Cambria Math" w:hAnsi="Cambria Math" w:cs="Times New Roman"/>
                            <w:color w:val="000000" w:themeColor="text1"/>
                            <w:sz w:val="22"/>
                            <w:szCs w:val="22"/>
                            <w:lang w:val="en-GB"/>
                          </w:rPr>
                          <m:t>N</m:t>
                        </m:r>
                      </m:den>
                    </m:f>
                    <m:r>
                      <m:rPr>
                        <m:sty m:val="p"/>
                      </m:rPr>
                      <w:rPr>
                        <w:rFonts w:ascii="Cambria Math" w:hAnsi="Cambria Math" w:cs="Times New Roman"/>
                        <w:color w:val="000000" w:themeColor="text1"/>
                        <w:sz w:val="22"/>
                        <w:szCs w:val="22"/>
                        <w:lang w:val="en-GB"/>
                      </w:rPr>
                      <m:t>≥0.5</m:t>
                    </m:r>
                  </m:e>
                </m:mr>
                <m:mr>
                  <m:e>
                    <m:r>
                      <m:rPr>
                        <m:sty m:val="p"/>
                      </m:rPr>
                      <w:rPr>
                        <w:rFonts w:ascii="Cambria Math" w:hAnsi="Cambria Math" w:cs="Times New Roman"/>
                        <w:color w:val="000000" w:themeColor="text1"/>
                        <w:sz w:val="22"/>
                        <w:szCs w:val="22"/>
                        <w:lang w:val="en-GB"/>
                      </w:rPr>
                      <m:t>0</m:t>
                    </m:r>
                  </m:e>
                  <m:e>
                    <m:r>
                      <m:rPr>
                        <m:sty m:val="p"/>
                      </m:rPr>
                      <w:rPr>
                        <w:rFonts w:ascii="Cambria Math" w:hAnsi="Cambria Math" w:cs="Times New Roman"/>
                        <w:color w:val="000000" w:themeColor="text1"/>
                        <w:sz w:val="22"/>
                        <w:szCs w:val="22"/>
                        <w:lang w:val="en-GB"/>
                      </w:rPr>
                      <m:t>otherwise</m:t>
                    </m:r>
                  </m:e>
                </m:mr>
              </m:m>
            </m:e>
          </m:d>
        </m:oMath>
      </m:oMathPara>
      <w:bookmarkStart w:id="6" w:name="implementation-details"/>
      <w:bookmarkEnd w:id="5"/>
    </w:p>
    <w:bookmarkEnd w:id="6"/>
    <w:p w14:paraId="42131865" w14:textId="77777777" w:rsidR="00D441C9" w:rsidRDefault="00D441C9" w:rsidP="00FF2DC9">
      <w:pPr>
        <w:pStyle w:val="BodyText"/>
        <w:rPr>
          <w:rFonts w:cs="Times New Roman"/>
          <w:b/>
          <w:bCs/>
          <w:sz w:val="22"/>
          <w:szCs w:val="22"/>
          <w:lang w:val="en-GB"/>
        </w:rPr>
      </w:pPr>
    </w:p>
    <w:p w14:paraId="1D008C4E" w14:textId="42DD625B" w:rsidR="00FB07BC" w:rsidRPr="007632BD" w:rsidRDefault="007632BD" w:rsidP="00FF2DC9">
      <w:pPr>
        <w:pStyle w:val="BodyText"/>
        <w:rPr>
          <w:rFonts w:cs="Times New Roman"/>
          <w:b/>
          <w:bCs/>
          <w:sz w:val="22"/>
          <w:szCs w:val="22"/>
          <w:lang w:val="en-GB"/>
        </w:rPr>
      </w:pPr>
      <w:r w:rsidRPr="00203F35">
        <w:rPr>
          <w:rFonts w:cs="Times New Roman"/>
          <w:b/>
          <w:bCs/>
          <w:sz w:val="22"/>
          <w:szCs w:val="22"/>
          <w:lang w:val="en-GB"/>
        </w:rPr>
        <w:t>Network implementation</w:t>
      </w:r>
    </w:p>
    <w:p w14:paraId="34A88D42" w14:textId="00C17EEB" w:rsidR="000E17C1" w:rsidRPr="001900FE" w:rsidRDefault="00FB07BC" w:rsidP="00FF2DC9">
      <w:pPr>
        <w:pStyle w:val="Firstparagraph"/>
        <w:rPr>
          <w:rFonts w:cs="Times New Roman"/>
          <w:sz w:val="22"/>
          <w:szCs w:val="22"/>
          <w:lang w:val="en-GB"/>
        </w:rPr>
      </w:pPr>
      <w:r w:rsidRPr="001900FE">
        <w:rPr>
          <w:rFonts w:cs="Times New Roman"/>
          <w:sz w:val="22"/>
          <w:szCs w:val="22"/>
          <w:lang w:val="en-GB"/>
        </w:rPr>
        <w:t xml:space="preserve">The neural network was implemented and trained using the </w:t>
      </w:r>
      <w:r w:rsidRPr="00F34F0F">
        <w:rPr>
          <w:rFonts w:cs="Times New Roman"/>
          <w:sz w:val="22"/>
          <w:szCs w:val="22"/>
          <w:lang w:val="en-GB"/>
        </w:rPr>
        <w:t>TensorFlow 2.0 Python API</w:t>
      </w:r>
      <w:r w:rsidR="00F34F0F" w:rsidRPr="00F34F0F">
        <w:rPr>
          <w:rFonts w:cs="Times New Roman"/>
          <w:sz w:val="22"/>
          <w:szCs w:val="22"/>
          <w:lang w:val="en-GB"/>
        </w:rPr>
        <w:fldChar w:fldCharType="begin" w:fldLock="1"/>
      </w:r>
      <w:r w:rsidR="00D441C9">
        <w:rPr>
          <w:rFonts w:cs="Times New Roman"/>
          <w:sz w:val="22"/>
          <w:szCs w:val="22"/>
          <w:lang w:val="en-GB"/>
        </w:rPr>
        <w:instrText>ADDIN CSL_CITATION {"citationItems":[{"id":"ITEM-1","itemData":{"abstract":"TensorFlow is an interface for expressing machine learning algorithms, and an implementation for executing such algorithms. A computation expressed using TensorFlow can be executed with little or no change on a wide variety of heterogeneous systems, ranging from mobile devices such as phones and tablets up to large-scale distributed systems of hundreds of machines and thousands of computational devices such as GPU cards. The system is flexible and can be used to express a wide variety of algorithms, including training and inference algorithms for deep neural network models, and it has been used for conducting research and for deploying machine learning systems into production across more than a dozen areas of computer science and other fields, including speech recognition, computer vision, robotics, information retrieval, natural language processing, geographic information extraction, and computational drug discovery. This paper describes the TensorFlow interface and an implementation of that interface that we have built at Google. The TensorFlow API and a reference implementation were released as an open-source package under the Apache 2.0 license in November, 2015 and are available at www.tensorflow.org.","author":[{"dropping-particle":"","family":"Abadi","given":"Martín","non-dropping-particle":"","parse-names":false,"suffix":""},{"dropping-particle":"","family":"Agarwal","given":"Ashish","non-dropping-particle":"","parse-names":false,"suffix":""},{"dropping-particle":"","family":"Barham","given":"Paul","non-dropping-particle":"","parse-names":false,"suffix":""},{"dropping-particle":"","family":"Brevdo","given":"Eugene","non-dropping-particle":"","parse-names":false,"suffix":""},{"dropping-particle":"","family":"Chen","given":"Zhifeng","non-dropping-particle":"","parse-names":false,"suffix":""},{"dropping-particle":"","family":"Citro","given":"Craig","non-dropping-particle":"","parse-names":false,"suffix":""},{"dropping-particle":"","family":"Corrado","given":"Greg S.","non-dropping-particle":"","parse-names":false,"suffix":""},{"dropping-particle":"","family":"Davis","given":"Andy","non-dropping-particle":"","parse-names":false,"suffix":""},{"dropping-particle":"","family":"Dean","given":"Jeffrey","non-dropping-particle":"","parse-names":false,"suffix":""},{"dropping-particle":"","family":"Devin","given":"Matthieu","non-dropping-particle":"","parse-names":false,"suffix":""},{"dropping-particle":"","family":"Ghemawat","given":"Sanjay","non-dropping-particle":"","parse-names":false,"suffix":""},{"dropping-particle":"","family":"Goodfellow","given":"Ian","non-dropping-particle":"","parse-names":false,"suffix":""},{"dropping-particle":"","family":"Harp","given":"Andrew","non-dropping-particle":"","parse-names":false,"suffix":""},{"dropping-particle":"","family":"Irving","given":"Geoffrey","non-dropping-particle":"","parse-names":false,"suffix":""},{"dropping-particle":"","family":"Isard","given":"Michael","non-dropping-particle":"","parse-names":false,"suffix":""},{"dropping-particle":"","family":"Jia","given":"Yangqing","non-dropping-particle":"","parse-names":false,"suffix":""},{"dropping-particle":"","family":"Jozefowicz","given":"Rafal","non-dropping-particle":"","parse-names":false,"suffix":""},{"dropping-particle":"","family":"Kaiser","given":"Lukasz","non-dropping-particle":"","parse-names":false,"suffix":""},{"dropping-particle":"","family":"Kudlur","given":"Manjunath","non-dropping-particle":"","parse-names":false,"suffix":""},{"dropping-particle":"","family":"Levenberg","given":"Josh","non-dropping-particle":"","parse-names":false,"suffix":""},{"dropping-particle":"","family":"Mane","given":"Dan","non-dropping-particle":"","parse-names":false,"suffix":""},{"dropping-particle":"","family":"Monga","given":"Rajat","non-dropping-particle":"","parse-names":false,"suffix":""},{"dropping-particle":"","family":"Moore","given":"Sherry","non-dropping-particle":"","parse-names":false,"suffix":""},{"dropping-particle":"","family":"Murray","given":"Derek","non-dropping-particle":"","parse-names":false,"suffix":""},{"dropping-particle":"","family":"Olah","given":"Chris","non-dropping-particle":"","parse-names":false,"suffix":""},{"dropping-particle":"","family":"Schuster","given":"Mike","non-dropping-particle":"","parse-names":false,"suffix":""},{"dropping-particle":"","family":"Shlens","given":"Jonathon","non-dropping-particle":"","parse-names":false,"suffix":""},{"dropping-particle":"","family":"Steiner","given":"Benoit","non-dropping-particle":"","parse-names":false,"suffix":""},{"dropping-particle":"","family":"Sutskever","given":"Ilya","non-dropping-particle":"","parse-names":false,"suffix":""},{"dropping-particle":"","family":"Talwar","given":"Kunal","non-dropping-particle":"","parse-names":false,"suffix":""},{"dropping-particle":"","family":"Tucker","given":"Paul","non-dropping-particle":"","parse-names":false,"suffix":""},{"dropping-particle":"","family":"Vanhoucke","given":"Vincent","non-dropping-particle":"","parse-names":false,"suffix":""},{"dropping-particle":"","family":"Vasudevan","given":"Vijay","non-dropping-particle":"","parse-names":false,"suffix":""},{"dropping-particle":"","family":"Viegas","given":"Fernanda","non-dropping-particle":"","parse-names":false,"suffix":""},{"dropping-particle":"","family":"Vinyals","given":"Oriol","non-dropping-particle":"","parse-names":false,"suffix":""},{"dropping-particle":"","family":"Warden","given":"Pete","non-dropping-particle":"","parse-names":false,"suffix":""},{"dropping-particle":"","family":"Wattenberg","given":"Martin","non-dropping-particle":"","parse-names":false,"suffix":""},{"dropping-particle":"","family":"Wicke","given":"Martin","non-dropping-particle":"","parse-names":false,"suffix":""},{"dropping-particle":"","family":"Yu","given":"Yuan","non-dropping-particle":"","parse-names":false,"suffix":""},{"dropping-particle":"","family":"Zheng","given":"Xiaoqiang","non-dropping-particle":"","parse-names":false,"suffix":""}],"id":"ITEM-1","issued":{"date-parts":[["2016"]]},"title":"TensorFlow: Large-Scale Machine Learning on Heterogeneous Distributed Systems","type":"article-journal"},"uris":["http://www.mendeley.com/documents/?uuid=a311add8-b8a1-4ae0-adab-c3b3234ccff6"]}],"mendeley":{"formattedCitation":"(25)","plainTextFormattedCitation":"(25)","previouslyFormattedCitation":"(26)"},"properties":{"noteIndex":0},"schema":"https://github.com/citation-style-language/schema/raw/master/csl-citation.json"}</w:instrText>
      </w:r>
      <w:r w:rsidR="00F34F0F" w:rsidRPr="00F34F0F">
        <w:rPr>
          <w:rFonts w:cs="Times New Roman"/>
          <w:sz w:val="22"/>
          <w:szCs w:val="22"/>
          <w:lang w:val="en-GB"/>
        </w:rPr>
        <w:fldChar w:fldCharType="separate"/>
      </w:r>
      <w:r w:rsidR="00D441C9" w:rsidRPr="00D441C9">
        <w:rPr>
          <w:rFonts w:cs="Times New Roman"/>
          <w:noProof/>
          <w:sz w:val="22"/>
          <w:szCs w:val="22"/>
          <w:lang w:val="en-GB"/>
        </w:rPr>
        <w:t>(25)</w:t>
      </w:r>
      <w:r w:rsidR="00F34F0F" w:rsidRPr="00F34F0F">
        <w:rPr>
          <w:rFonts w:cs="Times New Roman"/>
          <w:sz w:val="22"/>
          <w:szCs w:val="22"/>
          <w:lang w:val="en-GB"/>
        </w:rPr>
        <w:fldChar w:fldCharType="end"/>
      </w:r>
      <w:r w:rsidR="00F34F0F">
        <w:rPr>
          <w:rFonts w:cs="Times New Roman"/>
          <w:sz w:val="22"/>
          <w:szCs w:val="22"/>
          <w:lang w:val="en-GB"/>
        </w:rPr>
        <w:t xml:space="preserve">, software available from: </w:t>
      </w:r>
      <w:hyperlink r:id="rId8" w:history="1">
        <w:r w:rsidR="00F34F0F" w:rsidRPr="008A4F75">
          <w:rPr>
            <w:rStyle w:val="Hyperlink"/>
            <w:rFonts w:cs="Times New Roman"/>
            <w:sz w:val="22"/>
            <w:szCs w:val="22"/>
            <w:lang w:val="en-GB"/>
          </w:rPr>
          <w:t>https://www.tensorflow.org</w:t>
        </w:r>
      </w:hyperlink>
      <w:r w:rsidR="00F34F0F">
        <w:rPr>
          <w:rFonts w:cs="Times New Roman"/>
          <w:sz w:val="22"/>
          <w:szCs w:val="22"/>
          <w:lang w:val="en-GB"/>
        </w:rPr>
        <w:t xml:space="preserve">. </w:t>
      </w:r>
      <w:r w:rsidRPr="001900FE">
        <w:rPr>
          <w:rFonts w:cs="Times New Roman"/>
          <w:sz w:val="22"/>
          <w:szCs w:val="22"/>
          <w:lang w:val="en-GB"/>
        </w:rPr>
        <w:t>A combination of resampling images to enforce uniform resolution, robust data augmentation and intensity normalisation has previously been shown to increase the generalisability of segmentation networks</w:t>
      </w:r>
      <w:r w:rsidR="000E17C1" w:rsidRPr="001900FE">
        <w:rPr>
          <w:rFonts w:cs="Times New Roman"/>
          <w:sz w:val="22"/>
          <w:szCs w:val="22"/>
          <w:lang w:val="en-GB"/>
        </w:rPr>
        <w:fldChar w:fldCharType="begin" w:fldLock="1"/>
      </w:r>
      <w:r w:rsidR="00D441C9">
        <w:rPr>
          <w:rFonts w:cs="Times New Roman"/>
          <w:sz w:val="22"/>
          <w:szCs w:val="22"/>
          <w:lang w:val="en-GB"/>
        </w:rPr>
        <w:instrText>ADDIN CSL_CITATION {"citationItems":[{"id":"ITEM-1","itemData":{"DOI":"10.3389/fcvm.2020.00105","ISSN":"2297-055X","abstract":"Convolutional neural network (CNN) based segmentation methods provide an efficient and automated way for clinicians to assess the structure and function of the heart in cardiac MR images. While CNNs can generally perform the segmentation tasks with high accuracy when training and test images come from the same domain (e.g. same scanner or site), their performance often degrades dramatically on images from different scanners or clinical sites. We propose a simple yet effective way for improving the network generalization ability by carefully designing data normalization and augmentation strategies to accommodate common scenarios in multi-site, multi-scanner clinical imaging data sets. We demonstrate that a neural network trained on a single-site single-scanner dataset from the UK Biobank can be successfully applied to segmenting cardiac MR images across different sites and different scanners without substantial loss of accuracy. Specifically, the method was trained on a large set of 3,975 subjects from the UK Biobank. It was then directly tested on 600 different subjects from the UK Biobank for intra-domain testing and two other sets for cross-domain testing: the ACDC dataset (100 subjects, 1 site, 2 scanners) and the BSCMR-AS dataset (599 subjects, 6 sites, 9 scanners). The proposed method produces promising segmentation results on the UK Biobank test set which are comparable to previously reported values in the literature, while also performing well on cross-domain test sets, achieving a mean Dice metric of 0.90 for the left ventricle, 0.81 for the myocardium and 0.82 for the right ventricle on the ACDC dataset; and 0.89 for the left ventricle, 0.83 for the myocardium on the BSCMR-AS dataset. The proposed method offers a potential solution to improve CNN-based model generalizability for the cross-scanner and cross-site cardiac MR image segmentation task.","author":[{"dropping-particle":"","family":"Chen","given":"Chen","non-dropping-particle":"","parse-names":false,"suffix":""},{"dropping-particle":"","family":"Bai","given":"Wenjia","non-dropping-particle":"","parse-names":false,"suffix":""},{"dropping-particle":"","family":"Davies","given":"Rhodri H.","non-dropping-particle":"","parse-names":false,"suffix":""},{"dropping-particle":"","family":"Bhuva","given":"Anish N.","non-dropping-particle":"","parse-names":false,"suffix":""},{"dropping-particle":"","family":"Manisty","given":"Charlotte H.","non-dropping-particle":"","parse-names":false,"suffix":""},{"dropping-particle":"","family":"Augusto","given":"Joao B.","non-dropping-particle":"","parse-names":false,"suffix":""},{"dropping-particle":"","family":"Moon","given":"James C.","non-dropping-particle":"","parse-names":false,"suffix":""},{"dropping-particle":"","family":"Aung","given":"Nay","non-dropping-particle":"","parse-names":false,"suffix":""},{"dropping-particle":"","family":"Lee","given":"Aaron M.","non-dropping-particle":"","parse-names":false,"suffix":""},{"dropping-particle":"","family":"Sanghvi","given":"Mihir M.","non-dropping-particle":"","parse-names":false,"suffix":""},{"dropping-particle":"","family":"Fung","given":"Kenneth","non-dropping-particle":"","parse-names":false,"suffix":""},{"dropping-particle":"","family":"Paiva","given":"Jose Miguel","non-dropping-particle":"","parse-names":false,"suffix":""},{"dropping-particle":"","family":"Petersen","given":"Steffen E.","non-dropping-particle":"","parse-names":false,"suffix":""},{"dropping-particle":"","family":"Lukaschuk","given":"Elena","non-dropping-particle":"","parse-names":false,"suffix":""},{"dropping-particle":"","family":"Piechnik","given":"Stefan K.","non-dropping-particle":"","parse-names":false,"suffix":""},{"dropping-particle":"","family":"Neubauer","given":"Stefan","non-dropping-particle":"","parse-names":false,"suffix":""},{"dropping-particle":"","family":"Rueckert","given":"Daniel","non-dropping-particle":"","parse-names":false,"suffix":""}],"container-title":"Frontiers in Cardiovascular Medicine","id":"ITEM-1","issue":"June","issued":{"date-parts":[["2020"]]},"page":"1-17","title":"Improving the Generalizability of Convolutional Neural Network-Based Segmentation on CMR Images","type":"article-journal","volume":"7"},"uris":["http://www.mendeley.com/documents/?uuid=4f9820fd-64f1-4baf-ab78-c6ce5a1bc3ff"]}],"mendeley":{"formattedCitation":"(26)","plainTextFormattedCitation":"(26)","previouslyFormattedCitation":"(27)"},"properties":{"noteIndex":0},"schema":"https://github.com/citation-style-language/schema/raw/master/csl-citation.json"}</w:instrText>
      </w:r>
      <w:r w:rsidR="000E17C1" w:rsidRPr="001900FE">
        <w:rPr>
          <w:rFonts w:cs="Times New Roman"/>
          <w:sz w:val="22"/>
          <w:szCs w:val="22"/>
          <w:lang w:val="en-GB"/>
        </w:rPr>
        <w:fldChar w:fldCharType="separate"/>
      </w:r>
      <w:r w:rsidR="00D441C9" w:rsidRPr="00D441C9">
        <w:rPr>
          <w:rFonts w:cs="Times New Roman"/>
          <w:noProof/>
          <w:sz w:val="22"/>
          <w:szCs w:val="22"/>
          <w:lang w:val="en-GB"/>
        </w:rPr>
        <w:t>(26)</w:t>
      </w:r>
      <w:r w:rsidR="000E17C1" w:rsidRPr="001900FE">
        <w:rPr>
          <w:rFonts w:cs="Times New Roman"/>
          <w:sz w:val="22"/>
          <w:szCs w:val="22"/>
          <w:lang w:val="en-GB"/>
        </w:rPr>
        <w:fldChar w:fldCharType="end"/>
      </w:r>
      <w:r w:rsidR="000E17C1" w:rsidRPr="001900FE">
        <w:rPr>
          <w:rFonts w:cs="Times New Roman"/>
          <w:sz w:val="22"/>
          <w:szCs w:val="22"/>
          <w:lang w:val="en-GB"/>
        </w:rPr>
        <w:t xml:space="preserve">. </w:t>
      </w:r>
      <w:r w:rsidRPr="001900FE">
        <w:rPr>
          <w:rFonts w:cs="Times New Roman"/>
          <w:sz w:val="22"/>
          <w:szCs w:val="22"/>
          <w:lang w:val="en-GB"/>
        </w:rPr>
        <w:t>Inspired by this approach, all image data was first resampled to a uniform resolution (1.82</w:t>
      </w:r>
      <w:r w:rsidR="006C15B6">
        <w:rPr>
          <w:rFonts w:cs="Times New Roman"/>
          <w:sz w:val="22"/>
          <w:szCs w:val="22"/>
          <w:lang w:val="en-GB"/>
        </w:rPr>
        <w:sym w:font="Symbol" w:char="F0B4"/>
      </w:r>
      <w:r w:rsidRPr="001900FE">
        <w:rPr>
          <w:rFonts w:cs="Times New Roman"/>
          <w:sz w:val="22"/>
          <w:szCs w:val="22"/>
          <w:lang w:val="en-GB"/>
        </w:rPr>
        <w:t xml:space="preserve">1.82mm pixel spacing) and cropped/padded to a size of </w:t>
      </w:r>
      <m:oMath>
        <m:r>
          <w:rPr>
            <w:rFonts w:ascii="Cambria Math" w:hAnsi="Cambria Math" w:cs="Times New Roman"/>
            <w:sz w:val="22"/>
            <w:szCs w:val="22"/>
            <w:lang w:val="en-GB"/>
          </w:rPr>
          <m:t>208×208</m:t>
        </m:r>
      </m:oMath>
      <w:r w:rsidRPr="001900FE">
        <w:rPr>
          <w:rFonts w:cs="Times New Roman"/>
          <w:sz w:val="22"/>
          <w:szCs w:val="22"/>
          <w:lang w:val="en-GB"/>
        </w:rPr>
        <w:t xml:space="preserve"> pixels, including the test set. During training, data was augmented with rotation (</w:t>
      </w:r>
      <w:r w:rsidRPr="00B7733B">
        <w:rPr>
          <w:rFonts w:cs="Times New Roman"/>
          <w:sz w:val="22"/>
          <w:szCs w:val="22"/>
          <w:lang w:val="en-GB"/>
        </w:rPr>
        <w:t>up to 25</w:t>
      </w:r>
      <w:r w:rsidR="00991247" w:rsidRPr="00B7733B">
        <w:rPr>
          <w:rFonts w:cs="Times New Roman"/>
          <w:sz w:val="22"/>
          <w:szCs w:val="22"/>
          <w:lang w:val="en-GB"/>
        </w:rPr>
        <w:t>°</w:t>
      </w:r>
      <w:r w:rsidRPr="00B7733B">
        <w:rPr>
          <w:rFonts w:cs="Times New Roman"/>
          <w:sz w:val="22"/>
          <w:szCs w:val="22"/>
          <w:lang w:val="en-GB"/>
        </w:rPr>
        <w:t>),</w:t>
      </w:r>
      <w:r w:rsidRPr="001900FE">
        <w:rPr>
          <w:rFonts w:cs="Times New Roman"/>
          <w:sz w:val="22"/>
          <w:szCs w:val="22"/>
          <w:lang w:val="en-GB"/>
        </w:rPr>
        <w:t xml:space="preserve"> altered resolution (resizing of up to 20%), random shearing up to 20% and random panning of up to 25% of the image dimension. All data augmentation was performed on-the-fly, meaning that each complete training epoch utilised a different set of images. All images were normalised such that their pixel intensity range was between 0 and 1.</w:t>
      </w:r>
    </w:p>
    <w:p w14:paraId="63C31C12" w14:textId="77777777" w:rsidR="000E17C1" w:rsidRPr="001900FE" w:rsidRDefault="000E17C1" w:rsidP="00FF2DC9">
      <w:pPr>
        <w:pStyle w:val="BodyText"/>
        <w:rPr>
          <w:rFonts w:cs="Times New Roman"/>
          <w:lang w:val="en-GB"/>
        </w:rPr>
      </w:pPr>
    </w:p>
    <w:p w14:paraId="4504A888" w14:textId="3BCE1730" w:rsidR="000E17C1" w:rsidRPr="001900FE" w:rsidRDefault="00FB07BC" w:rsidP="00FF2DC9">
      <w:pPr>
        <w:pStyle w:val="BodyText"/>
        <w:rPr>
          <w:rFonts w:cs="Times New Roman"/>
          <w:sz w:val="22"/>
          <w:szCs w:val="22"/>
          <w:lang w:val="en-GB"/>
        </w:rPr>
      </w:pPr>
      <w:r w:rsidRPr="001900FE">
        <w:rPr>
          <w:rFonts w:cs="Times New Roman"/>
          <w:sz w:val="22"/>
          <w:szCs w:val="22"/>
          <w:lang w:val="en-GB"/>
        </w:rPr>
        <w:t xml:space="preserve">Training proceeded for a maximum of 300 complete epochs on a NVIDIA Tesla </w:t>
      </w:r>
      <w:r w:rsidR="000D0470">
        <w:rPr>
          <w:rFonts w:cs="Times New Roman"/>
          <w:sz w:val="22"/>
          <w:szCs w:val="22"/>
          <w:lang w:val="en-GB"/>
        </w:rPr>
        <w:t>M</w:t>
      </w:r>
      <w:r w:rsidRPr="001900FE">
        <w:rPr>
          <w:rFonts w:cs="Times New Roman"/>
          <w:sz w:val="22"/>
          <w:szCs w:val="22"/>
          <w:lang w:val="en-GB"/>
        </w:rPr>
        <w:t>40, using a batch size of 8 images. The loss function used was the binary cross-entropy, and this was optimised using the Adam optimizer</w:t>
      </w:r>
      <w:r w:rsidR="000E17C1" w:rsidRPr="001900FE">
        <w:rPr>
          <w:rFonts w:cs="Times New Roman"/>
          <w:sz w:val="22"/>
          <w:szCs w:val="22"/>
          <w:lang w:val="en-GB"/>
        </w:rPr>
        <w:fldChar w:fldCharType="begin" w:fldLock="1"/>
      </w:r>
      <w:r w:rsidR="00D441C9">
        <w:rPr>
          <w:rFonts w:cs="Times New Roman"/>
          <w:sz w:val="22"/>
          <w:szCs w:val="22"/>
          <w:lang w:val="en-GB"/>
        </w:rPr>
        <w:instrText>ADDIN CSL_CITATION {"citationItems":[{"id":"ITEM-1","itemData":{"abstract":"We introduce Adam, an algorithm for first-order gradient-based optimization of stochastic objective functions, based on adaptive estimates of lower-order moments. The method is straightforward to implement, is computationally efficient, has little memory requirements, is invariant to diagonal rescaling of the gradients, and is well suited for problems that are large in terms of data and/or parameters. The method is also appropriate for non-stationary objectives and problems with very noisy and/or sparse gradients. The hyper-parameters have intuitive interpretations and typically require little tuning. Some connections to related algorithms, on which Adam was inspired, are discussed. We also analyze the theoretical convergence properties of the algorithm and provide a regret bound on the convergence rate that is comparable to the best known results under the online convex optimization framework. Empirical results demonstrate that Adam works well in practice and compares favorably to other stochastic optimization methods. Finally, we discuss AdaMax, a variant of Adam based on the infinity norm.","author":[{"dropping-particle":"","family":"Kingma","given":"Diederik P.","non-dropping-particle":"","parse-names":false,"suffix":""},{"dropping-particle":"","family":"Ba","given":"Jimmy Lei","non-dropping-particle":"","parse-names":false,"suffix":""}],"container-title":"3rd International Conference on Learning Representations, ICLR 2015 - Conference Track Proceedings","id":"ITEM-1","issued":{"date-parts":[["2015"]]},"page":"1-15","title":"Adam: A method for stochastic optimization","type":"article-journal"},"uris":["http://www.mendeley.com/documents/?uuid=de47aecc-20d6-4f89-8baa-5da443830087"]}],"mendeley":{"formattedCitation":"(27)","plainTextFormattedCitation":"(27)","previouslyFormattedCitation":"(28)"},"properties":{"noteIndex":0},"schema":"https://github.com/citation-style-language/schema/raw/master/csl-citation.json"}</w:instrText>
      </w:r>
      <w:r w:rsidR="000E17C1" w:rsidRPr="001900FE">
        <w:rPr>
          <w:rFonts w:cs="Times New Roman"/>
          <w:sz w:val="22"/>
          <w:szCs w:val="22"/>
          <w:lang w:val="en-GB"/>
        </w:rPr>
        <w:fldChar w:fldCharType="separate"/>
      </w:r>
      <w:r w:rsidR="00D441C9" w:rsidRPr="00D441C9">
        <w:rPr>
          <w:rFonts w:cs="Times New Roman"/>
          <w:noProof/>
          <w:sz w:val="22"/>
          <w:szCs w:val="22"/>
          <w:lang w:val="en-GB"/>
        </w:rPr>
        <w:t>(27)</w:t>
      </w:r>
      <w:r w:rsidR="000E17C1" w:rsidRPr="001900FE">
        <w:rPr>
          <w:rFonts w:cs="Times New Roman"/>
          <w:sz w:val="22"/>
          <w:szCs w:val="22"/>
          <w:lang w:val="en-GB"/>
        </w:rPr>
        <w:fldChar w:fldCharType="end"/>
      </w:r>
      <w:r w:rsidR="000E17C1" w:rsidRPr="001900FE">
        <w:rPr>
          <w:rFonts w:cs="Times New Roman"/>
          <w:sz w:val="22"/>
          <w:szCs w:val="22"/>
          <w:lang w:val="en-GB"/>
        </w:rPr>
        <w:t xml:space="preserve">, </w:t>
      </w:r>
      <w:r w:rsidRPr="001900FE">
        <w:rPr>
          <w:rFonts w:cs="Times New Roman"/>
          <w:sz w:val="22"/>
          <w:szCs w:val="22"/>
          <w:lang w:val="en-GB"/>
        </w:rPr>
        <w:t xml:space="preserve">with an initial learning rate of 0.01, </w:t>
      </w:r>
      <m:oMath>
        <m:sSub>
          <m:sSubPr>
            <m:ctrlPr>
              <w:rPr>
                <w:rFonts w:ascii="Cambria Math" w:hAnsi="Cambria Math" w:cs="Times New Roman"/>
                <w:sz w:val="22"/>
                <w:szCs w:val="22"/>
                <w:lang w:val="en-GB"/>
              </w:rPr>
            </m:ctrlPr>
          </m:sSubPr>
          <m:e>
            <m:r>
              <w:rPr>
                <w:rFonts w:ascii="Cambria Math" w:hAnsi="Cambria Math" w:cs="Times New Roman"/>
                <w:sz w:val="22"/>
                <w:szCs w:val="22"/>
                <w:lang w:val="en-GB"/>
              </w:rPr>
              <m:t>β</m:t>
            </m:r>
          </m:e>
          <m:sub>
            <m:r>
              <w:rPr>
                <w:rFonts w:ascii="Cambria Math" w:hAnsi="Cambria Math" w:cs="Times New Roman"/>
                <w:sz w:val="22"/>
                <w:szCs w:val="22"/>
                <w:lang w:val="en-GB"/>
              </w:rPr>
              <m:t>1</m:t>
            </m:r>
          </m:sub>
        </m:sSub>
        <m:r>
          <w:rPr>
            <w:rFonts w:ascii="Cambria Math" w:hAnsi="Cambria Math" w:cs="Times New Roman"/>
            <w:sz w:val="22"/>
            <w:szCs w:val="22"/>
            <w:lang w:val="en-GB"/>
          </w:rPr>
          <m:t>=0.9,</m:t>
        </m:r>
        <m:sSub>
          <m:sSubPr>
            <m:ctrlPr>
              <w:rPr>
                <w:rFonts w:ascii="Cambria Math" w:hAnsi="Cambria Math" w:cs="Times New Roman"/>
                <w:sz w:val="22"/>
                <w:szCs w:val="22"/>
                <w:lang w:val="en-GB"/>
              </w:rPr>
            </m:ctrlPr>
          </m:sSubPr>
          <m:e>
            <m:r>
              <w:rPr>
                <w:rFonts w:ascii="Cambria Math" w:hAnsi="Cambria Math" w:cs="Times New Roman"/>
                <w:sz w:val="22"/>
                <w:szCs w:val="22"/>
                <w:lang w:val="en-GB"/>
              </w:rPr>
              <m:t>β</m:t>
            </m:r>
          </m:e>
          <m:sub>
            <m:r>
              <w:rPr>
                <w:rFonts w:ascii="Cambria Math" w:hAnsi="Cambria Math" w:cs="Times New Roman"/>
                <w:sz w:val="22"/>
                <w:szCs w:val="22"/>
                <w:lang w:val="en-GB"/>
              </w:rPr>
              <m:t>2</m:t>
            </m:r>
          </m:sub>
        </m:sSub>
        <m:r>
          <w:rPr>
            <w:rFonts w:ascii="Cambria Math" w:hAnsi="Cambria Math" w:cs="Times New Roman"/>
            <w:sz w:val="22"/>
            <w:szCs w:val="22"/>
            <w:lang w:val="en-GB"/>
          </w:rPr>
          <m:t>=0.999</m:t>
        </m:r>
      </m:oMath>
      <w:r w:rsidRPr="001900FE">
        <w:rPr>
          <w:rFonts w:cs="Times New Roman"/>
          <w:sz w:val="22"/>
          <w:szCs w:val="22"/>
          <w:lang w:val="en-GB"/>
        </w:rPr>
        <w:t>. The learning rate was decreased by a factor of 0.3 if, for 10 consecutive epochs, the loss was not decreasing. If 20 epochs elapsed with no decrease in the loss function, training was ceased and the weights yielding the lowest loss were restored.</w:t>
      </w:r>
      <w:bookmarkStart w:id="7" w:name="metrics-for-inter-observer-variability-a"/>
    </w:p>
    <w:p w14:paraId="475EDCCB" w14:textId="77777777" w:rsidR="007632BD" w:rsidRDefault="007632BD" w:rsidP="00FF2DC9">
      <w:pPr>
        <w:pStyle w:val="BodyText"/>
        <w:rPr>
          <w:rFonts w:cs="Times New Roman"/>
          <w:b/>
          <w:bCs/>
          <w:sz w:val="22"/>
          <w:szCs w:val="22"/>
          <w:highlight w:val="yellow"/>
          <w:lang w:val="en-GB"/>
        </w:rPr>
      </w:pPr>
    </w:p>
    <w:p w14:paraId="149408EE" w14:textId="57E53A6E" w:rsidR="00235510" w:rsidRPr="001900FE" w:rsidRDefault="007632BD" w:rsidP="00FF2DC9">
      <w:pPr>
        <w:pStyle w:val="BodyText"/>
        <w:rPr>
          <w:rFonts w:cs="Times New Roman"/>
          <w:b/>
          <w:bCs/>
          <w:sz w:val="22"/>
          <w:szCs w:val="22"/>
          <w:lang w:val="en-GB"/>
        </w:rPr>
      </w:pPr>
      <w:r w:rsidRPr="00203F35">
        <w:rPr>
          <w:rFonts w:cs="Times New Roman"/>
          <w:b/>
          <w:bCs/>
          <w:sz w:val="22"/>
          <w:szCs w:val="22"/>
          <w:lang w:val="en-GB"/>
        </w:rPr>
        <w:t>Metrics for assessment of segmentation agreement, inter-observer variability and model performance</w:t>
      </w:r>
    </w:p>
    <w:bookmarkEnd w:id="7"/>
    <w:p w14:paraId="42927B57" w14:textId="44E65B4F" w:rsidR="001900FE" w:rsidRDefault="00203F35" w:rsidP="00FF2DC9">
      <w:pPr>
        <w:pStyle w:val="Firstparagraph"/>
        <w:rPr>
          <w:rFonts w:cs="Times New Roman"/>
          <w:sz w:val="22"/>
          <w:szCs w:val="22"/>
          <w:lang w:val="en-GB"/>
        </w:rPr>
      </w:pPr>
      <w:r>
        <w:rPr>
          <w:rFonts w:cs="Times New Roman"/>
          <w:sz w:val="22"/>
          <w:szCs w:val="22"/>
          <w:lang w:val="en-GB"/>
        </w:rPr>
        <w:t>We evaluated a</w:t>
      </w:r>
      <w:r w:rsidRPr="001900FE">
        <w:rPr>
          <w:rFonts w:cs="Times New Roman"/>
          <w:sz w:val="22"/>
          <w:szCs w:val="22"/>
          <w:lang w:val="en-GB"/>
        </w:rPr>
        <w:t xml:space="preserve">greement between </w:t>
      </w:r>
      <w:r w:rsidR="000D0470">
        <w:rPr>
          <w:rFonts w:cs="Times New Roman"/>
          <w:sz w:val="22"/>
          <w:szCs w:val="22"/>
          <w:lang w:val="en-GB"/>
        </w:rPr>
        <w:t xml:space="preserve">manual segmentations of </w:t>
      </w:r>
      <w:r w:rsidRPr="001900FE">
        <w:rPr>
          <w:rFonts w:cs="Times New Roman"/>
          <w:sz w:val="22"/>
          <w:szCs w:val="22"/>
          <w:lang w:val="en-GB"/>
        </w:rPr>
        <w:t xml:space="preserve">different </w:t>
      </w:r>
      <w:r>
        <w:rPr>
          <w:rFonts w:cs="Times New Roman"/>
          <w:sz w:val="22"/>
          <w:szCs w:val="22"/>
          <w:lang w:val="en-GB"/>
        </w:rPr>
        <w:t xml:space="preserve">expert </w:t>
      </w:r>
      <w:r w:rsidRPr="001900FE">
        <w:rPr>
          <w:rFonts w:cs="Times New Roman"/>
          <w:sz w:val="22"/>
          <w:szCs w:val="22"/>
          <w:lang w:val="en-GB"/>
        </w:rPr>
        <w:t>observers (AB, ZR</w:t>
      </w:r>
      <w:r>
        <w:rPr>
          <w:rFonts w:cs="Times New Roman"/>
          <w:sz w:val="22"/>
          <w:szCs w:val="22"/>
          <w:lang w:val="en-GB"/>
        </w:rPr>
        <w:t>E,</w:t>
      </w:r>
      <w:r w:rsidRPr="001900FE">
        <w:rPr>
          <w:rFonts w:cs="Times New Roman"/>
          <w:sz w:val="22"/>
          <w:szCs w:val="22"/>
          <w:lang w:val="en-GB"/>
        </w:rPr>
        <w:t xml:space="preserve"> SEP) and between manual and automated segmentation</w:t>
      </w:r>
      <w:r>
        <w:rPr>
          <w:rFonts w:cs="Times New Roman"/>
          <w:sz w:val="22"/>
          <w:szCs w:val="22"/>
          <w:lang w:val="en-GB"/>
        </w:rPr>
        <w:t xml:space="preserve">. </w:t>
      </w:r>
      <w:r w:rsidR="007632BD" w:rsidRPr="001900FE">
        <w:rPr>
          <w:rFonts w:cs="Times New Roman"/>
          <w:sz w:val="22"/>
          <w:szCs w:val="22"/>
          <w:lang w:val="en-GB"/>
        </w:rPr>
        <w:t>When multiple MC samples are drawn from the stochastic neural network, their level of agreement is correlated with the quality of the consensus segmentation</w:t>
      </w:r>
      <w:r w:rsidR="007632BD">
        <w:rPr>
          <w:rFonts w:cs="Times New Roman"/>
          <w:sz w:val="22"/>
          <w:szCs w:val="22"/>
          <w:lang w:val="en-GB"/>
        </w:rPr>
        <w:fldChar w:fldCharType="begin" w:fldLock="1"/>
      </w:r>
      <w:r w:rsidR="00D441C9">
        <w:rPr>
          <w:rFonts w:cs="Times New Roman"/>
          <w:sz w:val="22"/>
          <w:szCs w:val="22"/>
          <w:lang w:val="en-GB"/>
        </w:rPr>
        <w:instrText>ADDIN CSL_CITATION {"citationItems":[{"id":"ITEM-1","itemData":{"DOI":"10.1016/j.neuroimage.2019.03.042","ISSN":"10959572","PMID":"30926511","abstract":"We introduce Bayesian QuickNAT for the automated quality control of whole-brain segmentation on MRI T1 scans. Next to the Bayesian fully convolutional neural network, we also present inherent measures of segmentation uncertainty that allow for quality control per brain structure. For estimating model uncertainty, we follow a Bayesian approach, wherein, Monte Carlo (MC) samples from the posterior distribution are generated by keeping the dropout layers active at test time. Entropy over the MC samples provides a voxel-wise model uncertainty map, whereas expectation over the MC predictions provides the final segmentation. Next to voxel-wise uncertainty, we introduce four metrics to quantify structure-wise uncertainty in segmentation for quality control. We report experiments on four out-of-sample datasets comprising of diverse age range, pathology and imaging artifacts. The proposed structure-wise uncertainty metrics are highly correlated with the Dice score estimated with manual annotation and therefore present an inherent measure of segmentation quality. In particular, the intersection over union over all the MC samples is a suitable proxy for the Dice score. In addition to quality control at scan-level, we propose to incorporate the structure-wise uncertainty as a measure of confidence to do reliable group analysis on large data repositories. We envisage that the introduced uncertainty metrics would help assess the fidelity of automated deep learning based segmentation methods for large-scale population studies, as they enable automated quality control and group analyses in processing large data repositories.","author":[{"dropping-particle":"","family":"Roy","given":"Abhijit Guha","non-dropping-particle":"","parse-names":false,"suffix":""},{"dropping-particle":"","family":"Conjeti","given":"Sailesh","non-dropping-particle":"","parse-names":false,"suffix":""},{"dropping-particle":"","family":"Navab","given":"Nassir","non-dropping-particle":"","parse-names":false,"suffix":""},{"dropping-particle":"","family":"Wachinger","given":"Christian","non-dropping-particle":"","parse-names":false,"suffix":""}],"container-title":"NeuroImage","id":"ITEM-1","issued":{"date-parts":[["2019","7","15"]]},"page":"11-22","publisher":"Academic Press Inc.","title":"Bayesian QuickNAT: Model uncertainty in deep whole-brain segmentation for structure-wise quality control","type":"article-journal","volume":"195"},"uris":["http://www.mendeley.com/documents/?uuid=6eaabf28-418b-3838-bd33-4101d7cc8256"]}],"mendeley":{"formattedCitation":"(24)","plainTextFormattedCitation":"(24)","previouslyFormattedCitation":"(25)"},"properties":{"noteIndex":0},"schema":"https://github.com/citation-style-language/schema/raw/master/csl-citation.json"}</w:instrText>
      </w:r>
      <w:r w:rsidR="007632BD">
        <w:rPr>
          <w:rFonts w:cs="Times New Roman"/>
          <w:sz w:val="22"/>
          <w:szCs w:val="22"/>
          <w:lang w:val="en-GB"/>
        </w:rPr>
        <w:fldChar w:fldCharType="separate"/>
      </w:r>
      <w:r w:rsidR="00D441C9" w:rsidRPr="00D441C9">
        <w:rPr>
          <w:rFonts w:cs="Times New Roman"/>
          <w:noProof/>
          <w:sz w:val="22"/>
          <w:szCs w:val="22"/>
          <w:lang w:val="en-GB"/>
        </w:rPr>
        <w:t>(24)</w:t>
      </w:r>
      <w:r w:rsidR="007632BD">
        <w:rPr>
          <w:rFonts w:cs="Times New Roman"/>
          <w:sz w:val="22"/>
          <w:szCs w:val="22"/>
          <w:lang w:val="en-GB"/>
        </w:rPr>
        <w:fldChar w:fldCharType="end"/>
      </w:r>
      <w:r w:rsidR="007632BD" w:rsidRPr="001900FE">
        <w:rPr>
          <w:rFonts w:cs="Times New Roman"/>
          <w:sz w:val="22"/>
          <w:szCs w:val="22"/>
          <w:lang w:val="en-GB"/>
        </w:rPr>
        <w:t xml:space="preserve">. </w:t>
      </w:r>
      <w:r w:rsidR="007632BD">
        <w:rPr>
          <w:rFonts w:cs="Times New Roman"/>
          <w:sz w:val="22"/>
          <w:szCs w:val="22"/>
          <w:lang w:val="en-GB"/>
        </w:rPr>
        <w:t>We expressed level of segmentation agreement</w:t>
      </w:r>
      <w:r w:rsidR="007632BD" w:rsidRPr="001900FE">
        <w:rPr>
          <w:rFonts w:cs="Times New Roman"/>
          <w:sz w:val="22"/>
          <w:szCs w:val="22"/>
          <w:lang w:val="en-GB"/>
        </w:rPr>
        <w:t xml:space="preserve"> us</w:t>
      </w:r>
      <w:r w:rsidR="007632BD">
        <w:rPr>
          <w:rFonts w:cs="Times New Roman"/>
          <w:sz w:val="22"/>
          <w:szCs w:val="22"/>
          <w:lang w:val="en-GB"/>
        </w:rPr>
        <w:t>ing</w:t>
      </w:r>
      <w:r w:rsidR="007632BD" w:rsidRPr="001900FE">
        <w:rPr>
          <w:rFonts w:cs="Times New Roman"/>
          <w:sz w:val="22"/>
          <w:szCs w:val="22"/>
          <w:lang w:val="en-GB"/>
        </w:rPr>
        <w:t xml:space="preserve"> metrics based on the well-known intersection-over-union (or Jacard Index) and the Dice score. </w:t>
      </w:r>
      <w:r w:rsidR="007632BD">
        <w:rPr>
          <w:rFonts w:cs="Times New Roman"/>
          <w:sz w:val="22"/>
          <w:szCs w:val="22"/>
          <w:lang w:val="en-GB"/>
        </w:rPr>
        <w:t>Th</w:t>
      </w:r>
      <w:r w:rsidR="009A4C6D">
        <w:rPr>
          <w:rFonts w:cs="Times New Roman"/>
          <w:sz w:val="22"/>
          <w:szCs w:val="22"/>
          <w:lang w:val="en-GB"/>
        </w:rPr>
        <w:t>u</w:t>
      </w:r>
      <w:r w:rsidR="007632BD">
        <w:rPr>
          <w:rFonts w:cs="Times New Roman"/>
          <w:sz w:val="22"/>
          <w:szCs w:val="22"/>
          <w:lang w:val="en-GB"/>
        </w:rPr>
        <w:t xml:space="preserve">s, we </w:t>
      </w:r>
      <w:r w:rsidR="00FB07BC" w:rsidRPr="001900FE">
        <w:rPr>
          <w:rFonts w:cs="Times New Roman"/>
          <w:sz w:val="22"/>
          <w:szCs w:val="22"/>
          <w:lang w:val="en-GB"/>
        </w:rPr>
        <w:t>us</w:t>
      </w:r>
      <w:r w:rsidR="007632BD">
        <w:rPr>
          <w:rFonts w:cs="Times New Roman"/>
          <w:sz w:val="22"/>
          <w:szCs w:val="22"/>
          <w:lang w:val="en-GB"/>
        </w:rPr>
        <w:t>ed</w:t>
      </w:r>
      <w:r w:rsidR="00FB07BC" w:rsidRPr="001900FE">
        <w:rPr>
          <w:rFonts w:cs="Times New Roman"/>
          <w:sz w:val="22"/>
          <w:szCs w:val="22"/>
          <w:lang w:val="en-GB"/>
        </w:rPr>
        <w:t xml:space="preserve"> four metrics for agreement between segmentations: the Dice score</w:t>
      </w:r>
      <w:r w:rsidR="00235510">
        <w:rPr>
          <w:rFonts w:cs="Times New Roman"/>
          <w:sz w:val="22"/>
          <w:szCs w:val="22"/>
          <w:lang w:val="en-GB"/>
        </w:rPr>
        <w:t>,</w:t>
      </w:r>
      <w:r w:rsidR="00FB07BC" w:rsidRPr="001900FE">
        <w:rPr>
          <w:rFonts w:cs="Times New Roman"/>
          <w:sz w:val="22"/>
          <w:szCs w:val="22"/>
          <w:lang w:val="en-GB"/>
        </w:rPr>
        <w:t xml:space="preserve"> Intersection-over-Union</w:t>
      </w:r>
      <w:r w:rsidR="008D7118">
        <w:rPr>
          <w:rFonts w:cs="Times New Roman"/>
          <w:sz w:val="22"/>
          <w:szCs w:val="22"/>
          <w:lang w:val="en-GB"/>
        </w:rPr>
        <w:t xml:space="preserve"> (IoU)</w:t>
      </w:r>
      <w:r w:rsidR="00FB07BC" w:rsidRPr="001900FE">
        <w:rPr>
          <w:rFonts w:cs="Times New Roman"/>
          <w:sz w:val="22"/>
          <w:szCs w:val="22"/>
          <w:lang w:val="en-GB"/>
        </w:rPr>
        <w:t xml:space="preserve"> metrics for overlap, the mean contour distance</w:t>
      </w:r>
      <w:r w:rsidR="00235510">
        <w:rPr>
          <w:rFonts w:cs="Times New Roman"/>
          <w:sz w:val="22"/>
          <w:szCs w:val="22"/>
          <w:lang w:val="en-GB"/>
        </w:rPr>
        <w:t>, and the</w:t>
      </w:r>
      <w:r w:rsidR="00FB07BC" w:rsidRPr="001900FE">
        <w:rPr>
          <w:rFonts w:cs="Times New Roman"/>
          <w:sz w:val="22"/>
          <w:szCs w:val="22"/>
          <w:lang w:val="en-GB"/>
        </w:rPr>
        <w:t xml:space="preserve"> symmetric Haussdorff distance</w:t>
      </w:r>
      <w:r w:rsidR="00235510">
        <w:rPr>
          <w:rFonts w:cs="Times New Roman"/>
          <w:sz w:val="22"/>
          <w:szCs w:val="22"/>
          <w:lang w:val="en-GB"/>
        </w:rPr>
        <w:t xml:space="preserve"> (</w:t>
      </w:r>
      <w:r w:rsidR="00FB07BC" w:rsidRPr="001900FE">
        <w:rPr>
          <w:rFonts w:cs="Times New Roman"/>
          <w:sz w:val="22"/>
          <w:szCs w:val="22"/>
          <w:lang w:val="en-GB"/>
        </w:rPr>
        <w:t xml:space="preserve">compares </w:t>
      </w:r>
      <w:r w:rsidR="001900FE" w:rsidRPr="001900FE">
        <w:rPr>
          <w:rFonts w:cs="Times New Roman"/>
          <w:sz w:val="22"/>
          <w:szCs w:val="22"/>
          <w:lang w:val="en-GB"/>
        </w:rPr>
        <w:t xml:space="preserve">the closeness of </w:t>
      </w:r>
      <w:r w:rsidR="00FB07BC" w:rsidRPr="001900FE">
        <w:rPr>
          <w:rFonts w:cs="Times New Roman"/>
          <w:sz w:val="22"/>
          <w:szCs w:val="22"/>
          <w:lang w:val="en-GB"/>
        </w:rPr>
        <w:t xml:space="preserve">foreground voxels </w:t>
      </w:r>
      <w:r w:rsidR="001900FE" w:rsidRPr="001900FE">
        <w:rPr>
          <w:rFonts w:cs="Times New Roman"/>
          <w:sz w:val="22"/>
          <w:szCs w:val="22"/>
          <w:lang w:val="en-GB"/>
        </w:rPr>
        <w:t>borders</w:t>
      </w:r>
      <w:r w:rsidR="00235510">
        <w:rPr>
          <w:rFonts w:cs="Times New Roman"/>
          <w:sz w:val="22"/>
          <w:szCs w:val="22"/>
          <w:lang w:val="en-GB"/>
        </w:rPr>
        <w:t>)</w:t>
      </w:r>
      <w:r w:rsidR="00FB07BC" w:rsidRPr="001900FE">
        <w:rPr>
          <w:rFonts w:cs="Times New Roman"/>
          <w:sz w:val="22"/>
          <w:szCs w:val="22"/>
          <w:lang w:val="en-GB"/>
        </w:rPr>
        <w:t>.</w:t>
      </w:r>
      <w:r w:rsidR="001900FE" w:rsidRPr="001900FE">
        <w:rPr>
          <w:rFonts w:cs="Times New Roman"/>
          <w:sz w:val="22"/>
          <w:szCs w:val="22"/>
          <w:lang w:val="en-GB"/>
        </w:rPr>
        <w:t xml:space="preserve"> </w:t>
      </w:r>
      <w:r w:rsidR="00FB07BC" w:rsidRPr="001900FE">
        <w:rPr>
          <w:rFonts w:cs="Times New Roman"/>
          <w:sz w:val="22"/>
          <w:szCs w:val="22"/>
          <w:lang w:val="en-GB"/>
        </w:rPr>
        <w:t xml:space="preserve">Both of the overlap metrics are bounded between 0 and 1, with 0 </w:t>
      </w:r>
      <w:r w:rsidR="00FB07BC" w:rsidRPr="00B7733B">
        <w:rPr>
          <w:rFonts w:cs="Times New Roman"/>
          <w:sz w:val="22"/>
          <w:szCs w:val="22"/>
          <w:lang w:val="en-GB"/>
        </w:rPr>
        <w:t xml:space="preserve">representing no overlap and 1 representing perfect overlap. </w:t>
      </w:r>
      <w:r w:rsidR="00235510" w:rsidRPr="00B7733B">
        <w:rPr>
          <w:rFonts w:cs="Times New Roman"/>
          <w:sz w:val="22"/>
          <w:szCs w:val="22"/>
          <w:lang w:val="en-GB"/>
        </w:rPr>
        <w:t>For both of these distance metrics, lower distances represent closer agreement between segmentation results.</w:t>
      </w:r>
      <w:bookmarkStart w:id="8" w:name="accuracy_metrics"/>
      <w:r w:rsidR="002F5168" w:rsidRPr="00B7733B">
        <w:rPr>
          <w:rFonts w:cs="Times New Roman"/>
          <w:sz w:val="22"/>
          <w:szCs w:val="22"/>
          <w:lang w:val="en-GB"/>
        </w:rPr>
        <w:t xml:space="preserve"> Furthermore, </w:t>
      </w:r>
      <w:r w:rsidR="00D26F96" w:rsidRPr="00B7733B">
        <w:rPr>
          <w:rFonts w:cs="Times New Roman"/>
          <w:sz w:val="22"/>
          <w:szCs w:val="22"/>
          <w:lang w:val="en-GB"/>
        </w:rPr>
        <w:t>in line with previous literature</w:t>
      </w:r>
      <w:r w:rsidR="001739AF" w:rsidRPr="00B7733B">
        <w:rPr>
          <w:rFonts w:cs="Times New Roman"/>
          <w:sz w:val="22"/>
          <w:szCs w:val="22"/>
          <w:lang w:val="en-GB"/>
        </w:rPr>
        <w:t xml:space="preserve"> </w:t>
      </w:r>
      <w:r w:rsidR="001739AF" w:rsidRPr="00B7733B">
        <w:rPr>
          <w:rFonts w:cs="Times New Roman"/>
          <w:color w:val="000000" w:themeColor="text1"/>
          <w:sz w:val="22"/>
          <w:szCs w:val="22"/>
          <w:lang w:val="en-GB"/>
        </w:rPr>
        <w:t>pertaining to QC</w:t>
      </w:r>
      <w:r w:rsidR="0020300A" w:rsidRPr="00B7733B">
        <w:rPr>
          <w:rFonts w:cs="Times New Roman"/>
          <w:color w:val="000000" w:themeColor="text1"/>
          <w:sz w:val="22"/>
          <w:szCs w:val="22"/>
          <w:lang w:val="en-GB"/>
        </w:rPr>
        <w:t xml:space="preserve"> (24</w:t>
      </w:r>
      <w:r w:rsidR="00625F29" w:rsidRPr="00B7733B">
        <w:rPr>
          <w:rFonts w:cs="Times New Roman"/>
          <w:color w:val="000000" w:themeColor="text1"/>
          <w:sz w:val="22"/>
          <w:szCs w:val="22"/>
          <w:lang w:val="en-GB"/>
        </w:rPr>
        <w:t>,</w:t>
      </w:r>
      <w:r w:rsidR="00742BF4" w:rsidRPr="00B7733B">
        <w:rPr>
          <w:rFonts w:cs="Times New Roman"/>
          <w:color w:val="000000" w:themeColor="text1"/>
          <w:sz w:val="22"/>
          <w:szCs w:val="22"/>
          <w:lang w:val="en-GB"/>
        </w:rPr>
        <w:t xml:space="preserve"> </w:t>
      </w:r>
      <w:r w:rsidR="00625F29" w:rsidRPr="00B7733B">
        <w:rPr>
          <w:rFonts w:cs="Times New Roman"/>
          <w:color w:val="000000" w:themeColor="text1"/>
          <w:sz w:val="22"/>
          <w:szCs w:val="22"/>
          <w:lang w:val="en-GB"/>
        </w:rPr>
        <w:t>3</w:t>
      </w:r>
      <w:r w:rsidR="00742BF4" w:rsidRPr="00B7733B">
        <w:rPr>
          <w:rFonts w:cs="Times New Roman"/>
          <w:color w:val="000000" w:themeColor="text1"/>
          <w:sz w:val="22"/>
          <w:szCs w:val="22"/>
          <w:lang w:val="en-GB"/>
        </w:rPr>
        <w:t>5</w:t>
      </w:r>
      <w:r w:rsidR="0020300A" w:rsidRPr="00B7733B">
        <w:rPr>
          <w:rFonts w:cs="Times New Roman"/>
          <w:color w:val="000000" w:themeColor="text1"/>
          <w:sz w:val="22"/>
          <w:szCs w:val="22"/>
          <w:lang w:val="en-GB"/>
        </w:rPr>
        <w:t>)</w:t>
      </w:r>
      <w:r w:rsidR="00D26F96" w:rsidRPr="00B7733B">
        <w:rPr>
          <w:rFonts w:cs="Times New Roman"/>
          <w:color w:val="000000" w:themeColor="text1"/>
          <w:sz w:val="22"/>
          <w:szCs w:val="22"/>
          <w:lang w:val="en-GB"/>
        </w:rPr>
        <w:t xml:space="preserve">, </w:t>
      </w:r>
      <w:r w:rsidR="002F5168" w:rsidRPr="00B7733B">
        <w:rPr>
          <w:rFonts w:cs="Times New Roman"/>
          <w:sz w:val="22"/>
          <w:szCs w:val="22"/>
          <w:lang w:val="en-GB"/>
        </w:rPr>
        <w:t xml:space="preserve">we classify segmentation accuracy as poor if the Dice score &lt;0.6, medium for 0.6-0.8 and good if the Dice score is </w:t>
      </w:r>
      <w:r w:rsidR="002F5168" w:rsidRPr="00B7733B">
        <w:rPr>
          <w:rFonts w:cs="Times New Roman"/>
          <w:sz w:val="22"/>
          <w:szCs w:val="22"/>
          <w:lang w:val="en-GB"/>
        </w:rPr>
        <w:sym w:font="Symbol" w:char="F0B3"/>
      </w:r>
      <w:r w:rsidR="002F5168" w:rsidRPr="00B7733B">
        <w:rPr>
          <w:rFonts w:cs="Times New Roman"/>
          <w:sz w:val="22"/>
          <w:szCs w:val="22"/>
          <w:lang w:val="en-GB"/>
        </w:rPr>
        <w:t>0.8.</w:t>
      </w:r>
    </w:p>
    <w:bookmarkEnd w:id="8"/>
    <w:p w14:paraId="100182FE" w14:textId="77777777" w:rsidR="008E4D77" w:rsidRDefault="008E4D77" w:rsidP="00FF2DC9">
      <w:pPr>
        <w:pStyle w:val="BodyText"/>
        <w:rPr>
          <w:rFonts w:cs="Times New Roman"/>
          <w:b/>
          <w:bCs/>
          <w:sz w:val="22"/>
          <w:szCs w:val="22"/>
          <w:lang w:val="en-GB"/>
        </w:rPr>
      </w:pPr>
    </w:p>
    <w:p w14:paraId="2BDEB6C3" w14:textId="6C7426AB" w:rsidR="0032599C" w:rsidRPr="0063081E" w:rsidRDefault="006D7426" w:rsidP="00FF2DC9">
      <w:pPr>
        <w:pStyle w:val="BodyText"/>
        <w:rPr>
          <w:rFonts w:cs="Times New Roman"/>
          <w:b/>
          <w:bCs/>
          <w:sz w:val="22"/>
          <w:szCs w:val="22"/>
          <w:lang w:val="en-GB"/>
        </w:rPr>
      </w:pPr>
      <w:r>
        <w:rPr>
          <w:rFonts w:cs="Times New Roman"/>
          <w:b/>
          <w:bCs/>
          <w:sz w:val="22"/>
          <w:szCs w:val="22"/>
          <w:lang w:val="en-GB"/>
        </w:rPr>
        <w:t>Correlation</w:t>
      </w:r>
      <w:r w:rsidR="0032599C" w:rsidRPr="006D7426">
        <w:rPr>
          <w:rFonts w:cs="Times New Roman"/>
          <w:b/>
          <w:bCs/>
          <w:sz w:val="22"/>
          <w:szCs w:val="22"/>
          <w:lang w:val="en-GB"/>
        </w:rPr>
        <w:t xml:space="preserve"> of automated CMR PAT quantification with </w:t>
      </w:r>
      <w:r>
        <w:rPr>
          <w:rFonts w:cs="Times New Roman"/>
          <w:b/>
          <w:bCs/>
          <w:sz w:val="22"/>
          <w:szCs w:val="22"/>
          <w:lang w:val="en-GB"/>
        </w:rPr>
        <w:t>C</w:t>
      </w:r>
      <w:r w:rsidR="0032599C" w:rsidRPr="006D7426">
        <w:rPr>
          <w:rFonts w:cs="Times New Roman"/>
          <w:b/>
          <w:bCs/>
          <w:sz w:val="22"/>
          <w:szCs w:val="22"/>
          <w:lang w:val="en-GB"/>
        </w:rPr>
        <w:t>CT measured PAT</w:t>
      </w:r>
    </w:p>
    <w:p w14:paraId="1E800E15" w14:textId="16615707" w:rsidR="0037564C" w:rsidRDefault="00C96AEB" w:rsidP="00FF2DC9">
      <w:pPr>
        <w:pStyle w:val="Firstparagraph"/>
        <w:rPr>
          <w:rFonts w:cs="Times New Roman"/>
          <w:sz w:val="22"/>
          <w:szCs w:val="22"/>
          <w:lang w:val="en-GB"/>
        </w:rPr>
      </w:pPr>
      <w:r>
        <w:rPr>
          <w:rFonts w:cs="Times New Roman"/>
          <w:sz w:val="22"/>
          <w:szCs w:val="22"/>
          <w:lang w:val="en-GB"/>
        </w:rPr>
        <w:t xml:space="preserve">We tested the correlation of our derived CMR PAT measurement with established </w:t>
      </w:r>
      <w:r w:rsidR="00235510">
        <w:rPr>
          <w:rFonts w:cs="Times New Roman"/>
          <w:sz w:val="22"/>
          <w:szCs w:val="22"/>
          <w:lang w:val="en-GB"/>
        </w:rPr>
        <w:t>C</w:t>
      </w:r>
      <w:r>
        <w:rPr>
          <w:rFonts w:cs="Times New Roman"/>
          <w:sz w:val="22"/>
          <w:szCs w:val="22"/>
          <w:lang w:val="en-GB"/>
        </w:rPr>
        <w:t>CT PAT measurements. W</w:t>
      </w:r>
      <w:r w:rsidR="00FB07BC" w:rsidRPr="001900FE">
        <w:rPr>
          <w:rFonts w:cs="Times New Roman"/>
          <w:sz w:val="22"/>
          <w:szCs w:val="22"/>
          <w:lang w:val="en-GB"/>
        </w:rPr>
        <w:t>e utilised the Barts Health NHS Trust local sub</w:t>
      </w:r>
      <w:r w:rsidR="002F5056">
        <w:rPr>
          <w:rFonts w:cs="Times New Roman"/>
          <w:sz w:val="22"/>
          <w:szCs w:val="22"/>
          <w:lang w:val="en-GB"/>
        </w:rPr>
        <w:t>-</w:t>
      </w:r>
      <w:r w:rsidR="00FB07BC" w:rsidRPr="001900FE">
        <w:rPr>
          <w:rFonts w:cs="Times New Roman"/>
          <w:sz w:val="22"/>
          <w:szCs w:val="22"/>
          <w:lang w:val="en-GB"/>
        </w:rPr>
        <w:t xml:space="preserve">study, from the </w:t>
      </w:r>
      <w:r w:rsidR="0063081E" w:rsidRPr="00400C7C">
        <w:rPr>
          <w:rFonts w:cs="Times New Roman"/>
          <w:noProof/>
          <w:sz w:val="22"/>
        </w:rPr>
        <w:t>EValuation of INtegrated Cardiac Imaging for the Detection and Characterization of Ischaemic Heart Disease (EVINCI)</w:t>
      </w:r>
      <w:r w:rsidR="00FB07BC" w:rsidRPr="001900FE">
        <w:rPr>
          <w:rFonts w:cs="Times New Roman"/>
          <w:sz w:val="22"/>
          <w:szCs w:val="22"/>
          <w:lang w:val="en-GB"/>
        </w:rPr>
        <w:t xml:space="preserve"> dataset</w:t>
      </w:r>
      <w:r w:rsidR="000D0470">
        <w:rPr>
          <w:rFonts w:cs="Times New Roman"/>
          <w:sz w:val="22"/>
          <w:szCs w:val="22"/>
          <w:lang w:val="en-GB"/>
        </w:rPr>
        <w:fldChar w:fldCharType="begin" w:fldLock="1"/>
      </w:r>
      <w:r w:rsidR="00D441C9">
        <w:rPr>
          <w:rFonts w:cs="Times New Roman"/>
          <w:sz w:val="22"/>
          <w:szCs w:val="22"/>
          <w:lang w:val="en-GB"/>
        </w:rPr>
        <w:instrText>ADDIN CSL_CITATION {"citationItems":[{"id":"ITEM-1","itemData":{"DOI":"10.1161/CIRCIMAGING.114.002179","ISSN":"19420080","PMID":"25711274","abstract":"Background-The choice of imaging techniques in patients with suspected coronary artery disease (CAD) varies between countries, regions, and hospitals. This prospective, multicenter, comparative effectiveness study was designed to assess the relative accuracy of commonly used imaging techniques for identifying patients with significant CAD. Methods and Results-A total of 475 patients with stable chest pain and intermediate likelihood of CAD underwent coronary computed tomographic angiography and stress myocardial perfusion imaging by single photon emission computed tomography or positron emission tomography, and ventricular wall motion imaging by stress echocardiography or cardiac magnetic resonance. If ≥1 test was abnormal, patients underwent invasive coronary angiography. Significant CAD was defined by invasive coronary angiography as &gt;50% stenosis of the left main stem, &gt;70% stenosis in a major coronary vessel, or 30% to 70% stenosis with fractional flow reserve ≤0.8. Significant CAD was present in 29% of patients. In a patient-based analysis, coronary computed tomographic angiography had the highest diagnostic accuracy, the area under the receiver operating characteristics curve being 0.91 (95% confidence interval, 0.88-0.94), sensitivity being 91%, and specificity being 92%. Myocardial perfusion imaging had good diagnostic accuracy (area under the curve, 0.74; confidence interval, 0.69-0.78), sensitivity 74%, and specificity 73%. Wall motion imaging had similar accuracy (area under the curve, 0.70; confidence interval, 0.65-0.75) but lower sensitivity (49%, P&lt;0.001) and higher specificity (92%, P&lt;0.001). The diagnostic accuracy of myocardial perfusion imaging and wall motion imaging were lower than that of coronary computed tomographic angiography (P&lt;0.001). Conclusions-In a multicenter European population of patients with stable chest pain and low prevalence of CAD, coronary computed tomographic angiography is more accurate than noninvasive functional testing for detecting significant CAD defined invasively.","author":[{"dropping-particle":"","family":"Neglia","given":"Danilo","non-dropping-particle":"","parse-names":false,"suffix":""},{"dropping-particle":"","family":"Rovai","given":"Daniele","non-dropping-particle":"","parse-names":false,"suffix":""},{"dropping-particle":"","family":"Caselli","given":"Chiara","non-dropping-particle":"","parse-names":false,"suffix":""},{"dropping-particle":"","family":"Pietila","given":"Mikko","non-dropping-particle":"","parse-names":false,"suffix":""},{"dropping-particle":"","family":"Teresinska","given":"Anna","non-dropping-particle":"","parse-names":false,"suffix":""},{"dropping-particle":"","family":"Aguadé-Bruix","given":"Santiago","non-dropping-particle":"","parse-names":false,"suffix":""},{"dropping-particle":"","family":"Pizzi","given":"Maria Nazarena","non-dropping-particle":"","parse-names":false,"suffix":""},{"dropping-particle":"","family":"Todiere","given":"Giancarlo","non-dropping-particle":"","parse-names":false,"suffix":""},{"dropping-particle":"","family":"Gimelli","given":"Alessia","non-dropping-particle":"","parse-names":false,"suffix":""},{"dropping-particle":"","family":"Schroeder","given":"Stephen","non-dropping-particle":"","parse-names":false,"suffix":""},{"dropping-particle":"","family":"Drosch","given":"Tanja","non-dropping-particle":"","parse-names":false,"suffix":""},{"dropping-particle":"","family":"Poddighe","given":"Rosa","non-dropping-particle":"","parse-names":false,"suffix":""},{"dropping-particle":"","family":"Casolo","given":"Giancarlo","non-dropping-particle":"","parse-names":false,"suffix":""},{"dropping-particle":"","family":"Anagnostopoulos","given":"Constantinos","non-dropping-particle":"","parse-names":false,"suffix":""},{"dropping-particle":"","family":"Pugliese","given":"Francesca","non-dropping-particle":"","parse-names":false,"suffix":""},{"dropping-particle":"","family":"Rouzet","given":"Francois","non-dropping-particle":"","parse-names":false,"suffix":""},{"dropping-particle":"","family":"Guludec","given":"Dominique","non-dropping-particle":"Le","parse-names":false,"suffix":""},{"dropping-particle":"","family":"Cappelli","given":"Francesco","non-dropping-particle":"","parse-names":false,"suffix":""},{"dropping-particle":"","family":"Valente","given":"Serafina","non-dropping-particle":"","parse-names":false,"suffix":""},{"dropping-particle":"","family":"Gensini","given":"Gian Franco","non-dropping-particle":"","parse-names":false,"suffix":""},{"dropping-particle":"","family":"Zawaideh","given":"Camilla","non-dropping-particle":"","parse-names":false,"suffix":""},{"dropping-particle":"","family":"Capitanio","given":"Selene","non-dropping-particle":"","parse-names":false,"suffix":""},{"dropping-particle":"","family":"Sambuceti","given":"Gianmario","non-dropping-particle":"","parse-names":false,"suffix":""},{"dropping-particle":"","family":"Marsico","given":"Fabio","non-dropping-particle":"","parse-names":false,"suffix":""},{"dropping-particle":"","family":"Perrone Filardi","given":"Pasquale","non-dropping-particle":"","parse-names":false,"suffix":""},{"dropping-particle":"","family":"Fernández-Golfín","given":"Covadonga","non-dropping-particle":"","parse-names":false,"suffix":""},{"dropping-particle":"","family":"Rincón","given":"Luis M.","non-dropping-particle":"","parse-names":false,"suffix":""},{"dropping-particle":"","family":"Graner","given":"Frank P.","non-dropping-particle":"","parse-names":false,"suffix":""},{"dropping-particle":"","family":"Graaf","given":"Michiel A.","non-dropping-particle":"De","parse-names":false,"suffix":""},{"dropping-particle":"","family":"Fiechter","given":"Michael","non-dropping-particle":"","parse-names":false,"suffix":""},{"dropping-particle":"","family":"Stehli","given":"Julia","non-dropping-particle":"","parse-names":false,"suffix":""},{"dropping-particle":"","family":"Gaemperli","given":"Oliver","non-dropping-particle":"","parse-names":false,"suffix":""},{"dropping-particle":"","family":"Reyes","given":"Eliana","non-dropping-particle":"","parse-names":false,"suffix":""},{"dropping-particle":"","family":"Nkomo","given":"Sandy","non-dropping-particle":"","parse-names":false,"suffix":""},{"dropping-particle":"","family":"Maki","given":"Maija","non-dropping-particle":"","parse-names":false,"suffix":""},{"dropping-particle":"","family":"Lorenzoni","given":"Valentina","non-dropping-particle":"","parse-names":false,"suffix":""},{"dropping-particle":"","family":"Turchetti","given":"Giuseppe","non-dropping-particle":"","parse-names":false,"suffix":""},{"dropping-particle":"","family":"Carpeggiani","given":"Clara","non-dropping-particle":"","parse-names":false,"suffix":""},{"dropping-particle":"","family":"Marinelli","given":"Martina","non-dropping-particle":"","parse-names":false,"suffix":""},{"dropping-particle":"","family":"Puzzuoli","given":"Stefano","non-dropping-particle":"","parse-names":false,"suffix":""},{"dropping-particle":"","family":"Mangione","given":"Maurizio","non-dropping-particle":"","parse-names":false,"suffix":""},{"dropping-particle":"","family":"Marcheschi","given":"Paolo","non-dropping-particle":"","parse-names":false,"suffix":""},{"dropping-particle":"","family":"Mariani","given":"Fabio","non-dropping-particle":"","parse-names":false,"suffix":""},{"dropping-particle":"","family":"Giannessi","given":"Daniela","non-dropping-particle":"","parse-names":false,"suffix":""},{"dropping-particle":"","family":"Nekolla","given":"Stephan","non-dropping-particle":"","parse-names":false,"suffix":""},{"dropping-particle":"","family":"Lombardi","given":"Massimo","non-dropping-particle":"","parse-names":false,"suffix":""},{"dropping-particle":"","family":"Sicari","given":"Rosa","non-dropping-particle":"","parse-names":false,"suffix":""},{"dropping-particle":"","family":"Scholte","given":"Arthur J.H.A.","non-dropping-particle":"","parse-names":false,"suffix":""},{"dropping-particle":"","family":"Zamorano","given":"José L.","non-dropping-particle":"","parse-names":false,"suffix":""},{"dropping-particle":"","family":"Kaufmann","given":"Philipp A.","non-dropping-particle":"","parse-names":false,"suffix":""},{"dropping-particle":"","family":"Underwood","given":"S. Richard","non-dropping-particle":"","parse-names":false,"suffix":""},{"dropping-particle":"","family":"Knuuti","given":"Juhani","non-dropping-particle":"","parse-names":false,"suffix":""}],"container-title":"Circulation: Cardiovascular Imaging","id":"ITEM-1","issue":"3","issued":{"date-parts":[["2015","3","21"]]},"publisher":"Lippincott Williams and Wilkins","title":"Detection of Significant Coronary Artery Disease by Noninvasive Anatomical and Functional Imaging","type":"article-journal","volume":"8"},"uris":["http://www.mendeley.com/documents/?uuid=a226ce24-2f2e-37e8-ab4f-c9f617e8cca5"]}],"mendeley":{"formattedCitation":"(28)","plainTextFormattedCitation":"(28)","previouslyFormattedCitation":"(29)"},"properties":{"noteIndex":0},"schema":"https://github.com/citation-style-language/schema/raw/master/csl-citation.json"}</w:instrText>
      </w:r>
      <w:r w:rsidR="000D0470">
        <w:rPr>
          <w:rFonts w:cs="Times New Roman"/>
          <w:sz w:val="22"/>
          <w:szCs w:val="22"/>
          <w:lang w:val="en-GB"/>
        </w:rPr>
        <w:fldChar w:fldCharType="separate"/>
      </w:r>
      <w:r w:rsidR="00D441C9" w:rsidRPr="00D441C9">
        <w:rPr>
          <w:rFonts w:cs="Times New Roman"/>
          <w:noProof/>
          <w:sz w:val="22"/>
          <w:szCs w:val="22"/>
          <w:lang w:val="en-GB"/>
        </w:rPr>
        <w:t>(28)</w:t>
      </w:r>
      <w:r w:rsidR="000D0470">
        <w:rPr>
          <w:rFonts w:cs="Times New Roman"/>
          <w:sz w:val="22"/>
          <w:szCs w:val="22"/>
          <w:lang w:val="en-GB"/>
        </w:rPr>
        <w:fldChar w:fldCharType="end"/>
      </w:r>
      <w:r w:rsidR="00FB07BC" w:rsidRPr="001900FE">
        <w:rPr>
          <w:rFonts w:cs="Times New Roman"/>
          <w:sz w:val="22"/>
          <w:szCs w:val="22"/>
          <w:lang w:val="en-GB"/>
        </w:rPr>
        <w:t xml:space="preserve">, a clinical trial dataset including n=109 participants with paired CMR and </w:t>
      </w:r>
      <w:r w:rsidR="002F5056">
        <w:rPr>
          <w:rFonts w:cs="Times New Roman"/>
          <w:sz w:val="22"/>
          <w:szCs w:val="22"/>
          <w:lang w:val="en-GB"/>
        </w:rPr>
        <w:t>C</w:t>
      </w:r>
      <w:r w:rsidR="00FB07BC" w:rsidRPr="001900FE">
        <w:rPr>
          <w:rFonts w:cs="Times New Roman"/>
          <w:sz w:val="22"/>
          <w:szCs w:val="22"/>
          <w:lang w:val="en-GB"/>
        </w:rPr>
        <w:t xml:space="preserve">CT imaging performed within a maximum </w:t>
      </w:r>
      <w:r w:rsidR="00E429C6">
        <w:rPr>
          <w:rFonts w:cs="Times New Roman"/>
          <w:sz w:val="22"/>
          <w:szCs w:val="22"/>
          <w:lang w:val="en-GB"/>
        </w:rPr>
        <w:t xml:space="preserve">interval </w:t>
      </w:r>
      <w:r w:rsidR="00FB07BC" w:rsidRPr="001900FE">
        <w:rPr>
          <w:rFonts w:cs="Times New Roman"/>
          <w:sz w:val="22"/>
          <w:szCs w:val="22"/>
          <w:lang w:val="en-GB"/>
        </w:rPr>
        <w:t>of 37 days.</w:t>
      </w:r>
      <w:r w:rsidR="00E429C6">
        <w:rPr>
          <w:rFonts w:cs="Times New Roman"/>
          <w:sz w:val="22"/>
          <w:szCs w:val="22"/>
          <w:lang w:val="en-GB"/>
        </w:rPr>
        <w:t xml:space="preserve"> </w:t>
      </w:r>
      <w:r w:rsidR="002F5056">
        <w:rPr>
          <w:rFonts w:cs="Times New Roman"/>
          <w:sz w:val="22"/>
          <w:szCs w:val="22"/>
          <w:lang w:val="en-GB"/>
        </w:rPr>
        <w:t xml:space="preserve">We used </w:t>
      </w:r>
      <w:r w:rsidR="002F5056" w:rsidRPr="001900FE">
        <w:rPr>
          <w:rFonts w:cs="Times New Roman"/>
          <w:sz w:val="22"/>
          <w:szCs w:val="22"/>
          <w:lang w:val="en-GB"/>
        </w:rPr>
        <w:t xml:space="preserve">the QFAT </w:t>
      </w:r>
      <w:r w:rsidR="00F9581C">
        <w:rPr>
          <w:rFonts w:cs="Times New Roman"/>
          <w:sz w:val="22"/>
          <w:szCs w:val="22"/>
          <w:lang w:val="en-GB"/>
        </w:rPr>
        <w:t xml:space="preserve">software (version 2.0, Cedars-Sinai Medical Center) </w:t>
      </w:r>
      <w:r w:rsidR="002F5056">
        <w:rPr>
          <w:rFonts w:cs="Times New Roman"/>
          <w:sz w:val="22"/>
          <w:szCs w:val="22"/>
          <w:lang w:val="en-GB"/>
        </w:rPr>
        <w:t>f</w:t>
      </w:r>
      <w:r w:rsidR="00235510">
        <w:rPr>
          <w:rFonts w:cs="Times New Roman"/>
          <w:sz w:val="22"/>
          <w:szCs w:val="22"/>
          <w:lang w:val="en-GB"/>
        </w:rPr>
        <w:t xml:space="preserve">or CCT PAT quantification </w:t>
      </w:r>
      <w:r w:rsidR="00E429C6">
        <w:rPr>
          <w:rFonts w:cs="Times New Roman"/>
          <w:sz w:val="22"/>
          <w:szCs w:val="22"/>
          <w:lang w:val="en-GB"/>
        </w:rPr>
        <w:fldChar w:fldCharType="begin" w:fldLock="1"/>
      </w:r>
      <w:r w:rsidR="00D441C9">
        <w:rPr>
          <w:rFonts w:cs="Times New Roman"/>
          <w:sz w:val="22"/>
          <w:szCs w:val="22"/>
          <w:lang w:val="en-GB"/>
        </w:rPr>
        <w:instrText>ADDIN CSL_CITATION {"citationItems":[{"id":"ITEM-1","itemData":{"DOI":"10.1148/ryai.2019190045","ISSN":"2638-6100","abstract":"Purpose To evaluate the performance of deep learning for robust and fully automated quantification of epicardial adipose tissue (EAT) from multicenter cardiac CT data. Materials and Methods In this multicenter study, a convolutional neural network approach was trained to quantify EAT on non–contrast material–enhanced calcium-scoring CT scans from multiple cohorts, scanners, and protocols (n = 850). Deep learning performance was compared with the performance of three expert readers and with interobserver variability in a subset of 141 scans. The deep learning algorithm was incorporated into research software. Automated EAT progression was compared with expert measurements for 70 patients with baseline and follow-up scans. Results Automated quantification was performed in a mean (± standard deviation) time of 1.57 seconds ± 0.49, compared with 15 minutes for experts. Deep learning provided high agreement with expert manual quantification for all scans (R = 0.974; P &lt; .001), with no significant bias (0.53 cm3; P = .13). Manual EAT volumes measured by two experienced readers were highly correlated (R = 0.984; P &lt; .001) but with a bias of 4.35 cm3 (P &lt; .001). Deep learning quantifications were highly correlated with the measurements of both experts (R = 0.973 and R = 0.979; P &lt; .001), with significant bias for reader 1 (5.11 cm3; P &lt; .001) but not for reader 2 (0.88 cm3; P = .26). EAT progression by deep learning correlated strongly with manual EAT progression (R = 0.905; P &lt; .001) in 70 patients, with no significant bias (0.64 cm3; P = .43), and was related to an increased noncalcified plaque burden quantified from coronary CT angiography (5.7% vs 1.8%; P = .026). Conclusion Deep learning allows rapid, robust, and fully automated quantification of EAT from calcium scoring CT. It performs as well as an expert reader and can be implemented for routine cardiovascular risk assessment. © RSNA, 2019 See also the commentary by Schoepf and Abadia in this issue.","author":[{"dropping-particle":"","family":"Commandeur","given":"Frederic","non-dropping-particle":"","parse-names":false,"suffix":""},{"dropping-particle":"","family":"Goeller","given":"Markus","non-dropping-particle":"","parse-names":false,"suffix":""},{"dropping-particle":"","family":"Razipour","given":"Aryabod","non-dropping-particle":"","parse-names":false,"suffix":""},{"dropping-particle":"","family":"Cadet","given":"Sebastien","non-dropping-particle":"","parse-names":false,"suffix":""},{"dropping-particle":"","family":"Hell","given":"Michaela M.","non-dropping-particle":"","parse-names":false,"suffix":""},{"dropping-particle":"","family":"Kwiecinski","given":"Jacek","non-dropping-particle":"","parse-names":false,"suffix":""},{"dropping-particle":"","family":"Chen","given":"Xi","non-dropping-particle":"","parse-names":false,"suffix":""},{"dropping-particle":"","family":"Chang","given":"Hyuk-Jae","non-dropping-particle":"","parse-names":false,"suffix":""},{"dropping-particle":"","family":"Marwan","given":"Mohamed","non-dropping-particle":"","parse-names":false,"suffix":""},{"dropping-particle":"","family":"Achenbach","given":"Stephan","non-dropping-particle":"","parse-names":false,"suffix":""},{"dropping-particle":"","family":"Berman","given":"Daniel S.","non-dropping-particle":"","parse-names":false,"suffix":""},{"dropping-particle":"","family":"Slomka","given":"Piotr J.","non-dropping-particle":"","parse-names":false,"suffix":""},{"dropping-particle":"","family":"Tamarappoo","given":"Balaji K.","non-dropping-particle":"","parse-names":false,"suffix":""},{"dropping-particle":"","family":"Dey","given":"Damini","non-dropping-particle":"","parse-names":false,"suffix":""}],"container-title":"Radiology: Artificial Intelligence","id":"ITEM-1","issue":"6","issued":{"date-parts":[["2019","11","1"]]},"page":"e190045","publisher":"Radiological Society of North America (RSNA)","title":"Fully Automated CT Quantification of Epicardial Adipose Tissue by Deep Learning: A Multicenter Study","type":"article-journal","volume":"1"},"uris":["http://www.mendeley.com/documents/?uuid=4c1f13d4-7777-3e0d-8f18-bbc5462de611"]},{"id":"ITEM-2","itemData":{"DOI":"10.1161/CIRCIMAGING.119.009829","ISSN":"19420080","PMID":"32063057","abstract":"Background: Epicardial adipose tissue (EAT) volume (cm3) and attenuation (Hounsfield units) may predict major adverse cardiovascular events (MACE). We aimed to evaluate the prognostic value of fully automated deep learning-based EAT volume and attenuation measurements quantified from noncontrast cardiac computed tomography. Methods: Our study included 2068 asymptomatic subjects (569 years, 59% male) from the EISNER trial (Early Identification of Subclinical Atherosclerosis by Noninvasive Imaging Research) with long-term follow-up after coronary artery calcium measurement. EAT volume and mean attenuation were quantified using automated deep learning software from noncontrast cardiac computed tomography. MACE was defined as myocardial infarction, late (&gt;180 days) revascularization, and cardiac death. EAT measures were compared to coronary artery calcium score and atherosclerotic cardiovascular disease risk score for MACE prediction. Results: At 143 years, 223 subjects suffered MACE. Increased EAT volume and decreased EAT attenuation were both independently associated with MACE. Atherosclerotic cardiovascular disease risk score, coronary artery calcium, and EAT volume were associated with increased risk of MACE (hazard ratio [95%CI]: 1.03 [1.01-1.04]; 1.25 [1.19-1.30]; and 1.35 [1.07-1.68], P&lt;0.01 for all) and EAT attenuation was inversely associated with MACE (hazard ratio, 0.83 [95% CI, 0.72-0.96]; P=0.01), with corresponding Harrell C statistic of 0.76. MACE risk progressively increased with EAT volume ≥113 cm3 and coronary artery calcium ≥100 AU and was highest in subjects with both (P&lt;0.02 for all). In 1317 subjects, EAT volume was correlated with inflammatory biomarkers C-reactive protein, myeloperoxidase, and adiponectin reduction; EAT attenuation was inversely related to these biomarkers. Conclusions: Fully automated EAT volume and attenuation quantification by deep learning from noncontrast cardiac computed tomography can provide prognostic value for the asymptomatic patient, without additional imaging or physician interaction.","author":[{"dropping-particle":"","family":"Eisenberg","given":"Evann","non-dropping-particle":"","parse-names":false,"suffix":""},{"dropping-particle":"","family":"McElhinney","given":"Priscilla A.","non-dropping-particle":"","parse-names":false,"suffix":""},{"dropping-particle":"","family":"Commandeur","given":"Frederic","non-dropping-particle":"","parse-names":false,"suffix":""},{"dropping-particle":"","family":"Chen","given":"Xi","non-dropping-particle":"","parse-names":false,"suffix":""},{"dropping-particle":"","family":"Cadet","given":"Sebastien","non-dropping-particle":"","parse-names":false,"suffix":""},{"dropping-particle":"","family":"Goeller","given":"Markus","non-dropping-particle":"","parse-names":false,"suffix":""},{"dropping-particle":"","family":"Razipour","given":"Aryabod","non-dropping-particle":"","parse-names":false,"suffix":""},{"dropping-particle":"","family":"Gransar","given":"Heidi","non-dropping-particle":"","parse-names":false,"suffix":""},{"dropping-particle":"","family":"Cantu","given":"Stephanie","non-dropping-particle":"","parse-names":false,"suffix":""},{"dropping-particle":"","family":"Miller","given":"Robert J.H.","non-dropping-particle":"","parse-names":false,"suffix":""},{"dropping-particle":"","family":"Slomka","given":"Piotr J.","non-dropping-particle":"","parse-names":false,"suffix":""},{"dropping-particle":"","family":"Wong","given":"Nathan D.","non-dropping-particle":"","parse-names":false,"suffix":""},{"dropping-particle":"","family":"Rozanski","given":"Alan","non-dropping-particle":"","parse-names":false,"suffix":""},{"dropping-particle":"","family":"Achenbach","given":"Stephan","non-dropping-particle":"","parse-names":false,"suffix":""},{"dropping-particle":"","family":"Tamarappoo","given":"Balaji K.","non-dropping-particle":"","parse-names":false,"suffix":""},{"dropping-particle":"","family":"Berman","given":"Daniel S.","non-dropping-particle":"","parse-names":false,"suffix":""},{"dropping-particle":"","family":"Dey","given":"Damini","non-dropping-particle":"","parse-names":false,"suffix":""}],"container-title":"Circulation: Cardiovascular Imaging","id":"ITEM-2","issue":"2","issued":{"date-parts":[["2020","2"]]},"publisher":"Lippincott Williams and Wilkins","title":"Deep Learning-Based Quantification of Epicardial Adipose Tissue Volume and Attenuation Predicts Major Adverse Cardiovascular Events in Asymptomatic Subjects","type":"article-journal","volume":"13"},"uris":["http://www.mendeley.com/documents/?uuid=bfe48485-d170-30e0-a6d1-97c9beb145bc"]}],"mendeley":{"formattedCitation":"(7,8)","plainTextFormattedCitation":"(7,8)","previouslyFormattedCitation":"(7,8)"},"properties":{"noteIndex":0},"schema":"https://github.com/citation-style-language/schema/raw/master/csl-citation.json"}</w:instrText>
      </w:r>
      <w:r w:rsidR="00E429C6">
        <w:rPr>
          <w:rFonts w:cs="Times New Roman"/>
          <w:sz w:val="22"/>
          <w:szCs w:val="22"/>
          <w:lang w:val="en-GB"/>
        </w:rPr>
        <w:fldChar w:fldCharType="separate"/>
      </w:r>
      <w:r w:rsidR="00FF2DC9" w:rsidRPr="00FF2DC9">
        <w:rPr>
          <w:rFonts w:cs="Times New Roman"/>
          <w:noProof/>
          <w:sz w:val="22"/>
          <w:szCs w:val="22"/>
          <w:lang w:val="en-GB"/>
        </w:rPr>
        <w:t>(7,8)</w:t>
      </w:r>
      <w:r w:rsidR="00E429C6">
        <w:rPr>
          <w:rFonts w:cs="Times New Roman"/>
          <w:sz w:val="22"/>
          <w:szCs w:val="22"/>
          <w:lang w:val="en-GB"/>
        </w:rPr>
        <w:fldChar w:fldCharType="end"/>
      </w:r>
      <w:r w:rsidR="00FB07BC" w:rsidRPr="001900FE">
        <w:rPr>
          <w:rFonts w:cs="Times New Roman"/>
          <w:sz w:val="22"/>
          <w:szCs w:val="22"/>
          <w:lang w:val="en-GB"/>
        </w:rPr>
        <w:t xml:space="preserve">, which segments and quantifies epicardial and thoracic fat from non-contrast </w:t>
      </w:r>
      <w:r w:rsidR="006D7426">
        <w:rPr>
          <w:rFonts w:cs="Times New Roman"/>
          <w:sz w:val="22"/>
          <w:szCs w:val="22"/>
          <w:lang w:val="en-GB"/>
        </w:rPr>
        <w:t>c</w:t>
      </w:r>
      <w:r w:rsidR="00FB07BC" w:rsidRPr="001900FE">
        <w:rPr>
          <w:rFonts w:cs="Times New Roman"/>
          <w:sz w:val="22"/>
          <w:szCs w:val="22"/>
          <w:lang w:val="en-GB"/>
        </w:rPr>
        <w:t xml:space="preserve">alcium </w:t>
      </w:r>
      <w:r w:rsidR="006D7426">
        <w:rPr>
          <w:rFonts w:cs="Times New Roman"/>
          <w:sz w:val="22"/>
          <w:szCs w:val="22"/>
          <w:lang w:val="en-GB"/>
        </w:rPr>
        <w:t>s</w:t>
      </w:r>
      <w:r w:rsidR="00FB07BC" w:rsidRPr="001900FE">
        <w:rPr>
          <w:rFonts w:cs="Times New Roman"/>
          <w:sz w:val="22"/>
          <w:szCs w:val="22"/>
          <w:lang w:val="en-GB"/>
        </w:rPr>
        <w:t xml:space="preserve">coring </w:t>
      </w:r>
      <w:r w:rsidR="00FA47E6">
        <w:rPr>
          <w:rFonts w:cs="Times New Roman"/>
          <w:sz w:val="22"/>
          <w:szCs w:val="22"/>
          <w:lang w:val="en-GB"/>
        </w:rPr>
        <w:t>C</w:t>
      </w:r>
      <w:r w:rsidR="00FB07BC" w:rsidRPr="001900FE">
        <w:rPr>
          <w:rFonts w:cs="Times New Roman"/>
          <w:sz w:val="22"/>
          <w:szCs w:val="22"/>
          <w:lang w:val="en-GB"/>
        </w:rPr>
        <w:t>CT. We utilised deep learning-based contouring with no manual adjustment</w:t>
      </w:r>
      <w:r w:rsidR="0037564C">
        <w:rPr>
          <w:rFonts w:cs="Times New Roman"/>
          <w:sz w:val="22"/>
          <w:szCs w:val="22"/>
          <w:lang w:val="en-GB"/>
        </w:rPr>
        <w:t>.</w:t>
      </w:r>
      <w:r w:rsidR="00FB07BC" w:rsidRPr="001900FE">
        <w:rPr>
          <w:rFonts w:cs="Times New Roman"/>
          <w:sz w:val="22"/>
          <w:szCs w:val="22"/>
          <w:lang w:val="en-GB"/>
        </w:rPr>
        <w:t xml:space="preserve"> </w:t>
      </w:r>
      <w:r w:rsidR="0037564C">
        <w:rPr>
          <w:rFonts w:cs="Times New Roman"/>
          <w:sz w:val="22"/>
          <w:szCs w:val="22"/>
          <w:lang w:val="en-GB"/>
        </w:rPr>
        <w:t>V</w:t>
      </w:r>
      <w:r w:rsidR="00FB07BC" w:rsidRPr="001900FE">
        <w:rPr>
          <w:rFonts w:cs="Times New Roman"/>
          <w:sz w:val="22"/>
          <w:szCs w:val="22"/>
          <w:lang w:val="en-GB"/>
        </w:rPr>
        <w:t xml:space="preserve">oxels containing thoracic fat deposits were defined as those with a radiodensity of between -190 and -30 Hounsfield units. </w:t>
      </w:r>
      <w:r w:rsidR="00F9581C">
        <w:rPr>
          <w:rFonts w:cs="Times New Roman"/>
          <w:sz w:val="22"/>
          <w:szCs w:val="22"/>
          <w:lang w:val="en-GB"/>
        </w:rPr>
        <w:t>T</w:t>
      </w:r>
      <w:r w:rsidR="00FB07BC" w:rsidRPr="001900FE">
        <w:rPr>
          <w:rFonts w:cs="Times New Roman"/>
          <w:sz w:val="22"/>
          <w:szCs w:val="22"/>
          <w:lang w:val="en-GB"/>
        </w:rPr>
        <w:t xml:space="preserve">he total </w:t>
      </w:r>
      <w:r w:rsidR="0063081E">
        <w:rPr>
          <w:rFonts w:cs="Times New Roman"/>
          <w:sz w:val="22"/>
          <w:szCs w:val="22"/>
          <w:lang w:val="en-GB"/>
        </w:rPr>
        <w:t xml:space="preserve">PAT </w:t>
      </w:r>
      <w:r w:rsidR="00FB07BC" w:rsidRPr="001900FE">
        <w:rPr>
          <w:rFonts w:cs="Times New Roman"/>
          <w:sz w:val="22"/>
          <w:szCs w:val="22"/>
          <w:lang w:val="en-GB"/>
        </w:rPr>
        <w:t xml:space="preserve">volume </w:t>
      </w:r>
      <w:r w:rsidR="00F9581C">
        <w:rPr>
          <w:rFonts w:cs="Times New Roman"/>
          <w:sz w:val="22"/>
          <w:szCs w:val="22"/>
          <w:lang w:val="en-GB"/>
        </w:rPr>
        <w:t xml:space="preserve">was measured </w:t>
      </w:r>
      <w:r w:rsidR="00FB07BC" w:rsidRPr="001900FE">
        <w:rPr>
          <w:rFonts w:cs="Times New Roman"/>
          <w:sz w:val="22"/>
          <w:szCs w:val="22"/>
          <w:lang w:val="en-GB"/>
        </w:rPr>
        <w:t>in cm</w:t>
      </w:r>
      <w:r w:rsidR="00FB07BC" w:rsidRPr="001900FE">
        <w:rPr>
          <w:rFonts w:cs="Times New Roman"/>
          <w:sz w:val="22"/>
          <w:szCs w:val="22"/>
          <w:vertAlign w:val="superscript"/>
          <w:lang w:val="en-GB"/>
        </w:rPr>
        <w:t>3</w:t>
      </w:r>
      <w:r w:rsidR="00FB07BC" w:rsidRPr="001900FE">
        <w:rPr>
          <w:rFonts w:cs="Times New Roman"/>
          <w:sz w:val="22"/>
          <w:szCs w:val="22"/>
          <w:lang w:val="en-GB"/>
        </w:rPr>
        <w:t>.</w:t>
      </w:r>
      <w:r w:rsidR="008E4D77">
        <w:rPr>
          <w:rFonts w:cs="Times New Roman"/>
          <w:sz w:val="22"/>
          <w:szCs w:val="22"/>
          <w:lang w:val="en-GB"/>
        </w:rPr>
        <w:t xml:space="preserve"> </w:t>
      </w:r>
      <w:r w:rsidR="00FB07BC" w:rsidRPr="001900FE">
        <w:rPr>
          <w:rFonts w:cs="Times New Roman"/>
          <w:sz w:val="22"/>
          <w:szCs w:val="22"/>
          <w:lang w:val="en-GB"/>
        </w:rPr>
        <w:t>For the CMR analysis, we us</w:t>
      </w:r>
      <w:r w:rsidR="00FA47E6">
        <w:rPr>
          <w:rFonts w:cs="Times New Roman"/>
          <w:sz w:val="22"/>
          <w:szCs w:val="22"/>
          <w:lang w:val="en-GB"/>
        </w:rPr>
        <w:t>ed</w:t>
      </w:r>
      <w:r w:rsidR="00FB07BC" w:rsidRPr="001900FE">
        <w:rPr>
          <w:rFonts w:cs="Times New Roman"/>
          <w:sz w:val="22"/>
          <w:szCs w:val="22"/>
          <w:lang w:val="en-GB"/>
        </w:rPr>
        <w:t xml:space="preserve"> our automate</w:t>
      </w:r>
      <w:r w:rsidR="004F766F">
        <w:rPr>
          <w:rFonts w:cs="Times New Roman"/>
          <w:sz w:val="22"/>
          <w:szCs w:val="22"/>
          <w:lang w:val="en-GB"/>
        </w:rPr>
        <w:t>d</w:t>
      </w:r>
      <w:r w:rsidR="00FB07BC" w:rsidRPr="001900FE">
        <w:rPr>
          <w:rFonts w:cs="Times New Roman"/>
          <w:sz w:val="22"/>
          <w:szCs w:val="22"/>
          <w:lang w:val="en-GB"/>
        </w:rPr>
        <w:t xml:space="preserve"> pipeline: </w:t>
      </w:r>
      <w:r w:rsidR="00FA47E6">
        <w:rPr>
          <w:rFonts w:cs="Times New Roman"/>
          <w:sz w:val="22"/>
          <w:szCs w:val="22"/>
          <w:lang w:val="en-GB"/>
        </w:rPr>
        <w:t xml:space="preserve">4-chamber cine images </w:t>
      </w:r>
      <w:r w:rsidR="00FB07BC" w:rsidRPr="001900FE">
        <w:rPr>
          <w:rFonts w:cs="Times New Roman"/>
          <w:sz w:val="22"/>
          <w:szCs w:val="22"/>
          <w:lang w:val="en-GB"/>
        </w:rPr>
        <w:t>were resampled to a resolution of 1.82</w:t>
      </w:r>
      <w:r w:rsidR="00FA47E6" w:rsidRPr="00FA47E6">
        <w:rPr>
          <w:rFonts w:ascii="HGMaruGothicMPRO" w:eastAsia="HGMaruGothicMPRO" w:hAnsi="HGMaruGothicMPRO" w:cs="Times New Roman" w:hint="eastAsia"/>
          <w:sz w:val="22"/>
          <w:szCs w:val="22"/>
          <w:lang w:val="en-GB"/>
        </w:rPr>
        <w:t xml:space="preserve"> </w:t>
      </w:r>
      <w:r w:rsidR="00FA47E6">
        <w:rPr>
          <w:rFonts w:ascii="HGMaruGothicMPRO" w:eastAsia="HGMaruGothicMPRO" w:hAnsi="HGMaruGothicMPRO" w:cs="Times New Roman" w:hint="eastAsia"/>
          <w:sz w:val="22"/>
          <w:szCs w:val="22"/>
          <w:lang w:val="en-GB"/>
        </w:rPr>
        <w:t>x</w:t>
      </w:r>
      <w:r w:rsidR="00FA47E6" w:rsidRPr="001900FE">
        <w:rPr>
          <w:rFonts w:cs="Times New Roman"/>
          <w:sz w:val="22"/>
          <w:szCs w:val="22"/>
          <w:lang w:val="en-GB"/>
        </w:rPr>
        <w:t xml:space="preserve"> </w:t>
      </w:r>
      <w:r w:rsidR="00FB07BC" w:rsidRPr="001900FE">
        <w:rPr>
          <w:rFonts w:cs="Times New Roman"/>
          <w:sz w:val="22"/>
          <w:szCs w:val="22"/>
          <w:lang w:val="en-GB"/>
        </w:rPr>
        <w:t>1.82mm, padded/cropped to 208</w:t>
      </w:r>
      <w:r w:rsidR="00FA47E6">
        <w:rPr>
          <w:rFonts w:cs="Times New Roman"/>
          <w:sz w:val="22"/>
          <w:szCs w:val="22"/>
          <w:lang w:val="en-GB"/>
        </w:rPr>
        <w:t xml:space="preserve"> </w:t>
      </w:r>
      <w:r w:rsidR="00FA47E6">
        <w:rPr>
          <w:rFonts w:ascii="HGMaruGothicMPRO" w:eastAsia="HGMaruGothicMPRO" w:hAnsi="HGMaruGothicMPRO" w:cs="Times New Roman" w:hint="eastAsia"/>
          <w:sz w:val="22"/>
          <w:szCs w:val="22"/>
          <w:lang w:val="en-GB"/>
        </w:rPr>
        <w:t>x</w:t>
      </w:r>
      <w:r w:rsidR="00FA47E6">
        <w:rPr>
          <w:rFonts w:ascii="HGMaruGothicMPRO" w:eastAsia="HGMaruGothicMPRO" w:hAnsi="HGMaruGothicMPRO" w:cs="Times New Roman"/>
          <w:sz w:val="22"/>
          <w:szCs w:val="22"/>
          <w:lang w:val="en-GB"/>
        </w:rPr>
        <w:t xml:space="preserve"> </w:t>
      </w:r>
      <w:r w:rsidR="00FB07BC" w:rsidRPr="001900FE">
        <w:rPr>
          <w:rFonts w:cs="Times New Roman"/>
          <w:sz w:val="22"/>
          <w:szCs w:val="22"/>
          <w:lang w:val="en-GB"/>
        </w:rPr>
        <w:t xml:space="preserve">208 pixels, normalised to have pixel intensities ranging between 0 and 1, and our stochastic network segmentation and quality control applied with </w:t>
      </w:r>
      <m:oMath>
        <m:r>
          <w:rPr>
            <w:rFonts w:ascii="Cambria Math" w:hAnsi="Cambria Math" w:cs="Times New Roman"/>
            <w:sz w:val="22"/>
            <w:szCs w:val="22"/>
            <w:lang w:val="en-GB"/>
          </w:rPr>
          <m:t>N=15</m:t>
        </m:r>
      </m:oMath>
      <w:r w:rsidR="00FB07BC" w:rsidRPr="001900FE">
        <w:rPr>
          <w:rFonts w:cs="Times New Roman"/>
          <w:sz w:val="22"/>
          <w:szCs w:val="22"/>
          <w:lang w:val="en-GB"/>
        </w:rPr>
        <w:t>. Finally, the segmented area was extracted as the mean</w:t>
      </w:r>
      <w:r w:rsidR="00C91B3C">
        <w:rPr>
          <w:rFonts w:cs="Times New Roman"/>
          <w:sz w:val="22"/>
          <w:szCs w:val="22"/>
          <w:lang w:val="en-GB"/>
        </w:rPr>
        <w:t xml:space="preserve"> foreground</w:t>
      </w:r>
      <w:r w:rsidR="00FB07BC" w:rsidRPr="001900FE">
        <w:rPr>
          <w:rFonts w:cs="Times New Roman"/>
          <w:sz w:val="22"/>
          <w:szCs w:val="22"/>
          <w:lang w:val="en-GB"/>
        </w:rPr>
        <w:t xml:space="preserve"> area of the MC samples. Thus, we were able to </w:t>
      </w:r>
      <w:r w:rsidR="002F5056">
        <w:rPr>
          <w:rFonts w:cs="Times New Roman"/>
          <w:sz w:val="22"/>
          <w:szCs w:val="22"/>
          <w:lang w:val="en-GB"/>
        </w:rPr>
        <w:t>test</w:t>
      </w:r>
      <w:r w:rsidR="00FB07BC" w:rsidRPr="001900FE">
        <w:rPr>
          <w:rFonts w:cs="Times New Roman"/>
          <w:sz w:val="22"/>
          <w:szCs w:val="22"/>
          <w:lang w:val="en-GB"/>
        </w:rPr>
        <w:t xml:space="preserve"> the performance of our automated image analysis pipeline on CMR studies within the EVINCII cohort and also to assess the correlation between these measures and </w:t>
      </w:r>
      <w:r w:rsidR="00FA47E6">
        <w:rPr>
          <w:rFonts w:cs="Times New Roman"/>
          <w:sz w:val="22"/>
          <w:szCs w:val="22"/>
          <w:lang w:val="en-GB"/>
        </w:rPr>
        <w:t>C</w:t>
      </w:r>
      <w:r w:rsidR="00FB07BC" w:rsidRPr="001900FE">
        <w:rPr>
          <w:rFonts w:cs="Times New Roman"/>
          <w:sz w:val="22"/>
          <w:szCs w:val="22"/>
          <w:lang w:val="en-GB"/>
        </w:rPr>
        <w:t xml:space="preserve">CT </w:t>
      </w:r>
      <w:r w:rsidR="00FA47E6">
        <w:rPr>
          <w:rFonts w:cs="Times New Roman"/>
          <w:sz w:val="22"/>
          <w:szCs w:val="22"/>
          <w:lang w:val="en-GB"/>
        </w:rPr>
        <w:t>PAT quantification</w:t>
      </w:r>
      <w:r w:rsidR="00FB07BC" w:rsidRPr="001900FE">
        <w:rPr>
          <w:rFonts w:cs="Times New Roman"/>
          <w:sz w:val="22"/>
          <w:szCs w:val="22"/>
          <w:lang w:val="en-GB"/>
        </w:rPr>
        <w:t>.</w:t>
      </w:r>
      <w:bookmarkStart w:id="9" w:name="correlation-with-clinical-variables"/>
    </w:p>
    <w:p w14:paraId="3039012D" w14:textId="77777777" w:rsidR="00010D48" w:rsidRDefault="00010D48" w:rsidP="00FF2DC9">
      <w:pPr>
        <w:pStyle w:val="BodyText"/>
        <w:rPr>
          <w:rFonts w:cs="Times New Roman"/>
          <w:sz w:val="22"/>
          <w:szCs w:val="22"/>
          <w:lang w:val="en-GB"/>
        </w:rPr>
      </w:pPr>
    </w:p>
    <w:p w14:paraId="7F07C785" w14:textId="5D180781" w:rsidR="00FB07BC" w:rsidRPr="0037564C" w:rsidRDefault="006D7426" w:rsidP="00FF2DC9">
      <w:pPr>
        <w:pStyle w:val="BodyText"/>
        <w:rPr>
          <w:rFonts w:cs="Times New Roman"/>
          <w:b/>
          <w:bCs/>
          <w:sz w:val="22"/>
          <w:szCs w:val="22"/>
          <w:lang w:val="en-GB"/>
        </w:rPr>
      </w:pPr>
      <w:r w:rsidRPr="006D7426">
        <w:rPr>
          <w:rFonts w:cs="Times New Roman"/>
          <w:b/>
          <w:bCs/>
          <w:sz w:val="22"/>
          <w:szCs w:val="22"/>
          <w:lang w:val="en-GB"/>
        </w:rPr>
        <w:t>Association</w:t>
      </w:r>
      <w:r w:rsidR="00FB07BC" w:rsidRPr="006D7426">
        <w:rPr>
          <w:rFonts w:cs="Times New Roman"/>
          <w:b/>
          <w:bCs/>
          <w:sz w:val="22"/>
          <w:szCs w:val="22"/>
          <w:lang w:val="en-GB"/>
        </w:rPr>
        <w:t xml:space="preserve"> with </w:t>
      </w:r>
      <w:bookmarkEnd w:id="9"/>
      <w:r>
        <w:rPr>
          <w:rFonts w:cs="Times New Roman"/>
          <w:b/>
          <w:bCs/>
          <w:sz w:val="22"/>
          <w:szCs w:val="22"/>
          <w:lang w:val="en-GB"/>
        </w:rPr>
        <w:t>Diabetes</w:t>
      </w:r>
    </w:p>
    <w:p w14:paraId="52967FE2" w14:textId="716784B7" w:rsidR="0037564C" w:rsidRDefault="003823BE" w:rsidP="00FF2DC9">
      <w:pPr>
        <w:pStyle w:val="Firstparagraph"/>
        <w:rPr>
          <w:rFonts w:cs="Times New Roman"/>
          <w:sz w:val="22"/>
          <w:szCs w:val="22"/>
          <w:lang w:val="en-GB"/>
        </w:rPr>
      </w:pPr>
      <w:r>
        <w:rPr>
          <w:rFonts w:cs="Times New Roman"/>
          <w:sz w:val="22"/>
          <w:szCs w:val="22"/>
          <w:lang w:val="en-GB"/>
        </w:rPr>
        <w:t xml:space="preserve">Given the </w:t>
      </w:r>
      <w:r w:rsidRPr="00B7733B">
        <w:rPr>
          <w:rFonts w:cs="Times New Roman"/>
          <w:sz w:val="22"/>
          <w:szCs w:val="22"/>
          <w:lang w:val="en-GB"/>
        </w:rPr>
        <w:t>established association between diabetes and increased PAT, w</w:t>
      </w:r>
      <w:r w:rsidR="00010D48" w:rsidRPr="00B7733B">
        <w:rPr>
          <w:rFonts w:cs="Times New Roman"/>
          <w:sz w:val="22"/>
          <w:szCs w:val="22"/>
          <w:lang w:val="en-GB"/>
        </w:rPr>
        <w:t>e</w:t>
      </w:r>
      <w:r w:rsidR="00FB07BC" w:rsidRPr="00B7733B">
        <w:rPr>
          <w:rFonts w:cs="Times New Roman"/>
          <w:sz w:val="22"/>
          <w:szCs w:val="22"/>
          <w:lang w:val="en-GB"/>
        </w:rPr>
        <w:t xml:space="preserve"> test</w:t>
      </w:r>
      <w:r w:rsidR="00010D48" w:rsidRPr="00B7733B">
        <w:rPr>
          <w:rFonts w:cs="Times New Roman"/>
          <w:sz w:val="22"/>
          <w:szCs w:val="22"/>
          <w:lang w:val="en-GB"/>
        </w:rPr>
        <w:t>ed the</w:t>
      </w:r>
      <w:r w:rsidR="00FB07BC" w:rsidRPr="00B7733B">
        <w:rPr>
          <w:rFonts w:cs="Times New Roman"/>
          <w:sz w:val="22"/>
          <w:szCs w:val="22"/>
          <w:lang w:val="en-GB"/>
        </w:rPr>
        <w:t xml:space="preserve"> clinical validity of our PAT measures</w:t>
      </w:r>
      <w:r w:rsidR="00010D48" w:rsidRPr="00B7733B">
        <w:rPr>
          <w:rFonts w:cs="Times New Roman"/>
          <w:sz w:val="22"/>
          <w:szCs w:val="22"/>
          <w:lang w:val="en-GB"/>
        </w:rPr>
        <w:t xml:space="preserve"> through consideration of</w:t>
      </w:r>
      <w:r w:rsidR="00FB07BC" w:rsidRPr="00B7733B">
        <w:rPr>
          <w:rFonts w:cs="Times New Roman"/>
          <w:sz w:val="22"/>
          <w:szCs w:val="22"/>
          <w:lang w:val="en-GB"/>
        </w:rPr>
        <w:t xml:space="preserve"> associations with </w:t>
      </w:r>
      <w:r w:rsidR="008B08C1" w:rsidRPr="00B7733B">
        <w:rPr>
          <w:rFonts w:cs="Times New Roman"/>
          <w:sz w:val="22"/>
          <w:szCs w:val="22"/>
          <w:lang w:val="en-GB"/>
        </w:rPr>
        <w:t>this condition</w:t>
      </w:r>
      <w:r w:rsidR="00FB07BC" w:rsidRPr="00B7733B">
        <w:rPr>
          <w:rFonts w:cs="Times New Roman"/>
          <w:sz w:val="22"/>
          <w:szCs w:val="22"/>
          <w:lang w:val="en-GB"/>
        </w:rPr>
        <w:t xml:space="preserve">. </w:t>
      </w:r>
      <w:r w:rsidR="00241DA8" w:rsidRPr="00B7733B">
        <w:rPr>
          <w:rFonts w:cs="Times New Roman"/>
          <w:sz w:val="22"/>
          <w:szCs w:val="22"/>
          <w:lang w:val="en-GB"/>
        </w:rPr>
        <w:t>We applied our automated CMR PAT analysis tool to the entire UK</w:t>
      </w:r>
      <w:r w:rsidR="008D7118" w:rsidRPr="00B7733B">
        <w:rPr>
          <w:rFonts w:cs="Times New Roman"/>
          <w:sz w:val="22"/>
          <w:szCs w:val="22"/>
          <w:lang w:val="en-GB"/>
        </w:rPr>
        <w:t>B</w:t>
      </w:r>
      <w:r w:rsidR="00241DA8" w:rsidRPr="00B7733B">
        <w:rPr>
          <w:rFonts w:cs="Times New Roman"/>
          <w:sz w:val="22"/>
          <w:szCs w:val="22"/>
          <w:lang w:val="en-GB"/>
        </w:rPr>
        <w:t xml:space="preserve"> Imaging cohort for whom </w:t>
      </w:r>
      <w:r w:rsidR="007F04C0" w:rsidRPr="00B7733B">
        <w:rPr>
          <w:rFonts w:cs="Times New Roman"/>
          <w:sz w:val="22"/>
          <w:szCs w:val="22"/>
          <w:lang w:val="en-GB"/>
        </w:rPr>
        <w:t>adequate imaging was available (n=42,928</w:t>
      </w:r>
      <w:r w:rsidR="007F04C0" w:rsidRPr="00B7733B">
        <w:rPr>
          <w:rFonts w:cs="Times New Roman"/>
          <w:color w:val="000000" w:themeColor="text1"/>
          <w:sz w:val="22"/>
          <w:szCs w:val="22"/>
          <w:lang w:val="en-GB"/>
        </w:rPr>
        <w:t xml:space="preserve">). </w:t>
      </w:r>
      <w:r w:rsidR="007617BB" w:rsidRPr="00B7733B">
        <w:rPr>
          <w:rFonts w:cs="Times New Roman"/>
          <w:color w:val="000000" w:themeColor="text1"/>
          <w:sz w:val="22"/>
          <w:szCs w:val="22"/>
          <w:shd w:val="clear" w:color="auto" w:fill="FFFFFF"/>
        </w:rPr>
        <w:t>Diabetes was coded based on self-report of the diagnosis, self-reported use of “medication for diabetes”, or serum glycosylated haemoglobin &gt;48mmol/mol</w:t>
      </w:r>
      <w:r w:rsidR="00FB07BC" w:rsidRPr="00B7733B">
        <w:rPr>
          <w:rFonts w:cs="Times New Roman"/>
          <w:color w:val="000000" w:themeColor="text1"/>
          <w:sz w:val="22"/>
          <w:szCs w:val="22"/>
          <w:lang w:val="en-GB"/>
        </w:rPr>
        <w:t>. W</w:t>
      </w:r>
      <w:r w:rsidR="00FB07BC" w:rsidRPr="00B7733B">
        <w:rPr>
          <w:rFonts w:cs="Times New Roman"/>
          <w:sz w:val="22"/>
          <w:szCs w:val="22"/>
          <w:lang w:val="en-GB"/>
        </w:rPr>
        <w:t>e tested the association of PAT area with diabetes status in</w:t>
      </w:r>
      <w:r w:rsidR="006D7426" w:rsidRPr="00B7733B">
        <w:rPr>
          <w:rFonts w:cs="Times New Roman"/>
          <w:sz w:val="22"/>
          <w:szCs w:val="22"/>
          <w:lang w:val="en-GB"/>
        </w:rPr>
        <w:t xml:space="preserve"> multivariable</w:t>
      </w:r>
      <w:r w:rsidR="00FB07BC" w:rsidRPr="00B7733B">
        <w:rPr>
          <w:rFonts w:cs="Times New Roman"/>
          <w:sz w:val="22"/>
          <w:szCs w:val="22"/>
          <w:lang w:val="en-GB"/>
        </w:rPr>
        <w:t xml:space="preserve"> logistic regression models with adjustment for age, sex, and body</w:t>
      </w:r>
      <w:r w:rsidR="00FB07BC" w:rsidRPr="001900FE">
        <w:rPr>
          <w:rFonts w:cs="Times New Roman"/>
          <w:sz w:val="22"/>
          <w:szCs w:val="22"/>
          <w:lang w:val="en-GB"/>
        </w:rPr>
        <w:t xml:space="preserve"> mass index (BMI). We present the results as odds ratio associated with </w:t>
      </w:r>
      <w:r w:rsidR="00010D48">
        <w:rPr>
          <w:rFonts w:cs="Times New Roman"/>
          <w:sz w:val="22"/>
          <w:szCs w:val="22"/>
          <w:lang w:val="en-GB"/>
        </w:rPr>
        <w:t>10cm</w:t>
      </w:r>
      <w:r w:rsidR="00010D48">
        <w:rPr>
          <w:rFonts w:cs="Times New Roman"/>
          <w:sz w:val="22"/>
          <w:szCs w:val="22"/>
          <w:vertAlign w:val="superscript"/>
          <w:lang w:val="en-GB"/>
        </w:rPr>
        <w:t>2</w:t>
      </w:r>
      <w:r w:rsidR="00FB07BC" w:rsidRPr="001900FE">
        <w:rPr>
          <w:rFonts w:cs="Times New Roman"/>
          <w:sz w:val="22"/>
          <w:szCs w:val="22"/>
          <w:lang w:val="en-GB"/>
        </w:rPr>
        <w:t xml:space="preserve"> increase in PAT with corresponding 95</w:t>
      </w:r>
      <w:r w:rsidR="0037564C">
        <w:rPr>
          <w:rFonts w:cs="Times New Roman"/>
          <w:sz w:val="22"/>
          <w:szCs w:val="22"/>
          <w:lang w:val="en-GB"/>
        </w:rPr>
        <w:t>%</w:t>
      </w:r>
      <w:r w:rsidR="00FB07BC" w:rsidRPr="001900FE">
        <w:rPr>
          <w:rFonts w:cs="Times New Roman"/>
          <w:sz w:val="22"/>
          <w:szCs w:val="22"/>
          <w:lang w:val="en-GB"/>
        </w:rPr>
        <w:t xml:space="preserve"> confidence intervals and p-values.</w:t>
      </w:r>
      <w:bookmarkStart w:id="10" w:name="results"/>
      <w:r w:rsidR="0037564C">
        <w:rPr>
          <w:rFonts w:cs="Times New Roman"/>
          <w:sz w:val="22"/>
          <w:szCs w:val="22"/>
          <w:lang w:val="en-GB"/>
        </w:rPr>
        <w:br w:type="page"/>
      </w:r>
    </w:p>
    <w:p w14:paraId="2747D99A" w14:textId="77777777" w:rsidR="0037564C" w:rsidRPr="00451DD2" w:rsidRDefault="00FB07BC" w:rsidP="00FF2DC9">
      <w:pPr>
        <w:pStyle w:val="Firstparagraph"/>
        <w:rPr>
          <w:rFonts w:cs="Times New Roman"/>
          <w:b/>
          <w:bCs/>
          <w:sz w:val="22"/>
          <w:szCs w:val="22"/>
          <w:lang w:val="en-GB"/>
        </w:rPr>
      </w:pPr>
      <w:r w:rsidRPr="00451DD2">
        <w:rPr>
          <w:rFonts w:cs="Times New Roman"/>
          <w:b/>
          <w:bCs/>
          <w:sz w:val="22"/>
          <w:szCs w:val="22"/>
          <w:lang w:val="en-GB"/>
        </w:rPr>
        <w:t>Results</w:t>
      </w:r>
      <w:bookmarkStart w:id="11" w:name="monte-carlo-sampling-can-predict-segment"/>
      <w:bookmarkEnd w:id="10"/>
    </w:p>
    <w:bookmarkEnd w:id="11"/>
    <w:p w14:paraId="1170BDF4" w14:textId="44536D52" w:rsidR="00010D48" w:rsidRPr="00010D48" w:rsidRDefault="00C80553" w:rsidP="00FF2DC9">
      <w:pPr>
        <w:pStyle w:val="Firstparagraph"/>
        <w:rPr>
          <w:rFonts w:cs="Times New Roman"/>
          <w:b/>
          <w:bCs/>
          <w:sz w:val="22"/>
          <w:szCs w:val="22"/>
          <w:lang w:val="en-GB"/>
        </w:rPr>
      </w:pPr>
      <w:r w:rsidRPr="00451DD2">
        <w:rPr>
          <w:rFonts w:cs="Times New Roman"/>
          <w:b/>
          <w:bCs/>
          <w:sz w:val="22"/>
          <w:szCs w:val="22"/>
          <w:lang w:val="en-GB"/>
        </w:rPr>
        <w:t>M</w:t>
      </w:r>
      <w:r w:rsidR="00010D48" w:rsidRPr="00451DD2">
        <w:rPr>
          <w:rFonts w:cs="Times New Roman"/>
          <w:b/>
          <w:bCs/>
          <w:sz w:val="22"/>
          <w:szCs w:val="22"/>
          <w:lang w:val="en-GB"/>
        </w:rPr>
        <w:t>odel training</w:t>
      </w:r>
    </w:p>
    <w:p w14:paraId="50847B4D" w14:textId="40EEB7A2" w:rsidR="00FB07BC" w:rsidRDefault="00FB07BC" w:rsidP="00FF2DC9">
      <w:pPr>
        <w:pStyle w:val="BodyText"/>
        <w:rPr>
          <w:rFonts w:cs="Times New Roman"/>
          <w:sz w:val="22"/>
          <w:szCs w:val="22"/>
          <w:lang w:val="en-GB"/>
        </w:rPr>
      </w:pPr>
      <w:r w:rsidRPr="001900FE">
        <w:rPr>
          <w:rFonts w:cs="Times New Roman"/>
          <w:sz w:val="22"/>
          <w:szCs w:val="22"/>
          <w:lang w:val="en-GB"/>
        </w:rPr>
        <w:t xml:space="preserve">We trained a </w:t>
      </w:r>
      <w:r w:rsidR="00010D48" w:rsidRPr="001900FE">
        <w:rPr>
          <w:rFonts w:cs="Times New Roman"/>
          <w:sz w:val="22"/>
          <w:szCs w:val="22"/>
          <w:lang w:val="en-GB"/>
        </w:rPr>
        <w:t>MultiResUNet</w:t>
      </w:r>
      <w:r w:rsidR="0037564C">
        <w:rPr>
          <w:sz w:val="22"/>
          <w:szCs w:val="22"/>
        </w:rPr>
        <w:fldChar w:fldCharType="begin" w:fldLock="1"/>
      </w:r>
      <w:r w:rsidR="00D441C9">
        <w:rPr>
          <w:rFonts w:cs="Times New Roman"/>
          <w:sz w:val="22"/>
          <w:szCs w:val="22"/>
          <w:lang w:val="en-GB"/>
        </w:rPr>
        <w:instrText>ADDIN CSL_CITATION {"citationItems":[{"id":"ITEM-1","itemData":{"DOI":"10.1016/j.neunet.2019.08.025","ISSN":"18792782","PMID":"31536901","abstract":"In recent years Deep Learning has brought about a breakthrough in Medical Image Segmentation. In this regard, U-Net has been the most popular architecture in the medical imaging community. Despite outstanding overall performance in segmenting multimodal medical images, through extensive experimentations on some challenging datasets, we demonstrate that the classical U-Net architecture seems to be lacking in certain aspects. Therefore, we propose some modifications to improve upon the already state-of-the-art U-Net model. Following these modifications, we develop a novel architecture, MultiResUNet, as the potential successor to the U-Net architecture. We have tested and compared MultiResUNet with the classical U-Net on a vast repertoire of multimodal medical images. Although only slight improvements in the cases of ideal images are noticed, remarkable gains in performance have been attained for the challenging ones. We have evaluated our model on five different datasets, each with their own unique challenges, and have obtained a relative improvement in performance of 10.15%, 5.07%, 2.63%, 1.41%, and 0.62% respectively. We have also discussed and highlighted some qualitatively superior aspects of MultiResUNet over classical U-Net that are not really reflected in the quantitative measures.","author":[{"dropping-particle":"","family":"Ibtehaz","given":"Nabil","non-dropping-particle":"","parse-names":false,"suffix":""},{"dropping-particle":"","family":"Rahman","given":"M. Sohel","non-dropping-particle":"","parse-names":false,"suffix":""}],"container-title":"Neural Networks","id":"ITEM-1","issued":{"date-parts":[["2020","1","1"]]},"page":"74-87","publisher":"Elsevier Ltd","title":"MultiResUNet: Rethinking the U-Net architecture for multimodal biomedical image segmentation","type":"article-journal","volume":"121"},"uris":["http://www.mendeley.com/documents/?uuid=7a1ecda0-f051-3464-9056-8ee31a0146e5"]}],"mendeley":{"formattedCitation":"(23)","plainTextFormattedCitation":"(23)","previouslyFormattedCitation":"(24)"},"properties":{"noteIndex":0},"schema":"https://github.com/citation-style-language/schema/raw/master/csl-citation.json"}</w:instrText>
      </w:r>
      <w:r w:rsidR="0037564C">
        <w:rPr>
          <w:sz w:val="22"/>
          <w:szCs w:val="22"/>
        </w:rPr>
        <w:fldChar w:fldCharType="separate"/>
      </w:r>
      <w:r w:rsidR="00D441C9" w:rsidRPr="00D441C9">
        <w:rPr>
          <w:rFonts w:cs="Times New Roman"/>
          <w:noProof/>
          <w:sz w:val="22"/>
          <w:szCs w:val="22"/>
          <w:lang w:val="en-GB"/>
        </w:rPr>
        <w:t>(23)</w:t>
      </w:r>
      <w:r w:rsidR="0037564C">
        <w:rPr>
          <w:sz w:val="22"/>
          <w:szCs w:val="22"/>
        </w:rPr>
        <w:fldChar w:fldCharType="end"/>
      </w:r>
      <w:r w:rsidRPr="001900FE">
        <w:rPr>
          <w:rFonts w:cs="Times New Roman"/>
          <w:sz w:val="22"/>
          <w:szCs w:val="22"/>
          <w:lang w:val="en-GB"/>
        </w:rPr>
        <w:t xml:space="preserve"> with a Bayesian modification</w:t>
      </w:r>
      <w:r w:rsidR="0063081E">
        <w:rPr>
          <w:rFonts w:cs="Times New Roman"/>
          <w:sz w:val="22"/>
          <w:szCs w:val="22"/>
          <w:lang w:val="en-GB"/>
        </w:rPr>
        <w:t>;</w:t>
      </w:r>
      <w:r w:rsidRPr="001900FE">
        <w:rPr>
          <w:rFonts w:cs="Times New Roman"/>
          <w:sz w:val="22"/>
          <w:szCs w:val="22"/>
          <w:lang w:val="en-GB"/>
        </w:rPr>
        <w:t xml:space="preserve"> such that</w:t>
      </w:r>
      <w:r w:rsidR="0063081E">
        <w:rPr>
          <w:rFonts w:cs="Times New Roman"/>
          <w:sz w:val="22"/>
          <w:szCs w:val="22"/>
          <w:lang w:val="en-GB"/>
        </w:rPr>
        <w:t>,</w:t>
      </w:r>
      <w:r w:rsidRPr="001900FE">
        <w:rPr>
          <w:rFonts w:cs="Times New Roman"/>
          <w:sz w:val="22"/>
          <w:szCs w:val="22"/>
          <w:lang w:val="en-GB"/>
        </w:rPr>
        <w:t xml:space="preserve"> multiple MC samples are drawn for each input, in order to perform quality control and derive measures of uncertainty</w:t>
      </w:r>
      <w:r w:rsidR="0037564C">
        <w:rPr>
          <w:sz w:val="22"/>
          <w:szCs w:val="22"/>
        </w:rPr>
        <w:fldChar w:fldCharType="begin" w:fldLock="1"/>
      </w:r>
      <w:r w:rsidR="00D441C9">
        <w:rPr>
          <w:rFonts w:cs="Times New Roman"/>
          <w:sz w:val="22"/>
          <w:szCs w:val="22"/>
          <w:lang w:val="en-GB"/>
        </w:rPr>
        <w:instrText>ADDIN CSL_CITATION {"citationItems":[{"id":"ITEM-1","itemData":{"DOI":"10.1016/j.neuroimage.2019.03.042","ISSN":"10959572","PMID":"30926511","abstract":"We introduce Bayesian QuickNAT for the automated quality control of whole-brain segmentation on MRI T1 scans. Next to the Bayesian fully convolutional neural network, we also present inherent measures of segmentation uncertainty that allow for quality control per brain structure. For estimating model uncertainty, we follow a Bayesian approach, wherein, Monte Carlo (MC) samples from the posterior distribution are generated by keeping the dropout layers active at test time. Entropy over the MC samples provides a voxel-wise model uncertainty map, whereas expectation over the MC predictions provides the final segmentation. Next to voxel-wise uncertainty, we introduce four metrics to quantify structure-wise uncertainty in segmentation for quality control. We report experiments on four out-of-sample datasets comprising of diverse age range, pathology and imaging artifacts. The proposed structure-wise uncertainty metrics are highly correlated with the Dice score estimated with manual annotation and therefore present an inherent measure of segmentation quality. In particular, the intersection over union over all the MC samples is a suitable proxy for the Dice score. In addition to quality control at scan-level, we propose to incorporate the structure-wise uncertainty as a measure of confidence to do reliable group analysis on large data repositories. We envisage that the introduced uncertainty metrics would help assess the fidelity of automated deep learning based segmentation methods for large-scale population studies, as they enable automated quality control and group analyses in processing large data repositories.","author":[{"dropping-particle":"","family":"Roy","given":"Abhijit Guha","non-dropping-particle":"","parse-names":false,"suffix":""},{"dropping-particle":"","family":"Conjeti","given":"Sailesh","non-dropping-particle":"","parse-names":false,"suffix":""},{"dropping-particle":"","family":"Navab","given":"Nassir","non-dropping-particle":"","parse-names":false,"suffix":""},{"dropping-particle":"","family":"Wachinger","given":"Christian","non-dropping-particle":"","parse-names":false,"suffix":""}],"container-title":"NeuroImage","id":"ITEM-1","issued":{"date-parts":[["2019","7","15"]]},"page":"11-22","publisher":"Academic Press Inc.","title":"Bayesian QuickNAT: Model uncertainty in deep whole-brain segmentation for structure-wise quality control","type":"article-journal","volume":"195"},"uris":["http://www.mendeley.com/documents/?uuid=6eaabf28-418b-3838-bd33-4101d7cc8256"]}],"mendeley":{"formattedCitation":"(24)","plainTextFormattedCitation":"(24)","previouslyFormattedCitation":"(25)"},"properties":{"noteIndex":0},"schema":"https://github.com/citation-style-language/schema/raw/master/csl-citation.json"}</w:instrText>
      </w:r>
      <w:r w:rsidR="0037564C">
        <w:rPr>
          <w:sz w:val="22"/>
          <w:szCs w:val="22"/>
        </w:rPr>
        <w:fldChar w:fldCharType="separate"/>
      </w:r>
      <w:r w:rsidR="00D441C9" w:rsidRPr="00D441C9">
        <w:rPr>
          <w:rFonts w:cs="Times New Roman"/>
          <w:noProof/>
          <w:sz w:val="22"/>
          <w:szCs w:val="22"/>
          <w:lang w:val="en-GB"/>
        </w:rPr>
        <w:t>(24)</w:t>
      </w:r>
      <w:r w:rsidR="0037564C">
        <w:rPr>
          <w:sz w:val="22"/>
          <w:szCs w:val="22"/>
        </w:rPr>
        <w:fldChar w:fldCharType="end"/>
      </w:r>
      <w:r w:rsidRPr="001900FE">
        <w:rPr>
          <w:rFonts w:cs="Times New Roman"/>
          <w:sz w:val="22"/>
          <w:szCs w:val="22"/>
          <w:lang w:val="en-GB"/>
        </w:rPr>
        <w:t xml:space="preserve">.Within this context, there is one hyperparameter that must be optimised after model training - that of </w:t>
      </w:r>
      <w:r w:rsidRPr="00B7733B">
        <w:rPr>
          <w:rFonts w:cs="Times New Roman"/>
          <w:sz w:val="22"/>
          <w:szCs w:val="22"/>
          <w:lang w:val="en-GB"/>
        </w:rPr>
        <w:t xml:space="preserve">the number </w:t>
      </w:r>
      <w:r w:rsidR="007617BB" w:rsidRPr="00B7733B">
        <w:rPr>
          <w:rFonts w:cs="Times New Roman"/>
          <w:sz w:val="22"/>
          <w:szCs w:val="22"/>
          <w:lang w:val="en-GB"/>
        </w:rPr>
        <w:t>(</w:t>
      </w:r>
      <m:oMath>
        <m:r>
          <w:rPr>
            <w:rFonts w:ascii="Cambria Math" w:hAnsi="Cambria Math" w:cs="Times New Roman"/>
            <w:sz w:val="22"/>
            <w:szCs w:val="22"/>
            <w:lang w:val="en-GB"/>
          </w:rPr>
          <m:t>N</m:t>
        </m:r>
      </m:oMath>
      <w:r w:rsidR="007617BB" w:rsidRPr="00B7733B">
        <w:rPr>
          <w:rFonts w:cs="Times New Roman"/>
          <w:sz w:val="22"/>
          <w:szCs w:val="22"/>
          <w:lang w:val="en-GB"/>
        </w:rPr>
        <w:t xml:space="preserve">) </w:t>
      </w:r>
      <w:r w:rsidRPr="00B7733B">
        <w:rPr>
          <w:rFonts w:cs="Times New Roman"/>
          <w:sz w:val="22"/>
          <w:szCs w:val="22"/>
          <w:lang w:val="en-GB"/>
        </w:rPr>
        <w:t>of MC samples drawn when segmenting an unseen image.</w:t>
      </w:r>
      <w:r w:rsidR="0037564C" w:rsidRPr="00B7733B">
        <w:rPr>
          <w:rFonts w:cs="Times New Roman"/>
          <w:sz w:val="22"/>
          <w:szCs w:val="22"/>
          <w:lang w:val="en-GB"/>
        </w:rPr>
        <w:t xml:space="preserve"> </w:t>
      </w:r>
      <w:r w:rsidRPr="00B7733B">
        <w:rPr>
          <w:rFonts w:cs="Times New Roman"/>
          <w:sz w:val="22"/>
          <w:szCs w:val="22"/>
          <w:lang w:val="en-GB"/>
        </w:rPr>
        <w:t xml:space="preserve">When multiple MC samples are drawn during segmentation, they can </w:t>
      </w:r>
      <w:r w:rsidR="0037564C" w:rsidRPr="00B7733B">
        <w:rPr>
          <w:rFonts w:cs="Times New Roman"/>
          <w:sz w:val="22"/>
          <w:szCs w:val="22"/>
          <w:lang w:val="en-GB"/>
        </w:rPr>
        <w:t xml:space="preserve">be </w:t>
      </w:r>
      <w:r w:rsidRPr="00B7733B">
        <w:rPr>
          <w:rFonts w:cs="Times New Roman"/>
          <w:sz w:val="22"/>
          <w:szCs w:val="22"/>
          <w:lang w:val="en-GB"/>
        </w:rPr>
        <w:t>summarised in a number of ways. Firstly, they can be used to produce</w:t>
      </w:r>
      <w:r w:rsidRPr="001900FE">
        <w:rPr>
          <w:rFonts w:cs="Times New Roman"/>
          <w:sz w:val="22"/>
          <w:szCs w:val="22"/>
          <w:lang w:val="en-GB"/>
        </w:rPr>
        <w:t xml:space="preserve"> a single “best-guess” segmentation, via a simple voxel</w:t>
      </w:r>
      <w:r w:rsidR="0037564C">
        <w:rPr>
          <w:rFonts w:cs="Times New Roman"/>
          <w:sz w:val="22"/>
          <w:szCs w:val="22"/>
          <w:lang w:val="en-GB"/>
        </w:rPr>
        <w:t>-</w:t>
      </w:r>
      <w:r w:rsidRPr="001900FE">
        <w:rPr>
          <w:rFonts w:cs="Times New Roman"/>
          <w:sz w:val="22"/>
          <w:szCs w:val="22"/>
          <w:lang w:val="en-GB"/>
        </w:rPr>
        <w:t xml:space="preserve">wise voting procedure. It is expected that drawing more samples from a well-trained network will increase its accuracy, but with diminishing returns. Where the area of “foreground” pixels is particularly of interest (as in this use case, quantifying the area of PAT), we can report the mean and standard deviation of the areas across the </w:t>
      </w:r>
      <m:oMath>
        <m:r>
          <w:rPr>
            <w:rFonts w:ascii="Cambria Math" w:hAnsi="Cambria Math" w:cs="Times New Roman"/>
            <w:sz w:val="22"/>
            <w:szCs w:val="22"/>
            <w:lang w:val="en-GB"/>
          </w:rPr>
          <m:t>N</m:t>
        </m:r>
      </m:oMath>
      <w:r w:rsidRPr="001900FE">
        <w:rPr>
          <w:rFonts w:cs="Times New Roman"/>
          <w:sz w:val="22"/>
          <w:szCs w:val="22"/>
          <w:lang w:val="en-GB"/>
        </w:rPr>
        <w:t xml:space="preserve"> samples</w:t>
      </w:r>
      <w:r w:rsidR="00BD59D1">
        <w:rPr>
          <w:rFonts w:cs="Times New Roman"/>
          <w:sz w:val="22"/>
          <w:szCs w:val="22"/>
          <w:lang w:val="en-GB"/>
        </w:rPr>
        <w:t>, which can be used for propagating uncertainty in downstream calculations</w:t>
      </w:r>
      <w:r w:rsidRPr="001900FE">
        <w:rPr>
          <w:rFonts w:cs="Times New Roman"/>
          <w:sz w:val="22"/>
          <w:szCs w:val="22"/>
          <w:lang w:val="en-GB"/>
        </w:rPr>
        <w:t xml:space="preserve">. </w:t>
      </w:r>
      <m:oMath>
        <m:r>
          <w:rPr>
            <w:rFonts w:ascii="Cambria Math" w:hAnsi="Cambria Math" w:cs="Times New Roman"/>
            <w:sz w:val="22"/>
            <w:szCs w:val="22"/>
            <w:lang w:val="en-GB"/>
          </w:rPr>
          <m:t>N</m:t>
        </m:r>
      </m:oMath>
      <w:r w:rsidR="00BD59D1" w:rsidRPr="001900FE">
        <w:rPr>
          <w:rFonts w:cs="Times New Roman"/>
          <w:sz w:val="22"/>
          <w:szCs w:val="22"/>
          <w:lang w:val="en-GB"/>
        </w:rPr>
        <w:t xml:space="preserve"> was set to 15 for all further wor</w:t>
      </w:r>
      <w:r w:rsidR="00BD59D1">
        <w:rPr>
          <w:rFonts w:cs="Times New Roman"/>
          <w:sz w:val="22"/>
          <w:szCs w:val="22"/>
          <w:lang w:val="en-GB"/>
        </w:rPr>
        <w:t>k</w:t>
      </w:r>
      <w:r w:rsidR="007A4305">
        <w:rPr>
          <w:rFonts w:cs="Times New Roman"/>
          <w:sz w:val="22"/>
          <w:szCs w:val="22"/>
          <w:lang w:val="en-GB"/>
        </w:rPr>
        <w:t xml:space="preserve">, for the following reasons: </w:t>
      </w:r>
      <w:r w:rsidR="006D2D87">
        <w:rPr>
          <w:rFonts w:cs="Times New Roman"/>
          <w:sz w:val="22"/>
          <w:szCs w:val="22"/>
          <w:lang w:val="en-GB"/>
        </w:rPr>
        <w:t xml:space="preserve">Comparisons of </w:t>
      </w:r>
      <w:r w:rsidR="007A4305">
        <w:rPr>
          <w:rFonts w:cs="Times New Roman"/>
          <w:sz w:val="22"/>
          <w:szCs w:val="22"/>
          <w:lang w:val="en-GB"/>
        </w:rPr>
        <w:t xml:space="preserve">segmentation </w:t>
      </w:r>
      <w:r w:rsidR="006D2D87">
        <w:rPr>
          <w:rFonts w:cs="Times New Roman"/>
          <w:sz w:val="22"/>
          <w:szCs w:val="22"/>
          <w:lang w:val="en-GB"/>
        </w:rPr>
        <w:t>accuracy</w:t>
      </w:r>
      <w:r w:rsidRPr="001900FE">
        <w:rPr>
          <w:rFonts w:cs="Times New Roman"/>
          <w:sz w:val="22"/>
          <w:szCs w:val="22"/>
          <w:lang w:val="en-GB"/>
        </w:rPr>
        <w:t xml:space="preserve"> with a deterministic neural network </w:t>
      </w:r>
      <w:r w:rsidR="00395E20">
        <w:rPr>
          <w:rFonts w:cs="Times New Roman"/>
          <w:sz w:val="22"/>
          <w:szCs w:val="22"/>
          <w:lang w:val="en-GB"/>
        </w:rPr>
        <w:t>show</w:t>
      </w:r>
      <w:r w:rsidR="00175F71">
        <w:rPr>
          <w:rFonts w:cs="Times New Roman"/>
          <w:sz w:val="22"/>
          <w:szCs w:val="22"/>
          <w:lang w:val="en-GB"/>
        </w:rPr>
        <w:t xml:space="preserve">ed </w:t>
      </w:r>
      <w:r w:rsidR="00395E20">
        <w:rPr>
          <w:rFonts w:cs="Times New Roman"/>
          <w:sz w:val="22"/>
          <w:szCs w:val="22"/>
          <w:lang w:val="en-GB"/>
        </w:rPr>
        <w:t>that</w:t>
      </w:r>
      <w:r w:rsidRPr="001900FE">
        <w:rPr>
          <w:rFonts w:cs="Times New Roman"/>
          <w:sz w:val="22"/>
          <w:szCs w:val="22"/>
          <w:lang w:val="en-GB"/>
        </w:rPr>
        <w:t xml:space="preserve"> consistent with prior work</w:t>
      </w:r>
      <w:r w:rsidR="0037564C">
        <w:rPr>
          <w:rFonts w:cs="Times New Roman"/>
          <w:sz w:val="22"/>
          <w:szCs w:val="22"/>
          <w:lang w:val="en-GB"/>
        </w:rPr>
        <w:fldChar w:fldCharType="begin" w:fldLock="1"/>
      </w:r>
      <w:r w:rsidR="00D441C9">
        <w:rPr>
          <w:rFonts w:cs="Times New Roman"/>
          <w:sz w:val="22"/>
          <w:szCs w:val="22"/>
          <w:lang w:val="en-GB"/>
        </w:rPr>
        <w:instrText>ADDIN CSL_CITATION {"citationItems":[{"id":"ITEM-1","itemData":{"DOI":"10.1016/j.neuroimage.2019.03.042","ISSN":"10959572","PMID":"30926511","abstract":"We introduce Bayesian QuickNAT for the automated quality control of whole-brain segmentation on MRI T1 scans. Next to the Bayesian fully convolutional neural network, we also present inherent measures of segmentation uncertainty that allow for quality control per brain structure. For estimating model uncertainty, we follow a Bayesian approach, wherein, Monte Carlo (MC) samples from the posterior distribution are generated by keeping the dropout layers active at test time. Entropy over the MC samples provides a voxel-wise model uncertainty map, whereas expectation over the MC predictions provides the final segmentation. Next to voxel-wise uncertainty, we introduce four metrics to quantify structure-wise uncertainty in segmentation for quality control. We report experiments on four out-of-sample datasets comprising of diverse age range, pathology and imaging artifacts. The proposed structure-wise uncertainty metrics are highly correlated with the Dice score estimated with manual annotation and therefore present an inherent measure of segmentation quality. In particular, the intersection over union over all the MC samples is a suitable proxy for the Dice score. In addition to quality control at scan-level, we propose to incorporate the structure-wise uncertainty as a measure of confidence to do reliable group analysis on large data repositories. We envisage that the introduced uncertainty metrics would help assess the fidelity of automated deep learning based segmentation methods for large-scale population studies, as they enable automated quality control and group analyses in processing large data repositories.","author":[{"dropping-particle":"","family":"Roy","given":"Abhijit Guha","non-dropping-particle":"","parse-names":false,"suffix":""},{"dropping-particle":"","family":"Conjeti","given":"Sailesh","non-dropping-particle":"","parse-names":false,"suffix":""},{"dropping-particle":"","family":"Navab","given":"Nassir","non-dropping-particle":"","parse-names":false,"suffix":""},{"dropping-particle":"","family":"Wachinger","given":"Christian","non-dropping-particle":"","parse-names":false,"suffix":""}],"container-title":"NeuroImage","id":"ITEM-1","issued":{"date-parts":[["2019","7","15"]]},"page":"11-22","publisher":"Academic Press Inc.","title":"Bayesian QuickNAT: Model uncertainty in deep whole-brain segmentation for structure-wise quality control","type":"article-journal","volume":"195"},"uris":["http://www.mendeley.com/documents/?uuid=6eaabf28-418b-3838-bd33-4101d7cc8256"]}],"mendeley":{"formattedCitation":"(24)","plainTextFormattedCitation":"(24)","previouslyFormattedCitation":"(25)"},"properties":{"noteIndex":0},"schema":"https://github.com/citation-style-language/schema/raw/master/csl-citation.json"}</w:instrText>
      </w:r>
      <w:r w:rsidR="0037564C">
        <w:rPr>
          <w:rFonts w:cs="Times New Roman"/>
          <w:sz w:val="22"/>
          <w:szCs w:val="22"/>
          <w:lang w:val="en-GB"/>
        </w:rPr>
        <w:fldChar w:fldCharType="separate"/>
      </w:r>
      <w:r w:rsidR="00D441C9" w:rsidRPr="00D441C9">
        <w:rPr>
          <w:rFonts w:cs="Times New Roman"/>
          <w:noProof/>
          <w:sz w:val="22"/>
          <w:szCs w:val="22"/>
          <w:lang w:val="en-GB"/>
        </w:rPr>
        <w:t>(24)</w:t>
      </w:r>
      <w:r w:rsidR="0037564C">
        <w:rPr>
          <w:rFonts w:cs="Times New Roman"/>
          <w:sz w:val="22"/>
          <w:szCs w:val="22"/>
          <w:lang w:val="en-GB"/>
        </w:rPr>
        <w:fldChar w:fldCharType="end"/>
      </w:r>
      <w:r w:rsidR="0037564C">
        <w:rPr>
          <w:rFonts w:cs="Times New Roman"/>
          <w:sz w:val="22"/>
          <w:szCs w:val="22"/>
          <w:lang w:val="en-GB"/>
        </w:rPr>
        <w:t xml:space="preserve">, </w:t>
      </w:r>
      <w:r w:rsidRPr="001900FE">
        <w:rPr>
          <w:rFonts w:cs="Times New Roman"/>
          <w:sz w:val="22"/>
          <w:szCs w:val="22"/>
          <w:lang w:val="en-GB"/>
        </w:rPr>
        <w:t xml:space="preserve">there was no sacrifice in segmentation quality by using a stochastic </w:t>
      </w:r>
      <w:r w:rsidR="00C6197E">
        <w:rPr>
          <w:rFonts w:cs="Times New Roman"/>
          <w:sz w:val="22"/>
          <w:szCs w:val="22"/>
          <w:lang w:val="en-GB"/>
        </w:rPr>
        <w:t>network relative to a deterministic one</w:t>
      </w:r>
      <w:r w:rsidR="00E172EB">
        <w:rPr>
          <w:rFonts w:cs="Times New Roman"/>
          <w:sz w:val="22"/>
          <w:szCs w:val="22"/>
          <w:lang w:val="en-GB"/>
        </w:rPr>
        <w:t xml:space="preserve"> when N was set to an appropriat</w:t>
      </w:r>
      <w:r w:rsidR="00E172EB" w:rsidRPr="008D7118">
        <w:rPr>
          <w:rFonts w:cs="Times New Roman"/>
          <w:sz w:val="22"/>
          <w:szCs w:val="22"/>
          <w:lang w:val="en-GB"/>
        </w:rPr>
        <w:t>e level</w:t>
      </w:r>
      <w:r w:rsidR="00395E20" w:rsidRPr="008D7118">
        <w:rPr>
          <w:rFonts w:cs="Times New Roman"/>
          <w:sz w:val="22"/>
          <w:szCs w:val="22"/>
          <w:lang w:val="en-GB"/>
        </w:rPr>
        <w:t xml:space="preserve"> </w:t>
      </w:r>
      <w:r w:rsidR="00395E20" w:rsidRPr="008D7118">
        <w:rPr>
          <w:rFonts w:cs="Times New Roman"/>
          <w:b/>
          <w:bCs/>
          <w:sz w:val="22"/>
          <w:szCs w:val="22"/>
          <w:lang w:val="en-GB"/>
        </w:rPr>
        <w:t>(</w:t>
      </w:r>
      <w:r w:rsidR="0045572A" w:rsidRPr="008D7118">
        <w:rPr>
          <w:rFonts w:cs="Times New Roman"/>
          <w:b/>
          <w:bCs/>
          <w:sz w:val="22"/>
          <w:szCs w:val="22"/>
          <w:lang w:val="en-GB"/>
        </w:rPr>
        <w:t xml:space="preserve">Supplementary </w:t>
      </w:r>
      <w:r w:rsidR="00395E20" w:rsidRPr="008D7118">
        <w:rPr>
          <w:rFonts w:cs="Times New Roman"/>
          <w:b/>
          <w:bCs/>
          <w:sz w:val="22"/>
          <w:szCs w:val="22"/>
          <w:lang w:val="en-GB"/>
        </w:rPr>
        <w:t>Figure 1A</w:t>
      </w:r>
      <w:r w:rsidR="00395E20" w:rsidRPr="008D7118">
        <w:rPr>
          <w:rFonts w:cs="Times New Roman"/>
          <w:sz w:val="22"/>
          <w:szCs w:val="22"/>
          <w:lang w:val="en-GB"/>
        </w:rPr>
        <w:t>)</w:t>
      </w:r>
      <w:r w:rsidRPr="008D7118">
        <w:rPr>
          <w:rFonts w:cs="Times New Roman"/>
          <w:b/>
          <w:bCs/>
          <w:sz w:val="22"/>
          <w:szCs w:val="22"/>
          <w:lang w:val="en-GB"/>
        </w:rPr>
        <w:t>.</w:t>
      </w:r>
      <w:r w:rsidR="0037564C" w:rsidRPr="008D7118">
        <w:rPr>
          <w:rFonts w:cs="Times New Roman"/>
          <w:sz w:val="22"/>
          <w:szCs w:val="22"/>
          <w:lang w:val="en-GB"/>
        </w:rPr>
        <w:t xml:space="preserve"> </w:t>
      </w:r>
      <w:r w:rsidR="00395E20" w:rsidRPr="008D7118">
        <w:rPr>
          <w:rFonts w:cs="Times New Roman"/>
          <w:sz w:val="22"/>
          <w:szCs w:val="22"/>
          <w:lang w:val="en-GB"/>
        </w:rPr>
        <w:t xml:space="preserve">Additionally, increasing N beyond 15 gave very little extra segmentation accuracy </w:t>
      </w:r>
      <w:r w:rsidR="0045572A" w:rsidRPr="008D7118">
        <w:rPr>
          <w:rFonts w:cs="Times New Roman"/>
          <w:b/>
          <w:bCs/>
          <w:sz w:val="22"/>
          <w:szCs w:val="22"/>
          <w:lang w:val="en-GB"/>
        </w:rPr>
        <w:t>(Supplementary Figure 1A</w:t>
      </w:r>
      <w:r w:rsidR="0045572A" w:rsidRPr="008D7118">
        <w:rPr>
          <w:rFonts w:cs="Times New Roman"/>
          <w:sz w:val="22"/>
          <w:szCs w:val="22"/>
          <w:lang w:val="en-GB"/>
        </w:rPr>
        <w:t xml:space="preserve">) </w:t>
      </w:r>
      <w:r w:rsidR="00395E20" w:rsidRPr="008D7118">
        <w:rPr>
          <w:rFonts w:cs="Times New Roman"/>
          <w:sz w:val="22"/>
          <w:szCs w:val="22"/>
          <w:lang w:val="en-GB"/>
        </w:rPr>
        <w:t>or estimated standard deviation of area.</w:t>
      </w:r>
    </w:p>
    <w:p w14:paraId="48EFB7F6" w14:textId="77777777" w:rsidR="0037564C" w:rsidRPr="001900FE" w:rsidRDefault="0037564C" w:rsidP="00FF2DC9">
      <w:pPr>
        <w:pStyle w:val="BodyText"/>
        <w:rPr>
          <w:rFonts w:cs="Times New Roman"/>
          <w:sz w:val="22"/>
          <w:szCs w:val="22"/>
          <w:lang w:val="en-GB"/>
        </w:rPr>
      </w:pPr>
    </w:p>
    <w:p w14:paraId="74D6CB00" w14:textId="66DA73B2" w:rsidR="00C91B3C" w:rsidRDefault="00C91B3C" w:rsidP="00FF2DC9">
      <w:pPr>
        <w:pStyle w:val="BodyText"/>
        <w:rPr>
          <w:rFonts w:cs="Times New Roman"/>
          <w:sz w:val="22"/>
          <w:szCs w:val="22"/>
          <w:lang w:val="en-GB"/>
        </w:rPr>
      </w:pPr>
      <w:r w:rsidRPr="001900FE">
        <w:rPr>
          <w:rFonts w:cs="Times New Roman"/>
          <w:sz w:val="22"/>
          <w:szCs w:val="22"/>
          <w:lang w:val="en-GB"/>
        </w:rPr>
        <w:t xml:space="preserve">There are a number of different metrics which were proposed as correlates of final segmentation accuracy, however, it was concluded that of these, both the most conceptually convenient and </w:t>
      </w:r>
      <w:r w:rsidRPr="0045572A">
        <w:rPr>
          <w:rFonts w:cs="Times New Roman"/>
          <w:sz w:val="22"/>
          <w:szCs w:val="22"/>
          <w:lang w:val="en-GB"/>
        </w:rPr>
        <w:t>the most easily interpretable are those corresponding to often-used segmentation accurac</w:t>
      </w:r>
      <w:r w:rsidR="00451DD2">
        <w:rPr>
          <w:rFonts w:cs="Times New Roman"/>
          <w:sz w:val="22"/>
          <w:szCs w:val="22"/>
          <w:lang w:val="en-GB"/>
        </w:rPr>
        <w:t>y</w:t>
      </w:r>
      <w:r w:rsidRPr="0045572A">
        <w:rPr>
          <w:rFonts w:cs="Times New Roman"/>
          <w:sz w:val="22"/>
          <w:szCs w:val="22"/>
          <w:lang w:val="en-GB"/>
        </w:rPr>
        <w:t xml:space="preserve"> metrics – the Dice score and the IoU of the MC samples</w:t>
      </w:r>
      <w:r w:rsidR="0045572A" w:rsidRPr="0045572A">
        <w:rPr>
          <w:rFonts w:cs="Times New Roman"/>
          <w:sz w:val="22"/>
          <w:szCs w:val="22"/>
          <w:lang w:val="en-GB"/>
        </w:rPr>
        <w:fldChar w:fldCharType="begin" w:fldLock="1"/>
      </w:r>
      <w:r w:rsidR="00D441C9">
        <w:rPr>
          <w:rFonts w:cs="Times New Roman"/>
          <w:sz w:val="22"/>
          <w:szCs w:val="22"/>
          <w:lang w:val="en-GB"/>
        </w:rPr>
        <w:instrText>ADDIN CSL_CITATION {"citationItems":[{"id":"ITEM-1","itemData":{"DOI":"10.1016/j.neuroimage.2019.03.042","ISSN":"10959572","PMID":"30926511","abstract":"We introduce Bayesian QuickNAT for the automated quality control of whole-brain segmentation on MRI T1 scans. Next to the Bayesian fully convolutional neural network, we also present inherent measures of segmentation uncertainty that allow for quality control per brain structure. For estimating model uncertainty, we follow a Bayesian approach, wherein, Monte Carlo (MC) samples from the posterior distribution are generated by keeping the dropout layers active at test time. Entropy over the MC samples provides a voxel-wise model uncertainty map, whereas expectation over the MC predictions provides the final segmentation. Next to voxel-wise uncertainty, we introduce four metrics to quantify structure-wise uncertainty in segmentation for quality control. We report experiments on four out-of-sample datasets comprising of diverse age range, pathology and imaging artifacts. The proposed structure-wise uncertainty metrics are highly correlated with the Dice score estimated with manual annotation and therefore present an inherent measure of segmentation quality. In particular, the intersection over union over all the MC samples is a suitable proxy for the Dice score. In addition to quality control at scan-level, we propose to incorporate the structure-wise uncertainty as a measure of confidence to do reliable group analysis on large data repositories. We envisage that the introduced uncertainty metrics would help assess the fidelity of automated deep learning based segmentation methods for large-scale population studies, as they enable automated quality control and group analyses in processing large data repositories.","author":[{"dropping-particle":"","family":"Roy","given":"Abhijit Guha","non-dropping-particle":"","parse-names":false,"suffix":""},{"dropping-particle":"","family":"Conjeti","given":"Sailesh","non-dropping-particle":"","parse-names":false,"suffix":""},{"dropping-particle":"","family":"Navab","given":"Nassir","non-dropping-particle":"","parse-names":false,"suffix":""},{"dropping-particle":"","family":"Wachinger","given":"Christian","non-dropping-particle":"","parse-names":false,"suffix":""}],"container-title":"NeuroImage","id":"ITEM-1","issued":{"date-parts":[["2019","7","15"]]},"page":"11-22","publisher":"Academic Press Inc.","title":"Bayesian QuickNAT: Model uncertainty in deep whole-brain segmentation for structure-wise quality control","type":"article-journal","volume":"195"},"uris":["http://www.mendeley.com/documents/?uuid=6eaabf28-418b-3838-bd33-4101d7cc8256"]}],"mendeley":{"formattedCitation":"(24)","plainTextFormattedCitation":"(24)","previouslyFormattedCitation":"(25)"},"properties":{"noteIndex":0},"schema":"https://github.com/citation-style-language/schema/raw/master/csl-citation.json"}</w:instrText>
      </w:r>
      <w:r w:rsidR="0045572A" w:rsidRPr="0045572A">
        <w:rPr>
          <w:rFonts w:cs="Times New Roman"/>
          <w:sz w:val="22"/>
          <w:szCs w:val="22"/>
          <w:lang w:val="en-GB"/>
        </w:rPr>
        <w:fldChar w:fldCharType="separate"/>
      </w:r>
      <w:r w:rsidR="00D441C9" w:rsidRPr="00D441C9">
        <w:rPr>
          <w:rFonts w:cs="Times New Roman"/>
          <w:noProof/>
          <w:sz w:val="22"/>
          <w:szCs w:val="22"/>
          <w:lang w:val="en-GB"/>
        </w:rPr>
        <w:t>(24)</w:t>
      </w:r>
      <w:r w:rsidR="0045572A" w:rsidRPr="0045572A">
        <w:rPr>
          <w:rFonts w:cs="Times New Roman"/>
          <w:sz w:val="22"/>
          <w:szCs w:val="22"/>
          <w:lang w:val="en-GB"/>
        </w:rPr>
        <w:fldChar w:fldCharType="end"/>
      </w:r>
      <w:r w:rsidR="0045572A">
        <w:rPr>
          <w:rFonts w:cs="Times New Roman"/>
          <w:sz w:val="22"/>
          <w:szCs w:val="22"/>
          <w:lang w:val="en-GB"/>
        </w:rPr>
        <w:t xml:space="preserve">. </w:t>
      </w:r>
      <w:r w:rsidR="007E3E07">
        <w:rPr>
          <w:rFonts w:cs="Times New Roman"/>
          <w:sz w:val="22"/>
          <w:szCs w:val="22"/>
          <w:lang w:val="en-GB"/>
        </w:rPr>
        <w:t>W</w:t>
      </w:r>
      <w:r w:rsidRPr="001900FE">
        <w:rPr>
          <w:rFonts w:cs="Times New Roman"/>
          <w:sz w:val="22"/>
          <w:szCs w:val="22"/>
          <w:lang w:val="en-GB"/>
        </w:rPr>
        <w:t xml:space="preserve">e </w:t>
      </w:r>
      <w:r>
        <w:rPr>
          <w:rFonts w:cs="Times New Roman"/>
          <w:sz w:val="22"/>
          <w:szCs w:val="22"/>
          <w:lang w:val="en-GB"/>
        </w:rPr>
        <w:t>tested</w:t>
      </w:r>
      <w:r w:rsidRPr="001900FE">
        <w:rPr>
          <w:rFonts w:cs="Times New Roman"/>
          <w:sz w:val="22"/>
          <w:szCs w:val="22"/>
          <w:lang w:val="en-GB"/>
        </w:rPr>
        <w:t xml:space="preserve"> calculation of both IoU and Dice score globally or mean-pairwise over the MC samples</w:t>
      </w:r>
      <w:r w:rsidR="00F16A9E">
        <w:rPr>
          <w:rFonts w:cs="Times New Roman"/>
          <w:sz w:val="22"/>
          <w:szCs w:val="22"/>
          <w:lang w:val="en-GB"/>
        </w:rPr>
        <w:t xml:space="preserve">, finding that the best predictor of true segmentation accuracy was the </w:t>
      </w:r>
      <w:r w:rsidR="005512AD">
        <w:rPr>
          <w:rFonts w:cs="Times New Roman"/>
          <w:sz w:val="22"/>
          <w:szCs w:val="22"/>
          <w:lang w:val="en-GB"/>
        </w:rPr>
        <w:t xml:space="preserve">mean pairwise </w:t>
      </w:r>
      <w:r w:rsidR="00242149">
        <w:rPr>
          <w:rFonts w:cs="Times New Roman"/>
          <w:sz w:val="22"/>
          <w:szCs w:val="22"/>
          <w:lang w:val="en-GB"/>
        </w:rPr>
        <w:t>Dice score</w:t>
      </w:r>
      <w:r w:rsidR="005512AD">
        <w:rPr>
          <w:rFonts w:cs="Times New Roman"/>
          <w:sz w:val="22"/>
          <w:szCs w:val="22"/>
          <w:lang w:val="en-GB"/>
        </w:rPr>
        <w:t xml:space="preserve"> between the MC samples</w:t>
      </w:r>
      <w:r w:rsidR="000E38CC">
        <w:rPr>
          <w:rFonts w:cs="Times New Roman"/>
          <w:sz w:val="22"/>
          <w:szCs w:val="22"/>
          <w:lang w:val="en-GB"/>
        </w:rPr>
        <w:t>,</w:t>
      </w:r>
      <w:r w:rsidR="007E3E07">
        <w:rPr>
          <w:rFonts w:cs="Times New Roman"/>
          <w:sz w:val="22"/>
          <w:szCs w:val="22"/>
          <w:lang w:val="en-GB"/>
        </w:rPr>
        <w:t xml:space="preserve"> </w:t>
      </w:r>
      <w:r w:rsidR="000E38CC">
        <w:rPr>
          <w:rFonts w:cs="Times New Roman"/>
          <w:sz w:val="22"/>
          <w:szCs w:val="22"/>
          <w:lang w:val="en-GB"/>
        </w:rPr>
        <w:t xml:space="preserve">assessed on </w:t>
      </w:r>
      <w:r w:rsidR="00EC16C7">
        <w:rPr>
          <w:rFonts w:cs="Times New Roman"/>
          <w:sz w:val="22"/>
          <w:szCs w:val="22"/>
          <w:lang w:val="en-GB"/>
        </w:rPr>
        <w:t xml:space="preserve">quantitative measures of agreement with the true </w:t>
      </w:r>
      <w:r w:rsidR="00242149">
        <w:rPr>
          <w:rFonts w:cs="Times New Roman"/>
          <w:sz w:val="22"/>
          <w:szCs w:val="22"/>
          <w:lang w:val="en-GB"/>
        </w:rPr>
        <w:t>Dice score</w:t>
      </w:r>
      <w:r w:rsidR="00EC16C7">
        <w:rPr>
          <w:rFonts w:cs="Times New Roman"/>
          <w:sz w:val="22"/>
          <w:szCs w:val="22"/>
          <w:lang w:val="en-GB"/>
        </w:rPr>
        <w:t xml:space="preserve"> of the test </w:t>
      </w:r>
      <w:r w:rsidR="00EC16C7" w:rsidRPr="008D7118">
        <w:rPr>
          <w:rFonts w:cs="Times New Roman"/>
          <w:sz w:val="22"/>
          <w:szCs w:val="22"/>
          <w:lang w:val="en-GB"/>
        </w:rPr>
        <w:t>set</w:t>
      </w:r>
      <w:r w:rsidR="000E38CC" w:rsidRPr="008D7118">
        <w:rPr>
          <w:rFonts w:cs="Times New Roman"/>
          <w:sz w:val="22"/>
          <w:szCs w:val="22"/>
          <w:lang w:val="en-GB"/>
        </w:rPr>
        <w:t xml:space="preserve"> (</w:t>
      </w:r>
      <w:r w:rsidR="0045572A" w:rsidRPr="008D7118">
        <w:rPr>
          <w:rFonts w:cs="Times New Roman"/>
          <w:b/>
          <w:bCs/>
          <w:sz w:val="22"/>
          <w:szCs w:val="22"/>
          <w:lang w:val="en-GB"/>
        </w:rPr>
        <w:t xml:space="preserve">Supplementary </w:t>
      </w:r>
      <w:r w:rsidR="000E38CC" w:rsidRPr="008D7118">
        <w:rPr>
          <w:rFonts w:cs="Times New Roman"/>
          <w:b/>
          <w:bCs/>
          <w:sz w:val="22"/>
          <w:szCs w:val="22"/>
          <w:lang w:val="en-GB"/>
        </w:rPr>
        <w:t>Figure 2</w:t>
      </w:r>
      <w:r w:rsidR="000E38CC" w:rsidRPr="008D7118">
        <w:rPr>
          <w:rFonts w:cs="Times New Roman"/>
          <w:sz w:val="22"/>
          <w:szCs w:val="22"/>
          <w:lang w:val="en-GB"/>
        </w:rPr>
        <w:t>)</w:t>
      </w:r>
      <w:r w:rsidR="00F16A9E" w:rsidRPr="008D7118">
        <w:rPr>
          <w:rFonts w:cs="Times New Roman"/>
          <w:sz w:val="22"/>
          <w:szCs w:val="22"/>
          <w:lang w:val="en-GB"/>
        </w:rPr>
        <w:t xml:space="preserve">. Further details, as well as relevant equations, </w:t>
      </w:r>
      <w:r w:rsidR="0045572A" w:rsidRPr="008D7118">
        <w:rPr>
          <w:rFonts w:cs="Times New Roman"/>
          <w:sz w:val="22"/>
          <w:szCs w:val="22"/>
          <w:lang w:val="en-GB"/>
        </w:rPr>
        <w:t>are detailed</w:t>
      </w:r>
      <w:r w:rsidR="00F16A9E" w:rsidRPr="008D7118">
        <w:rPr>
          <w:rFonts w:cs="Times New Roman"/>
          <w:sz w:val="22"/>
          <w:szCs w:val="22"/>
          <w:lang w:val="en-GB"/>
        </w:rPr>
        <w:t xml:space="preserve"> in the </w:t>
      </w:r>
      <w:r w:rsidR="00F16A9E" w:rsidRPr="008D7118">
        <w:rPr>
          <w:rFonts w:cs="Times New Roman"/>
          <w:b/>
          <w:bCs/>
          <w:sz w:val="22"/>
          <w:szCs w:val="22"/>
          <w:lang w:val="en-GB"/>
        </w:rPr>
        <w:t xml:space="preserve">Supplementary </w:t>
      </w:r>
      <w:r w:rsidR="008D7118" w:rsidRPr="008D7118">
        <w:rPr>
          <w:rFonts w:cs="Times New Roman"/>
          <w:b/>
          <w:bCs/>
          <w:sz w:val="22"/>
          <w:szCs w:val="22"/>
          <w:lang w:val="en-GB"/>
        </w:rPr>
        <w:t>Material</w:t>
      </w:r>
      <w:r w:rsidR="00F16A9E">
        <w:rPr>
          <w:rFonts w:cs="Times New Roman"/>
          <w:sz w:val="22"/>
          <w:szCs w:val="22"/>
          <w:lang w:val="en-GB"/>
        </w:rPr>
        <w:t xml:space="preserve">. </w:t>
      </w:r>
    </w:p>
    <w:p w14:paraId="34F9F411" w14:textId="77777777" w:rsidR="0063081E" w:rsidRDefault="0063081E" w:rsidP="00FF2DC9">
      <w:pPr>
        <w:pStyle w:val="Firstparagraph"/>
        <w:rPr>
          <w:rFonts w:cs="Times New Roman"/>
          <w:sz w:val="22"/>
          <w:szCs w:val="22"/>
          <w:lang w:val="en-GB"/>
        </w:rPr>
      </w:pPr>
      <w:bookmarkStart w:id="12" w:name="segmentation-performance"/>
    </w:p>
    <w:p w14:paraId="0C9FB71A" w14:textId="0EADB803" w:rsidR="00FB07BC" w:rsidRPr="0063081E" w:rsidRDefault="00BD09E1" w:rsidP="00FF2DC9">
      <w:pPr>
        <w:pStyle w:val="Firstparagraph"/>
        <w:rPr>
          <w:rFonts w:cs="Times New Roman"/>
          <w:b/>
          <w:bCs/>
          <w:sz w:val="22"/>
          <w:szCs w:val="22"/>
          <w:lang w:val="en-GB"/>
        </w:rPr>
      </w:pPr>
      <w:r w:rsidRPr="00451DD2">
        <w:rPr>
          <w:rFonts w:cs="Times New Roman"/>
          <w:b/>
          <w:bCs/>
          <w:sz w:val="22"/>
          <w:szCs w:val="22"/>
          <w:lang w:val="en-GB"/>
        </w:rPr>
        <w:t xml:space="preserve">Evaluation of </w:t>
      </w:r>
      <w:r w:rsidR="001D45A6" w:rsidRPr="00451DD2">
        <w:rPr>
          <w:rFonts w:cs="Times New Roman"/>
          <w:b/>
          <w:bCs/>
          <w:sz w:val="22"/>
          <w:szCs w:val="22"/>
          <w:lang w:val="en-GB"/>
        </w:rPr>
        <w:t xml:space="preserve">automated CMR PAT </w:t>
      </w:r>
      <w:r w:rsidRPr="00451DD2">
        <w:rPr>
          <w:rFonts w:cs="Times New Roman"/>
          <w:b/>
          <w:bCs/>
          <w:sz w:val="22"/>
          <w:szCs w:val="22"/>
          <w:lang w:val="en-GB"/>
        </w:rPr>
        <w:t>s</w:t>
      </w:r>
      <w:r w:rsidR="00FB07BC" w:rsidRPr="00451DD2">
        <w:rPr>
          <w:rFonts w:cs="Times New Roman"/>
          <w:b/>
          <w:bCs/>
          <w:sz w:val="22"/>
          <w:szCs w:val="22"/>
          <w:lang w:val="en-GB"/>
        </w:rPr>
        <w:t xml:space="preserve">egmentation </w:t>
      </w:r>
      <w:r w:rsidR="00A752D7" w:rsidRPr="00451DD2">
        <w:rPr>
          <w:rFonts w:cs="Times New Roman"/>
          <w:b/>
          <w:bCs/>
          <w:sz w:val="22"/>
          <w:szCs w:val="22"/>
          <w:lang w:val="en-GB"/>
        </w:rPr>
        <w:t xml:space="preserve">model </w:t>
      </w:r>
      <w:r w:rsidR="00FB07BC" w:rsidRPr="00451DD2">
        <w:rPr>
          <w:rFonts w:cs="Times New Roman"/>
          <w:b/>
          <w:bCs/>
          <w:sz w:val="22"/>
          <w:szCs w:val="22"/>
          <w:lang w:val="en-GB"/>
        </w:rPr>
        <w:t>performance</w:t>
      </w:r>
      <w:bookmarkEnd w:id="12"/>
    </w:p>
    <w:p w14:paraId="26C1C219" w14:textId="58E2C8EC" w:rsidR="00FB07BC" w:rsidRDefault="0059086A" w:rsidP="00FF2DC9">
      <w:pPr>
        <w:pStyle w:val="BodyText"/>
        <w:rPr>
          <w:rFonts w:cs="Times New Roman"/>
          <w:sz w:val="22"/>
          <w:szCs w:val="22"/>
          <w:lang w:val="en-GB"/>
        </w:rPr>
      </w:pPr>
      <w:r>
        <w:rPr>
          <w:rFonts w:cs="Times New Roman"/>
          <w:sz w:val="22"/>
          <w:szCs w:val="22"/>
          <w:lang w:val="en-GB"/>
        </w:rPr>
        <w:t>T</w:t>
      </w:r>
      <w:r w:rsidR="00501AC3" w:rsidRPr="001900FE">
        <w:rPr>
          <w:rFonts w:cs="Times New Roman"/>
          <w:sz w:val="22"/>
          <w:szCs w:val="22"/>
          <w:lang w:val="en-GB"/>
        </w:rPr>
        <w:t xml:space="preserve">he performance of the automated segmentation </w:t>
      </w:r>
      <w:r>
        <w:rPr>
          <w:rFonts w:cs="Times New Roman"/>
          <w:sz w:val="22"/>
          <w:szCs w:val="22"/>
          <w:lang w:val="en-GB"/>
        </w:rPr>
        <w:t xml:space="preserve">within the test set </w:t>
      </w:r>
      <w:r w:rsidR="00501AC3" w:rsidRPr="001900FE">
        <w:rPr>
          <w:rFonts w:cs="Times New Roman"/>
          <w:sz w:val="22"/>
          <w:szCs w:val="22"/>
          <w:lang w:val="en-GB"/>
        </w:rPr>
        <w:t xml:space="preserve">relative to manual </w:t>
      </w:r>
      <w:r>
        <w:rPr>
          <w:rFonts w:cs="Times New Roman"/>
          <w:sz w:val="22"/>
          <w:szCs w:val="22"/>
          <w:lang w:val="en-GB"/>
        </w:rPr>
        <w:t>segmentations was</w:t>
      </w:r>
      <w:r w:rsidR="00501AC3" w:rsidRPr="001900FE">
        <w:rPr>
          <w:rFonts w:cs="Times New Roman"/>
          <w:sz w:val="22"/>
          <w:szCs w:val="22"/>
          <w:lang w:val="en-GB"/>
        </w:rPr>
        <w:t xml:space="preserve"> </w:t>
      </w:r>
      <w:r w:rsidR="00241DA8">
        <w:rPr>
          <w:rFonts w:cs="Times New Roman"/>
          <w:sz w:val="22"/>
          <w:szCs w:val="22"/>
          <w:lang w:val="en-GB"/>
        </w:rPr>
        <w:t xml:space="preserve">good and </w:t>
      </w:r>
      <w:r w:rsidR="00501AC3" w:rsidRPr="001900FE">
        <w:rPr>
          <w:rFonts w:cs="Times New Roman"/>
          <w:sz w:val="22"/>
          <w:szCs w:val="22"/>
          <w:lang w:val="en-GB"/>
        </w:rPr>
        <w:t xml:space="preserve">very similar </w:t>
      </w:r>
      <w:r w:rsidR="00501AC3" w:rsidRPr="008D7118">
        <w:rPr>
          <w:rFonts w:cs="Times New Roman"/>
          <w:sz w:val="22"/>
          <w:szCs w:val="22"/>
          <w:lang w:val="en-GB"/>
        </w:rPr>
        <w:t>to the agreement between human observers (mean Dice score</w:t>
      </w:r>
      <w:r w:rsidR="008D7118" w:rsidRPr="008D7118">
        <w:rPr>
          <w:rFonts w:cs="Times New Roman"/>
          <w:sz w:val="22"/>
          <w:szCs w:val="22"/>
          <w:lang w:val="en-GB"/>
        </w:rPr>
        <w:t>=</w:t>
      </w:r>
      <w:r w:rsidR="00501AC3" w:rsidRPr="008D7118">
        <w:rPr>
          <w:rFonts w:cs="Times New Roman"/>
          <w:sz w:val="22"/>
          <w:szCs w:val="22"/>
          <w:lang w:val="en-GB"/>
        </w:rPr>
        <w:t xml:space="preserve">0.8). This </w:t>
      </w:r>
      <w:r w:rsidRPr="008D7118">
        <w:rPr>
          <w:rFonts w:cs="Times New Roman"/>
          <w:sz w:val="22"/>
          <w:szCs w:val="22"/>
          <w:lang w:val="en-GB"/>
        </w:rPr>
        <w:t>wa</w:t>
      </w:r>
      <w:r w:rsidR="00501AC3" w:rsidRPr="008D7118">
        <w:rPr>
          <w:rFonts w:cs="Times New Roman"/>
          <w:sz w:val="22"/>
          <w:szCs w:val="22"/>
          <w:lang w:val="en-GB"/>
        </w:rPr>
        <w:t>s the case both for raw segmentation metrics (</w:t>
      </w:r>
      <w:r w:rsidR="00501AC3" w:rsidRPr="008D7118">
        <w:rPr>
          <w:rFonts w:cs="Times New Roman"/>
          <w:b/>
          <w:sz w:val="22"/>
          <w:szCs w:val="22"/>
          <w:lang w:val="en-GB"/>
        </w:rPr>
        <w:t>Table 1</w:t>
      </w:r>
      <w:r w:rsidR="00501AC3" w:rsidRPr="008D7118">
        <w:rPr>
          <w:rFonts w:cs="Times New Roman"/>
          <w:sz w:val="22"/>
          <w:szCs w:val="22"/>
          <w:lang w:val="en-GB"/>
        </w:rPr>
        <w:t>), and under Bland-Altman analysis (</w:t>
      </w:r>
      <w:r w:rsidR="00960383" w:rsidRPr="008D7118">
        <w:rPr>
          <w:rFonts w:cs="Times New Roman"/>
          <w:b/>
          <w:bCs/>
          <w:sz w:val="22"/>
          <w:szCs w:val="22"/>
          <w:lang w:val="en-GB"/>
        </w:rPr>
        <w:t xml:space="preserve">Figure </w:t>
      </w:r>
      <w:r w:rsidR="0045572A" w:rsidRPr="008D7118">
        <w:rPr>
          <w:rFonts w:cs="Times New Roman"/>
          <w:b/>
          <w:bCs/>
          <w:sz w:val="22"/>
          <w:szCs w:val="22"/>
          <w:lang w:val="en-GB"/>
        </w:rPr>
        <w:t>2</w:t>
      </w:r>
      <w:r w:rsidR="00501AC3" w:rsidRPr="008D7118">
        <w:rPr>
          <w:rFonts w:cs="Times New Roman"/>
          <w:b/>
          <w:bCs/>
          <w:sz w:val="22"/>
          <w:szCs w:val="22"/>
          <w:lang w:val="en-GB"/>
        </w:rPr>
        <w:t>E-H</w:t>
      </w:r>
      <w:r w:rsidR="00501AC3" w:rsidRPr="008D7118">
        <w:rPr>
          <w:rFonts w:cs="Times New Roman"/>
          <w:sz w:val="22"/>
          <w:szCs w:val="22"/>
          <w:lang w:val="en-GB"/>
        </w:rPr>
        <w:t>).</w:t>
      </w:r>
      <w:r w:rsidR="00501AC3" w:rsidRPr="001900FE">
        <w:rPr>
          <w:rFonts w:cs="Times New Roman"/>
          <w:sz w:val="22"/>
          <w:szCs w:val="22"/>
          <w:lang w:val="en-GB"/>
        </w:rPr>
        <w:t xml:space="preserve"> Arguably, this is the best performance that </w:t>
      </w:r>
      <w:r>
        <w:rPr>
          <w:rFonts w:cs="Times New Roman"/>
          <w:sz w:val="22"/>
          <w:szCs w:val="22"/>
          <w:lang w:val="en-GB"/>
        </w:rPr>
        <w:t>may be achieved by</w:t>
      </w:r>
      <w:r w:rsidR="00501AC3" w:rsidRPr="001900FE">
        <w:rPr>
          <w:rFonts w:cs="Times New Roman"/>
          <w:sz w:val="22"/>
          <w:szCs w:val="22"/>
          <w:lang w:val="en-GB"/>
        </w:rPr>
        <w:t xml:space="preserve"> an automated segmentation algorithm and re</w:t>
      </w:r>
      <w:r w:rsidR="00241DA8">
        <w:rPr>
          <w:rFonts w:cs="Times New Roman"/>
          <w:sz w:val="22"/>
          <w:szCs w:val="22"/>
          <w:lang w:val="en-GB"/>
        </w:rPr>
        <w:t>flects</w:t>
      </w:r>
      <w:r w:rsidR="00501AC3" w:rsidRPr="001900FE">
        <w:rPr>
          <w:rFonts w:cs="Times New Roman"/>
          <w:sz w:val="22"/>
          <w:szCs w:val="22"/>
          <w:lang w:val="en-GB"/>
        </w:rPr>
        <w:t xml:space="preserve"> th</w:t>
      </w:r>
      <w:r w:rsidR="008D15D8">
        <w:rPr>
          <w:rFonts w:cs="Times New Roman"/>
          <w:sz w:val="22"/>
          <w:szCs w:val="22"/>
          <w:lang w:val="en-GB"/>
        </w:rPr>
        <w:t>e</w:t>
      </w:r>
      <w:r w:rsidR="00501AC3" w:rsidRPr="001900FE">
        <w:rPr>
          <w:rFonts w:cs="Times New Roman"/>
          <w:sz w:val="22"/>
          <w:szCs w:val="22"/>
          <w:lang w:val="en-GB"/>
        </w:rPr>
        <w:t xml:space="preserve"> </w:t>
      </w:r>
      <w:r w:rsidR="00B4709D">
        <w:rPr>
          <w:rFonts w:cs="Times New Roman"/>
          <w:sz w:val="22"/>
          <w:szCs w:val="22"/>
          <w:lang w:val="en-GB"/>
        </w:rPr>
        <w:t xml:space="preserve">inherently challenging nature of the PAT </w:t>
      </w:r>
      <w:r w:rsidR="00501AC3" w:rsidRPr="001900FE">
        <w:rPr>
          <w:rFonts w:cs="Times New Roman"/>
          <w:sz w:val="22"/>
          <w:szCs w:val="22"/>
          <w:lang w:val="en-GB"/>
        </w:rPr>
        <w:t>segmentation task.</w:t>
      </w:r>
      <w:r w:rsidR="00501AC3">
        <w:rPr>
          <w:rFonts w:cs="Times New Roman"/>
          <w:sz w:val="22"/>
          <w:szCs w:val="22"/>
          <w:lang w:val="en-GB"/>
        </w:rPr>
        <w:t xml:space="preserve"> </w:t>
      </w:r>
      <w:r w:rsidR="00451DD2">
        <w:rPr>
          <w:rFonts w:cs="Times New Roman"/>
          <w:sz w:val="22"/>
          <w:szCs w:val="22"/>
          <w:lang w:val="en-GB"/>
        </w:rPr>
        <w:t>A f</w:t>
      </w:r>
      <w:r>
        <w:rPr>
          <w:rFonts w:cs="Times New Roman"/>
          <w:sz w:val="22"/>
          <w:szCs w:val="22"/>
          <w:lang w:val="en-GB"/>
        </w:rPr>
        <w:t>ew cases</w:t>
      </w:r>
      <w:r w:rsidR="00501AC3">
        <w:rPr>
          <w:rFonts w:cs="Times New Roman"/>
          <w:sz w:val="22"/>
          <w:szCs w:val="22"/>
          <w:lang w:val="en-GB"/>
        </w:rPr>
        <w:t xml:space="preserve"> </w:t>
      </w:r>
      <w:r w:rsidR="00501AC3" w:rsidRPr="0045572A">
        <w:rPr>
          <w:rFonts w:cs="Times New Roman"/>
          <w:sz w:val="22"/>
          <w:szCs w:val="22"/>
          <w:lang w:val="en-GB"/>
        </w:rPr>
        <w:t>(n</w:t>
      </w:r>
      <w:r w:rsidR="00E10A9E" w:rsidRPr="0045572A">
        <w:rPr>
          <w:rFonts w:cs="Times New Roman"/>
          <w:sz w:val="22"/>
          <w:szCs w:val="22"/>
          <w:lang w:val="en-GB"/>
        </w:rPr>
        <w:t>=4,</w:t>
      </w:r>
      <w:r w:rsidR="00501AC3" w:rsidRPr="0045572A">
        <w:rPr>
          <w:rFonts w:cs="Times New Roman"/>
          <w:sz w:val="22"/>
          <w:szCs w:val="22"/>
          <w:lang w:val="en-GB"/>
        </w:rPr>
        <w:t xml:space="preserve"> </w:t>
      </w:r>
      <w:r w:rsidR="00E10A9E" w:rsidRPr="0045572A">
        <w:rPr>
          <w:rFonts w:cs="Times New Roman"/>
          <w:sz w:val="22"/>
          <w:szCs w:val="22"/>
          <w:lang w:val="en-GB"/>
        </w:rPr>
        <w:t>4.5</w:t>
      </w:r>
      <w:r w:rsidR="00501AC3" w:rsidRPr="0045572A">
        <w:rPr>
          <w:rFonts w:cs="Times New Roman"/>
          <w:sz w:val="22"/>
          <w:szCs w:val="22"/>
          <w:lang w:val="en-GB"/>
        </w:rPr>
        <w:t>%)</w:t>
      </w:r>
      <w:r w:rsidR="00501AC3">
        <w:rPr>
          <w:rFonts w:cs="Times New Roman"/>
          <w:sz w:val="22"/>
          <w:szCs w:val="22"/>
          <w:lang w:val="en-GB"/>
        </w:rPr>
        <w:t xml:space="preserve"> </w:t>
      </w:r>
      <w:r w:rsidR="00B4709D">
        <w:rPr>
          <w:rFonts w:cs="Times New Roman"/>
          <w:sz w:val="22"/>
          <w:szCs w:val="22"/>
          <w:lang w:val="en-GB"/>
        </w:rPr>
        <w:t xml:space="preserve">had poor </w:t>
      </w:r>
      <w:r w:rsidR="00501AC3">
        <w:rPr>
          <w:rFonts w:cs="Times New Roman"/>
          <w:sz w:val="22"/>
          <w:szCs w:val="22"/>
          <w:lang w:val="en-GB"/>
        </w:rPr>
        <w:t xml:space="preserve">segmentation quality </w:t>
      </w:r>
      <w:r w:rsidR="00451DD2">
        <w:rPr>
          <w:rFonts w:cs="Times New Roman"/>
          <w:sz w:val="22"/>
          <w:szCs w:val="22"/>
          <w:lang w:val="en-GB"/>
        </w:rPr>
        <w:t>(</w:t>
      </w:r>
      <w:r w:rsidR="00FB07BC" w:rsidRPr="001900FE">
        <w:rPr>
          <w:rFonts w:cs="Times New Roman"/>
          <w:sz w:val="22"/>
          <w:szCs w:val="22"/>
          <w:lang w:val="en-GB"/>
        </w:rPr>
        <w:t>Dice score &lt;0.</w:t>
      </w:r>
      <w:r w:rsidR="00FB07BC" w:rsidRPr="008D7118">
        <w:rPr>
          <w:rFonts w:cs="Times New Roman"/>
          <w:sz w:val="22"/>
          <w:szCs w:val="22"/>
          <w:lang w:val="en-GB"/>
        </w:rPr>
        <w:t>6</w:t>
      </w:r>
      <w:r w:rsidR="00451DD2" w:rsidRPr="008D7118">
        <w:rPr>
          <w:rFonts w:cs="Times New Roman"/>
          <w:sz w:val="22"/>
          <w:szCs w:val="22"/>
          <w:lang w:val="en-GB"/>
        </w:rPr>
        <w:t>)</w:t>
      </w:r>
      <w:r w:rsidR="00501AC3" w:rsidRPr="008D7118">
        <w:rPr>
          <w:rFonts w:cs="Times New Roman"/>
          <w:sz w:val="22"/>
          <w:szCs w:val="22"/>
          <w:lang w:val="en-GB"/>
        </w:rPr>
        <w:t xml:space="preserve"> (</w:t>
      </w:r>
      <w:r w:rsidR="00960383" w:rsidRPr="008D7118">
        <w:rPr>
          <w:rFonts w:cs="Times New Roman"/>
          <w:b/>
          <w:sz w:val="22"/>
          <w:szCs w:val="22"/>
          <w:lang w:val="en-GB"/>
        </w:rPr>
        <w:t xml:space="preserve">Figure </w:t>
      </w:r>
      <w:r w:rsidR="0045572A" w:rsidRPr="008D7118">
        <w:rPr>
          <w:rFonts w:cs="Times New Roman"/>
          <w:b/>
          <w:sz w:val="22"/>
          <w:szCs w:val="22"/>
          <w:lang w:val="en-GB"/>
        </w:rPr>
        <w:t>2</w:t>
      </w:r>
      <w:r w:rsidR="00501AC3" w:rsidRPr="008D7118">
        <w:rPr>
          <w:rFonts w:cs="Times New Roman"/>
          <w:b/>
          <w:bCs/>
          <w:sz w:val="22"/>
          <w:szCs w:val="22"/>
          <w:lang w:val="en-GB"/>
        </w:rPr>
        <w:t>A-D)</w:t>
      </w:r>
      <w:r w:rsidR="00501AC3" w:rsidRPr="008D7118">
        <w:rPr>
          <w:rFonts w:cs="Times New Roman"/>
          <w:sz w:val="22"/>
          <w:szCs w:val="22"/>
          <w:lang w:val="en-GB"/>
        </w:rPr>
        <w:t xml:space="preserve"> and</w:t>
      </w:r>
      <w:r w:rsidR="00FB07BC" w:rsidRPr="001900FE">
        <w:rPr>
          <w:rFonts w:cs="Times New Roman"/>
          <w:sz w:val="22"/>
          <w:szCs w:val="22"/>
          <w:lang w:val="en-GB"/>
        </w:rPr>
        <w:t xml:space="preserve"> very large Hausdorff distances</w:t>
      </w:r>
      <w:r w:rsidR="00FB07BC" w:rsidRPr="00501AC3">
        <w:rPr>
          <w:rFonts w:cs="Times New Roman"/>
          <w:sz w:val="22"/>
          <w:szCs w:val="22"/>
          <w:lang w:val="en-GB"/>
        </w:rPr>
        <w:t>.</w:t>
      </w:r>
      <w:r w:rsidR="00FB07BC" w:rsidRPr="001900FE">
        <w:rPr>
          <w:rFonts w:cs="Times New Roman"/>
          <w:sz w:val="22"/>
          <w:szCs w:val="22"/>
          <w:lang w:val="en-GB"/>
        </w:rPr>
        <w:t xml:space="preserve"> This underlines the </w:t>
      </w:r>
      <w:r>
        <w:rPr>
          <w:rFonts w:cs="Times New Roman"/>
          <w:sz w:val="22"/>
          <w:szCs w:val="22"/>
          <w:lang w:val="en-GB"/>
        </w:rPr>
        <w:t xml:space="preserve">importance </w:t>
      </w:r>
      <w:r w:rsidR="00FB07BC" w:rsidRPr="001900FE">
        <w:rPr>
          <w:rFonts w:cs="Times New Roman"/>
          <w:sz w:val="22"/>
          <w:szCs w:val="22"/>
          <w:lang w:val="en-GB"/>
        </w:rPr>
        <w:t xml:space="preserve">of the </w:t>
      </w:r>
      <w:r w:rsidR="00501AC3">
        <w:rPr>
          <w:rFonts w:cs="Times New Roman"/>
          <w:sz w:val="22"/>
          <w:szCs w:val="22"/>
          <w:lang w:val="en-GB"/>
        </w:rPr>
        <w:t>in-built QC feature</w:t>
      </w:r>
      <w:r w:rsidR="00B4709D">
        <w:rPr>
          <w:rFonts w:cs="Times New Roman"/>
          <w:sz w:val="22"/>
          <w:szCs w:val="22"/>
          <w:lang w:val="en-GB"/>
        </w:rPr>
        <w:t>, which would flag such cases.</w:t>
      </w:r>
      <w:r w:rsidR="00241DA8">
        <w:rPr>
          <w:rFonts w:cs="Times New Roman"/>
          <w:sz w:val="22"/>
          <w:szCs w:val="22"/>
          <w:lang w:val="en-GB"/>
        </w:rPr>
        <w:t xml:space="preserve"> </w:t>
      </w:r>
      <w:r w:rsidR="007F04C0" w:rsidRPr="0045572A">
        <w:rPr>
          <w:rFonts w:cs="Times New Roman"/>
          <w:sz w:val="22"/>
          <w:szCs w:val="22"/>
          <w:lang w:val="en-GB"/>
        </w:rPr>
        <w:t>We also successfully applied the automated segmentation to the whole UK Biobank Imaging cohort (n=</w:t>
      </w:r>
      <w:r w:rsidR="0042001A" w:rsidRPr="0045572A">
        <w:rPr>
          <w:rFonts w:cs="Times New Roman"/>
          <w:sz w:val="22"/>
          <w:szCs w:val="22"/>
          <w:lang w:val="en-GB"/>
        </w:rPr>
        <w:t>45,519</w:t>
      </w:r>
      <w:r w:rsidR="007F04C0" w:rsidRPr="0045572A">
        <w:rPr>
          <w:rFonts w:cs="Times New Roman"/>
          <w:sz w:val="22"/>
          <w:szCs w:val="22"/>
          <w:lang w:val="en-GB"/>
        </w:rPr>
        <w:t>), 94.</w:t>
      </w:r>
      <w:r w:rsidR="0042001A" w:rsidRPr="0045572A">
        <w:rPr>
          <w:rFonts w:cs="Times New Roman"/>
          <w:sz w:val="22"/>
          <w:szCs w:val="22"/>
          <w:lang w:val="en-GB"/>
        </w:rPr>
        <w:t>3</w:t>
      </w:r>
      <w:r w:rsidR="007F04C0" w:rsidRPr="0045572A">
        <w:rPr>
          <w:rFonts w:cs="Times New Roman"/>
          <w:sz w:val="22"/>
          <w:szCs w:val="22"/>
          <w:lang w:val="en-GB"/>
        </w:rPr>
        <w:t>% of cases (n=4</w:t>
      </w:r>
      <w:r w:rsidR="0042001A" w:rsidRPr="0045572A">
        <w:rPr>
          <w:rFonts w:cs="Times New Roman"/>
          <w:sz w:val="22"/>
          <w:szCs w:val="22"/>
          <w:lang w:val="en-GB"/>
        </w:rPr>
        <w:t>2</w:t>
      </w:r>
      <w:r w:rsidR="007F04C0" w:rsidRPr="0045572A">
        <w:rPr>
          <w:rFonts w:cs="Times New Roman"/>
          <w:sz w:val="22"/>
          <w:szCs w:val="22"/>
          <w:lang w:val="en-GB"/>
        </w:rPr>
        <w:t>,</w:t>
      </w:r>
      <w:r w:rsidR="0042001A" w:rsidRPr="0045572A">
        <w:rPr>
          <w:rFonts w:cs="Times New Roman"/>
          <w:sz w:val="22"/>
          <w:szCs w:val="22"/>
          <w:lang w:val="en-GB"/>
        </w:rPr>
        <w:t>928</w:t>
      </w:r>
      <w:r w:rsidR="007F04C0" w:rsidRPr="0045572A">
        <w:rPr>
          <w:rFonts w:cs="Times New Roman"/>
          <w:sz w:val="22"/>
          <w:szCs w:val="22"/>
          <w:lang w:val="en-GB"/>
        </w:rPr>
        <w:t>) ha</w:t>
      </w:r>
      <w:r w:rsidR="0042001A" w:rsidRPr="0045572A">
        <w:rPr>
          <w:rFonts w:cs="Times New Roman"/>
          <w:sz w:val="22"/>
          <w:szCs w:val="22"/>
          <w:lang w:val="en-GB"/>
        </w:rPr>
        <w:t>d</w:t>
      </w:r>
      <w:r w:rsidR="007F04C0" w:rsidRPr="0045572A">
        <w:rPr>
          <w:rFonts w:cs="Times New Roman"/>
          <w:sz w:val="22"/>
          <w:szCs w:val="22"/>
          <w:lang w:val="en-GB"/>
        </w:rPr>
        <w:t xml:space="preserve"> </w:t>
      </w:r>
      <w:r w:rsidR="00A40538" w:rsidRPr="0045572A">
        <w:rPr>
          <w:rFonts w:cs="Times New Roman"/>
          <w:sz w:val="22"/>
          <w:szCs w:val="22"/>
          <w:lang w:val="en-GB"/>
        </w:rPr>
        <w:t>predicted</w:t>
      </w:r>
      <w:r w:rsidR="007F04C0" w:rsidRPr="0045572A">
        <w:rPr>
          <w:rFonts w:cs="Times New Roman"/>
          <w:sz w:val="22"/>
          <w:szCs w:val="22"/>
          <w:lang w:val="en-GB"/>
        </w:rPr>
        <w:t xml:space="preserve"> Dice score</w:t>
      </w:r>
      <w:r w:rsidR="0042001A" w:rsidRPr="0045572A">
        <w:rPr>
          <w:rFonts w:cs="Times New Roman"/>
          <w:sz w:val="22"/>
          <w:szCs w:val="22"/>
          <w:lang w:val="en-GB"/>
        </w:rPr>
        <w:t xml:space="preserve"> </w:t>
      </w:r>
      <w:r w:rsidR="00C65310" w:rsidRPr="0045572A">
        <w:rPr>
          <w:rFonts w:cs="Times New Roman"/>
          <w:sz w:val="22"/>
          <w:szCs w:val="22"/>
          <w:lang w:val="en-GB"/>
        </w:rPr>
        <w:t>of medium or good quality</w:t>
      </w:r>
      <w:r w:rsidR="00294FF8" w:rsidRPr="0045572A">
        <w:rPr>
          <w:rFonts w:cs="Times New Roman"/>
          <w:sz w:val="22"/>
          <w:szCs w:val="22"/>
          <w:lang w:val="en-GB"/>
        </w:rPr>
        <w:t xml:space="preserve"> (mean predicted Dice score 0.77)</w:t>
      </w:r>
      <w:r w:rsidR="007F04C0" w:rsidRPr="0045572A">
        <w:rPr>
          <w:rFonts w:cs="Times New Roman"/>
          <w:sz w:val="22"/>
          <w:szCs w:val="22"/>
          <w:lang w:val="en-GB"/>
        </w:rPr>
        <w:t>. T</w:t>
      </w:r>
      <w:r w:rsidR="00241DA8" w:rsidRPr="0045572A">
        <w:rPr>
          <w:rFonts w:cs="Times New Roman"/>
          <w:sz w:val="22"/>
          <w:szCs w:val="22"/>
          <w:lang w:val="en-GB"/>
        </w:rPr>
        <w:t>he automated segmentation also performed well in the external EVINCII dataset</w:t>
      </w:r>
      <w:r w:rsidR="0042001A" w:rsidRPr="0045572A">
        <w:rPr>
          <w:rFonts w:cs="Times New Roman"/>
          <w:sz w:val="22"/>
          <w:szCs w:val="22"/>
          <w:lang w:val="en-GB"/>
        </w:rPr>
        <w:t>, with the majority of studies having medium/good segmentation quality (n=</w:t>
      </w:r>
      <w:r w:rsidR="008748C6" w:rsidRPr="0045572A">
        <w:rPr>
          <w:rFonts w:cs="Times New Roman"/>
          <w:sz w:val="22"/>
          <w:szCs w:val="22"/>
          <w:lang w:val="en-GB"/>
        </w:rPr>
        <w:t>103, 94.4</w:t>
      </w:r>
      <w:r w:rsidR="0042001A" w:rsidRPr="0045572A">
        <w:rPr>
          <w:rFonts w:cs="Times New Roman"/>
          <w:sz w:val="22"/>
          <w:szCs w:val="22"/>
          <w:lang w:val="en-GB"/>
        </w:rPr>
        <w:t>%)</w:t>
      </w:r>
      <w:r w:rsidR="00362982" w:rsidRPr="0045572A">
        <w:rPr>
          <w:rFonts w:cs="Times New Roman"/>
          <w:sz w:val="22"/>
          <w:szCs w:val="22"/>
          <w:lang w:val="en-GB"/>
        </w:rPr>
        <w:t xml:space="preserve">, </w:t>
      </w:r>
      <w:r w:rsidR="00241DA8" w:rsidRPr="0045572A">
        <w:rPr>
          <w:rFonts w:cs="Times New Roman"/>
          <w:sz w:val="22"/>
          <w:szCs w:val="22"/>
          <w:lang w:val="en-GB"/>
        </w:rPr>
        <w:t xml:space="preserve">with </w:t>
      </w:r>
      <w:r w:rsidR="006F5A73" w:rsidRPr="0045572A">
        <w:rPr>
          <w:rFonts w:cs="Times New Roman"/>
          <w:sz w:val="22"/>
          <w:szCs w:val="22"/>
          <w:lang w:val="en-GB"/>
        </w:rPr>
        <w:t xml:space="preserve">overall </w:t>
      </w:r>
      <w:r w:rsidR="00241DA8" w:rsidRPr="0045572A">
        <w:rPr>
          <w:rFonts w:cs="Times New Roman"/>
          <w:sz w:val="22"/>
          <w:szCs w:val="22"/>
          <w:lang w:val="en-GB"/>
        </w:rPr>
        <w:t xml:space="preserve">mean </w:t>
      </w:r>
      <w:r w:rsidR="004C090D" w:rsidRPr="0045572A">
        <w:rPr>
          <w:rFonts w:cs="Times New Roman"/>
          <w:sz w:val="22"/>
          <w:szCs w:val="22"/>
          <w:lang w:val="en-GB"/>
        </w:rPr>
        <w:t xml:space="preserve">predicted </w:t>
      </w:r>
      <w:r w:rsidR="00241DA8" w:rsidRPr="0045572A">
        <w:rPr>
          <w:rFonts w:cs="Times New Roman"/>
          <w:sz w:val="22"/>
          <w:szCs w:val="22"/>
          <w:lang w:val="en-GB"/>
        </w:rPr>
        <w:t>Dice score of</w:t>
      </w:r>
      <w:r w:rsidR="00785B94" w:rsidRPr="0045572A">
        <w:rPr>
          <w:rFonts w:cs="Times New Roman"/>
          <w:sz w:val="22"/>
          <w:szCs w:val="22"/>
          <w:lang w:val="en-GB"/>
        </w:rPr>
        <w:t xml:space="preserve"> 0</w:t>
      </w:r>
      <w:r w:rsidR="00785B94" w:rsidRPr="008D7118">
        <w:rPr>
          <w:rFonts w:cs="Times New Roman"/>
          <w:sz w:val="22"/>
          <w:szCs w:val="22"/>
          <w:lang w:val="en-GB"/>
        </w:rPr>
        <w:t xml:space="preserve">.78 </w:t>
      </w:r>
      <w:r w:rsidR="006F3A6C" w:rsidRPr="008D7118">
        <w:rPr>
          <w:rFonts w:cs="Times New Roman"/>
          <w:sz w:val="22"/>
          <w:szCs w:val="22"/>
          <w:lang w:val="en-GB"/>
        </w:rPr>
        <w:t>(</w:t>
      </w:r>
      <w:r w:rsidR="00960383" w:rsidRPr="008D7118">
        <w:rPr>
          <w:rFonts w:cs="Times New Roman"/>
          <w:b/>
          <w:bCs/>
          <w:sz w:val="22"/>
          <w:szCs w:val="22"/>
          <w:lang w:val="en-GB"/>
        </w:rPr>
        <w:t xml:space="preserve">Figure </w:t>
      </w:r>
      <w:r w:rsidR="0045572A" w:rsidRPr="008D7118">
        <w:rPr>
          <w:rFonts w:cs="Times New Roman"/>
          <w:b/>
          <w:bCs/>
          <w:sz w:val="22"/>
          <w:szCs w:val="22"/>
          <w:lang w:val="en-GB"/>
        </w:rPr>
        <w:t>3</w:t>
      </w:r>
      <w:r w:rsidR="006F3A6C" w:rsidRPr="008D7118">
        <w:rPr>
          <w:rFonts w:cs="Times New Roman"/>
          <w:b/>
          <w:bCs/>
          <w:sz w:val="22"/>
          <w:szCs w:val="22"/>
          <w:lang w:val="en-GB"/>
        </w:rPr>
        <w:t>A</w:t>
      </w:r>
      <w:r w:rsidR="006F3A6C" w:rsidRPr="008D7118">
        <w:rPr>
          <w:rFonts w:cs="Times New Roman"/>
          <w:sz w:val="22"/>
          <w:szCs w:val="22"/>
          <w:lang w:val="en-GB"/>
        </w:rPr>
        <w:t>)</w:t>
      </w:r>
      <w:r w:rsidR="008D7118">
        <w:rPr>
          <w:rFonts w:cs="Times New Roman"/>
          <w:sz w:val="22"/>
          <w:szCs w:val="22"/>
          <w:lang w:val="en-GB"/>
        </w:rPr>
        <w:t>.</w:t>
      </w:r>
      <w:r w:rsidR="00582767">
        <w:rPr>
          <w:rFonts w:cs="Times New Roman"/>
          <w:sz w:val="22"/>
          <w:szCs w:val="22"/>
          <w:lang w:val="en-GB"/>
        </w:rPr>
        <w:t xml:space="preserve"> </w:t>
      </w:r>
      <w:r w:rsidR="00582767" w:rsidRPr="00582767">
        <w:rPr>
          <w:rFonts w:cs="Times New Roman"/>
          <w:sz w:val="22"/>
          <w:szCs w:val="22"/>
          <w:lang w:val="en-GB"/>
        </w:rPr>
        <w:t>Running on a laptop PC with an Intel®️ Core™️ i7-1165G7 processor, using a Monte Carlo sample size (N) of 15, the model and quality control step took 2.1 seconds, including image pre-processing and final estimation of Dice score.</w:t>
      </w:r>
    </w:p>
    <w:p w14:paraId="17B74A95" w14:textId="77777777" w:rsidR="00241DA8" w:rsidRDefault="00241DA8" w:rsidP="00FF2DC9">
      <w:pPr>
        <w:pStyle w:val="BodyText"/>
        <w:rPr>
          <w:rFonts w:cs="Times New Roman"/>
          <w:sz w:val="22"/>
          <w:szCs w:val="22"/>
          <w:lang w:val="en-GB"/>
        </w:rPr>
      </w:pPr>
    </w:p>
    <w:p w14:paraId="1C4E5A00" w14:textId="4D972FE3" w:rsidR="00FB07BC" w:rsidRPr="0063081E" w:rsidRDefault="007F04C0" w:rsidP="00FF2DC9">
      <w:pPr>
        <w:pStyle w:val="BodyText"/>
        <w:rPr>
          <w:rFonts w:cs="Times New Roman"/>
          <w:b/>
          <w:bCs/>
          <w:sz w:val="22"/>
          <w:szCs w:val="22"/>
          <w:lang w:val="en-GB"/>
        </w:rPr>
      </w:pPr>
      <w:bookmarkStart w:id="13" w:name="comparison-of-automated-cmr-quantificati"/>
      <w:r w:rsidRPr="00AC5333">
        <w:rPr>
          <w:rFonts w:cs="Times New Roman"/>
          <w:b/>
          <w:bCs/>
          <w:sz w:val="22"/>
          <w:szCs w:val="22"/>
          <w:lang w:val="en-GB"/>
        </w:rPr>
        <w:t>Correlation of</w:t>
      </w:r>
      <w:r w:rsidR="00FB07BC" w:rsidRPr="00AC5333">
        <w:rPr>
          <w:rFonts w:cs="Times New Roman"/>
          <w:b/>
          <w:bCs/>
          <w:sz w:val="22"/>
          <w:szCs w:val="22"/>
          <w:lang w:val="en-GB"/>
        </w:rPr>
        <w:t xml:space="preserve"> automated CMR </w:t>
      </w:r>
      <w:r w:rsidR="0032599C" w:rsidRPr="00AC5333">
        <w:rPr>
          <w:rFonts w:cs="Times New Roman"/>
          <w:b/>
          <w:bCs/>
          <w:sz w:val="22"/>
          <w:szCs w:val="22"/>
          <w:lang w:val="en-GB"/>
        </w:rPr>
        <w:t xml:space="preserve">PAT </w:t>
      </w:r>
      <w:r w:rsidR="00FB07BC" w:rsidRPr="00AC5333">
        <w:rPr>
          <w:rFonts w:cs="Times New Roman"/>
          <w:b/>
          <w:bCs/>
          <w:sz w:val="22"/>
          <w:szCs w:val="22"/>
          <w:lang w:val="en-GB"/>
        </w:rPr>
        <w:t xml:space="preserve">with </w:t>
      </w:r>
      <w:r w:rsidR="00F01599" w:rsidRPr="00AC5333">
        <w:rPr>
          <w:rFonts w:cs="Times New Roman"/>
          <w:b/>
          <w:bCs/>
          <w:sz w:val="22"/>
          <w:szCs w:val="22"/>
          <w:lang w:val="en-GB"/>
        </w:rPr>
        <w:t>C</w:t>
      </w:r>
      <w:r w:rsidR="00FB07BC" w:rsidRPr="00AC5333">
        <w:rPr>
          <w:rFonts w:cs="Times New Roman"/>
          <w:b/>
          <w:bCs/>
          <w:sz w:val="22"/>
          <w:szCs w:val="22"/>
          <w:lang w:val="en-GB"/>
        </w:rPr>
        <w:t>CT</w:t>
      </w:r>
      <w:bookmarkEnd w:id="13"/>
      <w:r w:rsidR="0032599C" w:rsidRPr="00AC5333">
        <w:rPr>
          <w:rFonts w:cs="Times New Roman"/>
          <w:b/>
          <w:bCs/>
          <w:sz w:val="22"/>
          <w:szCs w:val="22"/>
          <w:lang w:val="en-GB"/>
        </w:rPr>
        <w:t xml:space="preserve"> PAT</w:t>
      </w:r>
      <w:r w:rsidRPr="00AC5333">
        <w:rPr>
          <w:rFonts w:cs="Times New Roman"/>
          <w:b/>
          <w:bCs/>
          <w:sz w:val="22"/>
          <w:szCs w:val="22"/>
          <w:lang w:val="en-GB"/>
        </w:rPr>
        <w:t xml:space="preserve"> quantification</w:t>
      </w:r>
    </w:p>
    <w:p w14:paraId="4887157E" w14:textId="5181D432" w:rsidR="002D7771" w:rsidRDefault="002D7771" w:rsidP="00FF2DC9">
      <w:pPr>
        <w:pStyle w:val="Firstparagraph"/>
        <w:rPr>
          <w:rFonts w:cs="Times New Roman"/>
          <w:sz w:val="22"/>
          <w:szCs w:val="22"/>
          <w:lang w:val="en-GB"/>
        </w:rPr>
      </w:pPr>
      <w:r>
        <w:rPr>
          <w:rFonts w:cs="Times New Roman"/>
          <w:sz w:val="22"/>
          <w:szCs w:val="22"/>
          <w:lang w:val="en-GB"/>
        </w:rPr>
        <w:t>Within the EVINCII dataset, we</w:t>
      </w:r>
      <w:r w:rsidR="0042001A">
        <w:rPr>
          <w:rFonts w:cs="Times New Roman"/>
          <w:sz w:val="22"/>
          <w:szCs w:val="22"/>
          <w:lang w:val="en-GB"/>
        </w:rPr>
        <w:t xml:space="preserve"> tested the correlation of </w:t>
      </w:r>
      <w:r>
        <w:rPr>
          <w:rFonts w:cs="Times New Roman"/>
          <w:sz w:val="22"/>
          <w:szCs w:val="22"/>
          <w:lang w:val="en-GB"/>
        </w:rPr>
        <w:t>CMR PAT measures derived using our automated</w:t>
      </w:r>
      <w:r w:rsidR="00571F05">
        <w:rPr>
          <w:rFonts w:cs="Times New Roman"/>
          <w:sz w:val="22"/>
          <w:szCs w:val="22"/>
          <w:lang w:val="en-GB"/>
        </w:rPr>
        <w:t xml:space="preserve"> analysis</w:t>
      </w:r>
      <w:r>
        <w:rPr>
          <w:rFonts w:cs="Times New Roman"/>
          <w:sz w:val="22"/>
          <w:szCs w:val="22"/>
          <w:lang w:val="en-GB"/>
        </w:rPr>
        <w:t xml:space="preserve"> with</w:t>
      </w:r>
      <w:r w:rsidR="006F3A6C">
        <w:rPr>
          <w:rFonts w:cs="Times New Roman"/>
          <w:sz w:val="22"/>
          <w:szCs w:val="22"/>
          <w:lang w:val="en-GB"/>
        </w:rPr>
        <w:t xml:space="preserve"> </w:t>
      </w:r>
      <w:r>
        <w:rPr>
          <w:rFonts w:cs="Times New Roman"/>
          <w:sz w:val="22"/>
          <w:szCs w:val="22"/>
          <w:lang w:val="en-GB"/>
        </w:rPr>
        <w:t xml:space="preserve">PAT derived using the QFAT tool from paired </w:t>
      </w:r>
      <w:r w:rsidR="00F01599">
        <w:rPr>
          <w:rFonts w:cs="Times New Roman"/>
          <w:sz w:val="22"/>
          <w:szCs w:val="22"/>
          <w:lang w:val="en-GB"/>
        </w:rPr>
        <w:t>C</w:t>
      </w:r>
      <w:r>
        <w:rPr>
          <w:rFonts w:cs="Times New Roman"/>
          <w:sz w:val="22"/>
          <w:szCs w:val="22"/>
          <w:lang w:val="en-GB"/>
        </w:rPr>
        <w:t xml:space="preserve">CT scans. </w:t>
      </w:r>
      <w:r w:rsidR="00010D48">
        <w:rPr>
          <w:rFonts w:cs="Times New Roman"/>
          <w:sz w:val="22"/>
          <w:szCs w:val="22"/>
          <w:lang w:val="en-GB"/>
        </w:rPr>
        <w:t xml:space="preserve">CMR </w:t>
      </w:r>
      <w:r w:rsidR="00571F05">
        <w:rPr>
          <w:rFonts w:cs="Times New Roman"/>
          <w:sz w:val="22"/>
          <w:szCs w:val="22"/>
          <w:lang w:val="en-GB"/>
        </w:rPr>
        <w:t xml:space="preserve">studies </w:t>
      </w:r>
      <w:r w:rsidR="00571F05" w:rsidRPr="00571F05">
        <w:rPr>
          <w:rFonts w:cs="Times New Roman"/>
          <w:sz w:val="22"/>
          <w:szCs w:val="22"/>
          <w:lang w:val="en-GB"/>
        </w:rPr>
        <w:t xml:space="preserve">with </w:t>
      </w:r>
      <w:r w:rsidR="00571F05">
        <w:rPr>
          <w:rFonts w:cs="Times New Roman"/>
          <w:sz w:val="22"/>
          <w:szCs w:val="22"/>
          <w:lang w:val="en-GB"/>
        </w:rPr>
        <w:t xml:space="preserve">poor segmentation </w:t>
      </w:r>
      <w:r w:rsidR="002A3E8B">
        <w:rPr>
          <w:rFonts w:cs="Times New Roman"/>
          <w:sz w:val="22"/>
          <w:szCs w:val="22"/>
          <w:lang w:val="en-GB"/>
        </w:rPr>
        <w:t xml:space="preserve">quality </w:t>
      </w:r>
      <w:r w:rsidR="00571F05">
        <w:rPr>
          <w:rFonts w:cs="Times New Roman"/>
          <w:sz w:val="22"/>
          <w:szCs w:val="22"/>
          <w:lang w:val="en-GB"/>
        </w:rPr>
        <w:t>(</w:t>
      </w:r>
      <w:r w:rsidR="00C65310">
        <w:rPr>
          <w:rFonts w:cs="Times New Roman"/>
          <w:sz w:val="22"/>
          <w:szCs w:val="22"/>
          <w:lang w:val="en-GB"/>
        </w:rPr>
        <w:t xml:space="preserve">predicted </w:t>
      </w:r>
      <w:r w:rsidR="00FB07BC" w:rsidRPr="001900FE">
        <w:rPr>
          <w:rFonts w:cs="Times New Roman"/>
          <w:sz w:val="22"/>
          <w:szCs w:val="22"/>
          <w:lang w:val="en-GB"/>
        </w:rPr>
        <w:t xml:space="preserve">Dice </w:t>
      </w:r>
      <w:r w:rsidR="00571F05">
        <w:rPr>
          <w:rFonts w:cs="Times New Roman"/>
          <w:sz w:val="22"/>
          <w:szCs w:val="22"/>
          <w:lang w:val="en-GB"/>
        </w:rPr>
        <w:t>score &lt;</w:t>
      </w:r>
      <m:oMath>
        <m:r>
          <w:rPr>
            <w:rFonts w:ascii="Cambria Math" w:hAnsi="Cambria Math" w:cs="Times New Roman"/>
            <w:sz w:val="22"/>
            <w:szCs w:val="22"/>
            <w:lang w:val="en-GB"/>
          </w:rPr>
          <m:t>0.6</m:t>
        </m:r>
      </m:oMath>
      <w:r w:rsidR="00571F05">
        <w:rPr>
          <w:rFonts w:cs="Times New Roman"/>
          <w:sz w:val="22"/>
          <w:szCs w:val="22"/>
          <w:lang w:val="en-GB"/>
        </w:rPr>
        <w:t>)</w:t>
      </w:r>
      <w:r w:rsidR="00FB07BC" w:rsidRPr="001900FE">
        <w:rPr>
          <w:rFonts w:cs="Times New Roman"/>
          <w:sz w:val="22"/>
          <w:szCs w:val="22"/>
          <w:lang w:val="en-GB"/>
        </w:rPr>
        <w:t xml:space="preserve"> </w:t>
      </w:r>
      <w:r w:rsidR="00571F05">
        <w:rPr>
          <w:rFonts w:cs="Times New Roman"/>
          <w:sz w:val="22"/>
          <w:szCs w:val="22"/>
          <w:lang w:val="en-GB"/>
        </w:rPr>
        <w:t xml:space="preserve">were </w:t>
      </w:r>
      <w:r w:rsidR="00571F05" w:rsidRPr="008D7118">
        <w:rPr>
          <w:rFonts w:cs="Times New Roman"/>
          <w:sz w:val="22"/>
          <w:szCs w:val="22"/>
          <w:lang w:val="en-GB"/>
        </w:rPr>
        <w:t>excluded from the analysis</w:t>
      </w:r>
      <w:r w:rsidR="006F3A6C" w:rsidRPr="008D7118">
        <w:rPr>
          <w:rFonts w:cs="Times New Roman"/>
          <w:sz w:val="22"/>
          <w:szCs w:val="22"/>
          <w:lang w:val="en-GB"/>
        </w:rPr>
        <w:t xml:space="preserve"> (n=</w:t>
      </w:r>
      <w:r w:rsidR="00A23BA8" w:rsidRPr="008D7118">
        <w:rPr>
          <w:rFonts w:cs="Times New Roman"/>
          <w:sz w:val="22"/>
          <w:szCs w:val="22"/>
          <w:lang w:val="en-GB"/>
        </w:rPr>
        <w:t>6</w:t>
      </w:r>
      <w:r w:rsidR="006F3A6C" w:rsidRPr="008D7118">
        <w:rPr>
          <w:rFonts w:cs="Times New Roman"/>
          <w:sz w:val="22"/>
          <w:szCs w:val="22"/>
          <w:lang w:val="en-GB"/>
        </w:rPr>
        <w:t>)</w:t>
      </w:r>
      <w:r w:rsidR="00FB07BC" w:rsidRPr="008D7118">
        <w:rPr>
          <w:rFonts w:cs="Times New Roman"/>
          <w:sz w:val="22"/>
          <w:szCs w:val="22"/>
          <w:lang w:val="en-GB"/>
        </w:rPr>
        <w:t xml:space="preserve">. </w:t>
      </w:r>
      <w:r w:rsidR="00571F05" w:rsidRPr="008D7118">
        <w:rPr>
          <w:rFonts w:cs="Times New Roman"/>
          <w:sz w:val="22"/>
          <w:szCs w:val="22"/>
          <w:lang w:val="en-GB"/>
        </w:rPr>
        <w:t xml:space="preserve">For illustration, we present </w:t>
      </w:r>
      <w:r w:rsidR="00F01599" w:rsidRPr="008D7118">
        <w:rPr>
          <w:rFonts w:cs="Times New Roman"/>
          <w:sz w:val="22"/>
          <w:szCs w:val="22"/>
          <w:lang w:val="en-GB"/>
        </w:rPr>
        <w:t xml:space="preserve">example </w:t>
      </w:r>
      <w:r w:rsidR="00571F05" w:rsidRPr="008D7118">
        <w:rPr>
          <w:rFonts w:cs="Times New Roman"/>
          <w:sz w:val="22"/>
          <w:szCs w:val="22"/>
          <w:lang w:val="en-GB"/>
        </w:rPr>
        <w:t>segment</w:t>
      </w:r>
      <w:r w:rsidR="00010D48" w:rsidRPr="008D7118">
        <w:rPr>
          <w:rFonts w:cs="Times New Roman"/>
          <w:sz w:val="22"/>
          <w:szCs w:val="22"/>
          <w:lang w:val="en-GB"/>
        </w:rPr>
        <w:t>ation</w:t>
      </w:r>
      <w:r w:rsidR="00F01599" w:rsidRPr="008D7118">
        <w:rPr>
          <w:rFonts w:cs="Times New Roman"/>
          <w:sz w:val="22"/>
          <w:szCs w:val="22"/>
          <w:lang w:val="en-GB"/>
        </w:rPr>
        <w:t>s</w:t>
      </w:r>
      <w:r w:rsidR="00571F05" w:rsidRPr="008D7118">
        <w:rPr>
          <w:rFonts w:cs="Times New Roman"/>
          <w:sz w:val="22"/>
          <w:szCs w:val="22"/>
          <w:lang w:val="en-GB"/>
        </w:rPr>
        <w:t xml:space="preserve"> with a range of Dice scores in </w:t>
      </w:r>
      <w:r w:rsidR="00960383" w:rsidRPr="008D7118">
        <w:rPr>
          <w:rFonts w:cs="Times New Roman"/>
          <w:b/>
          <w:sz w:val="22"/>
          <w:szCs w:val="22"/>
          <w:lang w:val="en-GB"/>
        </w:rPr>
        <w:t xml:space="preserve">Figure </w:t>
      </w:r>
      <w:r w:rsidR="009D17FD" w:rsidRPr="008D7118">
        <w:rPr>
          <w:rFonts w:cs="Times New Roman"/>
          <w:b/>
          <w:sz w:val="22"/>
          <w:szCs w:val="22"/>
          <w:lang w:val="en-GB"/>
        </w:rPr>
        <w:t>3</w:t>
      </w:r>
      <w:r w:rsidR="00571F05" w:rsidRPr="008D7118">
        <w:rPr>
          <w:rFonts w:cs="Times New Roman"/>
          <w:b/>
          <w:bCs/>
          <w:sz w:val="22"/>
          <w:szCs w:val="22"/>
          <w:lang w:val="en-GB"/>
        </w:rPr>
        <w:t>C</w:t>
      </w:r>
      <w:r w:rsidR="00571F05" w:rsidRPr="008D7118">
        <w:rPr>
          <w:rFonts w:cs="Times New Roman"/>
          <w:sz w:val="22"/>
          <w:szCs w:val="22"/>
          <w:lang w:val="en-GB"/>
        </w:rPr>
        <w:t xml:space="preserve">. </w:t>
      </w:r>
      <w:r w:rsidR="00DA0409" w:rsidRPr="008D7118">
        <w:rPr>
          <w:rFonts w:cs="Times New Roman"/>
          <w:sz w:val="22"/>
          <w:szCs w:val="22"/>
          <w:lang w:val="en-GB"/>
        </w:rPr>
        <w:t>T</w:t>
      </w:r>
      <w:r w:rsidR="00FB07BC" w:rsidRPr="008D7118">
        <w:rPr>
          <w:rFonts w:cs="Times New Roman"/>
          <w:sz w:val="22"/>
          <w:szCs w:val="22"/>
          <w:lang w:val="en-GB"/>
        </w:rPr>
        <w:t xml:space="preserve">here </w:t>
      </w:r>
      <w:r w:rsidR="00DA0409" w:rsidRPr="008D7118">
        <w:rPr>
          <w:rFonts w:cs="Times New Roman"/>
          <w:sz w:val="22"/>
          <w:szCs w:val="22"/>
          <w:lang w:val="en-GB"/>
        </w:rPr>
        <w:t>wa</w:t>
      </w:r>
      <w:r w:rsidR="00FB07BC" w:rsidRPr="008D7118">
        <w:rPr>
          <w:rFonts w:cs="Times New Roman"/>
          <w:sz w:val="22"/>
          <w:szCs w:val="22"/>
          <w:lang w:val="en-GB"/>
        </w:rPr>
        <w:t xml:space="preserve">s a strong, statistically significant correlation between </w:t>
      </w:r>
      <w:r w:rsidR="00F01599" w:rsidRPr="008D7118">
        <w:rPr>
          <w:rFonts w:cs="Times New Roman"/>
          <w:sz w:val="22"/>
          <w:szCs w:val="22"/>
          <w:lang w:val="en-GB"/>
        </w:rPr>
        <w:t>CCT PAT</w:t>
      </w:r>
      <w:r w:rsidR="00FB07BC" w:rsidRPr="008D7118">
        <w:rPr>
          <w:rFonts w:cs="Times New Roman"/>
          <w:sz w:val="22"/>
          <w:szCs w:val="22"/>
          <w:lang w:val="en-GB"/>
        </w:rPr>
        <w:t xml:space="preserve"> </w:t>
      </w:r>
      <w:r w:rsidR="00F01599" w:rsidRPr="008D7118">
        <w:rPr>
          <w:rFonts w:cs="Times New Roman"/>
          <w:sz w:val="22"/>
          <w:szCs w:val="22"/>
          <w:lang w:val="en-GB"/>
        </w:rPr>
        <w:t xml:space="preserve">volume </w:t>
      </w:r>
      <w:r w:rsidR="00FB07BC" w:rsidRPr="008D7118">
        <w:rPr>
          <w:rFonts w:cs="Times New Roman"/>
          <w:sz w:val="22"/>
          <w:szCs w:val="22"/>
          <w:lang w:val="en-GB"/>
        </w:rPr>
        <w:t xml:space="preserve">and </w:t>
      </w:r>
      <w:r w:rsidR="00F01599" w:rsidRPr="008D7118">
        <w:rPr>
          <w:rFonts w:cs="Times New Roman"/>
          <w:sz w:val="22"/>
          <w:szCs w:val="22"/>
          <w:lang w:val="en-GB"/>
        </w:rPr>
        <w:t>CMR PAT area</w:t>
      </w:r>
      <w:r w:rsidR="00DA0409" w:rsidRPr="008D7118">
        <w:rPr>
          <w:rFonts w:cs="Times New Roman"/>
          <w:sz w:val="22"/>
          <w:szCs w:val="22"/>
          <w:lang w:val="en-GB"/>
        </w:rPr>
        <w:t xml:space="preserve"> (Pearson r=0.72, p-value 5.3 </w:t>
      </w:r>
      <m:oMath>
        <m:r>
          <w:rPr>
            <w:rFonts w:ascii="Cambria Math" w:hAnsi="Cambria Math" w:cs="Times New Roman"/>
            <w:sz w:val="22"/>
            <w:szCs w:val="22"/>
            <w:lang w:val="en-GB"/>
          </w:rPr>
          <m:t>×</m:t>
        </m:r>
      </m:oMath>
      <w:r w:rsidR="00DA0409" w:rsidRPr="008D7118">
        <w:rPr>
          <w:rFonts w:cs="Times New Roman"/>
          <w:sz w:val="22"/>
          <w:szCs w:val="22"/>
          <w:lang w:val="en-GB"/>
        </w:rPr>
        <w:t xml:space="preserve"> 10</w:t>
      </w:r>
      <w:r w:rsidR="00DA0409" w:rsidRPr="008D7118">
        <w:rPr>
          <w:rFonts w:cs="Times New Roman"/>
          <w:sz w:val="22"/>
          <w:szCs w:val="22"/>
          <w:vertAlign w:val="superscript"/>
          <w:lang w:val="en-GB"/>
        </w:rPr>
        <w:t>-18</w:t>
      </w:r>
      <w:r w:rsidR="00DA0409" w:rsidRPr="008D7118">
        <w:rPr>
          <w:rFonts w:cs="Times New Roman"/>
          <w:sz w:val="22"/>
          <w:szCs w:val="22"/>
          <w:lang w:val="en-GB"/>
        </w:rPr>
        <w:t xml:space="preserve">, </w:t>
      </w:r>
      <w:r w:rsidR="00960383" w:rsidRPr="008D7118">
        <w:rPr>
          <w:rFonts w:cs="Times New Roman"/>
          <w:b/>
          <w:bCs/>
          <w:sz w:val="22"/>
          <w:szCs w:val="22"/>
          <w:lang w:val="en-GB"/>
        </w:rPr>
        <w:t xml:space="preserve">Figure </w:t>
      </w:r>
      <w:r w:rsidR="0045572A" w:rsidRPr="008D7118">
        <w:rPr>
          <w:rFonts w:cs="Times New Roman"/>
          <w:b/>
          <w:bCs/>
          <w:sz w:val="22"/>
          <w:szCs w:val="22"/>
          <w:lang w:val="en-GB"/>
        </w:rPr>
        <w:t>3</w:t>
      </w:r>
      <w:r w:rsidR="00DA0409" w:rsidRPr="008D7118">
        <w:rPr>
          <w:rFonts w:cs="Times New Roman"/>
          <w:b/>
          <w:bCs/>
          <w:sz w:val="22"/>
          <w:szCs w:val="22"/>
          <w:lang w:val="en-GB"/>
        </w:rPr>
        <w:t>B</w:t>
      </w:r>
      <w:r w:rsidR="00DA0409" w:rsidRPr="008D7118">
        <w:rPr>
          <w:rFonts w:cs="Times New Roman"/>
          <w:sz w:val="22"/>
          <w:szCs w:val="22"/>
          <w:lang w:val="en-GB"/>
        </w:rPr>
        <w:t>)</w:t>
      </w:r>
      <w:r w:rsidR="00FB07BC" w:rsidRPr="008D7118">
        <w:rPr>
          <w:rFonts w:cs="Times New Roman"/>
          <w:sz w:val="22"/>
          <w:szCs w:val="22"/>
          <w:lang w:val="en-GB"/>
        </w:rPr>
        <w:t>.</w:t>
      </w:r>
      <w:r w:rsidR="00FB07BC" w:rsidRPr="001900FE">
        <w:rPr>
          <w:rFonts w:cs="Times New Roman"/>
          <w:sz w:val="22"/>
          <w:szCs w:val="22"/>
          <w:lang w:val="en-GB"/>
        </w:rPr>
        <w:t xml:space="preserve"> </w:t>
      </w:r>
      <w:bookmarkStart w:id="14" w:name="application-to-the-uk-biobank-imaging-co"/>
    </w:p>
    <w:p w14:paraId="0595C6D6" w14:textId="77777777" w:rsidR="002D7771" w:rsidRDefault="002D7771" w:rsidP="00FF2DC9">
      <w:pPr>
        <w:pStyle w:val="Firstparagraph"/>
        <w:rPr>
          <w:rFonts w:cs="Times New Roman"/>
          <w:sz w:val="22"/>
          <w:szCs w:val="22"/>
          <w:lang w:val="en-GB"/>
        </w:rPr>
      </w:pPr>
    </w:p>
    <w:p w14:paraId="77F98829" w14:textId="52E8C3C8" w:rsidR="00FB07BC" w:rsidRPr="002D7771" w:rsidRDefault="00FB07BC" w:rsidP="00FF2DC9">
      <w:pPr>
        <w:pStyle w:val="Firstparagraph"/>
        <w:rPr>
          <w:rFonts w:cs="Times New Roman"/>
          <w:b/>
          <w:bCs/>
          <w:sz w:val="22"/>
          <w:szCs w:val="22"/>
          <w:lang w:val="en-GB"/>
        </w:rPr>
      </w:pPr>
      <w:r w:rsidRPr="00B22308">
        <w:rPr>
          <w:rFonts w:cs="Times New Roman"/>
          <w:b/>
          <w:bCs/>
          <w:sz w:val="22"/>
          <w:szCs w:val="22"/>
          <w:lang w:val="en-GB"/>
        </w:rPr>
        <w:t>Application to the UK Biobank imaging cohort</w:t>
      </w:r>
      <w:bookmarkEnd w:id="14"/>
      <w:r w:rsidR="00F01599" w:rsidRPr="00B22308">
        <w:rPr>
          <w:rFonts w:cs="Times New Roman"/>
          <w:b/>
          <w:bCs/>
          <w:sz w:val="22"/>
          <w:szCs w:val="22"/>
          <w:lang w:val="en-GB"/>
        </w:rPr>
        <w:t xml:space="preserve"> and association with diabetes</w:t>
      </w:r>
    </w:p>
    <w:p w14:paraId="317B7CD9" w14:textId="031B63D5" w:rsidR="00F01599" w:rsidRDefault="00FE5EF9" w:rsidP="00FF2DC9">
      <w:pPr>
        <w:pStyle w:val="Firstparagraph"/>
        <w:rPr>
          <w:rFonts w:cs="Times New Roman"/>
          <w:b/>
          <w:bCs/>
          <w:sz w:val="22"/>
          <w:szCs w:val="22"/>
          <w:lang w:val="en-GB"/>
        </w:rPr>
      </w:pPr>
      <w:r>
        <w:rPr>
          <w:rFonts w:cs="Times New Roman"/>
          <w:sz w:val="22"/>
          <w:szCs w:val="22"/>
          <w:lang w:val="en-GB"/>
        </w:rPr>
        <w:t xml:space="preserve">We </w:t>
      </w:r>
      <w:r w:rsidR="008E1326">
        <w:rPr>
          <w:rFonts w:cs="Times New Roman"/>
          <w:sz w:val="22"/>
          <w:szCs w:val="22"/>
          <w:lang w:val="en-GB"/>
        </w:rPr>
        <w:t xml:space="preserve">applied our </w:t>
      </w:r>
      <w:r w:rsidR="00015AD0">
        <w:rPr>
          <w:rFonts w:cs="Times New Roman"/>
          <w:sz w:val="22"/>
          <w:szCs w:val="22"/>
          <w:lang w:val="en-GB"/>
        </w:rPr>
        <w:t>neural network</w:t>
      </w:r>
      <w:r w:rsidR="008E1326">
        <w:rPr>
          <w:rFonts w:cs="Times New Roman"/>
          <w:sz w:val="22"/>
          <w:szCs w:val="22"/>
          <w:lang w:val="en-GB"/>
        </w:rPr>
        <w:t xml:space="preserve"> to CMR scans </w:t>
      </w:r>
      <w:r w:rsidR="00FB07BC" w:rsidRPr="001900FE">
        <w:rPr>
          <w:rFonts w:cs="Times New Roman"/>
          <w:sz w:val="22"/>
          <w:szCs w:val="22"/>
          <w:lang w:val="en-GB"/>
        </w:rPr>
        <w:t>from 45</w:t>
      </w:r>
      <w:r w:rsidR="008E1326">
        <w:rPr>
          <w:rFonts w:cs="Times New Roman"/>
          <w:sz w:val="22"/>
          <w:szCs w:val="22"/>
          <w:lang w:val="en-GB"/>
        </w:rPr>
        <w:t>,</w:t>
      </w:r>
      <w:r w:rsidR="00FB07BC" w:rsidRPr="001900FE">
        <w:rPr>
          <w:rFonts w:cs="Times New Roman"/>
          <w:sz w:val="22"/>
          <w:szCs w:val="22"/>
          <w:lang w:val="en-GB"/>
        </w:rPr>
        <w:t>519 UK</w:t>
      </w:r>
      <w:r w:rsidR="008E1326">
        <w:rPr>
          <w:rFonts w:cs="Times New Roman"/>
          <w:sz w:val="22"/>
          <w:szCs w:val="22"/>
          <w:lang w:val="en-GB"/>
        </w:rPr>
        <w:t xml:space="preserve"> Biobank</w:t>
      </w:r>
      <w:r w:rsidR="00FB07BC" w:rsidRPr="001900FE">
        <w:rPr>
          <w:rFonts w:cs="Times New Roman"/>
          <w:sz w:val="22"/>
          <w:szCs w:val="22"/>
          <w:lang w:val="en-GB"/>
        </w:rPr>
        <w:t xml:space="preserve"> participants</w:t>
      </w:r>
      <w:r w:rsidR="008E1326">
        <w:rPr>
          <w:rFonts w:cs="Times New Roman"/>
          <w:sz w:val="22"/>
          <w:szCs w:val="22"/>
          <w:lang w:val="en-GB"/>
        </w:rPr>
        <w:t>. We excluded cases with</w:t>
      </w:r>
      <w:r w:rsidR="00FB07BC" w:rsidRPr="001900FE">
        <w:rPr>
          <w:rFonts w:cs="Times New Roman"/>
          <w:sz w:val="22"/>
          <w:szCs w:val="22"/>
          <w:lang w:val="en-GB"/>
        </w:rPr>
        <w:t xml:space="preserve"> </w:t>
      </w:r>
      <w:r w:rsidR="00015AD0">
        <w:rPr>
          <w:rFonts w:cs="Times New Roman"/>
          <w:sz w:val="22"/>
          <w:szCs w:val="22"/>
          <w:lang w:val="en-GB"/>
        </w:rPr>
        <w:t xml:space="preserve">a </w:t>
      </w:r>
      <w:r w:rsidR="00FB07BC" w:rsidRPr="001900FE">
        <w:rPr>
          <w:rFonts w:cs="Times New Roman"/>
          <w:sz w:val="22"/>
          <w:szCs w:val="22"/>
          <w:lang w:val="en-GB"/>
        </w:rPr>
        <w:t xml:space="preserve">segmentation Dice score </w:t>
      </w:r>
      <w:r w:rsidR="00C24C6F">
        <w:rPr>
          <w:rFonts w:cs="Times New Roman"/>
          <w:sz w:val="22"/>
          <w:szCs w:val="22"/>
          <w:lang w:val="en-GB"/>
        </w:rPr>
        <w:t xml:space="preserve">of </w:t>
      </w:r>
      <w:r w:rsidR="00FB07BC" w:rsidRPr="001900FE">
        <w:rPr>
          <w:rFonts w:cs="Times New Roman"/>
          <w:sz w:val="22"/>
          <w:szCs w:val="22"/>
          <w:lang w:val="en-GB"/>
        </w:rPr>
        <w:t>&lt;0.6</w:t>
      </w:r>
      <w:r w:rsidR="00C24C6F">
        <w:rPr>
          <w:rFonts w:cs="Times New Roman"/>
          <w:sz w:val="22"/>
          <w:szCs w:val="22"/>
          <w:lang w:val="en-GB"/>
        </w:rPr>
        <w:t xml:space="preserve"> (n=</w:t>
      </w:r>
      <w:r w:rsidR="00FB07BC" w:rsidRPr="001900FE">
        <w:rPr>
          <w:rFonts w:cs="Times New Roman"/>
          <w:sz w:val="22"/>
          <w:szCs w:val="22"/>
          <w:lang w:val="en-GB"/>
        </w:rPr>
        <w:t xml:space="preserve"> 2</w:t>
      </w:r>
      <w:r w:rsidR="008E1326">
        <w:rPr>
          <w:rFonts w:cs="Times New Roman"/>
          <w:sz w:val="22"/>
          <w:szCs w:val="22"/>
          <w:lang w:val="en-GB"/>
        </w:rPr>
        <w:t>,</w:t>
      </w:r>
      <w:r w:rsidR="00FB07BC" w:rsidRPr="001900FE">
        <w:rPr>
          <w:rFonts w:cs="Times New Roman"/>
          <w:sz w:val="22"/>
          <w:szCs w:val="22"/>
          <w:lang w:val="en-GB"/>
        </w:rPr>
        <w:t>591</w:t>
      </w:r>
      <w:r w:rsidR="00C24C6F">
        <w:rPr>
          <w:rFonts w:cs="Times New Roman"/>
          <w:sz w:val="22"/>
          <w:szCs w:val="22"/>
          <w:lang w:val="en-GB"/>
        </w:rPr>
        <w:t xml:space="preserve">, </w:t>
      </w:r>
      <w:r w:rsidR="008E1326">
        <w:rPr>
          <w:rFonts w:cs="Times New Roman"/>
          <w:sz w:val="22"/>
          <w:szCs w:val="22"/>
          <w:lang w:val="en-GB"/>
        </w:rPr>
        <w:t>5.7%)</w:t>
      </w:r>
      <w:r w:rsidR="00015AD0">
        <w:rPr>
          <w:rFonts w:cs="Times New Roman"/>
          <w:sz w:val="22"/>
          <w:szCs w:val="22"/>
          <w:lang w:val="en-GB"/>
        </w:rPr>
        <w:t>.</w:t>
      </w:r>
      <w:r w:rsidR="00C24C6F">
        <w:rPr>
          <w:rFonts w:cs="Times New Roman"/>
          <w:sz w:val="22"/>
          <w:szCs w:val="22"/>
          <w:lang w:val="en-GB"/>
        </w:rPr>
        <w:t xml:space="preserve"> </w:t>
      </w:r>
      <w:r w:rsidR="00015AD0">
        <w:rPr>
          <w:rFonts w:cs="Times New Roman"/>
          <w:sz w:val="22"/>
          <w:szCs w:val="22"/>
          <w:lang w:val="en-GB"/>
        </w:rPr>
        <w:t>T</w:t>
      </w:r>
      <w:r w:rsidR="00C24C6F">
        <w:rPr>
          <w:rFonts w:cs="Times New Roman"/>
          <w:sz w:val="22"/>
          <w:szCs w:val="22"/>
          <w:lang w:val="en-GB"/>
        </w:rPr>
        <w:t xml:space="preserve">he remaining </w:t>
      </w:r>
      <w:r w:rsidR="00FB07BC" w:rsidRPr="001900FE">
        <w:rPr>
          <w:rFonts w:cs="Times New Roman"/>
          <w:sz w:val="22"/>
          <w:szCs w:val="22"/>
          <w:lang w:val="en-GB"/>
        </w:rPr>
        <w:t>42</w:t>
      </w:r>
      <w:r w:rsidR="008E1326">
        <w:rPr>
          <w:rFonts w:cs="Times New Roman"/>
          <w:sz w:val="22"/>
          <w:szCs w:val="22"/>
          <w:lang w:val="en-GB"/>
        </w:rPr>
        <w:t>,</w:t>
      </w:r>
      <w:r w:rsidR="00FB07BC" w:rsidRPr="001900FE">
        <w:rPr>
          <w:rFonts w:cs="Times New Roman"/>
          <w:sz w:val="22"/>
          <w:szCs w:val="22"/>
          <w:lang w:val="en-GB"/>
        </w:rPr>
        <w:t xml:space="preserve">928 participants </w:t>
      </w:r>
      <w:r w:rsidR="00C24C6F">
        <w:rPr>
          <w:rFonts w:cs="Times New Roman"/>
          <w:sz w:val="22"/>
          <w:szCs w:val="22"/>
          <w:lang w:val="en-GB"/>
        </w:rPr>
        <w:t>were included in the analysis</w:t>
      </w:r>
      <w:r w:rsidR="00015AD0">
        <w:rPr>
          <w:rFonts w:cs="Times New Roman"/>
          <w:sz w:val="22"/>
          <w:szCs w:val="22"/>
          <w:lang w:val="en-GB"/>
        </w:rPr>
        <w:t xml:space="preserve">, of these </w:t>
      </w:r>
      <w:r w:rsidR="00015AD0" w:rsidRPr="00015AD0">
        <w:rPr>
          <w:rFonts w:cs="Times New Roman"/>
          <w:iCs/>
          <w:sz w:val="22"/>
          <w:szCs w:val="22"/>
        </w:rPr>
        <w:t>2,529 were diabetic</w:t>
      </w:r>
      <w:r w:rsidR="00C24C6F" w:rsidRPr="00015AD0">
        <w:rPr>
          <w:rFonts w:cs="Times New Roman"/>
          <w:sz w:val="22"/>
          <w:szCs w:val="22"/>
          <w:lang w:val="en-GB"/>
        </w:rPr>
        <w:t>.</w:t>
      </w:r>
      <w:r w:rsidR="00C24C6F">
        <w:rPr>
          <w:rFonts w:cs="Times New Roman"/>
          <w:sz w:val="22"/>
          <w:szCs w:val="22"/>
          <w:lang w:val="en-GB"/>
        </w:rPr>
        <w:t xml:space="preserve"> </w:t>
      </w:r>
      <w:r w:rsidR="00015AD0">
        <w:rPr>
          <w:rFonts w:cs="Times New Roman"/>
          <w:sz w:val="22"/>
          <w:szCs w:val="22"/>
          <w:lang w:val="en-GB"/>
        </w:rPr>
        <w:t>Consistent with existing evidence</w:t>
      </w:r>
      <w:r w:rsidR="00015AD0">
        <w:rPr>
          <w:rFonts w:cs="Times New Roman"/>
          <w:sz w:val="22"/>
          <w:szCs w:val="22"/>
          <w:lang w:val="en-GB"/>
        </w:rPr>
        <w:fldChar w:fldCharType="begin" w:fldLock="1"/>
      </w:r>
      <w:r w:rsidR="002502E9">
        <w:rPr>
          <w:rFonts w:cs="Times New Roman"/>
          <w:sz w:val="22"/>
          <w:szCs w:val="22"/>
          <w:lang w:val="en-GB"/>
        </w:rPr>
        <w:instrText>ADDIN CSL_CITATION {"citationItems":[{"id":"ITEM-1","itemData":{"DOI":"10.1186/s12933-019-0807-3","ISSN":"14752840","PMID":"30630489","abstract":"Background: Epicardial fat tissue (EFT) is the visceral fat distributed along the coronary arteries between the pericardium and the myocardium. Increases in EFT are closely related to the occurrence of diabetes mellitus (DM) and cardiovascular disease. To further understand the link between EFT and DM, we conducted a meta-analysis of the relevant literature. Methods: We systematically searched electronic databases for studies on EFT performed in DM patients and published up to 30 September 2018. We included data on EFT in a DM patient group and a non-DM control group. We then assessed the effect of DM on EFT by meta-analysis and trial sequential analysis (TSA). All statistical analyses were performed using Stata 12.0 and TSA software. Results: A total of 13 studies (n = 1102 patients) were included in the final analysis. Compared with the control group, DM patients had significantly higher EFT (SMD: 1.23; 95% CI 0.98, 1.48; P = 0.000; TSA-adjusted 95% CI 0.91, 2.13; P &lt; 0.0001). The TSA indicated that the available samples were sufficient and confirmed that firm evidence was reached. According to the regression analysis and subgroup analyses, DM typing, EFT ultrasound measurements, total cholesterol (TC) and triglyceride (TG) levels were confounding factors that significantly affected our results. Conclusions: Our meta-analysis suggests that the amount of EFT is significantly higher in DM patients than in non-DM patients.","author":[{"dropping-particle":"","family":"Li","given":"Yingrui","non-dropping-particle":"","parse-names":false,"suffix":""},{"dropping-particle":"","family":"Liu","given":"Bin","non-dropping-particle":"","parse-names":false,"suffix":""},{"dropping-particle":"","family":"Li","given":"Yu","non-dropping-particle":"","parse-names":false,"suffix":""},{"dropping-particle":"","family":"Jing","given":"Xiaodong","non-dropping-particle":"","parse-names":false,"suffix":""},{"dropping-particle":"","family":"Deng","given":"Songbai","non-dropping-particle":"","parse-names":false,"suffix":""},{"dropping-particle":"","family":"Yan","given":"Yulin","non-dropping-particle":"","parse-names":false,"suffix":""},{"dropping-particle":"","family":"She","given":"Qiang","non-dropping-particle":"","parse-names":false,"suffix":""}],"container-title":"Cardiovascular Diabetology","id":"ITEM-1","issued":{"date-parts":[["2019"]]},"title":"Epicardial fat tissue in patients with diabetes mellitus: A systematic review and meta-analysis","type":"article"},"uris":["http://www.mendeley.com/documents/?uuid=35838eaf-d903-455e-93c1-93feb398319a"]}],"mendeley":{"formattedCitation":"(2)","plainTextFormattedCitation":"(2)","previouslyFormattedCitation":"(2)"},"properties":{"noteIndex":0},"schema":"https://github.com/citation-style-language/schema/raw/master/csl-citation.json"}</w:instrText>
      </w:r>
      <w:r w:rsidR="00015AD0">
        <w:rPr>
          <w:rFonts w:cs="Times New Roman"/>
          <w:sz w:val="22"/>
          <w:szCs w:val="22"/>
          <w:lang w:val="en-GB"/>
        </w:rPr>
        <w:fldChar w:fldCharType="separate"/>
      </w:r>
      <w:r w:rsidR="002C3303" w:rsidRPr="002C3303">
        <w:rPr>
          <w:rFonts w:cs="Times New Roman"/>
          <w:noProof/>
          <w:sz w:val="22"/>
          <w:szCs w:val="22"/>
          <w:lang w:val="en-GB"/>
        </w:rPr>
        <w:t>(2)</w:t>
      </w:r>
      <w:r w:rsidR="00015AD0">
        <w:rPr>
          <w:rFonts w:cs="Times New Roman"/>
          <w:sz w:val="22"/>
          <w:szCs w:val="22"/>
          <w:lang w:val="en-GB"/>
        </w:rPr>
        <w:fldChar w:fldCharType="end"/>
      </w:r>
      <w:r w:rsidR="00015AD0">
        <w:rPr>
          <w:rFonts w:cs="Times New Roman"/>
          <w:sz w:val="22"/>
          <w:szCs w:val="22"/>
          <w:lang w:val="en-GB"/>
        </w:rPr>
        <w:t>, l</w:t>
      </w:r>
      <w:r w:rsidR="004A63D4">
        <w:rPr>
          <w:rFonts w:cs="Times New Roman"/>
          <w:sz w:val="22"/>
          <w:szCs w:val="22"/>
          <w:lang w:val="en-GB"/>
        </w:rPr>
        <w:t>arger PAT area was associated with greater risk of diabetes in univariate and multivariable models</w:t>
      </w:r>
      <w:r w:rsidR="00015AD0">
        <w:rPr>
          <w:rFonts w:cs="Times New Roman"/>
          <w:sz w:val="22"/>
          <w:szCs w:val="22"/>
          <w:lang w:val="en-GB"/>
        </w:rPr>
        <w:t xml:space="preserve"> (</w:t>
      </w:r>
      <w:r w:rsidR="00015AD0">
        <w:rPr>
          <w:rFonts w:cs="Times New Roman"/>
          <w:b/>
          <w:bCs/>
          <w:sz w:val="22"/>
          <w:szCs w:val="22"/>
          <w:lang w:val="en-GB"/>
        </w:rPr>
        <w:t>Table 2</w:t>
      </w:r>
      <w:r w:rsidR="00015AD0" w:rsidRPr="00015AD0">
        <w:rPr>
          <w:rFonts w:cs="Times New Roman"/>
          <w:sz w:val="22"/>
          <w:szCs w:val="22"/>
          <w:lang w:val="en-GB"/>
        </w:rPr>
        <w:t>)</w:t>
      </w:r>
      <w:r w:rsidR="004A63D4">
        <w:rPr>
          <w:rFonts w:cs="Times New Roman"/>
          <w:sz w:val="22"/>
          <w:szCs w:val="22"/>
          <w:lang w:val="en-GB"/>
        </w:rPr>
        <w:t>. In fully adjusted models, every 10cm</w:t>
      </w:r>
      <w:r w:rsidR="004A63D4" w:rsidRPr="004A63D4">
        <w:rPr>
          <w:rFonts w:cs="Times New Roman"/>
          <w:sz w:val="22"/>
          <w:szCs w:val="22"/>
          <w:vertAlign w:val="superscript"/>
          <w:lang w:val="en-GB"/>
        </w:rPr>
        <w:t>2</w:t>
      </w:r>
      <w:r w:rsidR="004A63D4">
        <w:rPr>
          <w:rFonts w:cs="Times New Roman"/>
          <w:sz w:val="22"/>
          <w:szCs w:val="22"/>
          <w:lang w:val="en-GB"/>
        </w:rPr>
        <w:t xml:space="preserve"> increase in PAT was associated with approximately 7% greater </w:t>
      </w:r>
      <w:r w:rsidR="008D7118">
        <w:rPr>
          <w:rFonts w:cs="Times New Roman"/>
          <w:sz w:val="22"/>
          <w:szCs w:val="22"/>
          <w:lang w:val="en-GB"/>
        </w:rPr>
        <w:t>likelihood</w:t>
      </w:r>
      <w:r w:rsidR="006F3A6C">
        <w:rPr>
          <w:rFonts w:cs="Times New Roman"/>
          <w:sz w:val="22"/>
          <w:szCs w:val="22"/>
          <w:lang w:val="en-GB"/>
        </w:rPr>
        <w:t xml:space="preserve"> </w:t>
      </w:r>
      <w:r w:rsidR="004A63D4">
        <w:rPr>
          <w:rFonts w:cs="Times New Roman"/>
          <w:sz w:val="22"/>
          <w:szCs w:val="22"/>
          <w:lang w:val="en-GB"/>
        </w:rPr>
        <w:t>of diabetes</w:t>
      </w:r>
      <w:r w:rsidR="00015AD0">
        <w:rPr>
          <w:rFonts w:cs="Times New Roman"/>
          <w:sz w:val="22"/>
          <w:szCs w:val="22"/>
          <w:lang w:val="en-GB"/>
        </w:rPr>
        <w:t xml:space="preserve"> independent</w:t>
      </w:r>
      <w:r w:rsidR="004A63D4">
        <w:rPr>
          <w:rFonts w:cs="Times New Roman"/>
          <w:sz w:val="22"/>
          <w:szCs w:val="22"/>
          <w:lang w:val="en-GB"/>
        </w:rPr>
        <w:t xml:space="preserve"> </w:t>
      </w:r>
      <w:r w:rsidR="00015AD0">
        <w:rPr>
          <w:rFonts w:cs="Times New Roman"/>
          <w:sz w:val="22"/>
          <w:szCs w:val="22"/>
          <w:lang w:val="en-GB"/>
        </w:rPr>
        <w:t>of age, sex, and BMI.</w:t>
      </w:r>
      <w:bookmarkStart w:id="15" w:name="discussion"/>
      <w:r w:rsidR="00F01599">
        <w:rPr>
          <w:rFonts w:cs="Times New Roman"/>
          <w:b/>
          <w:bCs/>
          <w:sz w:val="22"/>
          <w:szCs w:val="22"/>
          <w:lang w:val="en-GB"/>
        </w:rPr>
        <w:br w:type="page"/>
      </w:r>
    </w:p>
    <w:p w14:paraId="1888D499" w14:textId="7787D822" w:rsidR="00015AD0" w:rsidRPr="00015AD0" w:rsidRDefault="00FB07BC" w:rsidP="00FF2DC9">
      <w:pPr>
        <w:pStyle w:val="Firstparagraph"/>
        <w:rPr>
          <w:rFonts w:cs="Times New Roman"/>
          <w:b/>
          <w:bCs/>
          <w:sz w:val="22"/>
          <w:szCs w:val="22"/>
          <w:lang w:val="en-GB"/>
        </w:rPr>
      </w:pPr>
      <w:r w:rsidRPr="00015AD0">
        <w:rPr>
          <w:rFonts w:cs="Times New Roman"/>
          <w:b/>
          <w:bCs/>
          <w:sz w:val="22"/>
          <w:szCs w:val="22"/>
          <w:lang w:val="en-GB"/>
        </w:rPr>
        <w:t>Discussion</w:t>
      </w:r>
      <w:bookmarkStart w:id="16" w:name="summary-of-findings"/>
      <w:bookmarkEnd w:id="15"/>
    </w:p>
    <w:p w14:paraId="7B111619" w14:textId="4F3DFFBD" w:rsidR="00FB07BC" w:rsidRPr="00015AD0" w:rsidRDefault="00FB07BC" w:rsidP="00FF2DC9">
      <w:pPr>
        <w:pStyle w:val="Firstparagraph"/>
        <w:rPr>
          <w:rFonts w:cs="Times New Roman"/>
          <w:b/>
          <w:bCs/>
          <w:sz w:val="22"/>
          <w:szCs w:val="22"/>
          <w:lang w:val="en-GB"/>
        </w:rPr>
      </w:pPr>
      <w:r w:rsidRPr="00015AD0">
        <w:rPr>
          <w:rFonts w:cs="Times New Roman"/>
          <w:b/>
          <w:bCs/>
          <w:sz w:val="22"/>
          <w:szCs w:val="22"/>
          <w:lang w:val="en-GB"/>
        </w:rPr>
        <w:t>Summary of findings</w:t>
      </w:r>
      <w:bookmarkEnd w:id="16"/>
    </w:p>
    <w:p w14:paraId="0A3E36B3" w14:textId="5DC8F2B5" w:rsidR="00ED71FE" w:rsidRDefault="00ED71FE" w:rsidP="00FF2DC9">
      <w:pPr>
        <w:pStyle w:val="Firstparagraph"/>
        <w:rPr>
          <w:rFonts w:cs="Times New Roman"/>
          <w:sz w:val="22"/>
          <w:szCs w:val="22"/>
        </w:rPr>
      </w:pPr>
      <w:r w:rsidRPr="001900FE">
        <w:rPr>
          <w:rFonts w:cs="Times New Roman"/>
          <w:sz w:val="22"/>
          <w:szCs w:val="22"/>
        </w:rPr>
        <w:t>We present a novel method for PAT quantification using standard of care CMR images</w:t>
      </w:r>
      <w:r>
        <w:rPr>
          <w:rFonts w:cs="Times New Roman"/>
          <w:sz w:val="22"/>
          <w:szCs w:val="22"/>
        </w:rPr>
        <w:t xml:space="preserve">, </w:t>
      </w:r>
      <w:r w:rsidRPr="001900FE">
        <w:rPr>
          <w:rFonts w:cs="Times New Roman"/>
          <w:sz w:val="22"/>
          <w:szCs w:val="22"/>
        </w:rPr>
        <w:t>fully automated</w:t>
      </w:r>
      <w:r>
        <w:rPr>
          <w:rFonts w:cs="Times New Roman"/>
          <w:sz w:val="22"/>
          <w:szCs w:val="22"/>
        </w:rPr>
        <w:t xml:space="preserve"> </w:t>
      </w:r>
      <w:r w:rsidRPr="001900FE">
        <w:rPr>
          <w:rFonts w:cs="Times New Roman"/>
          <w:sz w:val="22"/>
          <w:szCs w:val="22"/>
          <w:lang w:val="en-GB"/>
        </w:rPr>
        <w:t>through a convolutional neural network</w:t>
      </w:r>
      <w:r w:rsidRPr="001900FE">
        <w:rPr>
          <w:rFonts w:cs="Times New Roman"/>
          <w:sz w:val="22"/>
          <w:szCs w:val="22"/>
        </w:rPr>
        <w:t xml:space="preserve"> with </w:t>
      </w:r>
      <w:r>
        <w:rPr>
          <w:rFonts w:cs="Times New Roman"/>
          <w:sz w:val="22"/>
          <w:szCs w:val="22"/>
        </w:rPr>
        <w:t xml:space="preserve">an </w:t>
      </w:r>
      <w:r w:rsidRPr="001900FE">
        <w:rPr>
          <w:rFonts w:cs="Times New Roman"/>
          <w:sz w:val="22"/>
          <w:szCs w:val="22"/>
        </w:rPr>
        <w:t xml:space="preserve">in-built QC </w:t>
      </w:r>
      <w:r>
        <w:rPr>
          <w:rFonts w:cs="Times New Roman"/>
          <w:sz w:val="22"/>
          <w:szCs w:val="22"/>
        </w:rPr>
        <w:t>algorithm</w:t>
      </w:r>
      <w:r w:rsidRPr="001900FE">
        <w:rPr>
          <w:rFonts w:cs="Times New Roman"/>
          <w:sz w:val="22"/>
          <w:szCs w:val="22"/>
        </w:rPr>
        <w:t xml:space="preserve">. </w:t>
      </w:r>
      <w:r>
        <w:rPr>
          <w:rFonts w:cs="Times New Roman"/>
          <w:sz w:val="22"/>
          <w:szCs w:val="22"/>
          <w:lang w:val="en-GB"/>
        </w:rPr>
        <w:t xml:space="preserve">The automated segmentation tool </w:t>
      </w:r>
      <w:r w:rsidR="00DC3983">
        <w:rPr>
          <w:rFonts w:cs="Times New Roman"/>
          <w:sz w:val="22"/>
          <w:szCs w:val="22"/>
          <w:lang w:val="en-GB"/>
        </w:rPr>
        <w:t>performed well within the test set, the whole UK</w:t>
      </w:r>
      <w:r w:rsidR="008D7118">
        <w:rPr>
          <w:rFonts w:cs="Times New Roman"/>
          <w:sz w:val="22"/>
          <w:szCs w:val="22"/>
          <w:lang w:val="en-GB"/>
        </w:rPr>
        <w:t xml:space="preserve">B </w:t>
      </w:r>
      <w:r w:rsidR="00DC3983">
        <w:rPr>
          <w:rFonts w:cs="Times New Roman"/>
          <w:sz w:val="22"/>
          <w:szCs w:val="22"/>
          <w:lang w:val="en-GB"/>
        </w:rPr>
        <w:t xml:space="preserve">Imaging cohort, and an external dataset, </w:t>
      </w:r>
      <w:r>
        <w:rPr>
          <w:rFonts w:cs="Times New Roman"/>
          <w:sz w:val="22"/>
          <w:szCs w:val="22"/>
          <w:lang w:val="en-GB"/>
        </w:rPr>
        <w:t>produc</w:t>
      </w:r>
      <w:r w:rsidR="00DC3983">
        <w:rPr>
          <w:rFonts w:cs="Times New Roman"/>
          <w:sz w:val="22"/>
          <w:szCs w:val="22"/>
          <w:lang w:val="en-GB"/>
        </w:rPr>
        <w:t>ing</w:t>
      </w:r>
      <w:r>
        <w:rPr>
          <w:rFonts w:cs="Times New Roman"/>
          <w:sz w:val="22"/>
          <w:szCs w:val="22"/>
          <w:lang w:val="en-GB"/>
        </w:rPr>
        <w:t xml:space="preserve"> segmentation</w:t>
      </w:r>
      <w:r w:rsidRPr="001900FE">
        <w:rPr>
          <w:rFonts w:cs="Times New Roman"/>
          <w:sz w:val="22"/>
          <w:szCs w:val="22"/>
          <w:lang w:val="en-GB"/>
        </w:rPr>
        <w:t xml:space="preserve"> </w:t>
      </w:r>
      <w:r w:rsidR="00A46C9E">
        <w:rPr>
          <w:rFonts w:cs="Times New Roman"/>
          <w:sz w:val="22"/>
          <w:szCs w:val="22"/>
          <w:lang w:val="en-GB"/>
        </w:rPr>
        <w:t xml:space="preserve">agreement </w:t>
      </w:r>
      <w:r w:rsidR="00BF23AA">
        <w:rPr>
          <w:rFonts w:cs="Times New Roman"/>
          <w:sz w:val="22"/>
          <w:szCs w:val="22"/>
          <w:lang w:val="en-GB"/>
        </w:rPr>
        <w:t>close to</w:t>
      </w:r>
      <w:r w:rsidRPr="001900FE">
        <w:rPr>
          <w:rFonts w:cs="Times New Roman"/>
          <w:sz w:val="22"/>
          <w:szCs w:val="22"/>
          <w:lang w:val="en-GB"/>
        </w:rPr>
        <w:t xml:space="preserve"> that of human observer</w:t>
      </w:r>
      <w:r>
        <w:rPr>
          <w:rFonts w:cs="Times New Roman"/>
          <w:sz w:val="22"/>
          <w:szCs w:val="22"/>
          <w:lang w:val="en-GB"/>
        </w:rPr>
        <w:t>s</w:t>
      </w:r>
      <w:r w:rsidR="00DC3983">
        <w:rPr>
          <w:rFonts w:cs="Times New Roman"/>
          <w:sz w:val="22"/>
          <w:szCs w:val="22"/>
          <w:lang w:val="en-GB"/>
        </w:rPr>
        <w:t xml:space="preserve">. </w:t>
      </w:r>
      <w:r w:rsidR="0090138D">
        <w:rPr>
          <w:rFonts w:cs="Times New Roman"/>
          <w:sz w:val="22"/>
          <w:szCs w:val="22"/>
          <w:lang w:val="en-GB"/>
        </w:rPr>
        <w:t xml:space="preserve">Our segmentation method demonstrates validity </w:t>
      </w:r>
      <w:r w:rsidR="00DC3983">
        <w:rPr>
          <w:rFonts w:cs="Times New Roman"/>
          <w:sz w:val="22"/>
          <w:szCs w:val="22"/>
          <w:lang w:val="en-GB"/>
        </w:rPr>
        <w:t xml:space="preserve">against CCT PAT </w:t>
      </w:r>
      <w:r w:rsidR="0090138D">
        <w:rPr>
          <w:rFonts w:cs="Times New Roman"/>
          <w:sz w:val="22"/>
          <w:szCs w:val="22"/>
          <w:lang w:val="en-GB"/>
        </w:rPr>
        <w:t xml:space="preserve">quantification, with </w:t>
      </w:r>
      <w:r w:rsidR="008D7118">
        <w:rPr>
          <w:rFonts w:cs="Times New Roman"/>
          <w:sz w:val="22"/>
          <w:szCs w:val="22"/>
          <w:lang w:val="en-GB"/>
        </w:rPr>
        <w:t xml:space="preserve">a </w:t>
      </w:r>
      <w:r>
        <w:rPr>
          <w:rFonts w:cs="Times New Roman"/>
          <w:sz w:val="22"/>
          <w:szCs w:val="22"/>
          <w:lang w:val="en-GB"/>
        </w:rPr>
        <w:t xml:space="preserve">strong statistically significant correlation between </w:t>
      </w:r>
      <w:r w:rsidR="0090138D">
        <w:rPr>
          <w:rFonts w:cs="Times New Roman"/>
          <w:sz w:val="22"/>
          <w:szCs w:val="22"/>
          <w:lang w:val="en-GB"/>
        </w:rPr>
        <w:t>paired CMR and CCT PAT measurements</w:t>
      </w:r>
      <w:r w:rsidR="00DC3983">
        <w:rPr>
          <w:rFonts w:cs="Times New Roman"/>
          <w:sz w:val="22"/>
          <w:szCs w:val="22"/>
          <w:lang w:val="en-GB"/>
        </w:rPr>
        <w:t>. F</w:t>
      </w:r>
      <w:r w:rsidR="0090138D">
        <w:rPr>
          <w:rFonts w:cs="Times New Roman"/>
          <w:sz w:val="22"/>
          <w:szCs w:val="22"/>
          <w:lang w:val="en-GB"/>
        </w:rPr>
        <w:t>urthermore</w:t>
      </w:r>
      <w:r w:rsidR="00DC3983">
        <w:rPr>
          <w:rFonts w:cs="Times New Roman"/>
          <w:sz w:val="22"/>
          <w:szCs w:val="22"/>
          <w:lang w:val="en-GB"/>
        </w:rPr>
        <w:t>, we demonstrate</w:t>
      </w:r>
      <w:r w:rsidR="0090138D">
        <w:rPr>
          <w:rFonts w:cs="Times New Roman"/>
          <w:sz w:val="22"/>
          <w:szCs w:val="22"/>
          <w:lang w:val="en-GB"/>
        </w:rPr>
        <w:t>, within the UK Biobank,</w:t>
      </w:r>
      <w:r w:rsidR="00DC3983">
        <w:rPr>
          <w:rFonts w:cs="Times New Roman"/>
          <w:sz w:val="22"/>
          <w:szCs w:val="22"/>
          <w:lang w:val="en-GB"/>
        </w:rPr>
        <w:t xml:space="preserve"> expected clinical association of CMR PAT with diabetes </w:t>
      </w:r>
      <w:r w:rsidR="00DC3983" w:rsidRPr="001900FE">
        <w:rPr>
          <w:rFonts w:cs="Times New Roman"/>
          <w:sz w:val="22"/>
          <w:szCs w:val="22"/>
          <w:lang w:val="en-GB"/>
        </w:rPr>
        <w:t>independent of age, sex, and BMI</w:t>
      </w:r>
      <w:r w:rsidR="00DC3983">
        <w:rPr>
          <w:rFonts w:cs="Times New Roman"/>
          <w:sz w:val="22"/>
          <w:szCs w:val="22"/>
          <w:lang w:val="en-GB"/>
        </w:rPr>
        <w:t>.</w:t>
      </w:r>
      <w:r w:rsidR="0090138D">
        <w:rPr>
          <w:rFonts w:cs="Times New Roman"/>
          <w:sz w:val="22"/>
          <w:szCs w:val="22"/>
          <w:lang w:val="en-GB"/>
        </w:rPr>
        <w:t xml:space="preserve"> Thus, </w:t>
      </w:r>
      <w:r w:rsidR="0090138D">
        <w:rPr>
          <w:rFonts w:cs="Times New Roman"/>
          <w:sz w:val="22"/>
          <w:szCs w:val="22"/>
        </w:rPr>
        <w:t>t</w:t>
      </w:r>
      <w:r w:rsidR="0090138D" w:rsidRPr="00F139A6">
        <w:rPr>
          <w:rFonts w:cs="Times New Roman"/>
          <w:sz w:val="22"/>
          <w:szCs w:val="22"/>
        </w:rPr>
        <w:t xml:space="preserve">he proposed </w:t>
      </w:r>
      <w:r w:rsidR="0090138D">
        <w:rPr>
          <w:rFonts w:cs="Times New Roman"/>
          <w:sz w:val="22"/>
          <w:szCs w:val="22"/>
        </w:rPr>
        <w:t xml:space="preserve">CMR PAT </w:t>
      </w:r>
      <w:r w:rsidR="0090138D" w:rsidRPr="00F139A6">
        <w:rPr>
          <w:rFonts w:cs="Times New Roman"/>
          <w:sz w:val="22"/>
          <w:szCs w:val="22"/>
        </w:rPr>
        <w:t xml:space="preserve">method </w:t>
      </w:r>
      <w:r w:rsidR="0090138D">
        <w:rPr>
          <w:rFonts w:cs="Times New Roman"/>
          <w:sz w:val="22"/>
          <w:szCs w:val="22"/>
        </w:rPr>
        <w:t xml:space="preserve">has great potential in </w:t>
      </w:r>
      <w:r w:rsidR="0090138D" w:rsidRPr="00F139A6">
        <w:rPr>
          <w:rFonts w:cs="Times New Roman"/>
          <w:sz w:val="22"/>
          <w:szCs w:val="22"/>
        </w:rPr>
        <w:t>facilitat</w:t>
      </w:r>
      <w:r w:rsidR="00A46C9E">
        <w:rPr>
          <w:rFonts w:cs="Times New Roman"/>
          <w:sz w:val="22"/>
          <w:szCs w:val="22"/>
        </w:rPr>
        <w:t>ing</w:t>
      </w:r>
      <w:r w:rsidR="0090138D" w:rsidRPr="00F139A6">
        <w:rPr>
          <w:rFonts w:cs="Times New Roman"/>
          <w:sz w:val="22"/>
          <w:szCs w:val="22"/>
        </w:rPr>
        <w:t xml:space="preserve"> investigation of the clinical significance of PAT in large </w:t>
      </w:r>
      <w:r w:rsidR="0090138D">
        <w:rPr>
          <w:rFonts w:cs="Times New Roman"/>
          <w:sz w:val="22"/>
          <w:szCs w:val="22"/>
        </w:rPr>
        <w:t xml:space="preserve">population </w:t>
      </w:r>
      <w:r w:rsidR="0090138D" w:rsidRPr="00F139A6">
        <w:rPr>
          <w:rFonts w:cs="Times New Roman"/>
          <w:sz w:val="22"/>
          <w:szCs w:val="22"/>
        </w:rPr>
        <w:t>cohorts.</w:t>
      </w:r>
    </w:p>
    <w:p w14:paraId="1789EA81" w14:textId="77777777" w:rsidR="00015AD0" w:rsidRDefault="00015AD0" w:rsidP="00FF2DC9">
      <w:pPr>
        <w:pStyle w:val="Firstparagraph"/>
        <w:rPr>
          <w:rFonts w:cs="Times New Roman"/>
          <w:sz w:val="22"/>
          <w:szCs w:val="22"/>
          <w:lang w:val="en-GB"/>
        </w:rPr>
      </w:pPr>
      <w:bookmarkStart w:id="17" w:name="comparison-with-existing-work"/>
    </w:p>
    <w:p w14:paraId="0E368DE7" w14:textId="46700D7A" w:rsidR="008C2ADD" w:rsidRPr="00FF68B6" w:rsidRDefault="00FB07BC" w:rsidP="00FF2DC9">
      <w:pPr>
        <w:pStyle w:val="Firstparagraph"/>
        <w:rPr>
          <w:rFonts w:cs="Times New Roman"/>
          <w:b/>
          <w:bCs/>
          <w:sz w:val="22"/>
          <w:szCs w:val="22"/>
          <w:lang w:val="en-GB"/>
        </w:rPr>
      </w:pPr>
      <w:r w:rsidRPr="00015AD0">
        <w:rPr>
          <w:rFonts w:cs="Times New Roman"/>
          <w:b/>
          <w:bCs/>
          <w:sz w:val="22"/>
          <w:szCs w:val="22"/>
          <w:lang w:val="en-GB"/>
        </w:rPr>
        <w:t>Comparison with existing work</w:t>
      </w:r>
      <w:bookmarkEnd w:id="17"/>
    </w:p>
    <w:p w14:paraId="678255F8" w14:textId="4E21301A" w:rsidR="00E27CC4" w:rsidRDefault="00E27CC4" w:rsidP="00FF2DC9">
      <w:pPr>
        <w:pStyle w:val="BodyText"/>
        <w:rPr>
          <w:rFonts w:cs="Times New Roman"/>
          <w:sz w:val="22"/>
          <w:szCs w:val="22"/>
          <w:lang w:val="en-GB"/>
        </w:rPr>
      </w:pPr>
      <w:r>
        <w:rPr>
          <w:rFonts w:cs="Times New Roman"/>
          <w:sz w:val="22"/>
          <w:szCs w:val="22"/>
          <w:lang w:val="en-GB"/>
        </w:rPr>
        <w:t xml:space="preserve">Limited studies have attempted to quantify and study the clinical associations of </w:t>
      </w:r>
      <w:r w:rsidR="00B06B76">
        <w:rPr>
          <w:rFonts w:cs="Times New Roman"/>
          <w:sz w:val="22"/>
          <w:szCs w:val="22"/>
          <w:lang w:val="en-GB"/>
        </w:rPr>
        <w:t xml:space="preserve">CMR </w:t>
      </w:r>
      <w:r>
        <w:rPr>
          <w:rFonts w:cs="Times New Roman"/>
          <w:sz w:val="22"/>
          <w:szCs w:val="22"/>
          <w:lang w:val="en-GB"/>
        </w:rPr>
        <w:t>PAT. In a study from 1992, Ross et al.</w:t>
      </w:r>
      <w:r>
        <w:rPr>
          <w:rFonts w:cs="Times New Roman"/>
          <w:sz w:val="22"/>
          <w:szCs w:val="22"/>
          <w:lang w:val="en-GB"/>
        </w:rPr>
        <w:fldChar w:fldCharType="begin" w:fldLock="1"/>
      </w:r>
      <w:r w:rsidR="00D441C9">
        <w:rPr>
          <w:rFonts w:cs="Times New Roman"/>
          <w:sz w:val="22"/>
          <w:szCs w:val="22"/>
          <w:lang w:val="en-GB"/>
        </w:rPr>
        <w:instrText>ADDIN CSL_CITATION {"citationItems":[{"id":"ITEM-1","itemData":{"DOI":"10.1152/jappl.1992.72.2.787","ISSN":"01617567","PMID":"1559959","abstract":"This study had two objectives: 1) to establish magnetic resonance imaging (MRI) as a tool for measuring total and regional adipose tissue (AT) distribution in humans and 2) to assess the relationship between selected anthropometric variables and MRI-measured AT. Twenty-seven healthy men varying in age [40.8 ± 14.5 (SD) yr], body mass index (28.5 ± 4.8), and waist-to-hip ratio (WHR, 0.96 ± 0.07) participated in the study. Total AT volume was determined using a linear interpolation of AT areas obtained on consecutive slices (n = 41) taken from head to toe (10-mm thickness, 50-mm centers). The mean change for repeated measures of total AT volume was 2.9% (range 0.9-4.3%). Large interindividual differences were observed for total AT volume (6.9-59.3 liters), subcutaneous AT (6.3-49.8 liters), and visceral AT (0.5-8.5 liters). Visceral AT represented 18.3% of the total AT. The single best predictor of total adiposity was waist circumference (R2 = 0.92). For visceral AT volume, WHR was the strongest anthropometric correlate (r = 0.85, P &lt; 0.01). When controlled for age and adiposity, however, WHR explained only 12% of the variation in absolute visceral AT and &lt;1% of the variation in visceral-to-subcutaneous ratio. Age was a better predictor of visceral-to-subcutaneous ratio than level of adiposity or WHR. The results of this study demonstrate that MRI offers a reliable measure of regional and total AT distribution in humans and, thus, is of value as a research tool.","author":[{"dropping-particle":"","family":"Ross","given":"R.","non-dropping-particle":"","parse-names":false,"suffix":""},{"dropping-particle":"","family":"Leger","given":"L.","non-dropping-particle":"","parse-names":false,"suffix":""},{"dropping-particle":"","family":"Morris","given":"D.","non-dropping-particle":"","parse-names":false,"suffix":""},{"dropping-particle":"","family":"Guise","given":"J.","non-dropping-particle":"De","parse-names":false,"suffix":""},{"dropping-particle":"","family":"Guardo","given":"R.","non-dropping-particle":"","parse-names":false,"suffix":""}],"container-title":"Journal of Applied Physiology","id":"ITEM-1","issue":"2","issued":{"date-parts":[["1992"]]},"page":"787-795","title":"Quantification of adipose tissue by MRI: Relationship with anthropometric variables","type":"article-journal","volume":"72"},"uris":["http://www.mendeley.com/documents/?uuid=651aca19-3557-438e-a221-d23341b3977c"]}],"mendeley":{"formattedCitation":"(29)","plainTextFormattedCitation":"(29)","previouslyFormattedCitation":"(30)"},"properties":{"noteIndex":0},"schema":"https://github.com/citation-style-language/schema/raw/master/csl-citation.json"}</w:instrText>
      </w:r>
      <w:r>
        <w:rPr>
          <w:rFonts w:cs="Times New Roman"/>
          <w:sz w:val="22"/>
          <w:szCs w:val="22"/>
          <w:lang w:val="en-GB"/>
        </w:rPr>
        <w:fldChar w:fldCharType="separate"/>
      </w:r>
      <w:r w:rsidR="00D441C9" w:rsidRPr="00D441C9">
        <w:rPr>
          <w:rFonts w:cs="Times New Roman"/>
          <w:noProof/>
          <w:sz w:val="22"/>
          <w:szCs w:val="22"/>
          <w:lang w:val="en-GB"/>
        </w:rPr>
        <w:t>(29)</w:t>
      </w:r>
      <w:r>
        <w:rPr>
          <w:rFonts w:cs="Times New Roman"/>
          <w:sz w:val="22"/>
          <w:szCs w:val="22"/>
          <w:lang w:val="en-GB"/>
        </w:rPr>
        <w:fldChar w:fldCharType="end"/>
      </w:r>
      <w:r>
        <w:rPr>
          <w:rFonts w:cs="Times New Roman"/>
          <w:sz w:val="22"/>
          <w:szCs w:val="22"/>
          <w:lang w:val="en-GB"/>
        </w:rPr>
        <w:t xml:space="preserve"> proposed a method for quantification of abdominal and subcutaneous fat on spin echo T1-weighted magnetic resonance imaging (MRI) sequences. They propose a signal intensity threshold for defining adipose tissue pixels,</w:t>
      </w:r>
      <w:r w:rsidR="00CB1CF0">
        <w:rPr>
          <w:rFonts w:cs="Times New Roman"/>
          <w:sz w:val="22"/>
          <w:szCs w:val="22"/>
          <w:lang w:val="en-GB"/>
        </w:rPr>
        <w:t xml:space="preserve"> </w:t>
      </w:r>
      <w:r>
        <w:rPr>
          <w:rFonts w:cs="Times New Roman"/>
          <w:sz w:val="22"/>
          <w:szCs w:val="22"/>
          <w:lang w:val="en-GB"/>
        </w:rPr>
        <w:t>the area of adipose tissue regions w</w:t>
      </w:r>
      <w:r w:rsidR="00787AED">
        <w:rPr>
          <w:rFonts w:cs="Times New Roman"/>
          <w:sz w:val="22"/>
          <w:szCs w:val="22"/>
          <w:lang w:val="en-GB"/>
        </w:rPr>
        <w:t>as</w:t>
      </w:r>
      <w:r>
        <w:rPr>
          <w:rFonts w:cs="Times New Roman"/>
          <w:sz w:val="22"/>
          <w:szCs w:val="22"/>
          <w:lang w:val="en-GB"/>
        </w:rPr>
        <w:t xml:space="preserve"> then calculated by summing adipose tissue pixels and multiplying by the pixel surface area, this area was then multiplied by slice thickness to derive the volume of the adipose tissue. Unsupervised approaches for quantification of abdominal fat using this method have been developed using small datasets </w:t>
      </w:r>
      <w:r>
        <w:rPr>
          <w:rFonts w:cs="Times New Roman"/>
          <w:sz w:val="22"/>
          <w:szCs w:val="22"/>
          <w:lang w:val="en-GB"/>
        </w:rPr>
        <w:fldChar w:fldCharType="begin" w:fldLock="1"/>
      </w:r>
      <w:r w:rsidR="00D441C9">
        <w:rPr>
          <w:rFonts w:cs="Times New Roman"/>
          <w:sz w:val="22"/>
          <w:szCs w:val="22"/>
          <w:lang w:val="en-GB"/>
        </w:rPr>
        <w:instrText>ADDIN CSL_CITATION {"citationItems":[{"id":"ITEM-1","itemData":{"DOI":"10.1002/jmri.20167","ISSN":"10531807","PMID":"15390229","abstract":"Purpose: To describe and evaluate an automatic and unsupervised method for assessing the quantity and distribution of abdominal adipose tissue by MRI. Material and Methods: A total of 20 patients underwent whole-abdomen MRI. A total of 32 transverse T1-weighted images were acquired from each subject. The data collected were transferred to a dedicated workstation and analyzed by both our unsupervised method and a manual procedure. The proposed methodology allows the automatic processing of MRI axial images, segmenting the adipose tissue by fuzzy clustering approach. The use of an active contour algorithm on image masks provided by the fuzzy clustering algorithm allows the separation of subcutaneous fat from visceral fat. Finally, an automated procedure based on automatic image histogram analysis identifies the visceral fat. Results: The accuracy, reproducibility, and speed of our automatic method were compared with the state-of-the-art manual approach. The unsupervised analysis correlated well with the manual analysis, and was significantly faster than manual tracing. Moreover, the unsupervised method was not affected by intraobserver and interobserver variability. Conclusion: The results obtained demonstrate that the proposed method can provide the volume of subcutaneous adipose tissue, visceral adipose tissue, global adipose tissue, and the ratio between subcutaneous and visceral fat in an unsupervised and effective manner.","author":[{"dropping-particle":"","family":"Positano","given":"Vincenzo","non-dropping-particle":"","parse-names":false,"suffix":""},{"dropping-particle":"","family":"Gastaldelli","given":"Amalia","non-dropping-particle":"","parse-names":false,"suffix":""},{"dropping-particle":"","family":"Sironi","given":"Anna Maria","non-dropping-particle":"","parse-names":false,"suffix":""},{"dropping-particle":"","family":"Santarelli","given":"Maria Filomena","non-dropping-particle":"","parse-names":false,"suffix":""},{"dropping-particle":"","family":"Lombardi","given":"Massimo","non-dropping-particle":"","parse-names":false,"suffix":""},{"dropping-particle":"","family":"Landini","given":"Luigi","non-dropping-particle":"","parse-names":false,"suffix":""}],"container-title":"Journal of Magnetic Resonance Imaging","id":"ITEM-1","issue":"4","issued":{"date-parts":[["2004"]]},"page":"684-689","title":"An accurate and robust method for unsupervised assessment of abdominal fat by MRI","type":"article-journal","volume":"20"},"uris":["http://www.mendeley.com/documents/?uuid=44d5acb6-7d4c-4b07-9f9e-3d2fe3efddb8"]}],"mendeley":{"formattedCitation":"(30)","plainTextFormattedCitation":"(30)","previouslyFormattedCitation":"(31)"},"properties":{"noteIndex":0},"schema":"https://github.com/citation-style-language/schema/raw/master/csl-citation.json"}</w:instrText>
      </w:r>
      <w:r>
        <w:rPr>
          <w:rFonts w:cs="Times New Roman"/>
          <w:sz w:val="22"/>
          <w:szCs w:val="22"/>
          <w:lang w:val="en-GB"/>
        </w:rPr>
        <w:fldChar w:fldCharType="separate"/>
      </w:r>
      <w:r w:rsidR="00D441C9" w:rsidRPr="00D441C9">
        <w:rPr>
          <w:rFonts w:cs="Times New Roman"/>
          <w:noProof/>
          <w:sz w:val="22"/>
          <w:szCs w:val="22"/>
          <w:lang w:val="en-GB"/>
        </w:rPr>
        <w:t>(30)</w:t>
      </w:r>
      <w:r>
        <w:rPr>
          <w:rFonts w:cs="Times New Roman"/>
          <w:sz w:val="22"/>
          <w:szCs w:val="22"/>
          <w:lang w:val="en-GB"/>
        </w:rPr>
        <w:fldChar w:fldCharType="end"/>
      </w:r>
      <w:r>
        <w:rPr>
          <w:rFonts w:cs="Times New Roman"/>
          <w:sz w:val="22"/>
          <w:szCs w:val="22"/>
          <w:lang w:val="en-GB"/>
        </w:rPr>
        <w:t xml:space="preserve">. More recently, these principles have been repurposed to derive CMR measures of thoracic fat using spin echo T1-weighted CMR acquisitions with zero slice gap and to investigate clinical associations in small cohorts </w:t>
      </w:r>
      <w:r>
        <w:rPr>
          <w:rFonts w:cs="Times New Roman"/>
          <w:sz w:val="22"/>
          <w:szCs w:val="22"/>
          <w:lang w:val="en-GB"/>
        </w:rPr>
        <w:fldChar w:fldCharType="begin" w:fldLock="1"/>
      </w:r>
      <w:r w:rsidR="00D441C9">
        <w:rPr>
          <w:rFonts w:cs="Times New Roman"/>
          <w:sz w:val="22"/>
          <w:szCs w:val="22"/>
          <w:lang w:val="en-GB"/>
        </w:rPr>
        <w:instrText>ADDIN CSL_CITATION {"citationItems":[{"id":"ITEM-1","itemData":{"DOI":"10.1016/j.echo.2011.06.013","ISSN":"08947317","PMID":"21795020","abstract":"Background: Several studies using echocardiography identified epicardial adipose tissue (EPI) as an important cardiometabolic risk marker. However, validation compared with magnetic resonance imaging (MRI) or computed tomography has not been performed. Moreover, pericardial adipose tissue (PERI) has recently been shown to have some correlation with cardiovascular disease risk factors. The aims of this study were to validate echocardiographic analyses compared with MRI and to evaluate which cardiac fat depot (EPI or PERI) is the most appropriate cardiovascular risk marker. Methods: Forty-nine healthy subjects were studied (age range, 25-68 years; body mass index, 21-40 kg/m 2), and PERI and EPI fat depots were measured using echocardiography and MRI. Findings were correlated with MRI visceral fat and subcutaneous fat, blood pressure, insulin sensitivity, triglycerides, cholesterol, insulin, glucose, and 10-year coronary heart disease risk. Results: Most cardiac fat was constituted by PERI (about 77%). PERI thickness by echocardiography was well correlated with MRI area (r = 0.36, P =.009), and independently of the technique used for quantification, PERI was correlated with body mass index, waist circumference, visceral fat, subcutaneous fat, blood pressure, insulin sensitivity, triglycerides, cholesterol, glucose, and coronary heart disease risk. On the contrary, EPI thicknesses correlated only with age did not correlate significantly with MRI EPI areas, which were found to correlate with age, body mass index, subcutaneous fat, and hip and waist circumferences. Conclusions: Increased cardiac fat in the pericardial area is strongly associated with features of the metabolic syndrome, whereas no correlation was found with EPI, indicating that in clinical practice, PERI is a better cardiometabolic risk marker than EPI. Copyright 2011 by the American Society of Echocardiography.","author":[{"dropping-particle":"","family":"Sicari","given":"Rosa","non-dropping-particle":"","parse-names":false,"suffix":""},{"dropping-particle":"","family":"Sironi","given":"Anna Maria","non-dropping-particle":"","parse-names":false,"suffix":""},{"dropping-particle":"","family":"Petz","given":"Roberta","non-dropping-particle":"","parse-names":false,"suffix":""},{"dropping-particle":"","family":"Frassi","given":"Francesca","non-dropping-particle":"","parse-names":false,"suffix":""},{"dropping-particle":"","family":"Chubuchny","given":"Vladislav","non-dropping-particle":"","parse-names":false,"suffix":""},{"dropping-particle":"","family":"Marchi","given":"Daniele","non-dropping-particle":"De","parse-names":false,"suffix":""},{"dropping-particle":"","family":"Positano","given":"Vincenzo","non-dropping-particle":"","parse-names":false,"suffix":""},{"dropping-particle":"","family":"Lombardi","given":"Massimo","non-dropping-particle":"","parse-names":false,"suffix":""},{"dropping-particle":"","family":"Picano","given":"Eugenio","non-dropping-particle":"","parse-names":false,"suffix":""},{"dropping-particle":"","family":"Gastaldelli","given":"Amalia","non-dropping-particle":"","parse-names":false,"suffix":""}],"container-title":"Journal of the American Society of Echocardiography","id":"ITEM-1","issue":"10","issued":{"date-parts":[["2011"]]},"page":"1156-1162","publisher":"Elsevier Inc","title":"Pericardial rather than epicardial fat is a cardiometabolic risk marker: An MRI vs echo study","type":"article-journal","volume":"24"},"uris":["http://www.mendeley.com/documents/?uuid=fb655521-8e83-4dc6-af2a-d9d53ed9d184"]},{"id":"ITEM-2","itemData":{"DOI":"10.1161/01.HYP.0000137982.10191.0a","ISSN":"0194911X","PMID":"15262911","abstract":"Preferential visceral adipose tissue (VAT) deposition has been associated with the presence of insulin resistance in obese and diabetic subjects. The independent association of VAT accumulation with hypertension and its impact on insulin sensitivity and β-cell function have not been assessed. We measured VAT and subcutaneous fat depots by multiscan MRI in 13 nondiabetic men with newly detected, untreated essential hypertension (blood pressure=151±2/ 94±2 mm Hg, age=47±2 years, body mass index [BMI]=28.4±0.7 kg · m-2) and 26 age-matched and BMI-matched normotensive men (blood pressure=123±1/69±2 mm Hg). Insulin secretion was measured by deconvolution of C-peptide data obtained during an oral glucose tolerance test, and dynamic indices of β-cell function were calculated by mathematical modeling. For a similar fat mass in the scanned abdominal region (4.8±0.3 versus 3.9±0.3 kg, hypertensive subjects versus controls, P=0.06), hypertensive subjects had 60% more VAT than controls (1.6±0.2 versus 1.0±0.1 kg, P=0.003). Intrathoracic fat also was expanded in patients versus controls (45±5 versus 28±3 cm2, P=0.005). Insulin sensitivity was reduced (10.7±0.7 versus 12.9±0.4 mL · min-1 · kgffm-1, P=0.006), and total insulin output was proportionally increased (64 [21] versus 45 [24] nmol · m-2 · h, median [interquartile range], P=0.01), but dynamic indices of β-cell function (glucose sensitivity, rate sensitivity, and potentiation) were similar in the 2 groups. Abdominal VAT, insulin resistance, and blood pressure were quantitatively interrelated (ρ's of 0.39 to 0.47, P&lt;0.02 or less). In newly found, untreated men with essential hypertension, fat is preferentially accumulated intraabdominally and intrathoracically. Such visceral adiposity is quantitatively related to both height of blood pressure and severity of insulin resistance, but has no impact on the dynamics of β-cell function.","author":[{"dropping-particle":"","family":"Sironi","given":"Anna Maria","non-dropping-particle":"","parse-names":false,"suffix":""},{"dropping-particle":"","family":"Gastaldelli","given":"Amalia","non-dropping-particle":"","parse-names":false,"suffix":""},{"dropping-particle":"","family":"Mari","given":"Andrea","non-dropping-particle":"","parse-names":false,"suffix":""},{"dropping-particle":"","family":"Ciociaro","given":"Demetrio","non-dropping-particle":"","parse-names":false,"suffix":""},{"dropping-particle":"","family":"Positano","given":"Vincenzo","non-dropping-particle":"","parse-names":false,"suffix":""},{"dropping-particle":"","family":"Buzzigoli","given":"Emma","non-dropping-particle":"","parse-names":false,"suffix":""},{"dropping-particle":"","family":"Ghione","given":"Sergio","non-dropping-particle":"","parse-names":false,"suffix":""},{"dropping-particle":"","family":"Turchi","given":"Stefano","non-dropping-particle":"","parse-names":false,"suffix":""},{"dropping-particle":"","family":"Lombardi","given":"Massimo","non-dropping-particle":"","parse-names":false,"suffix":""},{"dropping-particle":"","family":"Ferrannini","given":"Ele","non-dropping-particle":"","parse-names":false,"suffix":""}],"container-title":"Hypertension","id":"ITEM-2","issue":"2","issued":{"date-parts":[["2004"]]},"page":"127-133","title":"Visceral fat in hypertension: Influence on insulin resistance and β-cell function","type":"article-journal","volume":"44"},"uris":["http://www.mendeley.com/documents/?uuid=1d100579-8951-4592-a170-54627c8d406b"]},{"id":"ITEM-3","itemData":{"DOI":"10.1111/j.1464-5491.2011.03503.x","ISSN":"07423071","PMID":"22023514","abstract":"Objective Previous studies have highlighted the associations between abdominal, cardiac or total fat accumulation and cardiovascular disease. The aim of this study was to investigate the impact of different ectopic fat depots on measurements of metabolic dysfunction and cardiovascular disease risk. Methods Using magnetic resonance imaging in 113 subjects, we measured abdominal (visceral and subcutaneous) and cardiac (epicardial and extra-pericardial) fat depots and examined their association with overall (BMI) and abdominal obesity (waist circumference), dyslipidaemia (triglycerides, total and HDL cholesterol), glucose tolerance (by an oral glucose tolerance test) and insulin sensitivity, blood pressure and 10-year coronary heart disease risk by Framingham score. Results Fat accumulation was proportional to the degree of obesity, with body fat ranging from 14 to 33kg, visceral fat from 0.8 to 1.8kg and cardiac fat from 134 to 236g. Most cardiac fat (70% on average) was extra-pericardial, with a wide variability for both cardiac depots (epicardial: 172-2008mm 2; extra-pericardial: 100-5056mm 2). Only visceral and extra-pericardial fat, but not epicardial or subcutaneous fat, could discriminate between subjects with three or more factors of the metabolic syndrome or medium-to-high coronary heart disease risk score. Controlling for gender and BMI by multivariable analysis, the best marker of reduced insulin sensitivity was visceral fat (partial r=-0.35); extra-pericardial fat was the closest associate of increased blood pressure (partial r=0.26) and both extra-pericardial and visceral fat clustered with hypertriglyceridaemia (partial r=0.29 and 0.24; both P&lt;0.02). Conclusion Increased epicardial fat per se does not necessarily translate into presence or prediction of disease. In contrast, increased deposition of visceral abdominal and extra-pericardial mediastinal fat are both associated with an enhanced cardiovascular disease risk profile. © 2011 The Authors. Diabetic Medicine © 2011 Diabetes UK.","author":[{"dropping-particle":"","family":"Sironi","given":"A. M.","non-dropping-particle":"","parse-names":false,"suffix":""},{"dropping-particle":"","family":"Petz","given":"R.","non-dropping-particle":"","parse-names":false,"suffix":""},{"dropping-particle":"","family":"Marchi","given":"D.","non-dropping-particle":"De","parse-names":false,"suffix":""},{"dropping-particle":"","family":"Buzzigoli","given":"E.","non-dropping-particle":"","parse-names":false,"suffix":""},{"dropping-particle":"","family":"Ciociaro","given":"D.","non-dropping-particle":"","parse-names":false,"suffix":""},{"dropping-particle":"","family":"Positano","given":"V.","non-dropping-particle":"","parse-names":false,"suffix":""},{"dropping-particle":"","family":"Lombardi","given":"M.","non-dropping-particle":"","parse-names":false,"suffix":""},{"dropping-particle":"","family":"Ferrannini","given":"E.","non-dropping-particle":"","parse-names":false,"suffix":""},{"dropping-particle":"","family":"Gastaldelli","given":"A.","non-dropping-particle":"","parse-names":false,"suffix":""}],"container-title":"Diabetic Medicine","id":"ITEM-3","issue":"5","issued":{"date-parts":[["2012"]]},"page":"622-627","title":"Impact of increased visceral and cardiac fat on cardiometabolic risk and disease","type":"article-journal","volume":"29"},"uris":["http://www.mendeley.com/documents/?uuid=561babd9-e433-4a87-847a-fbc0b2f6d0a1"]}],"mendeley":{"formattedCitation":"(31–33)","plainTextFormattedCitation":"(31–33)","previouslyFormattedCitation":"(32–34)"},"properties":{"noteIndex":0},"schema":"https://github.com/citation-style-language/schema/raw/master/csl-citation.json"}</w:instrText>
      </w:r>
      <w:r>
        <w:rPr>
          <w:rFonts w:cs="Times New Roman"/>
          <w:sz w:val="22"/>
          <w:szCs w:val="22"/>
          <w:lang w:val="en-GB"/>
        </w:rPr>
        <w:fldChar w:fldCharType="separate"/>
      </w:r>
      <w:r w:rsidR="00D441C9" w:rsidRPr="00D441C9">
        <w:rPr>
          <w:rFonts w:cs="Times New Roman"/>
          <w:noProof/>
          <w:sz w:val="22"/>
          <w:szCs w:val="22"/>
          <w:lang w:val="en-GB"/>
        </w:rPr>
        <w:t>(31–33)</w:t>
      </w:r>
      <w:r>
        <w:rPr>
          <w:rFonts w:cs="Times New Roman"/>
          <w:sz w:val="22"/>
          <w:szCs w:val="22"/>
          <w:lang w:val="en-GB"/>
        </w:rPr>
        <w:fldChar w:fldCharType="end"/>
      </w:r>
      <w:r>
        <w:rPr>
          <w:rFonts w:cs="Times New Roman"/>
          <w:sz w:val="22"/>
          <w:szCs w:val="22"/>
          <w:lang w:val="en-GB"/>
        </w:rPr>
        <w:t xml:space="preserve">. Whilst this approach has had some utility, there are two fundamental limitations. Firstly, as the thresholding is based on pixel intensity levels, this is subject to variation based on technical (magnet strength, acquisition sequences, vendor) factors; as such, the threshold would need to be re-established depending on technical parameters. Secondly, </w:t>
      </w:r>
      <w:r w:rsidR="00787AED">
        <w:rPr>
          <w:rFonts w:cs="Times New Roman"/>
          <w:sz w:val="22"/>
          <w:szCs w:val="22"/>
          <w:lang w:val="en-GB"/>
        </w:rPr>
        <w:t>because</w:t>
      </w:r>
      <w:r>
        <w:rPr>
          <w:rFonts w:cs="Times New Roman"/>
          <w:sz w:val="22"/>
          <w:szCs w:val="22"/>
          <w:lang w:val="en-GB"/>
        </w:rPr>
        <w:t xml:space="preserve"> the methodology aims to derive a volumetric measure of adipose tissue, dedicated acquisitions with zero slice gap have been obtained. As standard protocols do not have zero slice gap (usually 5-8mm slice gap), this approach, as it stands, is not suitable for application to standard of care CMR images. </w:t>
      </w:r>
    </w:p>
    <w:p w14:paraId="53CC2083" w14:textId="77777777" w:rsidR="00E27CC4" w:rsidRDefault="00E27CC4" w:rsidP="00FF2DC9">
      <w:pPr>
        <w:pStyle w:val="BodyText"/>
        <w:rPr>
          <w:rFonts w:cs="Times New Roman"/>
          <w:sz w:val="22"/>
          <w:szCs w:val="22"/>
          <w:lang w:val="en-GB"/>
        </w:rPr>
      </w:pPr>
    </w:p>
    <w:p w14:paraId="68BB7889" w14:textId="61526F94" w:rsidR="00E27CC4" w:rsidRDefault="004B079A" w:rsidP="00FF2DC9">
      <w:pPr>
        <w:pStyle w:val="BodyText"/>
        <w:rPr>
          <w:rFonts w:cs="Times New Roman"/>
          <w:sz w:val="22"/>
          <w:szCs w:val="22"/>
          <w:lang w:val="en-GB"/>
        </w:rPr>
      </w:pPr>
      <w:r>
        <w:rPr>
          <w:rFonts w:cs="Times New Roman"/>
          <w:sz w:val="22"/>
          <w:szCs w:val="22"/>
          <w:lang w:val="en-GB"/>
        </w:rPr>
        <w:t>Ding et al.</w:t>
      </w:r>
      <w:r>
        <w:rPr>
          <w:rFonts w:cs="Times New Roman"/>
          <w:sz w:val="22"/>
          <w:szCs w:val="22"/>
          <w:lang w:val="en-GB"/>
        </w:rPr>
        <w:fldChar w:fldCharType="begin" w:fldLock="1"/>
      </w:r>
      <w:r w:rsidR="00D441C9">
        <w:rPr>
          <w:rFonts w:cs="Times New Roman"/>
          <w:sz w:val="22"/>
          <w:szCs w:val="22"/>
          <w:lang w:val="en-GB"/>
        </w:rPr>
        <w:instrText>ADDIN CSL_CITATION {"citationItems":[{"id":"ITEM-1","itemData":{"DOI":"10.1117/1.jmi.3.1.014002","ISSN":"2329-4302","abstract":"© 2016 Society of Photo-Optical Instrumentation Engineers (SPIE). Pericardial fat volume (PFV) is emerging as an important parameter for cardiovascular risk stratification. We propose a hybrid approach for automated PFV quantification from water/fat-resolved whole-heart noncontrast coronary magnetic resonance angiography (MRA). Ten coronary MRA datasets were acquired. Image reconstruction and phase-based water-fat separation were conducted offline. Our proposed algorithm first roughly segments the heart region on the original image using a simplified atlas-based segmentation with four cases in the atlas. To get exact boundaries of pericardial fat, a three-dimensional graph-based segmentation is used to generate fat and nonfat components on the fat-only image. The algorithm then selects the components that represent pericardial fat. We validated the quantification results on the remaining six subjects and compared them with manual quantifications by an expert reader. The PFV quantified by our algorithm was 62.78±27.85 cm3, compared to 58.66±27.05 cm3 by the expert reader, which were not significantly different (p=0.47) and showed excellent correlation (R=0.89,p &lt; 0.01). The mean absolute difference in PFV between the algorithm and the expert reader was 9.9±8.2 cm3. The mean value of the paired differences was -4.13 cm3 (95% confidence interval: -14.47 to 6.21). The mean Dice coefficient of pericardial fat voxels was 0.82±0.06. Our approach may potentially be applied in a clinical setting, allowing for accurate magnetic resonance imaging (MRI)-based PFV quantification without tedious manual tracing.","author":[{"dropping-particle":"","family":"Ding","given":"Xiaowei","non-dropping-particle":"","parse-names":false,"suffix":""},{"dropping-particle":"","family":"Pang","given":"Jianing","non-dropping-particle":"","parse-names":false,"suffix":""},{"dropping-particle":"","family":"Ren","given":"Zhou","non-dropping-particle":"","parse-names":false,"suffix":""},{"dropping-particle":"","family":"Diaz-Zamudio","given":"Mariana","non-dropping-particle":"","parse-names":false,"suffix":""},{"dropping-particle":"","family":"Jiang","given":"Chenfanfu","non-dropping-particle":"","parse-names":false,"suffix":""},{"dropping-particle":"","family":"Fan","given":"Zhaoyang","non-dropping-particle":"","parse-names":false,"suffix":""},{"dropping-particle":"","family":"Berman","given":"Daniel S.","non-dropping-particle":"","parse-names":false,"suffix":""},{"dropping-particle":"","family":"Li","given":"Debiao","non-dropping-particle":"","parse-names":false,"suffix":""},{"dropping-particle":"","family":"Terzopoulos","given":"Demetri","non-dropping-particle":"","parse-names":false,"suffix":""},{"dropping-particle":"","family":"Slomka","given":"Piotr J.","non-dropping-particle":"","parse-names":false,"suffix":""},{"dropping-particle":"","family":"Dey","given":"Damini","non-dropping-particle":"","parse-names":false,"suffix":""}],"container-title":"Journal of Medical Imaging","id":"ITEM-1","issue":"1","issued":{"date-parts":[["2016","2","18"]]},"page":"014002","publisher":"SPIE-Intl Soc Optical Eng","title":"Automated pericardial fat quantification from coronary magnetic resonance angiography: feasibility study","type":"article-journal","volume":"3"},"uris":["http://www.mendeley.com/documents/?uuid=5d00ebb4-837c-3de4-892a-39dc72f8e23c"]}],"mendeley":{"formattedCitation":"(14)","plainTextFormattedCitation":"(14)","previouslyFormattedCitation":"(15)"},"properties":{"noteIndex":0},"schema":"https://github.com/citation-style-language/schema/raw/master/csl-citation.json"}</w:instrText>
      </w:r>
      <w:r>
        <w:rPr>
          <w:rFonts w:cs="Times New Roman"/>
          <w:sz w:val="22"/>
          <w:szCs w:val="22"/>
          <w:lang w:val="en-GB"/>
        </w:rPr>
        <w:fldChar w:fldCharType="separate"/>
      </w:r>
      <w:r w:rsidR="00D441C9" w:rsidRPr="00D441C9">
        <w:rPr>
          <w:rFonts w:cs="Times New Roman"/>
          <w:noProof/>
          <w:sz w:val="22"/>
          <w:szCs w:val="22"/>
          <w:lang w:val="en-GB"/>
        </w:rPr>
        <w:t>(14)</w:t>
      </w:r>
      <w:r>
        <w:rPr>
          <w:rFonts w:cs="Times New Roman"/>
          <w:sz w:val="22"/>
          <w:szCs w:val="22"/>
          <w:lang w:val="en-GB"/>
        </w:rPr>
        <w:fldChar w:fldCharType="end"/>
      </w:r>
      <w:r>
        <w:rPr>
          <w:rFonts w:cs="Times New Roman"/>
          <w:sz w:val="22"/>
          <w:szCs w:val="22"/>
          <w:lang w:val="en-GB"/>
        </w:rPr>
        <w:t xml:space="preserve"> </w:t>
      </w:r>
      <w:r w:rsidR="00E27CC4">
        <w:rPr>
          <w:rFonts w:cs="Times New Roman"/>
          <w:sz w:val="22"/>
          <w:szCs w:val="22"/>
          <w:lang w:val="en-GB"/>
        </w:rPr>
        <w:t xml:space="preserve">propose another approach for CMR PAT quantification; they </w:t>
      </w:r>
      <w:r>
        <w:rPr>
          <w:rFonts w:cs="Times New Roman"/>
          <w:sz w:val="22"/>
          <w:szCs w:val="22"/>
          <w:lang w:val="en-GB"/>
        </w:rPr>
        <w:t xml:space="preserve">present a limited </w:t>
      </w:r>
      <w:r w:rsidR="002438CF">
        <w:rPr>
          <w:rFonts w:cs="Times New Roman"/>
          <w:sz w:val="22"/>
          <w:szCs w:val="22"/>
          <w:lang w:val="en-GB"/>
        </w:rPr>
        <w:t>study demonstrating feasibility of a</w:t>
      </w:r>
      <w:r>
        <w:rPr>
          <w:rFonts w:cs="Times New Roman"/>
          <w:sz w:val="22"/>
          <w:szCs w:val="22"/>
          <w:lang w:val="en-GB"/>
        </w:rPr>
        <w:t xml:space="preserve"> fully automated pericardial fat </w:t>
      </w:r>
      <w:r w:rsidRPr="004B079A">
        <w:rPr>
          <w:rFonts w:cs="Times New Roman"/>
          <w:sz w:val="22"/>
          <w:szCs w:val="22"/>
          <w:lang w:val="en-GB"/>
        </w:rPr>
        <w:t xml:space="preserve">quantification </w:t>
      </w:r>
      <w:r>
        <w:rPr>
          <w:rFonts w:cs="Times New Roman"/>
          <w:sz w:val="22"/>
          <w:szCs w:val="22"/>
          <w:lang w:val="en-GB"/>
        </w:rPr>
        <w:t xml:space="preserve">method </w:t>
      </w:r>
      <w:r w:rsidRPr="004B079A">
        <w:rPr>
          <w:rFonts w:cs="Times New Roman"/>
          <w:sz w:val="22"/>
          <w:szCs w:val="22"/>
          <w:lang w:val="en-GB"/>
        </w:rPr>
        <w:t>from water/fat-resolved whole-heart non</w:t>
      </w:r>
      <w:r>
        <w:rPr>
          <w:rFonts w:cs="Times New Roman"/>
          <w:sz w:val="22"/>
          <w:szCs w:val="22"/>
          <w:lang w:val="en-GB"/>
        </w:rPr>
        <w:t>-</w:t>
      </w:r>
      <w:r w:rsidRPr="004B079A">
        <w:rPr>
          <w:rFonts w:cs="Times New Roman"/>
          <w:sz w:val="22"/>
          <w:szCs w:val="22"/>
          <w:lang w:val="en-GB"/>
        </w:rPr>
        <w:t>contrast coronary magnetic resonance angiography</w:t>
      </w:r>
      <w:r>
        <w:rPr>
          <w:rFonts w:cs="Times New Roman"/>
          <w:sz w:val="22"/>
          <w:szCs w:val="22"/>
          <w:lang w:val="en-GB"/>
        </w:rPr>
        <w:t xml:space="preserve">. </w:t>
      </w:r>
      <w:r w:rsidR="00787AED">
        <w:rPr>
          <w:rFonts w:cs="Times New Roman"/>
          <w:sz w:val="22"/>
          <w:szCs w:val="22"/>
          <w:lang w:val="en-GB"/>
        </w:rPr>
        <w:t xml:space="preserve">The very small sample size (n=10) in this </w:t>
      </w:r>
      <w:r w:rsidR="00831000">
        <w:rPr>
          <w:rFonts w:cs="Times New Roman"/>
          <w:sz w:val="22"/>
          <w:szCs w:val="22"/>
          <w:lang w:val="en-GB"/>
        </w:rPr>
        <w:t>limited feasibility</w:t>
      </w:r>
      <w:r w:rsidR="00787AED">
        <w:rPr>
          <w:rFonts w:cs="Times New Roman"/>
          <w:sz w:val="22"/>
          <w:szCs w:val="22"/>
          <w:lang w:val="en-GB"/>
        </w:rPr>
        <w:t xml:space="preserve"> study precludes any meaningful assessment of model performance and the clinical validity of the proposed measurement is not known. Furthermore, a</w:t>
      </w:r>
      <w:r w:rsidR="002438CF">
        <w:rPr>
          <w:rFonts w:cs="Times New Roman"/>
          <w:sz w:val="22"/>
          <w:szCs w:val="22"/>
          <w:lang w:val="en-GB"/>
        </w:rPr>
        <w:t xml:space="preserve">s fat/water sequences are not routinely acquired as part of standard CMR studies, this methodology is unlikely to have wide application. </w:t>
      </w:r>
    </w:p>
    <w:p w14:paraId="1B58C373" w14:textId="48B79580" w:rsidR="00E27CC4" w:rsidRDefault="00E27CC4" w:rsidP="00FF2DC9">
      <w:pPr>
        <w:pStyle w:val="BodyText"/>
        <w:rPr>
          <w:rFonts w:cs="Times New Roman"/>
          <w:sz w:val="22"/>
          <w:szCs w:val="22"/>
          <w:lang w:val="en-GB"/>
        </w:rPr>
      </w:pPr>
    </w:p>
    <w:p w14:paraId="5B765DF2" w14:textId="5757F8C7" w:rsidR="00E27CC4" w:rsidRDefault="00E27CC4" w:rsidP="00FF2DC9">
      <w:pPr>
        <w:pStyle w:val="BodyText"/>
        <w:rPr>
          <w:rFonts w:cs="Times New Roman"/>
          <w:sz w:val="22"/>
          <w:szCs w:val="22"/>
          <w:lang w:val="en-GB"/>
        </w:rPr>
      </w:pPr>
      <w:r>
        <w:rPr>
          <w:rFonts w:cs="Times New Roman"/>
          <w:sz w:val="22"/>
          <w:szCs w:val="22"/>
          <w:lang w:val="en-GB"/>
        </w:rPr>
        <w:t>In a similar approach to our work, Rado et al.</w:t>
      </w:r>
      <w:r>
        <w:rPr>
          <w:rFonts w:cs="Times New Roman"/>
          <w:sz w:val="22"/>
          <w:szCs w:val="22"/>
          <w:lang w:val="en-GB"/>
        </w:rPr>
        <w:fldChar w:fldCharType="begin" w:fldLock="1"/>
      </w:r>
      <w:r w:rsidR="00D441C9">
        <w:rPr>
          <w:rFonts w:cs="Times New Roman"/>
          <w:sz w:val="22"/>
          <w:szCs w:val="22"/>
          <w:lang w:val="en-GB"/>
        </w:rPr>
        <w:instrText>ADDIN CSL_CITATION {"citationItems":[{"id":"ITEM-1","itemData":{"DOI":"10.1259/bjr.20180562","ISSN":"1748880X","PMID":"30633543","abstract":"objective: To analyze the associations between epicardial and paracardial fat and impaired glucose tolerance as well as left ventricular (LV) alterations. Methods: 400 subjects underwent 3 T MRI and fat depots were delineated in the four chamber-view of the steady-state free precession cine sequence (repetition time: 29.97 ms; echo time 1.46 ms). LV parameters were also derived from MRI. Oral glucose tolerance tests were performed. results: Epi- and paracardial fat was derived in 372 (93%) subjects (220 healthy controls, 100 persons with prediabetes, 52 with diabetes). Epi- and paracardial fat increased from normal glucose tolerance (NGT) to prediabetes and diabetes (7.7 vs 9.2 vs 10.3cm2 and 14.3 vs 20.3 vs 27.4cm2, respectively; all p &lt; 0.001). However, the association between impaired glucose metabolism and cardiac fat attenuated after adjustment, mainly confounded by visceral adipose tissue (VAT). 93 subjects (27%) had LV impairment, defined as late gadolinium enhancement, ejection fraction &lt; 55% or LV concentricity index &gt; 1.3 g ml−1 . Mean epicardial fat was higher in subjects with LV impairment (11.0 vs 8.1 cm2, p &lt; 0.001). This association remained independent after adjustment for traditional risk factors and VAT [β: 1.13 (0.22; 2.03), p = 0.02]. conclusion: Although epicardial and paracardial fat are increased in prediabetes and diabetes, the association is mostly confounded by VAT. Epicardial fat is independently associated with subclinical LV impairment in subjects without known cardiovascular disease. advances in knowledge: This study contributes to the picture of epicardial fat as a pathogenic local fat depot that is independently associated with MR-derived markers of left ventricular alterations.","author":[{"dropping-particle":"","family":"Rado","given":"Sophia D.","non-dropping-particle":"","parse-names":false,"suffix":""},{"dropping-particle":"","family":"Lorbeer","given":"Roberto","non-dropping-particle":"","parse-names":false,"suffix":""},{"dropping-particle":"","family":"Gatidis","given":"Sergios","non-dropping-particle":"","parse-names":false,"suffix":""},{"dropping-particle":"","family":"Machann","given":"Jürgen","non-dropping-particle":"","parse-names":false,"suffix":""},{"dropping-particle":"","family":"Storz","given":"Corinna","non-dropping-particle":"","parse-names":false,"suffix":""},{"dropping-particle":"","family":"Nikolaou","given":"Konstantin","non-dropping-particle":"","parse-names":false,"suffix":""},{"dropping-particle":"","family":"Rathmann","given":"Wolfgang","non-dropping-particle":"","parse-names":false,"suffix":""},{"dropping-particle":"","family":"Hoffmann","given":"Udo","non-dropping-particle":"","parse-names":false,"suffix":""},{"dropping-particle":"","family":"Peters","given":"Annette","non-dropping-particle":"","parse-names":false,"suffix":""},{"dropping-particle":"","family":"Bamberg","given":"Fab Ian","non-dropping-particle":"","parse-names":false,"suffix":""},{"dropping-particle":"","family":"Schlett","given":"Christopher L.","non-dropping-particle":"","parse-names":false,"suffix":""}],"container-title":"British Journal of Radiology","id":"ITEM-1","issue":"1096","issued":{"date-parts":[["2019"]]},"publisher":"British Institute of Radiology","title":"MRI-based assessment and characterization of epicardial and paracardial fat depots in the context of impaired glucose metabolism and subclinical left-ventricular alterations","type":"article-journal","volume":"92"},"uris":["http://www.mendeley.com/documents/?uuid=bcdf57c0-34b2-3283-9570-2d28891a37d5"]}],"mendeley":{"formattedCitation":"(15)","plainTextFormattedCitation":"(15)","previouslyFormattedCitation":"(16)"},"properties":{"noteIndex":0},"schema":"https://github.com/citation-style-language/schema/raw/master/csl-citation.json"}</w:instrText>
      </w:r>
      <w:r>
        <w:rPr>
          <w:rFonts w:cs="Times New Roman"/>
          <w:sz w:val="22"/>
          <w:szCs w:val="22"/>
          <w:lang w:val="en-GB"/>
        </w:rPr>
        <w:fldChar w:fldCharType="separate"/>
      </w:r>
      <w:r w:rsidR="00D441C9" w:rsidRPr="00D441C9">
        <w:rPr>
          <w:rFonts w:cs="Times New Roman"/>
          <w:noProof/>
          <w:sz w:val="22"/>
          <w:szCs w:val="22"/>
          <w:lang w:val="en-GB"/>
        </w:rPr>
        <w:t>(15)</w:t>
      </w:r>
      <w:r>
        <w:rPr>
          <w:rFonts w:cs="Times New Roman"/>
          <w:sz w:val="22"/>
          <w:szCs w:val="22"/>
          <w:lang w:val="en-GB"/>
        </w:rPr>
        <w:fldChar w:fldCharType="end"/>
      </w:r>
      <w:r>
        <w:rPr>
          <w:rFonts w:cs="Times New Roman"/>
          <w:sz w:val="22"/>
          <w:szCs w:val="22"/>
          <w:lang w:val="en-GB"/>
        </w:rPr>
        <w:t xml:space="preserve"> quantify epicardial and pericardial fat areas from 4-chamber cine images. They use a manual analysis protocol taking measurements in end-diastole and </w:t>
      </w:r>
      <w:r w:rsidR="00831000">
        <w:rPr>
          <w:rFonts w:cs="Times New Roman"/>
          <w:sz w:val="22"/>
          <w:szCs w:val="22"/>
          <w:lang w:val="en-GB"/>
        </w:rPr>
        <w:t xml:space="preserve">end-systole and </w:t>
      </w:r>
      <w:r>
        <w:rPr>
          <w:rFonts w:cs="Times New Roman"/>
          <w:sz w:val="22"/>
          <w:szCs w:val="22"/>
          <w:lang w:val="en-GB"/>
        </w:rPr>
        <w:t xml:space="preserve">making distinction between epicardial and pericardial fat area. They use their manual analysis measures (n=374) to investigation associations with impaired glucose metabolism and left ventricular function. In developing our SOP, we also </w:t>
      </w:r>
      <w:r w:rsidR="00831000">
        <w:rPr>
          <w:rFonts w:cs="Times New Roman"/>
          <w:sz w:val="22"/>
          <w:szCs w:val="22"/>
          <w:lang w:val="en-GB"/>
        </w:rPr>
        <w:t>experimented with</w:t>
      </w:r>
      <w:r w:rsidR="00B06B76">
        <w:rPr>
          <w:rFonts w:cs="Times New Roman"/>
          <w:sz w:val="22"/>
          <w:szCs w:val="22"/>
          <w:lang w:val="en-GB"/>
        </w:rPr>
        <w:t xml:space="preserve"> </w:t>
      </w:r>
      <w:r>
        <w:rPr>
          <w:rFonts w:cs="Times New Roman"/>
          <w:sz w:val="22"/>
          <w:szCs w:val="22"/>
          <w:lang w:val="en-GB"/>
        </w:rPr>
        <w:t>distinguish</w:t>
      </w:r>
      <w:r w:rsidR="00B06B76">
        <w:rPr>
          <w:rFonts w:cs="Times New Roman"/>
          <w:sz w:val="22"/>
          <w:szCs w:val="22"/>
          <w:lang w:val="en-GB"/>
        </w:rPr>
        <w:t>ing</w:t>
      </w:r>
      <w:r>
        <w:rPr>
          <w:rFonts w:cs="Times New Roman"/>
          <w:sz w:val="22"/>
          <w:szCs w:val="22"/>
          <w:lang w:val="en-GB"/>
        </w:rPr>
        <w:t xml:space="preserve"> between epicardial and pericardial fat areas. However, </w:t>
      </w:r>
      <w:r w:rsidR="00831000">
        <w:rPr>
          <w:rFonts w:cs="Times New Roman"/>
          <w:sz w:val="22"/>
          <w:szCs w:val="22"/>
          <w:lang w:val="en-GB"/>
        </w:rPr>
        <w:t>on inspection of a large number of studies</w:t>
      </w:r>
      <w:r>
        <w:rPr>
          <w:rFonts w:cs="Times New Roman"/>
          <w:sz w:val="22"/>
          <w:szCs w:val="22"/>
          <w:lang w:val="en-GB"/>
        </w:rPr>
        <w:t xml:space="preserve">, it became apparent that reliable distinction of these two areas was not possible for a substantial number of cases. Hence, we opted for a simpler approach of using a single en bloc contour. The strong correlation of </w:t>
      </w:r>
      <w:r w:rsidR="00B06B76">
        <w:rPr>
          <w:rFonts w:cs="Times New Roman"/>
          <w:sz w:val="22"/>
          <w:szCs w:val="22"/>
          <w:lang w:val="en-GB"/>
        </w:rPr>
        <w:t>our</w:t>
      </w:r>
      <w:r>
        <w:rPr>
          <w:rFonts w:cs="Times New Roman"/>
          <w:sz w:val="22"/>
          <w:szCs w:val="22"/>
          <w:lang w:val="en-GB"/>
        </w:rPr>
        <w:t xml:space="preserve"> measure with CCT </w:t>
      </w:r>
      <w:r w:rsidR="00A00573">
        <w:rPr>
          <w:rFonts w:cs="Times New Roman"/>
          <w:sz w:val="22"/>
          <w:szCs w:val="22"/>
          <w:lang w:val="en-GB"/>
        </w:rPr>
        <w:t xml:space="preserve">PAT quantification </w:t>
      </w:r>
      <w:r>
        <w:rPr>
          <w:rFonts w:cs="Times New Roman"/>
          <w:sz w:val="22"/>
          <w:szCs w:val="22"/>
          <w:lang w:val="en-GB"/>
        </w:rPr>
        <w:t xml:space="preserve">and observed associations with diabetes suggest that </w:t>
      </w:r>
      <w:r w:rsidR="00B06B76">
        <w:rPr>
          <w:rFonts w:cs="Times New Roman"/>
          <w:sz w:val="22"/>
          <w:szCs w:val="22"/>
          <w:lang w:val="en-GB"/>
        </w:rPr>
        <w:t>quantification</w:t>
      </w:r>
      <w:r>
        <w:rPr>
          <w:rFonts w:cs="Times New Roman"/>
          <w:sz w:val="22"/>
          <w:szCs w:val="22"/>
          <w:lang w:val="en-GB"/>
        </w:rPr>
        <w:t xml:space="preserve"> </w:t>
      </w:r>
      <w:r w:rsidR="00B06B76">
        <w:rPr>
          <w:rFonts w:cs="Times New Roman"/>
          <w:sz w:val="22"/>
          <w:szCs w:val="22"/>
          <w:lang w:val="en-GB"/>
        </w:rPr>
        <w:t xml:space="preserve">according to </w:t>
      </w:r>
      <w:r>
        <w:rPr>
          <w:rFonts w:cs="Times New Roman"/>
          <w:sz w:val="22"/>
          <w:szCs w:val="22"/>
          <w:lang w:val="en-GB"/>
        </w:rPr>
        <w:t>our SOP does not detract from the potential utility of the measurement. Furthermore, the simplicity of our me</w:t>
      </w:r>
      <w:r w:rsidR="00B06B76">
        <w:rPr>
          <w:rFonts w:cs="Times New Roman"/>
          <w:sz w:val="22"/>
          <w:szCs w:val="22"/>
          <w:lang w:val="en-GB"/>
        </w:rPr>
        <w:t>thod</w:t>
      </w:r>
      <w:r>
        <w:rPr>
          <w:rFonts w:cs="Times New Roman"/>
          <w:sz w:val="22"/>
          <w:szCs w:val="22"/>
          <w:lang w:val="en-GB"/>
        </w:rPr>
        <w:t xml:space="preserve"> enabled development of a fully automated analysis tool, which is essential for study of CMR PAT in large datasets.</w:t>
      </w:r>
    </w:p>
    <w:p w14:paraId="1ABBE908" w14:textId="77777777" w:rsidR="005457F2" w:rsidRPr="00751336" w:rsidRDefault="005457F2" w:rsidP="00FF2DC9">
      <w:pPr>
        <w:pStyle w:val="BodyText"/>
        <w:rPr>
          <w:b/>
          <w:bCs/>
          <w:sz w:val="22"/>
          <w:szCs w:val="22"/>
          <w:lang w:val="en-GB"/>
        </w:rPr>
      </w:pPr>
      <w:bookmarkStart w:id="18" w:name="strengths-and-limitations"/>
    </w:p>
    <w:p w14:paraId="3B7C2A0D" w14:textId="3D30F88C" w:rsidR="005457F2" w:rsidRPr="00751336" w:rsidRDefault="005457F2" w:rsidP="00FF2DC9">
      <w:pPr>
        <w:pStyle w:val="BodyText"/>
        <w:rPr>
          <w:b/>
          <w:bCs/>
          <w:sz w:val="22"/>
          <w:szCs w:val="22"/>
          <w:lang w:val="en-GB"/>
        </w:rPr>
      </w:pPr>
      <w:r w:rsidRPr="00751336">
        <w:rPr>
          <w:b/>
          <w:bCs/>
          <w:sz w:val="22"/>
          <w:szCs w:val="22"/>
          <w:lang w:val="en-GB"/>
        </w:rPr>
        <w:t>Technical implications</w:t>
      </w:r>
    </w:p>
    <w:p w14:paraId="2566062C" w14:textId="063E8974" w:rsidR="005457F2" w:rsidRPr="00446E6A" w:rsidRDefault="005457F2" w:rsidP="00FF2DC9">
      <w:pPr>
        <w:pStyle w:val="BodyText"/>
        <w:rPr>
          <w:rFonts w:cs="Times New Roman"/>
          <w:color w:val="000000" w:themeColor="text1"/>
          <w:sz w:val="22"/>
          <w:szCs w:val="22"/>
          <w:lang w:val="en-GB"/>
        </w:rPr>
      </w:pPr>
      <w:r w:rsidRPr="00751336">
        <w:rPr>
          <w:rFonts w:cs="Times New Roman"/>
          <w:sz w:val="22"/>
          <w:szCs w:val="22"/>
          <w:lang w:val="en-GB"/>
        </w:rPr>
        <w:t>In terms of the technical details of our neural network, the Multi-Residual U-net architecture</w:t>
      </w:r>
      <w:r w:rsidR="0045572A" w:rsidRPr="00751336">
        <w:rPr>
          <w:rFonts w:cs="Times New Roman"/>
          <w:sz w:val="22"/>
          <w:szCs w:val="22"/>
          <w:lang w:val="en-GB"/>
        </w:rPr>
        <w:fldChar w:fldCharType="begin" w:fldLock="1"/>
      </w:r>
      <w:r w:rsidR="00D441C9">
        <w:rPr>
          <w:rFonts w:cs="Times New Roman"/>
          <w:sz w:val="22"/>
          <w:szCs w:val="22"/>
          <w:lang w:val="en-GB"/>
        </w:rPr>
        <w:instrText>ADDIN CSL_CITATION {"citationItems":[{"id":"ITEM-1","itemData":{"DOI":"10.1016/j.neunet.2019.08.025","ISSN":"18792782","PMID":"31536901","abstract":"In recent years Deep Learning has brought about a breakthrough in Medical Image Segmentation. In this regard, U-Net has been the most popular architecture in the medical imaging community. Despite outstanding overall performance in segmenting multimodal medical images, through extensive experimentations on some challenging datasets, we demonstrate that the classical U-Net architecture seems to be lacking in certain aspects. Therefore, we propose some modifications to improve upon the already state-of-the-art U-Net model. Following these modifications, we develop a novel architecture, MultiResUNet, as the potential successor to the U-Net architecture. We have tested and compared MultiResUNet with the classical U-Net on a vast repertoire of multimodal medical images. Although only slight improvements in the cases of ideal images are noticed, remarkable gains in performance have been attained for the challenging ones. We have evaluated our model on five different datasets, each with their own unique challenges, and have obtained a relative improvement in performance of 10.15%, 5.07%, 2.63%, 1.41%, and 0.62% respectively. We have also discussed and highlighted some qualitatively superior aspects of MultiResUNet over classical U-Net that are not really reflected in the quantitative measures.","author":[{"dropping-particle":"","family":"Ibtehaz","given":"Nabil","non-dropping-particle":"","parse-names":false,"suffix":""},{"dropping-particle":"","family":"Rahman","given":"M. Sohel","non-dropping-particle":"","parse-names":false,"suffix":""}],"container-title":"Neural Networks","id":"ITEM-1","issued":{"date-parts":[["2020","1","1"]]},"page":"74-87","publisher":"Elsevier Ltd","title":"MultiResUNet: Rethinking the U-Net architecture for multimodal biomedical image segmentation","type":"article-journal","volume":"121"},"uris":["http://www.mendeley.com/documents/?uuid=7a1ecda0-f051-3464-9056-8ee31a0146e5"]}],"mendeley":{"formattedCitation":"(23)","plainTextFormattedCitation":"(23)","previouslyFormattedCitation":"(24)"},"properties":{"noteIndex":0},"schema":"https://github.com/citation-style-language/schema/raw/master/csl-citation.json"}</w:instrText>
      </w:r>
      <w:r w:rsidR="0045572A" w:rsidRPr="00751336">
        <w:rPr>
          <w:rFonts w:cs="Times New Roman"/>
          <w:sz w:val="22"/>
          <w:szCs w:val="22"/>
          <w:lang w:val="en-GB"/>
        </w:rPr>
        <w:fldChar w:fldCharType="separate"/>
      </w:r>
      <w:r w:rsidR="00D441C9" w:rsidRPr="00D441C9">
        <w:rPr>
          <w:rFonts w:cs="Times New Roman"/>
          <w:noProof/>
          <w:sz w:val="22"/>
          <w:szCs w:val="22"/>
          <w:lang w:val="en-GB"/>
        </w:rPr>
        <w:t>(23)</w:t>
      </w:r>
      <w:r w:rsidR="0045572A" w:rsidRPr="00751336">
        <w:rPr>
          <w:rFonts w:cs="Times New Roman"/>
          <w:sz w:val="22"/>
          <w:szCs w:val="22"/>
          <w:lang w:val="en-GB"/>
        </w:rPr>
        <w:fldChar w:fldCharType="end"/>
      </w:r>
      <w:r w:rsidRPr="00751336">
        <w:rPr>
          <w:rFonts w:cs="Times New Roman"/>
          <w:sz w:val="22"/>
          <w:szCs w:val="22"/>
          <w:lang w:val="en-GB"/>
        </w:rPr>
        <w:t xml:space="preserve"> was vital, yielding far better results than “vanilla” U-nets</w:t>
      </w:r>
      <w:r w:rsidR="0045572A" w:rsidRPr="00751336">
        <w:rPr>
          <w:rFonts w:cs="Times New Roman"/>
          <w:sz w:val="22"/>
          <w:szCs w:val="22"/>
          <w:lang w:val="en-GB"/>
        </w:rPr>
        <w:fldChar w:fldCharType="begin" w:fldLock="1"/>
      </w:r>
      <w:r w:rsidR="00D441C9">
        <w:rPr>
          <w:rFonts w:cs="Times New Roman"/>
          <w:sz w:val="22"/>
          <w:szCs w:val="22"/>
          <w:lang w:val="en-GB"/>
        </w:rPr>
        <w:instrText>ADDIN CSL_CITATION {"citationItems":[{"id":"ITEM-1","itemData":{"DOI":"10.1007/978-3-319-24574-4_28","ISBN":"9783319245737","ISSN":"16113349","abstract":"There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author":[{"dropping-particle":"","family":"Ronneberger","given":"Olaf","non-dropping-particle":"","parse-names":false,"suffix":""},{"dropping-particle":"","family":"Fischer","given":"Philipp","non-dropping-particle":"","parse-names":false,"suffix":""},{"dropping-particle":"","family":"Brox","given":"Thomas","non-dropping-particle":"","parse-names":false,"suffix":""}],"container-title":"Lecture Notes in Computer Science (including subseries Lecture Notes in Artificial Intelligence and Lecture Notes in Bioinformatics)","id":"ITEM-1","issued":{"date-parts":[["2015"]]},"page":"234-241","title":"U-net: Convolutional networks for biomedical image segmentation","type":"article-journal","volume":"9351"},"uris":["http://www.mendeley.com/documents/?uuid=41b93e0e-fd1a-4855-bef7-bb086dd7702f"]}],"mendeley":{"formattedCitation":"(21)","plainTextFormattedCitation":"(21)","previouslyFormattedCitation":"(22)"},"properties":{"noteIndex":0},"schema":"https://github.com/citation-style-language/schema/raw/master/csl-citation.json"}</w:instrText>
      </w:r>
      <w:r w:rsidR="0045572A" w:rsidRPr="00751336">
        <w:rPr>
          <w:rFonts w:cs="Times New Roman"/>
          <w:sz w:val="22"/>
          <w:szCs w:val="22"/>
          <w:lang w:val="en-GB"/>
        </w:rPr>
        <w:fldChar w:fldCharType="separate"/>
      </w:r>
      <w:r w:rsidR="00D441C9" w:rsidRPr="00D441C9">
        <w:rPr>
          <w:rFonts w:cs="Times New Roman"/>
          <w:noProof/>
          <w:sz w:val="22"/>
          <w:szCs w:val="22"/>
          <w:lang w:val="en-GB"/>
        </w:rPr>
        <w:t>(21)</w:t>
      </w:r>
      <w:r w:rsidR="0045572A" w:rsidRPr="00751336">
        <w:rPr>
          <w:rFonts w:cs="Times New Roman"/>
          <w:sz w:val="22"/>
          <w:szCs w:val="22"/>
          <w:lang w:val="en-GB"/>
        </w:rPr>
        <w:fldChar w:fldCharType="end"/>
      </w:r>
      <w:r w:rsidRPr="00751336">
        <w:rPr>
          <w:rFonts w:cs="Times New Roman"/>
          <w:sz w:val="22"/>
          <w:szCs w:val="22"/>
          <w:lang w:val="en-GB"/>
        </w:rPr>
        <w:t xml:space="preserve"> (data not shown). Meanwhile, a quality control method has been demonstrated using an extension of a stochastic network, which approximates Bayesian MC sampling</w:t>
      </w:r>
      <w:r w:rsidR="0045572A" w:rsidRPr="00751336">
        <w:rPr>
          <w:rFonts w:cs="Times New Roman"/>
          <w:sz w:val="22"/>
          <w:szCs w:val="22"/>
          <w:lang w:val="en-GB"/>
        </w:rPr>
        <w:fldChar w:fldCharType="begin" w:fldLock="1"/>
      </w:r>
      <w:r w:rsidR="00D441C9">
        <w:rPr>
          <w:rFonts w:cs="Times New Roman"/>
          <w:sz w:val="22"/>
          <w:szCs w:val="22"/>
          <w:lang w:val="en-GB"/>
        </w:rPr>
        <w:instrText>ADDIN CSL_CITATION {"citationItems":[{"id":"ITEM-1","itemData":{"DOI":"10.1016/j.neuroimage.2019.03.042","ISSN":"10959572","PMID":"30926511","abstract":"We introduce Bayesian QuickNAT for the automated quality control of whole-brain segmentation on MRI T1 scans. Next to the Bayesian fully convolutional neural network, we also present inherent measures of segmentation uncertainty that allow for quality control per brain structure. For estimating model uncertainty, we follow a Bayesian approach, wherein, Monte Carlo (MC) samples from the posterior distribution are generated by keeping the dropout layers active at test time. Entropy over the MC samples provides a voxel-wise model uncertainty map, whereas expectation over the MC predictions provides the final segmentation. Next to voxel-wise uncertainty, we introduce four metrics to quantify structure-wise uncertainty in segmentation for quality control. We report experiments on four out-of-sample datasets comprising of diverse age range, pathology and imaging artifacts. The proposed structure-wise uncertainty metrics are highly correlated with the Dice score estimated with manual annotation and therefore present an inherent measure of segmentation quality. In particular, the intersection over union over all the MC samples is a suitable proxy for the Dice score. In addition to quality control at scan-level, we propose to incorporate the structure-wise uncertainty as a measure of confidence to do reliable group analysis on large data repositories. We envisage that the introduced uncertainty metrics would help assess the fidelity of automated deep learning based segmentation methods for large-scale population studies, as they enable automated quality control and group analyses in processing large data repositories.","author":[{"dropping-particle":"","family":"Roy","given":"Abhijit Guha","non-dropping-particle":"","parse-names":false,"suffix":""},{"dropping-particle":"","family":"Conjeti","given":"Sailesh","non-dropping-particle":"","parse-names":false,"suffix":""},{"dropping-particle":"","family":"Navab","given":"Nassir","non-dropping-particle":"","parse-names":false,"suffix":""},{"dropping-particle":"","family":"Wachinger","given":"Christian","non-dropping-particle":"","parse-names":false,"suffix":""}],"container-title":"NeuroImage","id":"ITEM-1","issued":{"date-parts":[["2019","7","15"]]},"page":"11-22","publisher":"Academic Press Inc.","title":"Bayesian QuickNAT: Model uncertainty in deep whole-brain segmentation for structure-wise quality control","type":"article-journal","volume":"195"},"uris":["http://www.mendeley.com/documents/?uuid=6eaabf28-418b-3838-bd33-4101d7cc8256"]}],"mendeley":{"formattedCitation":"(24)","plainTextFormattedCitation":"(24)","previouslyFormattedCitation":"(25)"},"properties":{"noteIndex":0},"schema":"https://github.com/citation-style-language/schema/raw/master/csl-citation.json"}</w:instrText>
      </w:r>
      <w:r w:rsidR="0045572A" w:rsidRPr="00751336">
        <w:rPr>
          <w:rFonts w:cs="Times New Roman"/>
          <w:sz w:val="22"/>
          <w:szCs w:val="22"/>
          <w:lang w:val="en-GB"/>
        </w:rPr>
        <w:fldChar w:fldCharType="separate"/>
      </w:r>
      <w:r w:rsidR="00D441C9" w:rsidRPr="00D441C9">
        <w:rPr>
          <w:rFonts w:cs="Times New Roman"/>
          <w:noProof/>
          <w:sz w:val="22"/>
          <w:szCs w:val="22"/>
          <w:lang w:val="en-GB"/>
        </w:rPr>
        <w:t>(24)</w:t>
      </w:r>
      <w:r w:rsidR="0045572A" w:rsidRPr="00751336">
        <w:rPr>
          <w:rFonts w:cs="Times New Roman"/>
          <w:sz w:val="22"/>
          <w:szCs w:val="22"/>
          <w:lang w:val="en-GB"/>
        </w:rPr>
        <w:fldChar w:fldCharType="end"/>
      </w:r>
      <w:r w:rsidRPr="00751336">
        <w:rPr>
          <w:rFonts w:cs="Times New Roman"/>
          <w:sz w:val="22"/>
          <w:szCs w:val="22"/>
          <w:lang w:val="en-GB"/>
        </w:rPr>
        <w:t xml:space="preserve">. Consistent with prior work, we find that measures of similarity between MC samples are correlated with segmentation quality; intuitively this corresponds to how “sure” the network is of the output. However, in contrast, we found that the mean pairwise Dice score </w:t>
      </w:r>
      <m:oMath>
        <m:sSup>
          <m:sSupPr>
            <m:ctrlPr>
              <w:rPr>
                <w:rFonts w:ascii="Cambria Math" w:hAnsi="Cambria Math" w:cs="Times New Roman"/>
                <w:sz w:val="22"/>
                <w:szCs w:val="22"/>
                <w:lang w:val="en-GB"/>
              </w:rPr>
            </m:ctrlPr>
          </m:sSupPr>
          <m:e>
            <m:r>
              <w:rPr>
                <w:rFonts w:ascii="Cambria Math" w:hAnsi="Cambria Math" w:cs="Times New Roman"/>
                <w:sz w:val="22"/>
                <w:szCs w:val="22"/>
                <w:lang w:val="en-GB"/>
              </w:rPr>
              <m:t>d</m:t>
            </m:r>
          </m:e>
          <m:sup>
            <m:r>
              <w:rPr>
                <w:rFonts w:ascii="Cambria Math" w:hAnsi="Cambria Math" w:cs="Times New Roman"/>
                <w:sz w:val="22"/>
                <w:szCs w:val="22"/>
                <w:lang w:val="en-GB"/>
              </w:rPr>
              <m:t>MC</m:t>
            </m:r>
          </m:sup>
        </m:sSup>
      </m:oMath>
      <w:r w:rsidRPr="00751336">
        <w:rPr>
          <w:rFonts w:cs="Times New Roman"/>
          <w:sz w:val="22"/>
          <w:szCs w:val="22"/>
          <w:lang w:val="en-GB"/>
        </w:rPr>
        <w:t xml:space="preserve"> yielded best prediction, in contrast to the global intersection-over-union </w:t>
      </w:r>
      <m:oMath>
        <m:r>
          <w:rPr>
            <w:rFonts w:ascii="Cambria Math" w:hAnsi="Cambria Math" w:cs="Times New Roman"/>
            <w:sz w:val="22"/>
            <w:szCs w:val="22"/>
            <w:lang w:val="en-GB"/>
          </w:rPr>
          <m:t>Io</m:t>
        </m:r>
        <m:sSup>
          <m:sSupPr>
            <m:ctrlPr>
              <w:rPr>
                <w:rFonts w:ascii="Cambria Math" w:hAnsi="Cambria Math" w:cs="Times New Roman"/>
                <w:sz w:val="22"/>
                <w:szCs w:val="22"/>
                <w:lang w:val="en-GB"/>
              </w:rPr>
            </m:ctrlPr>
          </m:sSupPr>
          <m:e>
            <m:r>
              <w:rPr>
                <w:rFonts w:ascii="Cambria Math" w:hAnsi="Cambria Math" w:cs="Times New Roman"/>
                <w:sz w:val="22"/>
                <w:szCs w:val="22"/>
                <w:lang w:val="en-GB"/>
              </w:rPr>
              <m:t>U</m:t>
            </m:r>
          </m:e>
          <m:sup>
            <m:r>
              <w:rPr>
                <w:rFonts w:ascii="Cambria Math" w:hAnsi="Cambria Math" w:cs="Times New Roman"/>
                <w:sz w:val="22"/>
                <w:szCs w:val="22"/>
                <w:lang w:val="en-GB"/>
              </w:rPr>
              <m:t>G</m:t>
            </m:r>
          </m:sup>
        </m:sSup>
      </m:oMath>
      <w:r w:rsidRPr="00751336">
        <w:rPr>
          <w:rFonts w:cs="Times New Roman"/>
          <w:sz w:val="22"/>
          <w:szCs w:val="22"/>
          <w:lang w:val="en-GB"/>
        </w:rPr>
        <w:t xml:space="preserve"> </w:t>
      </w:r>
      <w:r w:rsidR="0036146F" w:rsidRPr="00751336">
        <w:rPr>
          <w:rFonts w:cs="Times New Roman"/>
          <w:sz w:val="22"/>
          <w:szCs w:val="22"/>
          <w:lang w:val="en-GB"/>
        </w:rPr>
        <w:t>used</w:t>
      </w:r>
      <w:r w:rsidRPr="00751336">
        <w:rPr>
          <w:rFonts w:cs="Times New Roman"/>
          <w:sz w:val="22"/>
          <w:szCs w:val="22"/>
          <w:lang w:val="en-GB"/>
        </w:rPr>
        <w:t xml:space="preserve"> in previous work</w:t>
      </w:r>
      <w:r w:rsidR="002F69B4" w:rsidRPr="00751336">
        <w:rPr>
          <w:rFonts w:cs="Times New Roman"/>
          <w:sz w:val="22"/>
          <w:szCs w:val="22"/>
          <w:lang w:val="en-GB"/>
        </w:rPr>
        <w:t xml:space="preserve">, </w:t>
      </w:r>
      <w:r w:rsidRPr="00751336">
        <w:rPr>
          <w:rFonts w:cs="Times New Roman"/>
          <w:sz w:val="22"/>
          <w:szCs w:val="22"/>
          <w:lang w:val="en-GB"/>
        </w:rPr>
        <w:t>and that an additional linear co</w:t>
      </w:r>
      <w:r w:rsidRPr="00446E6A">
        <w:rPr>
          <w:rFonts w:cs="Times New Roman"/>
          <w:color w:val="000000" w:themeColor="text1"/>
          <w:sz w:val="22"/>
          <w:szCs w:val="22"/>
          <w:lang w:val="en-GB"/>
        </w:rPr>
        <w:t xml:space="preserve">rrection was required. </w:t>
      </w:r>
    </w:p>
    <w:p w14:paraId="282BDC6B" w14:textId="578E8D52" w:rsidR="00BB68A9" w:rsidRPr="00446E6A" w:rsidRDefault="00BB68A9" w:rsidP="00FF2DC9">
      <w:pPr>
        <w:pStyle w:val="BodyText"/>
        <w:rPr>
          <w:rFonts w:cs="Times New Roman"/>
          <w:color w:val="000000" w:themeColor="text1"/>
          <w:sz w:val="22"/>
          <w:szCs w:val="22"/>
          <w:lang w:val="en-GB"/>
        </w:rPr>
      </w:pPr>
    </w:p>
    <w:p w14:paraId="12D06998" w14:textId="208F9DF8" w:rsidR="00BB68A9" w:rsidRPr="00446E6A" w:rsidRDefault="00446E6A" w:rsidP="00FF2DC9">
      <w:pPr>
        <w:pStyle w:val="BodyText"/>
        <w:rPr>
          <w:rFonts w:cs="Times New Roman"/>
          <w:color w:val="000000" w:themeColor="text1"/>
          <w:sz w:val="22"/>
          <w:szCs w:val="22"/>
          <w:lang w:val="en-GB"/>
        </w:rPr>
      </w:pPr>
      <w:r w:rsidRPr="00B7733B">
        <w:rPr>
          <w:rFonts w:eastAsia="Times New Roman" w:cs="Times New Roman"/>
          <w:color w:val="000000" w:themeColor="text1"/>
          <w:sz w:val="22"/>
          <w:szCs w:val="22"/>
        </w:rPr>
        <w:t xml:space="preserve">A potential consideration is whether </w:t>
      </w:r>
      <w:r w:rsidR="003D0870" w:rsidRPr="00B7733B">
        <w:rPr>
          <w:rFonts w:eastAsia="Times New Roman" w:cs="Times New Roman"/>
          <w:color w:val="000000" w:themeColor="text1"/>
          <w:sz w:val="22"/>
          <w:szCs w:val="22"/>
        </w:rPr>
        <w:t>better segmentation accuracy</w:t>
      </w:r>
      <w:r w:rsidR="00BB68A9" w:rsidRPr="00B7733B">
        <w:rPr>
          <w:rFonts w:eastAsia="Times New Roman" w:cs="Times New Roman"/>
          <w:color w:val="000000" w:themeColor="text1"/>
          <w:sz w:val="22"/>
          <w:szCs w:val="22"/>
        </w:rPr>
        <w:t xml:space="preserve"> </w:t>
      </w:r>
      <w:r w:rsidRPr="00B7733B">
        <w:rPr>
          <w:rFonts w:eastAsia="Times New Roman" w:cs="Times New Roman"/>
          <w:color w:val="000000" w:themeColor="text1"/>
          <w:sz w:val="22"/>
          <w:szCs w:val="22"/>
        </w:rPr>
        <w:t xml:space="preserve">could </w:t>
      </w:r>
      <w:r w:rsidR="00BB68A9" w:rsidRPr="00B7733B">
        <w:rPr>
          <w:rFonts w:eastAsia="Times New Roman" w:cs="Times New Roman"/>
          <w:color w:val="000000" w:themeColor="text1"/>
          <w:sz w:val="22"/>
          <w:szCs w:val="22"/>
        </w:rPr>
        <w:t xml:space="preserve">be obtained via the removal of the stochastic component, </w:t>
      </w:r>
      <w:r w:rsidRPr="00B7733B">
        <w:rPr>
          <w:rFonts w:eastAsia="Times New Roman" w:cs="Times New Roman"/>
          <w:color w:val="000000" w:themeColor="text1"/>
          <w:sz w:val="22"/>
          <w:szCs w:val="22"/>
        </w:rPr>
        <w:t xml:space="preserve">thereby </w:t>
      </w:r>
      <w:r w:rsidR="00BB68A9" w:rsidRPr="00B7733B">
        <w:rPr>
          <w:rFonts w:eastAsia="Times New Roman" w:cs="Times New Roman"/>
          <w:color w:val="000000" w:themeColor="text1"/>
          <w:sz w:val="22"/>
          <w:szCs w:val="22"/>
        </w:rPr>
        <w:t>providing a single prediction</w:t>
      </w:r>
      <w:r w:rsidRPr="00B7733B">
        <w:rPr>
          <w:rFonts w:eastAsia="Times New Roman" w:cs="Times New Roman"/>
          <w:color w:val="000000" w:themeColor="text1"/>
          <w:sz w:val="22"/>
          <w:szCs w:val="22"/>
        </w:rPr>
        <w:t>.</w:t>
      </w:r>
      <w:r w:rsidR="00BB68A9" w:rsidRPr="00B7733B">
        <w:rPr>
          <w:rFonts w:eastAsia="Times New Roman" w:cs="Times New Roman"/>
          <w:color w:val="000000" w:themeColor="text1"/>
          <w:sz w:val="22"/>
          <w:szCs w:val="22"/>
        </w:rPr>
        <w:t xml:space="preserve"> This would be undesirable for a number of reasons. Firstly it is important to have some estimate of segmentation quality, which can only be provided if the actual segmentation is derived from our stochastic process. Secondly, a comparison with a non-deterministic MultiresUNet is provided in Supplementary Figure 1, and the accuracy is comparable with our stochastic model. However, note that dropout was not used within training of this network for the following reason: The MultiResUNet architecture makes extensive use of batch normalisation. Because of a phenomenon known as variance shift, the combination of batch normalisation and dropout often produces reduced accuracy once the dropout is “turned off” (34) for a full explanation of this phenomenon. However, this problem does not apply to our results, as the dropout is kept permanently active.</w:t>
      </w:r>
    </w:p>
    <w:p w14:paraId="5A6E4DEF" w14:textId="77777777" w:rsidR="00B06B76" w:rsidRDefault="00B06B76" w:rsidP="00FF2DC9">
      <w:pPr>
        <w:pStyle w:val="BodyText"/>
        <w:rPr>
          <w:rFonts w:cs="Times New Roman"/>
          <w:sz w:val="22"/>
          <w:szCs w:val="22"/>
          <w:lang w:val="en-GB"/>
        </w:rPr>
      </w:pPr>
    </w:p>
    <w:p w14:paraId="22683DB6" w14:textId="390A47B9" w:rsidR="00FB07BC" w:rsidRPr="00015AD0" w:rsidRDefault="00FB07BC" w:rsidP="00FF2DC9">
      <w:pPr>
        <w:pStyle w:val="BodyText"/>
        <w:rPr>
          <w:rFonts w:cs="Times New Roman"/>
          <w:b/>
          <w:bCs/>
          <w:sz w:val="22"/>
          <w:szCs w:val="22"/>
          <w:lang w:val="en-GB"/>
        </w:rPr>
      </w:pPr>
      <w:r w:rsidRPr="00015AD0">
        <w:rPr>
          <w:rFonts w:cs="Times New Roman"/>
          <w:b/>
          <w:bCs/>
          <w:sz w:val="22"/>
          <w:szCs w:val="22"/>
          <w:lang w:val="en-GB"/>
        </w:rPr>
        <w:t>Strengths and limitations</w:t>
      </w:r>
      <w:bookmarkEnd w:id="18"/>
    </w:p>
    <w:p w14:paraId="14142A8A" w14:textId="19B6936B" w:rsidR="00FB07BC" w:rsidRPr="00735E6E" w:rsidRDefault="00FB07BC" w:rsidP="00735E6E">
      <w:pPr>
        <w:rPr>
          <w:color w:val="4472C4" w:themeColor="accent1"/>
          <w:sz w:val="22"/>
          <w:szCs w:val="22"/>
        </w:rPr>
      </w:pPr>
      <w:r w:rsidRPr="001900FE">
        <w:rPr>
          <w:sz w:val="22"/>
          <w:szCs w:val="22"/>
        </w:rPr>
        <w:t xml:space="preserve">Using a modest manually-annotated dataset, we have achieved </w:t>
      </w:r>
      <w:r w:rsidR="00751336">
        <w:rPr>
          <w:sz w:val="22"/>
          <w:szCs w:val="22"/>
        </w:rPr>
        <w:t>good</w:t>
      </w:r>
      <w:r w:rsidRPr="001900FE">
        <w:rPr>
          <w:sz w:val="22"/>
          <w:szCs w:val="22"/>
        </w:rPr>
        <w:t xml:space="preserve"> segmentation accuracy, with a mean Dice score of 0.80. </w:t>
      </w:r>
      <w:r w:rsidR="00751336">
        <w:rPr>
          <w:sz w:val="22"/>
          <w:szCs w:val="22"/>
        </w:rPr>
        <w:t>However</w:t>
      </w:r>
      <w:r w:rsidRPr="001900FE">
        <w:rPr>
          <w:sz w:val="22"/>
          <w:szCs w:val="22"/>
        </w:rPr>
        <w:t xml:space="preserve">, </w:t>
      </w:r>
      <w:r w:rsidR="00D83A21">
        <w:rPr>
          <w:sz w:val="22"/>
          <w:szCs w:val="22"/>
        </w:rPr>
        <w:t xml:space="preserve">the performance of machine learning tools may be reduced </w:t>
      </w:r>
      <w:r w:rsidRPr="001900FE">
        <w:rPr>
          <w:sz w:val="22"/>
          <w:szCs w:val="22"/>
        </w:rPr>
        <w:t xml:space="preserve">when </w:t>
      </w:r>
      <w:r w:rsidR="00D83A21">
        <w:rPr>
          <w:sz w:val="22"/>
          <w:szCs w:val="22"/>
        </w:rPr>
        <w:t>applied to external datasets</w:t>
      </w:r>
      <w:r w:rsidR="00751336">
        <w:rPr>
          <w:sz w:val="22"/>
          <w:szCs w:val="22"/>
        </w:rPr>
        <w:t xml:space="preserve"> (decline in generalisability)</w:t>
      </w:r>
      <w:r w:rsidR="00903174">
        <w:rPr>
          <w:sz w:val="22"/>
          <w:szCs w:val="22"/>
        </w:rPr>
        <w:t>, to minimise this effect we made</w:t>
      </w:r>
      <w:r w:rsidR="00D83A21">
        <w:rPr>
          <w:sz w:val="22"/>
          <w:szCs w:val="22"/>
        </w:rPr>
        <w:t xml:space="preserve"> use of </w:t>
      </w:r>
      <w:r w:rsidRPr="001900FE">
        <w:rPr>
          <w:sz w:val="22"/>
          <w:szCs w:val="22"/>
        </w:rPr>
        <w:t xml:space="preserve">robust data augmentation procedures during training </w:t>
      </w:r>
      <w:r w:rsidR="00D83A21">
        <w:rPr>
          <w:sz w:val="22"/>
          <w:szCs w:val="22"/>
        </w:rPr>
        <w:fldChar w:fldCharType="begin" w:fldLock="1"/>
      </w:r>
      <w:r w:rsidR="00D441C9">
        <w:rPr>
          <w:sz w:val="22"/>
          <w:szCs w:val="22"/>
        </w:rPr>
        <w:instrText>ADDIN CSL_CITATION {"citationItems":[{"id":"ITEM-1","itemData":{"DOI":"10.3389/fcvm.2020.00105","ISSN":"2297-055X","abstract":"Convolutional neural network (CNN) based segmentation methods provide an efficient and automated way for clinicians to assess the structure and function of the heart in cardiac MR images. While CNNs can generally perform the segmentation tasks with high accuracy when training and test images come from the same domain (e.g. same scanner or site), their performance often degrades dramatically on images from different scanners or clinical sites. We propose a simple yet effective way for improving the network generalization ability by carefully designing data normalization and augmentation strategies to accommodate common scenarios in multi-site, multi-scanner clinical imaging data sets. We demonstrate that a neural network trained on a single-site single-scanner dataset from the UK Biobank can be successfully applied to segmenting cardiac MR images across different sites and different scanners without substantial loss of accuracy. Specifically, the method was trained on a large set of 3,975 subjects from the UK Biobank. It was then directly tested on 600 different subjects from the UK Biobank for intra-domain testing and two other sets for cross-domain testing: the ACDC dataset (100 subjects, 1 site, 2 scanners) and the BSCMR-AS dataset (599 subjects, 6 sites, 9 scanners). The proposed method produces promising segmentation results on the UK Biobank test set which are comparable to previously reported values in the literature, while also performing well on cross-domain test sets, achieving a mean Dice metric of 0.90 for the left ventricle, 0.81 for the myocardium and 0.82 for the right ventricle on the ACDC dataset; and 0.89 for the left ventricle, 0.83 for the myocardium on the BSCMR-AS dataset. The proposed method offers a potential solution to improve CNN-based model generalizability for the cross-scanner and cross-site cardiac MR image segmentation task.","author":[{"dropping-particle":"","family":"Chen","given":"Chen","non-dropping-particle":"","parse-names":false,"suffix":""},{"dropping-particle":"","family":"Bai","given":"Wenjia","non-dropping-particle":"","parse-names":false,"suffix":""},{"dropping-particle":"","family":"Davies","given":"Rhodri H.","non-dropping-particle":"","parse-names":false,"suffix":""},{"dropping-particle":"","family":"Bhuva","given":"Anish N.","non-dropping-particle":"","parse-names":false,"suffix":""},{"dropping-particle":"","family":"Manisty","given":"Charlotte H.","non-dropping-particle":"","parse-names":false,"suffix":""},{"dropping-particle":"","family":"Augusto","given":"Joao B.","non-dropping-particle":"","parse-names":false,"suffix":""},{"dropping-particle":"","family":"Moon","given":"James C.","non-dropping-particle":"","parse-names":false,"suffix":""},{"dropping-particle":"","family":"Aung","given":"Nay","non-dropping-particle":"","parse-names":false,"suffix":""},{"dropping-particle":"","family":"Lee","given":"Aaron M.","non-dropping-particle":"","parse-names":false,"suffix":""},{"dropping-particle":"","family":"Sanghvi","given":"Mihir M.","non-dropping-particle":"","parse-names":false,"suffix":""},{"dropping-particle":"","family":"Fung","given":"Kenneth","non-dropping-particle":"","parse-names":false,"suffix":""},{"dropping-particle":"","family":"Paiva","given":"Jose Miguel","non-dropping-particle":"","parse-names":false,"suffix":""},{"dropping-particle":"","family":"Petersen","given":"Steffen E.","non-dropping-particle":"","parse-names":false,"suffix":""},{"dropping-particle":"","family":"Lukaschuk","given":"Elena","non-dropping-particle":"","parse-names":false,"suffix":""},{"dropping-particle":"","family":"Piechnik","given":"Stefan K.","non-dropping-particle":"","parse-names":false,"suffix":""},{"dropping-particle":"","family":"Neubauer","given":"Stefan","non-dropping-particle":"","parse-names":false,"suffix":""},{"dropping-particle":"","family":"Rueckert","given":"Daniel","non-dropping-particle":"","parse-names":false,"suffix":""}],"container-title":"Frontiers in Cardiovascular Medicine","id":"ITEM-1","issue":"June","issued":{"date-parts":[["2020"]]},"page":"1-17","title":"Improving the Generalizability of Convolutional Neural Network-Based Segmentation on CMR Images","type":"article-journal","volume":"7"},"uris":["http://www.mendeley.com/documents/?uuid=4f9820fd-64f1-4baf-ab78-c6ce5a1bc3ff"]}],"mendeley":{"formattedCitation":"(26)","plainTextFormattedCitation":"(26)","previouslyFormattedCitation":"(27)"},"properties":{"noteIndex":0},"schema":"https://github.com/citation-style-language/schema/raw/master/csl-citation.json"}</w:instrText>
      </w:r>
      <w:r w:rsidR="00D83A21">
        <w:rPr>
          <w:sz w:val="22"/>
          <w:szCs w:val="22"/>
        </w:rPr>
        <w:fldChar w:fldCharType="separate"/>
      </w:r>
      <w:r w:rsidR="00D441C9" w:rsidRPr="00D441C9">
        <w:rPr>
          <w:noProof/>
          <w:sz w:val="22"/>
          <w:szCs w:val="22"/>
        </w:rPr>
        <w:t>(26)</w:t>
      </w:r>
      <w:r w:rsidR="00D83A21">
        <w:rPr>
          <w:sz w:val="22"/>
          <w:szCs w:val="22"/>
        </w:rPr>
        <w:fldChar w:fldCharType="end"/>
      </w:r>
      <w:r w:rsidR="00D83A21">
        <w:rPr>
          <w:sz w:val="22"/>
          <w:szCs w:val="22"/>
        </w:rPr>
        <w:t xml:space="preserve">. </w:t>
      </w:r>
      <w:r w:rsidR="00903174">
        <w:rPr>
          <w:sz w:val="22"/>
          <w:szCs w:val="22"/>
        </w:rPr>
        <w:t>We are reassured by the good performance of our tool on the whole UK</w:t>
      </w:r>
      <w:r w:rsidR="00A00573">
        <w:rPr>
          <w:sz w:val="22"/>
          <w:szCs w:val="22"/>
        </w:rPr>
        <w:t>B</w:t>
      </w:r>
      <w:r w:rsidR="00903174">
        <w:rPr>
          <w:sz w:val="22"/>
          <w:szCs w:val="22"/>
        </w:rPr>
        <w:t xml:space="preserve"> Imaging cohort and on the </w:t>
      </w:r>
      <w:r w:rsidR="00D83A21">
        <w:rPr>
          <w:sz w:val="22"/>
          <w:szCs w:val="22"/>
        </w:rPr>
        <w:t>external EVINCII CMR dataset</w:t>
      </w:r>
      <w:r w:rsidR="00D83A21" w:rsidRPr="0045572A">
        <w:rPr>
          <w:sz w:val="22"/>
          <w:szCs w:val="22"/>
        </w:rPr>
        <w:t>.</w:t>
      </w:r>
      <w:r w:rsidR="00903174">
        <w:rPr>
          <w:sz w:val="22"/>
          <w:szCs w:val="22"/>
        </w:rPr>
        <w:t xml:space="preserve"> We use a very simplified SOP taking PAT area measurement from a single 2D slice, clearly this approach does not accurately quantify the volume of mediastinal fat. However, we demonstrate correlation of o</w:t>
      </w:r>
      <w:r w:rsidR="00751336">
        <w:rPr>
          <w:sz w:val="22"/>
          <w:szCs w:val="22"/>
        </w:rPr>
        <w:t xml:space="preserve">ur </w:t>
      </w:r>
      <w:r w:rsidR="00903174">
        <w:rPr>
          <w:sz w:val="22"/>
          <w:szCs w:val="22"/>
        </w:rPr>
        <w:t xml:space="preserve">measurement with established volumetric CCT PAT measure and replicate known clinical associations with diabetes. This suggests that our CMR PAT measure is </w:t>
      </w:r>
      <w:r w:rsidR="00903174" w:rsidRPr="00B7733B">
        <w:rPr>
          <w:sz w:val="22"/>
          <w:szCs w:val="22"/>
        </w:rPr>
        <w:t xml:space="preserve">valid as a marker to study associations with the PAT exposure. Indeed, we would argue, that complicated acquisitions to quantify </w:t>
      </w:r>
      <w:r w:rsidR="0024486E" w:rsidRPr="00B7733B">
        <w:rPr>
          <w:sz w:val="22"/>
          <w:szCs w:val="22"/>
        </w:rPr>
        <w:t>thoracic fat</w:t>
      </w:r>
      <w:r w:rsidR="00903174" w:rsidRPr="00B7733B">
        <w:rPr>
          <w:sz w:val="22"/>
          <w:szCs w:val="22"/>
        </w:rPr>
        <w:t xml:space="preserve"> have hampered previous attempts to make </w:t>
      </w:r>
      <w:r w:rsidR="0024486E" w:rsidRPr="00B7733B">
        <w:rPr>
          <w:sz w:val="22"/>
          <w:szCs w:val="22"/>
        </w:rPr>
        <w:t xml:space="preserve">wide practical </w:t>
      </w:r>
      <w:r w:rsidR="00903174" w:rsidRPr="00B7733B">
        <w:rPr>
          <w:sz w:val="22"/>
          <w:szCs w:val="22"/>
        </w:rPr>
        <w:t>use of this measure</w:t>
      </w:r>
      <w:r w:rsidR="0024486E" w:rsidRPr="00B7733B">
        <w:rPr>
          <w:sz w:val="22"/>
          <w:szCs w:val="22"/>
        </w:rPr>
        <w:t xml:space="preserve">. </w:t>
      </w:r>
      <w:r w:rsidR="00735E6E" w:rsidRPr="00B7733B">
        <w:rPr>
          <w:color w:val="000000" w:themeColor="text1"/>
          <w:sz w:val="22"/>
          <w:szCs w:val="22"/>
        </w:rPr>
        <w:t xml:space="preserve">A potential limitation of the method is that the model cannot distinguish between specific pathologies – e.g., fat or fluid. In the UK Biobank, and similar cohorts, we do not expect this to be a significant source of error, as there are very few participants with pericardial effusions. However, with broader application of the tool to clinical cohorts, such considerations may be more relevant. </w:t>
      </w:r>
      <w:r w:rsidR="0024486E" w:rsidRPr="00B7733B">
        <w:rPr>
          <w:sz w:val="22"/>
          <w:szCs w:val="22"/>
        </w:rPr>
        <w:t>Further studies in large cohorts are now needed to establish the clinical utility of this CMR PAT measure in different settings and patient cohorts</w:t>
      </w:r>
      <w:r w:rsidR="00A00573" w:rsidRPr="00B7733B">
        <w:rPr>
          <w:sz w:val="22"/>
          <w:szCs w:val="22"/>
        </w:rPr>
        <w:t>,</w:t>
      </w:r>
      <w:r w:rsidR="0024486E" w:rsidRPr="00B7733B">
        <w:rPr>
          <w:sz w:val="22"/>
          <w:szCs w:val="22"/>
        </w:rPr>
        <w:t xml:space="preserve"> the proposed automated tool will facilitate such studies in large (and small) cohorts. As we use standard of care images, the CMR PAT measurement can be retrospectively applied to any ex</w:t>
      </w:r>
      <w:r w:rsidR="0024486E">
        <w:rPr>
          <w:sz w:val="22"/>
          <w:szCs w:val="22"/>
        </w:rPr>
        <w:t xml:space="preserve">isting dataset and, furthermore, if clinical value of this metric is established, it could be readily integrated into clinical practice. </w:t>
      </w:r>
    </w:p>
    <w:p w14:paraId="41FBC40B" w14:textId="77777777" w:rsidR="00527292" w:rsidRDefault="00527292" w:rsidP="00FF2DC9">
      <w:pPr>
        <w:pStyle w:val="BodyText"/>
        <w:rPr>
          <w:rFonts w:cs="Times New Roman"/>
          <w:b/>
          <w:bCs/>
          <w:sz w:val="22"/>
          <w:szCs w:val="22"/>
          <w:lang w:val="en-GB"/>
        </w:rPr>
      </w:pPr>
      <w:bookmarkStart w:id="19" w:name="conclusion"/>
    </w:p>
    <w:p w14:paraId="3C48E1E8" w14:textId="418FBABD" w:rsidR="00FB07BC" w:rsidRPr="00015AD0" w:rsidRDefault="00FB07BC" w:rsidP="00FF2DC9">
      <w:pPr>
        <w:pStyle w:val="BodyText"/>
        <w:rPr>
          <w:rFonts w:cs="Times New Roman"/>
          <w:b/>
          <w:bCs/>
          <w:sz w:val="22"/>
          <w:szCs w:val="22"/>
          <w:lang w:val="en-GB"/>
        </w:rPr>
      </w:pPr>
      <w:r w:rsidRPr="00015AD0">
        <w:rPr>
          <w:rFonts w:cs="Times New Roman"/>
          <w:b/>
          <w:bCs/>
          <w:sz w:val="22"/>
          <w:szCs w:val="22"/>
          <w:lang w:val="en-GB"/>
        </w:rPr>
        <w:t>Conclusion</w:t>
      </w:r>
      <w:bookmarkEnd w:id="19"/>
    </w:p>
    <w:p w14:paraId="35210BA9" w14:textId="6555DA1D" w:rsidR="00015AD0" w:rsidRDefault="0024486E" w:rsidP="00FF2DC9">
      <w:pPr>
        <w:rPr>
          <w:sz w:val="22"/>
          <w:szCs w:val="22"/>
        </w:rPr>
      </w:pPr>
      <w:r w:rsidRPr="00F139A6">
        <w:rPr>
          <w:sz w:val="22"/>
          <w:szCs w:val="22"/>
        </w:rPr>
        <w:t xml:space="preserve">We present a novel fully automated quality-controlled method for </w:t>
      </w:r>
      <w:r>
        <w:rPr>
          <w:sz w:val="22"/>
          <w:szCs w:val="22"/>
        </w:rPr>
        <w:t xml:space="preserve">CMR </w:t>
      </w:r>
      <w:r w:rsidRPr="00F139A6">
        <w:rPr>
          <w:sz w:val="22"/>
          <w:szCs w:val="22"/>
        </w:rPr>
        <w:t xml:space="preserve">PAT quantification using standard of care </w:t>
      </w:r>
      <w:r>
        <w:rPr>
          <w:sz w:val="22"/>
          <w:szCs w:val="22"/>
        </w:rPr>
        <w:t xml:space="preserve">4-chamber cine </w:t>
      </w:r>
      <w:r w:rsidRPr="00F139A6">
        <w:rPr>
          <w:sz w:val="22"/>
          <w:szCs w:val="22"/>
        </w:rPr>
        <w:t>images</w:t>
      </w:r>
      <w:r>
        <w:rPr>
          <w:sz w:val="22"/>
          <w:szCs w:val="22"/>
        </w:rPr>
        <w:t xml:space="preserve">. </w:t>
      </w:r>
      <w:r w:rsidRPr="001900FE">
        <w:rPr>
          <w:sz w:val="22"/>
          <w:szCs w:val="22"/>
        </w:rPr>
        <w:t xml:space="preserve">Throughout the study, we demonstrate that our </w:t>
      </w:r>
      <w:r w:rsidR="00A00573">
        <w:rPr>
          <w:sz w:val="22"/>
          <w:szCs w:val="22"/>
        </w:rPr>
        <w:t>QC</w:t>
      </w:r>
      <w:r w:rsidRPr="001900FE">
        <w:rPr>
          <w:sz w:val="22"/>
          <w:szCs w:val="22"/>
        </w:rPr>
        <w:t xml:space="preserve"> method functions as intended, and we </w:t>
      </w:r>
      <w:r w:rsidR="00A00573">
        <w:rPr>
          <w:sz w:val="22"/>
          <w:szCs w:val="22"/>
        </w:rPr>
        <w:t>demonstrate</w:t>
      </w:r>
      <w:r w:rsidRPr="001900FE">
        <w:rPr>
          <w:sz w:val="22"/>
          <w:szCs w:val="22"/>
        </w:rPr>
        <w:t xml:space="preserve"> that the segmentation performance of this method is equivalent to inter-observer variability</w:t>
      </w:r>
      <w:r>
        <w:rPr>
          <w:sz w:val="22"/>
          <w:szCs w:val="22"/>
        </w:rPr>
        <w:t xml:space="preserve">, </w:t>
      </w:r>
      <w:r w:rsidR="00A00573">
        <w:rPr>
          <w:sz w:val="22"/>
          <w:szCs w:val="22"/>
        </w:rPr>
        <w:t>and that</w:t>
      </w:r>
      <w:r w:rsidRPr="001900FE">
        <w:rPr>
          <w:sz w:val="22"/>
          <w:szCs w:val="22"/>
        </w:rPr>
        <w:t xml:space="preserve"> the area extracted by our method </w:t>
      </w:r>
      <w:r w:rsidR="00A00573">
        <w:rPr>
          <w:sz w:val="22"/>
          <w:szCs w:val="22"/>
        </w:rPr>
        <w:t>is</w:t>
      </w:r>
      <w:r w:rsidRPr="001900FE">
        <w:rPr>
          <w:sz w:val="22"/>
          <w:szCs w:val="22"/>
        </w:rPr>
        <w:t xml:space="preserve"> strongly correlated with measurements taken using </w:t>
      </w:r>
      <w:r>
        <w:rPr>
          <w:sz w:val="22"/>
          <w:szCs w:val="22"/>
        </w:rPr>
        <w:t>reference standard C</w:t>
      </w:r>
      <w:r w:rsidRPr="00F139A6">
        <w:rPr>
          <w:sz w:val="22"/>
          <w:szCs w:val="22"/>
        </w:rPr>
        <w:t xml:space="preserve">CT </w:t>
      </w:r>
      <w:r w:rsidR="00A00573">
        <w:rPr>
          <w:sz w:val="22"/>
          <w:szCs w:val="22"/>
        </w:rPr>
        <w:t>quantification</w:t>
      </w:r>
      <w:r>
        <w:rPr>
          <w:sz w:val="22"/>
          <w:szCs w:val="22"/>
        </w:rPr>
        <w:t>.</w:t>
      </w:r>
      <w:r w:rsidRPr="00F139A6">
        <w:rPr>
          <w:sz w:val="22"/>
          <w:szCs w:val="22"/>
        </w:rPr>
        <w:t xml:space="preserve"> </w:t>
      </w:r>
      <w:r w:rsidR="00FB07BC" w:rsidRPr="001900FE">
        <w:rPr>
          <w:sz w:val="22"/>
          <w:szCs w:val="22"/>
        </w:rPr>
        <w:t xml:space="preserve">Finally, we demonstrate that our </w:t>
      </w:r>
      <w:r w:rsidR="00527292">
        <w:rPr>
          <w:sz w:val="22"/>
          <w:szCs w:val="22"/>
        </w:rPr>
        <w:t xml:space="preserve">CMR PAT quantification </w:t>
      </w:r>
      <w:r w:rsidR="00FB07BC" w:rsidRPr="001900FE">
        <w:rPr>
          <w:sz w:val="22"/>
          <w:szCs w:val="22"/>
        </w:rPr>
        <w:t xml:space="preserve">method can recapitulate </w:t>
      </w:r>
      <w:r>
        <w:rPr>
          <w:sz w:val="22"/>
          <w:szCs w:val="22"/>
        </w:rPr>
        <w:t xml:space="preserve">known clinical associations with </w:t>
      </w:r>
      <w:r w:rsidR="00FB07BC" w:rsidRPr="001900FE">
        <w:rPr>
          <w:sz w:val="22"/>
          <w:szCs w:val="22"/>
        </w:rPr>
        <w:t>diabetes. Overall, we present a novel tool that is now ready to be used for new research.</w:t>
      </w:r>
      <w:bookmarkStart w:id="20" w:name="ethics"/>
    </w:p>
    <w:p w14:paraId="79506473" w14:textId="77777777" w:rsidR="00D55552" w:rsidRPr="00487ABF" w:rsidRDefault="00D55552" w:rsidP="00FF2DC9">
      <w:pPr>
        <w:pStyle w:val="Firstparagraph"/>
        <w:rPr>
          <w:rFonts w:cs="Times New Roman"/>
          <w:b/>
          <w:bCs/>
          <w:sz w:val="22"/>
          <w:szCs w:val="22"/>
          <w:lang w:val="en-GB"/>
        </w:rPr>
      </w:pPr>
    </w:p>
    <w:p w14:paraId="0D785956" w14:textId="14B83184" w:rsidR="00FB07BC" w:rsidRPr="00487ABF" w:rsidRDefault="00FB07BC" w:rsidP="00FF2DC9">
      <w:pPr>
        <w:pStyle w:val="Firstparagraph"/>
        <w:rPr>
          <w:rFonts w:cs="Times New Roman"/>
          <w:b/>
          <w:bCs/>
          <w:sz w:val="22"/>
          <w:szCs w:val="22"/>
          <w:lang w:val="en-GB"/>
        </w:rPr>
      </w:pPr>
      <w:r w:rsidRPr="00487ABF">
        <w:rPr>
          <w:rFonts w:cs="Times New Roman"/>
          <w:b/>
          <w:bCs/>
          <w:sz w:val="22"/>
          <w:szCs w:val="22"/>
          <w:lang w:val="en-GB"/>
        </w:rPr>
        <w:t>Ethics</w:t>
      </w:r>
      <w:bookmarkEnd w:id="20"/>
    </w:p>
    <w:p w14:paraId="7CA82CB8" w14:textId="2C21B9A6" w:rsidR="00015AD0" w:rsidRPr="00487ABF" w:rsidRDefault="00FB07BC" w:rsidP="00FF2DC9">
      <w:pPr>
        <w:rPr>
          <w:sz w:val="22"/>
          <w:szCs w:val="22"/>
        </w:rPr>
      </w:pPr>
      <w:r w:rsidRPr="00487ABF">
        <w:rPr>
          <w:sz w:val="22"/>
          <w:szCs w:val="22"/>
        </w:rPr>
        <w:t>This study was covered by the ethics approval for UKB studies from the NHS National Research Ethics Service on 17th June 2011 (Ref 11/NW/0382) and extended on 10th May 2016 (Ref 16/NW/0274). Use of paired CT and CMR data from the EVINCI study was covered by a Data Protection Impact Assessment by the Data Protection Officer of Barts Health NHS Trust</w:t>
      </w:r>
      <w:r w:rsidR="00A00573" w:rsidRPr="00487ABF">
        <w:rPr>
          <w:sz w:val="22"/>
          <w:szCs w:val="22"/>
        </w:rPr>
        <w:t xml:space="preserve">. For the original EVINCII study, </w:t>
      </w:r>
      <w:r w:rsidR="007932E1" w:rsidRPr="00487ABF">
        <w:rPr>
          <w:sz w:val="22"/>
          <w:szCs w:val="22"/>
        </w:rPr>
        <w:t xml:space="preserve">local </w:t>
      </w:r>
      <w:r w:rsidR="00A00573" w:rsidRPr="00487ABF">
        <w:rPr>
          <w:sz w:val="22"/>
          <w:szCs w:val="22"/>
        </w:rPr>
        <w:t xml:space="preserve">ethical approval was provided </w:t>
      </w:r>
      <w:r w:rsidR="00487ABF" w:rsidRPr="00487ABF">
        <w:rPr>
          <w:sz w:val="22"/>
          <w:szCs w:val="22"/>
        </w:rPr>
        <w:t>(</w:t>
      </w:r>
      <w:r w:rsidR="00487ABF" w:rsidRPr="00487ABF">
        <w:rPr>
          <w:color w:val="000000"/>
          <w:sz w:val="22"/>
          <w:szCs w:val="22"/>
          <w:shd w:val="clear" w:color="auto" w:fill="FFFFFF"/>
        </w:rPr>
        <w:t xml:space="preserve">REC Number: 10/H0721/79) </w:t>
      </w:r>
      <w:r w:rsidR="00A00573" w:rsidRPr="00487ABF">
        <w:rPr>
          <w:sz w:val="22"/>
          <w:szCs w:val="22"/>
        </w:rPr>
        <w:t>and all subjects gave written informed consent.</w:t>
      </w:r>
      <w:bookmarkStart w:id="21" w:name="acknowledgments"/>
    </w:p>
    <w:p w14:paraId="5B1631D4" w14:textId="77777777" w:rsidR="00015AD0" w:rsidRDefault="00015AD0" w:rsidP="00FF2DC9">
      <w:pPr>
        <w:pStyle w:val="Firstparagraph"/>
        <w:rPr>
          <w:rFonts w:cs="Times New Roman"/>
          <w:sz w:val="22"/>
          <w:szCs w:val="22"/>
          <w:lang w:val="en-GB"/>
        </w:rPr>
      </w:pPr>
    </w:p>
    <w:p w14:paraId="14803CCB" w14:textId="5AC88EAC" w:rsidR="00FB07BC" w:rsidRPr="00015AD0" w:rsidRDefault="00FB07BC" w:rsidP="00FF2DC9">
      <w:pPr>
        <w:pStyle w:val="Firstparagraph"/>
        <w:rPr>
          <w:rFonts w:cs="Times New Roman"/>
          <w:b/>
          <w:bCs/>
          <w:sz w:val="22"/>
          <w:szCs w:val="22"/>
          <w:lang w:val="en-GB"/>
        </w:rPr>
      </w:pPr>
      <w:r w:rsidRPr="00015AD0">
        <w:rPr>
          <w:rFonts w:cs="Times New Roman"/>
          <w:b/>
          <w:bCs/>
          <w:sz w:val="22"/>
          <w:szCs w:val="22"/>
          <w:lang w:val="en-GB"/>
        </w:rPr>
        <w:t>Acknowledgments</w:t>
      </w:r>
      <w:bookmarkEnd w:id="21"/>
    </w:p>
    <w:p w14:paraId="6BA4E0BC" w14:textId="1B15B871" w:rsidR="00FB07BC" w:rsidRDefault="00FB07BC" w:rsidP="00FF2DC9">
      <w:pPr>
        <w:pStyle w:val="Firstparagraph"/>
        <w:rPr>
          <w:rFonts w:cs="Times New Roman"/>
          <w:sz w:val="22"/>
          <w:szCs w:val="22"/>
          <w:lang w:val="en-GB"/>
        </w:rPr>
      </w:pPr>
      <w:r w:rsidRPr="001900FE">
        <w:rPr>
          <w:rFonts w:cs="Times New Roman"/>
          <w:sz w:val="22"/>
          <w:szCs w:val="22"/>
          <w:lang w:val="en-GB"/>
        </w:rPr>
        <w:t>This study was conducted using the UK Biobank resource under access application 2964. We would like to thank all the participants, staff involved with planning, collection and analysis, including core lab analysis of the CMR imaging data.</w:t>
      </w:r>
      <w:r w:rsidR="00DA0409">
        <w:rPr>
          <w:rFonts w:cs="Times New Roman"/>
          <w:sz w:val="22"/>
          <w:szCs w:val="22"/>
          <w:lang w:val="en-GB"/>
        </w:rPr>
        <w:t xml:space="preserve"> </w:t>
      </w:r>
    </w:p>
    <w:p w14:paraId="724184A2" w14:textId="568A22C7" w:rsidR="00DA0409" w:rsidRPr="00DA22CB" w:rsidRDefault="00DA0409" w:rsidP="00FF2DC9">
      <w:pPr>
        <w:pStyle w:val="BodyText"/>
        <w:rPr>
          <w:rFonts w:cs="Times New Roman"/>
          <w:sz w:val="22"/>
          <w:szCs w:val="22"/>
          <w:lang w:val="en-GB"/>
        </w:rPr>
      </w:pPr>
    </w:p>
    <w:p w14:paraId="0C6503BD" w14:textId="16B528AA" w:rsidR="00DA0409" w:rsidRPr="00DA22CB" w:rsidRDefault="00DA0409" w:rsidP="00FF2DC9">
      <w:pPr>
        <w:pStyle w:val="BodyText"/>
        <w:rPr>
          <w:rFonts w:cs="Times New Roman"/>
          <w:b/>
          <w:bCs/>
          <w:sz w:val="22"/>
          <w:szCs w:val="22"/>
          <w:lang w:val="en-GB"/>
        </w:rPr>
      </w:pPr>
      <w:r w:rsidRPr="00DA22CB">
        <w:rPr>
          <w:rFonts w:cs="Times New Roman"/>
          <w:b/>
          <w:bCs/>
          <w:sz w:val="22"/>
          <w:szCs w:val="22"/>
          <w:lang w:val="en-GB"/>
        </w:rPr>
        <w:t>Funding statement</w:t>
      </w:r>
    </w:p>
    <w:p w14:paraId="085D0A46" w14:textId="5BE18069" w:rsidR="00DA0409" w:rsidRPr="00375F39" w:rsidRDefault="00DA0409" w:rsidP="00FF2DC9">
      <w:pPr>
        <w:rPr>
          <w:sz w:val="22"/>
          <w:szCs w:val="22"/>
        </w:rPr>
      </w:pPr>
      <w:r w:rsidRPr="00DA22CB">
        <w:rPr>
          <w:sz w:val="22"/>
          <w:szCs w:val="22"/>
        </w:rPr>
        <w:t>AB, SS, and S.E.P. acknowledge support from the CAP-AI programme, London’s first AI enabling programme focused on stimulating growth in the capital’s AI Sector. CAP-AI is led by Capital Enterprise in partnership with Barts Health NHS Trust and Digital Catapult and is funded by the European Regional Development Fund and Barts Charity. This work was supported by Health Data Research UK, an initiative funded by UK Research and Innovation, Department of Health and Social Care (England) and the devolved administrations, and leading medical research charities. ZRE was supported by British Heart Foundation Clinical Research Training Fellowship No. FS/17/81/33318. A</w:t>
      </w:r>
      <w:r w:rsidR="00527292" w:rsidRPr="00DA22CB">
        <w:rPr>
          <w:sz w:val="22"/>
          <w:szCs w:val="22"/>
        </w:rPr>
        <w:t>M</w:t>
      </w:r>
      <w:r w:rsidRPr="00DA22CB">
        <w:rPr>
          <w:sz w:val="22"/>
          <w:szCs w:val="22"/>
        </w:rPr>
        <w:t xml:space="preserve">L and SEP acknowledge support from the National Institute for Health Research (NIHR Biomedical Research Centre at Barts and from the “SmartHeart” EPSRC programme grant (www.nihr.ac.uk; EP/P001009/1). SEP and PBM acknowledge support from the National Institute for Health Research (NIHR) Cardiovascular Biomedical Research Centre at Barts. SEP has received funding from the European Union’s Horizon 2020 research and innovation programme under grant agreement No 825903 (euCanSHare project). </w:t>
      </w:r>
      <w:r w:rsidR="00DA22CB" w:rsidRPr="00DA22CB">
        <w:rPr>
          <w:sz w:val="22"/>
          <w:szCs w:val="22"/>
        </w:rPr>
        <w:t xml:space="preserve">DD acknowledges support </w:t>
      </w:r>
      <w:r w:rsidR="00DA22CB" w:rsidRPr="00DA22CB">
        <w:rPr>
          <w:color w:val="201F1E"/>
          <w:sz w:val="22"/>
          <w:szCs w:val="22"/>
          <w:shd w:val="clear" w:color="auto" w:fill="FFFFFF"/>
        </w:rPr>
        <w:t>NIH grant no. 1R01HL133616</w:t>
      </w:r>
      <w:r w:rsidR="00A00573">
        <w:rPr>
          <w:color w:val="201F1E"/>
          <w:sz w:val="22"/>
          <w:szCs w:val="22"/>
          <w:shd w:val="clear" w:color="auto" w:fill="FFFFFF"/>
        </w:rPr>
        <w:t xml:space="preserve"> in development of the </w:t>
      </w:r>
      <w:r w:rsidR="00A00573" w:rsidRPr="00DA22CB">
        <w:rPr>
          <w:color w:val="201F1E"/>
          <w:sz w:val="22"/>
          <w:szCs w:val="22"/>
          <w:shd w:val="clear" w:color="auto" w:fill="FFFFFF"/>
        </w:rPr>
        <w:t xml:space="preserve">QFAT </w:t>
      </w:r>
      <w:r w:rsidR="00A00573">
        <w:rPr>
          <w:color w:val="201F1E"/>
          <w:sz w:val="22"/>
          <w:szCs w:val="22"/>
          <w:shd w:val="clear" w:color="auto" w:fill="FFFFFF"/>
        </w:rPr>
        <w:t>tool</w:t>
      </w:r>
      <w:r w:rsidR="00DA22CB" w:rsidRPr="00DA22CB">
        <w:rPr>
          <w:color w:val="201F1E"/>
          <w:sz w:val="22"/>
          <w:szCs w:val="22"/>
          <w:shd w:val="clear" w:color="auto" w:fill="FFFFFF"/>
        </w:rPr>
        <w:t xml:space="preserve">. </w:t>
      </w:r>
      <w:r w:rsidRPr="00DA22CB">
        <w:rPr>
          <w:sz w:val="22"/>
          <w:szCs w:val="22"/>
        </w:rPr>
        <w:t xml:space="preserve">SN and SKP are supported by </w:t>
      </w:r>
      <w:r w:rsidRPr="00375F39">
        <w:rPr>
          <w:sz w:val="22"/>
          <w:szCs w:val="22"/>
        </w:rPr>
        <w:t>the Oxford NIHR Biomedical Research Centre and the Oxford British Heart Foundation Centre of Research Excellence. DD is funded by NIH research grant NIH/NHLBI 1R01HL133616. NCH acknowledges support from the UK Medical Research Council (MRC #405050259</w:t>
      </w:r>
      <w:r w:rsidR="008B08C1" w:rsidRPr="00375F39">
        <w:rPr>
          <w:sz w:val="22"/>
          <w:szCs w:val="22"/>
        </w:rPr>
        <w:t>, MRC LEU</w:t>
      </w:r>
      <w:r w:rsidRPr="00375F39">
        <w:rPr>
          <w:sz w:val="22"/>
          <w:szCs w:val="22"/>
        </w:rPr>
        <w:t>), NIHR Southampton Biomedical Research Centre, University of Southampton and University Hospital Southampton. This project was enabled through access to the MRC eMedLab Medical Bioinformatics infrastructure, supported by the Medical Research Council (www.mrc.ac.uk; MR/L016311/1).</w:t>
      </w:r>
    </w:p>
    <w:p w14:paraId="659051B0" w14:textId="07050F0D" w:rsidR="00DA0409" w:rsidRPr="00375F39" w:rsidRDefault="00DA0409" w:rsidP="00FF2DC9">
      <w:pPr>
        <w:pStyle w:val="BodyText"/>
        <w:rPr>
          <w:sz w:val="22"/>
          <w:szCs w:val="22"/>
          <w:lang w:val="en-GB"/>
        </w:rPr>
      </w:pPr>
      <w:r w:rsidRPr="00375F39">
        <w:rPr>
          <w:sz w:val="22"/>
          <w:szCs w:val="22"/>
          <w:lang w:val="en-GB"/>
        </w:rPr>
        <w:br w:type="page"/>
      </w:r>
    </w:p>
    <w:p w14:paraId="6669C242" w14:textId="4F700FBB" w:rsidR="00DA0409" w:rsidRPr="00DA0409" w:rsidRDefault="00DA0409" w:rsidP="00FF2DC9">
      <w:pPr>
        <w:pStyle w:val="BodyText"/>
        <w:rPr>
          <w:b/>
          <w:bCs/>
          <w:lang w:val="en-GB"/>
        </w:rPr>
      </w:pPr>
      <w:r w:rsidRPr="00DA0409">
        <w:rPr>
          <w:b/>
          <w:bCs/>
          <w:lang w:val="en-GB"/>
        </w:rPr>
        <w:t>References</w:t>
      </w:r>
    </w:p>
    <w:p w14:paraId="1A5A9B10" w14:textId="0CAA630A" w:rsidR="00D441C9" w:rsidRPr="00D441C9" w:rsidRDefault="007932E1" w:rsidP="00D441C9">
      <w:pPr>
        <w:widowControl w:val="0"/>
        <w:autoSpaceDE w:val="0"/>
        <w:autoSpaceDN w:val="0"/>
        <w:adjustRightInd w:val="0"/>
        <w:ind w:left="640" w:hanging="64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D441C9" w:rsidRPr="00D441C9">
        <w:rPr>
          <w:noProof/>
          <w:sz w:val="22"/>
        </w:rPr>
        <w:t xml:space="preserve">1. </w:t>
      </w:r>
      <w:r w:rsidR="00D441C9" w:rsidRPr="00D441C9">
        <w:rPr>
          <w:noProof/>
          <w:sz w:val="22"/>
        </w:rPr>
        <w:tab/>
        <w:t xml:space="preserve">Wong CX, Ganesan AN, Selvanayagam JB. Epicardial fat and atrial fibrillation: Current evidence, potential mechanisms, clinical implications, and future directions. </w:t>
      </w:r>
      <w:r w:rsidR="00D441C9" w:rsidRPr="00D441C9">
        <w:rPr>
          <w:i/>
          <w:iCs/>
          <w:noProof/>
          <w:sz w:val="22"/>
        </w:rPr>
        <w:t>Eur Heart J</w:t>
      </w:r>
      <w:r w:rsidR="00D441C9" w:rsidRPr="00D441C9">
        <w:rPr>
          <w:noProof/>
          <w:sz w:val="22"/>
        </w:rPr>
        <w:t xml:space="preserve"> (2017) </w:t>
      </w:r>
      <w:r w:rsidR="00D441C9" w:rsidRPr="00D441C9">
        <w:rPr>
          <w:b/>
          <w:bCs/>
          <w:noProof/>
          <w:sz w:val="22"/>
        </w:rPr>
        <w:t>38</w:t>
      </w:r>
      <w:r w:rsidR="00D441C9" w:rsidRPr="00D441C9">
        <w:rPr>
          <w:noProof/>
          <w:sz w:val="22"/>
        </w:rPr>
        <w:t>:1294–1302. doi:10.1093/eurheartj/ehw045</w:t>
      </w:r>
    </w:p>
    <w:p w14:paraId="20FB6418" w14:textId="1815D2A5"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 </w:t>
      </w:r>
      <w:r w:rsidRPr="00D441C9">
        <w:rPr>
          <w:noProof/>
          <w:sz w:val="22"/>
        </w:rPr>
        <w:tab/>
        <w:t xml:space="preserve">Li Y, Liu B, Li Y, Jing X, Deng S, Yan Y, </w:t>
      </w:r>
      <w:r>
        <w:rPr>
          <w:noProof/>
          <w:sz w:val="22"/>
        </w:rPr>
        <w:t>et al</w:t>
      </w:r>
      <w:r w:rsidRPr="00D441C9">
        <w:rPr>
          <w:noProof/>
          <w:sz w:val="22"/>
        </w:rPr>
        <w:t xml:space="preserve">. Epicardial fat tissue in patients with diabetes mellitus: A systematic review and meta-analysis. </w:t>
      </w:r>
      <w:r w:rsidRPr="00D441C9">
        <w:rPr>
          <w:i/>
          <w:iCs/>
          <w:noProof/>
          <w:sz w:val="22"/>
        </w:rPr>
        <w:t>Cardiovasc Diabetol</w:t>
      </w:r>
      <w:r w:rsidRPr="00D441C9">
        <w:rPr>
          <w:noProof/>
          <w:sz w:val="22"/>
        </w:rPr>
        <w:t xml:space="preserve"> (2019) doi:10.1186/s12933-019-0807-3</w:t>
      </w:r>
    </w:p>
    <w:p w14:paraId="673BB7CB" w14:textId="2E9519EA"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3. </w:t>
      </w:r>
      <w:r w:rsidRPr="00D441C9">
        <w:rPr>
          <w:noProof/>
          <w:sz w:val="22"/>
        </w:rPr>
        <w:tab/>
        <w:t xml:space="preserve">Greif M, Becker A, Von Ziegler F, Lebherz C, Lehrke M, Broedl UC, et al. Pericardial Adipose Tissue Determined by Dual Source CT Is a Risk Factor for Coronary Atherosclerosis. </w:t>
      </w:r>
      <w:r w:rsidRPr="00D441C9">
        <w:rPr>
          <w:i/>
          <w:iCs/>
          <w:noProof/>
          <w:sz w:val="22"/>
        </w:rPr>
        <w:t>Arterioscler Thromb Vasc Biol</w:t>
      </w:r>
      <w:r w:rsidRPr="00D441C9">
        <w:rPr>
          <w:noProof/>
          <w:sz w:val="22"/>
        </w:rPr>
        <w:t xml:space="preserve"> (2009) </w:t>
      </w:r>
      <w:r w:rsidRPr="00D441C9">
        <w:rPr>
          <w:b/>
          <w:bCs/>
          <w:noProof/>
          <w:sz w:val="22"/>
        </w:rPr>
        <w:t>29</w:t>
      </w:r>
      <w:r w:rsidRPr="00D441C9">
        <w:rPr>
          <w:noProof/>
          <w:sz w:val="22"/>
        </w:rPr>
        <w:t>:781–786. doi:10.1161/ATVBAHA.108.180653</w:t>
      </w:r>
    </w:p>
    <w:p w14:paraId="7906E718" w14:textId="45105160"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4. </w:t>
      </w:r>
      <w:r w:rsidRPr="00D441C9">
        <w:rPr>
          <w:noProof/>
          <w:sz w:val="22"/>
        </w:rPr>
        <w:tab/>
        <w:t xml:space="preserve">Mahabadi AA, Berg MH, Lehmann N, Kälsch H, Bauer M, Kara K, et al. Association of epicardial fat with cardiovascular risk factors and incident myocardial infarction in the general population: The Heinz Nixdorf recall study. </w:t>
      </w:r>
      <w:r w:rsidRPr="00D441C9">
        <w:rPr>
          <w:i/>
          <w:iCs/>
          <w:noProof/>
          <w:sz w:val="22"/>
        </w:rPr>
        <w:t>J Am Coll Cardiol</w:t>
      </w:r>
      <w:r w:rsidRPr="00D441C9">
        <w:rPr>
          <w:noProof/>
          <w:sz w:val="22"/>
        </w:rPr>
        <w:t xml:space="preserve"> (2013) </w:t>
      </w:r>
      <w:r w:rsidRPr="00D441C9">
        <w:rPr>
          <w:b/>
          <w:bCs/>
          <w:noProof/>
          <w:sz w:val="22"/>
        </w:rPr>
        <w:t>61</w:t>
      </w:r>
      <w:r w:rsidRPr="00D441C9">
        <w:rPr>
          <w:noProof/>
          <w:sz w:val="22"/>
        </w:rPr>
        <w:t>:1388–1395. doi:10.1016/j.jacc.2012.11.062</w:t>
      </w:r>
    </w:p>
    <w:p w14:paraId="18DC89B1"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5. </w:t>
      </w:r>
      <w:r w:rsidRPr="00D441C9">
        <w:rPr>
          <w:noProof/>
          <w:sz w:val="22"/>
        </w:rPr>
        <w:tab/>
        <w:t xml:space="preserve">Iacobellis G, Bianco AC. Epicardial adipose tissue: Emerging physiological, pathophysiological and clinical features. </w:t>
      </w:r>
      <w:r w:rsidRPr="00D441C9">
        <w:rPr>
          <w:i/>
          <w:iCs/>
          <w:noProof/>
          <w:sz w:val="22"/>
        </w:rPr>
        <w:t>Trends Endocrinol Metab</w:t>
      </w:r>
      <w:r w:rsidRPr="00D441C9">
        <w:rPr>
          <w:noProof/>
          <w:sz w:val="22"/>
        </w:rPr>
        <w:t xml:space="preserve"> (2011) </w:t>
      </w:r>
      <w:r w:rsidRPr="00D441C9">
        <w:rPr>
          <w:b/>
          <w:bCs/>
          <w:noProof/>
          <w:sz w:val="22"/>
        </w:rPr>
        <w:t>22</w:t>
      </w:r>
      <w:r w:rsidRPr="00D441C9">
        <w:rPr>
          <w:noProof/>
          <w:sz w:val="22"/>
        </w:rPr>
        <w:t>:450–457. doi:10.1016/j.tem.2011.07.003</w:t>
      </w:r>
    </w:p>
    <w:p w14:paraId="5F9B1C72" w14:textId="59F7A60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6. </w:t>
      </w:r>
      <w:r w:rsidRPr="00D441C9">
        <w:rPr>
          <w:noProof/>
          <w:sz w:val="22"/>
        </w:rPr>
        <w:tab/>
        <w:t xml:space="preserve">Cheng KH, Chu CS, Lee KT, Lin TH, Hsieh CC, Chiu CC, </w:t>
      </w:r>
      <w:r>
        <w:rPr>
          <w:noProof/>
          <w:sz w:val="22"/>
        </w:rPr>
        <w:t>et al</w:t>
      </w:r>
      <w:r w:rsidRPr="00D441C9">
        <w:rPr>
          <w:noProof/>
          <w:sz w:val="22"/>
        </w:rPr>
        <w:t xml:space="preserve">. Adipocytokines and proinflammatory mediators from abdominal and epicardial adipose tissue in patients with coronary artery disease. </w:t>
      </w:r>
      <w:r w:rsidRPr="00D441C9">
        <w:rPr>
          <w:i/>
          <w:iCs/>
          <w:noProof/>
          <w:sz w:val="22"/>
        </w:rPr>
        <w:t>Int J Obes</w:t>
      </w:r>
      <w:r w:rsidRPr="00D441C9">
        <w:rPr>
          <w:noProof/>
          <w:sz w:val="22"/>
        </w:rPr>
        <w:t xml:space="preserve"> (2008) </w:t>
      </w:r>
      <w:r w:rsidRPr="00D441C9">
        <w:rPr>
          <w:b/>
          <w:bCs/>
          <w:noProof/>
          <w:sz w:val="22"/>
        </w:rPr>
        <w:t>32</w:t>
      </w:r>
      <w:r w:rsidRPr="00D441C9">
        <w:rPr>
          <w:noProof/>
          <w:sz w:val="22"/>
        </w:rPr>
        <w:t>:268–274. doi:10.1038/sj.ijo.0803726</w:t>
      </w:r>
    </w:p>
    <w:p w14:paraId="5C9F36C0" w14:textId="1DBE6062"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7. </w:t>
      </w:r>
      <w:r w:rsidRPr="00D441C9">
        <w:rPr>
          <w:noProof/>
          <w:sz w:val="22"/>
        </w:rPr>
        <w:tab/>
        <w:t xml:space="preserve">Commandeur F, Goeller M, Razipour A, Cadet S, Hell MM, Kwiecinski J, et al. Fully Automated CT Quantification of Epicardial Adipose Tissue by Deep Learning: A Multicenter Study. </w:t>
      </w:r>
      <w:r w:rsidRPr="00D441C9">
        <w:rPr>
          <w:i/>
          <w:iCs/>
          <w:noProof/>
          <w:sz w:val="22"/>
        </w:rPr>
        <w:t>Radiol Artif Intell</w:t>
      </w:r>
      <w:r w:rsidRPr="00D441C9">
        <w:rPr>
          <w:noProof/>
          <w:sz w:val="22"/>
        </w:rPr>
        <w:t xml:space="preserve"> (2019) </w:t>
      </w:r>
      <w:r w:rsidRPr="00D441C9">
        <w:rPr>
          <w:b/>
          <w:bCs/>
          <w:noProof/>
          <w:sz w:val="22"/>
        </w:rPr>
        <w:t>1</w:t>
      </w:r>
      <w:r w:rsidRPr="00D441C9">
        <w:rPr>
          <w:noProof/>
          <w:sz w:val="22"/>
        </w:rPr>
        <w:t>:e190045. doi:10.1148/ryai.2019190045</w:t>
      </w:r>
    </w:p>
    <w:p w14:paraId="63044ED2" w14:textId="7754F8C3"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8. </w:t>
      </w:r>
      <w:r w:rsidRPr="00D441C9">
        <w:rPr>
          <w:noProof/>
          <w:sz w:val="22"/>
        </w:rPr>
        <w:tab/>
        <w:t xml:space="preserve">Eisenberg E, McElhinney PA, Commandeur F, Chen X, Cadet S, Goeller M, et al. Deep Learning-Based Quantification of Epicardial Adipose Tissue Volume and Attenuation Predicts Major Adverse Cardiovascular Events in Asymptomatic Subjects. </w:t>
      </w:r>
      <w:r w:rsidRPr="00D441C9">
        <w:rPr>
          <w:i/>
          <w:iCs/>
          <w:noProof/>
          <w:sz w:val="22"/>
        </w:rPr>
        <w:t>Circ Cardiovasc Imaging</w:t>
      </w:r>
      <w:r w:rsidRPr="00D441C9">
        <w:rPr>
          <w:noProof/>
          <w:sz w:val="22"/>
        </w:rPr>
        <w:t xml:space="preserve"> (2020) </w:t>
      </w:r>
      <w:r w:rsidRPr="00D441C9">
        <w:rPr>
          <w:b/>
          <w:bCs/>
          <w:noProof/>
          <w:sz w:val="22"/>
        </w:rPr>
        <w:t>13</w:t>
      </w:r>
      <w:r w:rsidRPr="00D441C9">
        <w:rPr>
          <w:noProof/>
          <w:sz w:val="22"/>
        </w:rPr>
        <w:t>: doi:10.1161/CIRCIMAGING.119.009829</w:t>
      </w:r>
    </w:p>
    <w:p w14:paraId="3750BDC9" w14:textId="071E02DF"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9. </w:t>
      </w:r>
      <w:r w:rsidRPr="00D441C9">
        <w:rPr>
          <w:noProof/>
          <w:sz w:val="22"/>
        </w:rPr>
        <w:tab/>
        <w:t xml:space="preserve">Spearman JV, Meinel FG, Schoepf UJ, Apfaltrer P, Silverman JR, Krazinski AW, </w:t>
      </w:r>
      <w:r>
        <w:rPr>
          <w:noProof/>
          <w:sz w:val="22"/>
        </w:rPr>
        <w:t>et al</w:t>
      </w:r>
      <w:r w:rsidRPr="00D441C9">
        <w:rPr>
          <w:noProof/>
          <w:sz w:val="22"/>
        </w:rPr>
        <w:t xml:space="preserve">. Automated quantification of epicardial adipose tissue using CT angiography: Evaluation of a prototype software. </w:t>
      </w:r>
      <w:r w:rsidRPr="00D441C9">
        <w:rPr>
          <w:i/>
          <w:iCs/>
          <w:noProof/>
          <w:sz w:val="22"/>
        </w:rPr>
        <w:t>Eur Radiol</w:t>
      </w:r>
      <w:r w:rsidRPr="00D441C9">
        <w:rPr>
          <w:noProof/>
          <w:sz w:val="22"/>
        </w:rPr>
        <w:t xml:space="preserve"> (2014) </w:t>
      </w:r>
      <w:r w:rsidRPr="00D441C9">
        <w:rPr>
          <w:b/>
          <w:bCs/>
          <w:noProof/>
          <w:sz w:val="22"/>
        </w:rPr>
        <w:t>24</w:t>
      </w:r>
      <w:r w:rsidRPr="00D441C9">
        <w:rPr>
          <w:noProof/>
          <w:sz w:val="22"/>
        </w:rPr>
        <w:t>:519–526. doi:10.1007/s00330-013-3052-2</w:t>
      </w:r>
    </w:p>
    <w:p w14:paraId="2F8D8649" w14:textId="5B8C6292"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10. </w:t>
      </w:r>
      <w:r w:rsidRPr="00D441C9">
        <w:rPr>
          <w:noProof/>
          <w:sz w:val="22"/>
        </w:rPr>
        <w:tab/>
        <w:t xml:space="preserve">Petersen SE, Matthews PM, Bamberg F, Bluemke DA, Francis JM, Friedrich MG, et al. Imaging in population science: cardiovascular magnetic resonance in 100,000 participants of UK Biobank - rationale, challenges and approaches. </w:t>
      </w:r>
      <w:r w:rsidRPr="00D441C9">
        <w:rPr>
          <w:i/>
          <w:iCs/>
          <w:noProof/>
          <w:sz w:val="22"/>
        </w:rPr>
        <w:t>J Cardiovasc Magn Reson</w:t>
      </w:r>
      <w:r w:rsidRPr="00D441C9">
        <w:rPr>
          <w:noProof/>
          <w:sz w:val="22"/>
        </w:rPr>
        <w:t xml:space="preserve"> (2013) </w:t>
      </w:r>
      <w:r w:rsidRPr="00D441C9">
        <w:rPr>
          <w:b/>
          <w:bCs/>
          <w:noProof/>
          <w:sz w:val="22"/>
        </w:rPr>
        <w:t>15</w:t>
      </w:r>
      <w:r w:rsidRPr="00D441C9">
        <w:rPr>
          <w:noProof/>
          <w:sz w:val="22"/>
        </w:rPr>
        <w:t>:46. doi:10.1186/1532-429X-15-46</w:t>
      </w:r>
    </w:p>
    <w:p w14:paraId="6365762F" w14:textId="29FE4BBC"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11. </w:t>
      </w:r>
      <w:r w:rsidRPr="00D441C9">
        <w:rPr>
          <w:noProof/>
          <w:sz w:val="22"/>
        </w:rPr>
        <w:tab/>
        <w:t xml:space="preserve">Bild DE, Bluemke DA, Burke GL, Detrano R, Diez Roux AV, Folsom AR, et al. Multi-Ethnic Study of Atherosclerosis: Objectives and design. </w:t>
      </w:r>
      <w:r w:rsidRPr="00D441C9">
        <w:rPr>
          <w:i/>
          <w:iCs/>
          <w:noProof/>
          <w:sz w:val="22"/>
        </w:rPr>
        <w:t>Am J Epidemiol</w:t>
      </w:r>
      <w:r w:rsidRPr="00D441C9">
        <w:rPr>
          <w:noProof/>
          <w:sz w:val="22"/>
        </w:rPr>
        <w:t xml:space="preserve"> (2002) </w:t>
      </w:r>
      <w:r w:rsidRPr="00D441C9">
        <w:rPr>
          <w:b/>
          <w:bCs/>
          <w:noProof/>
          <w:sz w:val="22"/>
        </w:rPr>
        <w:t>156</w:t>
      </w:r>
      <w:r w:rsidRPr="00D441C9">
        <w:rPr>
          <w:noProof/>
          <w:sz w:val="22"/>
        </w:rPr>
        <w:t>:871–881. doi:10.1093/aje/kwf113</w:t>
      </w:r>
    </w:p>
    <w:p w14:paraId="4673D6D8" w14:textId="09CB8A88"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12. </w:t>
      </w:r>
      <w:r w:rsidRPr="00D441C9">
        <w:rPr>
          <w:noProof/>
          <w:sz w:val="22"/>
        </w:rPr>
        <w:tab/>
        <w:t xml:space="preserve">Salton CJ, Chuang ML, O’Donnell CJ, Kupka MJ, Larson MG, Kissinger KV, </w:t>
      </w:r>
      <w:r>
        <w:rPr>
          <w:noProof/>
          <w:sz w:val="22"/>
        </w:rPr>
        <w:t>et al</w:t>
      </w:r>
      <w:r w:rsidRPr="00D441C9">
        <w:rPr>
          <w:noProof/>
          <w:sz w:val="22"/>
        </w:rPr>
        <w:t xml:space="preserve">. Gender differences and normal left ventricular anatomy in an adult population free of hypertension: A cardiovascular magnetic resonance study of the Framingham Heart Study Offspring cohort. </w:t>
      </w:r>
      <w:r w:rsidRPr="00D441C9">
        <w:rPr>
          <w:i/>
          <w:iCs/>
          <w:noProof/>
          <w:sz w:val="22"/>
        </w:rPr>
        <w:t>J Am Coll Cardiol</w:t>
      </w:r>
      <w:r w:rsidRPr="00D441C9">
        <w:rPr>
          <w:noProof/>
          <w:sz w:val="22"/>
        </w:rPr>
        <w:t xml:space="preserve"> (2002) </w:t>
      </w:r>
      <w:r w:rsidRPr="00D441C9">
        <w:rPr>
          <w:b/>
          <w:bCs/>
          <w:noProof/>
          <w:sz w:val="22"/>
        </w:rPr>
        <w:t>39</w:t>
      </w:r>
      <w:r w:rsidRPr="00D441C9">
        <w:rPr>
          <w:noProof/>
          <w:sz w:val="22"/>
        </w:rPr>
        <w:t>:1055–1060. doi:10.1016/S0735-1097(02)01712-6</w:t>
      </w:r>
    </w:p>
    <w:p w14:paraId="6505FA47" w14:textId="264A7209"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13. </w:t>
      </w:r>
      <w:r w:rsidRPr="00D441C9">
        <w:rPr>
          <w:noProof/>
          <w:sz w:val="22"/>
        </w:rPr>
        <w:tab/>
        <w:t xml:space="preserve">Petersen SE, Matthews PM, Francis JM, Robson MD, Zemrak F, Boubertakh R, et al. UK Biobank’s cardiovascular magnetic resonance protocol. </w:t>
      </w:r>
      <w:r w:rsidRPr="00D441C9">
        <w:rPr>
          <w:i/>
          <w:iCs/>
          <w:noProof/>
          <w:sz w:val="22"/>
        </w:rPr>
        <w:t>J Cardiovasc Magn Reson</w:t>
      </w:r>
      <w:r w:rsidRPr="00D441C9">
        <w:rPr>
          <w:noProof/>
          <w:sz w:val="22"/>
        </w:rPr>
        <w:t xml:space="preserve"> (2015) </w:t>
      </w:r>
      <w:r w:rsidRPr="00D441C9">
        <w:rPr>
          <w:b/>
          <w:bCs/>
          <w:noProof/>
          <w:sz w:val="22"/>
        </w:rPr>
        <w:t>18</w:t>
      </w:r>
      <w:r w:rsidRPr="00D441C9">
        <w:rPr>
          <w:noProof/>
          <w:sz w:val="22"/>
        </w:rPr>
        <w:t>:8. doi:10.1186/s12968-016-0227-4</w:t>
      </w:r>
    </w:p>
    <w:p w14:paraId="315F5F85" w14:textId="713E12C2"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14. </w:t>
      </w:r>
      <w:r w:rsidRPr="00D441C9">
        <w:rPr>
          <w:noProof/>
          <w:sz w:val="22"/>
        </w:rPr>
        <w:tab/>
        <w:t xml:space="preserve">Ding X, Pang J, Ren Z, Diaz-Zamudio M, Jiang C, Fan Z, et al. Automated pericardial fat quantification from coronary magnetic resonance angiography: feasibility study. </w:t>
      </w:r>
      <w:r w:rsidRPr="00D441C9">
        <w:rPr>
          <w:i/>
          <w:iCs/>
          <w:noProof/>
          <w:sz w:val="22"/>
        </w:rPr>
        <w:t>J Med Imaging</w:t>
      </w:r>
      <w:r w:rsidRPr="00D441C9">
        <w:rPr>
          <w:noProof/>
          <w:sz w:val="22"/>
        </w:rPr>
        <w:t xml:space="preserve"> (2016) </w:t>
      </w:r>
      <w:r w:rsidRPr="00D441C9">
        <w:rPr>
          <w:b/>
          <w:bCs/>
          <w:noProof/>
          <w:sz w:val="22"/>
        </w:rPr>
        <w:t>3</w:t>
      </w:r>
      <w:r w:rsidRPr="00D441C9">
        <w:rPr>
          <w:noProof/>
          <w:sz w:val="22"/>
        </w:rPr>
        <w:t>:014002. doi:10.1117/1.jmi.3.1.014002</w:t>
      </w:r>
    </w:p>
    <w:p w14:paraId="32E0301C" w14:textId="6ACA9F81"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15. </w:t>
      </w:r>
      <w:r w:rsidRPr="00D441C9">
        <w:rPr>
          <w:noProof/>
          <w:sz w:val="22"/>
        </w:rPr>
        <w:tab/>
        <w:t xml:space="preserve">Rado SD, Lorbeer R, Gatidis S, Machann J, Storz C, Nikolaou K, et al. MRI-based assessment and characterization of epicardial and paracardial fat depots in the context of impaired glucose metabolism and subclinical left-ventricular alterations. </w:t>
      </w:r>
      <w:r w:rsidRPr="00D441C9">
        <w:rPr>
          <w:i/>
          <w:iCs/>
          <w:noProof/>
          <w:sz w:val="22"/>
        </w:rPr>
        <w:t>Br J Radiol</w:t>
      </w:r>
      <w:r w:rsidRPr="00D441C9">
        <w:rPr>
          <w:noProof/>
          <w:sz w:val="22"/>
        </w:rPr>
        <w:t xml:space="preserve"> (2019) </w:t>
      </w:r>
      <w:r w:rsidRPr="00D441C9">
        <w:rPr>
          <w:b/>
          <w:bCs/>
          <w:noProof/>
          <w:sz w:val="22"/>
        </w:rPr>
        <w:t>92</w:t>
      </w:r>
      <w:r w:rsidRPr="00D441C9">
        <w:rPr>
          <w:noProof/>
          <w:sz w:val="22"/>
        </w:rPr>
        <w:t>: doi:10.1259/bjr.20180562</w:t>
      </w:r>
    </w:p>
    <w:p w14:paraId="5DA25DE3" w14:textId="47CEA8F4"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16. </w:t>
      </w:r>
      <w:r w:rsidRPr="00D441C9">
        <w:rPr>
          <w:noProof/>
          <w:sz w:val="22"/>
        </w:rPr>
        <w:tab/>
        <w:t xml:space="preserve">Sengupta PP, Shrestha S, Berthon B, Messas E, Donal E, Tison GH, et al. Proposed Requirements for Cardiovascular Imaging-Related Machine Learning Evaluation (PRIME): A Checklist: Reviewed by the American College of Cardiology Healthcare Innovation Council. </w:t>
      </w:r>
      <w:r w:rsidRPr="00D441C9">
        <w:rPr>
          <w:i/>
          <w:iCs/>
          <w:noProof/>
          <w:sz w:val="22"/>
        </w:rPr>
        <w:t>JACC Cardiovasc Imaging</w:t>
      </w:r>
      <w:r w:rsidRPr="00D441C9">
        <w:rPr>
          <w:noProof/>
          <w:sz w:val="22"/>
        </w:rPr>
        <w:t xml:space="preserve"> (2020) </w:t>
      </w:r>
      <w:r w:rsidRPr="00D441C9">
        <w:rPr>
          <w:b/>
          <w:bCs/>
          <w:noProof/>
          <w:sz w:val="22"/>
        </w:rPr>
        <w:t>13</w:t>
      </w:r>
      <w:r w:rsidRPr="00D441C9">
        <w:rPr>
          <w:noProof/>
          <w:sz w:val="22"/>
        </w:rPr>
        <w:t>:2017–2035. doi:10.1016/j.jcmg.2020.07.015</w:t>
      </w:r>
    </w:p>
    <w:p w14:paraId="38F8C4C0"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17. </w:t>
      </w:r>
      <w:r w:rsidRPr="00D441C9">
        <w:rPr>
          <w:noProof/>
          <w:sz w:val="22"/>
        </w:rPr>
        <w:tab/>
        <w:t xml:space="preserve">Raisi-Estabragh Z, Petersen SE. Cardiovascular research highlights from the UK Biobank: opportunities and challenges. </w:t>
      </w:r>
      <w:r w:rsidRPr="00D441C9">
        <w:rPr>
          <w:i/>
          <w:iCs/>
          <w:noProof/>
          <w:sz w:val="22"/>
        </w:rPr>
        <w:t>Cardiovasc Res</w:t>
      </w:r>
      <w:r w:rsidRPr="00D441C9">
        <w:rPr>
          <w:noProof/>
          <w:sz w:val="22"/>
        </w:rPr>
        <w:t xml:space="preserve"> (2020) </w:t>
      </w:r>
      <w:r w:rsidRPr="00D441C9">
        <w:rPr>
          <w:b/>
          <w:bCs/>
          <w:noProof/>
          <w:sz w:val="22"/>
        </w:rPr>
        <w:t>116</w:t>
      </w:r>
      <w:r w:rsidRPr="00D441C9">
        <w:rPr>
          <w:noProof/>
          <w:sz w:val="22"/>
        </w:rPr>
        <w:t>:e12–e15. doi:10.1093/cvr/cvz294</w:t>
      </w:r>
    </w:p>
    <w:p w14:paraId="3AA0DA2F"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18. </w:t>
      </w:r>
      <w:r w:rsidRPr="00D441C9">
        <w:rPr>
          <w:noProof/>
          <w:sz w:val="22"/>
        </w:rPr>
        <w:tab/>
        <w:t>UK Biobank: Protocol for a large-scale prospective epidemiological resource. (2007) Available at: https://www.ukbiobank.ac.uk/wp-content/uploads/2011/11/UK-Biobank-Protocol.pdf [Accessed December 13, 2019]</w:t>
      </w:r>
    </w:p>
    <w:p w14:paraId="47DF0E25"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19. </w:t>
      </w:r>
      <w:r w:rsidRPr="00D441C9">
        <w:rPr>
          <w:noProof/>
          <w:sz w:val="22"/>
        </w:rPr>
        <w:tab/>
        <w:t xml:space="preserve">Raisi-Estabragh Z, Harvey NC, Neubauer S, Petersen SE. Cardiovascular magnetic resonance imaging in the UK Biobank: a major international health research resource. </w:t>
      </w:r>
      <w:r w:rsidRPr="00D441C9">
        <w:rPr>
          <w:i/>
          <w:iCs/>
          <w:noProof/>
          <w:sz w:val="22"/>
        </w:rPr>
        <w:t>Eur Hear J - Cardiovasc Imaging</w:t>
      </w:r>
      <w:r w:rsidRPr="00D441C9">
        <w:rPr>
          <w:noProof/>
          <w:sz w:val="22"/>
        </w:rPr>
        <w:t xml:space="preserve"> (2020)jea297. doi:10.1093/ehjci/jeaa297</w:t>
      </w:r>
    </w:p>
    <w:p w14:paraId="532E8FCF" w14:textId="18CFD071"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20. </w:t>
      </w:r>
      <w:r w:rsidRPr="00D441C9">
        <w:rPr>
          <w:noProof/>
          <w:sz w:val="22"/>
        </w:rPr>
        <w:tab/>
        <w:t xml:space="preserve">Bai W, Sinclair M, Tarroni G, Oktay O, Rajchl M, Vaillant G, et al. Automated cardiovascular magnetic resonance image analysis with fully convolutional networks. </w:t>
      </w:r>
      <w:r w:rsidRPr="00D441C9">
        <w:rPr>
          <w:i/>
          <w:iCs/>
          <w:noProof/>
          <w:sz w:val="22"/>
        </w:rPr>
        <w:t>J Cardiovasc Magn Reson</w:t>
      </w:r>
      <w:r w:rsidRPr="00D441C9">
        <w:rPr>
          <w:noProof/>
          <w:sz w:val="22"/>
        </w:rPr>
        <w:t xml:space="preserve"> (2018) </w:t>
      </w:r>
      <w:r w:rsidRPr="00D441C9">
        <w:rPr>
          <w:b/>
          <w:bCs/>
          <w:noProof/>
          <w:sz w:val="22"/>
        </w:rPr>
        <w:t>20</w:t>
      </w:r>
      <w:r w:rsidRPr="00D441C9">
        <w:rPr>
          <w:noProof/>
          <w:sz w:val="22"/>
        </w:rPr>
        <w:t>:65. doi:10.1186/s12968-018-0471-x</w:t>
      </w:r>
    </w:p>
    <w:p w14:paraId="3C4FE765"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21. </w:t>
      </w:r>
      <w:r w:rsidRPr="00D441C9">
        <w:rPr>
          <w:noProof/>
          <w:sz w:val="22"/>
        </w:rPr>
        <w:tab/>
        <w:t xml:space="preserve">Ronneberger O, Fischer P, Brox T. U-net: Convolutional networks for biomedical image segmentation. </w:t>
      </w:r>
      <w:r w:rsidRPr="00D441C9">
        <w:rPr>
          <w:i/>
          <w:iCs/>
          <w:noProof/>
          <w:sz w:val="22"/>
        </w:rPr>
        <w:t>Lect Notes Comput Sci (including Subser Lect Notes Artif Intell Lect Notes Bioinformatics)</w:t>
      </w:r>
      <w:r w:rsidRPr="00D441C9">
        <w:rPr>
          <w:noProof/>
          <w:sz w:val="22"/>
        </w:rPr>
        <w:t xml:space="preserve"> (2015) </w:t>
      </w:r>
      <w:r w:rsidRPr="00D441C9">
        <w:rPr>
          <w:b/>
          <w:bCs/>
          <w:noProof/>
          <w:sz w:val="22"/>
        </w:rPr>
        <w:t>9351</w:t>
      </w:r>
      <w:r w:rsidRPr="00D441C9">
        <w:rPr>
          <w:noProof/>
          <w:sz w:val="22"/>
        </w:rPr>
        <w:t>:234–241. doi:10.1007/978-3-319-24574-4_28</w:t>
      </w:r>
    </w:p>
    <w:p w14:paraId="606CD672"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22. </w:t>
      </w:r>
      <w:r w:rsidRPr="00D441C9">
        <w:rPr>
          <w:noProof/>
          <w:sz w:val="22"/>
        </w:rPr>
        <w:tab/>
        <w:t xml:space="preserve">Drozdzal M, Vorontsov E, Chartrand G, Kadoury S, Pal C. </w:t>
      </w:r>
      <w:r w:rsidRPr="00D441C9">
        <w:rPr>
          <w:i/>
          <w:iCs/>
          <w:noProof/>
          <w:sz w:val="22"/>
        </w:rPr>
        <w:t>Lecture Notes in Computer Science (including subseries Lecture Notes in Artificial Intelligence and Lecture Notes in Bioinformatics)</w:t>
      </w:r>
      <w:r w:rsidRPr="00D441C9">
        <w:rPr>
          <w:noProof/>
          <w:sz w:val="22"/>
        </w:rPr>
        <w:t>. (2016). Available at: https://link.springer.com/bookseries/558 [Accessed October 31, 2020]</w:t>
      </w:r>
    </w:p>
    <w:p w14:paraId="4A6BBB90"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23. </w:t>
      </w:r>
      <w:r w:rsidRPr="00D441C9">
        <w:rPr>
          <w:noProof/>
          <w:sz w:val="22"/>
        </w:rPr>
        <w:tab/>
        <w:t xml:space="preserve">Ibtehaz N, Rahman MS. MultiResUNet: Rethinking the U-Net architecture for multimodal biomedical image segmentation. </w:t>
      </w:r>
      <w:r w:rsidRPr="00D441C9">
        <w:rPr>
          <w:i/>
          <w:iCs/>
          <w:noProof/>
          <w:sz w:val="22"/>
        </w:rPr>
        <w:t>Neural Networks</w:t>
      </w:r>
      <w:r w:rsidRPr="00D441C9">
        <w:rPr>
          <w:noProof/>
          <w:sz w:val="22"/>
        </w:rPr>
        <w:t xml:space="preserve"> (2020) </w:t>
      </w:r>
      <w:r w:rsidRPr="00D441C9">
        <w:rPr>
          <w:b/>
          <w:bCs/>
          <w:noProof/>
          <w:sz w:val="22"/>
        </w:rPr>
        <w:t>121</w:t>
      </w:r>
      <w:r w:rsidRPr="00D441C9">
        <w:rPr>
          <w:noProof/>
          <w:sz w:val="22"/>
        </w:rPr>
        <w:t>:74–87. doi:10.1016/j.neunet.2019.08.025</w:t>
      </w:r>
    </w:p>
    <w:p w14:paraId="22076F96"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24. </w:t>
      </w:r>
      <w:r w:rsidRPr="00D441C9">
        <w:rPr>
          <w:noProof/>
          <w:sz w:val="22"/>
        </w:rPr>
        <w:tab/>
        <w:t xml:space="preserve">Roy AG, Conjeti S, Navab N, Wachinger C. Bayesian QuickNAT: Model uncertainty in deep whole-brain segmentation for structure-wise quality control. </w:t>
      </w:r>
      <w:r w:rsidRPr="00D441C9">
        <w:rPr>
          <w:i/>
          <w:iCs/>
          <w:noProof/>
          <w:sz w:val="22"/>
        </w:rPr>
        <w:t>Neuroimage</w:t>
      </w:r>
      <w:r w:rsidRPr="00D441C9">
        <w:rPr>
          <w:noProof/>
          <w:sz w:val="22"/>
        </w:rPr>
        <w:t xml:space="preserve"> (2019) </w:t>
      </w:r>
      <w:r w:rsidRPr="00D441C9">
        <w:rPr>
          <w:b/>
          <w:bCs/>
          <w:noProof/>
          <w:sz w:val="22"/>
        </w:rPr>
        <w:t>195</w:t>
      </w:r>
      <w:r w:rsidRPr="00D441C9">
        <w:rPr>
          <w:noProof/>
          <w:sz w:val="22"/>
        </w:rPr>
        <w:t>:11–22. doi:10.1016/j.neuroimage.2019.03.042</w:t>
      </w:r>
    </w:p>
    <w:p w14:paraId="12509307" w14:textId="4B6240A6"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25. </w:t>
      </w:r>
      <w:r w:rsidRPr="00D441C9">
        <w:rPr>
          <w:noProof/>
          <w:sz w:val="22"/>
        </w:rPr>
        <w:tab/>
        <w:t>Abadi M, Agarwal A, Barham P, Brevdo E, Chen Z, Citro C, et al. TensorFlow: Large-Scale Machine Learning on Heterogeneous Distributed Systems. (2016) Available at: http://arxiv.org/abs/1603.04467</w:t>
      </w:r>
    </w:p>
    <w:p w14:paraId="38253C99" w14:textId="2CC8B640"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26. </w:t>
      </w:r>
      <w:r w:rsidRPr="00D441C9">
        <w:rPr>
          <w:noProof/>
          <w:sz w:val="22"/>
        </w:rPr>
        <w:tab/>
        <w:t xml:space="preserve">Chen C, Bai W, Davies RH, Bhuva AN, Manisty CH, Augusto JB, et al. Improving the Generalizability of Convolutional Neural Network-Based Segmentation on CMR Images. </w:t>
      </w:r>
      <w:r w:rsidRPr="00D441C9">
        <w:rPr>
          <w:i/>
          <w:iCs/>
          <w:noProof/>
          <w:sz w:val="22"/>
        </w:rPr>
        <w:t>Front Cardiovasc Med</w:t>
      </w:r>
      <w:r w:rsidRPr="00D441C9">
        <w:rPr>
          <w:noProof/>
          <w:sz w:val="22"/>
        </w:rPr>
        <w:t xml:space="preserve"> (2020) </w:t>
      </w:r>
      <w:r w:rsidRPr="00D441C9">
        <w:rPr>
          <w:b/>
          <w:bCs/>
          <w:noProof/>
          <w:sz w:val="22"/>
        </w:rPr>
        <w:t>7</w:t>
      </w:r>
      <w:r w:rsidRPr="00D441C9">
        <w:rPr>
          <w:noProof/>
          <w:sz w:val="22"/>
        </w:rPr>
        <w:t>:1–17. doi:10.3389/fcvm.2020.00105</w:t>
      </w:r>
    </w:p>
    <w:p w14:paraId="0792973F"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27. </w:t>
      </w:r>
      <w:r w:rsidRPr="00D441C9">
        <w:rPr>
          <w:noProof/>
          <w:sz w:val="22"/>
        </w:rPr>
        <w:tab/>
        <w:t xml:space="preserve">Kingma DP, Ba JL. Adam: A method for stochastic optimization. </w:t>
      </w:r>
      <w:r w:rsidRPr="00D441C9">
        <w:rPr>
          <w:i/>
          <w:iCs/>
          <w:noProof/>
          <w:sz w:val="22"/>
        </w:rPr>
        <w:t>3rd Int Conf Learn Represent ICLR 2015 - Conf Track Proc</w:t>
      </w:r>
      <w:r w:rsidRPr="00D441C9">
        <w:rPr>
          <w:noProof/>
          <w:sz w:val="22"/>
        </w:rPr>
        <w:t xml:space="preserve"> (2015)1–15.</w:t>
      </w:r>
    </w:p>
    <w:p w14:paraId="1DC10150"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28. </w:t>
      </w:r>
      <w:r w:rsidRPr="00D441C9">
        <w:rPr>
          <w:noProof/>
          <w:sz w:val="22"/>
        </w:rPr>
        <w:tab/>
        <w:t xml:space="preserve">Neglia D, Rovai D, Caselli C, Pietila M, Teresinska A, Aguadé-Bruix S, Pizzi MN, Todiere G, Gimelli A, Schroeder S, et al. Detection of Significant Coronary Artery Disease by Noninvasive Anatomical and Functional Imaging. </w:t>
      </w:r>
      <w:r w:rsidRPr="00D441C9">
        <w:rPr>
          <w:i/>
          <w:iCs/>
          <w:noProof/>
          <w:sz w:val="22"/>
        </w:rPr>
        <w:t>Circ Cardiovasc Imaging</w:t>
      </w:r>
      <w:r w:rsidRPr="00D441C9">
        <w:rPr>
          <w:noProof/>
          <w:sz w:val="22"/>
        </w:rPr>
        <w:t xml:space="preserve"> (2015) </w:t>
      </w:r>
      <w:r w:rsidRPr="00D441C9">
        <w:rPr>
          <w:b/>
          <w:bCs/>
          <w:noProof/>
          <w:sz w:val="22"/>
        </w:rPr>
        <w:t>8</w:t>
      </w:r>
      <w:r w:rsidRPr="00D441C9">
        <w:rPr>
          <w:noProof/>
          <w:sz w:val="22"/>
        </w:rPr>
        <w:t>: doi:10.1161/CIRCIMAGING.114.002179</w:t>
      </w:r>
    </w:p>
    <w:p w14:paraId="105C2119"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29. </w:t>
      </w:r>
      <w:r w:rsidRPr="00D441C9">
        <w:rPr>
          <w:noProof/>
          <w:sz w:val="22"/>
        </w:rPr>
        <w:tab/>
        <w:t xml:space="preserve">Ross R, Leger L, Morris D, De Guise J, Guardo R. Quantification of adipose tissue by MRI: Relationship with anthropometric variables. </w:t>
      </w:r>
      <w:r w:rsidRPr="00D441C9">
        <w:rPr>
          <w:i/>
          <w:iCs/>
          <w:noProof/>
          <w:sz w:val="22"/>
        </w:rPr>
        <w:t>J Appl Physiol</w:t>
      </w:r>
      <w:r w:rsidRPr="00D441C9">
        <w:rPr>
          <w:noProof/>
          <w:sz w:val="22"/>
        </w:rPr>
        <w:t xml:space="preserve"> (1992) </w:t>
      </w:r>
      <w:r w:rsidRPr="00D441C9">
        <w:rPr>
          <w:b/>
          <w:bCs/>
          <w:noProof/>
          <w:sz w:val="22"/>
        </w:rPr>
        <w:t>72</w:t>
      </w:r>
      <w:r w:rsidRPr="00D441C9">
        <w:rPr>
          <w:noProof/>
          <w:sz w:val="22"/>
        </w:rPr>
        <w:t>:787–795. doi:10.1152/jappl.1992.72.2.787</w:t>
      </w:r>
    </w:p>
    <w:p w14:paraId="396E770D" w14:textId="77777777"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30. </w:t>
      </w:r>
      <w:r w:rsidRPr="00D441C9">
        <w:rPr>
          <w:noProof/>
          <w:sz w:val="22"/>
        </w:rPr>
        <w:tab/>
        <w:t xml:space="preserve">Positano V, Gastaldelli A, Sironi AM, Santarelli MF, Lombardi M, Landini L. An accurate and robust method for unsupervised assessment of abdominal fat by MRI. </w:t>
      </w:r>
      <w:r w:rsidRPr="00D441C9">
        <w:rPr>
          <w:i/>
          <w:iCs/>
          <w:noProof/>
          <w:sz w:val="22"/>
        </w:rPr>
        <w:t>J Magn Reson Imaging</w:t>
      </w:r>
      <w:r w:rsidRPr="00D441C9">
        <w:rPr>
          <w:noProof/>
          <w:sz w:val="22"/>
        </w:rPr>
        <w:t xml:space="preserve"> (2004) </w:t>
      </w:r>
      <w:r w:rsidRPr="00D441C9">
        <w:rPr>
          <w:b/>
          <w:bCs/>
          <w:noProof/>
          <w:sz w:val="22"/>
        </w:rPr>
        <w:t>20</w:t>
      </w:r>
      <w:r w:rsidRPr="00D441C9">
        <w:rPr>
          <w:noProof/>
          <w:sz w:val="22"/>
        </w:rPr>
        <w:t>:684–689. doi:10.1002/jmri.20167</w:t>
      </w:r>
    </w:p>
    <w:p w14:paraId="5DDA05B0" w14:textId="692F4665"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31. </w:t>
      </w:r>
      <w:r w:rsidRPr="00D441C9">
        <w:rPr>
          <w:noProof/>
          <w:sz w:val="22"/>
        </w:rPr>
        <w:tab/>
        <w:t xml:space="preserve">Sicari R, Sironi AM, Petz R, Frassi F, Chubuchny V, De Marchi D, </w:t>
      </w:r>
      <w:r w:rsidR="00331AF9">
        <w:rPr>
          <w:noProof/>
          <w:sz w:val="22"/>
        </w:rPr>
        <w:t>et al</w:t>
      </w:r>
      <w:r w:rsidRPr="00D441C9">
        <w:rPr>
          <w:noProof/>
          <w:sz w:val="22"/>
        </w:rPr>
        <w:t xml:space="preserve">. Pericardial rather than epicardial fat is a cardiometabolic risk marker: An MRI vs echo study. </w:t>
      </w:r>
      <w:r w:rsidRPr="00D441C9">
        <w:rPr>
          <w:i/>
          <w:iCs/>
          <w:noProof/>
          <w:sz w:val="22"/>
        </w:rPr>
        <w:t>J Am Soc Echocardiogr</w:t>
      </w:r>
      <w:r w:rsidRPr="00D441C9">
        <w:rPr>
          <w:noProof/>
          <w:sz w:val="22"/>
        </w:rPr>
        <w:t xml:space="preserve"> (2011) </w:t>
      </w:r>
      <w:r w:rsidRPr="00D441C9">
        <w:rPr>
          <w:b/>
          <w:bCs/>
          <w:noProof/>
          <w:sz w:val="22"/>
        </w:rPr>
        <w:t>24</w:t>
      </w:r>
      <w:r w:rsidRPr="00D441C9">
        <w:rPr>
          <w:noProof/>
          <w:sz w:val="22"/>
        </w:rPr>
        <w:t>:1156–1162. doi:10.1016/j.echo.2011.06.013</w:t>
      </w:r>
    </w:p>
    <w:p w14:paraId="10191439" w14:textId="0BFC4B95" w:rsidR="00D441C9" w:rsidRPr="00D441C9" w:rsidRDefault="00D441C9" w:rsidP="00D441C9">
      <w:pPr>
        <w:widowControl w:val="0"/>
        <w:autoSpaceDE w:val="0"/>
        <w:autoSpaceDN w:val="0"/>
        <w:adjustRightInd w:val="0"/>
        <w:ind w:left="640" w:hanging="640"/>
        <w:rPr>
          <w:noProof/>
          <w:sz w:val="22"/>
        </w:rPr>
      </w:pPr>
      <w:r w:rsidRPr="00D441C9">
        <w:rPr>
          <w:noProof/>
          <w:sz w:val="22"/>
        </w:rPr>
        <w:t xml:space="preserve">32. </w:t>
      </w:r>
      <w:r w:rsidRPr="00D441C9">
        <w:rPr>
          <w:noProof/>
          <w:sz w:val="22"/>
        </w:rPr>
        <w:tab/>
        <w:t>Sironi AM, Gastaldelli A, Mari A, Ciociaro D, Positano V, Buzzigoli E,</w:t>
      </w:r>
      <w:r w:rsidR="00331AF9">
        <w:rPr>
          <w:noProof/>
          <w:sz w:val="22"/>
        </w:rPr>
        <w:t>et al</w:t>
      </w:r>
      <w:r w:rsidRPr="00D441C9">
        <w:rPr>
          <w:noProof/>
          <w:sz w:val="22"/>
        </w:rPr>
        <w:t xml:space="preserve">. Visceral fat in hypertension: Influence on insulin resistance and β-cell function. </w:t>
      </w:r>
      <w:r w:rsidRPr="00D441C9">
        <w:rPr>
          <w:i/>
          <w:iCs/>
          <w:noProof/>
          <w:sz w:val="22"/>
        </w:rPr>
        <w:t>Hypertension</w:t>
      </w:r>
      <w:r w:rsidRPr="00D441C9">
        <w:rPr>
          <w:noProof/>
          <w:sz w:val="22"/>
        </w:rPr>
        <w:t xml:space="preserve"> (2004) </w:t>
      </w:r>
      <w:r w:rsidRPr="00D441C9">
        <w:rPr>
          <w:b/>
          <w:bCs/>
          <w:noProof/>
          <w:sz w:val="22"/>
        </w:rPr>
        <w:t>44</w:t>
      </w:r>
      <w:r w:rsidRPr="00D441C9">
        <w:rPr>
          <w:noProof/>
          <w:sz w:val="22"/>
        </w:rPr>
        <w:t>:127–133. doi:10.1161/01.HYP.0000137982.10191.0a</w:t>
      </w:r>
    </w:p>
    <w:p w14:paraId="2D2975AC" w14:textId="554116FA" w:rsidR="00D441C9" w:rsidRPr="00446E6A" w:rsidRDefault="00D441C9" w:rsidP="00D441C9">
      <w:pPr>
        <w:widowControl w:val="0"/>
        <w:autoSpaceDE w:val="0"/>
        <w:autoSpaceDN w:val="0"/>
        <w:adjustRightInd w:val="0"/>
        <w:ind w:left="640" w:hanging="640"/>
        <w:rPr>
          <w:noProof/>
          <w:color w:val="000000" w:themeColor="text1"/>
          <w:sz w:val="22"/>
        </w:rPr>
      </w:pPr>
      <w:r w:rsidRPr="00D441C9">
        <w:rPr>
          <w:noProof/>
          <w:sz w:val="22"/>
        </w:rPr>
        <w:t xml:space="preserve">33. </w:t>
      </w:r>
      <w:r w:rsidRPr="00D441C9">
        <w:rPr>
          <w:noProof/>
          <w:sz w:val="22"/>
        </w:rPr>
        <w:tab/>
        <w:t xml:space="preserve">Sironi AM, Petz R, De Marchi D, Buzzigoli E, Ciociaro D, Positano V, </w:t>
      </w:r>
      <w:r w:rsidR="00331AF9">
        <w:rPr>
          <w:noProof/>
          <w:sz w:val="22"/>
        </w:rPr>
        <w:t>et al</w:t>
      </w:r>
      <w:r w:rsidRPr="00D441C9">
        <w:rPr>
          <w:noProof/>
          <w:sz w:val="22"/>
        </w:rPr>
        <w:t xml:space="preserve">. Impact of increased visceral and cardiac fat on cardiometabolic risk and disease. </w:t>
      </w:r>
      <w:r w:rsidRPr="00D441C9">
        <w:rPr>
          <w:i/>
          <w:iCs/>
          <w:noProof/>
          <w:sz w:val="22"/>
        </w:rPr>
        <w:t>Diabet Med</w:t>
      </w:r>
      <w:r w:rsidRPr="00D441C9">
        <w:rPr>
          <w:noProof/>
          <w:sz w:val="22"/>
        </w:rPr>
        <w:t xml:space="preserve"> (2012) </w:t>
      </w:r>
      <w:r w:rsidRPr="00D441C9">
        <w:rPr>
          <w:b/>
          <w:bCs/>
          <w:noProof/>
          <w:sz w:val="22"/>
        </w:rPr>
        <w:t>29</w:t>
      </w:r>
      <w:r w:rsidRPr="00D441C9">
        <w:rPr>
          <w:noProof/>
          <w:sz w:val="22"/>
        </w:rPr>
        <w:t xml:space="preserve">:622–627. </w:t>
      </w:r>
      <w:r w:rsidRPr="00446E6A">
        <w:rPr>
          <w:noProof/>
          <w:color w:val="000000" w:themeColor="text1"/>
          <w:sz w:val="22"/>
        </w:rPr>
        <w:t>doi:10.1111/j.1464-5491.2011.03503.x</w:t>
      </w:r>
    </w:p>
    <w:p w14:paraId="2520142A" w14:textId="4CBE943B" w:rsidR="001613B7" w:rsidRPr="00446E6A" w:rsidRDefault="001613B7" w:rsidP="001613B7">
      <w:pPr>
        <w:ind w:left="640" w:hanging="640"/>
        <w:rPr>
          <w:color w:val="000000" w:themeColor="text1"/>
          <w:sz w:val="22"/>
          <w:szCs w:val="22"/>
          <w:shd w:val="clear" w:color="auto" w:fill="FFFFFF"/>
        </w:rPr>
      </w:pPr>
      <w:r w:rsidRPr="00446E6A">
        <w:rPr>
          <w:noProof/>
          <w:color w:val="000000" w:themeColor="text1"/>
          <w:sz w:val="22"/>
        </w:rPr>
        <w:t xml:space="preserve">34. </w:t>
      </w:r>
      <w:r w:rsidRPr="00446E6A">
        <w:rPr>
          <w:noProof/>
          <w:color w:val="000000" w:themeColor="text1"/>
          <w:sz w:val="22"/>
        </w:rPr>
        <w:tab/>
      </w:r>
      <w:r w:rsidRPr="00446E6A">
        <w:rPr>
          <w:color w:val="000000" w:themeColor="text1"/>
          <w:sz w:val="22"/>
          <w:szCs w:val="22"/>
          <w:shd w:val="clear" w:color="auto" w:fill="FFFFFF"/>
        </w:rPr>
        <w:t>X. Li, S. Chen, X. Hu and J. Yang, "Understanding the Disharmony Between Dropout and Batch Normalization by Variance Shift," </w:t>
      </w:r>
      <w:r w:rsidRPr="00446E6A">
        <w:rPr>
          <w:i/>
          <w:iCs/>
          <w:color w:val="000000" w:themeColor="text1"/>
          <w:sz w:val="22"/>
          <w:szCs w:val="22"/>
          <w:shd w:val="clear" w:color="auto" w:fill="FFFFFF"/>
        </w:rPr>
        <w:t>2019 IEEE/CVF Conference on Computer Vision and Pattern Recognition (CVPR)</w:t>
      </w:r>
      <w:r w:rsidRPr="00446E6A">
        <w:rPr>
          <w:color w:val="000000" w:themeColor="text1"/>
          <w:sz w:val="22"/>
          <w:szCs w:val="22"/>
          <w:shd w:val="clear" w:color="auto" w:fill="FFFFFF"/>
        </w:rPr>
        <w:t>, 2019, pp. 2677-2685, doi: 10.1109/CVPR.2019.00279.</w:t>
      </w:r>
    </w:p>
    <w:p w14:paraId="1542F31C" w14:textId="77777777" w:rsidR="0020300A" w:rsidRPr="00446E6A" w:rsidRDefault="0020300A" w:rsidP="00446E6A">
      <w:pPr>
        <w:ind w:left="640" w:hanging="640"/>
        <w:rPr>
          <w:color w:val="000000" w:themeColor="text1"/>
          <w:sz w:val="22"/>
          <w:szCs w:val="22"/>
        </w:rPr>
      </w:pPr>
      <w:r w:rsidRPr="00446E6A">
        <w:rPr>
          <w:color w:val="000000" w:themeColor="text1"/>
          <w:sz w:val="22"/>
          <w:szCs w:val="22"/>
          <w:shd w:val="clear" w:color="auto" w:fill="FFFFFF"/>
        </w:rPr>
        <w:t>35.</w:t>
      </w:r>
      <w:r w:rsidRPr="00446E6A">
        <w:rPr>
          <w:color w:val="000000" w:themeColor="text1"/>
          <w:sz w:val="22"/>
          <w:szCs w:val="22"/>
          <w:shd w:val="clear" w:color="auto" w:fill="FFFFFF"/>
        </w:rPr>
        <w:tab/>
        <w:t>Valindria VV, Lavdas I, Bai W, et al. Reverse Classification Accuracy: Predicting Segmentation Performance in the Absence of Ground Truth. IEEE Transactions on Medical Imaging. 2017 Aug;36(8):1597-1606. DOI: 10.1109/tmi.2017.2665165.</w:t>
      </w:r>
    </w:p>
    <w:p w14:paraId="46498190" w14:textId="44753890" w:rsidR="0020300A" w:rsidRPr="00446E6A" w:rsidRDefault="0020300A" w:rsidP="00446E6A">
      <w:pPr>
        <w:ind w:left="640" w:hanging="640"/>
        <w:rPr>
          <w:color w:val="000000" w:themeColor="text1"/>
          <w:sz w:val="22"/>
          <w:szCs w:val="22"/>
        </w:rPr>
      </w:pPr>
    </w:p>
    <w:p w14:paraId="16317ECD" w14:textId="5AB265A6" w:rsidR="00DB4E97" w:rsidRPr="00D441C9" w:rsidRDefault="00DB4E97" w:rsidP="00D441C9">
      <w:pPr>
        <w:widowControl w:val="0"/>
        <w:autoSpaceDE w:val="0"/>
        <w:autoSpaceDN w:val="0"/>
        <w:adjustRightInd w:val="0"/>
        <w:ind w:left="640" w:hanging="640"/>
        <w:rPr>
          <w:noProof/>
          <w:sz w:val="22"/>
        </w:rPr>
      </w:pPr>
    </w:p>
    <w:p w14:paraId="200EEC27" w14:textId="277AAB56" w:rsidR="00C30B86" w:rsidRDefault="007932E1" w:rsidP="00D441C9">
      <w:pPr>
        <w:widowControl w:val="0"/>
        <w:autoSpaceDE w:val="0"/>
        <w:autoSpaceDN w:val="0"/>
        <w:adjustRightInd w:val="0"/>
        <w:ind w:left="640" w:hanging="640"/>
        <w:rPr>
          <w:sz w:val="22"/>
          <w:szCs w:val="22"/>
        </w:rPr>
      </w:pPr>
      <w:r>
        <w:rPr>
          <w:sz w:val="22"/>
          <w:szCs w:val="22"/>
        </w:rPr>
        <w:fldChar w:fldCharType="end"/>
      </w:r>
      <w:r w:rsidR="00C30B86">
        <w:rPr>
          <w:sz w:val="22"/>
          <w:szCs w:val="22"/>
        </w:rPr>
        <w:br w:type="page"/>
      </w:r>
    </w:p>
    <w:p w14:paraId="6705CE42" w14:textId="0D493DB6" w:rsidR="00C30B86" w:rsidRPr="00375F39" w:rsidRDefault="00C30B86" w:rsidP="00FF2DC9">
      <w:pPr>
        <w:rPr>
          <w:b/>
          <w:bCs/>
          <w:iCs/>
          <w:sz w:val="22"/>
          <w:szCs w:val="22"/>
        </w:rPr>
      </w:pPr>
      <w:r w:rsidRPr="00375F39">
        <w:rPr>
          <w:b/>
          <w:bCs/>
          <w:iCs/>
          <w:sz w:val="22"/>
          <w:szCs w:val="22"/>
        </w:rPr>
        <w:t>Table 1. Standard segmentation performance metrics</w:t>
      </w:r>
      <w:r w:rsidRPr="00375F39">
        <w:rPr>
          <w:iCs/>
          <w:sz w:val="22"/>
          <w:szCs w:val="22"/>
        </w:rPr>
        <w:t xml:space="preserve"> </w:t>
      </w:r>
      <w:r w:rsidRPr="00375F39">
        <w:rPr>
          <w:b/>
          <w:bCs/>
          <w:iCs/>
          <w:sz w:val="22"/>
          <w:szCs w:val="22"/>
        </w:rPr>
        <w:t>for pairwise comparisons of manually-contoured PAT by 3 observers (O1-3), and comparing automated segmentation with manual for the test set. All values are mean (standard deviation)</w:t>
      </w:r>
    </w:p>
    <w:tbl>
      <w:tblPr>
        <w:tblStyle w:val="TableGridLight"/>
        <w:tblW w:w="9360" w:type="dxa"/>
        <w:tblLook w:val="04A0" w:firstRow="1" w:lastRow="0" w:firstColumn="1" w:lastColumn="0" w:noHBand="0" w:noVBand="1"/>
      </w:tblPr>
      <w:tblGrid>
        <w:gridCol w:w="1871"/>
        <w:gridCol w:w="1872"/>
        <w:gridCol w:w="1872"/>
        <w:gridCol w:w="1872"/>
        <w:gridCol w:w="1873"/>
      </w:tblGrid>
      <w:tr w:rsidR="00C30B86" w:rsidRPr="001279BB" w14:paraId="6E88F6B6" w14:textId="77777777" w:rsidTr="000543B8">
        <w:tc>
          <w:tcPr>
            <w:tcW w:w="1871" w:type="dxa"/>
          </w:tcPr>
          <w:p w14:paraId="64C6B947" w14:textId="77777777" w:rsidR="00C30B86" w:rsidRPr="001279BB" w:rsidRDefault="00C30B86" w:rsidP="00FF2DC9">
            <w:pPr>
              <w:pStyle w:val="TableHeading"/>
              <w:rPr>
                <w:sz w:val="22"/>
                <w:szCs w:val="22"/>
              </w:rPr>
            </w:pPr>
            <w:r w:rsidRPr="001279BB">
              <w:rPr>
                <w:sz w:val="22"/>
                <w:szCs w:val="22"/>
              </w:rPr>
              <w:t>Metric</w:t>
            </w:r>
          </w:p>
        </w:tc>
        <w:tc>
          <w:tcPr>
            <w:tcW w:w="1872" w:type="dxa"/>
          </w:tcPr>
          <w:p w14:paraId="36BEC9F0" w14:textId="77777777" w:rsidR="00C30B86" w:rsidRPr="001279BB" w:rsidRDefault="00C30B86" w:rsidP="00FF2DC9">
            <w:pPr>
              <w:pStyle w:val="TableHeading"/>
              <w:rPr>
                <w:sz w:val="22"/>
                <w:szCs w:val="22"/>
              </w:rPr>
            </w:pPr>
            <w:r w:rsidRPr="001279BB">
              <w:rPr>
                <w:sz w:val="22"/>
                <w:szCs w:val="22"/>
              </w:rPr>
              <w:t>O1 vs O2 (n=50)</w:t>
            </w:r>
          </w:p>
        </w:tc>
        <w:tc>
          <w:tcPr>
            <w:tcW w:w="1872" w:type="dxa"/>
          </w:tcPr>
          <w:p w14:paraId="5055BA4D" w14:textId="77777777" w:rsidR="00C30B86" w:rsidRPr="001279BB" w:rsidRDefault="00C30B86" w:rsidP="00FF2DC9">
            <w:pPr>
              <w:pStyle w:val="TableHeading"/>
              <w:rPr>
                <w:sz w:val="22"/>
                <w:szCs w:val="22"/>
              </w:rPr>
            </w:pPr>
            <w:r w:rsidRPr="001279BB">
              <w:rPr>
                <w:sz w:val="22"/>
                <w:szCs w:val="22"/>
              </w:rPr>
              <w:t>O1 vs O3 (n=50)</w:t>
            </w:r>
          </w:p>
        </w:tc>
        <w:tc>
          <w:tcPr>
            <w:tcW w:w="1872" w:type="dxa"/>
          </w:tcPr>
          <w:p w14:paraId="03D90C12" w14:textId="77777777" w:rsidR="00C30B86" w:rsidRPr="001279BB" w:rsidRDefault="00C30B86" w:rsidP="00FF2DC9">
            <w:pPr>
              <w:pStyle w:val="TableHeading"/>
              <w:rPr>
                <w:sz w:val="22"/>
                <w:szCs w:val="22"/>
              </w:rPr>
            </w:pPr>
            <w:r w:rsidRPr="001279BB">
              <w:rPr>
                <w:sz w:val="22"/>
                <w:szCs w:val="22"/>
              </w:rPr>
              <w:t>O2 vs O3 (n=50)</w:t>
            </w:r>
          </w:p>
        </w:tc>
        <w:tc>
          <w:tcPr>
            <w:tcW w:w="1873" w:type="dxa"/>
          </w:tcPr>
          <w:p w14:paraId="38B0B7D3" w14:textId="5EEAA17C" w:rsidR="00C30B86" w:rsidRPr="001279BB" w:rsidRDefault="00C30B86" w:rsidP="00FF2DC9">
            <w:pPr>
              <w:pStyle w:val="TableHeading"/>
              <w:rPr>
                <w:sz w:val="22"/>
                <w:szCs w:val="22"/>
              </w:rPr>
            </w:pPr>
            <w:r w:rsidRPr="00505D32">
              <w:rPr>
                <w:sz w:val="22"/>
                <w:szCs w:val="22"/>
              </w:rPr>
              <w:t xml:space="preserve">Automated vs </w:t>
            </w:r>
            <w:r w:rsidR="00B85948" w:rsidRPr="00505D32">
              <w:rPr>
                <w:color w:val="000000" w:themeColor="text1"/>
                <w:sz w:val="22"/>
                <w:szCs w:val="22"/>
              </w:rPr>
              <w:t>manual (O1)</w:t>
            </w:r>
            <w:r w:rsidR="00B85948" w:rsidRPr="00446E6A">
              <w:rPr>
                <w:color w:val="000000" w:themeColor="text1"/>
                <w:sz w:val="22"/>
                <w:szCs w:val="22"/>
              </w:rPr>
              <w:t xml:space="preserve"> </w:t>
            </w:r>
            <w:r w:rsidRPr="001279BB">
              <w:rPr>
                <w:sz w:val="22"/>
                <w:szCs w:val="22"/>
              </w:rPr>
              <w:t>(n=87)</w:t>
            </w:r>
          </w:p>
        </w:tc>
      </w:tr>
      <w:tr w:rsidR="00C30B86" w:rsidRPr="001279BB" w14:paraId="589C4D90" w14:textId="77777777" w:rsidTr="000543B8">
        <w:tc>
          <w:tcPr>
            <w:tcW w:w="1871" w:type="dxa"/>
          </w:tcPr>
          <w:p w14:paraId="176D94E3" w14:textId="67729087" w:rsidR="00C30B86" w:rsidRPr="001279BB" w:rsidRDefault="00375F39" w:rsidP="00FF2DC9">
            <w:pPr>
              <w:pStyle w:val="TableContents"/>
              <w:rPr>
                <w:sz w:val="22"/>
                <w:szCs w:val="22"/>
              </w:rPr>
            </w:pPr>
            <w:r w:rsidRPr="001900FE">
              <w:rPr>
                <w:rFonts w:cs="Times New Roman"/>
                <w:sz w:val="22"/>
                <w:szCs w:val="22"/>
                <w:lang w:val="en-GB"/>
              </w:rPr>
              <w:t>Intersection-over-Union</w:t>
            </w:r>
          </w:p>
        </w:tc>
        <w:tc>
          <w:tcPr>
            <w:tcW w:w="1872" w:type="dxa"/>
          </w:tcPr>
          <w:p w14:paraId="61F58A2D" w14:textId="77777777" w:rsidR="00C30B86" w:rsidRPr="001279BB" w:rsidRDefault="00C30B86" w:rsidP="00FF2DC9">
            <w:pPr>
              <w:pStyle w:val="TableContents"/>
              <w:rPr>
                <w:sz w:val="22"/>
                <w:szCs w:val="22"/>
              </w:rPr>
            </w:pPr>
            <w:r w:rsidRPr="001279BB">
              <w:rPr>
                <w:sz w:val="22"/>
                <w:szCs w:val="22"/>
              </w:rPr>
              <w:t>0.689 (0.133)</w:t>
            </w:r>
          </w:p>
        </w:tc>
        <w:tc>
          <w:tcPr>
            <w:tcW w:w="1872" w:type="dxa"/>
          </w:tcPr>
          <w:p w14:paraId="23C2C5A7" w14:textId="77777777" w:rsidR="00C30B86" w:rsidRPr="001279BB" w:rsidRDefault="00C30B86" w:rsidP="00FF2DC9">
            <w:pPr>
              <w:pStyle w:val="TableContents"/>
              <w:rPr>
                <w:sz w:val="22"/>
                <w:szCs w:val="22"/>
              </w:rPr>
            </w:pPr>
            <w:r w:rsidRPr="001279BB">
              <w:rPr>
                <w:sz w:val="22"/>
                <w:szCs w:val="22"/>
              </w:rPr>
              <w:t>0.636 (0.153)</w:t>
            </w:r>
          </w:p>
        </w:tc>
        <w:tc>
          <w:tcPr>
            <w:tcW w:w="1872" w:type="dxa"/>
          </w:tcPr>
          <w:p w14:paraId="02256154" w14:textId="77777777" w:rsidR="00C30B86" w:rsidRPr="001279BB" w:rsidRDefault="00C30B86" w:rsidP="00FF2DC9">
            <w:pPr>
              <w:pStyle w:val="TableContents"/>
              <w:rPr>
                <w:sz w:val="22"/>
                <w:szCs w:val="22"/>
              </w:rPr>
            </w:pPr>
            <w:r w:rsidRPr="001279BB">
              <w:rPr>
                <w:sz w:val="22"/>
                <w:szCs w:val="22"/>
              </w:rPr>
              <w:t>0.678 (0.123)</w:t>
            </w:r>
          </w:p>
        </w:tc>
        <w:tc>
          <w:tcPr>
            <w:tcW w:w="1873" w:type="dxa"/>
          </w:tcPr>
          <w:p w14:paraId="6F1375D5" w14:textId="77777777" w:rsidR="00C30B86" w:rsidRPr="001279BB" w:rsidRDefault="00C30B86" w:rsidP="00FF2DC9">
            <w:pPr>
              <w:pStyle w:val="TableContents"/>
              <w:rPr>
                <w:sz w:val="22"/>
                <w:szCs w:val="22"/>
              </w:rPr>
            </w:pPr>
            <w:r w:rsidRPr="001279BB">
              <w:rPr>
                <w:sz w:val="22"/>
                <w:szCs w:val="22"/>
              </w:rPr>
              <w:t>0.677 (0.116)</w:t>
            </w:r>
          </w:p>
        </w:tc>
      </w:tr>
      <w:tr w:rsidR="00C30B86" w:rsidRPr="001279BB" w14:paraId="4CAE3993" w14:textId="77777777" w:rsidTr="000543B8">
        <w:tc>
          <w:tcPr>
            <w:tcW w:w="1871" w:type="dxa"/>
          </w:tcPr>
          <w:p w14:paraId="7F586E57" w14:textId="77777777" w:rsidR="00C30B86" w:rsidRPr="001279BB" w:rsidRDefault="00C30B86" w:rsidP="00FF2DC9">
            <w:pPr>
              <w:pStyle w:val="TableContents"/>
              <w:rPr>
                <w:sz w:val="22"/>
                <w:szCs w:val="22"/>
              </w:rPr>
            </w:pPr>
            <w:r w:rsidRPr="001279BB">
              <w:rPr>
                <w:sz w:val="22"/>
                <w:szCs w:val="22"/>
              </w:rPr>
              <w:t>Dice</w:t>
            </w:r>
          </w:p>
        </w:tc>
        <w:tc>
          <w:tcPr>
            <w:tcW w:w="1872" w:type="dxa"/>
          </w:tcPr>
          <w:p w14:paraId="7E8E086C" w14:textId="77777777" w:rsidR="00C30B86" w:rsidRPr="001279BB" w:rsidRDefault="00C30B86" w:rsidP="00FF2DC9">
            <w:pPr>
              <w:pStyle w:val="TableContents"/>
              <w:rPr>
                <w:sz w:val="22"/>
                <w:szCs w:val="22"/>
              </w:rPr>
            </w:pPr>
            <w:r w:rsidRPr="001279BB">
              <w:rPr>
                <w:sz w:val="22"/>
                <w:szCs w:val="22"/>
              </w:rPr>
              <w:t>0.808 (0.102)</w:t>
            </w:r>
          </w:p>
        </w:tc>
        <w:tc>
          <w:tcPr>
            <w:tcW w:w="1872" w:type="dxa"/>
          </w:tcPr>
          <w:p w14:paraId="29E60B26" w14:textId="77777777" w:rsidR="00C30B86" w:rsidRPr="001279BB" w:rsidRDefault="00C30B86" w:rsidP="00FF2DC9">
            <w:pPr>
              <w:pStyle w:val="TableContents"/>
              <w:rPr>
                <w:sz w:val="22"/>
                <w:szCs w:val="22"/>
              </w:rPr>
            </w:pPr>
            <w:r w:rsidRPr="001279BB">
              <w:rPr>
                <w:sz w:val="22"/>
                <w:szCs w:val="22"/>
              </w:rPr>
              <w:t>0.766 (0.127)</w:t>
            </w:r>
          </w:p>
        </w:tc>
        <w:tc>
          <w:tcPr>
            <w:tcW w:w="1872" w:type="dxa"/>
          </w:tcPr>
          <w:p w14:paraId="79468AA4" w14:textId="77777777" w:rsidR="00C30B86" w:rsidRPr="001279BB" w:rsidRDefault="00C30B86" w:rsidP="00FF2DC9">
            <w:pPr>
              <w:pStyle w:val="TableContents"/>
              <w:rPr>
                <w:sz w:val="22"/>
                <w:szCs w:val="22"/>
              </w:rPr>
            </w:pPr>
            <w:r w:rsidRPr="001279BB">
              <w:rPr>
                <w:sz w:val="22"/>
                <w:szCs w:val="22"/>
              </w:rPr>
              <w:t>0.801 (0.096)</w:t>
            </w:r>
          </w:p>
        </w:tc>
        <w:tc>
          <w:tcPr>
            <w:tcW w:w="1873" w:type="dxa"/>
          </w:tcPr>
          <w:p w14:paraId="2241AD9E" w14:textId="77777777" w:rsidR="00C30B86" w:rsidRPr="001279BB" w:rsidRDefault="00C30B86" w:rsidP="00FF2DC9">
            <w:pPr>
              <w:pStyle w:val="TableContents"/>
              <w:rPr>
                <w:sz w:val="22"/>
                <w:szCs w:val="22"/>
              </w:rPr>
            </w:pPr>
            <w:r w:rsidRPr="001279BB">
              <w:rPr>
                <w:sz w:val="22"/>
                <w:szCs w:val="22"/>
              </w:rPr>
              <w:t>0.800 (0.090)</w:t>
            </w:r>
          </w:p>
        </w:tc>
      </w:tr>
      <w:tr w:rsidR="00C30B86" w:rsidRPr="001279BB" w14:paraId="5F10DDB9" w14:textId="77777777" w:rsidTr="000543B8">
        <w:tc>
          <w:tcPr>
            <w:tcW w:w="1871" w:type="dxa"/>
          </w:tcPr>
          <w:p w14:paraId="52E39890" w14:textId="77777777" w:rsidR="00C30B86" w:rsidRPr="001279BB" w:rsidRDefault="00C30B86" w:rsidP="00FF2DC9">
            <w:pPr>
              <w:pStyle w:val="TableContents"/>
              <w:rPr>
                <w:sz w:val="22"/>
                <w:szCs w:val="22"/>
              </w:rPr>
            </w:pPr>
            <w:r w:rsidRPr="001279BB">
              <w:rPr>
                <w:sz w:val="22"/>
                <w:szCs w:val="22"/>
              </w:rPr>
              <w:t>Mean contour distance (mm)</w:t>
            </w:r>
          </w:p>
        </w:tc>
        <w:tc>
          <w:tcPr>
            <w:tcW w:w="1872" w:type="dxa"/>
          </w:tcPr>
          <w:p w14:paraId="0060B631" w14:textId="77777777" w:rsidR="00C30B86" w:rsidRPr="001279BB" w:rsidRDefault="00C30B86" w:rsidP="00FF2DC9">
            <w:pPr>
              <w:pStyle w:val="TableContents"/>
              <w:rPr>
                <w:sz w:val="22"/>
                <w:szCs w:val="22"/>
              </w:rPr>
            </w:pPr>
            <w:r w:rsidRPr="001279BB">
              <w:rPr>
                <w:sz w:val="22"/>
                <w:szCs w:val="22"/>
              </w:rPr>
              <w:t>2.78 (2.44)</w:t>
            </w:r>
          </w:p>
        </w:tc>
        <w:tc>
          <w:tcPr>
            <w:tcW w:w="1872" w:type="dxa"/>
          </w:tcPr>
          <w:p w14:paraId="193A1C2B" w14:textId="77777777" w:rsidR="00C30B86" w:rsidRPr="001279BB" w:rsidRDefault="00C30B86" w:rsidP="00FF2DC9">
            <w:pPr>
              <w:pStyle w:val="TableContents"/>
              <w:rPr>
                <w:sz w:val="22"/>
                <w:szCs w:val="22"/>
              </w:rPr>
            </w:pPr>
            <w:r w:rsidRPr="001279BB">
              <w:rPr>
                <w:sz w:val="22"/>
                <w:szCs w:val="22"/>
              </w:rPr>
              <w:t>3.83 (3.48)</w:t>
            </w:r>
          </w:p>
        </w:tc>
        <w:tc>
          <w:tcPr>
            <w:tcW w:w="1872" w:type="dxa"/>
          </w:tcPr>
          <w:p w14:paraId="65575119" w14:textId="77777777" w:rsidR="00C30B86" w:rsidRPr="001279BB" w:rsidRDefault="00C30B86" w:rsidP="00FF2DC9">
            <w:pPr>
              <w:pStyle w:val="TableContents"/>
              <w:rPr>
                <w:sz w:val="22"/>
                <w:szCs w:val="22"/>
              </w:rPr>
            </w:pPr>
            <w:r w:rsidRPr="001279BB">
              <w:rPr>
                <w:sz w:val="22"/>
                <w:szCs w:val="22"/>
              </w:rPr>
              <w:t>3.79 (3.44)</w:t>
            </w:r>
          </w:p>
        </w:tc>
        <w:tc>
          <w:tcPr>
            <w:tcW w:w="1873" w:type="dxa"/>
          </w:tcPr>
          <w:p w14:paraId="61CF0C1F" w14:textId="77777777" w:rsidR="00C30B86" w:rsidRPr="001279BB" w:rsidRDefault="00C30B86" w:rsidP="00FF2DC9">
            <w:pPr>
              <w:pStyle w:val="TableContents"/>
              <w:rPr>
                <w:sz w:val="22"/>
                <w:szCs w:val="22"/>
              </w:rPr>
            </w:pPr>
            <w:r w:rsidRPr="001279BB">
              <w:rPr>
                <w:sz w:val="22"/>
                <w:szCs w:val="22"/>
              </w:rPr>
              <w:t>2.79 (2.35)</w:t>
            </w:r>
          </w:p>
        </w:tc>
      </w:tr>
      <w:tr w:rsidR="00C30B86" w:rsidRPr="001279BB" w14:paraId="751C3D14" w14:textId="77777777" w:rsidTr="000543B8">
        <w:tc>
          <w:tcPr>
            <w:tcW w:w="1871" w:type="dxa"/>
          </w:tcPr>
          <w:p w14:paraId="2516E198" w14:textId="77777777" w:rsidR="00C30B86" w:rsidRPr="001279BB" w:rsidRDefault="00C30B86" w:rsidP="00FF2DC9">
            <w:pPr>
              <w:pStyle w:val="TableContents"/>
              <w:rPr>
                <w:sz w:val="22"/>
                <w:szCs w:val="22"/>
              </w:rPr>
            </w:pPr>
            <w:r w:rsidRPr="001279BB">
              <w:rPr>
                <w:sz w:val="22"/>
                <w:szCs w:val="22"/>
              </w:rPr>
              <w:t>Hausdorff distance (mm)</w:t>
            </w:r>
          </w:p>
        </w:tc>
        <w:tc>
          <w:tcPr>
            <w:tcW w:w="1872" w:type="dxa"/>
          </w:tcPr>
          <w:p w14:paraId="79D94075" w14:textId="77777777" w:rsidR="00C30B86" w:rsidRPr="001279BB" w:rsidRDefault="00C30B86" w:rsidP="00FF2DC9">
            <w:pPr>
              <w:pStyle w:val="TableContents"/>
              <w:rPr>
                <w:sz w:val="22"/>
                <w:szCs w:val="22"/>
              </w:rPr>
            </w:pPr>
            <w:r w:rsidRPr="001279BB">
              <w:rPr>
                <w:sz w:val="22"/>
                <w:szCs w:val="22"/>
              </w:rPr>
              <w:t>30.1 (23.8)</w:t>
            </w:r>
          </w:p>
        </w:tc>
        <w:tc>
          <w:tcPr>
            <w:tcW w:w="1872" w:type="dxa"/>
          </w:tcPr>
          <w:p w14:paraId="1E8ACA35" w14:textId="77777777" w:rsidR="00C30B86" w:rsidRPr="001279BB" w:rsidRDefault="00C30B86" w:rsidP="00FF2DC9">
            <w:pPr>
              <w:pStyle w:val="TableContents"/>
              <w:rPr>
                <w:sz w:val="22"/>
                <w:szCs w:val="22"/>
              </w:rPr>
            </w:pPr>
            <w:r w:rsidRPr="001279BB">
              <w:rPr>
                <w:sz w:val="22"/>
                <w:szCs w:val="22"/>
              </w:rPr>
              <w:t>37.0 (28.6)</w:t>
            </w:r>
          </w:p>
        </w:tc>
        <w:tc>
          <w:tcPr>
            <w:tcW w:w="1872" w:type="dxa"/>
          </w:tcPr>
          <w:p w14:paraId="4D7C16EA" w14:textId="77777777" w:rsidR="00C30B86" w:rsidRPr="001279BB" w:rsidRDefault="00C30B86" w:rsidP="00FF2DC9">
            <w:pPr>
              <w:pStyle w:val="TableContents"/>
              <w:rPr>
                <w:sz w:val="22"/>
                <w:szCs w:val="22"/>
              </w:rPr>
            </w:pPr>
            <w:r w:rsidRPr="001279BB">
              <w:rPr>
                <w:sz w:val="22"/>
                <w:szCs w:val="22"/>
              </w:rPr>
              <w:t>39.9 (28.8)</w:t>
            </w:r>
          </w:p>
        </w:tc>
        <w:tc>
          <w:tcPr>
            <w:tcW w:w="1873" w:type="dxa"/>
          </w:tcPr>
          <w:p w14:paraId="2C87E9AC" w14:textId="77777777" w:rsidR="00C30B86" w:rsidRPr="001279BB" w:rsidRDefault="00C30B86" w:rsidP="00FF2DC9">
            <w:pPr>
              <w:pStyle w:val="TableContents"/>
              <w:rPr>
                <w:sz w:val="22"/>
                <w:szCs w:val="22"/>
              </w:rPr>
            </w:pPr>
            <w:r w:rsidRPr="001279BB">
              <w:rPr>
                <w:sz w:val="22"/>
                <w:szCs w:val="22"/>
              </w:rPr>
              <w:t>29.9 (22.9)</w:t>
            </w:r>
          </w:p>
        </w:tc>
      </w:tr>
    </w:tbl>
    <w:p w14:paraId="5F10C1DE" w14:textId="77777777" w:rsidR="00C30B86" w:rsidRDefault="00C30B86" w:rsidP="00FF2DC9">
      <w:pPr>
        <w:rPr>
          <w:b/>
          <w:bCs/>
          <w:iCs/>
          <w:sz w:val="22"/>
          <w:szCs w:val="22"/>
        </w:rPr>
      </w:pPr>
    </w:p>
    <w:p w14:paraId="3FCBECD3" w14:textId="77777777" w:rsidR="00C30B86" w:rsidRDefault="00C30B86" w:rsidP="00FF2DC9">
      <w:pPr>
        <w:rPr>
          <w:b/>
          <w:bCs/>
          <w:iCs/>
          <w:sz w:val="22"/>
          <w:szCs w:val="22"/>
        </w:rPr>
      </w:pPr>
      <w:r>
        <w:rPr>
          <w:b/>
          <w:bCs/>
          <w:iCs/>
          <w:sz w:val="22"/>
          <w:szCs w:val="22"/>
        </w:rPr>
        <w:br w:type="page"/>
      </w:r>
    </w:p>
    <w:p w14:paraId="591DAC5C" w14:textId="4DD1278A" w:rsidR="00C30B86" w:rsidRPr="00C30B86" w:rsidRDefault="00C30B86" w:rsidP="00FF2DC9">
      <w:pPr>
        <w:rPr>
          <w:b/>
          <w:bCs/>
          <w:iCs/>
          <w:sz w:val="22"/>
          <w:szCs w:val="22"/>
        </w:rPr>
      </w:pPr>
      <w:r w:rsidRPr="001279BB">
        <w:rPr>
          <w:b/>
          <w:bCs/>
          <w:iCs/>
          <w:sz w:val="22"/>
          <w:szCs w:val="22"/>
        </w:rPr>
        <w:t>Table 2. Logistic regression</w:t>
      </w:r>
      <w:r w:rsidRPr="00C30B86">
        <w:rPr>
          <w:b/>
          <w:bCs/>
          <w:iCs/>
          <w:sz w:val="22"/>
          <w:szCs w:val="22"/>
        </w:rPr>
        <w:t xml:space="preserve"> for prediction of diabetes in the UK Biobank dataset. The dataset includes 2,529 diabetics, and 40,399 non-diabetics. Odds ratios for PAT area are indicated for an increase of 10cm</w:t>
      </w:r>
      <w:r w:rsidRPr="00C30B86">
        <w:rPr>
          <w:b/>
          <w:bCs/>
          <w:iCs/>
          <w:sz w:val="22"/>
          <w:szCs w:val="22"/>
          <w:vertAlign w:val="superscript"/>
        </w:rPr>
        <w:t>2</w:t>
      </w:r>
      <w:r w:rsidRPr="00C30B86">
        <w:rPr>
          <w:b/>
          <w:bCs/>
          <w:iCs/>
          <w:sz w:val="22"/>
          <w:szCs w:val="22"/>
        </w:rPr>
        <w:t>.</w:t>
      </w:r>
    </w:p>
    <w:tbl>
      <w:tblPr>
        <w:tblStyle w:val="TableGridLight"/>
        <w:tblW w:w="7225" w:type="dxa"/>
        <w:jc w:val="center"/>
        <w:tblLook w:val="04A0" w:firstRow="1" w:lastRow="0" w:firstColumn="1" w:lastColumn="0" w:noHBand="0" w:noVBand="1"/>
      </w:tblPr>
      <w:tblGrid>
        <w:gridCol w:w="1152"/>
        <w:gridCol w:w="1790"/>
        <w:gridCol w:w="1421"/>
        <w:gridCol w:w="1302"/>
        <w:gridCol w:w="1560"/>
      </w:tblGrid>
      <w:tr w:rsidR="00C30B86" w:rsidRPr="00C30B86" w14:paraId="4A9AE249" w14:textId="77777777" w:rsidTr="000543B8">
        <w:trPr>
          <w:jc w:val="center"/>
        </w:trPr>
        <w:tc>
          <w:tcPr>
            <w:tcW w:w="1152" w:type="dxa"/>
          </w:tcPr>
          <w:p w14:paraId="626A2CAC" w14:textId="77777777" w:rsidR="00C30B86" w:rsidRPr="00C30B86" w:rsidRDefault="00C30B86" w:rsidP="00FF2DC9">
            <w:pPr>
              <w:rPr>
                <w:sz w:val="22"/>
                <w:szCs w:val="22"/>
              </w:rPr>
            </w:pPr>
          </w:p>
        </w:tc>
        <w:tc>
          <w:tcPr>
            <w:tcW w:w="1790" w:type="dxa"/>
          </w:tcPr>
          <w:p w14:paraId="1E40A7DD" w14:textId="77777777" w:rsidR="00C30B86" w:rsidRPr="00C30B86" w:rsidRDefault="00C30B86" w:rsidP="00FF2DC9">
            <w:pPr>
              <w:pStyle w:val="TableHeading"/>
              <w:rPr>
                <w:rFonts w:cs="Times New Roman"/>
                <w:sz w:val="22"/>
                <w:szCs w:val="22"/>
              </w:rPr>
            </w:pPr>
            <w:r w:rsidRPr="00C30B86">
              <w:rPr>
                <w:rFonts w:cs="Times New Roman"/>
                <w:sz w:val="22"/>
                <w:szCs w:val="22"/>
              </w:rPr>
              <w:t>Variable</w:t>
            </w:r>
          </w:p>
        </w:tc>
        <w:tc>
          <w:tcPr>
            <w:tcW w:w="1421" w:type="dxa"/>
          </w:tcPr>
          <w:p w14:paraId="317499E9" w14:textId="77777777" w:rsidR="00C30B86" w:rsidRPr="00C30B86" w:rsidRDefault="00C30B86" w:rsidP="00FF2DC9">
            <w:pPr>
              <w:pStyle w:val="TableHeading"/>
              <w:rPr>
                <w:rFonts w:cs="Times New Roman"/>
                <w:sz w:val="22"/>
                <w:szCs w:val="22"/>
              </w:rPr>
            </w:pPr>
            <w:r w:rsidRPr="00C30B86">
              <w:rPr>
                <w:rFonts w:cs="Times New Roman"/>
                <w:sz w:val="22"/>
                <w:szCs w:val="22"/>
              </w:rPr>
              <w:t>Odds ratio</w:t>
            </w:r>
          </w:p>
        </w:tc>
        <w:tc>
          <w:tcPr>
            <w:tcW w:w="1302" w:type="dxa"/>
          </w:tcPr>
          <w:p w14:paraId="61414434" w14:textId="77777777" w:rsidR="00C30B86" w:rsidRPr="00C30B86" w:rsidRDefault="00C30B86" w:rsidP="00FF2DC9">
            <w:pPr>
              <w:pStyle w:val="TableHeading"/>
              <w:rPr>
                <w:rFonts w:cs="Times New Roman"/>
                <w:sz w:val="22"/>
                <w:szCs w:val="22"/>
              </w:rPr>
            </w:pPr>
            <w:r w:rsidRPr="00C30B86">
              <w:rPr>
                <w:rFonts w:cs="Times New Roman"/>
                <w:sz w:val="22"/>
                <w:szCs w:val="22"/>
              </w:rPr>
              <w:t>95% CI</w:t>
            </w:r>
          </w:p>
        </w:tc>
        <w:tc>
          <w:tcPr>
            <w:tcW w:w="1560" w:type="dxa"/>
          </w:tcPr>
          <w:p w14:paraId="1FE26073" w14:textId="77777777" w:rsidR="00C30B86" w:rsidRPr="00C30B86" w:rsidRDefault="00C30B86" w:rsidP="00FF2DC9">
            <w:pPr>
              <w:pStyle w:val="TableHeading"/>
              <w:rPr>
                <w:rFonts w:cs="Times New Roman"/>
                <w:sz w:val="22"/>
                <w:szCs w:val="22"/>
              </w:rPr>
            </w:pPr>
            <w:r w:rsidRPr="00C30B86">
              <w:rPr>
                <w:rFonts w:cs="Times New Roman"/>
                <w:sz w:val="22"/>
                <w:szCs w:val="22"/>
              </w:rPr>
              <w:t>p-value</w:t>
            </w:r>
          </w:p>
        </w:tc>
      </w:tr>
      <w:tr w:rsidR="00C30B86" w:rsidRPr="00C30B86" w14:paraId="54B1BCD3" w14:textId="77777777" w:rsidTr="000543B8">
        <w:trPr>
          <w:jc w:val="center"/>
        </w:trPr>
        <w:tc>
          <w:tcPr>
            <w:tcW w:w="1152" w:type="dxa"/>
          </w:tcPr>
          <w:p w14:paraId="32E7E170" w14:textId="77777777" w:rsidR="00C30B86" w:rsidRPr="00C30B86" w:rsidRDefault="00C30B86" w:rsidP="00FF2DC9">
            <w:pPr>
              <w:pStyle w:val="TableContents"/>
              <w:rPr>
                <w:rFonts w:cs="Times New Roman"/>
                <w:sz w:val="22"/>
                <w:szCs w:val="22"/>
              </w:rPr>
            </w:pPr>
            <w:r w:rsidRPr="00C30B86">
              <w:rPr>
                <w:rFonts w:cs="Times New Roman"/>
                <w:sz w:val="22"/>
                <w:szCs w:val="22"/>
              </w:rPr>
              <w:t>Model 1</w:t>
            </w:r>
          </w:p>
        </w:tc>
        <w:tc>
          <w:tcPr>
            <w:tcW w:w="1790" w:type="dxa"/>
          </w:tcPr>
          <w:p w14:paraId="04C05424" w14:textId="77777777" w:rsidR="00C30B86" w:rsidRPr="00C30B86" w:rsidRDefault="00C30B86" w:rsidP="00FF2DC9">
            <w:pPr>
              <w:pStyle w:val="TableContents"/>
              <w:rPr>
                <w:rFonts w:cs="Times New Roman"/>
                <w:sz w:val="22"/>
                <w:szCs w:val="22"/>
              </w:rPr>
            </w:pPr>
            <w:r w:rsidRPr="00C30B86">
              <w:rPr>
                <w:rFonts w:cs="Times New Roman"/>
                <w:sz w:val="22"/>
                <w:szCs w:val="22"/>
              </w:rPr>
              <w:t>PAT Area (cm</w:t>
            </w:r>
            <w:r w:rsidRPr="00C30B86">
              <w:rPr>
                <w:rFonts w:cs="Times New Roman"/>
                <w:sz w:val="22"/>
                <w:szCs w:val="22"/>
                <w:vertAlign w:val="superscript"/>
              </w:rPr>
              <w:t>2</w:t>
            </w:r>
            <w:r w:rsidRPr="00C30B86">
              <w:rPr>
                <w:rFonts w:cs="Times New Roman"/>
                <w:sz w:val="22"/>
                <w:szCs w:val="22"/>
              </w:rPr>
              <w:t>)</w:t>
            </w:r>
          </w:p>
        </w:tc>
        <w:tc>
          <w:tcPr>
            <w:tcW w:w="1421" w:type="dxa"/>
          </w:tcPr>
          <w:p w14:paraId="6168A35F" w14:textId="77777777" w:rsidR="00C30B86" w:rsidRPr="00C30B86" w:rsidRDefault="00C30B86" w:rsidP="00FF2DC9">
            <w:pPr>
              <w:pStyle w:val="TableContents"/>
              <w:rPr>
                <w:rFonts w:cs="Times New Roman"/>
                <w:sz w:val="22"/>
                <w:szCs w:val="22"/>
              </w:rPr>
            </w:pPr>
            <w:r w:rsidRPr="00C30B86">
              <w:rPr>
                <w:rFonts w:cs="Times New Roman"/>
                <w:sz w:val="22"/>
                <w:szCs w:val="22"/>
              </w:rPr>
              <w:t>1.44</w:t>
            </w:r>
          </w:p>
        </w:tc>
        <w:tc>
          <w:tcPr>
            <w:tcW w:w="1302" w:type="dxa"/>
          </w:tcPr>
          <w:p w14:paraId="0650597E" w14:textId="77777777" w:rsidR="00C30B86" w:rsidRPr="00C30B86" w:rsidRDefault="00C30B86" w:rsidP="00FF2DC9">
            <w:pPr>
              <w:pStyle w:val="TableContents"/>
              <w:rPr>
                <w:rFonts w:cs="Times New Roman"/>
                <w:sz w:val="22"/>
                <w:szCs w:val="22"/>
              </w:rPr>
            </w:pPr>
            <w:r w:rsidRPr="00C30B86">
              <w:rPr>
                <w:rFonts w:cs="Times New Roman"/>
                <w:sz w:val="22"/>
                <w:szCs w:val="22"/>
              </w:rPr>
              <w:t>1.40, 1.47</w:t>
            </w:r>
          </w:p>
        </w:tc>
        <w:tc>
          <w:tcPr>
            <w:tcW w:w="1560" w:type="dxa"/>
          </w:tcPr>
          <w:p w14:paraId="5385F26A" w14:textId="77777777" w:rsidR="00C30B86" w:rsidRPr="00C30B86" w:rsidRDefault="00C30B86" w:rsidP="00FF2DC9">
            <w:pPr>
              <w:pStyle w:val="TableContents"/>
              <w:rPr>
                <w:rFonts w:cs="Times New Roman"/>
                <w:sz w:val="22"/>
                <w:szCs w:val="22"/>
              </w:rPr>
            </w:pPr>
            <w:r w:rsidRPr="00C30B86">
              <w:rPr>
                <w:rFonts w:cs="Times New Roman"/>
                <w:sz w:val="22"/>
                <w:szCs w:val="22"/>
              </w:rPr>
              <w:t xml:space="preserve">8.43 </w:t>
            </w:r>
            <m:oMath>
              <m:r>
                <w:rPr>
                  <w:rFonts w:ascii="Cambria Math" w:hAnsi="Cambria Math" w:cs="Times New Roman"/>
                  <w:sz w:val="22"/>
                  <w:szCs w:val="22"/>
                </w:rPr>
                <m:t>×</m:t>
              </m:r>
            </m:oMath>
            <w:r w:rsidRPr="00C30B86">
              <w:rPr>
                <w:rFonts w:cs="Times New Roman"/>
                <w:sz w:val="22"/>
                <w:szCs w:val="22"/>
              </w:rPr>
              <w:t xml:space="preserve"> 10</w:t>
            </w:r>
            <w:r w:rsidRPr="00C30B86">
              <w:rPr>
                <w:rFonts w:cs="Times New Roman"/>
                <w:sz w:val="22"/>
                <w:szCs w:val="22"/>
                <w:vertAlign w:val="superscript"/>
              </w:rPr>
              <w:t>-164</w:t>
            </w:r>
          </w:p>
        </w:tc>
      </w:tr>
      <w:tr w:rsidR="00C30B86" w:rsidRPr="00C30B86" w14:paraId="5CE5A525" w14:textId="77777777" w:rsidTr="000543B8">
        <w:trPr>
          <w:jc w:val="center"/>
        </w:trPr>
        <w:tc>
          <w:tcPr>
            <w:tcW w:w="1152" w:type="dxa"/>
            <w:vMerge w:val="restart"/>
          </w:tcPr>
          <w:p w14:paraId="41A5CF35" w14:textId="32D9A1FB" w:rsidR="00C30B86" w:rsidRPr="00C30B86" w:rsidRDefault="00C30B86" w:rsidP="00FF2DC9">
            <w:pPr>
              <w:pStyle w:val="TableContents"/>
              <w:rPr>
                <w:rFonts w:cs="Times New Roman"/>
                <w:sz w:val="22"/>
                <w:szCs w:val="22"/>
              </w:rPr>
            </w:pPr>
            <w:r w:rsidRPr="00B7733B">
              <w:rPr>
                <w:rFonts w:cs="Times New Roman"/>
                <w:sz w:val="22"/>
                <w:szCs w:val="22"/>
              </w:rPr>
              <w:t>Mode</w:t>
            </w:r>
            <w:r w:rsidR="00F673C0" w:rsidRPr="00B7733B">
              <w:rPr>
                <w:rFonts w:cs="Times New Roman"/>
                <w:sz w:val="22"/>
                <w:szCs w:val="22"/>
              </w:rPr>
              <w:t>l</w:t>
            </w:r>
            <w:r w:rsidRPr="00B7733B">
              <w:rPr>
                <w:rFonts w:cs="Times New Roman"/>
                <w:sz w:val="22"/>
                <w:szCs w:val="22"/>
              </w:rPr>
              <w:t xml:space="preserve"> 2</w:t>
            </w:r>
          </w:p>
        </w:tc>
        <w:tc>
          <w:tcPr>
            <w:tcW w:w="1790" w:type="dxa"/>
          </w:tcPr>
          <w:p w14:paraId="110AF4F4" w14:textId="77777777" w:rsidR="00C30B86" w:rsidRPr="00C30B86" w:rsidRDefault="00C30B86" w:rsidP="00FF2DC9">
            <w:pPr>
              <w:pStyle w:val="TableContents"/>
              <w:rPr>
                <w:rFonts w:cs="Times New Roman"/>
                <w:sz w:val="22"/>
                <w:szCs w:val="22"/>
              </w:rPr>
            </w:pPr>
            <w:r w:rsidRPr="00C30B86">
              <w:rPr>
                <w:rFonts w:cs="Times New Roman"/>
                <w:sz w:val="22"/>
                <w:szCs w:val="22"/>
              </w:rPr>
              <w:t>PAT Area (cm</w:t>
            </w:r>
            <w:r w:rsidRPr="00C30B86">
              <w:rPr>
                <w:rFonts w:cs="Times New Roman"/>
                <w:sz w:val="22"/>
                <w:szCs w:val="22"/>
                <w:vertAlign w:val="superscript"/>
              </w:rPr>
              <w:t>2</w:t>
            </w:r>
            <w:r w:rsidRPr="00C30B86">
              <w:rPr>
                <w:rFonts w:cs="Times New Roman"/>
                <w:sz w:val="22"/>
                <w:szCs w:val="22"/>
              </w:rPr>
              <w:t>)</w:t>
            </w:r>
          </w:p>
        </w:tc>
        <w:tc>
          <w:tcPr>
            <w:tcW w:w="1421" w:type="dxa"/>
          </w:tcPr>
          <w:p w14:paraId="6C64002A" w14:textId="77777777" w:rsidR="00C30B86" w:rsidRPr="00C30B86" w:rsidRDefault="00C30B86" w:rsidP="00FF2DC9">
            <w:pPr>
              <w:pStyle w:val="TableContents"/>
              <w:rPr>
                <w:rFonts w:cs="Times New Roman"/>
                <w:sz w:val="22"/>
                <w:szCs w:val="22"/>
              </w:rPr>
            </w:pPr>
            <w:r w:rsidRPr="00C30B86">
              <w:rPr>
                <w:rFonts w:cs="Times New Roman"/>
                <w:sz w:val="22"/>
                <w:szCs w:val="22"/>
              </w:rPr>
              <w:t>1.36</w:t>
            </w:r>
          </w:p>
        </w:tc>
        <w:tc>
          <w:tcPr>
            <w:tcW w:w="1302" w:type="dxa"/>
          </w:tcPr>
          <w:p w14:paraId="53674F0E" w14:textId="77777777" w:rsidR="00C30B86" w:rsidRPr="00C30B86" w:rsidRDefault="00C30B86" w:rsidP="00FF2DC9">
            <w:pPr>
              <w:pStyle w:val="TableContents"/>
              <w:rPr>
                <w:rFonts w:cs="Times New Roman"/>
                <w:sz w:val="22"/>
                <w:szCs w:val="22"/>
              </w:rPr>
            </w:pPr>
            <w:r w:rsidRPr="00C30B86">
              <w:rPr>
                <w:rFonts w:cs="Times New Roman"/>
                <w:sz w:val="22"/>
                <w:szCs w:val="22"/>
              </w:rPr>
              <w:t>1.32, 1.40</w:t>
            </w:r>
          </w:p>
        </w:tc>
        <w:tc>
          <w:tcPr>
            <w:tcW w:w="1560" w:type="dxa"/>
          </w:tcPr>
          <w:p w14:paraId="3D50B968" w14:textId="77777777" w:rsidR="00C30B86" w:rsidRPr="00C30B86" w:rsidRDefault="00C30B86" w:rsidP="00FF2DC9">
            <w:pPr>
              <w:pStyle w:val="TableContents"/>
              <w:rPr>
                <w:rFonts w:cs="Times New Roman"/>
                <w:sz w:val="22"/>
                <w:szCs w:val="22"/>
              </w:rPr>
            </w:pPr>
            <w:r w:rsidRPr="00C30B86">
              <w:rPr>
                <w:rFonts w:cs="Times New Roman"/>
                <w:sz w:val="22"/>
                <w:szCs w:val="22"/>
              </w:rPr>
              <w:t xml:space="preserve">1.26 </w:t>
            </w:r>
            <m:oMath>
              <m:r>
                <w:rPr>
                  <w:rFonts w:ascii="Cambria Math" w:hAnsi="Cambria Math" w:cs="Times New Roman"/>
                  <w:sz w:val="22"/>
                  <w:szCs w:val="22"/>
                </w:rPr>
                <m:t>×</m:t>
              </m:r>
            </m:oMath>
            <w:r w:rsidRPr="00C30B86">
              <w:rPr>
                <w:rFonts w:cs="Times New Roman"/>
                <w:sz w:val="22"/>
                <w:szCs w:val="22"/>
              </w:rPr>
              <w:t xml:space="preserve"> 10</w:t>
            </w:r>
            <w:r w:rsidRPr="00C30B86">
              <w:rPr>
                <w:rFonts w:cs="Times New Roman"/>
                <w:sz w:val="22"/>
                <w:szCs w:val="22"/>
                <w:vertAlign w:val="superscript"/>
              </w:rPr>
              <w:t>-92</w:t>
            </w:r>
          </w:p>
        </w:tc>
      </w:tr>
      <w:tr w:rsidR="00C30B86" w:rsidRPr="00C30B86" w14:paraId="6C2D8CDA" w14:textId="77777777" w:rsidTr="000543B8">
        <w:trPr>
          <w:jc w:val="center"/>
        </w:trPr>
        <w:tc>
          <w:tcPr>
            <w:tcW w:w="1152" w:type="dxa"/>
            <w:vMerge/>
          </w:tcPr>
          <w:p w14:paraId="70FD5887" w14:textId="77777777" w:rsidR="00C30B86" w:rsidRPr="00C30B86" w:rsidRDefault="00C30B86" w:rsidP="00FF2DC9">
            <w:pPr>
              <w:rPr>
                <w:sz w:val="22"/>
                <w:szCs w:val="22"/>
              </w:rPr>
            </w:pPr>
          </w:p>
        </w:tc>
        <w:tc>
          <w:tcPr>
            <w:tcW w:w="1790" w:type="dxa"/>
          </w:tcPr>
          <w:p w14:paraId="423A15F3" w14:textId="77777777" w:rsidR="00C30B86" w:rsidRPr="00C30B86" w:rsidRDefault="00C30B86" w:rsidP="00FF2DC9">
            <w:pPr>
              <w:pStyle w:val="TableContents"/>
              <w:rPr>
                <w:rFonts w:cs="Times New Roman"/>
                <w:sz w:val="22"/>
                <w:szCs w:val="22"/>
              </w:rPr>
            </w:pPr>
            <w:r w:rsidRPr="00C30B86">
              <w:rPr>
                <w:rFonts w:cs="Times New Roman"/>
                <w:sz w:val="22"/>
                <w:szCs w:val="22"/>
              </w:rPr>
              <w:t>Male sex</w:t>
            </w:r>
          </w:p>
        </w:tc>
        <w:tc>
          <w:tcPr>
            <w:tcW w:w="1421" w:type="dxa"/>
          </w:tcPr>
          <w:p w14:paraId="4968DC20" w14:textId="77777777" w:rsidR="00C30B86" w:rsidRPr="00C30B86" w:rsidRDefault="00C30B86" w:rsidP="00FF2DC9">
            <w:pPr>
              <w:pStyle w:val="TableContents"/>
              <w:rPr>
                <w:rFonts w:cs="Times New Roman"/>
                <w:sz w:val="22"/>
                <w:szCs w:val="22"/>
              </w:rPr>
            </w:pPr>
            <w:r w:rsidRPr="00C30B86">
              <w:rPr>
                <w:rFonts w:cs="Times New Roman"/>
                <w:sz w:val="22"/>
                <w:szCs w:val="22"/>
              </w:rPr>
              <w:t>1.3</w:t>
            </w:r>
            <w:r w:rsidRPr="00C30B86">
              <w:rPr>
                <w:rFonts w:cs="Times New Roman"/>
                <w:iCs/>
                <w:sz w:val="22"/>
                <w:szCs w:val="22"/>
              </w:rPr>
              <w:t>2</w:t>
            </w:r>
          </w:p>
        </w:tc>
        <w:tc>
          <w:tcPr>
            <w:tcW w:w="1302" w:type="dxa"/>
          </w:tcPr>
          <w:p w14:paraId="56D19117" w14:textId="77777777" w:rsidR="00C30B86" w:rsidRPr="00C30B86" w:rsidRDefault="00C30B86" w:rsidP="00FF2DC9">
            <w:pPr>
              <w:pStyle w:val="TableContents"/>
              <w:rPr>
                <w:rFonts w:cs="Times New Roman"/>
                <w:sz w:val="22"/>
                <w:szCs w:val="22"/>
              </w:rPr>
            </w:pPr>
            <w:r w:rsidRPr="00C30B86">
              <w:rPr>
                <w:rFonts w:cs="Times New Roman"/>
                <w:sz w:val="22"/>
                <w:szCs w:val="22"/>
              </w:rPr>
              <w:t>1.20, 1.44</w:t>
            </w:r>
          </w:p>
        </w:tc>
        <w:tc>
          <w:tcPr>
            <w:tcW w:w="1560" w:type="dxa"/>
          </w:tcPr>
          <w:p w14:paraId="40B7F48D" w14:textId="77777777" w:rsidR="00C30B86" w:rsidRPr="00C30B86" w:rsidRDefault="00C30B86" w:rsidP="00FF2DC9">
            <w:pPr>
              <w:pStyle w:val="TableContents"/>
              <w:rPr>
                <w:rFonts w:cs="Times New Roman"/>
                <w:sz w:val="22"/>
                <w:szCs w:val="22"/>
              </w:rPr>
            </w:pPr>
            <w:r w:rsidRPr="00C30B86">
              <w:rPr>
                <w:rFonts w:cs="Times New Roman"/>
                <w:sz w:val="22"/>
                <w:szCs w:val="22"/>
              </w:rPr>
              <w:t>8.97</w:t>
            </w:r>
            <m:oMath>
              <m:r>
                <w:rPr>
                  <w:rFonts w:ascii="Cambria Math" w:hAnsi="Cambria Math" w:cs="Times New Roman"/>
                  <w:sz w:val="22"/>
                  <w:szCs w:val="22"/>
                </w:rPr>
                <m:t>×</m:t>
              </m:r>
            </m:oMath>
            <w:r w:rsidRPr="00C30B86">
              <w:rPr>
                <w:rFonts w:cs="Times New Roman"/>
                <w:sz w:val="22"/>
                <w:szCs w:val="22"/>
              </w:rPr>
              <w:t xml:space="preserve"> 10</w:t>
            </w:r>
            <w:r w:rsidRPr="00C30B86">
              <w:rPr>
                <w:rFonts w:cs="Times New Roman"/>
                <w:sz w:val="22"/>
                <w:szCs w:val="22"/>
                <w:vertAlign w:val="superscript"/>
              </w:rPr>
              <w:t>-9</w:t>
            </w:r>
          </w:p>
        </w:tc>
      </w:tr>
      <w:tr w:rsidR="00C30B86" w:rsidRPr="00C30B86" w14:paraId="62C302A4" w14:textId="77777777" w:rsidTr="000543B8">
        <w:trPr>
          <w:jc w:val="center"/>
        </w:trPr>
        <w:tc>
          <w:tcPr>
            <w:tcW w:w="1152" w:type="dxa"/>
            <w:vMerge/>
          </w:tcPr>
          <w:p w14:paraId="2A8179EA" w14:textId="77777777" w:rsidR="00C30B86" w:rsidRPr="00C30B86" w:rsidRDefault="00C30B86" w:rsidP="00FF2DC9">
            <w:pPr>
              <w:rPr>
                <w:sz w:val="22"/>
                <w:szCs w:val="22"/>
              </w:rPr>
            </w:pPr>
          </w:p>
        </w:tc>
        <w:tc>
          <w:tcPr>
            <w:tcW w:w="1790" w:type="dxa"/>
          </w:tcPr>
          <w:p w14:paraId="442EBD15" w14:textId="77777777" w:rsidR="00C30B86" w:rsidRPr="00C30B86" w:rsidRDefault="00C30B86" w:rsidP="00FF2DC9">
            <w:pPr>
              <w:pStyle w:val="TableContents"/>
              <w:rPr>
                <w:rFonts w:cs="Times New Roman"/>
                <w:sz w:val="22"/>
                <w:szCs w:val="22"/>
              </w:rPr>
            </w:pPr>
            <w:r w:rsidRPr="00C30B86">
              <w:rPr>
                <w:rFonts w:cs="Times New Roman"/>
                <w:sz w:val="22"/>
                <w:szCs w:val="22"/>
              </w:rPr>
              <w:t>Age (years)</w:t>
            </w:r>
          </w:p>
        </w:tc>
        <w:tc>
          <w:tcPr>
            <w:tcW w:w="1421" w:type="dxa"/>
          </w:tcPr>
          <w:p w14:paraId="50189583" w14:textId="77777777" w:rsidR="00C30B86" w:rsidRPr="00C30B86" w:rsidRDefault="00C30B86" w:rsidP="00FF2DC9">
            <w:pPr>
              <w:pStyle w:val="TableContents"/>
              <w:rPr>
                <w:rFonts w:cs="Times New Roman"/>
                <w:sz w:val="22"/>
                <w:szCs w:val="22"/>
              </w:rPr>
            </w:pPr>
            <w:r w:rsidRPr="00C30B86">
              <w:rPr>
                <w:rFonts w:cs="Times New Roman"/>
                <w:sz w:val="22"/>
                <w:szCs w:val="22"/>
              </w:rPr>
              <w:t>1.03</w:t>
            </w:r>
          </w:p>
        </w:tc>
        <w:tc>
          <w:tcPr>
            <w:tcW w:w="1302" w:type="dxa"/>
          </w:tcPr>
          <w:p w14:paraId="5A2C95FC" w14:textId="77777777" w:rsidR="00C30B86" w:rsidRPr="00C30B86" w:rsidRDefault="00C30B86" w:rsidP="00FF2DC9">
            <w:pPr>
              <w:pStyle w:val="TableContents"/>
              <w:rPr>
                <w:rFonts w:cs="Times New Roman"/>
                <w:sz w:val="22"/>
                <w:szCs w:val="22"/>
              </w:rPr>
            </w:pPr>
            <w:r w:rsidRPr="00C30B86">
              <w:rPr>
                <w:rFonts w:cs="Times New Roman"/>
                <w:sz w:val="22"/>
                <w:szCs w:val="22"/>
              </w:rPr>
              <w:t>1.03, 1.04</w:t>
            </w:r>
          </w:p>
        </w:tc>
        <w:tc>
          <w:tcPr>
            <w:tcW w:w="1560" w:type="dxa"/>
          </w:tcPr>
          <w:p w14:paraId="7B82C4C0" w14:textId="77777777" w:rsidR="00C30B86" w:rsidRPr="00C30B86" w:rsidRDefault="00C30B86" w:rsidP="00FF2DC9">
            <w:pPr>
              <w:pStyle w:val="TableContents"/>
              <w:rPr>
                <w:rFonts w:cs="Times New Roman"/>
                <w:sz w:val="22"/>
                <w:szCs w:val="22"/>
              </w:rPr>
            </w:pPr>
            <w:r w:rsidRPr="00C30B86">
              <w:rPr>
                <w:rFonts w:cs="Times New Roman"/>
                <w:sz w:val="22"/>
                <w:szCs w:val="22"/>
              </w:rPr>
              <w:t xml:space="preserve">4.66 </w:t>
            </w:r>
            <m:oMath>
              <m:r>
                <w:rPr>
                  <w:rFonts w:ascii="Cambria Math" w:hAnsi="Cambria Math" w:cs="Times New Roman"/>
                  <w:sz w:val="22"/>
                  <w:szCs w:val="22"/>
                </w:rPr>
                <m:t>×</m:t>
              </m:r>
            </m:oMath>
            <w:r w:rsidRPr="00C30B86">
              <w:rPr>
                <w:rFonts w:cs="Times New Roman"/>
                <w:sz w:val="22"/>
                <w:szCs w:val="22"/>
              </w:rPr>
              <w:t xml:space="preserve"> 10</w:t>
            </w:r>
            <w:r w:rsidRPr="00C30B86">
              <w:rPr>
                <w:rFonts w:cs="Times New Roman"/>
                <w:sz w:val="22"/>
                <w:szCs w:val="22"/>
                <w:vertAlign w:val="superscript"/>
              </w:rPr>
              <w:t>-30</w:t>
            </w:r>
          </w:p>
        </w:tc>
      </w:tr>
      <w:tr w:rsidR="00C30B86" w:rsidRPr="00C30B86" w14:paraId="1C23660C" w14:textId="77777777" w:rsidTr="000543B8">
        <w:trPr>
          <w:jc w:val="center"/>
        </w:trPr>
        <w:tc>
          <w:tcPr>
            <w:tcW w:w="1152" w:type="dxa"/>
            <w:vMerge w:val="restart"/>
          </w:tcPr>
          <w:p w14:paraId="6E494862" w14:textId="77777777" w:rsidR="00C30B86" w:rsidRPr="00C30B86" w:rsidRDefault="00C30B86" w:rsidP="00FF2DC9">
            <w:pPr>
              <w:pStyle w:val="TableContents"/>
              <w:rPr>
                <w:rFonts w:cs="Times New Roman"/>
                <w:sz w:val="22"/>
                <w:szCs w:val="22"/>
              </w:rPr>
            </w:pPr>
            <w:r w:rsidRPr="00C30B86">
              <w:rPr>
                <w:rFonts w:cs="Times New Roman"/>
                <w:sz w:val="22"/>
                <w:szCs w:val="22"/>
              </w:rPr>
              <w:t>Model 3</w:t>
            </w:r>
          </w:p>
        </w:tc>
        <w:tc>
          <w:tcPr>
            <w:tcW w:w="1790" w:type="dxa"/>
          </w:tcPr>
          <w:p w14:paraId="0C6ACCA5" w14:textId="77777777" w:rsidR="00C30B86" w:rsidRPr="00C30B86" w:rsidRDefault="00C30B86" w:rsidP="00FF2DC9">
            <w:pPr>
              <w:pStyle w:val="TableContents"/>
              <w:rPr>
                <w:rFonts w:cs="Times New Roman"/>
                <w:sz w:val="22"/>
                <w:szCs w:val="22"/>
              </w:rPr>
            </w:pPr>
            <w:r w:rsidRPr="00C30B86">
              <w:rPr>
                <w:rFonts w:cs="Times New Roman"/>
                <w:sz w:val="22"/>
                <w:szCs w:val="22"/>
              </w:rPr>
              <w:t>PAT Area (cm</w:t>
            </w:r>
            <w:r w:rsidRPr="00C30B86">
              <w:rPr>
                <w:rFonts w:cs="Times New Roman"/>
                <w:sz w:val="22"/>
                <w:szCs w:val="22"/>
                <w:vertAlign w:val="superscript"/>
              </w:rPr>
              <w:t>2</w:t>
            </w:r>
            <w:r w:rsidRPr="00C30B86">
              <w:rPr>
                <w:rFonts w:cs="Times New Roman"/>
                <w:sz w:val="22"/>
                <w:szCs w:val="22"/>
              </w:rPr>
              <w:t>)</w:t>
            </w:r>
          </w:p>
        </w:tc>
        <w:tc>
          <w:tcPr>
            <w:tcW w:w="1421" w:type="dxa"/>
          </w:tcPr>
          <w:p w14:paraId="78397EED" w14:textId="77777777" w:rsidR="00C30B86" w:rsidRPr="00C30B86" w:rsidRDefault="00C30B86" w:rsidP="00FF2DC9">
            <w:pPr>
              <w:pStyle w:val="TableContents"/>
              <w:rPr>
                <w:rFonts w:cs="Times New Roman"/>
                <w:sz w:val="22"/>
                <w:szCs w:val="22"/>
              </w:rPr>
            </w:pPr>
            <w:r w:rsidRPr="00C30B86">
              <w:rPr>
                <w:rFonts w:cs="Times New Roman"/>
                <w:sz w:val="22"/>
                <w:szCs w:val="22"/>
              </w:rPr>
              <w:t>1.07</w:t>
            </w:r>
          </w:p>
        </w:tc>
        <w:tc>
          <w:tcPr>
            <w:tcW w:w="1302" w:type="dxa"/>
          </w:tcPr>
          <w:p w14:paraId="50C731A6" w14:textId="77777777" w:rsidR="00C30B86" w:rsidRPr="00C30B86" w:rsidRDefault="00C30B86" w:rsidP="00FF2DC9">
            <w:pPr>
              <w:pStyle w:val="TableContents"/>
              <w:rPr>
                <w:rFonts w:cs="Times New Roman"/>
                <w:sz w:val="22"/>
                <w:szCs w:val="22"/>
              </w:rPr>
            </w:pPr>
            <w:r w:rsidRPr="00C30B86">
              <w:rPr>
                <w:rFonts w:cs="Times New Roman"/>
                <w:sz w:val="22"/>
                <w:szCs w:val="22"/>
              </w:rPr>
              <w:t>1.03, 1.10</w:t>
            </w:r>
          </w:p>
        </w:tc>
        <w:tc>
          <w:tcPr>
            <w:tcW w:w="1560" w:type="dxa"/>
          </w:tcPr>
          <w:p w14:paraId="04C88859" w14:textId="77777777" w:rsidR="00C30B86" w:rsidRPr="00C30B86" w:rsidRDefault="00C30B86" w:rsidP="00FF2DC9">
            <w:pPr>
              <w:pStyle w:val="TableContents"/>
              <w:rPr>
                <w:rFonts w:cs="Times New Roman"/>
                <w:sz w:val="22"/>
                <w:szCs w:val="22"/>
              </w:rPr>
            </w:pPr>
            <w:r w:rsidRPr="00C30B86">
              <w:rPr>
                <w:rFonts w:cs="Times New Roman"/>
                <w:sz w:val="22"/>
                <w:szCs w:val="22"/>
              </w:rPr>
              <w:t>1.41</w:t>
            </w:r>
            <m:oMath>
              <m:r>
                <w:rPr>
                  <w:rFonts w:ascii="Cambria Math" w:hAnsi="Cambria Math" w:cs="Times New Roman"/>
                  <w:sz w:val="22"/>
                  <w:szCs w:val="22"/>
                </w:rPr>
                <m:t>×</m:t>
              </m:r>
            </m:oMath>
            <w:r w:rsidRPr="00C30B86">
              <w:rPr>
                <w:rFonts w:cs="Times New Roman"/>
                <w:sz w:val="22"/>
                <w:szCs w:val="22"/>
              </w:rPr>
              <w:t xml:space="preserve"> 10</w:t>
            </w:r>
            <w:r w:rsidRPr="00C30B86">
              <w:rPr>
                <w:rFonts w:cs="Times New Roman"/>
                <w:sz w:val="22"/>
                <w:szCs w:val="22"/>
                <w:vertAlign w:val="superscript"/>
              </w:rPr>
              <w:t>-4</w:t>
            </w:r>
          </w:p>
        </w:tc>
      </w:tr>
      <w:tr w:rsidR="00C30B86" w:rsidRPr="00C30B86" w14:paraId="3ED8E71A" w14:textId="77777777" w:rsidTr="000543B8">
        <w:trPr>
          <w:jc w:val="center"/>
        </w:trPr>
        <w:tc>
          <w:tcPr>
            <w:tcW w:w="1152" w:type="dxa"/>
            <w:vMerge/>
          </w:tcPr>
          <w:p w14:paraId="150E982E" w14:textId="77777777" w:rsidR="00C30B86" w:rsidRPr="00C30B86" w:rsidRDefault="00C30B86" w:rsidP="00FF2DC9">
            <w:pPr>
              <w:pStyle w:val="TableContents"/>
              <w:rPr>
                <w:rFonts w:cs="Times New Roman"/>
                <w:sz w:val="22"/>
                <w:szCs w:val="22"/>
              </w:rPr>
            </w:pPr>
          </w:p>
        </w:tc>
        <w:tc>
          <w:tcPr>
            <w:tcW w:w="1790" w:type="dxa"/>
          </w:tcPr>
          <w:p w14:paraId="6BF0CA91" w14:textId="77777777" w:rsidR="00C30B86" w:rsidRPr="00C30B86" w:rsidRDefault="00C30B86" w:rsidP="00FF2DC9">
            <w:pPr>
              <w:pStyle w:val="TableContents"/>
              <w:rPr>
                <w:rFonts w:cs="Times New Roman"/>
                <w:sz w:val="22"/>
                <w:szCs w:val="22"/>
              </w:rPr>
            </w:pPr>
            <w:r w:rsidRPr="00C30B86">
              <w:rPr>
                <w:rFonts w:cs="Times New Roman"/>
                <w:sz w:val="22"/>
                <w:szCs w:val="22"/>
              </w:rPr>
              <w:t>Male sex</w:t>
            </w:r>
          </w:p>
        </w:tc>
        <w:tc>
          <w:tcPr>
            <w:tcW w:w="1421" w:type="dxa"/>
          </w:tcPr>
          <w:p w14:paraId="0F97FCD0" w14:textId="77777777" w:rsidR="00C30B86" w:rsidRPr="00C30B86" w:rsidRDefault="00C30B86" w:rsidP="00FF2DC9">
            <w:pPr>
              <w:pStyle w:val="TableContents"/>
              <w:rPr>
                <w:rFonts w:cs="Times New Roman"/>
                <w:sz w:val="22"/>
                <w:szCs w:val="22"/>
              </w:rPr>
            </w:pPr>
            <w:r w:rsidRPr="00C30B86">
              <w:rPr>
                <w:rFonts w:cs="Times New Roman"/>
                <w:sz w:val="22"/>
                <w:szCs w:val="22"/>
              </w:rPr>
              <w:t>1.80</w:t>
            </w:r>
          </w:p>
        </w:tc>
        <w:tc>
          <w:tcPr>
            <w:tcW w:w="1302" w:type="dxa"/>
          </w:tcPr>
          <w:p w14:paraId="54CA6CD6" w14:textId="77777777" w:rsidR="00C30B86" w:rsidRPr="00C30B86" w:rsidRDefault="00C30B86" w:rsidP="00FF2DC9">
            <w:pPr>
              <w:pStyle w:val="TableContents"/>
              <w:rPr>
                <w:rFonts w:cs="Times New Roman"/>
                <w:sz w:val="22"/>
                <w:szCs w:val="22"/>
              </w:rPr>
            </w:pPr>
            <w:r w:rsidRPr="00C30B86">
              <w:rPr>
                <w:rFonts w:cs="Times New Roman"/>
                <w:sz w:val="22"/>
                <w:szCs w:val="22"/>
              </w:rPr>
              <w:t>1.63, 1.98</w:t>
            </w:r>
          </w:p>
        </w:tc>
        <w:tc>
          <w:tcPr>
            <w:tcW w:w="1560" w:type="dxa"/>
          </w:tcPr>
          <w:p w14:paraId="74BE2D33" w14:textId="77777777" w:rsidR="00C30B86" w:rsidRPr="00C30B86" w:rsidRDefault="00C30B86" w:rsidP="00FF2DC9">
            <w:pPr>
              <w:pStyle w:val="TableContents"/>
              <w:rPr>
                <w:rFonts w:cs="Times New Roman"/>
                <w:sz w:val="22"/>
                <w:szCs w:val="22"/>
              </w:rPr>
            </w:pPr>
            <w:r w:rsidRPr="00C30B86">
              <w:rPr>
                <w:rFonts w:cs="Times New Roman"/>
                <w:sz w:val="22"/>
                <w:szCs w:val="22"/>
              </w:rPr>
              <w:t xml:space="preserve">2.43 </w:t>
            </w:r>
            <m:oMath>
              <m:r>
                <w:rPr>
                  <w:rFonts w:ascii="Cambria Math" w:hAnsi="Cambria Math" w:cs="Times New Roman"/>
                  <w:sz w:val="22"/>
                  <w:szCs w:val="22"/>
                </w:rPr>
                <m:t>×</m:t>
              </m:r>
            </m:oMath>
            <w:r w:rsidRPr="00C30B86">
              <w:rPr>
                <w:rFonts w:cs="Times New Roman"/>
                <w:sz w:val="22"/>
                <w:szCs w:val="22"/>
              </w:rPr>
              <w:t xml:space="preserve"> 10</w:t>
            </w:r>
            <w:r w:rsidRPr="00C30B86">
              <w:rPr>
                <w:rFonts w:cs="Times New Roman"/>
                <w:sz w:val="22"/>
                <w:szCs w:val="22"/>
                <w:vertAlign w:val="superscript"/>
              </w:rPr>
              <w:t>-32</w:t>
            </w:r>
          </w:p>
        </w:tc>
      </w:tr>
      <w:tr w:rsidR="00C30B86" w:rsidRPr="00C30B86" w14:paraId="093E53C5" w14:textId="77777777" w:rsidTr="000543B8">
        <w:trPr>
          <w:jc w:val="center"/>
        </w:trPr>
        <w:tc>
          <w:tcPr>
            <w:tcW w:w="1152" w:type="dxa"/>
            <w:vMerge/>
          </w:tcPr>
          <w:p w14:paraId="2226A7BD" w14:textId="77777777" w:rsidR="00C30B86" w:rsidRPr="00C30B86" w:rsidRDefault="00C30B86" w:rsidP="00FF2DC9">
            <w:pPr>
              <w:rPr>
                <w:sz w:val="22"/>
                <w:szCs w:val="22"/>
              </w:rPr>
            </w:pPr>
          </w:p>
        </w:tc>
        <w:tc>
          <w:tcPr>
            <w:tcW w:w="1790" w:type="dxa"/>
          </w:tcPr>
          <w:p w14:paraId="3FFDC897" w14:textId="77777777" w:rsidR="00C30B86" w:rsidRPr="00C30B86" w:rsidRDefault="00C30B86" w:rsidP="00FF2DC9">
            <w:pPr>
              <w:pStyle w:val="TableContents"/>
              <w:rPr>
                <w:rFonts w:cs="Times New Roman"/>
                <w:sz w:val="22"/>
                <w:szCs w:val="22"/>
              </w:rPr>
            </w:pPr>
            <w:r w:rsidRPr="00C30B86">
              <w:rPr>
                <w:rFonts w:cs="Times New Roman"/>
                <w:sz w:val="22"/>
                <w:szCs w:val="22"/>
              </w:rPr>
              <w:t>Age (years)</w:t>
            </w:r>
          </w:p>
        </w:tc>
        <w:tc>
          <w:tcPr>
            <w:tcW w:w="1421" w:type="dxa"/>
          </w:tcPr>
          <w:p w14:paraId="060514E9" w14:textId="77777777" w:rsidR="00C30B86" w:rsidRPr="00C30B86" w:rsidRDefault="00C30B86" w:rsidP="00FF2DC9">
            <w:pPr>
              <w:pStyle w:val="TableContents"/>
              <w:rPr>
                <w:rFonts w:cs="Times New Roman"/>
                <w:sz w:val="22"/>
                <w:szCs w:val="22"/>
              </w:rPr>
            </w:pPr>
            <w:r w:rsidRPr="00C30B86">
              <w:rPr>
                <w:rFonts w:cs="Times New Roman"/>
                <w:sz w:val="22"/>
                <w:szCs w:val="22"/>
              </w:rPr>
              <w:t>1.05</w:t>
            </w:r>
          </w:p>
        </w:tc>
        <w:tc>
          <w:tcPr>
            <w:tcW w:w="1302" w:type="dxa"/>
          </w:tcPr>
          <w:p w14:paraId="0BFFF023" w14:textId="77777777" w:rsidR="00C30B86" w:rsidRPr="00C30B86" w:rsidRDefault="00C30B86" w:rsidP="00FF2DC9">
            <w:pPr>
              <w:pStyle w:val="TableContents"/>
              <w:rPr>
                <w:rFonts w:cs="Times New Roman"/>
                <w:sz w:val="22"/>
                <w:szCs w:val="22"/>
              </w:rPr>
            </w:pPr>
            <w:r w:rsidRPr="00C30B86">
              <w:rPr>
                <w:rFonts w:cs="Times New Roman"/>
                <w:sz w:val="22"/>
                <w:szCs w:val="22"/>
              </w:rPr>
              <w:t>1.04, 1.05</w:t>
            </w:r>
          </w:p>
        </w:tc>
        <w:tc>
          <w:tcPr>
            <w:tcW w:w="1560" w:type="dxa"/>
          </w:tcPr>
          <w:p w14:paraId="74AC18BF" w14:textId="77777777" w:rsidR="00C30B86" w:rsidRPr="00C30B86" w:rsidRDefault="00C30B86" w:rsidP="00FF2DC9">
            <w:pPr>
              <w:pStyle w:val="TableContents"/>
              <w:rPr>
                <w:rFonts w:cs="Times New Roman"/>
                <w:sz w:val="22"/>
                <w:szCs w:val="22"/>
              </w:rPr>
            </w:pPr>
            <w:r w:rsidRPr="00C30B86">
              <w:rPr>
                <w:rFonts w:cs="Times New Roman"/>
                <w:sz w:val="22"/>
                <w:szCs w:val="22"/>
              </w:rPr>
              <w:t xml:space="preserve">7.91 </w:t>
            </w:r>
            <m:oMath>
              <m:r>
                <w:rPr>
                  <w:rFonts w:ascii="Cambria Math" w:hAnsi="Cambria Math" w:cs="Times New Roman"/>
                  <w:sz w:val="22"/>
                  <w:szCs w:val="22"/>
                </w:rPr>
                <m:t>×</m:t>
              </m:r>
            </m:oMath>
            <w:r w:rsidRPr="00C30B86">
              <w:rPr>
                <w:rFonts w:cs="Times New Roman"/>
                <w:sz w:val="22"/>
                <w:szCs w:val="22"/>
              </w:rPr>
              <w:t xml:space="preserve"> 10</w:t>
            </w:r>
            <w:r w:rsidRPr="00C30B86">
              <w:rPr>
                <w:rFonts w:cs="Times New Roman"/>
                <w:sz w:val="22"/>
                <w:szCs w:val="22"/>
                <w:vertAlign w:val="superscript"/>
              </w:rPr>
              <w:t>-54</w:t>
            </w:r>
          </w:p>
        </w:tc>
      </w:tr>
      <w:tr w:rsidR="00C30B86" w:rsidRPr="00C30B86" w14:paraId="78AB6800" w14:textId="77777777" w:rsidTr="000543B8">
        <w:trPr>
          <w:jc w:val="center"/>
        </w:trPr>
        <w:tc>
          <w:tcPr>
            <w:tcW w:w="1152" w:type="dxa"/>
            <w:vMerge/>
          </w:tcPr>
          <w:p w14:paraId="37207420" w14:textId="77777777" w:rsidR="00C30B86" w:rsidRPr="00C30B86" w:rsidRDefault="00C30B86" w:rsidP="00FF2DC9">
            <w:pPr>
              <w:rPr>
                <w:sz w:val="22"/>
                <w:szCs w:val="22"/>
              </w:rPr>
            </w:pPr>
          </w:p>
        </w:tc>
        <w:tc>
          <w:tcPr>
            <w:tcW w:w="1790" w:type="dxa"/>
          </w:tcPr>
          <w:p w14:paraId="7313B501" w14:textId="77777777" w:rsidR="00C30B86" w:rsidRPr="00C30B86" w:rsidRDefault="00C30B86" w:rsidP="00FF2DC9">
            <w:pPr>
              <w:pStyle w:val="TableContents"/>
              <w:rPr>
                <w:rFonts w:cs="Times New Roman"/>
                <w:sz w:val="22"/>
                <w:szCs w:val="22"/>
              </w:rPr>
            </w:pPr>
            <w:r w:rsidRPr="00C30B86">
              <w:rPr>
                <w:rFonts w:cs="Times New Roman"/>
                <w:sz w:val="22"/>
                <w:szCs w:val="22"/>
              </w:rPr>
              <w:t>BMI</w:t>
            </w:r>
          </w:p>
        </w:tc>
        <w:tc>
          <w:tcPr>
            <w:tcW w:w="1421" w:type="dxa"/>
          </w:tcPr>
          <w:p w14:paraId="5613EF35" w14:textId="77777777" w:rsidR="00C30B86" w:rsidRPr="00C30B86" w:rsidRDefault="00C30B86" w:rsidP="00FF2DC9">
            <w:pPr>
              <w:pStyle w:val="TableContents"/>
              <w:rPr>
                <w:rFonts w:cs="Times New Roman"/>
                <w:sz w:val="22"/>
                <w:szCs w:val="22"/>
              </w:rPr>
            </w:pPr>
            <w:r w:rsidRPr="00C30B86">
              <w:rPr>
                <w:rFonts w:cs="Times New Roman"/>
                <w:sz w:val="22"/>
                <w:szCs w:val="22"/>
              </w:rPr>
              <w:t>1.18</w:t>
            </w:r>
          </w:p>
        </w:tc>
        <w:tc>
          <w:tcPr>
            <w:tcW w:w="1302" w:type="dxa"/>
          </w:tcPr>
          <w:p w14:paraId="55CCAA3B" w14:textId="77777777" w:rsidR="00C30B86" w:rsidRPr="00C30B86" w:rsidRDefault="00C30B86" w:rsidP="00FF2DC9">
            <w:pPr>
              <w:pStyle w:val="TableContents"/>
              <w:rPr>
                <w:rFonts w:cs="Times New Roman"/>
                <w:sz w:val="22"/>
                <w:szCs w:val="22"/>
              </w:rPr>
            </w:pPr>
            <w:r w:rsidRPr="00C30B86">
              <w:rPr>
                <w:rFonts w:cs="Times New Roman"/>
                <w:sz w:val="22"/>
                <w:szCs w:val="22"/>
              </w:rPr>
              <w:t>1.17, 1.19</w:t>
            </w:r>
          </w:p>
        </w:tc>
        <w:tc>
          <w:tcPr>
            <w:tcW w:w="1560" w:type="dxa"/>
          </w:tcPr>
          <w:p w14:paraId="27AB7B71" w14:textId="77777777" w:rsidR="00C30B86" w:rsidRPr="00C30B86" w:rsidRDefault="00C30B86" w:rsidP="00FF2DC9">
            <w:pPr>
              <w:pStyle w:val="TableContents"/>
              <w:rPr>
                <w:rFonts w:cs="Times New Roman"/>
                <w:sz w:val="22"/>
                <w:szCs w:val="22"/>
              </w:rPr>
            </w:pPr>
            <w:r w:rsidRPr="00C30B86">
              <w:rPr>
                <w:rFonts w:cs="Times New Roman"/>
                <w:sz w:val="22"/>
                <w:szCs w:val="22"/>
              </w:rPr>
              <w:t xml:space="preserve">4.27 </w:t>
            </w:r>
            <m:oMath>
              <m:r>
                <w:rPr>
                  <w:rFonts w:ascii="Cambria Math" w:hAnsi="Cambria Math" w:cs="Times New Roman"/>
                  <w:sz w:val="22"/>
                  <w:szCs w:val="22"/>
                </w:rPr>
                <m:t>×</m:t>
              </m:r>
            </m:oMath>
            <w:r w:rsidRPr="00C30B86">
              <w:rPr>
                <w:rFonts w:cs="Times New Roman"/>
                <w:sz w:val="22"/>
                <w:szCs w:val="22"/>
              </w:rPr>
              <w:t xml:space="preserve"> 10</w:t>
            </w:r>
            <w:r w:rsidRPr="00C30B86">
              <w:rPr>
                <w:rFonts w:cs="Times New Roman"/>
                <w:sz w:val="22"/>
                <w:szCs w:val="22"/>
                <w:vertAlign w:val="superscript"/>
              </w:rPr>
              <w:t>-305</w:t>
            </w:r>
          </w:p>
        </w:tc>
      </w:tr>
    </w:tbl>
    <w:p w14:paraId="62C1D2EA" w14:textId="77777777" w:rsidR="00C30B86" w:rsidRPr="00C30B86" w:rsidRDefault="00C30B86" w:rsidP="00FF2DC9">
      <w:pPr>
        <w:rPr>
          <w:sz w:val="22"/>
          <w:szCs w:val="22"/>
          <w:lang w:val="en-US"/>
        </w:rPr>
      </w:pPr>
    </w:p>
    <w:p w14:paraId="40C55238" w14:textId="77777777" w:rsidR="00C30B86" w:rsidRPr="001279BB" w:rsidRDefault="00C30B86" w:rsidP="00FF2DC9">
      <w:pPr>
        <w:rPr>
          <w:sz w:val="22"/>
          <w:szCs w:val="22"/>
          <w:lang w:val="en-US"/>
        </w:rPr>
      </w:pPr>
      <w:r w:rsidRPr="00C30B86">
        <w:rPr>
          <w:b/>
          <w:bCs/>
          <w:iCs/>
          <w:sz w:val="22"/>
          <w:szCs w:val="22"/>
        </w:rPr>
        <w:t xml:space="preserve">Table 2 footnote: </w:t>
      </w:r>
      <w:r w:rsidRPr="00C30B86">
        <w:rPr>
          <w:iCs/>
          <w:sz w:val="22"/>
          <w:szCs w:val="22"/>
        </w:rPr>
        <w:t xml:space="preserve">BMI: body mass index; </w:t>
      </w:r>
      <w:r w:rsidRPr="001279BB">
        <w:rPr>
          <w:iCs/>
          <w:sz w:val="22"/>
          <w:szCs w:val="22"/>
        </w:rPr>
        <w:t>CI: confidence interval; PAT: pericardial adipose tissue.</w:t>
      </w:r>
    </w:p>
    <w:p w14:paraId="178A734A" w14:textId="49509A06" w:rsidR="00C30B86" w:rsidRPr="00C30B86" w:rsidRDefault="00C30B86" w:rsidP="00FF2DC9">
      <w:pPr>
        <w:pStyle w:val="FigureCaption"/>
        <w:rPr>
          <w:i w:val="0"/>
          <w:iCs w:val="0"/>
          <w:sz w:val="22"/>
          <w:szCs w:val="22"/>
        </w:rPr>
      </w:pPr>
    </w:p>
    <w:p w14:paraId="2955CE84" w14:textId="59D86A6B" w:rsidR="0086364C" w:rsidRDefault="0086364C" w:rsidP="00FF2DC9">
      <w:pPr>
        <w:widowControl w:val="0"/>
        <w:autoSpaceDE w:val="0"/>
        <w:autoSpaceDN w:val="0"/>
        <w:adjustRightInd w:val="0"/>
        <w:rPr>
          <w:sz w:val="22"/>
          <w:szCs w:val="22"/>
        </w:rPr>
      </w:pPr>
      <w:r>
        <w:rPr>
          <w:sz w:val="22"/>
          <w:szCs w:val="22"/>
        </w:rPr>
        <w:br w:type="page"/>
      </w:r>
    </w:p>
    <w:p w14:paraId="25882866" w14:textId="77777777" w:rsidR="0086364C" w:rsidRPr="00A349B1" w:rsidRDefault="0086364C" w:rsidP="00FF2DC9">
      <w:pPr>
        <w:pStyle w:val="FigureCaption"/>
        <w:jc w:val="center"/>
        <w:rPr>
          <w:b/>
          <w:i w:val="0"/>
          <w:iCs w:val="0"/>
          <w:sz w:val="22"/>
          <w:szCs w:val="22"/>
        </w:rPr>
      </w:pPr>
      <w:r w:rsidRPr="00A349B1">
        <w:rPr>
          <w:b/>
          <w:i w:val="0"/>
          <w:iCs w:val="0"/>
          <w:sz w:val="22"/>
          <w:szCs w:val="22"/>
        </w:rPr>
        <w:t xml:space="preserve">Figure 1. </w:t>
      </w:r>
      <w:r>
        <w:rPr>
          <w:b/>
          <w:i w:val="0"/>
          <w:iCs w:val="0"/>
          <w:sz w:val="22"/>
          <w:szCs w:val="22"/>
        </w:rPr>
        <w:t>Two e</w:t>
      </w:r>
      <w:r w:rsidRPr="00A349B1">
        <w:rPr>
          <w:b/>
          <w:i w:val="0"/>
          <w:iCs w:val="0"/>
          <w:sz w:val="22"/>
          <w:szCs w:val="22"/>
        </w:rPr>
        <w:t xml:space="preserve">xamples of </w:t>
      </w:r>
      <w:r>
        <w:rPr>
          <w:b/>
          <w:i w:val="0"/>
          <w:iCs w:val="0"/>
          <w:sz w:val="22"/>
          <w:szCs w:val="22"/>
        </w:rPr>
        <w:t>PAT</w:t>
      </w:r>
      <w:r w:rsidRPr="00A349B1">
        <w:rPr>
          <w:b/>
          <w:i w:val="0"/>
          <w:iCs w:val="0"/>
          <w:sz w:val="22"/>
          <w:szCs w:val="22"/>
        </w:rPr>
        <w:t xml:space="preserve"> contoured </w:t>
      </w:r>
      <w:r>
        <w:rPr>
          <w:b/>
          <w:i w:val="0"/>
          <w:iCs w:val="0"/>
          <w:sz w:val="22"/>
          <w:szCs w:val="22"/>
        </w:rPr>
        <w:t>in</w:t>
      </w:r>
      <w:r w:rsidRPr="00A349B1">
        <w:rPr>
          <w:b/>
          <w:i w:val="0"/>
          <w:iCs w:val="0"/>
          <w:sz w:val="22"/>
          <w:szCs w:val="22"/>
        </w:rPr>
        <w:t xml:space="preserve"> end-diastole </w:t>
      </w:r>
      <w:r>
        <w:rPr>
          <w:b/>
          <w:i w:val="0"/>
          <w:iCs w:val="0"/>
          <w:sz w:val="22"/>
          <w:szCs w:val="22"/>
        </w:rPr>
        <w:t>on</w:t>
      </w:r>
      <w:r w:rsidRPr="00A349B1">
        <w:rPr>
          <w:b/>
          <w:i w:val="0"/>
          <w:iCs w:val="0"/>
          <w:sz w:val="22"/>
          <w:szCs w:val="22"/>
        </w:rPr>
        <w:t xml:space="preserve"> 4-chamber bSSFP cine-</w:t>
      </w:r>
      <w:r>
        <w:rPr>
          <w:b/>
          <w:i w:val="0"/>
          <w:iCs w:val="0"/>
          <w:sz w:val="22"/>
          <w:szCs w:val="22"/>
        </w:rPr>
        <w:t>C</w:t>
      </w:r>
      <w:r w:rsidRPr="00A349B1">
        <w:rPr>
          <w:b/>
          <w:i w:val="0"/>
          <w:iCs w:val="0"/>
          <w:sz w:val="22"/>
          <w:szCs w:val="22"/>
        </w:rPr>
        <w:t xml:space="preserve">MR, performed using </w:t>
      </w:r>
      <w:r w:rsidRPr="00A349B1">
        <w:rPr>
          <w:rFonts w:cs="Times New Roman"/>
          <w:b/>
          <w:i w:val="0"/>
          <w:iCs w:val="0"/>
          <w:sz w:val="22"/>
          <w:szCs w:val="22"/>
        </w:rPr>
        <w:t>CVI</w:t>
      </w:r>
      <w:r w:rsidRPr="00A349B1">
        <w:rPr>
          <w:rFonts w:cs="Times New Roman"/>
          <w:b/>
          <w:i w:val="0"/>
          <w:iCs w:val="0"/>
          <w:sz w:val="22"/>
          <w:szCs w:val="22"/>
          <w:vertAlign w:val="superscript"/>
        </w:rPr>
        <w:t>42</w:t>
      </w:r>
      <w:r w:rsidRPr="00A349B1">
        <w:rPr>
          <w:rFonts w:cs="Times New Roman"/>
          <w:b/>
          <w:i w:val="0"/>
          <w:iCs w:val="0"/>
          <w:sz w:val="22"/>
          <w:szCs w:val="22"/>
        </w:rPr>
        <w:sym w:font="Symbol" w:char="F0E2"/>
      </w:r>
      <w:r w:rsidRPr="00A349B1">
        <w:rPr>
          <w:rFonts w:cs="Times New Roman"/>
          <w:b/>
          <w:i w:val="0"/>
          <w:iCs w:val="0"/>
          <w:sz w:val="22"/>
          <w:szCs w:val="22"/>
        </w:rPr>
        <w:t xml:space="preserve">  software </w:t>
      </w:r>
      <w:r w:rsidRPr="00A349B1">
        <w:rPr>
          <w:b/>
          <w:i w:val="0"/>
          <w:iCs w:val="0"/>
          <w:sz w:val="22"/>
          <w:szCs w:val="22"/>
        </w:rPr>
        <w:t>according to the established SOP</w:t>
      </w:r>
    </w:p>
    <w:p w14:paraId="7382953D" w14:textId="77777777" w:rsidR="0086364C" w:rsidRPr="00A349B1" w:rsidRDefault="0086364C" w:rsidP="00FF2DC9">
      <w:pPr>
        <w:rPr>
          <w:sz w:val="22"/>
          <w:szCs w:val="22"/>
          <w:lang w:val="en-US"/>
        </w:rPr>
      </w:pPr>
      <w:r>
        <w:rPr>
          <w:noProof/>
          <w:sz w:val="22"/>
          <w:szCs w:val="22"/>
        </w:rPr>
        <mc:AlternateContent>
          <mc:Choice Requires="wpg">
            <w:drawing>
              <wp:anchor distT="0" distB="0" distL="114300" distR="114300" simplePos="0" relativeHeight="251659264" behindDoc="0" locked="0" layoutInCell="1" allowOverlap="1" wp14:anchorId="126DA320" wp14:editId="1317CD2F">
                <wp:simplePos x="0" y="0"/>
                <wp:positionH relativeFrom="column">
                  <wp:posOffset>7374</wp:posOffset>
                </wp:positionH>
                <wp:positionV relativeFrom="paragraph">
                  <wp:posOffset>2560</wp:posOffset>
                </wp:positionV>
                <wp:extent cx="4601497" cy="324465"/>
                <wp:effectExtent l="0" t="0" r="0" b="0"/>
                <wp:wrapNone/>
                <wp:docPr id="9" name="Group 9"/>
                <wp:cNvGraphicFramePr/>
                <a:graphic xmlns:a="http://schemas.openxmlformats.org/drawingml/2006/main">
                  <a:graphicData uri="http://schemas.microsoft.com/office/word/2010/wordprocessingGroup">
                    <wpg:wgp>
                      <wpg:cNvGrpSpPr/>
                      <wpg:grpSpPr>
                        <a:xfrm>
                          <a:off x="0" y="0"/>
                          <a:ext cx="4601497" cy="324465"/>
                          <a:chOff x="0" y="0"/>
                          <a:chExt cx="4601497" cy="324465"/>
                        </a:xfrm>
                      </wpg:grpSpPr>
                      <wps:wsp>
                        <wps:cNvPr id="3" name="Text Box 3"/>
                        <wps:cNvSpPr txBox="1"/>
                        <wps:spPr>
                          <a:xfrm>
                            <a:off x="0" y="0"/>
                            <a:ext cx="272845" cy="324465"/>
                          </a:xfrm>
                          <a:prstGeom prst="rect">
                            <a:avLst/>
                          </a:prstGeom>
                          <a:noFill/>
                          <a:ln w="6350">
                            <a:noFill/>
                          </a:ln>
                        </wps:spPr>
                        <wps:txbx>
                          <w:txbxContent>
                            <w:p w14:paraId="113513CE" w14:textId="77777777" w:rsidR="0086364C" w:rsidRPr="00EC6ACC" w:rsidRDefault="0086364C" w:rsidP="0086364C">
                              <w:pPr>
                                <w:rPr>
                                  <w:b/>
                                  <w:bCs/>
                                  <w:color w:val="FFFFFF" w:themeColor="background1"/>
                                  <w:sz w:val="22"/>
                                  <w:szCs w:val="22"/>
                                </w:rPr>
                              </w:pPr>
                              <w:r w:rsidRPr="00EC6ACC">
                                <w:rPr>
                                  <w:b/>
                                  <w:bCs/>
                                  <w:color w:val="FFFFFF" w:themeColor="background1"/>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437968" y="0"/>
                            <a:ext cx="272845" cy="324465"/>
                          </a:xfrm>
                          <a:prstGeom prst="rect">
                            <a:avLst/>
                          </a:prstGeom>
                          <a:noFill/>
                          <a:ln w="6350">
                            <a:noFill/>
                          </a:ln>
                        </wps:spPr>
                        <wps:txbx>
                          <w:txbxContent>
                            <w:p w14:paraId="4FC789AF" w14:textId="77777777" w:rsidR="0086364C" w:rsidRPr="00EC6ACC" w:rsidRDefault="0086364C" w:rsidP="0086364C">
                              <w:pPr>
                                <w:rPr>
                                  <w:b/>
                                  <w:bCs/>
                                  <w:color w:val="FFFFFF" w:themeColor="background1"/>
                                  <w:sz w:val="22"/>
                                  <w:szCs w:val="22"/>
                                </w:rPr>
                              </w:pPr>
                              <w:r w:rsidRPr="00EC6ACC">
                                <w:rPr>
                                  <w:b/>
                                  <w:bCs/>
                                  <w:color w:val="FFFFFF" w:themeColor="background1"/>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898058" y="0"/>
                            <a:ext cx="272845" cy="324465"/>
                          </a:xfrm>
                          <a:prstGeom prst="rect">
                            <a:avLst/>
                          </a:prstGeom>
                          <a:noFill/>
                          <a:ln w="6350">
                            <a:noFill/>
                          </a:ln>
                        </wps:spPr>
                        <wps:txbx>
                          <w:txbxContent>
                            <w:p w14:paraId="6F88B0D5" w14:textId="77777777" w:rsidR="0086364C" w:rsidRPr="00EC6ACC" w:rsidRDefault="0086364C" w:rsidP="0086364C">
                              <w:pPr>
                                <w:rPr>
                                  <w:b/>
                                  <w:bCs/>
                                  <w:color w:val="FFFFFF" w:themeColor="background1"/>
                                  <w:sz w:val="22"/>
                                  <w:szCs w:val="22"/>
                                </w:rPr>
                              </w:pPr>
                              <w:r>
                                <w:rPr>
                                  <w:b/>
                                  <w:bCs/>
                                  <w:color w:val="FFFFFF" w:themeColor="background1"/>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4328652" y="0"/>
                            <a:ext cx="272845" cy="324465"/>
                          </a:xfrm>
                          <a:prstGeom prst="rect">
                            <a:avLst/>
                          </a:prstGeom>
                          <a:noFill/>
                          <a:ln w="6350">
                            <a:noFill/>
                          </a:ln>
                        </wps:spPr>
                        <wps:txbx>
                          <w:txbxContent>
                            <w:p w14:paraId="70C3FE71" w14:textId="77777777" w:rsidR="0086364C" w:rsidRPr="00EC6ACC" w:rsidRDefault="0086364C" w:rsidP="0086364C">
                              <w:pPr>
                                <w:rPr>
                                  <w:b/>
                                  <w:bCs/>
                                  <w:color w:val="FFFFFF" w:themeColor="background1"/>
                                  <w:sz w:val="22"/>
                                  <w:szCs w:val="22"/>
                                </w:rPr>
                              </w:pPr>
                              <w:r>
                                <w:rPr>
                                  <w:b/>
                                  <w:bCs/>
                                  <w:color w:val="FFFFFF" w:themeColor="background1"/>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6DA320" id="Group 9" o:spid="_x0000_s1026" style="position:absolute;margin-left:.6pt;margin-top:.2pt;width:362.3pt;height:25.55pt;z-index:251659264" coordsize="46014,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">
                <v:shapetype id="_x0000_t202" coordsize="21600,21600" o:spt="202" path="m,l,21600r21600,l21600,xe">
                  <v:stroke joinstyle="miter"/>
                  <v:path gradientshapeok="t" o:connecttype="rect"/>
                </v:shapetype>
                <v:shape id="Text Box 3" o:spid="_x0000_s1027" type="#_x0000_t202" style="position:absolute;width:272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" filled="f" stroked="f" strokeweight=".5pt">
                  <v:textbox>
                    <w:txbxContent>
                      <w:p w14:paraId="113513CE" w14:textId="77777777" w:rsidR="0086364C" w:rsidRPr="00EC6ACC" w:rsidRDefault="0086364C" w:rsidP="0086364C">
                        <w:pPr>
                          <w:rPr>
                            <w:b/>
                            <w:bCs/>
                            <w:color w:val="FFFFFF" w:themeColor="background1"/>
                            <w:sz w:val="22"/>
                            <w:szCs w:val="22"/>
                          </w:rPr>
                        </w:pPr>
                        <w:r w:rsidRPr="00EC6ACC">
                          <w:rPr>
                            <w:b/>
                            <w:bCs/>
                            <w:color w:val="FFFFFF" w:themeColor="background1"/>
                            <w:sz w:val="22"/>
                            <w:szCs w:val="22"/>
                          </w:rPr>
                          <w:t>A</w:t>
                        </w:r>
                      </w:p>
                    </w:txbxContent>
                  </v:textbox>
                </v:shape>
                <v:shape id="Text Box 4" o:spid="_x0000_s1028" type="#_x0000_t202" style="position:absolute;left:14379;width:2729;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" filled="f" stroked="f" strokeweight=".5pt">
                  <v:textbox>
                    <w:txbxContent>
                      <w:p w14:paraId="4FC789AF" w14:textId="77777777" w:rsidR="0086364C" w:rsidRPr="00EC6ACC" w:rsidRDefault="0086364C" w:rsidP="0086364C">
                        <w:pPr>
                          <w:rPr>
                            <w:b/>
                            <w:bCs/>
                            <w:color w:val="FFFFFF" w:themeColor="background1"/>
                            <w:sz w:val="22"/>
                            <w:szCs w:val="22"/>
                          </w:rPr>
                        </w:pPr>
                        <w:r w:rsidRPr="00EC6ACC">
                          <w:rPr>
                            <w:b/>
                            <w:bCs/>
                            <w:color w:val="FFFFFF" w:themeColor="background1"/>
                            <w:sz w:val="22"/>
                            <w:szCs w:val="22"/>
                          </w:rPr>
                          <w:t>A</w:t>
                        </w:r>
                      </w:p>
                    </w:txbxContent>
                  </v:textbox>
                </v:shape>
                <v:shape id="Text Box 7" o:spid="_x0000_s1029" type="#_x0000_t202" style="position:absolute;left:28980;width:2729;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" filled="f" stroked="f" strokeweight=".5pt">
                  <v:textbox>
                    <w:txbxContent>
                      <w:p w14:paraId="6F88B0D5" w14:textId="77777777" w:rsidR="0086364C" w:rsidRPr="00EC6ACC" w:rsidRDefault="0086364C" w:rsidP="0086364C">
                        <w:pPr>
                          <w:rPr>
                            <w:b/>
                            <w:bCs/>
                            <w:color w:val="FFFFFF" w:themeColor="background1"/>
                            <w:sz w:val="22"/>
                            <w:szCs w:val="22"/>
                          </w:rPr>
                        </w:pPr>
                        <w:r>
                          <w:rPr>
                            <w:b/>
                            <w:bCs/>
                            <w:color w:val="FFFFFF" w:themeColor="background1"/>
                            <w:sz w:val="22"/>
                            <w:szCs w:val="22"/>
                          </w:rPr>
                          <w:t>B</w:t>
                        </w:r>
                      </w:p>
                    </w:txbxContent>
                  </v:textbox>
                </v:shape>
                <v:shape id="Text Box 8" o:spid="_x0000_s1030" type="#_x0000_t202" style="position:absolute;left:43286;width:272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" filled="f" stroked="f" strokeweight=".5pt">
                  <v:textbox>
                    <w:txbxContent>
                      <w:p w14:paraId="70C3FE71" w14:textId="77777777" w:rsidR="0086364C" w:rsidRPr="00EC6ACC" w:rsidRDefault="0086364C" w:rsidP="0086364C">
                        <w:pPr>
                          <w:rPr>
                            <w:b/>
                            <w:bCs/>
                            <w:color w:val="FFFFFF" w:themeColor="background1"/>
                            <w:sz w:val="22"/>
                            <w:szCs w:val="22"/>
                          </w:rPr>
                        </w:pPr>
                        <w:r>
                          <w:rPr>
                            <w:b/>
                            <w:bCs/>
                            <w:color w:val="FFFFFF" w:themeColor="background1"/>
                            <w:sz w:val="22"/>
                            <w:szCs w:val="22"/>
                          </w:rPr>
                          <w:t>B</w:t>
                        </w:r>
                      </w:p>
                    </w:txbxContent>
                  </v:textbox>
                </v:shape>
              </v:group>
            </w:pict>
          </mc:Fallback>
        </mc:AlternateContent>
      </w:r>
      <w:r w:rsidRPr="00A349B1">
        <w:rPr>
          <w:noProof/>
          <w:sz w:val="22"/>
          <w:szCs w:val="22"/>
        </w:rPr>
        <w:drawing>
          <wp:inline distT="0" distB="0" distL="0" distR="0" wp14:anchorId="13272D4A" wp14:editId="61011F9C">
            <wp:extent cx="5727700" cy="1387866"/>
            <wp:effectExtent l="0" t="0" r="0" b="9525"/>
            <wp:docPr id="1" name="img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 descr="A picture containing text, indoor&#10;&#10;Description automatically generated"/>
                    <pic:cNvPicPr>
                      <a:picLocks noChangeAspect="1" noChangeArrowheads="1"/>
                    </pic:cNvPicPr>
                  </pic:nvPicPr>
                  <pic:blipFill>
                    <a:blip r:embed="rId9"/>
                    <a:stretch>
                      <a:fillRect/>
                    </a:stretch>
                  </pic:blipFill>
                  <pic:spPr bwMode="auto">
                    <a:xfrm>
                      <a:off x="0" y="0"/>
                      <a:ext cx="5727700" cy="1387866"/>
                    </a:xfrm>
                    <a:prstGeom prst="rect">
                      <a:avLst/>
                    </a:prstGeom>
                  </pic:spPr>
                </pic:pic>
              </a:graphicData>
            </a:graphic>
          </wp:inline>
        </w:drawing>
      </w:r>
    </w:p>
    <w:p w14:paraId="73A42A3C" w14:textId="77777777" w:rsidR="0086364C" w:rsidRPr="00A349B1" w:rsidRDefault="0086364C" w:rsidP="00FF2DC9">
      <w:pPr>
        <w:rPr>
          <w:bCs/>
          <w:sz w:val="22"/>
          <w:szCs w:val="22"/>
          <w:lang w:val="en-US"/>
        </w:rPr>
      </w:pPr>
      <w:r>
        <w:rPr>
          <w:b/>
          <w:sz w:val="22"/>
          <w:szCs w:val="22"/>
        </w:rPr>
        <w:t>Figur</w:t>
      </w:r>
      <w:r w:rsidRPr="00A349B1">
        <w:rPr>
          <w:b/>
          <w:sz w:val="22"/>
          <w:szCs w:val="22"/>
        </w:rPr>
        <w:t xml:space="preserve">e 1 footnote: </w:t>
      </w:r>
      <w:r w:rsidRPr="00A349B1">
        <w:rPr>
          <w:bCs/>
          <w:sz w:val="22"/>
          <w:szCs w:val="22"/>
        </w:rPr>
        <w:t xml:space="preserve">bSSFP: </w:t>
      </w:r>
      <w:r w:rsidRPr="00A349B1">
        <w:rPr>
          <w:sz w:val="22"/>
          <w:szCs w:val="22"/>
        </w:rPr>
        <w:t>balanced steady state free precession; CMR: cardiovascular magnetic resonance; PAT: pericardial adipose tissue; SOP: standard operating procedure.</w:t>
      </w:r>
      <w:r w:rsidRPr="00A349B1">
        <w:rPr>
          <w:b/>
          <w:sz w:val="22"/>
          <w:szCs w:val="22"/>
        </w:rPr>
        <w:t xml:space="preserve"> </w:t>
      </w:r>
      <w:r w:rsidRPr="00A349B1">
        <w:rPr>
          <w:bCs/>
          <w:sz w:val="22"/>
          <w:szCs w:val="22"/>
        </w:rPr>
        <w:t xml:space="preserve">Images reproduced </w:t>
      </w:r>
      <w:r>
        <w:rPr>
          <w:bCs/>
          <w:sz w:val="22"/>
          <w:szCs w:val="22"/>
        </w:rPr>
        <w:t>with</w:t>
      </w:r>
      <w:r w:rsidRPr="00A349B1">
        <w:rPr>
          <w:bCs/>
          <w:sz w:val="22"/>
          <w:szCs w:val="22"/>
        </w:rPr>
        <w:t xml:space="preserve"> permission of UK Biobank©.</w:t>
      </w:r>
    </w:p>
    <w:p w14:paraId="7BF54158" w14:textId="77777777" w:rsidR="0086364C" w:rsidRPr="00A349B1" w:rsidRDefault="0086364C" w:rsidP="00FF2DC9">
      <w:pPr>
        <w:rPr>
          <w:bCs/>
          <w:sz w:val="22"/>
          <w:szCs w:val="22"/>
          <w:lang w:val="en-US"/>
        </w:rPr>
      </w:pPr>
      <w:r w:rsidRPr="00A349B1">
        <w:rPr>
          <w:bCs/>
          <w:sz w:val="22"/>
          <w:szCs w:val="22"/>
          <w:lang w:val="en-US"/>
        </w:rPr>
        <w:br w:type="page"/>
      </w:r>
    </w:p>
    <w:p w14:paraId="0AD8CF6C" w14:textId="77777777" w:rsidR="0086364C" w:rsidRPr="00870D84" w:rsidRDefault="0086364C" w:rsidP="00FF2DC9">
      <w:pPr>
        <w:rPr>
          <w:sz w:val="22"/>
          <w:szCs w:val="22"/>
          <w:lang w:val="en-US"/>
        </w:rPr>
      </w:pPr>
    </w:p>
    <w:p w14:paraId="3A9A1EDA" w14:textId="77777777" w:rsidR="0086364C" w:rsidRPr="00870D84" w:rsidRDefault="0086364C" w:rsidP="00FF2DC9">
      <w:pPr>
        <w:pStyle w:val="FigureCaption"/>
        <w:jc w:val="center"/>
        <w:rPr>
          <w:i w:val="0"/>
          <w:iCs w:val="0"/>
          <w:sz w:val="22"/>
          <w:szCs w:val="22"/>
        </w:rPr>
      </w:pPr>
      <w:r>
        <w:rPr>
          <w:b/>
          <w:bCs/>
          <w:i w:val="0"/>
          <w:iCs w:val="0"/>
          <w:sz w:val="22"/>
          <w:szCs w:val="22"/>
        </w:rPr>
        <w:t>Central Illustration</w:t>
      </w:r>
      <w:r w:rsidRPr="00870D84">
        <w:rPr>
          <w:b/>
          <w:bCs/>
          <w:i w:val="0"/>
          <w:iCs w:val="0"/>
          <w:sz w:val="22"/>
          <w:szCs w:val="22"/>
        </w:rPr>
        <w:t>. Summary of Model architecture used in the present study</w:t>
      </w:r>
    </w:p>
    <w:p w14:paraId="459E6903" w14:textId="77777777" w:rsidR="0086364C" w:rsidRDefault="0086364C" w:rsidP="00FF2DC9">
      <w:pPr>
        <w:rPr>
          <w:lang w:val="en-US"/>
        </w:rPr>
      </w:pPr>
    </w:p>
    <w:p w14:paraId="692F6D6E" w14:textId="77777777" w:rsidR="0086364C" w:rsidRDefault="0086364C" w:rsidP="00FF2DC9">
      <w:pPr>
        <w:rPr>
          <w:lang w:val="en-US"/>
        </w:rPr>
      </w:pPr>
      <w:r>
        <w:rPr>
          <w:noProof/>
        </w:rPr>
        <w:drawing>
          <wp:inline distT="0" distB="0" distL="0" distR="0" wp14:anchorId="03269890" wp14:editId="7AB78D92">
            <wp:extent cx="5727700" cy="5944684"/>
            <wp:effectExtent l="0" t="0" r="0" b="0"/>
            <wp:docPr id="2" name="img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 descr="Timeline&#10;&#10;Description automatically generated"/>
                    <pic:cNvPicPr>
                      <a:picLocks noChangeAspect="1" noChangeArrowheads="1"/>
                    </pic:cNvPicPr>
                  </pic:nvPicPr>
                  <pic:blipFill>
                    <a:blip r:embed="rId10"/>
                    <a:stretch>
                      <a:fillRect/>
                    </a:stretch>
                  </pic:blipFill>
                  <pic:spPr bwMode="auto">
                    <a:xfrm>
                      <a:off x="0" y="0"/>
                      <a:ext cx="5727700" cy="5944684"/>
                    </a:xfrm>
                    <a:prstGeom prst="rect">
                      <a:avLst/>
                    </a:prstGeom>
                  </pic:spPr>
                </pic:pic>
              </a:graphicData>
            </a:graphic>
          </wp:inline>
        </w:drawing>
      </w:r>
    </w:p>
    <w:p w14:paraId="5B8610E4" w14:textId="77777777" w:rsidR="0086364C" w:rsidRDefault="0086364C" w:rsidP="00FF2DC9">
      <w:pPr>
        <w:rPr>
          <w:lang w:val="en-US"/>
        </w:rPr>
      </w:pPr>
    </w:p>
    <w:p w14:paraId="4142E54D" w14:textId="28A833CC" w:rsidR="0086364C" w:rsidRPr="00870D84" w:rsidRDefault="0086364C" w:rsidP="00FF2DC9">
      <w:pPr>
        <w:rPr>
          <w:sz w:val="22"/>
          <w:szCs w:val="22"/>
          <w:lang w:val="en-US"/>
        </w:rPr>
      </w:pPr>
      <w:r>
        <w:rPr>
          <w:b/>
          <w:bCs/>
          <w:sz w:val="22"/>
          <w:szCs w:val="22"/>
          <w:lang w:val="en-US"/>
        </w:rPr>
        <w:t>Ce</w:t>
      </w:r>
      <w:r w:rsidRPr="00446E6A">
        <w:rPr>
          <w:b/>
          <w:bCs/>
          <w:color w:val="000000" w:themeColor="text1"/>
          <w:sz w:val="22"/>
          <w:szCs w:val="22"/>
          <w:lang w:val="en-US"/>
        </w:rPr>
        <w:t xml:space="preserve">ntral </w:t>
      </w:r>
      <w:r w:rsidRPr="00B7733B">
        <w:rPr>
          <w:b/>
          <w:bCs/>
          <w:color w:val="000000" w:themeColor="text1"/>
          <w:sz w:val="22"/>
          <w:szCs w:val="22"/>
          <w:lang w:val="en-US"/>
        </w:rPr>
        <w:t>illustration footnote:</w:t>
      </w:r>
      <w:r w:rsidRPr="00B7733B">
        <w:rPr>
          <w:color w:val="000000" w:themeColor="text1"/>
          <w:sz w:val="22"/>
          <w:szCs w:val="22"/>
          <w:lang w:val="en-US"/>
        </w:rPr>
        <w:t xml:space="preserve"> </w:t>
      </w:r>
      <w:r w:rsidRPr="00B7733B">
        <w:rPr>
          <w:color w:val="000000" w:themeColor="text1"/>
          <w:sz w:val="22"/>
          <w:szCs w:val="22"/>
        </w:rPr>
        <w:t>The MultiRes blocks (</w:t>
      </w:r>
      <w:r w:rsidRPr="00B7733B">
        <w:rPr>
          <w:b/>
          <w:bCs/>
          <w:color w:val="000000" w:themeColor="text1"/>
          <w:sz w:val="22"/>
          <w:szCs w:val="22"/>
        </w:rPr>
        <w:t>A</w:t>
      </w:r>
      <w:r w:rsidRPr="00B7733B">
        <w:rPr>
          <w:color w:val="000000" w:themeColor="text1"/>
          <w:sz w:val="22"/>
          <w:szCs w:val="22"/>
        </w:rPr>
        <w:t>) form the encoder and decoder arms of the network</w:t>
      </w:r>
      <w:r w:rsidR="003F2046" w:rsidRPr="00B7733B">
        <w:rPr>
          <w:color w:val="000000" w:themeColor="text1"/>
          <w:sz w:val="22"/>
          <w:szCs w:val="22"/>
        </w:rPr>
        <w:t xml:space="preserve">. The number of filters used throughout the different components of the block is parameterised by </w:t>
      </w:r>
      <w:r w:rsidR="00D77C6B" w:rsidRPr="00B7733B">
        <w:rPr>
          <w:color w:val="000000" w:themeColor="text1"/>
          <w:sz w:val="22"/>
          <w:szCs w:val="22"/>
        </w:rPr>
        <w:t>U</w:t>
      </w:r>
      <w:r w:rsidR="003F2046" w:rsidRPr="00B7733B">
        <w:rPr>
          <w:color w:val="000000" w:themeColor="text1"/>
          <w:sz w:val="22"/>
          <w:szCs w:val="22"/>
        </w:rPr>
        <w:t xml:space="preserve">. The encoder and decoder arms </w:t>
      </w:r>
      <w:r w:rsidRPr="00B7733B">
        <w:rPr>
          <w:color w:val="000000" w:themeColor="text1"/>
          <w:sz w:val="22"/>
          <w:szCs w:val="22"/>
        </w:rPr>
        <w:t>are joined by Res paths (</w:t>
      </w:r>
      <w:r w:rsidRPr="00B7733B">
        <w:rPr>
          <w:b/>
          <w:bCs/>
          <w:color w:val="000000" w:themeColor="text1"/>
          <w:sz w:val="22"/>
          <w:szCs w:val="22"/>
        </w:rPr>
        <w:t>B</w:t>
      </w:r>
      <w:r w:rsidRPr="00B7733B">
        <w:rPr>
          <w:color w:val="000000" w:themeColor="text1"/>
          <w:sz w:val="22"/>
          <w:szCs w:val="22"/>
        </w:rPr>
        <w:t>)</w:t>
      </w:r>
      <w:r w:rsidR="003F2046" w:rsidRPr="00B7733B">
        <w:rPr>
          <w:color w:val="000000" w:themeColor="text1"/>
          <w:sz w:val="22"/>
          <w:szCs w:val="22"/>
        </w:rPr>
        <w:t>,</w:t>
      </w:r>
      <w:r w:rsidR="00D77C6B" w:rsidRPr="00B7733B">
        <w:rPr>
          <w:color w:val="000000" w:themeColor="text1"/>
          <w:sz w:val="22"/>
          <w:szCs w:val="22"/>
        </w:rPr>
        <w:t xml:space="preserve"> which are parameterised by F and L. They </w:t>
      </w:r>
      <w:r w:rsidR="003F2046" w:rsidRPr="00B7733B">
        <w:rPr>
          <w:color w:val="000000" w:themeColor="text1"/>
          <w:sz w:val="22"/>
          <w:szCs w:val="22"/>
        </w:rPr>
        <w:t xml:space="preserve">are formed of L repeating units, and </w:t>
      </w:r>
      <w:r w:rsidR="00D77C6B" w:rsidRPr="00B7733B">
        <w:rPr>
          <w:color w:val="000000" w:themeColor="text1"/>
          <w:sz w:val="22"/>
          <w:szCs w:val="22"/>
        </w:rPr>
        <w:t>their</w:t>
      </w:r>
      <w:r w:rsidR="003F2046" w:rsidRPr="00B7733B">
        <w:rPr>
          <w:color w:val="000000" w:themeColor="text1"/>
          <w:sz w:val="22"/>
          <w:szCs w:val="22"/>
        </w:rPr>
        <w:t xml:space="preserve"> convolutional components each have F filters.</w:t>
      </w:r>
      <w:r w:rsidRPr="00B7733B">
        <w:rPr>
          <w:color w:val="000000" w:themeColor="text1"/>
          <w:sz w:val="22"/>
          <w:szCs w:val="22"/>
        </w:rPr>
        <w:t xml:space="preserve"> </w:t>
      </w:r>
      <w:r w:rsidR="003F2046" w:rsidRPr="00B7733B">
        <w:rPr>
          <w:color w:val="000000" w:themeColor="text1"/>
          <w:sz w:val="22"/>
          <w:szCs w:val="22"/>
        </w:rPr>
        <w:t>T</w:t>
      </w:r>
      <w:r w:rsidRPr="00B7733B">
        <w:rPr>
          <w:color w:val="000000" w:themeColor="text1"/>
          <w:sz w:val="22"/>
          <w:szCs w:val="22"/>
        </w:rPr>
        <w:t>he complete network</w:t>
      </w:r>
      <w:r w:rsidR="003F2046" w:rsidRPr="00B7733B">
        <w:rPr>
          <w:color w:val="000000" w:themeColor="text1"/>
          <w:sz w:val="22"/>
          <w:szCs w:val="22"/>
        </w:rPr>
        <w:t xml:space="preserve"> is shown in</w:t>
      </w:r>
      <w:r w:rsidRPr="00B7733B">
        <w:rPr>
          <w:color w:val="000000" w:themeColor="text1"/>
          <w:sz w:val="22"/>
          <w:szCs w:val="22"/>
        </w:rPr>
        <w:t xml:space="preserve"> (</w:t>
      </w:r>
      <w:r w:rsidRPr="00B7733B">
        <w:rPr>
          <w:b/>
          <w:bCs/>
          <w:color w:val="000000" w:themeColor="text1"/>
          <w:sz w:val="22"/>
          <w:szCs w:val="22"/>
        </w:rPr>
        <w:t>C</w:t>
      </w:r>
      <w:r w:rsidRPr="00B7733B">
        <w:rPr>
          <w:color w:val="000000" w:themeColor="text1"/>
          <w:sz w:val="22"/>
          <w:szCs w:val="22"/>
        </w:rPr>
        <w:t>).</w:t>
      </w:r>
      <w:r w:rsidR="00991247" w:rsidRPr="00B7733B">
        <w:rPr>
          <w:color w:val="000000" w:themeColor="text1"/>
          <w:sz w:val="22"/>
          <w:szCs w:val="22"/>
        </w:rPr>
        <w:t xml:space="preserve"> In (</w:t>
      </w:r>
      <w:r w:rsidR="00991247" w:rsidRPr="00B7733B">
        <w:rPr>
          <w:b/>
          <w:bCs/>
          <w:color w:val="000000" w:themeColor="text1"/>
          <w:sz w:val="22"/>
          <w:szCs w:val="22"/>
        </w:rPr>
        <w:t>C</w:t>
      </w:r>
      <w:r w:rsidR="00991247" w:rsidRPr="00B7733B">
        <w:rPr>
          <w:color w:val="000000" w:themeColor="text1"/>
          <w:sz w:val="22"/>
          <w:szCs w:val="22"/>
        </w:rPr>
        <w:t>), the colours indicate the placement of MultiRes blocks (</w:t>
      </w:r>
      <w:r w:rsidR="00991247" w:rsidRPr="00B7733B">
        <w:rPr>
          <w:b/>
          <w:bCs/>
          <w:color w:val="000000" w:themeColor="text1"/>
          <w:sz w:val="22"/>
          <w:szCs w:val="22"/>
        </w:rPr>
        <w:t>A</w:t>
      </w:r>
      <w:r w:rsidR="00991247" w:rsidRPr="00B7733B">
        <w:rPr>
          <w:color w:val="000000" w:themeColor="text1"/>
          <w:sz w:val="22"/>
          <w:szCs w:val="22"/>
        </w:rPr>
        <w:t>) and Res paths (</w:t>
      </w:r>
      <w:r w:rsidR="00991247" w:rsidRPr="00B7733B">
        <w:rPr>
          <w:b/>
          <w:bCs/>
          <w:color w:val="000000" w:themeColor="text1"/>
          <w:sz w:val="22"/>
          <w:szCs w:val="22"/>
        </w:rPr>
        <w:t>B</w:t>
      </w:r>
      <w:r w:rsidR="00991247" w:rsidRPr="00B7733B">
        <w:rPr>
          <w:color w:val="000000" w:themeColor="text1"/>
          <w:sz w:val="22"/>
          <w:szCs w:val="22"/>
        </w:rPr>
        <w:t xml:space="preserve">), while the hyperparameters used in each instance of the blocks are indicated </w:t>
      </w:r>
      <w:r w:rsidR="003F2046" w:rsidRPr="00B7733B">
        <w:rPr>
          <w:color w:val="000000" w:themeColor="text1"/>
          <w:sz w:val="22"/>
          <w:szCs w:val="22"/>
        </w:rPr>
        <w:t>as overlaid text</w:t>
      </w:r>
      <w:r w:rsidR="00991247" w:rsidRPr="00B7733B">
        <w:rPr>
          <w:color w:val="000000" w:themeColor="text1"/>
          <w:sz w:val="22"/>
          <w:szCs w:val="22"/>
        </w:rPr>
        <w:t xml:space="preserve">. </w:t>
      </w:r>
      <w:r w:rsidRPr="00B7733B">
        <w:rPr>
          <w:color w:val="000000" w:themeColor="text1"/>
          <w:sz w:val="22"/>
          <w:szCs w:val="22"/>
        </w:rPr>
        <w:t xml:space="preserve">Because of the permanently-active dropout components, each prediction the network makes is equivalent to a Monte Carlo </w:t>
      </w:r>
      <w:r w:rsidR="00991247" w:rsidRPr="00B7733B">
        <w:rPr>
          <w:color w:val="000000" w:themeColor="text1"/>
          <w:sz w:val="22"/>
          <w:szCs w:val="22"/>
        </w:rPr>
        <w:t xml:space="preserve">(MC) </w:t>
      </w:r>
      <w:r w:rsidRPr="00B7733B">
        <w:rPr>
          <w:color w:val="000000" w:themeColor="text1"/>
          <w:sz w:val="22"/>
          <w:szCs w:val="22"/>
        </w:rPr>
        <w:t xml:space="preserve">sample. </w:t>
      </w:r>
      <w:r w:rsidRPr="00B7733B">
        <w:rPr>
          <w:b/>
          <w:bCs/>
          <w:color w:val="000000" w:themeColor="text1"/>
          <w:sz w:val="22"/>
          <w:szCs w:val="22"/>
        </w:rPr>
        <w:t>D</w:t>
      </w:r>
      <w:r w:rsidRPr="00B7733B">
        <w:rPr>
          <w:color w:val="000000" w:themeColor="text1"/>
          <w:sz w:val="22"/>
          <w:szCs w:val="22"/>
        </w:rPr>
        <w:t xml:space="preserve"> shows</w:t>
      </w:r>
      <w:r w:rsidRPr="00446E6A">
        <w:rPr>
          <w:color w:val="000000" w:themeColor="text1"/>
          <w:sz w:val="22"/>
          <w:szCs w:val="22"/>
        </w:rPr>
        <w:t xml:space="preserve"> </w:t>
      </w:r>
      <w:r w:rsidRPr="00870D84">
        <w:rPr>
          <w:sz w:val="22"/>
          <w:szCs w:val="22"/>
        </w:rPr>
        <w:t>three such samples drawn based on the same input image. Note the disagreement at the edges of the segmented regions, particularly clear as shown on the overlay (far right).</w:t>
      </w:r>
      <w:r>
        <w:rPr>
          <w:sz w:val="22"/>
          <w:szCs w:val="22"/>
        </w:rPr>
        <w:t xml:space="preserve"> </w:t>
      </w:r>
      <w:r w:rsidRPr="00A349B1">
        <w:rPr>
          <w:bCs/>
          <w:sz w:val="22"/>
          <w:szCs w:val="22"/>
        </w:rPr>
        <w:t xml:space="preserve">Images reproduced </w:t>
      </w:r>
      <w:r>
        <w:rPr>
          <w:bCs/>
          <w:sz w:val="22"/>
          <w:szCs w:val="22"/>
        </w:rPr>
        <w:t>with</w:t>
      </w:r>
      <w:r w:rsidRPr="00A349B1">
        <w:rPr>
          <w:bCs/>
          <w:sz w:val="22"/>
          <w:szCs w:val="22"/>
        </w:rPr>
        <w:t xml:space="preserve"> permission of UK Biobank©</w:t>
      </w:r>
    </w:p>
    <w:p w14:paraId="3E639915" w14:textId="77777777" w:rsidR="0086364C" w:rsidRDefault="0086364C" w:rsidP="00FF2DC9">
      <w:pPr>
        <w:jc w:val="center"/>
        <w:rPr>
          <w:lang w:val="en-US"/>
        </w:rPr>
      </w:pPr>
      <w:r w:rsidRPr="00870D84">
        <w:rPr>
          <w:sz w:val="22"/>
          <w:szCs w:val="22"/>
          <w:lang w:val="en-US"/>
        </w:rPr>
        <w:br w:type="page"/>
      </w:r>
    </w:p>
    <w:p w14:paraId="0DF499DE" w14:textId="38DFA5AB" w:rsidR="0086364C" w:rsidRPr="0086364C" w:rsidRDefault="0086364C" w:rsidP="00FF2DC9">
      <w:pPr>
        <w:pStyle w:val="FigureCaption"/>
        <w:rPr>
          <w:rFonts w:cs="Times New Roman"/>
          <w:i w:val="0"/>
          <w:iCs w:val="0"/>
          <w:sz w:val="22"/>
          <w:szCs w:val="22"/>
        </w:rPr>
      </w:pPr>
      <w:r w:rsidRPr="0086364C">
        <w:rPr>
          <w:rFonts w:cs="Times New Roman"/>
          <w:b/>
          <w:bCs/>
          <w:i w:val="0"/>
          <w:iCs w:val="0"/>
          <w:sz w:val="22"/>
          <w:szCs w:val="22"/>
        </w:rPr>
        <w:t>Figure 2. Model Performance. A-D</w:t>
      </w:r>
      <w:r w:rsidRPr="0086364C">
        <w:rPr>
          <w:rFonts w:cs="Times New Roman"/>
          <w:i w:val="0"/>
          <w:iCs w:val="0"/>
          <w:sz w:val="22"/>
          <w:szCs w:val="22"/>
        </w:rPr>
        <w:t xml:space="preserve"> Histograms of standard segmentation performance metrics on the test set (n=87) </w:t>
      </w:r>
      <w:r w:rsidRPr="0086364C">
        <w:rPr>
          <w:rFonts w:cs="Times New Roman"/>
          <w:b/>
          <w:bCs/>
          <w:i w:val="0"/>
          <w:iCs w:val="0"/>
          <w:sz w:val="22"/>
          <w:szCs w:val="22"/>
        </w:rPr>
        <w:t>E-H</w:t>
      </w:r>
      <w:r w:rsidRPr="0086364C">
        <w:rPr>
          <w:rFonts w:cs="Times New Roman"/>
          <w:i w:val="0"/>
          <w:iCs w:val="0"/>
          <w:sz w:val="22"/>
          <w:szCs w:val="22"/>
        </w:rPr>
        <w:t xml:space="preserve"> Bland-Altman plots of PAT area between manual measurement between measurements by different </w:t>
      </w:r>
      <w:r w:rsidRPr="00446E6A">
        <w:rPr>
          <w:rFonts w:cs="Times New Roman"/>
          <w:i w:val="0"/>
          <w:iCs w:val="0"/>
          <w:color w:val="000000" w:themeColor="text1"/>
          <w:sz w:val="22"/>
          <w:szCs w:val="22"/>
        </w:rPr>
        <w:t xml:space="preserve">human </w:t>
      </w:r>
      <w:r w:rsidRPr="00B7733B">
        <w:rPr>
          <w:rFonts w:cs="Times New Roman"/>
          <w:i w:val="0"/>
          <w:iCs w:val="0"/>
          <w:color w:val="000000" w:themeColor="text1"/>
          <w:sz w:val="22"/>
          <w:szCs w:val="22"/>
        </w:rPr>
        <w:t xml:space="preserve">observers, and </w:t>
      </w:r>
      <w:r w:rsidR="00B85948" w:rsidRPr="00B7733B">
        <w:rPr>
          <w:rFonts w:cs="Times New Roman"/>
          <w:i w:val="0"/>
          <w:iCs w:val="0"/>
          <w:color w:val="000000" w:themeColor="text1"/>
          <w:sz w:val="22"/>
          <w:szCs w:val="22"/>
        </w:rPr>
        <w:t xml:space="preserve">a </w:t>
      </w:r>
      <w:r w:rsidRPr="00B7733B">
        <w:rPr>
          <w:rFonts w:cs="Times New Roman"/>
          <w:i w:val="0"/>
          <w:iCs w:val="0"/>
          <w:color w:val="000000" w:themeColor="text1"/>
          <w:sz w:val="22"/>
          <w:szCs w:val="22"/>
        </w:rPr>
        <w:t>human observer</w:t>
      </w:r>
      <w:r w:rsidR="00B85948" w:rsidRPr="00B7733B">
        <w:rPr>
          <w:rFonts w:cs="Times New Roman"/>
          <w:i w:val="0"/>
          <w:iCs w:val="0"/>
          <w:color w:val="000000" w:themeColor="text1"/>
          <w:sz w:val="22"/>
          <w:szCs w:val="22"/>
        </w:rPr>
        <w:t xml:space="preserve"> (O1) </w:t>
      </w:r>
      <w:r w:rsidRPr="00B7733B">
        <w:rPr>
          <w:rFonts w:cs="Times New Roman"/>
          <w:i w:val="0"/>
          <w:iCs w:val="0"/>
          <w:color w:val="000000" w:themeColor="text1"/>
          <w:sz w:val="22"/>
          <w:szCs w:val="22"/>
        </w:rPr>
        <w:t>and automated</w:t>
      </w:r>
      <w:r w:rsidRPr="00446E6A">
        <w:rPr>
          <w:rFonts w:cs="Times New Roman"/>
          <w:i w:val="0"/>
          <w:iCs w:val="0"/>
          <w:color w:val="000000" w:themeColor="text1"/>
          <w:sz w:val="22"/>
          <w:szCs w:val="22"/>
        </w:rPr>
        <w:t xml:space="preserve"> </w:t>
      </w:r>
      <w:r w:rsidRPr="0086364C">
        <w:rPr>
          <w:rFonts w:cs="Times New Roman"/>
          <w:i w:val="0"/>
          <w:iCs w:val="0"/>
          <w:sz w:val="22"/>
          <w:szCs w:val="22"/>
        </w:rPr>
        <w:t xml:space="preserve">measurement. The x-axis denotes the average of two measurements and the y-axis denotes the difference between them. The dark line is the mean </w:t>
      </w:r>
      <w:r w:rsidR="00505D32" w:rsidRPr="0086364C">
        <w:rPr>
          <w:rFonts w:cs="Times New Roman"/>
          <w:i w:val="0"/>
          <w:iCs w:val="0"/>
          <w:sz w:val="22"/>
          <w:szCs w:val="22"/>
        </w:rPr>
        <w:t>difference,</w:t>
      </w:r>
      <w:r w:rsidRPr="0086364C">
        <w:rPr>
          <w:rFonts w:cs="Times New Roman"/>
          <w:i w:val="0"/>
          <w:iCs w:val="0"/>
          <w:sz w:val="22"/>
          <w:szCs w:val="22"/>
        </w:rPr>
        <w:t xml:space="preserve"> and the dashed lines show </w:t>
      </w:r>
      <m:oMath>
        <m:r>
          <w:rPr>
            <w:rFonts w:ascii="Cambria Math" w:hAnsi="Cambria Math" w:cs="Times New Roman"/>
            <w:sz w:val="22"/>
            <w:szCs w:val="22"/>
          </w:rPr>
          <m:t>±1.96</m:t>
        </m:r>
      </m:oMath>
      <w:r w:rsidRPr="0086364C">
        <w:rPr>
          <w:rFonts w:cs="Times New Roman"/>
          <w:i w:val="0"/>
          <w:iCs w:val="0"/>
          <w:sz w:val="22"/>
          <w:szCs w:val="22"/>
        </w:rPr>
        <w:t xml:space="preserve"> standard deviations from the mean. </w:t>
      </w:r>
      <w:r w:rsidRPr="0086364C">
        <w:rPr>
          <w:rFonts w:cs="Times New Roman"/>
          <w:b/>
          <w:bCs/>
          <w:i w:val="0"/>
          <w:iCs w:val="0"/>
          <w:sz w:val="22"/>
          <w:szCs w:val="22"/>
        </w:rPr>
        <w:t>E-G</w:t>
      </w:r>
      <w:r w:rsidRPr="0086364C">
        <w:rPr>
          <w:rFonts w:cs="Times New Roman"/>
          <w:i w:val="0"/>
          <w:iCs w:val="0"/>
          <w:sz w:val="22"/>
          <w:szCs w:val="22"/>
        </w:rPr>
        <w:t xml:space="preserve"> show the inter-observer variability evaluated by 3 observers (O1-3) on a randomly selected subset of the </w:t>
      </w:r>
      <w:r w:rsidR="00505D32" w:rsidRPr="0086364C">
        <w:rPr>
          <w:rFonts w:cs="Times New Roman"/>
          <w:i w:val="0"/>
          <w:iCs w:val="0"/>
          <w:sz w:val="22"/>
          <w:szCs w:val="22"/>
        </w:rPr>
        <w:t>manually contoured</w:t>
      </w:r>
      <w:r w:rsidRPr="0086364C">
        <w:rPr>
          <w:rFonts w:cs="Times New Roman"/>
          <w:i w:val="0"/>
          <w:iCs w:val="0"/>
          <w:sz w:val="22"/>
          <w:szCs w:val="22"/>
        </w:rPr>
        <w:t xml:space="preserve"> training set (n=50 subjects). </w:t>
      </w:r>
      <w:r w:rsidRPr="0086364C">
        <w:rPr>
          <w:rFonts w:cs="Times New Roman"/>
          <w:b/>
          <w:bCs/>
          <w:i w:val="0"/>
          <w:iCs w:val="0"/>
          <w:sz w:val="22"/>
          <w:szCs w:val="22"/>
        </w:rPr>
        <w:t>H</w:t>
      </w:r>
      <w:r w:rsidRPr="0086364C">
        <w:rPr>
          <w:rFonts w:cs="Times New Roman"/>
          <w:i w:val="0"/>
          <w:iCs w:val="0"/>
          <w:sz w:val="22"/>
          <w:szCs w:val="22"/>
        </w:rPr>
        <w:t xml:space="preserve"> shows the agreement between automated and manual measurements in the </w:t>
      </w:r>
      <w:r w:rsidR="00505D32" w:rsidRPr="0086364C">
        <w:rPr>
          <w:rFonts w:cs="Times New Roman"/>
          <w:i w:val="0"/>
          <w:iCs w:val="0"/>
          <w:sz w:val="22"/>
          <w:szCs w:val="22"/>
        </w:rPr>
        <w:t>manually contoured</w:t>
      </w:r>
      <w:r w:rsidRPr="0086364C">
        <w:rPr>
          <w:rFonts w:cs="Times New Roman"/>
          <w:i w:val="0"/>
          <w:iCs w:val="0"/>
          <w:sz w:val="22"/>
          <w:szCs w:val="22"/>
        </w:rPr>
        <w:t xml:space="preserve"> test set (n=87 subjects). </w:t>
      </w:r>
      <w:r w:rsidRPr="0086364C">
        <w:rPr>
          <w:rFonts w:cs="Times New Roman"/>
          <w:b/>
          <w:bCs/>
          <w:i w:val="0"/>
          <w:iCs w:val="0"/>
          <w:sz w:val="22"/>
          <w:szCs w:val="22"/>
        </w:rPr>
        <w:t>I</w:t>
      </w:r>
      <w:r w:rsidRPr="0086364C">
        <w:rPr>
          <w:rFonts w:cs="Times New Roman"/>
          <w:i w:val="0"/>
          <w:iCs w:val="0"/>
          <w:sz w:val="22"/>
          <w:szCs w:val="22"/>
        </w:rPr>
        <w:t xml:space="preserve"> Example segmentations from the test set, with annotations showing Dice score and the predicted Dice score. </w:t>
      </w:r>
      <w:r w:rsidRPr="0086364C">
        <w:rPr>
          <w:rFonts w:cs="Times New Roman"/>
          <w:bCs/>
          <w:i w:val="0"/>
          <w:iCs w:val="0"/>
          <w:sz w:val="22"/>
          <w:szCs w:val="22"/>
        </w:rPr>
        <w:t>Images reproduced with permission of UK Biobank©</w:t>
      </w:r>
    </w:p>
    <w:p w14:paraId="7BBF87F3" w14:textId="77777777" w:rsidR="0086364C" w:rsidRDefault="0086364C" w:rsidP="00FF2DC9">
      <w:pPr>
        <w:rPr>
          <w:lang w:val="en-US"/>
        </w:rPr>
      </w:pPr>
      <w:r>
        <w:rPr>
          <w:noProof/>
        </w:rPr>
        <w:drawing>
          <wp:inline distT="0" distB="0" distL="0" distR="0" wp14:anchorId="6EBF2242" wp14:editId="35923770">
            <wp:extent cx="5727700" cy="5039974"/>
            <wp:effectExtent l="0" t="0" r="0" b="0"/>
            <wp:docPr id="5" name="img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5" descr="A picture containing calendar&#10;&#10;Description automatically generated"/>
                    <pic:cNvPicPr>
                      <a:picLocks noChangeAspect="1" noChangeArrowheads="1"/>
                    </pic:cNvPicPr>
                  </pic:nvPicPr>
                  <pic:blipFill>
                    <a:blip r:embed="rId11"/>
                    <a:stretch>
                      <a:fillRect/>
                    </a:stretch>
                  </pic:blipFill>
                  <pic:spPr bwMode="auto">
                    <a:xfrm>
                      <a:off x="0" y="0"/>
                      <a:ext cx="5727700" cy="5039974"/>
                    </a:xfrm>
                    <a:prstGeom prst="rect">
                      <a:avLst/>
                    </a:prstGeom>
                  </pic:spPr>
                </pic:pic>
              </a:graphicData>
            </a:graphic>
          </wp:inline>
        </w:drawing>
      </w:r>
    </w:p>
    <w:p w14:paraId="7DCF7F38" w14:textId="77777777" w:rsidR="0086364C" w:rsidRDefault="0086364C" w:rsidP="00FF2DC9">
      <w:pPr>
        <w:rPr>
          <w:lang w:val="en-US"/>
        </w:rPr>
      </w:pPr>
      <w:r>
        <w:rPr>
          <w:lang w:val="en-US"/>
        </w:rPr>
        <w:br w:type="page"/>
      </w:r>
    </w:p>
    <w:p w14:paraId="1C50709F" w14:textId="1A8EE359" w:rsidR="0086364C" w:rsidRPr="00463EFA" w:rsidRDefault="0086364C" w:rsidP="00FF2DC9">
      <w:pPr>
        <w:pStyle w:val="FigureCaption"/>
        <w:rPr>
          <w:i w:val="0"/>
          <w:iCs w:val="0"/>
          <w:sz w:val="22"/>
          <w:szCs w:val="22"/>
        </w:rPr>
      </w:pPr>
      <w:r w:rsidRPr="00463EFA">
        <w:rPr>
          <w:b/>
          <w:bCs/>
          <w:i w:val="0"/>
          <w:iCs w:val="0"/>
          <w:sz w:val="22"/>
          <w:szCs w:val="22"/>
        </w:rPr>
        <w:t>Figure 3. Comparison of quantified PAT from CT and CMR. A</w:t>
      </w:r>
      <w:r w:rsidRPr="00463EFA">
        <w:rPr>
          <w:i w:val="0"/>
          <w:iCs w:val="0"/>
          <w:sz w:val="22"/>
          <w:szCs w:val="22"/>
        </w:rPr>
        <w:t xml:space="preserve"> The predicted Dice scores of the segmented data. </w:t>
      </w:r>
      <w:r w:rsidRPr="00463EFA">
        <w:rPr>
          <w:b/>
          <w:bCs/>
          <w:i w:val="0"/>
          <w:iCs w:val="0"/>
          <w:sz w:val="22"/>
          <w:szCs w:val="22"/>
        </w:rPr>
        <w:t>B</w:t>
      </w:r>
      <w:r w:rsidRPr="00463EFA">
        <w:rPr>
          <w:i w:val="0"/>
          <w:iCs w:val="0"/>
          <w:sz w:val="22"/>
          <w:szCs w:val="22"/>
        </w:rPr>
        <w:t xml:space="preserve"> Correlation between PAT volume quantified via QFAT software and PAT area quantified using our method. Subjects with a predicted Dice &lt; 0.6 were excluded from Pearson analysis. </w:t>
      </w:r>
      <w:r w:rsidRPr="00463EFA">
        <w:rPr>
          <w:b/>
          <w:bCs/>
          <w:i w:val="0"/>
          <w:iCs w:val="0"/>
          <w:sz w:val="22"/>
          <w:szCs w:val="22"/>
        </w:rPr>
        <w:t>C</w:t>
      </w:r>
      <w:r w:rsidRPr="00463EFA">
        <w:rPr>
          <w:i w:val="0"/>
          <w:iCs w:val="0"/>
          <w:sz w:val="22"/>
          <w:szCs w:val="22"/>
        </w:rPr>
        <w:t xml:space="preserve"> Some example CMR images, their </w:t>
      </w:r>
      <w:r w:rsidR="00505D32" w:rsidRPr="00463EFA">
        <w:rPr>
          <w:i w:val="0"/>
          <w:iCs w:val="0"/>
          <w:sz w:val="22"/>
          <w:szCs w:val="22"/>
        </w:rPr>
        <w:t>automatically segmented</w:t>
      </w:r>
      <w:r w:rsidRPr="00463EFA">
        <w:rPr>
          <w:i w:val="0"/>
          <w:iCs w:val="0"/>
          <w:sz w:val="22"/>
          <w:szCs w:val="22"/>
        </w:rPr>
        <w:t xml:space="preserve"> PAT, and the predicted segmentation quality, are also shown for reference</w:t>
      </w:r>
    </w:p>
    <w:p w14:paraId="54FD3F2E" w14:textId="77777777" w:rsidR="0086364C" w:rsidRDefault="0086364C" w:rsidP="00FF2DC9">
      <w:r>
        <w:rPr>
          <w:noProof/>
        </w:rPr>
        <w:drawing>
          <wp:inline distT="0" distB="0" distL="0" distR="0" wp14:anchorId="45658819" wp14:editId="6322FAB3">
            <wp:extent cx="5720080" cy="5689600"/>
            <wp:effectExtent l="0" t="0" r="0" b="0"/>
            <wp:docPr id="6" name="Picture 6" descr="ct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_comparis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080" cy="5689600"/>
                    </a:xfrm>
                    <a:prstGeom prst="rect">
                      <a:avLst/>
                    </a:prstGeom>
                    <a:noFill/>
                    <a:ln>
                      <a:noFill/>
                    </a:ln>
                  </pic:spPr>
                </pic:pic>
              </a:graphicData>
            </a:graphic>
          </wp:inline>
        </w:drawing>
      </w:r>
    </w:p>
    <w:p w14:paraId="531EDD4B" w14:textId="77777777" w:rsidR="005B68ED" w:rsidRDefault="005B68ED" w:rsidP="00FF2DC9">
      <w:pPr>
        <w:widowControl w:val="0"/>
        <w:autoSpaceDE w:val="0"/>
        <w:autoSpaceDN w:val="0"/>
        <w:adjustRightInd w:val="0"/>
        <w:rPr>
          <w:sz w:val="22"/>
          <w:szCs w:val="22"/>
        </w:rPr>
        <w:sectPr w:rsidR="005B68ED" w:rsidSect="00FF2DC9">
          <w:footerReference w:type="even" r:id="rId13"/>
          <w:footerReference w:type="default" r:id="rId14"/>
          <w:pgSz w:w="12240" w:h="15840"/>
          <w:pgMar w:top="1440" w:right="1440" w:bottom="1440" w:left="1440" w:header="0" w:footer="0" w:gutter="0"/>
          <w:lnNumType w:countBy="1" w:restart="continuous"/>
          <w:cols w:space="0" w:equalWidth="0">
            <w:col w:w="9360"/>
          </w:cols>
          <w:docGrid w:linePitch="360"/>
        </w:sectPr>
      </w:pPr>
    </w:p>
    <w:p w14:paraId="79025914" w14:textId="77777777" w:rsidR="005B68ED" w:rsidRPr="006E5371" w:rsidRDefault="005B68ED" w:rsidP="005B68ED">
      <w:pPr>
        <w:pStyle w:val="BodyText"/>
        <w:spacing w:line="480" w:lineRule="auto"/>
        <w:rPr>
          <w:rFonts w:cs="Times New Roman"/>
          <w:b/>
          <w:bCs/>
          <w:sz w:val="22"/>
          <w:szCs w:val="22"/>
          <w:lang w:val="en-GB"/>
        </w:rPr>
      </w:pPr>
      <w:r w:rsidRPr="006E5371">
        <w:rPr>
          <w:rFonts w:cs="Times New Roman"/>
          <w:b/>
          <w:bCs/>
          <w:sz w:val="22"/>
          <w:szCs w:val="22"/>
          <w:lang w:val="en-GB"/>
        </w:rPr>
        <w:t>Supplementary Material</w:t>
      </w:r>
    </w:p>
    <w:p w14:paraId="6A205225" w14:textId="77777777" w:rsidR="005B68ED" w:rsidRPr="006E5371" w:rsidRDefault="005B68ED" w:rsidP="005B68ED">
      <w:pPr>
        <w:pStyle w:val="BodyText"/>
        <w:spacing w:line="480" w:lineRule="auto"/>
        <w:rPr>
          <w:rFonts w:cs="Times New Roman"/>
          <w:b/>
          <w:bCs/>
          <w:sz w:val="22"/>
          <w:szCs w:val="22"/>
          <w:lang w:val="en-GB"/>
        </w:rPr>
      </w:pPr>
      <w:r w:rsidRPr="006E5371">
        <w:rPr>
          <w:rFonts w:cs="Times New Roman"/>
          <w:b/>
          <w:bCs/>
          <w:sz w:val="22"/>
          <w:szCs w:val="22"/>
          <w:lang w:val="en-GB"/>
        </w:rPr>
        <w:t>Selection of Monte Carlo sample size:</w:t>
      </w:r>
    </w:p>
    <w:p w14:paraId="74FC40D0" w14:textId="77777777" w:rsidR="005B68ED" w:rsidRPr="006E5371" w:rsidRDefault="005B68ED" w:rsidP="005B68ED">
      <w:pPr>
        <w:pStyle w:val="Firstparagraph"/>
        <w:spacing w:line="480" w:lineRule="auto"/>
      </w:pPr>
      <w:r w:rsidRPr="006E5371">
        <w:rPr>
          <w:rFonts w:cs="Times New Roman"/>
          <w:sz w:val="22"/>
          <w:szCs w:val="22"/>
          <w:lang w:val="en-GB"/>
        </w:rPr>
        <w:t xml:space="preserve">It is expected that drawing more samples from a well-trained network will increase its accuracy, but with diminishing returns. Where the area of “foreground” pixels is particularly of interest (as in this use case, quantifying the area of PAT), we can report the mean and standard deviation of the areas across the </w:t>
      </w:r>
      <m:oMath>
        <m:r>
          <w:rPr>
            <w:rFonts w:ascii="Cambria Math" w:hAnsi="Cambria Math" w:cs="Times New Roman"/>
            <w:sz w:val="22"/>
            <w:szCs w:val="22"/>
            <w:lang w:val="en-GB"/>
          </w:rPr>
          <m:t>N</m:t>
        </m:r>
      </m:oMath>
      <w:r w:rsidRPr="006E5371">
        <w:rPr>
          <w:rFonts w:cs="Times New Roman"/>
          <w:sz w:val="22"/>
          <w:szCs w:val="22"/>
          <w:lang w:val="en-GB"/>
        </w:rPr>
        <w:t xml:space="preserve"> samples. The standard deviation is useful in that it can be propagated forward and used in downstream analyses. Again, we would expect increasing </w:t>
      </w:r>
      <m:oMath>
        <m:r>
          <w:rPr>
            <w:rFonts w:ascii="Cambria Math" w:hAnsi="Cambria Math" w:cs="Times New Roman"/>
            <w:sz w:val="22"/>
            <w:szCs w:val="22"/>
            <w:lang w:val="en-GB"/>
          </w:rPr>
          <m:t>N</m:t>
        </m:r>
      </m:oMath>
      <w:r w:rsidRPr="006E5371">
        <w:rPr>
          <w:rFonts w:cs="Times New Roman"/>
          <w:sz w:val="22"/>
          <w:szCs w:val="22"/>
          <w:lang w:val="en-GB"/>
        </w:rPr>
        <w:t xml:space="preserve"> to increase this standard deviation for any individual input image, but with diminishing returns.</w:t>
      </w:r>
    </w:p>
    <w:p w14:paraId="0C4F5092" w14:textId="77777777" w:rsidR="005B68ED" w:rsidRPr="006E5371" w:rsidRDefault="005B68ED" w:rsidP="005B68ED">
      <w:pPr>
        <w:pStyle w:val="BodyText"/>
        <w:spacing w:line="480" w:lineRule="auto"/>
        <w:rPr>
          <w:rFonts w:cs="Times New Roman"/>
          <w:sz w:val="22"/>
          <w:szCs w:val="22"/>
          <w:lang w:val="en-GB"/>
        </w:rPr>
      </w:pPr>
      <w:r w:rsidRPr="006E5371">
        <w:rPr>
          <w:rFonts w:cs="Times New Roman"/>
          <w:sz w:val="22"/>
          <w:szCs w:val="22"/>
          <w:lang w:val="en-GB"/>
        </w:rPr>
        <w:t xml:space="preserve">Thus, we examined the effect of changing </w:t>
      </w:r>
      <m:oMath>
        <m:r>
          <w:rPr>
            <w:rFonts w:ascii="Cambria Math" w:hAnsi="Cambria Math" w:cs="Times New Roman"/>
            <w:sz w:val="22"/>
            <w:szCs w:val="22"/>
            <w:lang w:val="en-GB"/>
          </w:rPr>
          <m:t>N</m:t>
        </m:r>
      </m:oMath>
      <w:r w:rsidRPr="006E5371">
        <w:rPr>
          <w:rFonts w:cs="Times New Roman"/>
          <w:sz w:val="22"/>
          <w:szCs w:val="22"/>
          <w:lang w:val="en-GB"/>
        </w:rPr>
        <w:t xml:space="preserve"> on the mean segmentation accuracy and the mean estimated standard deviation of segmented areas (</w:t>
      </w:r>
      <w:r w:rsidRPr="006E5371">
        <w:rPr>
          <w:rFonts w:cs="Times New Roman"/>
          <w:b/>
          <w:sz w:val="22"/>
          <w:szCs w:val="22"/>
          <w:lang w:val="en-GB"/>
        </w:rPr>
        <w:t>Figure S1)</w:t>
      </w:r>
      <w:r w:rsidRPr="006E5371">
        <w:rPr>
          <w:rFonts w:cs="Times New Roman"/>
          <w:sz w:val="22"/>
          <w:szCs w:val="22"/>
          <w:lang w:val="en-GB"/>
        </w:rPr>
        <w:t>. Where comparisons with a deterministic neural network are shown (</w:t>
      </w:r>
      <w:r w:rsidRPr="006E5371">
        <w:rPr>
          <w:rFonts w:cs="Times New Roman"/>
          <w:b/>
          <w:bCs/>
          <w:lang w:val="en-GB"/>
        </w:rPr>
        <w:t>Figure S1</w:t>
      </w:r>
      <w:r w:rsidRPr="006E5371">
        <w:rPr>
          <w:rFonts w:cs="Times New Roman"/>
          <w:b/>
          <w:bCs/>
          <w:sz w:val="22"/>
          <w:szCs w:val="22"/>
          <w:lang w:val="en-GB"/>
        </w:rPr>
        <w:t>A</w:t>
      </w:r>
      <w:r w:rsidRPr="006E5371">
        <w:rPr>
          <w:rFonts w:cs="Times New Roman"/>
          <w:sz w:val="22"/>
          <w:szCs w:val="22"/>
          <w:lang w:val="en-GB"/>
        </w:rPr>
        <w:t>), this network was trained separately, using the same split data for training and evaluation - consistent with prior work</w:t>
      </w:r>
      <w:r w:rsidRPr="006E5371">
        <w:rPr>
          <w:rFonts w:cs="Times New Roman"/>
          <w:sz w:val="22"/>
          <w:szCs w:val="22"/>
          <w:lang w:val="en-GB"/>
        </w:rPr>
        <w:fldChar w:fldCharType="begin" w:fldLock="1"/>
      </w:r>
      <w:r w:rsidRPr="006E5371">
        <w:rPr>
          <w:rFonts w:cs="Times New Roman"/>
          <w:sz w:val="22"/>
          <w:szCs w:val="22"/>
          <w:lang w:val="en-GB"/>
        </w:rPr>
        <w:instrText>ADDIN CSL_CITATION {"citationItems":[{"id":"ITEM-1","itemData":{"DOI":"10.1016/j.neuroimage.2019.03.042","ISSN":"10959572","PMID":"30926511","abstract":"We introduce Bayesian QuickNAT for the automated quality control of whole-brain segmentation on MRI T1 scans. Next to the Bayesian fully convolutional neural network, we also present inherent measures of segmentation uncertainty that allow for quality control per brain structure. For estimating model uncertainty, we follow a Bayesian approach, wherein, Monte Carlo (MC) samples from the posterior distribution are generated by keeping the dropout layers active at test time. Entropy over the MC samples provides a voxel-wise model uncertainty map, whereas expectation over the MC predictions provides the final segmentation. Next to voxel-wise uncertainty, we introduce four metrics to quantify structure-wise uncertainty in segmentation for quality control. We report experiments on four out-of-sample datasets comprising of diverse age range, pathology and imaging artifacts. The proposed structure-wise uncertainty metrics are highly correlated with the Dice score estimated with manual annotation and therefore present an inherent measure of segmentation quality. In particular, the intersection over union over all the MC samples is a suitable proxy for the Dice score. In addition to quality control at scan-level, we propose to incorporate the structure-wise uncertainty as a measure of confidence to do reliable group analysis on large data repositories. We envisage that the introduced uncertainty metrics would help assess the fidelity of automated deep learning based segmentation methods for large-scale population studies, as they enable automated quality control and group analyses in processing large data repositories.","author":[{"dropping-particle":"","family":"Roy","given":"Abhijit Guha","non-dropping-particle":"","parse-names":false,"suffix":""},{"dropping-particle":"","family":"Conjeti","given":"Sailesh","non-dropping-particle":"","parse-names":false,"suffix":""},{"dropping-particle":"","family":"Navab","given":"Nassir","non-dropping-particle":"","parse-names":false,"suffix":""},{"dropping-particle":"","family":"Wachinger","given":"Christian","non-dropping-particle":"","parse-names":false,"suffix":""}],"container-title":"NeuroImage","id":"ITEM-1","issued":{"date-parts":[["2019","7","15"]]},"page":"11-22","publisher":"Academic Press Inc.","title":"Bayesian QuickNAT: Model uncertainty in deep whole-brain segmentation for structure-wise quality control","type":"article-journal","volume":"195"},"uris":["http://www.mendeley.com/documents/?uuid=6eaabf28-418b-3838-bd33-4101d7cc8256"]}],"mendeley":{"formattedCitation":"(24)","plainTextFormattedCitation":"(24)","previouslyFormattedCitation":"(24)"},"properties":{"noteIndex":0},"schema":"https://github.com/citation-style-language/schema/raw/master/csl-citation.json"}</w:instrText>
      </w:r>
      <w:r w:rsidRPr="006E5371">
        <w:rPr>
          <w:rFonts w:cs="Times New Roman"/>
          <w:sz w:val="22"/>
          <w:szCs w:val="22"/>
          <w:lang w:val="en-GB"/>
        </w:rPr>
        <w:fldChar w:fldCharType="separate"/>
      </w:r>
      <w:r w:rsidRPr="006E5371">
        <w:rPr>
          <w:rFonts w:cs="Times New Roman"/>
          <w:noProof/>
          <w:sz w:val="22"/>
          <w:szCs w:val="22"/>
          <w:lang w:val="en-GB"/>
        </w:rPr>
        <w:t>(24)</w:t>
      </w:r>
      <w:r w:rsidRPr="006E5371">
        <w:rPr>
          <w:rFonts w:cs="Times New Roman"/>
          <w:sz w:val="22"/>
          <w:szCs w:val="22"/>
          <w:lang w:val="en-GB"/>
        </w:rPr>
        <w:fldChar w:fldCharType="end"/>
      </w:r>
      <w:r w:rsidRPr="006E5371">
        <w:rPr>
          <w:rFonts w:cs="Times New Roman"/>
          <w:sz w:val="22"/>
          <w:szCs w:val="22"/>
          <w:lang w:val="en-GB"/>
        </w:rPr>
        <w:t xml:space="preserve">, there was no sacrifice in segmentation quality by using a stochastic method. There is a clear trade-off between computational resources and accuracy - when </w:t>
      </w:r>
      <m:oMath>
        <m:r>
          <w:rPr>
            <w:rFonts w:ascii="Cambria Math" w:hAnsi="Cambria Math" w:cs="Times New Roman"/>
            <w:sz w:val="22"/>
            <w:szCs w:val="22"/>
            <w:lang w:val="en-GB"/>
          </w:rPr>
          <m:t>N</m:t>
        </m:r>
      </m:oMath>
      <w:r w:rsidRPr="006E5371">
        <w:rPr>
          <w:rFonts w:cs="Times New Roman"/>
          <w:sz w:val="22"/>
          <w:szCs w:val="22"/>
          <w:lang w:val="en-GB"/>
        </w:rPr>
        <w:t xml:space="preserve"> is increased (requiring more computational time), there is an increase in the segmentation accuracy of the consensus, the uncertainty in the derived areas, and the correlations between accuracy proxies and the true accuracy. However, there are diminishing returns on all of these values. On this basis, </w:t>
      </w:r>
      <m:oMath>
        <m:r>
          <w:rPr>
            <w:rFonts w:ascii="Cambria Math" w:hAnsi="Cambria Math" w:cs="Times New Roman"/>
            <w:sz w:val="22"/>
            <w:szCs w:val="22"/>
            <w:lang w:val="en-GB"/>
          </w:rPr>
          <m:t>N</m:t>
        </m:r>
      </m:oMath>
      <w:r w:rsidRPr="006E5371">
        <w:rPr>
          <w:rFonts w:cs="Times New Roman"/>
          <w:sz w:val="22"/>
          <w:szCs w:val="22"/>
          <w:lang w:val="en-GB"/>
        </w:rPr>
        <w:t xml:space="preserve"> was set to 15 for all further work.</w:t>
      </w:r>
    </w:p>
    <w:p w14:paraId="59D29ED2" w14:textId="77777777" w:rsidR="005B68ED" w:rsidRPr="006E5371" w:rsidRDefault="005B68ED" w:rsidP="005B68ED">
      <w:pPr>
        <w:pStyle w:val="BodyText"/>
        <w:spacing w:line="480" w:lineRule="auto"/>
        <w:rPr>
          <w:rFonts w:cs="Times New Roman"/>
          <w:b/>
          <w:bCs/>
          <w:sz w:val="22"/>
          <w:szCs w:val="22"/>
          <w:lang w:val="en-GB"/>
        </w:rPr>
      </w:pPr>
      <w:r w:rsidRPr="006E5371">
        <w:rPr>
          <w:rFonts w:cs="Times New Roman"/>
          <w:b/>
          <w:bCs/>
          <w:sz w:val="22"/>
          <w:szCs w:val="22"/>
          <w:lang w:val="en-GB"/>
        </w:rPr>
        <w:t>Selection of metric used in quality control:</w:t>
      </w:r>
    </w:p>
    <w:p w14:paraId="0023B775" w14:textId="77777777" w:rsidR="005B68ED" w:rsidRPr="006E5371" w:rsidRDefault="005B68ED" w:rsidP="005B68ED">
      <w:pPr>
        <w:pStyle w:val="BodyText"/>
        <w:spacing w:line="480" w:lineRule="auto"/>
        <w:rPr>
          <w:rFonts w:cs="Times New Roman"/>
          <w:sz w:val="22"/>
          <w:szCs w:val="22"/>
        </w:rPr>
      </w:pPr>
      <w:r w:rsidRPr="006E5371">
        <w:rPr>
          <w:rFonts w:cs="Times New Roman"/>
          <w:sz w:val="22"/>
          <w:szCs w:val="22"/>
        </w:rPr>
        <w:t xml:space="preserve">When multiple MC samples are drawn from the stochastic neural network, their level of agreement is correlated with the quality of the consensus segmentation (Roy et al. 2019). However, their level of agreement can be measured in many different ways. Here, we use 4 metrics, based on the well-known intersection-over-union (or Jacard Index) and the Dice score. However, there are a number of ways to formulate these for a summary statistic over </w:t>
      </w:r>
      <m:oMath>
        <m:r>
          <w:rPr>
            <w:rFonts w:ascii="Cambria Math" w:hAnsi="Cambria Math" w:cs="Times New Roman"/>
            <w:sz w:val="22"/>
            <w:szCs w:val="22"/>
          </w:rPr>
          <m:t>N</m:t>
        </m:r>
      </m:oMath>
      <w:r w:rsidRPr="006E5371">
        <w:rPr>
          <w:rFonts w:cs="Times New Roman"/>
          <w:sz w:val="22"/>
          <w:szCs w:val="22"/>
        </w:rPr>
        <w:t xml:space="preserve"> MC samples (denoted </w:t>
      </w:r>
      <m:oMath>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1</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N</m:t>
            </m:r>
          </m:sub>
        </m:sSub>
      </m:oMath>
      <w:r w:rsidRPr="006E5371">
        <w:rPr>
          <w:rFonts w:cs="Times New Roman"/>
          <w:sz w:val="22"/>
          <w:szCs w:val="22"/>
        </w:rPr>
        <w:t>).</w:t>
      </w:r>
    </w:p>
    <w:p w14:paraId="7541BCD2" w14:textId="77777777" w:rsidR="005B68ED" w:rsidRPr="006E5371" w:rsidRDefault="005B68ED" w:rsidP="005B68ED">
      <w:pPr>
        <w:pStyle w:val="BodyText"/>
        <w:spacing w:line="480" w:lineRule="auto"/>
        <w:rPr>
          <w:rFonts w:cs="Times New Roman"/>
          <w:sz w:val="22"/>
          <w:szCs w:val="22"/>
        </w:rPr>
      </w:pPr>
      <w:r w:rsidRPr="006E5371">
        <w:rPr>
          <w:rFonts w:cs="Times New Roman"/>
          <w:sz w:val="22"/>
          <w:szCs w:val="22"/>
        </w:rPr>
        <w:t>The IoU can be calculated globally (as in (Roy et al. 2019)):</w:t>
      </w:r>
    </w:p>
    <w:p w14:paraId="75F5C2C4" w14:textId="77777777" w:rsidR="005B68ED" w:rsidRPr="006E5371" w:rsidRDefault="005B68ED" w:rsidP="005B68ED">
      <w:pPr>
        <w:pStyle w:val="BodyText"/>
        <w:spacing w:line="480" w:lineRule="auto"/>
        <w:rPr>
          <w:rFonts w:cs="Times New Roman"/>
          <w:sz w:val="22"/>
          <w:szCs w:val="22"/>
        </w:rPr>
      </w:pPr>
      <m:oMathPara>
        <m:oMath>
          <m:r>
            <w:rPr>
              <w:rFonts w:ascii="Cambria Math" w:hAnsi="Cambria Math" w:cs="Times New Roman"/>
              <w:sz w:val="22"/>
              <w:szCs w:val="22"/>
            </w:rPr>
            <m:t>Io</m:t>
          </m:r>
          <m:sSup>
            <m:sSupPr>
              <m:ctrlPr>
                <w:rPr>
                  <w:rFonts w:ascii="Cambria Math" w:hAnsi="Cambria Math" w:cs="Times New Roman"/>
                  <w:sz w:val="22"/>
                  <w:szCs w:val="22"/>
                </w:rPr>
              </m:ctrlPr>
            </m:sSupPr>
            <m:e>
              <m:r>
                <w:rPr>
                  <w:rFonts w:ascii="Cambria Math" w:hAnsi="Cambria Math" w:cs="Times New Roman"/>
                  <w:sz w:val="22"/>
                  <w:szCs w:val="22"/>
                </w:rPr>
                <m:t>U</m:t>
              </m:r>
            </m:e>
            <m:sup>
              <m:r>
                <w:rPr>
                  <w:rFonts w:ascii="Cambria Math" w:hAnsi="Cambria Math" w:cs="Times New Roman"/>
                  <w:sz w:val="22"/>
                  <w:szCs w:val="22"/>
                </w:rPr>
                <m:t>G</m:t>
              </m:r>
            </m:sup>
          </m:sSup>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m:t>
              </m:r>
              <m:limLow>
                <m:limLowPr>
                  <m:ctrlPr>
                    <w:rPr>
                      <w:rFonts w:ascii="Cambria Math" w:hAnsi="Cambria Math" w:cs="Times New Roman"/>
                      <w:sz w:val="22"/>
                      <w:szCs w:val="22"/>
                    </w:rPr>
                  </m:ctrlPr>
                </m:limLowPr>
                <m:e>
                  <m:limUpp>
                    <m:limUppPr>
                      <m:ctrlPr>
                        <w:rPr>
                          <w:rFonts w:ascii="Cambria Math" w:hAnsi="Cambria Math" w:cs="Times New Roman"/>
                          <w:sz w:val="22"/>
                          <w:szCs w:val="22"/>
                        </w:rPr>
                      </m:ctrlPr>
                    </m:limUppPr>
                    <m:e>
                      <m:r>
                        <w:rPr>
                          <w:rFonts w:ascii="Cambria Math" w:hAnsi="Cambria Math" w:cs="Times New Roman"/>
                          <w:sz w:val="22"/>
                          <w:szCs w:val="22"/>
                        </w:rPr>
                        <m:t>⋂</m:t>
                      </m:r>
                    </m:e>
                    <m:lim>
                      <m:r>
                        <w:rPr>
                          <w:rFonts w:ascii="Cambria Math" w:hAnsi="Cambria Math" w:cs="Times New Roman"/>
                          <w:sz w:val="22"/>
                          <w:szCs w:val="22"/>
                        </w:rPr>
                        <m:t>N</m:t>
                      </m:r>
                    </m:lim>
                  </m:limUpp>
                </m:e>
                <m:lim>
                  <m:r>
                    <w:rPr>
                      <w:rFonts w:ascii="Cambria Math" w:hAnsi="Cambria Math" w:cs="Times New Roman"/>
                      <w:sz w:val="22"/>
                      <w:szCs w:val="22"/>
                    </w:rPr>
                    <m:t>i=1</m:t>
                  </m:r>
                </m:lim>
              </m:limLow>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i</m:t>
                  </m:r>
                </m:sub>
              </m:sSub>
              <m:r>
                <w:rPr>
                  <w:rFonts w:ascii="Cambria Math" w:hAnsi="Cambria Math" w:cs="Times New Roman"/>
                  <w:sz w:val="22"/>
                  <w:szCs w:val="22"/>
                </w:rPr>
                <m:t>|</m:t>
              </m:r>
            </m:num>
            <m:den>
              <m:r>
                <w:rPr>
                  <w:rFonts w:ascii="Cambria Math" w:hAnsi="Cambria Math" w:cs="Times New Roman"/>
                  <w:sz w:val="22"/>
                  <w:szCs w:val="22"/>
                </w:rPr>
                <m:t>|</m:t>
              </m:r>
              <m:limLow>
                <m:limLowPr>
                  <m:ctrlPr>
                    <w:rPr>
                      <w:rFonts w:ascii="Cambria Math" w:hAnsi="Cambria Math" w:cs="Times New Roman"/>
                      <w:sz w:val="22"/>
                      <w:szCs w:val="22"/>
                    </w:rPr>
                  </m:ctrlPr>
                </m:limLowPr>
                <m:e>
                  <m:limUpp>
                    <m:limUppPr>
                      <m:ctrlPr>
                        <w:rPr>
                          <w:rFonts w:ascii="Cambria Math" w:hAnsi="Cambria Math" w:cs="Times New Roman"/>
                          <w:sz w:val="22"/>
                          <w:szCs w:val="22"/>
                        </w:rPr>
                      </m:ctrlPr>
                    </m:limUppPr>
                    <m:e>
                      <m:r>
                        <w:rPr>
                          <w:rFonts w:ascii="Cambria Math" w:hAnsi="Cambria Math" w:cs="Times New Roman"/>
                          <w:sz w:val="22"/>
                          <w:szCs w:val="22"/>
                        </w:rPr>
                        <m:t>⋃</m:t>
                      </m:r>
                    </m:e>
                    <m:lim>
                      <m:r>
                        <w:rPr>
                          <w:rFonts w:ascii="Cambria Math" w:hAnsi="Cambria Math" w:cs="Times New Roman"/>
                          <w:sz w:val="22"/>
                          <w:szCs w:val="22"/>
                        </w:rPr>
                        <m:t>N</m:t>
                      </m:r>
                    </m:lim>
                  </m:limUpp>
                </m:e>
                <m:lim>
                  <m:r>
                    <w:rPr>
                      <w:rFonts w:ascii="Cambria Math" w:hAnsi="Cambria Math" w:cs="Times New Roman"/>
                      <w:sz w:val="22"/>
                      <w:szCs w:val="22"/>
                    </w:rPr>
                    <m:t>i=1</m:t>
                  </m:r>
                </m:lim>
              </m:limLow>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i</m:t>
                  </m:r>
                </m:sub>
              </m:sSub>
              <m:r>
                <w:rPr>
                  <w:rFonts w:ascii="Cambria Math" w:hAnsi="Cambria Math" w:cs="Times New Roman"/>
                  <w:sz w:val="22"/>
                  <w:szCs w:val="22"/>
                </w:rPr>
                <m:t>|</m:t>
              </m:r>
            </m:den>
          </m:f>
        </m:oMath>
      </m:oMathPara>
    </w:p>
    <w:p w14:paraId="703DD8CE" w14:textId="77777777" w:rsidR="005B68ED" w:rsidRPr="006E5371" w:rsidRDefault="005B68ED" w:rsidP="005B68ED">
      <w:pPr>
        <w:pStyle w:val="BodyText"/>
        <w:spacing w:line="480" w:lineRule="auto"/>
        <w:rPr>
          <w:rFonts w:cs="Times New Roman"/>
          <w:sz w:val="22"/>
          <w:szCs w:val="22"/>
        </w:rPr>
      </w:pPr>
      <w:r w:rsidRPr="006E5371">
        <w:rPr>
          <w:rFonts w:cs="Times New Roman"/>
          <w:sz w:val="22"/>
          <w:szCs w:val="22"/>
        </w:rPr>
        <w:t xml:space="preserve">Alternatively, it can be calculated as the mean of pairwise combinations across the </w:t>
      </w:r>
      <m:oMath>
        <m:r>
          <w:rPr>
            <w:rFonts w:ascii="Cambria Math" w:hAnsi="Cambria Math" w:cs="Times New Roman"/>
            <w:sz w:val="22"/>
            <w:szCs w:val="22"/>
          </w:rPr>
          <m:t>N</m:t>
        </m:r>
      </m:oMath>
      <w:r w:rsidRPr="006E5371">
        <w:rPr>
          <w:rFonts w:cs="Times New Roman"/>
          <w:sz w:val="22"/>
          <w:szCs w:val="22"/>
        </w:rPr>
        <w:t xml:space="preserve"> MC samples:</w:t>
      </w:r>
    </w:p>
    <w:p w14:paraId="0FB33D91" w14:textId="77777777" w:rsidR="005B68ED" w:rsidRPr="006E5371" w:rsidRDefault="005B68ED" w:rsidP="005B68ED">
      <w:pPr>
        <w:pStyle w:val="BodyText"/>
        <w:spacing w:line="480" w:lineRule="auto"/>
        <w:rPr>
          <w:rFonts w:cs="Times New Roman"/>
          <w:sz w:val="22"/>
          <w:szCs w:val="22"/>
        </w:rPr>
      </w:pPr>
      <m:oMathPara>
        <m:oMath>
          <m:r>
            <w:rPr>
              <w:rFonts w:ascii="Cambria Math" w:hAnsi="Cambria Math" w:cs="Times New Roman"/>
              <w:sz w:val="22"/>
              <w:szCs w:val="22"/>
            </w:rPr>
            <m:t>Io</m:t>
          </m:r>
          <m:sSup>
            <m:sSupPr>
              <m:ctrlPr>
                <w:rPr>
                  <w:rFonts w:ascii="Cambria Math" w:hAnsi="Cambria Math" w:cs="Times New Roman"/>
                  <w:sz w:val="22"/>
                  <w:szCs w:val="22"/>
                </w:rPr>
              </m:ctrlPr>
            </m:sSupPr>
            <m:e>
              <m:r>
                <w:rPr>
                  <w:rFonts w:ascii="Cambria Math" w:hAnsi="Cambria Math" w:cs="Times New Roman"/>
                  <w:sz w:val="22"/>
                  <w:szCs w:val="22"/>
                </w:rPr>
                <m:t>U</m:t>
              </m:r>
            </m:e>
            <m:sup>
              <m:r>
                <w:rPr>
                  <w:rFonts w:ascii="Cambria Math" w:hAnsi="Cambria Math" w:cs="Times New Roman"/>
                  <w:sz w:val="22"/>
                  <w:szCs w:val="22"/>
                </w:rPr>
                <m:t>MC</m:t>
              </m:r>
            </m:sup>
          </m:sSup>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2(N-2)</m:t>
              </m:r>
            </m:num>
            <m:den>
              <m:r>
                <w:rPr>
                  <w:rFonts w:ascii="Cambria Math" w:hAnsi="Cambria Math" w:cs="Times New Roman"/>
                  <w:sz w:val="22"/>
                  <w:szCs w:val="22"/>
                </w:rPr>
                <m:t>N!</m:t>
              </m:r>
            </m:den>
          </m:f>
          <m:f>
            <m:fPr>
              <m:ctrlPr>
                <w:rPr>
                  <w:rFonts w:ascii="Cambria Math" w:hAnsi="Cambria Math" w:cs="Times New Roman"/>
                  <w:sz w:val="22"/>
                  <w:szCs w:val="22"/>
                </w:rPr>
              </m:ctrlPr>
            </m:fPr>
            <m:num>
              <m:nary>
                <m:naryPr>
                  <m:chr m:val="∑"/>
                  <m:ctrlPr>
                    <w:rPr>
                      <w:rFonts w:ascii="Cambria Math" w:hAnsi="Cambria Math" w:cs="Times New Roman"/>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nary>
                    <m:naryPr>
                      <m:chr m:val="∑"/>
                      <m:ctrlPr>
                        <w:rPr>
                          <w:rFonts w:ascii="Cambria Math" w:hAnsi="Cambria Math" w:cs="Times New Roman"/>
                          <w:sz w:val="22"/>
                          <w:szCs w:val="22"/>
                        </w:rPr>
                      </m:ctrlPr>
                    </m:naryPr>
                    <m:sub>
                      <m:r>
                        <w:rPr>
                          <w:rFonts w:ascii="Cambria Math" w:hAnsi="Cambria Math" w:cs="Times New Roman"/>
                          <w:sz w:val="22"/>
                          <w:szCs w:val="22"/>
                        </w:rPr>
                        <m:t>j=1</m:t>
                      </m:r>
                    </m:sub>
                    <m:sup>
                      <m:r>
                        <w:rPr>
                          <w:rFonts w:ascii="Cambria Math" w:hAnsi="Cambria Math" w:cs="Times New Roman"/>
                          <w:sz w:val="22"/>
                          <w:szCs w:val="22"/>
                        </w:rPr>
                        <m:t>i-1</m:t>
                      </m:r>
                    </m:sup>
                    <m:e>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j</m:t>
                          </m:r>
                        </m:sub>
                      </m:sSub>
                      <m:r>
                        <w:rPr>
                          <w:rFonts w:ascii="Cambria Math" w:hAnsi="Cambria Math" w:cs="Times New Roman"/>
                          <w:sz w:val="22"/>
                          <w:szCs w:val="22"/>
                        </w:rPr>
                        <m:t>|</m:t>
                      </m:r>
                    </m:e>
                  </m:nary>
                </m:e>
              </m:nary>
            </m:num>
            <m:den>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j</m:t>
                  </m:r>
                </m:sub>
              </m:sSub>
              <m:r>
                <w:rPr>
                  <w:rFonts w:ascii="Cambria Math" w:hAnsi="Cambria Math" w:cs="Times New Roman"/>
                  <w:sz w:val="22"/>
                  <w:szCs w:val="22"/>
                </w:rPr>
                <m:t>|</m:t>
              </m:r>
            </m:den>
          </m:f>
        </m:oMath>
      </m:oMathPara>
    </w:p>
    <w:p w14:paraId="6A4D9859" w14:textId="77777777" w:rsidR="005B68ED" w:rsidRPr="006E5371" w:rsidRDefault="005B68ED" w:rsidP="005B68ED">
      <w:pPr>
        <w:pStyle w:val="BodyText"/>
        <w:spacing w:line="480" w:lineRule="auto"/>
        <w:rPr>
          <w:rFonts w:cs="Times New Roman"/>
          <w:sz w:val="22"/>
          <w:szCs w:val="22"/>
        </w:rPr>
      </w:pPr>
      <w:r w:rsidRPr="006E5371">
        <w:rPr>
          <w:rFonts w:cs="Times New Roman"/>
          <w:sz w:val="22"/>
          <w:szCs w:val="22"/>
        </w:rPr>
        <w:t>Likewise, the Dice score can be calculated globally over all MC samples:</w:t>
      </w:r>
    </w:p>
    <w:p w14:paraId="3DDA82C5" w14:textId="77777777" w:rsidR="005B68ED" w:rsidRPr="006E5371" w:rsidRDefault="0034077B" w:rsidP="005B68ED">
      <w:pPr>
        <w:pStyle w:val="BodyText"/>
        <w:spacing w:line="480" w:lineRule="auto"/>
        <w:rPr>
          <w:rFonts w:cs="Times New Roman"/>
          <w:sz w:val="22"/>
          <w:szCs w:val="22"/>
        </w:rPr>
      </w:pPr>
      <m:oMathPara>
        <m:oMath>
          <m:sSup>
            <m:sSupPr>
              <m:ctrlPr>
                <w:rPr>
                  <w:rFonts w:ascii="Cambria Math" w:hAnsi="Cambria Math" w:cs="Times New Roman"/>
                  <w:sz w:val="22"/>
                  <w:szCs w:val="22"/>
                </w:rPr>
              </m:ctrlPr>
            </m:sSupPr>
            <m:e>
              <m:r>
                <w:rPr>
                  <w:rFonts w:ascii="Cambria Math" w:hAnsi="Cambria Math" w:cs="Times New Roman"/>
                  <w:sz w:val="22"/>
                  <w:szCs w:val="22"/>
                </w:rPr>
                <m:t>d</m:t>
              </m:r>
            </m:e>
            <m:sup>
              <m:r>
                <w:rPr>
                  <w:rFonts w:ascii="Cambria Math" w:hAnsi="Cambria Math" w:cs="Times New Roman"/>
                  <w:sz w:val="22"/>
                  <w:szCs w:val="22"/>
                </w:rPr>
                <m:t>G</m:t>
              </m:r>
            </m:sup>
          </m:sSup>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N×|</m:t>
              </m:r>
              <m:limLow>
                <m:limLowPr>
                  <m:ctrlPr>
                    <w:rPr>
                      <w:rFonts w:ascii="Cambria Math" w:hAnsi="Cambria Math" w:cs="Times New Roman"/>
                      <w:sz w:val="22"/>
                      <w:szCs w:val="22"/>
                    </w:rPr>
                  </m:ctrlPr>
                </m:limLowPr>
                <m:e>
                  <m:limUpp>
                    <m:limUppPr>
                      <m:ctrlPr>
                        <w:rPr>
                          <w:rFonts w:ascii="Cambria Math" w:hAnsi="Cambria Math" w:cs="Times New Roman"/>
                          <w:sz w:val="22"/>
                          <w:szCs w:val="22"/>
                        </w:rPr>
                      </m:ctrlPr>
                    </m:limUppPr>
                    <m:e>
                      <m:r>
                        <w:rPr>
                          <w:rFonts w:ascii="Cambria Math" w:hAnsi="Cambria Math" w:cs="Times New Roman"/>
                          <w:sz w:val="22"/>
                          <w:szCs w:val="22"/>
                        </w:rPr>
                        <m:t>⋂</m:t>
                      </m:r>
                    </m:e>
                    <m:lim>
                      <m:r>
                        <w:rPr>
                          <w:rFonts w:ascii="Cambria Math" w:hAnsi="Cambria Math" w:cs="Times New Roman"/>
                          <w:sz w:val="22"/>
                          <w:szCs w:val="22"/>
                        </w:rPr>
                        <m:t>N</m:t>
                      </m:r>
                    </m:lim>
                  </m:limUpp>
                </m:e>
                <m:lim>
                  <m:r>
                    <w:rPr>
                      <w:rFonts w:ascii="Cambria Math" w:hAnsi="Cambria Math" w:cs="Times New Roman"/>
                      <w:sz w:val="22"/>
                      <w:szCs w:val="22"/>
                    </w:rPr>
                    <m:t>i=1</m:t>
                  </m:r>
                </m:lim>
              </m:limLow>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i</m:t>
                  </m:r>
                </m:sub>
              </m:sSub>
              <m:r>
                <w:rPr>
                  <w:rFonts w:ascii="Cambria Math" w:hAnsi="Cambria Math" w:cs="Times New Roman"/>
                  <w:sz w:val="22"/>
                  <w:szCs w:val="22"/>
                </w:rPr>
                <m:t>|</m:t>
              </m:r>
            </m:num>
            <m:den>
              <m:nary>
                <m:naryPr>
                  <m:chr m:val="∑"/>
                  <m:ctrlPr>
                    <w:rPr>
                      <w:rFonts w:ascii="Cambria Math" w:hAnsi="Cambria Math" w:cs="Times New Roman"/>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r>
                    <w:rPr>
                      <w:rFonts w:ascii="Cambria Math" w:hAnsi="Cambria Math" w:cs="Times New Roman"/>
                      <w:sz w:val="22"/>
                      <w:szCs w:val="22"/>
                    </w:rPr>
                    <m:t>|</m:t>
                  </m:r>
                </m:e>
              </m:nary>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i</m:t>
                  </m:r>
                </m:sub>
              </m:sSub>
              <m:r>
                <w:rPr>
                  <w:rFonts w:ascii="Cambria Math" w:hAnsi="Cambria Math" w:cs="Times New Roman"/>
                  <w:sz w:val="22"/>
                  <w:szCs w:val="22"/>
                </w:rPr>
                <m:t>|</m:t>
              </m:r>
            </m:den>
          </m:f>
        </m:oMath>
      </m:oMathPara>
    </w:p>
    <w:p w14:paraId="02D7A3C0" w14:textId="77777777" w:rsidR="005B68ED" w:rsidRPr="006E5371" w:rsidRDefault="005B68ED" w:rsidP="005B68ED">
      <w:pPr>
        <w:pStyle w:val="BodyText"/>
        <w:spacing w:line="480" w:lineRule="auto"/>
        <w:rPr>
          <w:rFonts w:cs="Times New Roman"/>
          <w:sz w:val="22"/>
          <w:szCs w:val="22"/>
        </w:rPr>
      </w:pPr>
      <w:r w:rsidRPr="006E5371">
        <w:rPr>
          <w:rFonts w:cs="Times New Roman"/>
          <w:sz w:val="22"/>
          <w:szCs w:val="22"/>
        </w:rPr>
        <w:t>Or, it can be calculated as the mean of pairwise combinations (Roy et al. 2019):</w:t>
      </w:r>
    </w:p>
    <w:p w14:paraId="25B1AA9C" w14:textId="77777777" w:rsidR="005B68ED" w:rsidRPr="006E5371" w:rsidRDefault="0034077B" w:rsidP="005B68ED">
      <w:pPr>
        <w:pStyle w:val="BodyText"/>
        <w:spacing w:line="480" w:lineRule="auto"/>
        <w:rPr>
          <w:rFonts w:cs="Times New Roman"/>
          <w:sz w:val="22"/>
          <w:szCs w:val="22"/>
        </w:rPr>
      </w:pPr>
      <m:oMathPara>
        <m:oMath>
          <m:sSup>
            <m:sSupPr>
              <m:ctrlPr>
                <w:rPr>
                  <w:rFonts w:ascii="Cambria Math" w:hAnsi="Cambria Math" w:cs="Times New Roman"/>
                  <w:sz w:val="22"/>
                  <w:szCs w:val="22"/>
                </w:rPr>
              </m:ctrlPr>
            </m:sSupPr>
            <m:e>
              <m:r>
                <w:rPr>
                  <w:rFonts w:ascii="Cambria Math" w:hAnsi="Cambria Math" w:cs="Times New Roman"/>
                  <w:sz w:val="22"/>
                  <w:szCs w:val="22"/>
                </w:rPr>
                <m:t>d</m:t>
              </m:r>
            </m:e>
            <m:sup>
              <m:r>
                <w:rPr>
                  <w:rFonts w:ascii="Cambria Math" w:hAnsi="Cambria Math" w:cs="Times New Roman"/>
                  <w:sz w:val="22"/>
                  <w:szCs w:val="22"/>
                </w:rPr>
                <m:t>MC</m:t>
              </m:r>
            </m:sup>
          </m:sSup>
          <m:r>
            <w:rPr>
              <w:rFonts w:ascii="Cambria Math" w:hAnsi="Cambria Math" w:cs="Times New Roman"/>
              <w:sz w:val="22"/>
              <w:szCs w:val="22"/>
            </w:rPr>
            <m:t>=</m:t>
          </m:r>
          <m:f>
            <m:fPr>
              <m:ctrlPr>
                <w:rPr>
                  <w:rFonts w:ascii="Cambria Math" w:hAnsi="Cambria Math" w:cs="Times New Roman"/>
                  <w:sz w:val="22"/>
                  <w:szCs w:val="22"/>
                </w:rPr>
              </m:ctrlPr>
            </m:fPr>
            <m:num>
              <m:r>
                <w:rPr>
                  <w:rFonts w:ascii="Cambria Math" w:hAnsi="Cambria Math" w:cs="Times New Roman"/>
                  <w:sz w:val="22"/>
                  <w:szCs w:val="22"/>
                </w:rPr>
                <m:t>2(N-2)</m:t>
              </m:r>
            </m:num>
            <m:den>
              <m:r>
                <w:rPr>
                  <w:rFonts w:ascii="Cambria Math" w:hAnsi="Cambria Math" w:cs="Times New Roman"/>
                  <w:sz w:val="22"/>
                  <w:szCs w:val="22"/>
                </w:rPr>
                <m:t>N!</m:t>
              </m:r>
            </m:den>
          </m:f>
          <m:f>
            <m:fPr>
              <m:ctrlPr>
                <w:rPr>
                  <w:rFonts w:ascii="Cambria Math" w:hAnsi="Cambria Math" w:cs="Times New Roman"/>
                  <w:sz w:val="22"/>
                  <w:szCs w:val="22"/>
                </w:rPr>
              </m:ctrlPr>
            </m:fPr>
            <m:num>
              <m:nary>
                <m:naryPr>
                  <m:chr m:val="∑"/>
                  <m:ctrlPr>
                    <w:rPr>
                      <w:rFonts w:ascii="Cambria Math" w:hAnsi="Cambria Math" w:cs="Times New Roman"/>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nary>
                    <m:naryPr>
                      <m:chr m:val="∑"/>
                      <m:ctrlPr>
                        <w:rPr>
                          <w:rFonts w:ascii="Cambria Math" w:hAnsi="Cambria Math" w:cs="Times New Roman"/>
                          <w:sz w:val="22"/>
                          <w:szCs w:val="22"/>
                        </w:rPr>
                      </m:ctrlPr>
                    </m:naryPr>
                    <m:sub>
                      <m:r>
                        <w:rPr>
                          <w:rFonts w:ascii="Cambria Math" w:hAnsi="Cambria Math" w:cs="Times New Roman"/>
                          <w:sz w:val="22"/>
                          <w:szCs w:val="22"/>
                        </w:rPr>
                        <m:t>j=1</m:t>
                      </m:r>
                    </m:sub>
                    <m:sup>
                      <m:r>
                        <w:rPr>
                          <w:rFonts w:ascii="Cambria Math" w:hAnsi="Cambria Math" w:cs="Times New Roman"/>
                          <w:sz w:val="22"/>
                          <w:szCs w:val="22"/>
                        </w:rPr>
                        <m:t>i-1</m:t>
                      </m:r>
                    </m:sup>
                    <m:e>
                      <m:r>
                        <w:rPr>
                          <w:rFonts w:ascii="Cambria Math" w:hAnsi="Cambria Math" w:cs="Times New Roman"/>
                          <w:sz w:val="22"/>
                          <w:szCs w:val="22"/>
                        </w:rPr>
                        <m:t>2|</m:t>
                      </m:r>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j</m:t>
                          </m:r>
                        </m:sub>
                      </m:sSub>
                      <m:r>
                        <w:rPr>
                          <w:rFonts w:ascii="Cambria Math" w:hAnsi="Cambria Math" w:cs="Times New Roman"/>
                          <w:sz w:val="22"/>
                          <w:szCs w:val="22"/>
                        </w:rPr>
                        <m:t>|</m:t>
                      </m:r>
                    </m:e>
                  </m:nary>
                </m:e>
              </m:nary>
            </m:num>
            <m:den>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sz w:val="22"/>
                      <w:szCs w:val="22"/>
                    </w:rPr>
                  </m:ctrlPr>
                </m:sSubPr>
                <m:e>
                  <m:r>
                    <w:rPr>
                      <w:rFonts w:ascii="Cambria Math" w:hAnsi="Cambria Math" w:cs="Times New Roman"/>
                      <w:sz w:val="22"/>
                      <w:szCs w:val="22"/>
                    </w:rPr>
                    <m:t>S</m:t>
                  </m:r>
                </m:e>
                <m:sub>
                  <m:r>
                    <w:rPr>
                      <w:rFonts w:ascii="Cambria Math" w:hAnsi="Cambria Math" w:cs="Times New Roman"/>
                      <w:sz w:val="22"/>
                      <w:szCs w:val="22"/>
                    </w:rPr>
                    <m:t>j</m:t>
                  </m:r>
                </m:sub>
              </m:sSub>
              <m:r>
                <w:rPr>
                  <w:rFonts w:ascii="Cambria Math" w:hAnsi="Cambria Math" w:cs="Times New Roman"/>
                  <w:sz w:val="22"/>
                  <w:szCs w:val="22"/>
                </w:rPr>
                <m:t>|</m:t>
              </m:r>
            </m:den>
          </m:f>
        </m:oMath>
      </m:oMathPara>
    </w:p>
    <w:p w14:paraId="2BEADC72" w14:textId="77777777" w:rsidR="005B68ED" w:rsidRPr="006E5371" w:rsidRDefault="005B68ED" w:rsidP="005B68ED">
      <w:pPr>
        <w:pStyle w:val="BodyText"/>
        <w:spacing w:line="480" w:lineRule="auto"/>
        <w:rPr>
          <w:rFonts w:cs="Times New Roman"/>
          <w:sz w:val="22"/>
          <w:szCs w:val="22"/>
          <w:lang w:val="en-GB"/>
        </w:rPr>
      </w:pPr>
      <w:r w:rsidRPr="006E5371">
        <w:rPr>
          <w:rFonts w:cs="Times New Roman"/>
          <w:sz w:val="22"/>
          <w:szCs w:val="22"/>
          <w:lang w:val="en-GB"/>
        </w:rPr>
        <w:t>The performance of these metrics can be quantified in a number of ways (after a linear correction is applied):</w:t>
      </w:r>
    </w:p>
    <w:p w14:paraId="6C17CD9D" w14:textId="77777777" w:rsidR="005B68ED" w:rsidRPr="006E5371" w:rsidRDefault="005B68ED" w:rsidP="005B68ED">
      <w:pPr>
        <w:pStyle w:val="BodyText"/>
        <w:numPr>
          <w:ilvl w:val="0"/>
          <w:numId w:val="3"/>
        </w:numPr>
        <w:spacing w:line="480" w:lineRule="auto"/>
        <w:rPr>
          <w:rFonts w:cs="Times New Roman"/>
          <w:sz w:val="22"/>
          <w:szCs w:val="22"/>
          <w:lang w:val="en-GB"/>
        </w:rPr>
      </w:pPr>
      <w:r w:rsidRPr="006E5371">
        <w:rPr>
          <w:rFonts w:cs="Times New Roman"/>
          <w:sz w:val="22"/>
          <w:szCs w:val="22"/>
          <w:lang w:val="en-GB"/>
        </w:rPr>
        <w:t>The Pearson correlation coefficient between the prediction and the true Dice score.</w:t>
      </w:r>
    </w:p>
    <w:p w14:paraId="6837F5D2" w14:textId="77777777" w:rsidR="005B68ED" w:rsidRPr="006E5371" w:rsidRDefault="005B68ED" w:rsidP="005B68ED">
      <w:pPr>
        <w:pStyle w:val="BodyText"/>
        <w:numPr>
          <w:ilvl w:val="0"/>
          <w:numId w:val="3"/>
        </w:numPr>
        <w:spacing w:line="480" w:lineRule="auto"/>
        <w:rPr>
          <w:rFonts w:cs="Times New Roman"/>
          <w:sz w:val="22"/>
          <w:szCs w:val="22"/>
          <w:lang w:val="en-GB"/>
        </w:rPr>
      </w:pPr>
      <w:r w:rsidRPr="006E5371">
        <w:rPr>
          <w:rFonts w:cs="Times New Roman"/>
          <w:sz w:val="22"/>
          <w:szCs w:val="22"/>
          <w:lang w:val="en-GB"/>
        </w:rPr>
        <w:t>The Mean Absolute Error (MAE) between the prediction and the true Dice score.</w:t>
      </w:r>
    </w:p>
    <w:p w14:paraId="45DE67CF" w14:textId="77777777" w:rsidR="005B68ED" w:rsidRPr="006E5371" w:rsidRDefault="005B68ED" w:rsidP="005B68ED">
      <w:pPr>
        <w:pStyle w:val="BodyText"/>
        <w:numPr>
          <w:ilvl w:val="0"/>
          <w:numId w:val="3"/>
        </w:numPr>
        <w:spacing w:line="480" w:lineRule="auto"/>
        <w:rPr>
          <w:rFonts w:cs="Times New Roman"/>
          <w:sz w:val="22"/>
          <w:szCs w:val="22"/>
          <w:lang w:val="en-GB"/>
        </w:rPr>
      </w:pPr>
      <w:r w:rsidRPr="006E5371">
        <w:rPr>
          <w:rFonts w:cs="Times New Roman"/>
          <w:sz w:val="22"/>
          <w:szCs w:val="22"/>
          <w:lang w:val="en-GB"/>
        </w:rPr>
        <w:t xml:space="preserve">How well the predicted categories of segmentation quality match up with those provided by the true Dice score, with descriptors of poor, medium and good corresponding to Dice scores of &lt;0.6, 0.6-0.8 and &gt;0.8 respectively. </w:t>
      </w:r>
    </w:p>
    <w:p w14:paraId="004146F8" w14:textId="77777777" w:rsidR="005B68ED" w:rsidRPr="006E5371" w:rsidRDefault="005B68ED" w:rsidP="005B68ED">
      <w:pPr>
        <w:pStyle w:val="Firstparagraph"/>
        <w:spacing w:line="480" w:lineRule="auto"/>
        <w:rPr>
          <w:rFonts w:cs="Times New Roman"/>
          <w:sz w:val="22"/>
          <w:szCs w:val="22"/>
          <w:lang w:val="en-GB"/>
        </w:rPr>
      </w:pPr>
      <w:r w:rsidRPr="006E5371">
        <w:rPr>
          <w:rFonts w:cs="Times New Roman"/>
          <w:sz w:val="22"/>
          <w:szCs w:val="22"/>
          <w:lang w:val="en-GB"/>
        </w:rPr>
        <w:t xml:space="preserve">These indicators of success can be seen in </w:t>
      </w:r>
      <w:r w:rsidRPr="006E5371">
        <w:rPr>
          <w:rFonts w:cs="Times New Roman"/>
          <w:b/>
          <w:sz w:val="22"/>
          <w:szCs w:val="22"/>
          <w:lang w:val="en-GB"/>
        </w:rPr>
        <w:t>Figure S2</w:t>
      </w:r>
      <w:r w:rsidRPr="006E5371">
        <w:rPr>
          <w:rFonts w:cs="Times New Roman"/>
          <w:sz w:val="22"/>
          <w:szCs w:val="22"/>
          <w:lang w:val="en-GB"/>
        </w:rPr>
        <w:t xml:space="preserve">, which also shows the linear corrections applied to each metric. Based on these results, the best predictor of segmentation accuracy is the mean pairwise Dice score </w:t>
      </w:r>
      <m:oMath>
        <m:sSup>
          <m:sSupPr>
            <m:ctrlPr>
              <w:rPr>
                <w:rFonts w:ascii="Cambria Math" w:hAnsi="Cambria Math" w:cs="Times New Roman"/>
                <w:sz w:val="22"/>
                <w:szCs w:val="22"/>
                <w:lang w:val="en-GB"/>
              </w:rPr>
            </m:ctrlPr>
          </m:sSupPr>
          <m:e>
            <m:r>
              <w:rPr>
                <w:rFonts w:ascii="Cambria Math" w:hAnsi="Cambria Math" w:cs="Times New Roman"/>
                <w:sz w:val="22"/>
                <w:szCs w:val="22"/>
                <w:lang w:val="en-GB"/>
              </w:rPr>
              <m:t>d</m:t>
            </m:r>
          </m:e>
          <m:sup>
            <m:r>
              <w:rPr>
                <w:rFonts w:ascii="Cambria Math" w:hAnsi="Cambria Math" w:cs="Times New Roman"/>
                <w:sz w:val="22"/>
                <w:szCs w:val="22"/>
                <w:lang w:val="en-GB"/>
              </w:rPr>
              <m:t>MC</m:t>
            </m:r>
          </m:sup>
        </m:sSup>
      </m:oMath>
      <w:r w:rsidRPr="006E5371">
        <w:rPr>
          <w:rFonts w:cs="Times New Roman"/>
          <w:sz w:val="22"/>
          <w:szCs w:val="22"/>
          <w:lang w:val="en-GB"/>
        </w:rPr>
        <w:t>. This is contrary to previous result</w:t>
      </w:r>
      <w:r w:rsidRPr="006E5371">
        <w:rPr>
          <w:rFonts w:cs="Times New Roman"/>
          <w:sz w:val="22"/>
          <w:szCs w:val="22"/>
          <w:lang w:val="en-GB"/>
        </w:rPr>
        <w:fldChar w:fldCharType="begin" w:fldLock="1"/>
      </w:r>
      <w:r w:rsidRPr="006E5371">
        <w:rPr>
          <w:rFonts w:cs="Times New Roman"/>
          <w:sz w:val="22"/>
          <w:szCs w:val="22"/>
          <w:lang w:val="en-GB"/>
        </w:rPr>
        <w:instrText>ADDIN CSL_CITATION {"citationItems":[{"id":"ITEM-1","itemData":{"DOI":"10.1016/j.neuroimage.2019.03.042","ISSN":"10959572","PMID":"30926511","abstract":"We introduce Bayesian QuickNAT for the automated quality control of whole-brain segmentation on MRI T1 scans. Next to the Bayesian fully convolutional neural network, we also present inherent measures of segmentation uncertainty that allow for quality control per brain structure. For estimating model uncertainty, we follow a Bayesian approach, wherein, Monte Carlo (MC) samples from the posterior distribution are generated by keeping the dropout layers active at test time. Entropy over the MC samples provides a voxel-wise model uncertainty map, whereas expectation over the MC predictions provides the final segmentation. Next to voxel-wise uncertainty, we introduce four metrics to quantify structure-wise uncertainty in segmentation for quality control. We report experiments on four out-of-sample datasets comprising of diverse age range, pathology and imaging artifacts. The proposed structure-wise uncertainty metrics are highly correlated with the Dice score estimated with manual annotation and therefore present an inherent measure of segmentation quality. In particular, the intersection over union over all the MC samples is a suitable proxy for the Dice score. In addition to quality control at scan-level, we propose to incorporate the structure-wise uncertainty as a measure of confidence to do reliable group analysis on large data repositories. We envisage that the introduced uncertainty metrics would help assess the fidelity of automated deep learning based segmentation methods for large-scale population studies, as they enable automated quality control and group analyses in processing large data repositories.","author":[{"dropping-particle":"","family":"Roy","given":"Abhijit Guha","non-dropping-particle":"","parse-names":false,"suffix":""},{"dropping-particle":"","family":"Conjeti","given":"Sailesh","non-dropping-particle":"","parse-names":false,"suffix":""},{"dropping-particle":"","family":"Navab","given":"Nassir","non-dropping-particle":"","parse-names":false,"suffix":""},{"dropping-particle":"","family":"Wachinger","given":"Christian","non-dropping-particle":"","parse-names":false,"suffix":""}],"container-title":"NeuroImage","id":"ITEM-1","issued":{"date-parts":[["2019","7","15"]]},"page":"11-22","publisher":"Academic Press Inc.","title":"Bayesian QuickNAT: Model uncertainty in deep whole-brain segmentation for structure-wise quality control","type":"article-journal","volume":"195"},"uris":["http://www.mendeley.com/documents/?uuid=6eaabf28-418b-3838-bd33-4101d7cc8256"]}],"mendeley":{"formattedCitation":"(24)","plainTextFormattedCitation":"(24)","previouslyFormattedCitation":"(24)"},"properties":{"noteIndex":0},"schema":"https://github.com/citation-style-language/schema/raw/master/csl-citation.json"}</w:instrText>
      </w:r>
      <w:r w:rsidRPr="006E5371">
        <w:rPr>
          <w:rFonts w:cs="Times New Roman"/>
          <w:sz w:val="22"/>
          <w:szCs w:val="22"/>
          <w:lang w:val="en-GB"/>
        </w:rPr>
        <w:fldChar w:fldCharType="separate"/>
      </w:r>
      <w:r w:rsidRPr="006E5371">
        <w:rPr>
          <w:rFonts w:cs="Times New Roman"/>
          <w:noProof/>
          <w:sz w:val="22"/>
          <w:szCs w:val="22"/>
          <w:lang w:val="en-GB"/>
        </w:rPr>
        <w:t>(24)</w:t>
      </w:r>
      <w:r w:rsidRPr="006E5371">
        <w:rPr>
          <w:rFonts w:cs="Times New Roman"/>
          <w:sz w:val="22"/>
          <w:szCs w:val="22"/>
          <w:lang w:val="en-GB"/>
        </w:rPr>
        <w:fldChar w:fldCharType="end"/>
      </w:r>
      <w:r w:rsidRPr="006E5371">
        <w:rPr>
          <w:rFonts w:cs="Times New Roman"/>
          <w:sz w:val="22"/>
          <w:szCs w:val="22"/>
          <w:lang w:val="en-GB"/>
        </w:rPr>
        <w:t xml:space="preserve">, which finds the global IoU </w:t>
      </w:r>
      <m:oMath>
        <m:r>
          <w:rPr>
            <w:rFonts w:ascii="Cambria Math" w:hAnsi="Cambria Math" w:cs="Times New Roman"/>
            <w:sz w:val="22"/>
            <w:szCs w:val="22"/>
            <w:lang w:val="en-GB"/>
          </w:rPr>
          <m:t>Io</m:t>
        </m:r>
        <m:sSup>
          <m:sSupPr>
            <m:ctrlPr>
              <w:rPr>
                <w:rFonts w:ascii="Cambria Math" w:hAnsi="Cambria Math" w:cs="Times New Roman"/>
                <w:sz w:val="22"/>
                <w:szCs w:val="22"/>
                <w:lang w:val="en-GB"/>
              </w:rPr>
            </m:ctrlPr>
          </m:sSupPr>
          <m:e>
            <m:r>
              <w:rPr>
                <w:rFonts w:ascii="Cambria Math" w:hAnsi="Cambria Math" w:cs="Times New Roman"/>
                <w:sz w:val="22"/>
                <w:szCs w:val="22"/>
                <w:lang w:val="en-GB"/>
              </w:rPr>
              <m:t>U</m:t>
            </m:r>
          </m:e>
          <m:sup>
            <m:r>
              <w:rPr>
                <w:rFonts w:ascii="Cambria Math" w:hAnsi="Cambria Math" w:cs="Times New Roman"/>
                <w:sz w:val="22"/>
                <w:szCs w:val="22"/>
                <w:lang w:val="en-GB"/>
              </w:rPr>
              <m:t>G</m:t>
            </m:r>
          </m:sup>
        </m:sSup>
      </m:oMath>
      <w:r w:rsidRPr="006E5371">
        <w:rPr>
          <w:rFonts w:cs="Times New Roman"/>
          <w:sz w:val="22"/>
          <w:szCs w:val="22"/>
          <w:lang w:val="en-GB"/>
        </w:rPr>
        <w:t xml:space="preserve"> to be superior to </w:t>
      </w:r>
      <m:oMath>
        <m:sSup>
          <m:sSupPr>
            <m:ctrlPr>
              <w:rPr>
                <w:rFonts w:ascii="Cambria Math" w:hAnsi="Cambria Math" w:cs="Times New Roman"/>
                <w:sz w:val="22"/>
                <w:szCs w:val="22"/>
                <w:lang w:val="en-GB"/>
              </w:rPr>
            </m:ctrlPr>
          </m:sSupPr>
          <m:e>
            <m:r>
              <w:rPr>
                <w:rFonts w:ascii="Cambria Math" w:hAnsi="Cambria Math" w:cs="Times New Roman"/>
                <w:sz w:val="22"/>
                <w:szCs w:val="22"/>
                <w:lang w:val="en-GB"/>
              </w:rPr>
              <m:t>d</m:t>
            </m:r>
          </m:e>
          <m:sup>
            <m:r>
              <w:rPr>
                <w:rFonts w:ascii="Cambria Math" w:hAnsi="Cambria Math" w:cs="Times New Roman"/>
                <w:sz w:val="22"/>
                <w:szCs w:val="22"/>
                <w:lang w:val="en-GB"/>
              </w:rPr>
              <m:t>MC</m:t>
            </m:r>
          </m:sup>
        </m:sSup>
      </m:oMath>
      <w:r w:rsidRPr="006E5371">
        <w:rPr>
          <w:rFonts w:cs="Times New Roman"/>
          <w:sz w:val="22"/>
          <w:szCs w:val="22"/>
          <w:lang w:val="en-GB"/>
        </w:rPr>
        <w:t xml:space="preserve">, and additionally did not find a requirement for linear corrections. For the remainder of the paper we use </w:t>
      </w:r>
      <m:oMath>
        <m:r>
          <w:rPr>
            <w:rFonts w:ascii="Cambria Math" w:hAnsi="Cambria Math" w:cs="Times New Roman"/>
            <w:sz w:val="22"/>
            <w:szCs w:val="22"/>
            <w:lang w:val="en-GB"/>
          </w:rPr>
          <m:t>N=15</m:t>
        </m:r>
      </m:oMath>
      <w:r w:rsidRPr="006E5371">
        <w:rPr>
          <w:rFonts w:cs="Times New Roman"/>
          <w:sz w:val="22"/>
          <w:szCs w:val="22"/>
          <w:lang w:val="en-GB"/>
        </w:rPr>
        <w:t xml:space="preserve"> for MC sampling, and the mean pairwise Dice score </w:t>
      </w:r>
      <m:oMath>
        <m:sSup>
          <m:sSupPr>
            <m:ctrlPr>
              <w:rPr>
                <w:rFonts w:ascii="Cambria Math" w:hAnsi="Cambria Math" w:cs="Times New Roman"/>
                <w:sz w:val="22"/>
                <w:szCs w:val="22"/>
                <w:lang w:val="en-GB"/>
              </w:rPr>
            </m:ctrlPr>
          </m:sSupPr>
          <m:e>
            <m:r>
              <w:rPr>
                <w:rFonts w:ascii="Cambria Math" w:hAnsi="Cambria Math" w:cs="Times New Roman"/>
                <w:sz w:val="22"/>
                <w:szCs w:val="22"/>
                <w:lang w:val="en-GB"/>
              </w:rPr>
              <m:t>d</m:t>
            </m:r>
          </m:e>
          <m:sup>
            <m:r>
              <w:rPr>
                <w:rFonts w:ascii="Cambria Math" w:hAnsi="Cambria Math" w:cs="Times New Roman"/>
                <w:sz w:val="22"/>
                <w:szCs w:val="22"/>
                <w:lang w:val="en-GB"/>
              </w:rPr>
              <m:t>MC</m:t>
            </m:r>
          </m:sup>
        </m:sSup>
      </m:oMath>
      <w:r w:rsidRPr="006E5371">
        <w:rPr>
          <w:rFonts w:cs="Times New Roman"/>
          <w:sz w:val="22"/>
          <w:szCs w:val="22"/>
          <w:lang w:val="en-GB"/>
        </w:rPr>
        <w:t xml:space="preserve"> with linear correction for predicting the Dice score of each individual segmentation.</w:t>
      </w:r>
    </w:p>
    <w:p w14:paraId="634C589B" w14:textId="77777777" w:rsidR="005B68ED" w:rsidRPr="006E5371" w:rsidRDefault="005B68ED" w:rsidP="005B68ED">
      <w:pPr>
        <w:rPr>
          <w:rFonts w:eastAsia="Lucida Sans Unicode"/>
          <w:b/>
          <w:bCs/>
          <w:kern w:val="2"/>
          <w:sz w:val="22"/>
          <w:szCs w:val="22"/>
          <w:lang w:val="en-US"/>
        </w:rPr>
      </w:pPr>
      <w:r w:rsidRPr="006E5371">
        <w:rPr>
          <w:rFonts w:eastAsia="Lucida Sans Unicode"/>
          <w:b/>
          <w:bCs/>
          <w:kern w:val="2"/>
          <w:sz w:val="22"/>
          <w:szCs w:val="22"/>
          <w:lang w:val="en-US"/>
        </w:rPr>
        <w:br w:type="page"/>
      </w:r>
    </w:p>
    <w:p w14:paraId="02F01B37" w14:textId="77777777" w:rsidR="005B68ED" w:rsidRPr="006E5371" w:rsidRDefault="005B68ED" w:rsidP="005B68ED">
      <w:pPr>
        <w:rPr>
          <w:rFonts w:eastAsia="Lucida Sans Unicode"/>
          <w:b/>
          <w:bCs/>
          <w:kern w:val="2"/>
          <w:sz w:val="22"/>
          <w:szCs w:val="22"/>
          <w:lang w:val="en-US"/>
        </w:rPr>
      </w:pPr>
    </w:p>
    <w:p w14:paraId="5050B3DE" w14:textId="77777777" w:rsidR="005B68ED" w:rsidRPr="006E5371" w:rsidRDefault="005B68ED" w:rsidP="005B68ED">
      <w:pPr>
        <w:pStyle w:val="FigureCaption"/>
        <w:jc w:val="center"/>
        <w:rPr>
          <w:rFonts w:cs="Times New Roman"/>
          <w:b/>
          <w:bCs/>
          <w:i w:val="0"/>
          <w:iCs w:val="0"/>
          <w:sz w:val="22"/>
          <w:szCs w:val="22"/>
        </w:rPr>
      </w:pPr>
      <w:r w:rsidRPr="006E5371">
        <w:rPr>
          <w:rFonts w:cs="Times New Roman"/>
          <w:b/>
          <w:bCs/>
          <w:i w:val="0"/>
          <w:iCs w:val="0"/>
          <w:sz w:val="22"/>
          <w:szCs w:val="22"/>
        </w:rPr>
        <w:t xml:space="preserve">Supplementary Figure 1. Effects of </w:t>
      </w:r>
      <m:oMath>
        <m:r>
          <m:rPr>
            <m:sty m:val="bi"/>
          </m:rPr>
          <w:rPr>
            <w:rFonts w:ascii="Cambria Math" w:hAnsi="Cambria Math" w:cs="Times New Roman"/>
            <w:sz w:val="22"/>
            <w:szCs w:val="22"/>
          </w:rPr>
          <m:t>N</m:t>
        </m:r>
      </m:oMath>
      <w:r w:rsidRPr="006E5371">
        <w:rPr>
          <w:rFonts w:cs="Times New Roman"/>
          <w:b/>
          <w:bCs/>
          <w:i w:val="0"/>
          <w:iCs w:val="0"/>
          <w:sz w:val="22"/>
          <w:szCs w:val="22"/>
        </w:rPr>
        <w:t xml:space="preserve"> on model performance</w:t>
      </w:r>
    </w:p>
    <w:p w14:paraId="43112FE8" w14:textId="77777777" w:rsidR="005B68ED" w:rsidRPr="006E5371" w:rsidRDefault="005B68ED" w:rsidP="005B68ED">
      <w:pPr>
        <w:rPr>
          <w:lang w:val="en-US"/>
        </w:rPr>
      </w:pPr>
      <w:r w:rsidRPr="006E5371">
        <w:rPr>
          <w:noProof/>
        </w:rPr>
        <w:drawing>
          <wp:inline distT="0" distB="0" distL="0" distR="0" wp14:anchorId="591D3923" wp14:editId="5125CF47">
            <wp:extent cx="5727700" cy="2994686"/>
            <wp:effectExtent l="0" t="0" r="0" b="2540"/>
            <wp:docPr id="10" name="img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 descr="Chart, scatter chart&#10;&#10;Description automatically generated"/>
                    <pic:cNvPicPr>
                      <a:picLocks noChangeAspect="1" noChangeArrowheads="1"/>
                    </pic:cNvPicPr>
                  </pic:nvPicPr>
                  <pic:blipFill>
                    <a:blip r:embed="rId15"/>
                    <a:stretch>
                      <a:fillRect/>
                    </a:stretch>
                  </pic:blipFill>
                  <pic:spPr bwMode="auto">
                    <a:xfrm>
                      <a:off x="0" y="0"/>
                      <a:ext cx="5727700" cy="2994686"/>
                    </a:xfrm>
                    <a:prstGeom prst="rect">
                      <a:avLst/>
                    </a:prstGeom>
                  </pic:spPr>
                </pic:pic>
              </a:graphicData>
            </a:graphic>
          </wp:inline>
        </w:drawing>
      </w:r>
    </w:p>
    <w:p w14:paraId="0567A31D" w14:textId="77777777" w:rsidR="005B68ED" w:rsidRPr="006E5371" w:rsidRDefault="005B68ED" w:rsidP="005B68ED">
      <w:pPr>
        <w:rPr>
          <w:lang w:val="en-US"/>
        </w:rPr>
      </w:pPr>
    </w:p>
    <w:p w14:paraId="73E93C1D" w14:textId="77777777" w:rsidR="005B68ED" w:rsidRPr="006E5371" w:rsidRDefault="005B68ED" w:rsidP="005B68ED">
      <w:pPr>
        <w:rPr>
          <w:i/>
          <w:iCs/>
          <w:sz w:val="22"/>
          <w:szCs w:val="22"/>
          <w:lang w:val="en-US"/>
        </w:rPr>
      </w:pPr>
      <w:r w:rsidRPr="006E5371">
        <w:rPr>
          <w:b/>
          <w:bCs/>
          <w:i/>
          <w:iCs/>
          <w:sz w:val="22"/>
          <w:szCs w:val="22"/>
          <w:lang w:val="en-US"/>
        </w:rPr>
        <w:t>Supplementary Figure 1:</w:t>
      </w:r>
      <w:r w:rsidRPr="006E5371">
        <w:rPr>
          <w:i/>
          <w:iCs/>
          <w:sz w:val="22"/>
          <w:szCs w:val="22"/>
          <w:lang w:val="en-US"/>
        </w:rPr>
        <w:t xml:space="preserve"> </w:t>
      </w:r>
      <w:r w:rsidRPr="006E5371">
        <w:rPr>
          <w:i/>
          <w:iCs/>
          <w:sz w:val="22"/>
          <w:szCs w:val="22"/>
        </w:rPr>
        <w:t>Each graph here shows mean</w:t>
      </w:r>
      <m:oMath>
        <m:r>
          <w:rPr>
            <w:rFonts w:ascii="Cambria Math" w:hAnsi="Cambria Math"/>
            <w:sz w:val="22"/>
            <w:szCs w:val="22"/>
          </w:rPr>
          <m:t>±</m:t>
        </m:r>
      </m:oMath>
      <w:r w:rsidRPr="006E5371">
        <w:rPr>
          <w:i/>
          <w:iCs/>
          <w:sz w:val="22"/>
          <w:szCs w:val="22"/>
        </w:rPr>
        <w:t xml:space="preserve">standard deviation of 15 runs for each Monte Carlo </w:t>
      </w:r>
      <m:oMath>
        <m:r>
          <w:rPr>
            <w:rFonts w:ascii="Cambria Math" w:hAnsi="Cambria Math"/>
            <w:sz w:val="22"/>
            <w:szCs w:val="22"/>
          </w:rPr>
          <m:t>N</m:t>
        </m:r>
      </m:oMath>
      <w:r w:rsidRPr="006E5371">
        <w:rPr>
          <w:i/>
          <w:iCs/>
          <w:sz w:val="22"/>
          <w:szCs w:val="22"/>
        </w:rPr>
        <w:t>, over the test set (</w:t>
      </w:r>
      <m:oMath>
        <m:r>
          <w:rPr>
            <w:rFonts w:ascii="Cambria Math" w:hAnsi="Cambria Math"/>
            <w:sz w:val="22"/>
            <w:szCs w:val="22"/>
          </w:rPr>
          <m:t>n=87</m:t>
        </m:r>
      </m:oMath>
      <w:r w:rsidRPr="006E5371">
        <w:rPr>
          <w:i/>
          <w:iCs/>
          <w:sz w:val="22"/>
          <w:szCs w:val="22"/>
        </w:rPr>
        <w:t xml:space="preserve"> participants). </w:t>
      </w:r>
      <w:r w:rsidRPr="006E5371">
        <w:rPr>
          <w:b/>
          <w:bCs/>
          <w:i/>
          <w:iCs/>
          <w:sz w:val="22"/>
          <w:szCs w:val="22"/>
        </w:rPr>
        <w:t>A.</w:t>
      </w:r>
      <w:r w:rsidRPr="006E5371">
        <w:rPr>
          <w:i/>
          <w:iCs/>
          <w:sz w:val="22"/>
          <w:szCs w:val="22"/>
        </w:rPr>
        <w:t xml:space="preserve"> Mean Dice score. For comparison, the optimal Dice score obtained with a deterministic MultiResUNet is also shown (dotted line). </w:t>
      </w:r>
      <w:r w:rsidRPr="006E5371">
        <w:rPr>
          <w:b/>
          <w:bCs/>
          <w:i/>
          <w:iCs/>
          <w:sz w:val="22"/>
          <w:szCs w:val="22"/>
        </w:rPr>
        <w:t>B.</w:t>
      </w:r>
      <w:r w:rsidRPr="006E5371">
        <w:rPr>
          <w:i/>
          <w:iCs/>
          <w:sz w:val="22"/>
          <w:szCs w:val="22"/>
        </w:rPr>
        <w:t xml:space="preserve"> Mean esstimated standard deviation of PAT area.</w:t>
      </w:r>
    </w:p>
    <w:p w14:paraId="55B427A9" w14:textId="77777777" w:rsidR="005B68ED" w:rsidRPr="006E5371" w:rsidRDefault="005B68ED" w:rsidP="005B68ED">
      <w:pPr>
        <w:pStyle w:val="FigureCaption"/>
        <w:rPr>
          <w:b/>
          <w:bCs/>
        </w:rPr>
      </w:pPr>
    </w:p>
    <w:p w14:paraId="7B62536F" w14:textId="77777777" w:rsidR="005B68ED" w:rsidRPr="006E5371" w:rsidRDefault="005B68ED" w:rsidP="005B68ED">
      <w:pPr>
        <w:rPr>
          <w:rFonts w:eastAsia="Lucida Sans Unicode" w:cs="Tahoma"/>
          <w:b/>
          <w:bCs/>
          <w:i/>
          <w:iCs/>
          <w:kern w:val="2"/>
          <w:lang w:val="en-US"/>
        </w:rPr>
      </w:pPr>
      <w:r w:rsidRPr="006E5371">
        <w:rPr>
          <w:b/>
          <w:bCs/>
        </w:rPr>
        <w:br w:type="page"/>
      </w:r>
    </w:p>
    <w:p w14:paraId="0627CFC0" w14:textId="77777777" w:rsidR="005B68ED" w:rsidRPr="006E5371" w:rsidRDefault="005B68ED" w:rsidP="005B68ED">
      <w:pPr>
        <w:pStyle w:val="FigureCaption"/>
      </w:pPr>
      <w:r w:rsidRPr="006E5371">
        <w:rPr>
          <w:b/>
          <w:bCs/>
        </w:rPr>
        <w:t>Supplementary Figure 2. Effectiveness of different methods for predicting segmentation quality</w:t>
      </w:r>
      <w:r w:rsidRPr="006E5371">
        <w:t xml:space="preserve"> for the test set (</w:t>
      </w:r>
      <m:oMath>
        <m:r>
          <w:rPr>
            <w:rFonts w:ascii="Cambria Math" w:hAnsi="Cambria Math"/>
          </w:rPr>
          <m:t>n=87</m:t>
        </m:r>
      </m:oMath>
      <w:r w:rsidRPr="006E5371">
        <w:t xml:space="preserve">), as well as statistics describing their performance (Pearson </w:t>
      </w:r>
      <m:oMath>
        <m:r>
          <w:rPr>
            <w:rFonts w:ascii="Cambria Math" w:hAnsi="Cambria Math"/>
          </w:rPr>
          <m:t>r</m:t>
        </m:r>
      </m:oMath>
      <w:r w:rsidRPr="006E5371">
        <w:t>, the mean absolute error of predictions after linear corrections, and the category accuracy).</w:t>
      </w:r>
    </w:p>
    <w:p w14:paraId="4059A722" w14:textId="77777777" w:rsidR="005B68ED" w:rsidRPr="006E5371" w:rsidRDefault="005B68ED" w:rsidP="005B68ED">
      <w:pPr>
        <w:rPr>
          <w:lang w:val="en-US"/>
        </w:rPr>
      </w:pPr>
    </w:p>
    <w:p w14:paraId="4A6D8789" w14:textId="77777777" w:rsidR="005B68ED" w:rsidRDefault="005B68ED" w:rsidP="005B68ED">
      <w:pPr>
        <w:rPr>
          <w:lang w:val="en-US"/>
        </w:rPr>
      </w:pPr>
      <w:r w:rsidRPr="006E5371">
        <w:rPr>
          <w:noProof/>
        </w:rPr>
        <w:drawing>
          <wp:inline distT="0" distB="0" distL="0" distR="0" wp14:anchorId="328DAF49" wp14:editId="008A4ADB">
            <wp:extent cx="5727700" cy="1577336"/>
            <wp:effectExtent l="0" t="0" r="0" b="0"/>
            <wp:docPr id="11" name="img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4" descr="Chart, scatter chart&#10;&#10;Description automatically generated"/>
                    <pic:cNvPicPr>
                      <a:picLocks noChangeAspect="1" noChangeArrowheads="1"/>
                    </pic:cNvPicPr>
                  </pic:nvPicPr>
                  <pic:blipFill>
                    <a:blip r:embed="rId16"/>
                    <a:stretch>
                      <a:fillRect/>
                    </a:stretch>
                  </pic:blipFill>
                  <pic:spPr bwMode="auto">
                    <a:xfrm>
                      <a:off x="0" y="0"/>
                      <a:ext cx="5727700" cy="1577336"/>
                    </a:xfrm>
                    <a:prstGeom prst="rect">
                      <a:avLst/>
                    </a:prstGeom>
                  </pic:spPr>
                </pic:pic>
              </a:graphicData>
            </a:graphic>
          </wp:inline>
        </w:drawing>
      </w:r>
    </w:p>
    <w:p w14:paraId="66F577D9" w14:textId="77777777" w:rsidR="005B68ED" w:rsidRDefault="005B68ED" w:rsidP="005B68ED">
      <w:pPr>
        <w:rPr>
          <w:lang w:val="en-US"/>
        </w:rPr>
      </w:pPr>
    </w:p>
    <w:p w14:paraId="72039AF1" w14:textId="77777777" w:rsidR="005B68ED" w:rsidRDefault="005B68ED" w:rsidP="005B68ED">
      <w:pPr>
        <w:rPr>
          <w:lang w:val="en-US"/>
        </w:rPr>
      </w:pPr>
    </w:p>
    <w:p w14:paraId="0F5C0AF6" w14:textId="77777777" w:rsidR="005B68ED" w:rsidRDefault="005B68ED" w:rsidP="005B68ED"/>
    <w:p w14:paraId="5E777D5C" w14:textId="7B5A5293" w:rsidR="00C30B86" w:rsidRPr="001900FE" w:rsidRDefault="00C30B86" w:rsidP="00FF2DC9">
      <w:pPr>
        <w:widowControl w:val="0"/>
        <w:autoSpaceDE w:val="0"/>
        <w:autoSpaceDN w:val="0"/>
        <w:adjustRightInd w:val="0"/>
        <w:rPr>
          <w:sz w:val="22"/>
          <w:szCs w:val="22"/>
        </w:rPr>
      </w:pPr>
    </w:p>
    <w:sectPr w:rsidR="00C30B86" w:rsidRPr="001900FE" w:rsidSect="009130C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FCB94" w14:textId="77777777" w:rsidR="00311E9E" w:rsidRDefault="00311E9E">
      <w:r>
        <w:separator/>
      </w:r>
    </w:p>
  </w:endnote>
  <w:endnote w:type="continuationSeparator" w:id="0">
    <w:p w14:paraId="3F22A4EB" w14:textId="77777777" w:rsidR="00311E9E" w:rsidRDefault="00311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Calibri"/>
    <w:charset w:val="01"/>
    <w:family w:val="auto"/>
    <w:pitch w:val="default"/>
  </w:font>
  <w:font w:name="OpenSymbol">
    <w:altName w:val="Arial Unicode MS"/>
    <w:charset w:val="01"/>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GMaruGothicMPRO">
    <w:altName w:val="MS Gothic"/>
    <w:charset w:val="80"/>
    <w:family w:val="swiss"/>
    <w:pitch w:val="variable"/>
    <w:sig w:usb0="00000000"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14071378"/>
      <w:docPartObj>
        <w:docPartGallery w:val="Page Numbers (Bottom of Page)"/>
        <w:docPartUnique/>
      </w:docPartObj>
    </w:sdtPr>
    <w:sdtEndPr>
      <w:rPr>
        <w:rStyle w:val="PageNumber"/>
      </w:rPr>
    </w:sdtEndPr>
    <w:sdtContent>
      <w:p w14:paraId="2FF21037" w14:textId="5A4CE0EE" w:rsidR="00C30B86" w:rsidRDefault="00C30B86" w:rsidP="00FF2D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AB914C" w14:textId="77777777" w:rsidR="00C30B86" w:rsidRDefault="00C30B86" w:rsidP="00C30B8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46407502"/>
      <w:docPartObj>
        <w:docPartGallery w:val="Page Numbers (Bottom of Page)"/>
        <w:docPartUnique/>
      </w:docPartObj>
    </w:sdtPr>
    <w:sdtEndPr>
      <w:rPr>
        <w:rStyle w:val="PageNumber"/>
      </w:rPr>
    </w:sdtEndPr>
    <w:sdtContent>
      <w:p w14:paraId="4253E4E5" w14:textId="3DC81753" w:rsidR="00C30B86" w:rsidRDefault="00C30B86" w:rsidP="00FF2DC9">
        <w:pPr>
          <w:pStyle w:val="Footer"/>
          <w:framePr w:wrap="none" w:vAnchor="text" w:hAnchor="page" w:x="10967" w:y="-637"/>
          <w:rPr>
            <w:rStyle w:val="PageNumber"/>
          </w:rPr>
        </w:pPr>
        <w:r>
          <w:rPr>
            <w:rStyle w:val="PageNumber"/>
          </w:rPr>
          <w:fldChar w:fldCharType="begin"/>
        </w:r>
        <w:r>
          <w:rPr>
            <w:rStyle w:val="PageNumber"/>
          </w:rPr>
          <w:instrText xml:space="preserve"> PAGE </w:instrText>
        </w:r>
        <w:r>
          <w:rPr>
            <w:rStyle w:val="PageNumber"/>
          </w:rPr>
          <w:fldChar w:fldCharType="separate"/>
        </w:r>
        <w:r w:rsidR="0034077B">
          <w:rPr>
            <w:rStyle w:val="PageNumber"/>
            <w:noProof/>
          </w:rPr>
          <w:t>1</w:t>
        </w:r>
        <w:r>
          <w:rPr>
            <w:rStyle w:val="PageNumber"/>
          </w:rPr>
          <w:fldChar w:fldCharType="end"/>
        </w:r>
      </w:p>
    </w:sdtContent>
  </w:sdt>
  <w:p w14:paraId="138722EF" w14:textId="77777777" w:rsidR="00C30B86" w:rsidRDefault="00C30B86" w:rsidP="00C30B86">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DA0F0" w14:textId="77777777" w:rsidR="00311E9E" w:rsidRDefault="00311E9E">
      <w:r>
        <w:separator/>
      </w:r>
    </w:p>
  </w:footnote>
  <w:footnote w:type="continuationSeparator" w:id="0">
    <w:p w14:paraId="302AA968" w14:textId="77777777" w:rsidR="00311E9E" w:rsidRDefault="00311E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40E0F76"/>
    <w:lvl w:ilvl="0" w:tplc="FFFFFFFF">
      <w:start w:val="1"/>
      <w:numFmt w:val="bullet"/>
      <w:lvlText w:val="y"/>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D5953D9"/>
    <w:multiLevelType w:val="multilevel"/>
    <w:tmpl w:val="C35660EA"/>
    <w:lvl w:ilvl="0">
      <w:start w:val="1"/>
      <w:numFmt w:val="bullet"/>
      <w:lvlText w:val=""/>
      <w:lvlJc w:val="left"/>
      <w:pPr>
        <w:tabs>
          <w:tab w:val="num" w:pos="720"/>
        </w:tabs>
        <w:ind w:left="720" w:hanging="360"/>
      </w:pPr>
      <w:rPr>
        <w:rFonts w:ascii="Symbol" w:hAnsi="Symbol" w:cs="StarSymbol" w:hint="default"/>
        <w:sz w:val="18"/>
        <w:szCs w:val="18"/>
      </w:rPr>
    </w:lvl>
    <w:lvl w:ilvl="1">
      <w:start w:val="1"/>
      <w:numFmt w:val="bullet"/>
      <w:lvlText w:val="◦"/>
      <w:lvlJc w:val="left"/>
      <w:pPr>
        <w:tabs>
          <w:tab w:val="num" w:pos="1080"/>
        </w:tabs>
        <w:ind w:left="1080" w:hanging="360"/>
      </w:pPr>
      <w:rPr>
        <w:rFonts w:ascii="OpenSymbol" w:hAnsi="OpenSymbol" w:cs="StarSymbol" w:hint="default"/>
        <w:sz w:val="18"/>
        <w:szCs w:val="18"/>
      </w:rPr>
    </w:lvl>
    <w:lvl w:ilvl="2">
      <w:start w:val="1"/>
      <w:numFmt w:val="bullet"/>
      <w:lvlText w:val="▪"/>
      <w:lvlJc w:val="left"/>
      <w:pPr>
        <w:tabs>
          <w:tab w:val="num" w:pos="1440"/>
        </w:tabs>
        <w:ind w:left="1440" w:hanging="360"/>
      </w:pPr>
      <w:rPr>
        <w:rFonts w:ascii="OpenSymbol" w:hAnsi="OpenSymbol" w:cs="StarSymbol" w:hint="default"/>
        <w:sz w:val="18"/>
        <w:szCs w:val="18"/>
      </w:rPr>
    </w:lvl>
    <w:lvl w:ilvl="3">
      <w:start w:val="1"/>
      <w:numFmt w:val="bullet"/>
      <w:lvlText w:val=""/>
      <w:lvlJc w:val="left"/>
      <w:pPr>
        <w:tabs>
          <w:tab w:val="num" w:pos="1800"/>
        </w:tabs>
        <w:ind w:left="1800" w:hanging="360"/>
      </w:pPr>
      <w:rPr>
        <w:rFonts w:ascii="Symbol" w:hAnsi="Symbol" w:cs="StarSymbol" w:hint="default"/>
        <w:sz w:val="18"/>
        <w:szCs w:val="18"/>
      </w:rPr>
    </w:lvl>
    <w:lvl w:ilvl="4">
      <w:start w:val="1"/>
      <w:numFmt w:val="bullet"/>
      <w:lvlText w:val="◦"/>
      <w:lvlJc w:val="left"/>
      <w:pPr>
        <w:tabs>
          <w:tab w:val="num" w:pos="2160"/>
        </w:tabs>
        <w:ind w:left="2160" w:hanging="360"/>
      </w:pPr>
      <w:rPr>
        <w:rFonts w:ascii="OpenSymbol" w:hAnsi="OpenSymbol" w:cs="StarSymbol" w:hint="default"/>
        <w:sz w:val="18"/>
        <w:szCs w:val="18"/>
      </w:rPr>
    </w:lvl>
    <w:lvl w:ilvl="5">
      <w:start w:val="1"/>
      <w:numFmt w:val="bullet"/>
      <w:lvlText w:val="▪"/>
      <w:lvlJc w:val="left"/>
      <w:pPr>
        <w:tabs>
          <w:tab w:val="num" w:pos="2520"/>
        </w:tabs>
        <w:ind w:left="2520" w:hanging="360"/>
      </w:pPr>
      <w:rPr>
        <w:rFonts w:ascii="OpenSymbol" w:hAnsi="OpenSymbol" w:cs="StarSymbol" w:hint="default"/>
        <w:sz w:val="18"/>
        <w:szCs w:val="18"/>
      </w:rPr>
    </w:lvl>
    <w:lvl w:ilvl="6">
      <w:start w:val="1"/>
      <w:numFmt w:val="bullet"/>
      <w:lvlText w:val=""/>
      <w:lvlJc w:val="left"/>
      <w:pPr>
        <w:tabs>
          <w:tab w:val="num" w:pos="2880"/>
        </w:tabs>
        <w:ind w:left="2880" w:hanging="360"/>
      </w:pPr>
      <w:rPr>
        <w:rFonts w:ascii="Symbol" w:hAnsi="Symbol" w:cs="StarSymbol" w:hint="default"/>
        <w:sz w:val="18"/>
        <w:szCs w:val="18"/>
      </w:rPr>
    </w:lvl>
    <w:lvl w:ilvl="7">
      <w:start w:val="1"/>
      <w:numFmt w:val="bullet"/>
      <w:lvlText w:val="◦"/>
      <w:lvlJc w:val="left"/>
      <w:pPr>
        <w:tabs>
          <w:tab w:val="num" w:pos="3240"/>
        </w:tabs>
        <w:ind w:left="3240" w:hanging="360"/>
      </w:pPr>
      <w:rPr>
        <w:rFonts w:ascii="OpenSymbol" w:hAnsi="OpenSymbol" w:cs="StarSymbol" w:hint="default"/>
        <w:sz w:val="18"/>
        <w:szCs w:val="18"/>
      </w:rPr>
    </w:lvl>
    <w:lvl w:ilvl="8">
      <w:start w:val="1"/>
      <w:numFmt w:val="bullet"/>
      <w:lvlText w:val="▪"/>
      <w:lvlJc w:val="left"/>
      <w:pPr>
        <w:tabs>
          <w:tab w:val="num" w:pos="3600"/>
        </w:tabs>
        <w:ind w:left="3600" w:hanging="360"/>
      </w:pPr>
      <w:rPr>
        <w:rFonts w:ascii="OpenSymbol" w:hAnsi="OpenSymbol" w:cs="StarSymbol" w:hint="default"/>
        <w:sz w:val="18"/>
        <w:szCs w:val="18"/>
      </w:rPr>
    </w:lvl>
  </w:abstractNum>
  <w:abstractNum w:abstractNumId="2" w15:restartNumberingAfterBreak="0">
    <w:nsid w:val="633C30C0"/>
    <w:multiLevelType w:val="multilevel"/>
    <w:tmpl w:val="C41CE18A"/>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864A220-64D9-4FFF-B164-FF6A9534A01E}"/>
    <w:docVar w:name="dgnword-eventsink" w:val="2297118101664"/>
  </w:docVars>
  <w:rsids>
    <w:rsidRoot w:val="00A45724"/>
    <w:rsid w:val="0000069A"/>
    <w:rsid w:val="0000478D"/>
    <w:rsid w:val="00010D48"/>
    <w:rsid w:val="00015AD0"/>
    <w:rsid w:val="00032809"/>
    <w:rsid w:val="00036751"/>
    <w:rsid w:val="00042582"/>
    <w:rsid w:val="000519B3"/>
    <w:rsid w:val="00070C62"/>
    <w:rsid w:val="0008016B"/>
    <w:rsid w:val="000A0799"/>
    <w:rsid w:val="000A41A9"/>
    <w:rsid w:val="000D0470"/>
    <w:rsid w:val="000D06A4"/>
    <w:rsid w:val="000E17C1"/>
    <w:rsid w:val="000E38CC"/>
    <w:rsid w:val="000E7EE3"/>
    <w:rsid w:val="000F1BC4"/>
    <w:rsid w:val="00104B79"/>
    <w:rsid w:val="00107A45"/>
    <w:rsid w:val="00123755"/>
    <w:rsid w:val="0013741D"/>
    <w:rsid w:val="00137E8F"/>
    <w:rsid w:val="001437CA"/>
    <w:rsid w:val="00144339"/>
    <w:rsid w:val="00147EF4"/>
    <w:rsid w:val="001613B7"/>
    <w:rsid w:val="00163352"/>
    <w:rsid w:val="00167121"/>
    <w:rsid w:val="001739AF"/>
    <w:rsid w:val="00175F71"/>
    <w:rsid w:val="001851F6"/>
    <w:rsid w:val="001900FE"/>
    <w:rsid w:val="001A76B6"/>
    <w:rsid w:val="001B522A"/>
    <w:rsid w:val="001C66A9"/>
    <w:rsid w:val="001D45A6"/>
    <w:rsid w:val="001E021B"/>
    <w:rsid w:val="001E2417"/>
    <w:rsid w:val="001E3F7F"/>
    <w:rsid w:val="001F7225"/>
    <w:rsid w:val="0020300A"/>
    <w:rsid w:val="00203F35"/>
    <w:rsid w:val="00206FDB"/>
    <w:rsid w:val="00227195"/>
    <w:rsid w:val="00234F94"/>
    <w:rsid w:val="00235510"/>
    <w:rsid w:val="00241DA8"/>
    <w:rsid w:val="00242149"/>
    <w:rsid w:val="002438CF"/>
    <w:rsid w:val="00243F47"/>
    <w:rsid w:val="0024486E"/>
    <w:rsid w:val="002502E9"/>
    <w:rsid w:val="002511C0"/>
    <w:rsid w:val="00251D49"/>
    <w:rsid w:val="002617BE"/>
    <w:rsid w:val="00281D47"/>
    <w:rsid w:val="002870EC"/>
    <w:rsid w:val="00290DAC"/>
    <w:rsid w:val="00294FF8"/>
    <w:rsid w:val="002A3E8B"/>
    <w:rsid w:val="002A6E0E"/>
    <w:rsid w:val="002C2AC7"/>
    <w:rsid w:val="002C3303"/>
    <w:rsid w:val="002D47DD"/>
    <w:rsid w:val="002D7771"/>
    <w:rsid w:val="002E5A67"/>
    <w:rsid w:val="002E7D9C"/>
    <w:rsid w:val="002F5056"/>
    <w:rsid w:val="002F5168"/>
    <w:rsid w:val="002F69B4"/>
    <w:rsid w:val="00311569"/>
    <w:rsid w:val="00311E9E"/>
    <w:rsid w:val="00314A0A"/>
    <w:rsid w:val="0032599C"/>
    <w:rsid w:val="00331AF9"/>
    <w:rsid w:val="0034077B"/>
    <w:rsid w:val="00353745"/>
    <w:rsid w:val="0035521A"/>
    <w:rsid w:val="00355230"/>
    <w:rsid w:val="0036146F"/>
    <w:rsid w:val="00362982"/>
    <w:rsid w:val="003747F8"/>
    <w:rsid w:val="0037564C"/>
    <w:rsid w:val="00375F39"/>
    <w:rsid w:val="0038175E"/>
    <w:rsid w:val="003823BE"/>
    <w:rsid w:val="00395E20"/>
    <w:rsid w:val="003A25B1"/>
    <w:rsid w:val="003A71F8"/>
    <w:rsid w:val="003B6057"/>
    <w:rsid w:val="003C61B5"/>
    <w:rsid w:val="003C6657"/>
    <w:rsid w:val="003C78CF"/>
    <w:rsid w:val="003D0870"/>
    <w:rsid w:val="003D3715"/>
    <w:rsid w:val="003D7B43"/>
    <w:rsid w:val="003E4C6F"/>
    <w:rsid w:val="003E52FE"/>
    <w:rsid w:val="003F11D4"/>
    <w:rsid w:val="003F2046"/>
    <w:rsid w:val="003F4FC2"/>
    <w:rsid w:val="003F5A72"/>
    <w:rsid w:val="003F6569"/>
    <w:rsid w:val="00400C7C"/>
    <w:rsid w:val="004033CF"/>
    <w:rsid w:val="0042001A"/>
    <w:rsid w:val="004200EB"/>
    <w:rsid w:val="00427010"/>
    <w:rsid w:val="00432364"/>
    <w:rsid w:val="00446E6A"/>
    <w:rsid w:val="00451DD2"/>
    <w:rsid w:val="0045572A"/>
    <w:rsid w:val="0046343F"/>
    <w:rsid w:val="004674CE"/>
    <w:rsid w:val="00487ABF"/>
    <w:rsid w:val="004A63D4"/>
    <w:rsid w:val="004B079A"/>
    <w:rsid w:val="004B7EF6"/>
    <w:rsid w:val="004C090D"/>
    <w:rsid w:val="004C69C0"/>
    <w:rsid w:val="004F022B"/>
    <w:rsid w:val="004F6761"/>
    <w:rsid w:val="004F6EDE"/>
    <w:rsid w:val="004F766F"/>
    <w:rsid w:val="004F7A12"/>
    <w:rsid w:val="00501AC3"/>
    <w:rsid w:val="0050576B"/>
    <w:rsid w:val="00505D32"/>
    <w:rsid w:val="00527292"/>
    <w:rsid w:val="00535A1B"/>
    <w:rsid w:val="0054472B"/>
    <w:rsid w:val="005453EF"/>
    <w:rsid w:val="005457F2"/>
    <w:rsid w:val="00545BC7"/>
    <w:rsid w:val="005512AD"/>
    <w:rsid w:val="005604C4"/>
    <w:rsid w:val="00560D37"/>
    <w:rsid w:val="00564B81"/>
    <w:rsid w:val="00571F05"/>
    <w:rsid w:val="00573764"/>
    <w:rsid w:val="00574B19"/>
    <w:rsid w:val="00582767"/>
    <w:rsid w:val="0059086A"/>
    <w:rsid w:val="005B68ED"/>
    <w:rsid w:val="005C5387"/>
    <w:rsid w:val="005E4302"/>
    <w:rsid w:val="005E4C36"/>
    <w:rsid w:val="005F0531"/>
    <w:rsid w:val="005F7AD7"/>
    <w:rsid w:val="00607DCC"/>
    <w:rsid w:val="00624031"/>
    <w:rsid w:val="00625F29"/>
    <w:rsid w:val="0063081E"/>
    <w:rsid w:val="00640C06"/>
    <w:rsid w:val="00652F6F"/>
    <w:rsid w:val="00655368"/>
    <w:rsid w:val="006727EF"/>
    <w:rsid w:val="0068607B"/>
    <w:rsid w:val="00687096"/>
    <w:rsid w:val="006930D0"/>
    <w:rsid w:val="006A5867"/>
    <w:rsid w:val="006A7795"/>
    <w:rsid w:val="006A7EA8"/>
    <w:rsid w:val="006C041A"/>
    <w:rsid w:val="006C15B6"/>
    <w:rsid w:val="006D2165"/>
    <w:rsid w:val="006D2D87"/>
    <w:rsid w:val="006D7326"/>
    <w:rsid w:val="006D7426"/>
    <w:rsid w:val="006E2A76"/>
    <w:rsid w:val="006F3A6C"/>
    <w:rsid w:val="006F3CB7"/>
    <w:rsid w:val="006F5A73"/>
    <w:rsid w:val="006F6E05"/>
    <w:rsid w:val="007076BF"/>
    <w:rsid w:val="00722746"/>
    <w:rsid w:val="00726F2D"/>
    <w:rsid w:val="00735E6E"/>
    <w:rsid w:val="0073694F"/>
    <w:rsid w:val="00742BF4"/>
    <w:rsid w:val="007437F8"/>
    <w:rsid w:val="00751336"/>
    <w:rsid w:val="007578B4"/>
    <w:rsid w:val="007617BB"/>
    <w:rsid w:val="007632BD"/>
    <w:rsid w:val="007749BB"/>
    <w:rsid w:val="00783690"/>
    <w:rsid w:val="00785B94"/>
    <w:rsid w:val="00787AED"/>
    <w:rsid w:val="00793164"/>
    <w:rsid w:val="007932E1"/>
    <w:rsid w:val="007A31CE"/>
    <w:rsid w:val="007A4305"/>
    <w:rsid w:val="007C29AF"/>
    <w:rsid w:val="007C7689"/>
    <w:rsid w:val="007E3E07"/>
    <w:rsid w:val="007F04C0"/>
    <w:rsid w:val="00803EBA"/>
    <w:rsid w:val="008064A0"/>
    <w:rsid w:val="008074A6"/>
    <w:rsid w:val="00814490"/>
    <w:rsid w:val="00831000"/>
    <w:rsid w:val="0084102C"/>
    <w:rsid w:val="00841078"/>
    <w:rsid w:val="00843499"/>
    <w:rsid w:val="008521ED"/>
    <w:rsid w:val="0086364C"/>
    <w:rsid w:val="008744B0"/>
    <w:rsid w:val="008748C6"/>
    <w:rsid w:val="00875D8C"/>
    <w:rsid w:val="00885996"/>
    <w:rsid w:val="00892681"/>
    <w:rsid w:val="00893C05"/>
    <w:rsid w:val="008A3AE7"/>
    <w:rsid w:val="008B08C1"/>
    <w:rsid w:val="008C2ADD"/>
    <w:rsid w:val="008C7EF5"/>
    <w:rsid w:val="008D15D8"/>
    <w:rsid w:val="008D7118"/>
    <w:rsid w:val="008E1326"/>
    <w:rsid w:val="008E18D5"/>
    <w:rsid w:val="008E28FF"/>
    <w:rsid w:val="008E4D77"/>
    <w:rsid w:val="008F78DC"/>
    <w:rsid w:val="0090138D"/>
    <w:rsid w:val="00903174"/>
    <w:rsid w:val="009049BC"/>
    <w:rsid w:val="00906F8C"/>
    <w:rsid w:val="00913D04"/>
    <w:rsid w:val="00922E24"/>
    <w:rsid w:val="00924460"/>
    <w:rsid w:val="009366EC"/>
    <w:rsid w:val="00952739"/>
    <w:rsid w:val="00960383"/>
    <w:rsid w:val="00967C71"/>
    <w:rsid w:val="009707B5"/>
    <w:rsid w:val="009827AC"/>
    <w:rsid w:val="00991247"/>
    <w:rsid w:val="00997C1E"/>
    <w:rsid w:val="009A4C6D"/>
    <w:rsid w:val="009A6A54"/>
    <w:rsid w:val="009B6CB3"/>
    <w:rsid w:val="009D17FD"/>
    <w:rsid w:val="009E3F80"/>
    <w:rsid w:val="00A00573"/>
    <w:rsid w:val="00A03516"/>
    <w:rsid w:val="00A05BBB"/>
    <w:rsid w:val="00A11BFC"/>
    <w:rsid w:val="00A2106A"/>
    <w:rsid w:val="00A23BA8"/>
    <w:rsid w:val="00A40538"/>
    <w:rsid w:val="00A45724"/>
    <w:rsid w:val="00A46C9E"/>
    <w:rsid w:val="00A71BBC"/>
    <w:rsid w:val="00A752D7"/>
    <w:rsid w:val="00A757C1"/>
    <w:rsid w:val="00A82D27"/>
    <w:rsid w:val="00A85B27"/>
    <w:rsid w:val="00A94351"/>
    <w:rsid w:val="00A9786C"/>
    <w:rsid w:val="00AA0350"/>
    <w:rsid w:val="00AA4B29"/>
    <w:rsid w:val="00AB7D3A"/>
    <w:rsid w:val="00AB7F94"/>
    <w:rsid w:val="00AC5333"/>
    <w:rsid w:val="00AE5E78"/>
    <w:rsid w:val="00AF1A2C"/>
    <w:rsid w:val="00AF38E5"/>
    <w:rsid w:val="00B043C2"/>
    <w:rsid w:val="00B06B76"/>
    <w:rsid w:val="00B14661"/>
    <w:rsid w:val="00B15659"/>
    <w:rsid w:val="00B20F46"/>
    <w:rsid w:val="00B22308"/>
    <w:rsid w:val="00B368BD"/>
    <w:rsid w:val="00B412FD"/>
    <w:rsid w:val="00B42E8C"/>
    <w:rsid w:val="00B4709D"/>
    <w:rsid w:val="00B652A4"/>
    <w:rsid w:val="00B768BA"/>
    <w:rsid w:val="00B7733B"/>
    <w:rsid w:val="00B809E4"/>
    <w:rsid w:val="00B85948"/>
    <w:rsid w:val="00B903DE"/>
    <w:rsid w:val="00BA090A"/>
    <w:rsid w:val="00BB1668"/>
    <w:rsid w:val="00BB59D9"/>
    <w:rsid w:val="00BB68A9"/>
    <w:rsid w:val="00BC01A0"/>
    <w:rsid w:val="00BC38B7"/>
    <w:rsid w:val="00BD09E1"/>
    <w:rsid w:val="00BD4EBC"/>
    <w:rsid w:val="00BD59D1"/>
    <w:rsid w:val="00BD644E"/>
    <w:rsid w:val="00BF1406"/>
    <w:rsid w:val="00BF23AA"/>
    <w:rsid w:val="00BF3BA4"/>
    <w:rsid w:val="00C02E02"/>
    <w:rsid w:val="00C162A3"/>
    <w:rsid w:val="00C24C6F"/>
    <w:rsid w:val="00C30B86"/>
    <w:rsid w:val="00C32624"/>
    <w:rsid w:val="00C51FD3"/>
    <w:rsid w:val="00C5441E"/>
    <w:rsid w:val="00C6197E"/>
    <w:rsid w:val="00C65310"/>
    <w:rsid w:val="00C80553"/>
    <w:rsid w:val="00C80C4F"/>
    <w:rsid w:val="00C91B3C"/>
    <w:rsid w:val="00C96AEB"/>
    <w:rsid w:val="00CB1CF0"/>
    <w:rsid w:val="00CB3BE4"/>
    <w:rsid w:val="00CB522F"/>
    <w:rsid w:val="00CB70B6"/>
    <w:rsid w:val="00CD3702"/>
    <w:rsid w:val="00CF315A"/>
    <w:rsid w:val="00D07590"/>
    <w:rsid w:val="00D10687"/>
    <w:rsid w:val="00D141F3"/>
    <w:rsid w:val="00D14DD0"/>
    <w:rsid w:val="00D26F96"/>
    <w:rsid w:val="00D32AEE"/>
    <w:rsid w:val="00D441C9"/>
    <w:rsid w:val="00D55552"/>
    <w:rsid w:val="00D77AA9"/>
    <w:rsid w:val="00D77C6B"/>
    <w:rsid w:val="00D83A21"/>
    <w:rsid w:val="00DA0409"/>
    <w:rsid w:val="00DA22CB"/>
    <w:rsid w:val="00DB4E97"/>
    <w:rsid w:val="00DB4F00"/>
    <w:rsid w:val="00DB60D1"/>
    <w:rsid w:val="00DC02D3"/>
    <w:rsid w:val="00DC3983"/>
    <w:rsid w:val="00DD4F2E"/>
    <w:rsid w:val="00DD7F00"/>
    <w:rsid w:val="00DE22A0"/>
    <w:rsid w:val="00DF2D9D"/>
    <w:rsid w:val="00DF6C44"/>
    <w:rsid w:val="00E10A9E"/>
    <w:rsid w:val="00E1562B"/>
    <w:rsid w:val="00E172EB"/>
    <w:rsid w:val="00E27CC4"/>
    <w:rsid w:val="00E31AF8"/>
    <w:rsid w:val="00E429C6"/>
    <w:rsid w:val="00E72B7E"/>
    <w:rsid w:val="00E74DF9"/>
    <w:rsid w:val="00E812A8"/>
    <w:rsid w:val="00E87A1F"/>
    <w:rsid w:val="00E903A0"/>
    <w:rsid w:val="00EA7997"/>
    <w:rsid w:val="00EC16C7"/>
    <w:rsid w:val="00ED4550"/>
    <w:rsid w:val="00ED71FE"/>
    <w:rsid w:val="00EF2A91"/>
    <w:rsid w:val="00F01599"/>
    <w:rsid w:val="00F051DF"/>
    <w:rsid w:val="00F11A1E"/>
    <w:rsid w:val="00F15338"/>
    <w:rsid w:val="00F16A9E"/>
    <w:rsid w:val="00F31B9B"/>
    <w:rsid w:val="00F33635"/>
    <w:rsid w:val="00F34F0F"/>
    <w:rsid w:val="00F37380"/>
    <w:rsid w:val="00F46A42"/>
    <w:rsid w:val="00F50832"/>
    <w:rsid w:val="00F673C0"/>
    <w:rsid w:val="00F72EA4"/>
    <w:rsid w:val="00F858A1"/>
    <w:rsid w:val="00F9581C"/>
    <w:rsid w:val="00F96895"/>
    <w:rsid w:val="00FA3D21"/>
    <w:rsid w:val="00FA47E6"/>
    <w:rsid w:val="00FB07BC"/>
    <w:rsid w:val="00FC5061"/>
    <w:rsid w:val="00FD4E97"/>
    <w:rsid w:val="00FE44E3"/>
    <w:rsid w:val="00FE5EF9"/>
    <w:rsid w:val="00FF2DC9"/>
    <w:rsid w:val="00FF6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A14E84"/>
  <w15:chartTrackingRefBased/>
  <w15:docId w15:val="{0D386238-2F62-7D4C-9A78-E879D272E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00A"/>
    <w:rPr>
      <w:rFonts w:ascii="Times New Roman" w:eastAsia="Times New Roman" w:hAnsi="Times New Roman" w:cs="Times New Roman"/>
      <w:lang w:eastAsia="en-GB"/>
    </w:rPr>
  </w:style>
  <w:style w:type="paragraph" w:styleId="Heading1">
    <w:name w:val="heading 1"/>
    <w:basedOn w:val="Normal"/>
    <w:next w:val="BodyText"/>
    <w:link w:val="Heading1Char"/>
    <w:qFormat/>
    <w:rsid w:val="00FB07BC"/>
    <w:pPr>
      <w:keepNext/>
      <w:widowControl w:val="0"/>
      <w:numPr>
        <w:numId w:val="2"/>
      </w:numPr>
      <w:suppressAutoHyphens/>
      <w:spacing w:before="240" w:after="120"/>
      <w:outlineLvl w:val="0"/>
    </w:pPr>
    <w:rPr>
      <w:rFonts w:ascii="Arial" w:eastAsia="Lucida Sans Unicode" w:hAnsi="Arial" w:cs="Tahoma"/>
      <w:b/>
      <w:bCs/>
      <w:kern w:val="2"/>
      <w:sz w:val="32"/>
      <w:szCs w:val="32"/>
      <w:lang w:val="en-US"/>
    </w:rPr>
  </w:style>
  <w:style w:type="paragraph" w:styleId="Heading2">
    <w:name w:val="heading 2"/>
    <w:basedOn w:val="Normal"/>
    <w:next w:val="BodyText"/>
    <w:link w:val="Heading2Char"/>
    <w:qFormat/>
    <w:rsid w:val="00FB07BC"/>
    <w:pPr>
      <w:keepNext/>
      <w:widowControl w:val="0"/>
      <w:numPr>
        <w:ilvl w:val="1"/>
        <w:numId w:val="2"/>
      </w:numPr>
      <w:suppressAutoHyphens/>
      <w:spacing w:before="240" w:after="120"/>
      <w:outlineLvl w:val="1"/>
    </w:pPr>
    <w:rPr>
      <w:rFonts w:ascii="Arial" w:eastAsia="Lucida Sans Unicode" w:hAnsi="Arial" w:cs="Tahoma"/>
      <w:b/>
      <w:bCs/>
      <w:i/>
      <w:iCs/>
      <w:kern w:val="2"/>
      <w:sz w:val="28"/>
      <w:szCs w:val="28"/>
      <w:lang w:val="en-US"/>
    </w:rPr>
  </w:style>
  <w:style w:type="paragraph" w:styleId="Heading3">
    <w:name w:val="heading 3"/>
    <w:basedOn w:val="Normal"/>
    <w:next w:val="BodyText"/>
    <w:link w:val="Heading3Char"/>
    <w:qFormat/>
    <w:rsid w:val="00FB07BC"/>
    <w:pPr>
      <w:keepNext/>
      <w:widowControl w:val="0"/>
      <w:numPr>
        <w:ilvl w:val="2"/>
        <w:numId w:val="2"/>
      </w:numPr>
      <w:suppressAutoHyphens/>
      <w:spacing w:before="240" w:after="120"/>
      <w:outlineLvl w:val="2"/>
    </w:pPr>
    <w:rPr>
      <w:rFonts w:ascii="Arial" w:eastAsia="Lucida Sans Unicode" w:hAnsi="Arial" w:cs="Tahoma"/>
      <w:b/>
      <w:bCs/>
      <w:kern w:val="2"/>
      <w:sz w:val="28"/>
      <w:szCs w:val="28"/>
      <w:lang w:val="en-US"/>
    </w:rPr>
  </w:style>
  <w:style w:type="paragraph" w:styleId="Heading4">
    <w:name w:val="heading 4"/>
    <w:basedOn w:val="Normal"/>
    <w:next w:val="BodyText"/>
    <w:link w:val="Heading4Char"/>
    <w:qFormat/>
    <w:rsid w:val="00FB07BC"/>
    <w:pPr>
      <w:keepNext/>
      <w:widowControl w:val="0"/>
      <w:numPr>
        <w:ilvl w:val="3"/>
        <w:numId w:val="2"/>
      </w:numPr>
      <w:suppressAutoHyphens/>
      <w:spacing w:before="240" w:after="120"/>
      <w:outlineLvl w:val="3"/>
    </w:pPr>
    <w:rPr>
      <w:rFonts w:ascii="Arial" w:eastAsia="Lucida Sans Unicode" w:hAnsi="Arial" w:cs="Tahoma"/>
      <w:b/>
      <w:bCs/>
      <w:i/>
      <w:iCs/>
      <w:kern w:val="2"/>
      <w:lang w:val="en-US"/>
    </w:rPr>
  </w:style>
  <w:style w:type="paragraph" w:styleId="Heading5">
    <w:name w:val="heading 5"/>
    <w:basedOn w:val="Normal"/>
    <w:next w:val="BodyText"/>
    <w:link w:val="Heading5Char"/>
    <w:qFormat/>
    <w:rsid w:val="00FB07BC"/>
    <w:pPr>
      <w:keepNext/>
      <w:widowControl w:val="0"/>
      <w:numPr>
        <w:ilvl w:val="4"/>
        <w:numId w:val="2"/>
      </w:numPr>
      <w:suppressAutoHyphens/>
      <w:spacing w:before="240" w:after="120"/>
      <w:outlineLvl w:val="4"/>
    </w:pPr>
    <w:rPr>
      <w:rFonts w:ascii="Arial" w:eastAsia="Lucida Sans Unicode" w:hAnsi="Arial" w:cs="Tahoma"/>
      <w:b/>
      <w:bCs/>
      <w:kern w:val="2"/>
      <w:lang w:val="en-US"/>
    </w:rPr>
  </w:style>
  <w:style w:type="paragraph" w:styleId="Heading6">
    <w:name w:val="heading 6"/>
    <w:basedOn w:val="Normal"/>
    <w:next w:val="BodyText"/>
    <w:link w:val="Heading6Char"/>
    <w:qFormat/>
    <w:rsid w:val="00FB07BC"/>
    <w:pPr>
      <w:keepNext/>
      <w:widowControl w:val="0"/>
      <w:numPr>
        <w:ilvl w:val="5"/>
        <w:numId w:val="2"/>
      </w:numPr>
      <w:suppressAutoHyphens/>
      <w:spacing w:before="240" w:after="120"/>
      <w:outlineLvl w:val="5"/>
    </w:pPr>
    <w:rPr>
      <w:rFonts w:ascii="Arial" w:eastAsia="Lucida Sans Unicode" w:hAnsi="Arial" w:cs="Tahoma"/>
      <w:b/>
      <w:bCs/>
      <w:kern w:val="2"/>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7689"/>
    <w:rPr>
      <w:color w:val="0563C1" w:themeColor="hyperlink"/>
      <w:u w:val="single"/>
    </w:rPr>
  </w:style>
  <w:style w:type="table" w:styleId="TableGrid">
    <w:name w:val="Table Grid"/>
    <w:basedOn w:val="TableNormal"/>
    <w:uiPriority w:val="39"/>
    <w:rsid w:val="00AA0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A03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rsid w:val="00FB07BC"/>
    <w:rPr>
      <w:rFonts w:ascii="Arial" w:eastAsia="Lucida Sans Unicode" w:hAnsi="Arial" w:cs="Tahoma"/>
      <w:b/>
      <w:bCs/>
      <w:kern w:val="2"/>
      <w:sz w:val="32"/>
      <w:szCs w:val="32"/>
      <w:lang w:val="en-US" w:eastAsia="en-GB"/>
    </w:rPr>
  </w:style>
  <w:style w:type="character" w:customStyle="1" w:styleId="Heading2Char">
    <w:name w:val="Heading 2 Char"/>
    <w:basedOn w:val="DefaultParagraphFont"/>
    <w:link w:val="Heading2"/>
    <w:rsid w:val="00FB07BC"/>
    <w:rPr>
      <w:rFonts w:ascii="Arial" w:eastAsia="Lucida Sans Unicode" w:hAnsi="Arial" w:cs="Tahoma"/>
      <w:b/>
      <w:bCs/>
      <w:i/>
      <w:iCs/>
      <w:kern w:val="2"/>
      <w:sz w:val="28"/>
      <w:szCs w:val="28"/>
      <w:lang w:val="en-US" w:eastAsia="en-GB"/>
    </w:rPr>
  </w:style>
  <w:style w:type="character" w:customStyle="1" w:styleId="Heading3Char">
    <w:name w:val="Heading 3 Char"/>
    <w:basedOn w:val="DefaultParagraphFont"/>
    <w:link w:val="Heading3"/>
    <w:rsid w:val="00FB07BC"/>
    <w:rPr>
      <w:rFonts w:ascii="Arial" w:eastAsia="Lucida Sans Unicode" w:hAnsi="Arial" w:cs="Tahoma"/>
      <w:b/>
      <w:bCs/>
      <w:kern w:val="2"/>
      <w:sz w:val="28"/>
      <w:szCs w:val="28"/>
      <w:lang w:val="en-US" w:eastAsia="en-GB"/>
    </w:rPr>
  </w:style>
  <w:style w:type="character" w:customStyle="1" w:styleId="Heading4Char">
    <w:name w:val="Heading 4 Char"/>
    <w:basedOn w:val="DefaultParagraphFont"/>
    <w:link w:val="Heading4"/>
    <w:rsid w:val="00FB07BC"/>
    <w:rPr>
      <w:rFonts w:ascii="Arial" w:eastAsia="Lucida Sans Unicode" w:hAnsi="Arial" w:cs="Tahoma"/>
      <w:b/>
      <w:bCs/>
      <w:i/>
      <w:iCs/>
      <w:kern w:val="2"/>
      <w:lang w:val="en-US" w:eastAsia="en-GB"/>
    </w:rPr>
  </w:style>
  <w:style w:type="character" w:customStyle="1" w:styleId="Heading5Char">
    <w:name w:val="Heading 5 Char"/>
    <w:basedOn w:val="DefaultParagraphFont"/>
    <w:link w:val="Heading5"/>
    <w:rsid w:val="00FB07BC"/>
    <w:rPr>
      <w:rFonts w:ascii="Arial" w:eastAsia="Lucida Sans Unicode" w:hAnsi="Arial" w:cs="Tahoma"/>
      <w:b/>
      <w:bCs/>
      <w:kern w:val="2"/>
      <w:lang w:val="en-US" w:eastAsia="en-GB"/>
    </w:rPr>
  </w:style>
  <w:style w:type="character" w:customStyle="1" w:styleId="Heading6Char">
    <w:name w:val="Heading 6 Char"/>
    <w:basedOn w:val="DefaultParagraphFont"/>
    <w:link w:val="Heading6"/>
    <w:rsid w:val="00FB07BC"/>
    <w:rPr>
      <w:rFonts w:ascii="Arial" w:eastAsia="Lucida Sans Unicode" w:hAnsi="Arial" w:cs="Tahoma"/>
      <w:b/>
      <w:bCs/>
      <w:kern w:val="2"/>
      <w:sz w:val="21"/>
      <w:szCs w:val="21"/>
      <w:lang w:val="en-US" w:eastAsia="en-GB"/>
    </w:rPr>
  </w:style>
  <w:style w:type="paragraph" w:styleId="BodyText">
    <w:name w:val="Body Text"/>
    <w:basedOn w:val="Normal"/>
    <w:link w:val="BodyTextChar"/>
    <w:rsid w:val="00FB07BC"/>
    <w:pPr>
      <w:widowControl w:val="0"/>
      <w:suppressAutoHyphens/>
      <w:spacing w:before="86" w:after="86"/>
    </w:pPr>
    <w:rPr>
      <w:rFonts w:eastAsia="Lucida Sans Unicode" w:cs="Tahoma"/>
      <w:kern w:val="2"/>
      <w:lang w:val="en-US"/>
    </w:rPr>
  </w:style>
  <w:style w:type="character" w:customStyle="1" w:styleId="BodyTextChar">
    <w:name w:val="Body Text Char"/>
    <w:basedOn w:val="DefaultParagraphFont"/>
    <w:link w:val="BodyText"/>
    <w:rsid w:val="00FB07BC"/>
    <w:rPr>
      <w:rFonts w:ascii="Times New Roman" w:eastAsia="Lucida Sans Unicode" w:hAnsi="Times New Roman" w:cs="Tahoma"/>
      <w:kern w:val="2"/>
      <w:lang w:val="en-US" w:eastAsia="en-GB"/>
    </w:rPr>
  </w:style>
  <w:style w:type="paragraph" w:customStyle="1" w:styleId="Firstparagraph">
    <w:name w:val="First paragraph"/>
    <w:basedOn w:val="Normal"/>
    <w:next w:val="BodyText"/>
    <w:qFormat/>
    <w:rsid w:val="00FB07BC"/>
    <w:pPr>
      <w:widowControl w:val="0"/>
      <w:suppressAutoHyphens/>
    </w:pPr>
    <w:rPr>
      <w:rFonts w:eastAsia="Lucida Sans Unicode" w:cs="Tahoma"/>
      <w:kern w:val="2"/>
      <w:lang w:val="en-US"/>
    </w:rPr>
  </w:style>
  <w:style w:type="paragraph" w:styleId="BalloonText">
    <w:name w:val="Balloon Text"/>
    <w:basedOn w:val="Normal"/>
    <w:link w:val="BalloonTextChar"/>
    <w:uiPriority w:val="99"/>
    <w:semiHidden/>
    <w:unhideWhenUsed/>
    <w:rsid w:val="00AA4B29"/>
    <w:rPr>
      <w:rFonts w:eastAsia="Calibri"/>
      <w:sz w:val="18"/>
      <w:szCs w:val="18"/>
    </w:rPr>
  </w:style>
  <w:style w:type="character" w:customStyle="1" w:styleId="BalloonTextChar">
    <w:name w:val="Balloon Text Char"/>
    <w:basedOn w:val="DefaultParagraphFont"/>
    <w:link w:val="BalloonText"/>
    <w:uiPriority w:val="99"/>
    <w:semiHidden/>
    <w:rsid w:val="00AA4B29"/>
    <w:rPr>
      <w:rFonts w:ascii="Times New Roman" w:eastAsia="Calibri" w:hAnsi="Times New Roman" w:cs="Times New Roman"/>
      <w:sz w:val="18"/>
      <w:szCs w:val="18"/>
      <w:lang w:eastAsia="en-GB"/>
    </w:rPr>
  </w:style>
  <w:style w:type="character" w:styleId="CommentReference">
    <w:name w:val="annotation reference"/>
    <w:basedOn w:val="DefaultParagraphFont"/>
    <w:uiPriority w:val="99"/>
    <w:semiHidden/>
    <w:unhideWhenUsed/>
    <w:rsid w:val="00B652A4"/>
    <w:rPr>
      <w:sz w:val="16"/>
      <w:szCs w:val="16"/>
    </w:rPr>
  </w:style>
  <w:style w:type="paragraph" w:styleId="CommentText">
    <w:name w:val="annotation text"/>
    <w:basedOn w:val="Normal"/>
    <w:link w:val="CommentTextChar"/>
    <w:uiPriority w:val="99"/>
    <w:unhideWhenUsed/>
    <w:rsid w:val="00B652A4"/>
    <w:rPr>
      <w:rFonts w:ascii="Calibri" w:eastAsia="Calibri" w:hAnsi="Calibri" w:cs="Arial"/>
      <w:sz w:val="20"/>
      <w:szCs w:val="20"/>
    </w:rPr>
  </w:style>
  <w:style w:type="character" w:customStyle="1" w:styleId="CommentTextChar">
    <w:name w:val="Comment Text Char"/>
    <w:basedOn w:val="DefaultParagraphFont"/>
    <w:link w:val="CommentText"/>
    <w:uiPriority w:val="99"/>
    <w:rsid w:val="00B652A4"/>
    <w:rPr>
      <w:rFonts w:ascii="Calibri" w:eastAsia="Calibri" w:hAnsi="Calibri" w:cs="Arial"/>
      <w:sz w:val="20"/>
      <w:szCs w:val="20"/>
      <w:lang w:eastAsia="en-GB"/>
    </w:rPr>
  </w:style>
  <w:style w:type="paragraph" w:styleId="CommentSubject">
    <w:name w:val="annotation subject"/>
    <w:basedOn w:val="CommentText"/>
    <w:next w:val="CommentText"/>
    <w:link w:val="CommentSubjectChar"/>
    <w:uiPriority w:val="99"/>
    <w:semiHidden/>
    <w:unhideWhenUsed/>
    <w:rsid w:val="00B652A4"/>
    <w:rPr>
      <w:b/>
      <w:bCs/>
    </w:rPr>
  </w:style>
  <w:style w:type="character" w:customStyle="1" w:styleId="CommentSubjectChar">
    <w:name w:val="Comment Subject Char"/>
    <w:basedOn w:val="CommentTextChar"/>
    <w:link w:val="CommentSubject"/>
    <w:uiPriority w:val="99"/>
    <w:semiHidden/>
    <w:rsid w:val="00B652A4"/>
    <w:rPr>
      <w:rFonts w:ascii="Calibri" w:eastAsia="Calibri" w:hAnsi="Calibri" w:cs="Arial"/>
      <w:b/>
      <w:bCs/>
      <w:sz w:val="20"/>
      <w:szCs w:val="20"/>
      <w:lang w:eastAsia="en-GB"/>
    </w:rPr>
  </w:style>
  <w:style w:type="character" w:styleId="FollowedHyperlink">
    <w:name w:val="FollowedHyperlink"/>
    <w:basedOn w:val="DefaultParagraphFont"/>
    <w:uiPriority w:val="99"/>
    <w:semiHidden/>
    <w:unhideWhenUsed/>
    <w:rsid w:val="00281D47"/>
    <w:rPr>
      <w:color w:val="954F72" w:themeColor="followedHyperlink"/>
      <w:u w:val="single"/>
    </w:rPr>
  </w:style>
  <w:style w:type="character" w:styleId="PlaceholderText">
    <w:name w:val="Placeholder Text"/>
    <w:basedOn w:val="DefaultParagraphFont"/>
    <w:uiPriority w:val="99"/>
    <w:semiHidden/>
    <w:rsid w:val="00DA0409"/>
    <w:rPr>
      <w:color w:val="808080"/>
    </w:rPr>
  </w:style>
  <w:style w:type="character" w:customStyle="1" w:styleId="apple-converted-space">
    <w:name w:val="apple-converted-space"/>
    <w:basedOn w:val="DefaultParagraphFont"/>
    <w:rsid w:val="008C2ADD"/>
  </w:style>
  <w:style w:type="character" w:styleId="Emphasis">
    <w:name w:val="Emphasis"/>
    <w:basedOn w:val="DefaultParagraphFont"/>
    <w:uiPriority w:val="20"/>
    <w:qFormat/>
    <w:rsid w:val="008C2ADD"/>
    <w:rPr>
      <w:i/>
      <w:iCs/>
    </w:rPr>
  </w:style>
  <w:style w:type="paragraph" w:styleId="HTMLPreformatted">
    <w:name w:val="HTML Preformatted"/>
    <w:basedOn w:val="Normal"/>
    <w:link w:val="HTMLPreformattedChar"/>
    <w:uiPriority w:val="99"/>
    <w:semiHidden/>
    <w:unhideWhenUsed/>
    <w:rsid w:val="00A943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94351"/>
    <w:rPr>
      <w:rFonts w:ascii="Courier New" w:eastAsia="Times New Roman" w:hAnsi="Courier New" w:cs="Courier New"/>
      <w:sz w:val="20"/>
      <w:szCs w:val="20"/>
      <w:lang w:eastAsia="en-GB"/>
    </w:rPr>
  </w:style>
  <w:style w:type="character" w:customStyle="1" w:styleId="UnresolvedMention">
    <w:name w:val="Unresolved Mention"/>
    <w:basedOn w:val="DefaultParagraphFont"/>
    <w:uiPriority w:val="99"/>
    <w:semiHidden/>
    <w:unhideWhenUsed/>
    <w:rsid w:val="00F34F0F"/>
    <w:rPr>
      <w:color w:val="605E5C"/>
      <w:shd w:val="clear" w:color="auto" w:fill="E1DFDD"/>
    </w:rPr>
  </w:style>
  <w:style w:type="paragraph" w:styleId="Footer">
    <w:name w:val="footer"/>
    <w:basedOn w:val="Normal"/>
    <w:link w:val="FooterChar"/>
    <w:uiPriority w:val="99"/>
    <w:unhideWhenUsed/>
    <w:rsid w:val="00C30B86"/>
    <w:pPr>
      <w:tabs>
        <w:tab w:val="center" w:pos="4513"/>
        <w:tab w:val="right" w:pos="9026"/>
      </w:tabs>
    </w:pPr>
  </w:style>
  <w:style w:type="character" w:customStyle="1" w:styleId="FooterChar">
    <w:name w:val="Footer Char"/>
    <w:basedOn w:val="DefaultParagraphFont"/>
    <w:link w:val="Footer"/>
    <w:uiPriority w:val="99"/>
    <w:rsid w:val="00C30B86"/>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C30B86"/>
  </w:style>
  <w:style w:type="paragraph" w:styleId="Header">
    <w:name w:val="header"/>
    <w:basedOn w:val="Normal"/>
    <w:link w:val="HeaderChar"/>
    <w:uiPriority w:val="99"/>
    <w:unhideWhenUsed/>
    <w:rsid w:val="00C30B86"/>
    <w:pPr>
      <w:tabs>
        <w:tab w:val="center" w:pos="4513"/>
        <w:tab w:val="right" w:pos="9026"/>
      </w:tabs>
    </w:pPr>
  </w:style>
  <w:style w:type="character" w:customStyle="1" w:styleId="HeaderChar">
    <w:name w:val="Header Char"/>
    <w:basedOn w:val="DefaultParagraphFont"/>
    <w:link w:val="Header"/>
    <w:uiPriority w:val="99"/>
    <w:rsid w:val="00C30B86"/>
    <w:rPr>
      <w:rFonts w:ascii="Times New Roman" w:eastAsia="Times New Roman" w:hAnsi="Times New Roman" w:cs="Times New Roman"/>
      <w:lang w:eastAsia="en-GB"/>
    </w:rPr>
  </w:style>
  <w:style w:type="paragraph" w:customStyle="1" w:styleId="FigureCaption">
    <w:name w:val="FigureCaption"/>
    <w:basedOn w:val="Caption"/>
    <w:qFormat/>
    <w:rsid w:val="00C30B86"/>
    <w:pPr>
      <w:widowControl w:val="0"/>
      <w:suppressLineNumbers/>
      <w:suppressAutoHyphens/>
      <w:spacing w:before="120" w:after="120"/>
    </w:pPr>
    <w:rPr>
      <w:rFonts w:eastAsia="Lucida Sans Unicode" w:cs="Tahoma"/>
      <w:color w:val="auto"/>
      <w:kern w:val="2"/>
      <w:sz w:val="24"/>
      <w:szCs w:val="24"/>
      <w:lang w:val="en-US"/>
    </w:rPr>
  </w:style>
  <w:style w:type="paragraph" w:styleId="Caption">
    <w:name w:val="caption"/>
    <w:basedOn w:val="Normal"/>
    <w:next w:val="Normal"/>
    <w:uiPriority w:val="35"/>
    <w:semiHidden/>
    <w:unhideWhenUsed/>
    <w:qFormat/>
    <w:rsid w:val="00C30B86"/>
    <w:pPr>
      <w:spacing w:after="200"/>
    </w:pPr>
    <w:rPr>
      <w:i/>
      <w:iCs/>
      <w:color w:val="44546A" w:themeColor="text2"/>
      <w:sz w:val="18"/>
      <w:szCs w:val="18"/>
    </w:rPr>
  </w:style>
  <w:style w:type="paragraph" w:customStyle="1" w:styleId="TableContents">
    <w:name w:val="Table Contents"/>
    <w:basedOn w:val="Normal"/>
    <w:qFormat/>
    <w:rsid w:val="00C30B86"/>
    <w:pPr>
      <w:widowControl w:val="0"/>
      <w:suppressLineNumbers/>
      <w:suppressAutoHyphens/>
      <w:ind w:left="43" w:right="43"/>
    </w:pPr>
    <w:rPr>
      <w:rFonts w:eastAsia="Lucida Sans Unicode" w:cs="Tahoma"/>
      <w:kern w:val="2"/>
      <w:lang w:val="en-US"/>
    </w:rPr>
  </w:style>
  <w:style w:type="paragraph" w:customStyle="1" w:styleId="TableHeading">
    <w:name w:val="Table Heading"/>
    <w:basedOn w:val="TableContents"/>
    <w:qFormat/>
    <w:rsid w:val="00C30B86"/>
    <w:rPr>
      <w:b/>
      <w:bCs/>
    </w:rPr>
  </w:style>
  <w:style w:type="table" w:styleId="TableGridLight">
    <w:name w:val="Grid Table Light"/>
    <w:basedOn w:val="TableNormal"/>
    <w:uiPriority w:val="40"/>
    <w:rsid w:val="00C30B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FF2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66602">
      <w:bodyDiv w:val="1"/>
      <w:marLeft w:val="0"/>
      <w:marRight w:val="0"/>
      <w:marTop w:val="0"/>
      <w:marBottom w:val="0"/>
      <w:divBdr>
        <w:top w:val="none" w:sz="0" w:space="0" w:color="auto"/>
        <w:left w:val="none" w:sz="0" w:space="0" w:color="auto"/>
        <w:bottom w:val="none" w:sz="0" w:space="0" w:color="auto"/>
        <w:right w:val="none" w:sz="0" w:space="0" w:color="auto"/>
      </w:divBdr>
    </w:div>
    <w:div w:id="170879315">
      <w:bodyDiv w:val="1"/>
      <w:marLeft w:val="0"/>
      <w:marRight w:val="0"/>
      <w:marTop w:val="0"/>
      <w:marBottom w:val="0"/>
      <w:divBdr>
        <w:top w:val="none" w:sz="0" w:space="0" w:color="auto"/>
        <w:left w:val="none" w:sz="0" w:space="0" w:color="auto"/>
        <w:bottom w:val="none" w:sz="0" w:space="0" w:color="auto"/>
        <w:right w:val="none" w:sz="0" w:space="0" w:color="auto"/>
      </w:divBdr>
    </w:div>
    <w:div w:id="281229196">
      <w:bodyDiv w:val="1"/>
      <w:marLeft w:val="0"/>
      <w:marRight w:val="0"/>
      <w:marTop w:val="0"/>
      <w:marBottom w:val="0"/>
      <w:divBdr>
        <w:top w:val="none" w:sz="0" w:space="0" w:color="auto"/>
        <w:left w:val="none" w:sz="0" w:space="0" w:color="auto"/>
        <w:bottom w:val="none" w:sz="0" w:space="0" w:color="auto"/>
        <w:right w:val="none" w:sz="0" w:space="0" w:color="auto"/>
      </w:divBdr>
    </w:div>
    <w:div w:id="481430659">
      <w:bodyDiv w:val="1"/>
      <w:marLeft w:val="0"/>
      <w:marRight w:val="0"/>
      <w:marTop w:val="0"/>
      <w:marBottom w:val="0"/>
      <w:divBdr>
        <w:top w:val="none" w:sz="0" w:space="0" w:color="auto"/>
        <w:left w:val="none" w:sz="0" w:space="0" w:color="auto"/>
        <w:bottom w:val="none" w:sz="0" w:space="0" w:color="auto"/>
        <w:right w:val="none" w:sz="0" w:space="0" w:color="auto"/>
      </w:divBdr>
    </w:div>
    <w:div w:id="856382911">
      <w:bodyDiv w:val="1"/>
      <w:marLeft w:val="0"/>
      <w:marRight w:val="0"/>
      <w:marTop w:val="0"/>
      <w:marBottom w:val="0"/>
      <w:divBdr>
        <w:top w:val="none" w:sz="0" w:space="0" w:color="auto"/>
        <w:left w:val="none" w:sz="0" w:space="0" w:color="auto"/>
        <w:bottom w:val="none" w:sz="0" w:space="0" w:color="auto"/>
        <w:right w:val="none" w:sz="0" w:space="0" w:color="auto"/>
      </w:divBdr>
    </w:div>
    <w:div w:id="1012758616">
      <w:bodyDiv w:val="1"/>
      <w:marLeft w:val="0"/>
      <w:marRight w:val="0"/>
      <w:marTop w:val="0"/>
      <w:marBottom w:val="0"/>
      <w:divBdr>
        <w:top w:val="none" w:sz="0" w:space="0" w:color="auto"/>
        <w:left w:val="none" w:sz="0" w:space="0" w:color="auto"/>
        <w:bottom w:val="none" w:sz="0" w:space="0" w:color="auto"/>
        <w:right w:val="none" w:sz="0" w:space="0" w:color="auto"/>
      </w:divBdr>
    </w:div>
    <w:div w:id="1120151100">
      <w:bodyDiv w:val="1"/>
      <w:marLeft w:val="0"/>
      <w:marRight w:val="0"/>
      <w:marTop w:val="0"/>
      <w:marBottom w:val="0"/>
      <w:divBdr>
        <w:top w:val="none" w:sz="0" w:space="0" w:color="auto"/>
        <w:left w:val="none" w:sz="0" w:space="0" w:color="auto"/>
        <w:bottom w:val="none" w:sz="0" w:space="0" w:color="auto"/>
        <w:right w:val="none" w:sz="0" w:space="0" w:color="auto"/>
      </w:divBdr>
    </w:div>
    <w:div w:id="1323317638">
      <w:bodyDiv w:val="1"/>
      <w:marLeft w:val="0"/>
      <w:marRight w:val="0"/>
      <w:marTop w:val="0"/>
      <w:marBottom w:val="0"/>
      <w:divBdr>
        <w:top w:val="none" w:sz="0" w:space="0" w:color="auto"/>
        <w:left w:val="none" w:sz="0" w:space="0" w:color="auto"/>
        <w:bottom w:val="none" w:sz="0" w:space="0" w:color="auto"/>
        <w:right w:val="none" w:sz="0" w:space="0" w:color="auto"/>
      </w:divBdr>
    </w:div>
    <w:div w:id="1384909196">
      <w:bodyDiv w:val="1"/>
      <w:marLeft w:val="0"/>
      <w:marRight w:val="0"/>
      <w:marTop w:val="0"/>
      <w:marBottom w:val="0"/>
      <w:divBdr>
        <w:top w:val="none" w:sz="0" w:space="0" w:color="auto"/>
        <w:left w:val="none" w:sz="0" w:space="0" w:color="auto"/>
        <w:bottom w:val="none" w:sz="0" w:space="0" w:color="auto"/>
        <w:right w:val="none" w:sz="0" w:space="0" w:color="auto"/>
      </w:divBdr>
    </w:div>
    <w:div w:id="1682703912">
      <w:bodyDiv w:val="1"/>
      <w:marLeft w:val="0"/>
      <w:marRight w:val="0"/>
      <w:marTop w:val="0"/>
      <w:marBottom w:val="0"/>
      <w:divBdr>
        <w:top w:val="none" w:sz="0" w:space="0" w:color="auto"/>
        <w:left w:val="none" w:sz="0" w:space="0" w:color="auto"/>
        <w:bottom w:val="none" w:sz="0" w:space="0" w:color="auto"/>
        <w:right w:val="none" w:sz="0" w:space="0" w:color="auto"/>
      </w:divBdr>
    </w:div>
    <w:div w:id="1814638261">
      <w:bodyDiv w:val="1"/>
      <w:marLeft w:val="0"/>
      <w:marRight w:val="0"/>
      <w:marTop w:val="0"/>
      <w:marBottom w:val="0"/>
      <w:divBdr>
        <w:top w:val="none" w:sz="0" w:space="0" w:color="auto"/>
        <w:left w:val="none" w:sz="0" w:space="0" w:color="auto"/>
        <w:bottom w:val="none" w:sz="0" w:space="0" w:color="auto"/>
        <w:right w:val="none" w:sz="0" w:space="0" w:color="auto"/>
      </w:divBdr>
    </w:div>
    <w:div w:id="1897012846">
      <w:bodyDiv w:val="1"/>
      <w:marLeft w:val="0"/>
      <w:marRight w:val="0"/>
      <w:marTop w:val="0"/>
      <w:marBottom w:val="0"/>
      <w:divBdr>
        <w:top w:val="none" w:sz="0" w:space="0" w:color="auto"/>
        <w:left w:val="none" w:sz="0" w:space="0" w:color="auto"/>
        <w:bottom w:val="none" w:sz="0" w:space="0" w:color="auto"/>
        <w:right w:val="none" w:sz="0" w:space="0" w:color="auto"/>
      </w:divBdr>
    </w:div>
    <w:div w:id="1934505300">
      <w:bodyDiv w:val="1"/>
      <w:marLeft w:val="0"/>
      <w:marRight w:val="0"/>
      <w:marTop w:val="0"/>
      <w:marBottom w:val="0"/>
      <w:divBdr>
        <w:top w:val="none" w:sz="0" w:space="0" w:color="auto"/>
        <w:left w:val="none" w:sz="0" w:space="0" w:color="auto"/>
        <w:bottom w:val="none" w:sz="0" w:space="0" w:color="auto"/>
        <w:right w:val="none" w:sz="0" w:space="0" w:color="auto"/>
      </w:divBdr>
    </w:div>
    <w:div w:id="2049066918">
      <w:bodyDiv w:val="1"/>
      <w:marLeft w:val="0"/>
      <w:marRight w:val="0"/>
      <w:marTop w:val="0"/>
      <w:marBottom w:val="0"/>
      <w:divBdr>
        <w:top w:val="none" w:sz="0" w:space="0" w:color="auto"/>
        <w:left w:val="none" w:sz="0" w:space="0" w:color="auto"/>
        <w:bottom w:val="none" w:sz="0" w:space="0" w:color="auto"/>
        <w:right w:val="none" w:sz="0" w:space="0" w:color="auto"/>
      </w:divBdr>
    </w:div>
    <w:div w:id="213077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nsorflow.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4F19E6-2CBB-6F46-B5E8-F2F41121CD10}">
  <we:reference id="wa104382081" version="1.16.0.0" store="en-001" storeType="OMEX"/>
  <we:alternateReferences>
    <we:reference id="wa104382081" version="1.16.0.0" store="en-001" storeType="OMEX"/>
  </we:alternateReferences>
  <we:properties>
    <we:property name="MENDELEY_CITATIONS" valu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B29F4-4240-486F-9C8E-DEC20660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33784</Words>
  <Characters>192573</Characters>
  <Application>Microsoft Office Word</Application>
  <DocSecurity>4</DocSecurity>
  <Lines>1604</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 Raisi-Estabragh</dc:creator>
  <cp:keywords/>
  <dc:description/>
  <cp:lastModifiedBy>Karen Drake</cp:lastModifiedBy>
  <cp:revision>2</cp:revision>
  <cp:lastPrinted>2021-05-11T22:06:00Z</cp:lastPrinted>
  <dcterms:created xsi:type="dcterms:W3CDTF">2021-07-08T15:34:00Z</dcterms:created>
  <dcterms:modified xsi:type="dcterms:W3CDTF">2021-07-08T15:34:00Z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http://www.zotero.org/styles/frontiers-in-cardiovascular-medicine</vt:lpwstr>
  </property>
  <property fmtid="{D5CDD505-2E9C-101B-9397-08002B2CF9AE}" pid="3" name="Mendeley Recent Style Id 0_1">
    <vt:lpwstr>http://www.zotero.org/styles/american-sociological-association</vt:lpwstr>
  </property>
  <property fmtid="{D5CDD505-2E9C-101B-9397-08002B2CF9AE}" pid="4" name="Mendeley Recent Style Name 0_1">
    <vt:lpwstr>American Sociological Association</vt:lpwstr>
  </property>
  <property fmtid="{D5CDD505-2E9C-101B-9397-08002B2CF9AE}" pid="5" name="Mendeley Recent Style Id 1_1">
    <vt:lpwstr>http://www.zotero.org/styles/bmj</vt:lpwstr>
  </property>
  <property fmtid="{D5CDD505-2E9C-101B-9397-08002B2CF9AE}" pid="6" name="Mendeley Recent Style Name 1_1">
    <vt:lpwstr>BMJ</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http://www.zotero.org/styles/european-heart-journal</vt:lpwstr>
  </property>
  <property fmtid="{D5CDD505-2E9C-101B-9397-08002B2CF9AE}" pid="10" name="Mendeley Recent Style Name 3_1">
    <vt:lpwstr>European Heart Journal</vt:lpwstr>
  </property>
  <property fmtid="{D5CDD505-2E9C-101B-9397-08002B2CF9AE}" pid="11" name="Mendeley Recent Style Id 4_1">
    <vt:lpwstr>http://www.zotero.org/styles/european-heart-journal-cardiovascular-imaging</vt:lpwstr>
  </property>
  <property fmtid="{D5CDD505-2E9C-101B-9397-08002B2CF9AE}" pid="12" name="Mendeley Recent Style Name 4_1">
    <vt:lpwstr>European Heart Journal - Cardiovascular Imaging</vt:lpwstr>
  </property>
  <property fmtid="{D5CDD505-2E9C-101B-9397-08002B2CF9AE}" pid="13" name="Mendeley Recent Style Id 5_1">
    <vt:lpwstr>http://www.zotero.org/styles/frontiers-in-cardiovascular-medicine</vt:lpwstr>
  </property>
  <property fmtid="{D5CDD505-2E9C-101B-9397-08002B2CF9AE}" pid="14" name="Mendeley Recent Style Name 5_1">
    <vt:lpwstr>Frontiers in Cardiovascular Medicine</vt:lpwstr>
  </property>
  <property fmtid="{D5CDD505-2E9C-101B-9397-08002B2CF9AE}" pid="15" name="Mendeley Recent Style Id 6_1">
    <vt:lpwstr>http://www.zotero.org/styles/jacc-cardiovascular-imaging</vt:lpwstr>
  </property>
  <property fmtid="{D5CDD505-2E9C-101B-9397-08002B2CF9AE}" pid="16" name="Mendeley Recent Style Name 6_1">
    <vt:lpwstr>JACC: Cardiovascular Imaging</vt:lpwstr>
  </property>
  <property fmtid="{D5CDD505-2E9C-101B-9397-08002B2CF9AE}" pid="17" name="Mendeley Recent Style Id 7_1">
    <vt:lpwstr>http://www.zotero.org/styles/jama</vt:lpwstr>
  </property>
  <property fmtid="{D5CDD505-2E9C-101B-9397-08002B2CF9AE}" pid="18" name="Mendeley Recent Style Name 7_1">
    <vt:lpwstr>JAMA (The Journal of the American Medical Association)</vt:lpwstr>
  </property>
  <property fmtid="{D5CDD505-2E9C-101B-9397-08002B2CF9AE}" pid="19" name="Mendeley Recent Style Id 8_1">
    <vt:lpwstr>http://www.zotero.org/styles/journal-of-the-american-college-of-cardiology</vt:lpwstr>
  </property>
  <property fmtid="{D5CDD505-2E9C-101B-9397-08002B2CF9AE}" pid="20" name="Mendeley Recent Style Name 8_1">
    <vt:lpwstr>Journal of the American College of Cardiology</vt:lpwstr>
  </property>
  <property fmtid="{D5CDD505-2E9C-101B-9397-08002B2CF9AE}" pid="21" name="Mendeley Recent Style Id 9_1">
    <vt:lpwstr>http://www.zotero.org/styles/the-american-journal-of-clinical-nutrition</vt:lpwstr>
  </property>
  <property fmtid="{D5CDD505-2E9C-101B-9397-08002B2CF9AE}" pid="22" name="Mendeley Recent Style Name 9_1">
    <vt:lpwstr>The American Journal of Clinical Nutrition</vt:lpwstr>
  </property>
  <property fmtid="{D5CDD505-2E9C-101B-9397-08002B2CF9AE}" pid="23" name="Mendeley Document_1">
    <vt:lpwstr>True</vt:lpwstr>
  </property>
  <property fmtid="{D5CDD505-2E9C-101B-9397-08002B2CF9AE}" pid="24" name="Mendeley Unique User Id_1">
    <vt:lpwstr>937765fd-da0f-3dac-8008-8e44c038a03f</vt:lpwstr>
  </property>
</Properties>
</file>