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948C77" w14:textId="7D688DCA" w:rsidR="00FD101D" w:rsidRPr="00D05F0A" w:rsidRDefault="00FD101D" w:rsidP="00FD101D">
      <w:pPr>
        <w:spacing w:line="360" w:lineRule="auto"/>
        <w:contextualSpacing/>
        <w:jc w:val="both"/>
        <w:rPr>
          <w:rFonts w:ascii="Arial" w:hAnsi="Arial" w:cs="Arial"/>
          <w:b/>
          <w:bCs/>
          <w:sz w:val="32"/>
          <w:szCs w:val="32"/>
        </w:rPr>
      </w:pPr>
      <w:bookmarkStart w:id="0" w:name="_Hlk66103846"/>
      <w:bookmarkStart w:id="1" w:name="_Hlk66103668"/>
      <w:r w:rsidRPr="00D05F0A">
        <w:rPr>
          <w:rFonts w:ascii="Arial" w:hAnsi="Arial" w:cs="Arial"/>
          <w:b/>
          <w:bCs/>
          <w:sz w:val="32"/>
          <w:szCs w:val="32"/>
        </w:rPr>
        <w:t>Site-specific steric control of SARS-CoV-2 spike glycosylation</w:t>
      </w:r>
    </w:p>
    <w:bookmarkEnd w:id="0"/>
    <w:p w14:paraId="33529E2D" w14:textId="404FE0C7" w:rsidR="00E31D0D" w:rsidRPr="00E73968" w:rsidRDefault="00E31D0D" w:rsidP="00FD101D">
      <w:pPr>
        <w:spacing w:line="360" w:lineRule="auto"/>
        <w:contextualSpacing/>
        <w:jc w:val="both"/>
        <w:rPr>
          <w:rFonts w:ascii="Arial" w:hAnsi="Arial" w:cs="Arial"/>
          <w:b/>
          <w:bCs/>
          <w:sz w:val="32"/>
          <w:szCs w:val="32"/>
        </w:rPr>
      </w:pPr>
      <w:r w:rsidRPr="00E73968">
        <w:rPr>
          <w:rFonts w:ascii="Arial" w:hAnsi="Arial" w:cs="Arial"/>
        </w:rPr>
        <w:t>Joel D. Allen</w:t>
      </w:r>
      <w:r w:rsidR="007405D2" w:rsidRPr="00E73968">
        <w:rPr>
          <w:rFonts w:ascii="Arial" w:hAnsi="Arial" w:cs="Arial"/>
          <w:vertAlign w:val="superscript"/>
        </w:rPr>
        <w:t>1</w:t>
      </w:r>
      <w:r w:rsidR="00023B92" w:rsidRPr="00E73968">
        <w:rPr>
          <w:rFonts w:ascii="Arial" w:hAnsi="Arial" w:cs="Arial"/>
          <w:vertAlign w:val="superscript"/>
        </w:rPr>
        <w:t>*</w:t>
      </w:r>
      <w:r w:rsidRPr="00E73968">
        <w:rPr>
          <w:rFonts w:ascii="Arial" w:hAnsi="Arial" w:cs="Arial"/>
        </w:rPr>
        <w:t>, Himanshi Chawla</w:t>
      </w:r>
      <w:r w:rsidR="007405D2" w:rsidRPr="00E73968">
        <w:rPr>
          <w:rFonts w:ascii="Arial" w:hAnsi="Arial" w:cs="Arial"/>
          <w:vertAlign w:val="superscript"/>
        </w:rPr>
        <w:t>1</w:t>
      </w:r>
      <w:r w:rsidR="00023B92" w:rsidRPr="00E73968">
        <w:rPr>
          <w:rFonts w:ascii="Arial" w:hAnsi="Arial" w:cs="Arial"/>
          <w:vertAlign w:val="superscript"/>
        </w:rPr>
        <w:t>*</w:t>
      </w:r>
      <w:r w:rsidRPr="00E73968">
        <w:rPr>
          <w:rFonts w:ascii="Arial" w:hAnsi="Arial" w:cs="Arial"/>
        </w:rPr>
        <w:t xml:space="preserve">, </w:t>
      </w:r>
      <w:r w:rsidR="00023B92" w:rsidRPr="00E73968">
        <w:rPr>
          <w:rFonts w:ascii="Arial" w:hAnsi="Arial" w:cs="Arial"/>
        </w:rPr>
        <w:t>Firdaus Samsudin</w:t>
      </w:r>
      <w:r w:rsidR="00023B92" w:rsidRPr="00E73968">
        <w:rPr>
          <w:rFonts w:ascii="Arial" w:hAnsi="Arial" w:cs="Arial"/>
          <w:vertAlign w:val="superscript"/>
        </w:rPr>
        <w:t>2*</w:t>
      </w:r>
      <w:r w:rsidRPr="00E73968">
        <w:rPr>
          <w:rFonts w:ascii="Arial" w:hAnsi="Arial" w:cs="Arial"/>
        </w:rPr>
        <w:t xml:space="preserve">, </w:t>
      </w:r>
      <w:r w:rsidR="00BA4615" w:rsidRPr="00E73968">
        <w:rPr>
          <w:rFonts w:ascii="Arial" w:hAnsi="Arial" w:cs="Arial"/>
        </w:rPr>
        <w:t xml:space="preserve">Lorena </w:t>
      </w:r>
      <w:r w:rsidR="00F16B78" w:rsidRPr="00E73968">
        <w:rPr>
          <w:rFonts w:ascii="Arial" w:hAnsi="Arial" w:cs="Arial"/>
        </w:rPr>
        <w:t>Zuzic</w:t>
      </w:r>
      <w:r w:rsidR="003A045C" w:rsidRPr="00E73968">
        <w:rPr>
          <w:rFonts w:ascii="Arial" w:hAnsi="Arial" w:cs="Arial"/>
          <w:vertAlign w:val="superscript"/>
        </w:rPr>
        <w:t>2</w:t>
      </w:r>
      <w:r w:rsidR="00077B76" w:rsidRPr="00E73968">
        <w:rPr>
          <w:rFonts w:ascii="Arial" w:hAnsi="Arial" w:cs="Arial"/>
          <w:vertAlign w:val="superscript"/>
        </w:rPr>
        <w:t>,18</w:t>
      </w:r>
      <w:r w:rsidR="00BA4615" w:rsidRPr="00E73968">
        <w:rPr>
          <w:rFonts w:ascii="Arial" w:hAnsi="Arial" w:cs="Arial"/>
        </w:rPr>
        <w:t>,</w:t>
      </w:r>
      <w:r w:rsidR="00BA4615" w:rsidRPr="00E73968">
        <w:rPr>
          <w:sz w:val="20"/>
          <w:szCs w:val="20"/>
        </w:rPr>
        <w:t xml:space="preserve"> </w:t>
      </w:r>
      <w:r w:rsidR="00BA4615" w:rsidRPr="00E73968">
        <w:rPr>
          <w:rFonts w:ascii="Arial" w:hAnsi="Arial" w:cs="Arial"/>
        </w:rPr>
        <w:t>Aishwary</w:t>
      </w:r>
      <w:r w:rsidR="00F16B78" w:rsidRPr="00E73968">
        <w:rPr>
          <w:rFonts w:ascii="Arial" w:hAnsi="Arial" w:cs="Arial"/>
        </w:rPr>
        <w:t xml:space="preserve"> </w:t>
      </w:r>
      <w:r w:rsidR="00BA4615" w:rsidRPr="00E73968">
        <w:rPr>
          <w:rFonts w:ascii="Arial" w:hAnsi="Arial" w:cs="Arial"/>
        </w:rPr>
        <w:t>T</w:t>
      </w:r>
      <w:r w:rsidR="00F16B78" w:rsidRPr="00E73968">
        <w:rPr>
          <w:rFonts w:ascii="Arial" w:hAnsi="Arial" w:cs="Arial"/>
        </w:rPr>
        <w:t>ukaram</w:t>
      </w:r>
      <w:r w:rsidR="00BA4615" w:rsidRPr="00E73968">
        <w:rPr>
          <w:rFonts w:ascii="Arial" w:hAnsi="Arial" w:cs="Arial"/>
        </w:rPr>
        <w:t xml:space="preserve"> </w:t>
      </w:r>
      <w:r w:rsidR="00F16B78" w:rsidRPr="00E73968">
        <w:rPr>
          <w:rFonts w:ascii="Arial" w:hAnsi="Arial" w:cs="Arial"/>
        </w:rPr>
        <w:t>Shivgan</w:t>
      </w:r>
      <w:r w:rsidR="003A045C" w:rsidRPr="00E73968">
        <w:rPr>
          <w:rFonts w:ascii="Arial" w:hAnsi="Arial" w:cs="Arial"/>
          <w:vertAlign w:val="superscript"/>
        </w:rPr>
        <w:t>2</w:t>
      </w:r>
      <w:r w:rsidR="003B47FB" w:rsidRPr="00E73968">
        <w:rPr>
          <w:rFonts w:ascii="Arial" w:hAnsi="Arial" w:cs="Arial"/>
          <w:vertAlign w:val="superscript"/>
        </w:rPr>
        <w:t>,17</w:t>
      </w:r>
      <w:r w:rsidR="00BA4615" w:rsidRPr="00E73968">
        <w:rPr>
          <w:rFonts w:ascii="Arial" w:hAnsi="Arial" w:cs="Arial"/>
        </w:rPr>
        <w:t xml:space="preserve">, </w:t>
      </w:r>
      <w:r w:rsidRPr="00E73968">
        <w:rPr>
          <w:rFonts w:ascii="Arial" w:hAnsi="Arial" w:cs="Arial"/>
        </w:rPr>
        <w:t>Yasunori Watanabe</w:t>
      </w:r>
      <w:r w:rsidR="003A045C" w:rsidRPr="00E73968">
        <w:rPr>
          <w:rFonts w:ascii="Arial" w:hAnsi="Arial" w:cs="Arial"/>
          <w:vertAlign w:val="superscript"/>
        </w:rPr>
        <w:t>1</w:t>
      </w:r>
      <w:r w:rsidR="00BA4615" w:rsidRPr="00E73968">
        <w:rPr>
          <w:rFonts w:ascii="Arial" w:hAnsi="Arial" w:cs="Arial"/>
        </w:rPr>
        <w:t>, Wan-ting He</w:t>
      </w:r>
      <w:r w:rsidR="003A045C" w:rsidRPr="00E73968">
        <w:rPr>
          <w:rFonts w:ascii="Arial" w:hAnsi="Arial" w:cs="Arial"/>
          <w:vertAlign w:val="superscript"/>
        </w:rPr>
        <w:t>3</w:t>
      </w:r>
      <w:r w:rsidR="00F16B78" w:rsidRPr="00E73968">
        <w:rPr>
          <w:rFonts w:ascii="Arial" w:hAnsi="Arial" w:cs="Arial"/>
          <w:vertAlign w:val="superscript"/>
        </w:rPr>
        <w:t>,</w:t>
      </w:r>
      <w:r w:rsidR="003A045C" w:rsidRPr="00E73968">
        <w:rPr>
          <w:rFonts w:ascii="Arial" w:hAnsi="Arial" w:cs="Arial"/>
          <w:vertAlign w:val="superscript"/>
        </w:rPr>
        <w:t>4</w:t>
      </w:r>
      <w:r w:rsidR="00F16B78" w:rsidRPr="00E73968">
        <w:rPr>
          <w:rFonts w:ascii="Arial" w:hAnsi="Arial" w:cs="Arial"/>
          <w:vertAlign w:val="superscript"/>
        </w:rPr>
        <w:t>,</w:t>
      </w:r>
      <w:r w:rsidR="003A045C" w:rsidRPr="00E73968">
        <w:rPr>
          <w:rFonts w:ascii="Arial" w:hAnsi="Arial" w:cs="Arial"/>
          <w:vertAlign w:val="superscript"/>
        </w:rPr>
        <w:t>5</w:t>
      </w:r>
      <w:r w:rsidR="00BA4615" w:rsidRPr="00E73968">
        <w:rPr>
          <w:rFonts w:ascii="Arial" w:hAnsi="Arial" w:cs="Arial"/>
        </w:rPr>
        <w:t>, Sean Callaghan</w:t>
      </w:r>
      <w:r w:rsidR="003A045C" w:rsidRPr="00E73968">
        <w:rPr>
          <w:rFonts w:ascii="Arial" w:hAnsi="Arial" w:cs="Arial"/>
          <w:vertAlign w:val="superscript"/>
        </w:rPr>
        <w:t>3</w:t>
      </w:r>
      <w:r w:rsidR="00F16B78" w:rsidRPr="00E73968">
        <w:rPr>
          <w:rFonts w:ascii="Arial" w:hAnsi="Arial" w:cs="Arial"/>
          <w:vertAlign w:val="superscript"/>
        </w:rPr>
        <w:t>,</w:t>
      </w:r>
      <w:r w:rsidR="003A045C" w:rsidRPr="00E73968">
        <w:rPr>
          <w:rFonts w:ascii="Arial" w:hAnsi="Arial" w:cs="Arial"/>
          <w:vertAlign w:val="superscript"/>
        </w:rPr>
        <w:t>4</w:t>
      </w:r>
      <w:r w:rsidR="00F16B78" w:rsidRPr="00E73968">
        <w:rPr>
          <w:rFonts w:ascii="Arial" w:hAnsi="Arial" w:cs="Arial"/>
          <w:vertAlign w:val="superscript"/>
        </w:rPr>
        <w:t>,</w:t>
      </w:r>
      <w:r w:rsidR="003A045C" w:rsidRPr="00E73968">
        <w:rPr>
          <w:rFonts w:ascii="Arial" w:hAnsi="Arial" w:cs="Arial"/>
          <w:vertAlign w:val="superscript"/>
        </w:rPr>
        <w:t>5</w:t>
      </w:r>
      <w:r w:rsidR="003A045C" w:rsidRPr="00E73968">
        <w:rPr>
          <w:rFonts w:ascii="Arial" w:hAnsi="Arial" w:cs="Arial"/>
        </w:rPr>
        <w:t>,</w:t>
      </w:r>
      <w:r w:rsidR="00BA4615" w:rsidRPr="00E73968">
        <w:rPr>
          <w:rFonts w:ascii="Arial" w:hAnsi="Arial" w:cs="Arial"/>
        </w:rPr>
        <w:t xml:space="preserve"> Ge Song</w:t>
      </w:r>
      <w:r w:rsidR="003A045C" w:rsidRPr="00E73968">
        <w:rPr>
          <w:rFonts w:ascii="Arial" w:hAnsi="Arial" w:cs="Arial"/>
          <w:vertAlign w:val="superscript"/>
        </w:rPr>
        <w:t>3</w:t>
      </w:r>
      <w:r w:rsidR="00F16B78" w:rsidRPr="00E73968">
        <w:rPr>
          <w:rFonts w:ascii="Arial" w:hAnsi="Arial" w:cs="Arial"/>
          <w:vertAlign w:val="superscript"/>
        </w:rPr>
        <w:t>,</w:t>
      </w:r>
      <w:r w:rsidR="003A045C" w:rsidRPr="00E73968">
        <w:rPr>
          <w:rFonts w:ascii="Arial" w:hAnsi="Arial" w:cs="Arial"/>
          <w:vertAlign w:val="superscript"/>
        </w:rPr>
        <w:t>4</w:t>
      </w:r>
      <w:r w:rsidR="00F16B78" w:rsidRPr="00E73968">
        <w:rPr>
          <w:rFonts w:ascii="Arial" w:hAnsi="Arial" w:cs="Arial"/>
          <w:vertAlign w:val="superscript"/>
        </w:rPr>
        <w:t>,</w:t>
      </w:r>
      <w:r w:rsidR="003A045C" w:rsidRPr="00E73968">
        <w:rPr>
          <w:rFonts w:ascii="Arial" w:hAnsi="Arial" w:cs="Arial"/>
          <w:vertAlign w:val="superscript"/>
        </w:rPr>
        <w:t>5</w:t>
      </w:r>
      <w:r w:rsidR="00BA4615" w:rsidRPr="00E73968">
        <w:rPr>
          <w:rFonts w:ascii="Arial" w:hAnsi="Arial" w:cs="Arial"/>
        </w:rPr>
        <w:t>, Peter Yong</w:t>
      </w:r>
      <w:r w:rsidR="003A045C" w:rsidRPr="00E73968">
        <w:rPr>
          <w:rFonts w:ascii="Arial" w:hAnsi="Arial" w:cs="Arial"/>
          <w:vertAlign w:val="superscript"/>
        </w:rPr>
        <w:t>3</w:t>
      </w:r>
      <w:r w:rsidR="00F16B78" w:rsidRPr="00E73968">
        <w:rPr>
          <w:rFonts w:ascii="Arial" w:hAnsi="Arial" w:cs="Arial"/>
          <w:vertAlign w:val="superscript"/>
        </w:rPr>
        <w:t>,</w:t>
      </w:r>
      <w:r w:rsidR="003A045C" w:rsidRPr="00E73968">
        <w:rPr>
          <w:rFonts w:ascii="Arial" w:hAnsi="Arial" w:cs="Arial"/>
          <w:vertAlign w:val="superscript"/>
        </w:rPr>
        <w:t>4</w:t>
      </w:r>
      <w:r w:rsidR="00F16B78" w:rsidRPr="00E73968">
        <w:rPr>
          <w:rFonts w:ascii="Arial" w:hAnsi="Arial" w:cs="Arial"/>
          <w:vertAlign w:val="superscript"/>
        </w:rPr>
        <w:t>,</w:t>
      </w:r>
      <w:r w:rsidR="003A045C" w:rsidRPr="00E73968">
        <w:rPr>
          <w:rFonts w:ascii="Arial" w:hAnsi="Arial" w:cs="Arial"/>
          <w:vertAlign w:val="superscript"/>
        </w:rPr>
        <w:t>5</w:t>
      </w:r>
      <w:r w:rsidR="00BA4615" w:rsidRPr="00E73968">
        <w:rPr>
          <w:rFonts w:ascii="Arial" w:hAnsi="Arial" w:cs="Arial"/>
        </w:rPr>
        <w:t>, Philip</w:t>
      </w:r>
      <w:r w:rsidR="00077B76" w:rsidRPr="00E73968">
        <w:rPr>
          <w:rFonts w:ascii="Arial" w:hAnsi="Arial" w:cs="Arial"/>
        </w:rPr>
        <w:t xml:space="preserve"> J. M.</w:t>
      </w:r>
      <w:r w:rsidR="00BA4615" w:rsidRPr="00E73968">
        <w:rPr>
          <w:rFonts w:ascii="Arial" w:hAnsi="Arial" w:cs="Arial"/>
        </w:rPr>
        <w:t xml:space="preserve"> Brouwer</w:t>
      </w:r>
      <w:r w:rsidR="003A045C" w:rsidRPr="00E73968">
        <w:rPr>
          <w:rFonts w:ascii="Arial" w:hAnsi="Arial" w:cs="Arial"/>
          <w:vertAlign w:val="superscript"/>
        </w:rPr>
        <w:t>6</w:t>
      </w:r>
      <w:r w:rsidR="00BA4615" w:rsidRPr="00E73968">
        <w:rPr>
          <w:rFonts w:ascii="Arial" w:hAnsi="Arial" w:cs="Arial"/>
        </w:rPr>
        <w:t>, Yutong Song</w:t>
      </w:r>
      <w:r w:rsidR="003A045C" w:rsidRPr="00E73968">
        <w:rPr>
          <w:rFonts w:ascii="Arial" w:hAnsi="Arial" w:cs="Arial"/>
          <w:vertAlign w:val="superscript"/>
        </w:rPr>
        <w:t>7</w:t>
      </w:r>
      <w:r w:rsidR="00430F0E" w:rsidRPr="00E73968">
        <w:rPr>
          <w:rFonts w:ascii="Arial" w:hAnsi="Arial" w:cs="Arial"/>
          <w:vertAlign w:val="superscript"/>
        </w:rPr>
        <w:t>,8</w:t>
      </w:r>
      <w:r w:rsidR="00BA4615" w:rsidRPr="00E73968">
        <w:rPr>
          <w:rFonts w:ascii="Arial" w:hAnsi="Arial" w:cs="Arial"/>
        </w:rPr>
        <w:t>, Yongfei Cai</w:t>
      </w:r>
      <w:r w:rsidR="00430F0E" w:rsidRPr="00E73968">
        <w:rPr>
          <w:rFonts w:ascii="Arial" w:hAnsi="Arial" w:cs="Arial"/>
          <w:vertAlign w:val="superscript"/>
        </w:rPr>
        <w:t>9</w:t>
      </w:r>
      <w:r w:rsidR="00BA4615" w:rsidRPr="00E73968">
        <w:rPr>
          <w:rFonts w:ascii="Arial" w:hAnsi="Arial" w:cs="Arial"/>
        </w:rPr>
        <w:t>, Helen M. E. Duyvesteyn</w:t>
      </w:r>
      <w:r w:rsidR="00430F0E" w:rsidRPr="00E73968">
        <w:rPr>
          <w:rFonts w:ascii="Arial" w:hAnsi="Arial" w:cs="Arial"/>
          <w:vertAlign w:val="superscript"/>
        </w:rPr>
        <w:t>1</w:t>
      </w:r>
      <w:r w:rsidR="00F16B78" w:rsidRPr="00E73968">
        <w:rPr>
          <w:rFonts w:ascii="Arial" w:hAnsi="Arial" w:cs="Arial"/>
          <w:vertAlign w:val="superscript"/>
        </w:rPr>
        <w:t>1</w:t>
      </w:r>
      <w:r w:rsidR="00BA4615" w:rsidRPr="00E73968">
        <w:rPr>
          <w:rFonts w:ascii="Arial" w:hAnsi="Arial" w:cs="Arial"/>
        </w:rPr>
        <w:t>, Tomas Malinauskas</w:t>
      </w:r>
      <w:r w:rsidR="00430F0E" w:rsidRPr="00E73968">
        <w:rPr>
          <w:rFonts w:ascii="Arial" w:hAnsi="Arial" w:cs="Arial"/>
          <w:vertAlign w:val="superscript"/>
        </w:rPr>
        <w:t>1</w:t>
      </w:r>
      <w:r w:rsidR="00F16B78" w:rsidRPr="00E73968">
        <w:rPr>
          <w:rFonts w:ascii="Arial" w:hAnsi="Arial" w:cs="Arial"/>
          <w:vertAlign w:val="superscript"/>
        </w:rPr>
        <w:t>1</w:t>
      </w:r>
      <w:r w:rsidR="00BA4615" w:rsidRPr="00E73968">
        <w:rPr>
          <w:rFonts w:ascii="Arial" w:hAnsi="Arial" w:cs="Arial"/>
        </w:rPr>
        <w:t>,</w:t>
      </w:r>
      <w:r w:rsidR="00E61F00" w:rsidRPr="00E73968">
        <w:rPr>
          <w:rFonts w:ascii="Arial" w:hAnsi="Arial" w:cs="Arial"/>
        </w:rPr>
        <w:t xml:space="preserve"> Joeri Kint</w:t>
      </w:r>
      <w:r w:rsidR="00E61F00" w:rsidRPr="00E73968">
        <w:rPr>
          <w:rFonts w:ascii="Arial" w:hAnsi="Arial" w:cs="Arial"/>
          <w:vertAlign w:val="superscript"/>
        </w:rPr>
        <w:t>12</w:t>
      </w:r>
      <w:r w:rsidR="00E61F00" w:rsidRPr="00E73968">
        <w:rPr>
          <w:rFonts w:ascii="Arial" w:hAnsi="Arial" w:cs="Arial"/>
        </w:rPr>
        <w:t>, Paco Pino</w:t>
      </w:r>
      <w:r w:rsidR="00E61F00" w:rsidRPr="00E73968">
        <w:rPr>
          <w:rFonts w:ascii="Arial" w:hAnsi="Arial" w:cs="Arial"/>
          <w:vertAlign w:val="superscript"/>
        </w:rPr>
        <w:t>12</w:t>
      </w:r>
      <w:r w:rsidR="00E61F00" w:rsidRPr="00E73968">
        <w:rPr>
          <w:rFonts w:ascii="Arial" w:hAnsi="Arial" w:cs="Arial"/>
        </w:rPr>
        <w:t>, Maria J. Wurm</w:t>
      </w:r>
      <w:r w:rsidR="00E61F00" w:rsidRPr="00E73968">
        <w:rPr>
          <w:rFonts w:ascii="Arial" w:hAnsi="Arial" w:cs="Arial"/>
          <w:vertAlign w:val="superscript"/>
        </w:rPr>
        <w:t>12</w:t>
      </w:r>
      <w:r w:rsidR="00E61F00" w:rsidRPr="00E73968">
        <w:rPr>
          <w:rFonts w:ascii="Arial" w:hAnsi="Arial" w:cs="Arial"/>
        </w:rPr>
        <w:t xml:space="preserve">, </w:t>
      </w:r>
      <w:r w:rsidR="00BA4615" w:rsidRPr="00E73968">
        <w:rPr>
          <w:rFonts w:ascii="Arial" w:hAnsi="Arial" w:cs="Arial"/>
        </w:rPr>
        <w:t xml:space="preserve"> Martin Frank</w:t>
      </w:r>
      <w:r w:rsidR="003A045C" w:rsidRPr="00E73968">
        <w:rPr>
          <w:rFonts w:ascii="Arial" w:hAnsi="Arial" w:cs="Arial"/>
          <w:vertAlign w:val="superscript"/>
        </w:rPr>
        <w:t>1</w:t>
      </w:r>
      <w:r w:rsidR="00E61F00" w:rsidRPr="00E73968">
        <w:rPr>
          <w:rFonts w:ascii="Arial" w:hAnsi="Arial" w:cs="Arial"/>
          <w:vertAlign w:val="superscript"/>
        </w:rPr>
        <w:t>3</w:t>
      </w:r>
      <w:r w:rsidR="00BA4615" w:rsidRPr="00E73968">
        <w:rPr>
          <w:rFonts w:ascii="Arial" w:hAnsi="Arial" w:cs="Arial"/>
        </w:rPr>
        <w:t>, Bing Chen</w:t>
      </w:r>
      <w:r w:rsidR="00430F0E" w:rsidRPr="00E73968">
        <w:rPr>
          <w:rFonts w:ascii="Arial" w:hAnsi="Arial" w:cs="Arial"/>
          <w:vertAlign w:val="superscript"/>
        </w:rPr>
        <w:t>9</w:t>
      </w:r>
      <w:r w:rsidR="00F16B78" w:rsidRPr="00E73968">
        <w:rPr>
          <w:rFonts w:ascii="Arial" w:hAnsi="Arial" w:cs="Arial"/>
          <w:vertAlign w:val="superscript"/>
        </w:rPr>
        <w:t>,10</w:t>
      </w:r>
      <w:r w:rsidR="00BA4615" w:rsidRPr="00E73968">
        <w:rPr>
          <w:rFonts w:ascii="Arial" w:hAnsi="Arial" w:cs="Arial"/>
        </w:rPr>
        <w:t>, David I. Stuart</w:t>
      </w:r>
      <w:r w:rsidR="00430F0E" w:rsidRPr="00E73968">
        <w:rPr>
          <w:rFonts w:ascii="Arial" w:hAnsi="Arial" w:cs="Arial"/>
          <w:vertAlign w:val="superscript"/>
        </w:rPr>
        <w:t>1</w:t>
      </w:r>
      <w:r w:rsidR="005224F5" w:rsidRPr="00E73968">
        <w:rPr>
          <w:rFonts w:ascii="Arial" w:hAnsi="Arial" w:cs="Arial"/>
          <w:vertAlign w:val="superscript"/>
        </w:rPr>
        <w:t>1</w:t>
      </w:r>
      <w:r w:rsidR="00F16B78" w:rsidRPr="00E73968">
        <w:rPr>
          <w:rFonts w:ascii="Arial" w:hAnsi="Arial" w:cs="Arial"/>
          <w:vertAlign w:val="superscript"/>
        </w:rPr>
        <w:t>,</w:t>
      </w:r>
      <w:r w:rsidR="00593586" w:rsidRPr="00E73968">
        <w:rPr>
          <w:rFonts w:ascii="Arial" w:hAnsi="Arial" w:cs="Arial"/>
          <w:vertAlign w:val="superscript"/>
        </w:rPr>
        <w:t>1</w:t>
      </w:r>
      <w:r w:rsidR="00342CA2" w:rsidRPr="00E73968">
        <w:rPr>
          <w:rFonts w:ascii="Arial" w:hAnsi="Arial" w:cs="Arial"/>
          <w:vertAlign w:val="superscript"/>
        </w:rPr>
        <w:t>4</w:t>
      </w:r>
      <w:r w:rsidR="00BA4615" w:rsidRPr="00E73968">
        <w:rPr>
          <w:rFonts w:ascii="Arial" w:hAnsi="Arial" w:cs="Arial"/>
        </w:rPr>
        <w:t xml:space="preserve">, </w:t>
      </w:r>
      <w:r w:rsidR="007541F2" w:rsidRPr="00E73968">
        <w:rPr>
          <w:rFonts w:ascii="Arial" w:hAnsi="Arial" w:cs="Arial"/>
        </w:rPr>
        <w:t>Rogier W. Sanders</w:t>
      </w:r>
      <w:r w:rsidR="007541F2" w:rsidRPr="00E73968">
        <w:rPr>
          <w:rFonts w:ascii="Arial" w:hAnsi="Arial" w:cs="Arial"/>
          <w:vertAlign w:val="superscript"/>
        </w:rPr>
        <w:t>6,1</w:t>
      </w:r>
      <w:r w:rsidR="00342CA2" w:rsidRPr="00E73968">
        <w:rPr>
          <w:rFonts w:ascii="Arial" w:hAnsi="Arial" w:cs="Arial"/>
          <w:vertAlign w:val="superscript"/>
        </w:rPr>
        <w:t>5</w:t>
      </w:r>
      <w:r w:rsidR="007541F2" w:rsidRPr="00E73968">
        <w:rPr>
          <w:rFonts w:ascii="Arial" w:hAnsi="Arial" w:cs="Arial"/>
        </w:rPr>
        <w:t xml:space="preserve">, </w:t>
      </w:r>
      <w:r w:rsidR="00BA4615" w:rsidRPr="00E73968">
        <w:rPr>
          <w:rFonts w:ascii="Arial" w:hAnsi="Arial" w:cs="Arial"/>
        </w:rPr>
        <w:t>Raiees Andrabi</w:t>
      </w:r>
      <w:r w:rsidR="003A045C" w:rsidRPr="00E73968">
        <w:rPr>
          <w:rFonts w:ascii="Arial" w:hAnsi="Arial" w:cs="Arial"/>
          <w:vertAlign w:val="superscript"/>
        </w:rPr>
        <w:t>3</w:t>
      </w:r>
      <w:r w:rsidR="00F16B78" w:rsidRPr="00E73968">
        <w:rPr>
          <w:rFonts w:ascii="Arial" w:hAnsi="Arial" w:cs="Arial"/>
          <w:vertAlign w:val="superscript"/>
        </w:rPr>
        <w:t>,</w:t>
      </w:r>
      <w:r w:rsidR="003A045C" w:rsidRPr="00E73968">
        <w:rPr>
          <w:rFonts w:ascii="Arial" w:hAnsi="Arial" w:cs="Arial"/>
          <w:vertAlign w:val="superscript"/>
        </w:rPr>
        <w:t>4</w:t>
      </w:r>
      <w:r w:rsidR="00F16B78" w:rsidRPr="00E73968">
        <w:rPr>
          <w:rFonts w:ascii="Arial" w:hAnsi="Arial" w:cs="Arial"/>
          <w:vertAlign w:val="superscript"/>
        </w:rPr>
        <w:t>,</w:t>
      </w:r>
      <w:r w:rsidR="003A045C" w:rsidRPr="00E73968">
        <w:rPr>
          <w:rFonts w:ascii="Arial" w:hAnsi="Arial" w:cs="Arial"/>
          <w:vertAlign w:val="superscript"/>
        </w:rPr>
        <w:t>5</w:t>
      </w:r>
      <w:r w:rsidR="00BA4615" w:rsidRPr="00E73968">
        <w:rPr>
          <w:rFonts w:ascii="Arial" w:hAnsi="Arial" w:cs="Arial"/>
        </w:rPr>
        <w:t xml:space="preserve">, Dennis </w:t>
      </w:r>
      <w:r w:rsidR="007541F2" w:rsidRPr="00E73968">
        <w:rPr>
          <w:rFonts w:ascii="Arial" w:hAnsi="Arial" w:cs="Arial"/>
        </w:rPr>
        <w:t xml:space="preserve">R. </w:t>
      </w:r>
      <w:r w:rsidR="00BA4615" w:rsidRPr="00E73968">
        <w:rPr>
          <w:rFonts w:ascii="Arial" w:hAnsi="Arial" w:cs="Arial"/>
        </w:rPr>
        <w:t>Burton</w:t>
      </w:r>
      <w:r w:rsidR="003A045C" w:rsidRPr="00E73968">
        <w:rPr>
          <w:rFonts w:ascii="Arial" w:hAnsi="Arial" w:cs="Arial"/>
          <w:vertAlign w:val="superscript"/>
        </w:rPr>
        <w:t>3</w:t>
      </w:r>
      <w:r w:rsidR="00F16B78" w:rsidRPr="00E73968">
        <w:rPr>
          <w:rFonts w:ascii="Arial" w:hAnsi="Arial" w:cs="Arial"/>
          <w:vertAlign w:val="superscript"/>
        </w:rPr>
        <w:t>,</w:t>
      </w:r>
      <w:r w:rsidR="003A045C" w:rsidRPr="00E73968">
        <w:rPr>
          <w:rFonts w:ascii="Arial" w:hAnsi="Arial" w:cs="Arial"/>
          <w:vertAlign w:val="superscript"/>
        </w:rPr>
        <w:t>4</w:t>
      </w:r>
      <w:r w:rsidR="00F16B78" w:rsidRPr="00E73968">
        <w:rPr>
          <w:rFonts w:ascii="Arial" w:hAnsi="Arial" w:cs="Arial"/>
          <w:vertAlign w:val="superscript"/>
        </w:rPr>
        <w:t>,</w:t>
      </w:r>
      <w:r w:rsidR="003A045C" w:rsidRPr="00E73968">
        <w:rPr>
          <w:rFonts w:ascii="Arial" w:hAnsi="Arial" w:cs="Arial"/>
          <w:vertAlign w:val="superscript"/>
        </w:rPr>
        <w:t>5</w:t>
      </w:r>
      <w:r w:rsidR="00F16B78" w:rsidRPr="00E73968">
        <w:rPr>
          <w:rFonts w:ascii="Arial" w:hAnsi="Arial" w:cs="Arial"/>
          <w:vertAlign w:val="superscript"/>
        </w:rPr>
        <w:t>,</w:t>
      </w:r>
      <w:r w:rsidR="00430F0E" w:rsidRPr="00E73968">
        <w:rPr>
          <w:rFonts w:ascii="Arial" w:hAnsi="Arial" w:cs="Arial"/>
          <w:vertAlign w:val="superscript"/>
        </w:rPr>
        <w:t>1</w:t>
      </w:r>
      <w:r w:rsidR="00E61F00" w:rsidRPr="00E73968">
        <w:rPr>
          <w:rFonts w:ascii="Arial" w:hAnsi="Arial" w:cs="Arial"/>
          <w:vertAlign w:val="superscript"/>
        </w:rPr>
        <w:t>6</w:t>
      </w:r>
      <w:r w:rsidR="00BA4615" w:rsidRPr="00E73968">
        <w:rPr>
          <w:rFonts w:ascii="Arial" w:hAnsi="Arial" w:cs="Arial"/>
        </w:rPr>
        <w:t xml:space="preserve">, </w:t>
      </w:r>
      <w:r w:rsidR="007541F2" w:rsidRPr="00E73968">
        <w:rPr>
          <w:rFonts w:ascii="Arial" w:hAnsi="Arial" w:cs="Arial"/>
        </w:rPr>
        <w:t>Sai Li</w:t>
      </w:r>
      <w:r w:rsidR="007541F2" w:rsidRPr="00E73968">
        <w:rPr>
          <w:rFonts w:ascii="Arial" w:hAnsi="Arial" w:cs="Arial"/>
          <w:vertAlign w:val="superscript"/>
        </w:rPr>
        <w:t>7,8</w:t>
      </w:r>
      <w:r w:rsidR="007541F2" w:rsidRPr="00E73968">
        <w:rPr>
          <w:rFonts w:ascii="Arial" w:hAnsi="Arial" w:cs="Arial"/>
        </w:rPr>
        <w:t xml:space="preserve">,  </w:t>
      </w:r>
      <w:r w:rsidR="00BA4615" w:rsidRPr="00E73968">
        <w:rPr>
          <w:rFonts w:ascii="Arial" w:hAnsi="Arial" w:cs="Arial"/>
        </w:rPr>
        <w:t xml:space="preserve">Peter </w:t>
      </w:r>
      <w:r w:rsidR="007541F2" w:rsidRPr="00E73968">
        <w:rPr>
          <w:rFonts w:ascii="Arial" w:hAnsi="Arial" w:cs="Arial"/>
        </w:rPr>
        <w:t>J.</w:t>
      </w:r>
      <w:r w:rsidR="00BA4615" w:rsidRPr="00E73968">
        <w:rPr>
          <w:rFonts w:ascii="Arial" w:hAnsi="Arial" w:cs="Arial"/>
        </w:rPr>
        <w:t xml:space="preserve"> </w:t>
      </w:r>
      <w:r w:rsidR="00F16B78" w:rsidRPr="00E73968">
        <w:rPr>
          <w:rFonts w:ascii="Arial" w:hAnsi="Arial" w:cs="Arial"/>
        </w:rPr>
        <w:t>Bond</w:t>
      </w:r>
      <w:r w:rsidR="003A045C" w:rsidRPr="00E73968">
        <w:rPr>
          <w:rFonts w:ascii="Arial" w:hAnsi="Arial" w:cs="Arial"/>
          <w:vertAlign w:val="superscript"/>
        </w:rPr>
        <w:t>2</w:t>
      </w:r>
      <w:r w:rsidR="00473ABE" w:rsidRPr="00E73968">
        <w:rPr>
          <w:rFonts w:ascii="Arial" w:hAnsi="Arial" w:cs="Arial"/>
          <w:vertAlign w:val="superscript"/>
        </w:rPr>
        <w:t>,17</w:t>
      </w:r>
      <w:r w:rsidR="00584E27" w:rsidRPr="00E73968">
        <w:rPr>
          <w:rFonts w:ascii="Arial" w:hAnsi="Arial" w:cs="Arial"/>
          <w:vertAlign w:val="superscript"/>
        </w:rPr>
        <w:t>,*</w:t>
      </w:r>
      <w:r w:rsidR="00584E27" w:rsidRPr="00E73968">
        <w:rPr>
          <w:rFonts w:ascii="Arial" w:hAnsi="Arial" w:cs="Arial"/>
        </w:rPr>
        <w:t xml:space="preserve">, </w:t>
      </w:r>
      <w:r w:rsidR="00BA4615" w:rsidRPr="00E73968">
        <w:rPr>
          <w:rFonts w:ascii="Arial" w:hAnsi="Arial" w:cs="Arial"/>
        </w:rPr>
        <w:t>Max Crispin</w:t>
      </w:r>
      <w:r w:rsidR="00C71B70" w:rsidRPr="00E73968">
        <w:rPr>
          <w:rFonts w:ascii="Arial" w:hAnsi="Arial" w:cs="Arial"/>
          <w:vertAlign w:val="superscript"/>
        </w:rPr>
        <w:t>1</w:t>
      </w:r>
      <w:r w:rsidR="00584E27" w:rsidRPr="00E73968">
        <w:rPr>
          <w:rFonts w:ascii="Arial" w:hAnsi="Arial" w:cs="Arial"/>
          <w:vertAlign w:val="superscript"/>
        </w:rPr>
        <w:t>*</w:t>
      </w:r>
    </w:p>
    <w:p w14:paraId="0E202ABE" w14:textId="77777777" w:rsidR="009D67E1" w:rsidRPr="00E73968" w:rsidRDefault="009D67E1">
      <w:pPr>
        <w:spacing w:line="240" w:lineRule="auto"/>
        <w:contextualSpacing/>
        <w:jc w:val="both"/>
        <w:rPr>
          <w:rFonts w:ascii="Arial" w:hAnsi="Arial" w:cs="Arial"/>
          <w:vertAlign w:val="superscript"/>
        </w:rPr>
      </w:pPr>
    </w:p>
    <w:p w14:paraId="48FD795F" w14:textId="5863F7A4" w:rsidR="003A045C" w:rsidRPr="00E73968" w:rsidRDefault="003A045C" w:rsidP="00C71D29">
      <w:pPr>
        <w:spacing w:line="240" w:lineRule="auto"/>
        <w:contextualSpacing/>
        <w:jc w:val="both"/>
        <w:rPr>
          <w:rFonts w:ascii="Arial" w:hAnsi="Arial" w:cs="Arial"/>
        </w:rPr>
      </w:pPr>
      <w:r w:rsidRPr="00E73968">
        <w:rPr>
          <w:rFonts w:ascii="Arial" w:hAnsi="Arial" w:cs="Arial"/>
          <w:vertAlign w:val="superscript"/>
        </w:rPr>
        <w:t>1</w:t>
      </w:r>
      <w:r w:rsidRPr="00E73968">
        <w:rPr>
          <w:rFonts w:ascii="Arial" w:hAnsi="Arial" w:cs="Arial"/>
        </w:rPr>
        <w:t xml:space="preserve"> School of Biological Sciences, University of Southampton, Southampton, SO17 1BJ, UK</w:t>
      </w:r>
    </w:p>
    <w:p w14:paraId="02513ADE" w14:textId="08C0E285" w:rsidR="003A045C" w:rsidRPr="00E73968" w:rsidRDefault="003A045C" w:rsidP="00C71D29">
      <w:pPr>
        <w:spacing w:line="240" w:lineRule="auto"/>
        <w:contextualSpacing/>
        <w:jc w:val="both"/>
        <w:rPr>
          <w:rFonts w:ascii="Arial" w:hAnsi="Arial" w:cs="Arial"/>
        </w:rPr>
      </w:pPr>
      <w:r w:rsidRPr="00E73968">
        <w:rPr>
          <w:rFonts w:ascii="Arial" w:hAnsi="Arial" w:cs="Arial"/>
          <w:vertAlign w:val="superscript"/>
        </w:rPr>
        <w:t>2</w:t>
      </w:r>
      <w:r w:rsidRPr="00E73968">
        <w:rPr>
          <w:rFonts w:ascii="Arial" w:hAnsi="Arial" w:cs="Arial"/>
        </w:rPr>
        <w:t xml:space="preserve"> </w:t>
      </w:r>
      <w:r w:rsidR="00FA18C5" w:rsidRPr="00E73968">
        <w:rPr>
          <w:rFonts w:ascii="Arial" w:hAnsi="Arial" w:cs="Arial"/>
        </w:rPr>
        <w:t>Bioinformatics Institute, Agency for Science, Technology and Research (A*STAR), Singapore, 138671, Singapore</w:t>
      </w:r>
    </w:p>
    <w:p w14:paraId="1067F25B" w14:textId="6222CC22" w:rsidR="003A045C" w:rsidRPr="00E73968" w:rsidRDefault="003A045C" w:rsidP="00C71D29">
      <w:pPr>
        <w:spacing w:line="240" w:lineRule="auto"/>
        <w:contextualSpacing/>
        <w:jc w:val="both"/>
        <w:rPr>
          <w:rFonts w:ascii="Arial" w:hAnsi="Arial" w:cs="Arial"/>
        </w:rPr>
      </w:pPr>
      <w:r w:rsidRPr="00E73968">
        <w:rPr>
          <w:rFonts w:ascii="Arial" w:hAnsi="Arial" w:cs="Arial"/>
          <w:vertAlign w:val="superscript"/>
        </w:rPr>
        <w:t>3</w:t>
      </w:r>
      <w:r w:rsidRPr="00E73968">
        <w:rPr>
          <w:rFonts w:ascii="Arial" w:hAnsi="Arial" w:cs="Arial"/>
        </w:rPr>
        <w:t xml:space="preserve"> Department of Immunology and Microbiology, The Scripps Research Institute, La Jolla, CA 13 92037, USA</w:t>
      </w:r>
    </w:p>
    <w:p w14:paraId="1DEAF27A" w14:textId="6BFE172E" w:rsidR="003A045C" w:rsidRPr="00E73968" w:rsidRDefault="003A045C" w:rsidP="00C71D29">
      <w:pPr>
        <w:spacing w:line="240" w:lineRule="auto"/>
        <w:contextualSpacing/>
        <w:jc w:val="both"/>
        <w:rPr>
          <w:rFonts w:ascii="Arial" w:hAnsi="Arial" w:cs="Arial"/>
        </w:rPr>
      </w:pPr>
      <w:r w:rsidRPr="00E73968">
        <w:rPr>
          <w:rFonts w:ascii="Arial" w:hAnsi="Arial" w:cs="Arial"/>
          <w:vertAlign w:val="superscript"/>
        </w:rPr>
        <w:t>4</w:t>
      </w:r>
      <w:r w:rsidRPr="00E73968">
        <w:rPr>
          <w:rFonts w:ascii="Arial" w:hAnsi="Arial" w:cs="Arial"/>
        </w:rPr>
        <w:t xml:space="preserve"> IAVI Neutralizing Antibody Center, The Scripps Research Institute, La Jolla, CA 92037, USA</w:t>
      </w:r>
    </w:p>
    <w:p w14:paraId="58D8C10A" w14:textId="0DCC2FF5" w:rsidR="003A045C" w:rsidRPr="00E73968" w:rsidRDefault="003A045C" w:rsidP="00C71D29">
      <w:pPr>
        <w:spacing w:line="240" w:lineRule="auto"/>
        <w:contextualSpacing/>
        <w:jc w:val="both"/>
        <w:rPr>
          <w:rFonts w:ascii="Arial" w:hAnsi="Arial" w:cs="Arial"/>
        </w:rPr>
      </w:pPr>
      <w:r w:rsidRPr="00E73968">
        <w:rPr>
          <w:rFonts w:ascii="Arial" w:hAnsi="Arial" w:cs="Arial"/>
          <w:vertAlign w:val="superscript"/>
        </w:rPr>
        <w:t>5</w:t>
      </w:r>
      <w:r w:rsidRPr="00E73968">
        <w:rPr>
          <w:rFonts w:ascii="Arial" w:hAnsi="Arial" w:cs="Arial"/>
        </w:rPr>
        <w:t xml:space="preserve"> Consortium for HIV/AIDS Vaccine Development (CHAVD), The Scripps Research Institute, La Jolla, CA 92037, USA</w:t>
      </w:r>
    </w:p>
    <w:p w14:paraId="0FD910C2" w14:textId="26109811" w:rsidR="003A045C" w:rsidRPr="00E73968" w:rsidRDefault="003A045C" w:rsidP="00C71D29">
      <w:pPr>
        <w:spacing w:line="240" w:lineRule="auto"/>
        <w:contextualSpacing/>
        <w:jc w:val="both"/>
        <w:rPr>
          <w:rFonts w:ascii="Arial" w:hAnsi="Arial" w:cs="Arial"/>
        </w:rPr>
      </w:pPr>
      <w:r w:rsidRPr="00E73968">
        <w:rPr>
          <w:rFonts w:ascii="Arial" w:hAnsi="Arial" w:cs="Arial"/>
          <w:vertAlign w:val="superscript"/>
        </w:rPr>
        <w:t>6</w:t>
      </w:r>
      <w:r w:rsidRPr="00E73968">
        <w:rPr>
          <w:rFonts w:ascii="Arial" w:hAnsi="Arial" w:cs="Arial"/>
        </w:rPr>
        <w:t xml:space="preserve"> Department of Medical Microbiology, Amsterdam UMC, University of Amsterdam, Amsterdam Infection &amp; Immunity Institute, Amsterdam, The Netherlands</w:t>
      </w:r>
    </w:p>
    <w:p w14:paraId="64BF46C3" w14:textId="65A69D0A" w:rsidR="00430F0E" w:rsidRPr="00E73968" w:rsidRDefault="003A045C" w:rsidP="00C71D29">
      <w:pPr>
        <w:spacing w:line="240" w:lineRule="auto"/>
        <w:contextualSpacing/>
        <w:jc w:val="both"/>
        <w:rPr>
          <w:rFonts w:ascii="Arial" w:hAnsi="Arial" w:cs="Arial"/>
        </w:rPr>
      </w:pPr>
      <w:r w:rsidRPr="00E73968">
        <w:rPr>
          <w:rFonts w:ascii="Arial" w:hAnsi="Arial" w:cs="Arial"/>
          <w:vertAlign w:val="superscript"/>
        </w:rPr>
        <w:t>7</w:t>
      </w:r>
      <w:r w:rsidRPr="00E73968">
        <w:rPr>
          <w:rFonts w:ascii="Arial" w:hAnsi="Arial" w:cs="Arial"/>
        </w:rPr>
        <w:t xml:space="preserve"> </w:t>
      </w:r>
      <w:r w:rsidR="00430F0E" w:rsidRPr="00E73968">
        <w:rPr>
          <w:rFonts w:ascii="Arial" w:hAnsi="Arial" w:cs="Arial"/>
        </w:rPr>
        <w:t>Tsinghua-Peking Center for Life Sciences, School of Life Sciences, Tsinghua University, Beijing 100084, China</w:t>
      </w:r>
    </w:p>
    <w:p w14:paraId="61F121C8" w14:textId="43E372CE" w:rsidR="003A045C" w:rsidRPr="00E73968" w:rsidRDefault="00430F0E" w:rsidP="00C71D29">
      <w:pPr>
        <w:spacing w:line="240" w:lineRule="auto"/>
        <w:contextualSpacing/>
        <w:jc w:val="both"/>
        <w:rPr>
          <w:rFonts w:ascii="Arial" w:hAnsi="Arial" w:cs="Arial"/>
        </w:rPr>
      </w:pPr>
      <w:r w:rsidRPr="00E73968">
        <w:rPr>
          <w:rFonts w:ascii="Arial" w:hAnsi="Arial" w:cs="Arial"/>
          <w:vertAlign w:val="superscript"/>
        </w:rPr>
        <w:t>8</w:t>
      </w:r>
      <w:r w:rsidRPr="00E73968">
        <w:rPr>
          <w:rFonts w:ascii="Arial" w:hAnsi="Arial" w:cs="Arial"/>
        </w:rPr>
        <w:t xml:space="preserve"> Beijing Advanced Innovation Center for Structural Biology &amp; Frontier Research Center for Biological Structure, Beijing 100084, China</w:t>
      </w:r>
    </w:p>
    <w:p w14:paraId="6FB9AE37" w14:textId="2AFC0B7E" w:rsidR="00F16B78" w:rsidRPr="00E73968" w:rsidRDefault="00430F0E" w:rsidP="00C71D29">
      <w:pPr>
        <w:spacing w:line="240" w:lineRule="auto"/>
        <w:contextualSpacing/>
        <w:jc w:val="both"/>
        <w:rPr>
          <w:rFonts w:ascii="Arial" w:hAnsi="Arial" w:cs="Arial"/>
        </w:rPr>
      </w:pPr>
      <w:r w:rsidRPr="00E73968">
        <w:rPr>
          <w:rFonts w:ascii="Arial" w:hAnsi="Arial" w:cs="Arial"/>
          <w:vertAlign w:val="superscript"/>
        </w:rPr>
        <w:t>9</w:t>
      </w:r>
      <w:r w:rsidRPr="00E73968">
        <w:rPr>
          <w:rFonts w:ascii="Arial" w:hAnsi="Arial" w:cs="Arial"/>
        </w:rPr>
        <w:t xml:space="preserve"> </w:t>
      </w:r>
      <w:r w:rsidR="00F16B78" w:rsidRPr="00E73968">
        <w:rPr>
          <w:rFonts w:ascii="Arial" w:hAnsi="Arial" w:cs="Arial"/>
        </w:rPr>
        <w:t xml:space="preserve">Division of Molecular Medicine, Boston Children’s Hospital, 3 </w:t>
      </w:r>
      <w:proofErr w:type="spellStart"/>
      <w:r w:rsidR="00F16B78" w:rsidRPr="00E73968">
        <w:rPr>
          <w:rFonts w:ascii="Arial" w:hAnsi="Arial" w:cs="Arial"/>
        </w:rPr>
        <w:t>Blackfan</w:t>
      </w:r>
      <w:proofErr w:type="spellEnd"/>
      <w:r w:rsidR="00F16B78" w:rsidRPr="00E73968">
        <w:rPr>
          <w:rFonts w:ascii="Arial" w:hAnsi="Arial" w:cs="Arial"/>
        </w:rPr>
        <w:t xml:space="preserve"> Street, Boston, MA 02115</w:t>
      </w:r>
      <w:r w:rsidR="001E2034" w:rsidRPr="00E73968">
        <w:rPr>
          <w:rFonts w:ascii="Arial" w:hAnsi="Arial" w:cs="Arial"/>
        </w:rPr>
        <w:t>, USA</w:t>
      </w:r>
    </w:p>
    <w:p w14:paraId="614CA0BF" w14:textId="6518052C" w:rsidR="00F16B78" w:rsidRPr="00E73968" w:rsidRDefault="00F16B78" w:rsidP="00C71D29">
      <w:pPr>
        <w:spacing w:line="240" w:lineRule="auto"/>
        <w:contextualSpacing/>
        <w:jc w:val="both"/>
        <w:rPr>
          <w:rFonts w:ascii="Arial" w:hAnsi="Arial" w:cs="Arial"/>
        </w:rPr>
      </w:pPr>
      <w:r w:rsidRPr="00E73968">
        <w:rPr>
          <w:rFonts w:ascii="Arial" w:hAnsi="Arial" w:cs="Arial"/>
          <w:vertAlign w:val="superscript"/>
        </w:rPr>
        <w:t>10</w:t>
      </w:r>
      <w:r w:rsidRPr="00E73968">
        <w:rPr>
          <w:rFonts w:ascii="Arial" w:hAnsi="Arial" w:cs="Arial"/>
        </w:rPr>
        <w:t xml:space="preserve"> Department of Pediatrics, Harvard Medical School, 3 </w:t>
      </w:r>
      <w:proofErr w:type="spellStart"/>
      <w:r w:rsidRPr="00E73968">
        <w:rPr>
          <w:rFonts w:ascii="Arial" w:hAnsi="Arial" w:cs="Arial"/>
        </w:rPr>
        <w:t>Blackfan</w:t>
      </w:r>
      <w:proofErr w:type="spellEnd"/>
      <w:r w:rsidRPr="00E73968">
        <w:rPr>
          <w:rFonts w:ascii="Arial" w:hAnsi="Arial" w:cs="Arial"/>
        </w:rPr>
        <w:t xml:space="preserve"> Street, Boston, MA 02115</w:t>
      </w:r>
      <w:r w:rsidR="001E2034" w:rsidRPr="00E73968">
        <w:rPr>
          <w:rFonts w:ascii="Arial" w:hAnsi="Arial" w:cs="Arial"/>
        </w:rPr>
        <w:t>, USA</w:t>
      </w:r>
    </w:p>
    <w:p w14:paraId="24744793" w14:textId="2C461FC7" w:rsidR="003A045C" w:rsidRPr="00E73968" w:rsidRDefault="00430F0E">
      <w:pPr>
        <w:spacing w:line="240" w:lineRule="auto"/>
        <w:contextualSpacing/>
        <w:jc w:val="both"/>
        <w:rPr>
          <w:rFonts w:ascii="Arial" w:hAnsi="Arial" w:cs="Arial"/>
        </w:rPr>
      </w:pPr>
      <w:r w:rsidRPr="00E73968">
        <w:rPr>
          <w:rFonts w:ascii="Arial" w:hAnsi="Arial" w:cs="Arial"/>
          <w:vertAlign w:val="superscript"/>
        </w:rPr>
        <w:t>1</w:t>
      </w:r>
      <w:r w:rsidR="00F16B78" w:rsidRPr="00E73968">
        <w:rPr>
          <w:rFonts w:ascii="Arial" w:hAnsi="Arial" w:cs="Arial"/>
          <w:vertAlign w:val="superscript"/>
        </w:rPr>
        <w:t>1</w:t>
      </w:r>
      <w:r w:rsidRPr="00E73968">
        <w:rPr>
          <w:rFonts w:ascii="Arial" w:hAnsi="Arial" w:cs="Arial"/>
        </w:rPr>
        <w:t xml:space="preserve"> Division of Structural Biology, University of Oxford, The Wellcome Centre for Human Genetics, Headington, Oxford, OX3 7BN, UK</w:t>
      </w:r>
    </w:p>
    <w:p w14:paraId="193DD79B" w14:textId="6D588160" w:rsidR="00E61F00" w:rsidRPr="00E73968" w:rsidRDefault="00E61F00" w:rsidP="00C71D29">
      <w:pPr>
        <w:spacing w:line="240" w:lineRule="auto"/>
        <w:contextualSpacing/>
        <w:jc w:val="both"/>
        <w:rPr>
          <w:rFonts w:ascii="Arial" w:hAnsi="Arial" w:cs="Arial"/>
        </w:rPr>
      </w:pPr>
      <w:r w:rsidRPr="00E73968">
        <w:rPr>
          <w:rFonts w:ascii="Arial" w:hAnsi="Arial" w:cs="Arial"/>
          <w:vertAlign w:val="superscript"/>
        </w:rPr>
        <w:t>12</w:t>
      </w:r>
      <w:r w:rsidRPr="00E73968">
        <w:rPr>
          <w:sz w:val="20"/>
          <w:szCs w:val="20"/>
        </w:rPr>
        <w:t xml:space="preserve"> </w:t>
      </w:r>
      <w:proofErr w:type="spellStart"/>
      <w:r w:rsidRPr="00E73968">
        <w:rPr>
          <w:rFonts w:ascii="Arial" w:hAnsi="Arial" w:cs="Arial"/>
        </w:rPr>
        <w:t>ExcellGene</w:t>
      </w:r>
      <w:proofErr w:type="spellEnd"/>
      <w:r w:rsidRPr="00E73968">
        <w:rPr>
          <w:rFonts w:ascii="Arial" w:hAnsi="Arial" w:cs="Arial"/>
        </w:rPr>
        <w:t xml:space="preserve"> SA, CH1870 </w:t>
      </w:r>
      <w:proofErr w:type="spellStart"/>
      <w:r w:rsidRPr="00E73968">
        <w:rPr>
          <w:rFonts w:ascii="Arial" w:hAnsi="Arial" w:cs="Arial"/>
        </w:rPr>
        <w:t>Monthey</w:t>
      </w:r>
      <w:proofErr w:type="spellEnd"/>
      <w:r w:rsidRPr="00E73968">
        <w:rPr>
          <w:rFonts w:ascii="Arial" w:hAnsi="Arial" w:cs="Arial"/>
        </w:rPr>
        <w:t>, Switzerland</w:t>
      </w:r>
    </w:p>
    <w:p w14:paraId="19529EB9" w14:textId="536EFA39" w:rsidR="003A045C" w:rsidRPr="00E73968" w:rsidRDefault="003A045C" w:rsidP="00C71D29">
      <w:pPr>
        <w:spacing w:line="240" w:lineRule="auto"/>
        <w:contextualSpacing/>
        <w:jc w:val="both"/>
        <w:rPr>
          <w:rFonts w:ascii="Arial" w:hAnsi="Arial" w:cs="Arial"/>
        </w:rPr>
      </w:pPr>
      <w:r w:rsidRPr="00E73968">
        <w:rPr>
          <w:rFonts w:ascii="Arial" w:hAnsi="Arial" w:cs="Arial"/>
          <w:vertAlign w:val="superscript"/>
        </w:rPr>
        <w:t>1</w:t>
      </w:r>
      <w:r w:rsidR="00E61F00" w:rsidRPr="00E73968">
        <w:rPr>
          <w:rFonts w:ascii="Arial" w:hAnsi="Arial" w:cs="Arial"/>
          <w:vertAlign w:val="superscript"/>
        </w:rPr>
        <w:t>3</w:t>
      </w:r>
      <w:r w:rsidR="00430F0E" w:rsidRPr="00E73968">
        <w:rPr>
          <w:rFonts w:ascii="Arial" w:hAnsi="Arial" w:cs="Arial"/>
        </w:rPr>
        <w:t xml:space="preserve"> </w:t>
      </w:r>
      <w:proofErr w:type="spellStart"/>
      <w:r w:rsidR="00430F0E" w:rsidRPr="00E73968">
        <w:rPr>
          <w:rFonts w:ascii="Arial" w:hAnsi="Arial" w:cs="Arial"/>
        </w:rPr>
        <w:t>Biognos</w:t>
      </w:r>
      <w:proofErr w:type="spellEnd"/>
      <w:r w:rsidR="00430F0E" w:rsidRPr="00E73968">
        <w:rPr>
          <w:rFonts w:ascii="Arial" w:hAnsi="Arial" w:cs="Arial"/>
        </w:rPr>
        <w:t xml:space="preserve"> AB, </w:t>
      </w:r>
      <w:proofErr w:type="spellStart"/>
      <w:r w:rsidR="00430F0E" w:rsidRPr="00E73968">
        <w:rPr>
          <w:rFonts w:ascii="Arial" w:hAnsi="Arial" w:cs="Arial"/>
        </w:rPr>
        <w:t>Generatorsgatan</w:t>
      </w:r>
      <w:proofErr w:type="spellEnd"/>
      <w:r w:rsidR="00430F0E" w:rsidRPr="00E73968">
        <w:rPr>
          <w:rFonts w:ascii="Arial" w:hAnsi="Arial" w:cs="Arial"/>
        </w:rPr>
        <w:t xml:space="preserve"> 1 41705 </w:t>
      </w:r>
      <w:proofErr w:type="spellStart"/>
      <w:r w:rsidR="00430F0E" w:rsidRPr="00E73968">
        <w:rPr>
          <w:rFonts w:ascii="Arial" w:hAnsi="Arial" w:cs="Arial"/>
        </w:rPr>
        <w:t>Göteborg</w:t>
      </w:r>
      <w:proofErr w:type="spellEnd"/>
      <w:r w:rsidR="00430F0E" w:rsidRPr="00E73968">
        <w:rPr>
          <w:rFonts w:ascii="Arial" w:hAnsi="Arial" w:cs="Arial"/>
        </w:rPr>
        <w:t>, Sweden</w:t>
      </w:r>
    </w:p>
    <w:p w14:paraId="206B5631" w14:textId="7D2D8C2F" w:rsidR="00430F0E" w:rsidRPr="00E73968" w:rsidRDefault="00430F0E" w:rsidP="00342CA2">
      <w:pPr>
        <w:spacing w:line="240" w:lineRule="auto"/>
        <w:contextualSpacing/>
        <w:jc w:val="both"/>
        <w:rPr>
          <w:rFonts w:ascii="Arial" w:hAnsi="Arial" w:cs="Arial"/>
        </w:rPr>
      </w:pPr>
      <w:r w:rsidRPr="00E73968">
        <w:rPr>
          <w:rFonts w:ascii="Arial" w:hAnsi="Arial" w:cs="Arial"/>
          <w:vertAlign w:val="superscript"/>
        </w:rPr>
        <w:t>1</w:t>
      </w:r>
      <w:r w:rsidR="00E61F00" w:rsidRPr="00E73968">
        <w:rPr>
          <w:rFonts w:ascii="Arial" w:hAnsi="Arial" w:cs="Arial"/>
          <w:vertAlign w:val="superscript"/>
        </w:rPr>
        <w:t>4</w:t>
      </w:r>
      <w:r w:rsidRPr="00E73968">
        <w:rPr>
          <w:rFonts w:ascii="Arial" w:hAnsi="Arial" w:cs="Arial"/>
        </w:rPr>
        <w:t xml:space="preserve"> </w:t>
      </w:r>
      <w:r w:rsidR="00342CA2" w:rsidRPr="00E73968">
        <w:rPr>
          <w:rFonts w:ascii="Arial" w:hAnsi="Arial" w:cs="Arial"/>
        </w:rPr>
        <w:t xml:space="preserve">Diamond Light Source Ltd, Harwell Science &amp; Innovation Campus, </w:t>
      </w:r>
      <w:proofErr w:type="spellStart"/>
      <w:r w:rsidR="00342CA2" w:rsidRPr="00E73968">
        <w:rPr>
          <w:rFonts w:ascii="Arial" w:hAnsi="Arial" w:cs="Arial"/>
        </w:rPr>
        <w:t>Didcot</w:t>
      </w:r>
      <w:proofErr w:type="spellEnd"/>
      <w:r w:rsidR="00342CA2" w:rsidRPr="00E73968">
        <w:rPr>
          <w:rFonts w:ascii="Arial" w:hAnsi="Arial" w:cs="Arial"/>
        </w:rPr>
        <w:t xml:space="preserve">, OX11 0DE, UK </w:t>
      </w:r>
    </w:p>
    <w:p w14:paraId="5767ECF8" w14:textId="2F549CE7" w:rsidR="00342CA2" w:rsidRPr="00E73968" w:rsidRDefault="00342CA2" w:rsidP="00342CA2">
      <w:pPr>
        <w:spacing w:line="240" w:lineRule="auto"/>
        <w:contextualSpacing/>
        <w:jc w:val="both"/>
        <w:rPr>
          <w:rFonts w:ascii="Arial" w:hAnsi="Arial" w:cs="Arial"/>
        </w:rPr>
      </w:pPr>
      <w:r w:rsidRPr="00E73968">
        <w:rPr>
          <w:rFonts w:ascii="Arial" w:hAnsi="Arial" w:cs="Arial"/>
          <w:vertAlign w:val="superscript"/>
        </w:rPr>
        <w:t>15</w:t>
      </w:r>
      <w:r w:rsidRPr="00E73968">
        <w:rPr>
          <w:rFonts w:ascii="Arial" w:hAnsi="Arial" w:cs="Arial"/>
        </w:rPr>
        <w:t xml:space="preserve"> Department of Microbiology and Immunology, Weill Medical College of Cornell University, New York, NY, USA</w:t>
      </w:r>
    </w:p>
    <w:p w14:paraId="708A793B" w14:textId="2F94EC9C" w:rsidR="003A045C" w:rsidRPr="00E73968" w:rsidRDefault="003A045C" w:rsidP="00C71D29">
      <w:pPr>
        <w:spacing w:line="240" w:lineRule="auto"/>
        <w:contextualSpacing/>
        <w:jc w:val="both"/>
        <w:rPr>
          <w:rFonts w:ascii="Arial" w:hAnsi="Arial" w:cs="Arial"/>
        </w:rPr>
      </w:pPr>
      <w:r w:rsidRPr="00E73968">
        <w:rPr>
          <w:rFonts w:ascii="Arial" w:hAnsi="Arial" w:cs="Arial"/>
          <w:vertAlign w:val="superscript"/>
        </w:rPr>
        <w:t>1</w:t>
      </w:r>
      <w:r w:rsidR="00E61F00" w:rsidRPr="00E73968">
        <w:rPr>
          <w:rFonts w:ascii="Arial" w:hAnsi="Arial" w:cs="Arial"/>
          <w:vertAlign w:val="superscript"/>
        </w:rPr>
        <w:t>6</w:t>
      </w:r>
      <w:r w:rsidRPr="00E73968">
        <w:rPr>
          <w:rFonts w:ascii="Arial" w:hAnsi="Arial" w:cs="Arial"/>
        </w:rPr>
        <w:t xml:space="preserve"> </w:t>
      </w:r>
      <w:proofErr w:type="spellStart"/>
      <w:r w:rsidRPr="00E73968">
        <w:rPr>
          <w:rFonts w:ascii="Arial" w:hAnsi="Arial" w:cs="Arial"/>
        </w:rPr>
        <w:t>Ragon</w:t>
      </w:r>
      <w:proofErr w:type="spellEnd"/>
      <w:r w:rsidRPr="00E73968">
        <w:rPr>
          <w:rFonts w:ascii="Arial" w:hAnsi="Arial" w:cs="Arial"/>
        </w:rPr>
        <w:t xml:space="preserve"> Institute of Massachusetts General Hospital, Massachusetts Institute of Technology, and Harvard University, Cambridge, MA 02139, USA</w:t>
      </w:r>
    </w:p>
    <w:p w14:paraId="55363D74" w14:textId="130F15BA" w:rsidR="00473ABE" w:rsidRPr="00E73968" w:rsidRDefault="00473ABE" w:rsidP="00473ABE">
      <w:pPr>
        <w:spacing w:line="240" w:lineRule="auto"/>
        <w:contextualSpacing/>
        <w:jc w:val="both"/>
        <w:rPr>
          <w:rFonts w:ascii="Arial" w:hAnsi="Arial" w:cs="Arial"/>
        </w:rPr>
      </w:pPr>
      <w:r w:rsidRPr="00E73968">
        <w:rPr>
          <w:rFonts w:ascii="Arial" w:hAnsi="Arial" w:cs="Arial"/>
          <w:vertAlign w:val="superscript"/>
        </w:rPr>
        <w:t>17</w:t>
      </w:r>
      <w:r w:rsidRPr="00E73968">
        <w:rPr>
          <w:rFonts w:ascii="Arial" w:hAnsi="Arial" w:cs="Arial"/>
        </w:rPr>
        <w:t xml:space="preserve"> </w:t>
      </w:r>
      <w:r w:rsidRPr="00E73968">
        <w:rPr>
          <w:rFonts w:ascii="Calibri" w:hAnsi="Calibri" w:cs="Calibri"/>
        </w:rPr>
        <w:t>﻿</w:t>
      </w:r>
      <w:r w:rsidRPr="00E73968">
        <w:rPr>
          <w:rFonts w:ascii="Arial" w:hAnsi="Arial" w:cs="Arial"/>
        </w:rPr>
        <w:t>Department of Biological Sciences, National University of Singapore, Singapore 117543, Singapore</w:t>
      </w:r>
    </w:p>
    <w:p w14:paraId="44C14607" w14:textId="2875458B" w:rsidR="00077B76" w:rsidRPr="00E73968" w:rsidRDefault="00077B76" w:rsidP="00473ABE">
      <w:pPr>
        <w:spacing w:line="240" w:lineRule="auto"/>
        <w:contextualSpacing/>
        <w:jc w:val="both"/>
        <w:rPr>
          <w:rFonts w:ascii="Arial" w:hAnsi="Arial" w:cs="Arial"/>
        </w:rPr>
      </w:pPr>
      <w:r w:rsidRPr="00E73968">
        <w:rPr>
          <w:rFonts w:ascii="Arial" w:hAnsi="Arial" w:cs="Arial"/>
          <w:vertAlign w:val="superscript"/>
        </w:rPr>
        <w:t xml:space="preserve">18 </w:t>
      </w:r>
      <w:r w:rsidRPr="00E73968">
        <w:rPr>
          <w:rFonts w:ascii="Arial" w:hAnsi="Arial" w:cs="Arial"/>
        </w:rPr>
        <w:t>Department of Chemistry, Faculty of Science and Engineering, Manchester Institute of Biotechnology, The University of Manchester, Manchester M1 7DN, UK</w:t>
      </w:r>
    </w:p>
    <w:p w14:paraId="4C3640E2" w14:textId="726DC996" w:rsidR="009D67E1" w:rsidRPr="00E73968" w:rsidRDefault="00023B92" w:rsidP="00430F0E">
      <w:pPr>
        <w:spacing w:line="360" w:lineRule="auto"/>
        <w:contextualSpacing/>
        <w:jc w:val="both"/>
        <w:rPr>
          <w:rFonts w:ascii="Arial" w:hAnsi="Arial" w:cs="Arial"/>
        </w:rPr>
      </w:pPr>
      <w:r w:rsidRPr="00E73968">
        <w:rPr>
          <w:rFonts w:ascii="Arial" w:hAnsi="Arial" w:cs="Arial"/>
        </w:rPr>
        <w:t>* These authors contributed equally</w:t>
      </w:r>
    </w:p>
    <w:p w14:paraId="2799548F" w14:textId="37C0E5ED" w:rsidR="00F16B78" w:rsidRPr="00E73968" w:rsidRDefault="000311B2" w:rsidP="00430F0E">
      <w:pPr>
        <w:spacing w:line="360" w:lineRule="auto"/>
        <w:contextualSpacing/>
        <w:jc w:val="both"/>
        <w:rPr>
          <w:rFonts w:ascii="Arial" w:hAnsi="Arial" w:cs="Arial"/>
        </w:rPr>
      </w:pPr>
      <w:r w:rsidRPr="00E73968">
        <w:rPr>
          <w:rFonts w:ascii="Arial" w:hAnsi="Arial" w:cs="Arial"/>
          <w:vertAlign w:val="superscript"/>
        </w:rPr>
        <w:t>†</w:t>
      </w:r>
      <w:proofErr w:type="spellStart"/>
      <w:r w:rsidR="007541F2" w:rsidRPr="00E73968">
        <w:rPr>
          <w:rFonts w:ascii="Arial" w:hAnsi="Arial" w:cs="Arial"/>
        </w:rPr>
        <w:t>Correpsondence</w:t>
      </w:r>
      <w:proofErr w:type="spellEnd"/>
      <w:r w:rsidR="007541F2" w:rsidRPr="00E73968">
        <w:rPr>
          <w:rFonts w:ascii="Arial" w:hAnsi="Arial" w:cs="Arial"/>
        </w:rPr>
        <w:t>: Max Crispin (</w:t>
      </w:r>
      <w:r w:rsidR="009D67E1" w:rsidRPr="00E73968">
        <w:rPr>
          <w:rFonts w:ascii="Arial" w:hAnsi="Arial" w:cs="Arial"/>
        </w:rPr>
        <w:t>max.crispin@soton.ac.uk</w:t>
      </w:r>
      <w:r w:rsidR="007541F2" w:rsidRPr="00E73968">
        <w:rPr>
          <w:rFonts w:ascii="Arial" w:hAnsi="Arial" w:cs="Arial"/>
        </w:rPr>
        <w:t>) and Peter Bond (</w:t>
      </w:r>
      <w:r w:rsidR="00381E0D" w:rsidRPr="00E73968">
        <w:rPr>
          <w:rFonts w:ascii="Arial" w:hAnsi="Arial" w:cs="Arial"/>
        </w:rPr>
        <w:t>peterjb@bii.a-star.edu.sg</w:t>
      </w:r>
      <w:r w:rsidR="007541F2" w:rsidRPr="00E73968">
        <w:rPr>
          <w:rFonts w:ascii="Arial" w:hAnsi="Arial" w:cs="Arial"/>
        </w:rPr>
        <w:t>).</w:t>
      </w:r>
    </w:p>
    <w:bookmarkEnd w:id="1"/>
    <w:p w14:paraId="674C3DA3" w14:textId="7A739F47" w:rsidR="00D05F0A" w:rsidRDefault="00D05F0A" w:rsidP="00430F0E">
      <w:pPr>
        <w:spacing w:line="360" w:lineRule="auto"/>
        <w:contextualSpacing/>
        <w:jc w:val="both"/>
        <w:rPr>
          <w:rFonts w:ascii="Arial" w:hAnsi="Arial" w:cs="Arial"/>
          <w:sz w:val="24"/>
          <w:szCs w:val="24"/>
        </w:rPr>
      </w:pPr>
    </w:p>
    <w:p w14:paraId="40B2583C" w14:textId="2520926B" w:rsidR="00621AB3" w:rsidRDefault="00621AB3" w:rsidP="00430F0E">
      <w:pPr>
        <w:spacing w:line="360" w:lineRule="auto"/>
        <w:contextualSpacing/>
        <w:jc w:val="both"/>
        <w:rPr>
          <w:rFonts w:ascii="Arial" w:hAnsi="Arial" w:cs="Arial"/>
          <w:sz w:val="24"/>
          <w:szCs w:val="24"/>
        </w:rPr>
      </w:pPr>
    </w:p>
    <w:p w14:paraId="6D9DE298" w14:textId="77777777" w:rsidR="00621AB3" w:rsidRPr="00880D75" w:rsidRDefault="00621AB3" w:rsidP="00430F0E">
      <w:pPr>
        <w:spacing w:line="360" w:lineRule="auto"/>
        <w:contextualSpacing/>
        <w:jc w:val="both"/>
        <w:rPr>
          <w:rFonts w:ascii="Arial" w:hAnsi="Arial" w:cs="Arial"/>
          <w:sz w:val="24"/>
          <w:szCs w:val="24"/>
        </w:rPr>
      </w:pPr>
    </w:p>
    <w:p w14:paraId="3BE9B5C6" w14:textId="4AFEA990" w:rsidR="00FD101D" w:rsidRPr="00880D75" w:rsidRDefault="00FD101D" w:rsidP="00430F0E">
      <w:pPr>
        <w:spacing w:line="360" w:lineRule="auto"/>
        <w:contextualSpacing/>
        <w:jc w:val="both"/>
        <w:rPr>
          <w:rFonts w:ascii="Arial" w:hAnsi="Arial" w:cs="Arial"/>
          <w:b/>
          <w:bCs/>
          <w:sz w:val="24"/>
          <w:szCs w:val="24"/>
        </w:rPr>
      </w:pPr>
      <w:r w:rsidRPr="00880D75">
        <w:rPr>
          <w:rFonts w:ascii="Arial" w:hAnsi="Arial" w:cs="Arial"/>
          <w:b/>
          <w:bCs/>
          <w:sz w:val="24"/>
          <w:szCs w:val="24"/>
        </w:rPr>
        <w:lastRenderedPageBreak/>
        <w:t>Abstract:</w:t>
      </w:r>
    </w:p>
    <w:p w14:paraId="0FEF3C0F" w14:textId="08D172A8" w:rsidR="00FD101D" w:rsidRDefault="00FD101D" w:rsidP="00FD101D">
      <w:pPr>
        <w:spacing w:line="360" w:lineRule="auto"/>
        <w:contextualSpacing/>
        <w:jc w:val="both"/>
        <w:rPr>
          <w:rFonts w:ascii="Arial" w:hAnsi="Arial" w:cs="Arial"/>
          <w:b/>
          <w:bCs/>
          <w:sz w:val="24"/>
          <w:szCs w:val="24"/>
        </w:rPr>
      </w:pPr>
      <w:r w:rsidRPr="006B3D43">
        <w:rPr>
          <w:rFonts w:ascii="Arial" w:hAnsi="Arial" w:cs="Arial"/>
          <w:sz w:val="24"/>
          <w:szCs w:val="24"/>
        </w:rPr>
        <w:t xml:space="preserve">A central tenet in the design of vaccines is the display of native-like antigens in the elicitation of protective immunity. </w:t>
      </w:r>
      <w:r w:rsidR="00033353" w:rsidRPr="002E1FAC">
        <w:rPr>
          <w:rFonts w:ascii="Arial" w:hAnsi="Arial" w:cs="Arial"/>
          <w:color w:val="000000" w:themeColor="text1"/>
          <w:sz w:val="24"/>
          <w:szCs w:val="24"/>
        </w:rPr>
        <w:t>The abundance of N-linked glycans across the SARS-CoV-2 spike protein is a potential source of heterogeneity between the many different vaccine candidates under investigation</w:t>
      </w:r>
      <w:r w:rsidRPr="002E1FAC">
        <w:rPr>
          <w:rFonts w:ascii="Arial" w:hAnsi="Arial" w:cs="Arial"/>
          <w:color w:val="000000" w:themeColor="text1"/>
          <w:sz w:val="24"/>
          <w:szCs w:val="24"/>
        </w:rPr>
        <w:t xml:space="preserve">. </w:t>
      </w:r>
      <w:r w:rsidRPr="006B3D43">
        <w:rPr>
          <w:rFonts w:ascii="Arial" w:hAnsi="Arial" w:cs="Arial"/>
          <w:sz w:val="24"/>
          <w:szCs w:val="24"/>
        </w:rPr>
        <w:t>Here, we investigate the glycosylation</w:t>
      </w:r>
      <w:r w:rsidR="00033353">
        <w:rPr>
          <w:rFonts w:ascii="Arial" w:hAnsi="Arial" w:cs="Arial"/>
          <w:sz w:val="24"/>
          <w:szCs w:val="24"/>
        </w:rPr>
        <w:t xml:space="preserve"> </w:t>
      </w:r>
      <w:r w:rsidRPr="006B3D43">
        <w:rPr>
          <w:rFonts w:ascii="Arial" w:hAnsi="Arial" w:cs="Arial"/>
          <w:sz w:val="24"/>
          <w:szCs w:val="24"/>
        </w:rPr>
        <w:t xml:space="preserve">of recombinant SARS-CoV-2 </w:t>
      </w:r>
      <w:r w:rsidR="00B92154">
        <w:rPr>
          <w:rFonts w:ascii="Arial" w:hAnsi="Arial" w:cs="Arial"/>
          <w:sz w:val="24"/>
          <w:szCs w:val="24"/>
        </w:rPr>
        <w:t>spike proteins</w:t>
      </w:r>
      <w:r w:rsidR="00B92154" w:rsidRPr="006B3D43">
        <w:rPr>
          <w:rFonts w:ascii="Arial" w:hAnsi="Arial" w:cs="Arial"/>
          <w:sz w:val="24"/>
          <w:szCs w:val="24"/>
        </w:rPr>
        <w:t xml:space="preserve"> </w:t>
      </w:r>
      <w:r w:rsidRPr="006B3D43">
        <w:rPr>
          <w:rFonts w:ascii="Arial" w:hAnsi="Arial" w:cs="Arial"/>
          <w:sz w:val="24"/>
          <w:szCs w:val="24"/>
        </w:rPr>
        <w:t xml:space="preserve">from five different laboratories and compare them against </w:t>
      </w:r>
      <w:r w:rsidR="004368F7">
        <w:rPr>
          <w:rFonts w:ascii="Arial" w:hAnsi="Arial" w:cs="Arial"/>
          <w:sz w:val="24"/>
          <w:szCs w:val="24"/>
        </w:rPr>
        <w:t xml:space="preserve">S protein from </w:t>
      </w:r>
      <w:r w:rsidRPr="006B3D43">
        <w:rPr>
          <w:rFonts w:ascii="Arial" w:hAnsi="Arial" w:cs="Arial"/>
          <w:sz w:val="24"/>
          <w:szCs w:val="24"/>
        </w:rPr>
        <w:t>infectious virus</w:t>
      </w:r>
      <w:r w:rsidR="004368F7">
        <w:rPr>
          <w:rFonts w:ascii="Arial" w:hAnsi="Arial" w:cs="Arial"/>
          <w:sz w:val="24"/>
          <w:szCs w:val="24"/>
        </w:rPr>
        <w:t>,</w:t>
      </w:r>
      <w:r w:rsidR="00D05F0A">
        <w:rPr>
          <w:rFonts w:ascii="Arial" w:hAnsi="Arial" w:cs="Arial"/>
          <w:sz w:val="24"/>
          <w:szCs w:val="24"/>
        </w:rPr>
        <w:t xml:space="preserve"> </w:t>
      </w:r>
      <w:r w:rsidR="00367411">
        <w:rPr>
          <w:rFonts w:ascii="Arial" w:hAnsi="Arial" w:cs="Arial"/>
          <w:sz w:val="24"/>
          <w:szCs w:val="24"/>
        </w:rPr>
        <w:t>cultured in Vero cells</w:t>
      </w:r>
      <w:r w:rsidRPr="006B3D43">
        <w:rPr>
          <w:rFonts w:ascii="Arial" w:hAnsi="Arial" w:cs="Arial"/>
          <w:sz w:val="24"/>
          <w:szCs w:val="24"/>
        </w:rPr>
        <w:t xml:space="preserve">. </w:t>
      </w:r>
      <w:r w:rsidR="007D3950">
        <w:rPr>
          <w:rFonts w:ascii="Arial" w:hAnsi="Arial" w:cs="Arial"/>
          <w:sz w:val="24"/>
          <w:szCs w:val="24"/>
        </w:rPr>
        <w:t xml:space="preserve">We find patterns </w:t>
      </w:r>
      <w:r w:rsidR="00D05F0A">
        <w:rPr>
          <w:rFonts w:ascii="Arial" w:hAnsi="Arial" w:cs="Arial"/>
          <w:sz w:val="24"/>
          <w:szCs w:val="24"/>
        </w:rPr>
        <w:t xml:space="preserve">which </w:t>
      </w:r>
      <w:r w:rsidR="007D3950">
        <w:rPr>
          <w:rFonts w:ascii="Arial" w:hAnsi="Arial" w:cs="Arial"/>
          <w:sz w:val="24"/>
          <w:szCs w:val="24"/>
        </w:rPr>
        <w:t xml:space="preserve">are conserved </w:t>
      </w:r>
      <w:r w:rsidR="00D05F0A" w:rsidRPr="006B3D43">
        <w:rPr>
          <w:rFonts w:ascii="Arial" w:hAnsi="Arial" w:cs="Arial"/>
          <w:sz w:val="24"/>
          <w:szCs w:val="24"/>
        </w:rPr>
        <w:t>across all samples</w:t>
      </w:r>
      <w:r w:rsidR="00D05F0A">
        <w:rPr>
          <w:rFonts w:ascii="Arial" w:hAnsi="Arial" w:cs="Arial"/>
          <w:sz w:val="24"/>
          <w:szCs w:val="24"/>
        </w:rPr>
        <w:t xml:space="preserve"> </w:t>
      </w:r>
      <w:r w:rsidR="007D3950">
        <w:rPr>
          <w:rFonts w:ascii="Arial" w:hAnsi="Arial" w:cs="Arial"/>
          <w:sz w:val="24"/>
          <w:szCs w:val="24"/>
        </w:rPr>
        <w:t xml:space="preserve">and this can be associated with </w:t>
      </w:r>
      <w:r w:rsidRPr="006B3D43">
        <w:rPr>
          <w:rFonts w:ascii="Arial" w:hAnsi="Arial" w:cs="Arial"/>
          <w:sz w:val="24"/>
          <w:szCs w:val="24"/>
        </w:rPr>
        <w:t xml:space="preserve">site-specific stalling of glycan maturation </w:t>
      </w:r>
      <w:r w:rsidR="00D05F0A">
        <w:rPr>
          <w:rFonts w:ascii="Arial" w:hAnsi="Arial" w:cs="Arial"/>
          <w:sz w:val="24"/>
          <w:szCs w:val="24"/>
        </w:rPr>
        <w:t>which act as</w:t>
      </w:r>
      <w:r w:rsidR="00D05F0A" w:rsidRPr="006B3D43">
        <w:rPr>
          <w:rFonts w:ascii="Arial" w:hAnsi="Arial" w:cs="Arial"/>
          <w:sz w:val="24"/>
          <w:szCs w:val="24"/>
        </w:rPr>
        <w:t xml:space="preserve"> </w:t>
      </w:r>
      <w:r w:rsidRPr="006B3D43">
        <w:rPr>
          <w:rFonts w:ascii="Arial" w:hAnsi="Arial" w:cs="Arial"/>
          <w:sz w:val="24"/>
          <w:szCs w:val="24"/>
        </w:rPr>
        <w:t xml:space="preserve">a highly sensitive reporter of protein structure. </w:t>
      </w:r>
      <w:r w:rsidR="00D05F0A">
        <w:rPr>
          <w:rFonts w:ascii="Arial" w:hAnsi="Arial" w:cs="Arial"/>
          <w:sz w:val="24"/>
          <w:szCs w:val="24"/>
        </w:rPr>
        <w:t>M</w:t>
      </w:r>
      <w:r w:rsidRPr="006B3D43">
        <w:rPr>
          <w:rFonts w:ascii="Arial" w:hAnsi="Arial" w:cs="Arial"/>
          <w:sz w:val="24"/>
          <w:szCs w:val="24"/>
        </w:rPr>
        <w:t xml:space="preserve">olecular dynamics </w:t>
      </w:r>
      <w:r w:rsidR="00001D37">
        <w:rPr>
          <w:rFonts w:ascii="Arial" w:hAnsi="Arial" w:cs="Arial"/>
          <w:sz w:val="24"/>
          <w:szCs w:val="24"/>
        </w:rPr>
        <w:t xml:space="preserve">(MD) </w:t>
      </w:r>
      <w:r w:rsidRPr="006B3D43">
        <w:rPr>
          <w:rFonts w:ascii="Arial" w:hAnsi="Arial" w:cs="Arial"/>
          <w:sz w:val="24"/>
          <w:szCs w:val="24"/>
        </w:rPr>
        <w:t xml:space="preserve">simulations of a fully glycosylated spike </w:t>
      </w:r>
      <w:proofErr w:type="gramStart"/>
      <w:r w:rsidRPr="006B3D43">
        <w:rPr>
          <w:rFonts w:ascii="Arial" w:hAnsi="Arial" w:cs="Arial"/>
          <w:sz w:val="24"/>
          <w:szCs w:val="24"/>
        </w:rPr>
        <w:t>support</w:t>
      </w:r>
      <w:r w:rsidR="00C71B70">
        <w:rPr>
          <w:rFonts w:ascii="Arial" w:hAnsi="Arial" w:cs="Arial"/>
          <w:sz w:val="24"/>
          <w:szCs w:val="24"/>
        </w:rPr>
        <w:t>s</w:t>
      </w:r>
      <w:proofErr w:type="gramEnd"/>
      <w:r w:rsidRPr="006B3D43">
        <w:rPr>
          <w:rFonts w:ascii="Arial" w:hAnsi="Arial" w:cs="Arial"/>
          <w:sz w:val="24"/>
          <w:szCs w:val="24"/>
        </w:rPr>
        <w:t xml:space="preserve"> a model of steric restrictions that shape enzymatic processing of the glycans. These results suggest that </w:t>
      </w:r>
      <w:r w:rsidR="007D3950">
        <w:rPr>
          <w:rFonts w:ascii="Arial" w:hAnsi="Arial" w:cs="Arial"/>
          <w:sz w:val="24"/>
          <w:szCs w:val="24"/>
        </w:rPr>
        <w:t xml:space="preserve">recombinant </w:t>
      </w:r>
      <w:r w:rsidRPr="006B3D43">
        <w:rPr>
          <w:rFonts w:ascii="Arial" w:hAnsi="Arial" w:cs="Arial"/>
          <w:sz w:val="24"/>
          <w:szCs w:val="24"/>
        </w:rPr>
        <w:t xml:space="preserve">spike-based </w:t>
      </w:r>
      <w:r w:rsidR="007D3950">
        <w:rPr>
          <w:rFonts w:ascii="Arial" w:hAnsi="Arial" w:cs="Arial"/>
          <w:sz w:val="24"/>
          <w:szCs w:val="24"/>
        </w:rPr>
        <w:t xml:space="preserve">SARS-CoV-2 </w:t>
      </w:r>
      <w:r w:rsidRPr="006B3D43">
        <w:rPr>
          <w:rFonts w:ascii="Arial" w:hAnsi="Arial" w:cs="Arial"/>
          <w:sz w:val="24"/>
          <w:szCs w:val="24"/>
        </w:rPr>
        <w:t>immunogen glycosylation reproducibly recapitulate</w:t>
      </w:r>
      <w:r w:rsidR="00370983">
        <w:rPr>
          <w:rFonts w:ascii="Arial" w:hAnsi="Arial" w:cs="Arial"/>
          <w:sz w:val="24"/>
          <w:szCs w:val="24"/>
        </w:rPr>
        <w:t>s</w:t>
      </w:r>
      <w:r w:rsidRPr="006B3D43">
        <w:rPr>
          <w:rFonts w:ascii="Arial" w:hAnsi="Arial" w:cs="Arial"/>
          <w:sz w:val="24"/>
          <w:szCs w:val="24"/>
        </w:rPr>
        <w:t xml:space="preserve"> </w:t>
      </w:r>
      <w:r w:rsidR="00DC70F7">
        <w:rPr>
          <w:rFonts w:ascii="Arial" w:hAnsi="Arial" w:cs="Arial"/>
          <w:sz w:val="24"/>
          <w:szCs w:val="24"/>
        </w:rPr>
        <w:t xml:space="preserve">signatures of </w:t>
      </w:r>
      <w:r w:rsidRPr="006B3D43">
        <w:rPr>
          <w:rFonts w:ascii="Arial" w:hAnsi="Arial" w:cs="Arial"/>
          <w:sz w:val="24"/>
          <w:szCs w:val="24"/>
        </w:rPr>
        <w:t>viral glycosylation</w:t>
      </w:r>
      <w:r>
        <w:rPr>
          <w:rFonts w:ascii="Arial" w:hAnsi="Arial" w:cs="Arial"/>
          <w:sz w:val="24"/>
          <w:szCs w:val="24"/>
        </w:rPr>
        <w:t>.</w:t>
      </w:r>
    </w:p>
    <w:p w14:paraId="3BB8CEFE" w14:textId="77777777" w:rsidR="00FD101D" w:rsidRPr="00160792" w:rsidRDefault="00FD101D" w:rsidP="006F412F">
      <w:pPr>
        <w:spacing w:line="360" w:lineRule="auto"/>
        <w:contextualSpacing/>
        <w:jc w:val="both"/>
        <w:rPr>
          <w:rFonts w:ascii="Arial" w:hAnsi="Arial" w:cs="Arial"/>
          <w:sz w:val="24"/>
          <w:szCs w:val="24"/>
        </w:rPr>
      </w:pPr>
    </w:p>
    <w:p w14:paraId="0C986830" w14:textId="77777777" w:rsidR="00FD101D" w:rsidRDefault="00FD101D" w:rsidP="006B3D43">
      <w:pPr>
        <w:spacing w:line="360" w:lineRule="auto"/>
        <w:contextualSpacing/>
        <w:jc w:val="both"/>
        <w:rPr>
          <w:rFonts w:ascii="Arial" w:hAnsi="Arial" w:cs="Arial"/>
          <w:b/>
          <w:bCs/>
          <w:sz w:val="24"/>
          <w:szCs w:val="24"/>
        </w:rPr>
      </w:pPr>
    </w:p>
    <w:p w14:paraId="676E0AC3" w14:textId="77777777" w:rsidR="00FD101D" w:rsidRDefault="00FD101D" w:rsidP="006B3D43">
      <w:pPr>
        <w:spacing w:line="360" w:lineRule="auto"/>
        <w:contextualSpacing/>
        <w:jc w:val="both"/>
        <w:rPr>
          <w:rFonts w:ascii="Arial" w:hAnsi="Arial" w:cs="Arial"/>
          <w:b/>
          <w:bCs/>
          <w:sz w:val="24"/>
          <w:szCs w:val="24"/>
        </w:rPr>
      </w:pPr>
    </w:p>
    <w:p w14:paraId="2372AB66" w14:textId="77777777" w:rsidR="00FD101D" w:rsidRDefault="00FD101D" w:rsidP="006B3D43">
      <w:pPr>
        <w:spacing w:line="360" w:lineRule="auto"/>
        <w:contextualSpacing/>
        <w:jc w:val="both"/>
        <w:rPr>
          <w:rFonts w:ascii="Arial" w:hAnsi="Arial" w:cs="Arial"/>
          <w:b/>
          <w:bCs/>
          <w:sz w:val="24"/>
          <w:szCs w:val="24"/>
        </w:rPr>
      </w:pPr>
    </w:p>
    <w:p w14:paraId="30D5213B" w14:textId="77777777" w:rsidR="00FD101D" w:rsidRDefault="00FD101D" w:rsidP="006B3D43">
      <w:pPr>
        <w:spacing w:line="360" w:lineRule="auto"/>
        <w:contextualSpacing/>
        <w:jc w:val="both"/>
        <w:rPr>
          <w:rFonts w:ascii="Arial" w:hAnsi="Arial" w:cs="Arial"/>
          <w:b/>
          <w:bCs/>
          <w:sz w:val="24"/>
          <w:szCs w:val="24"/>
        </w:rPr>
      </w:pPr>
    </w:p>
    <w:p w14:paraId="783DA442" w14:textId="77777777" w:rsidR="00FD101D" w:rsidRDefault="00FD101D" w:rsidP="006B3D43">
      <w:pPr>
        <w:spacing w:line="360" w:lineRule="auto"/>
        <w:contextualSpacing/>
        <w:jc w:val="both"/>
        <w:rPr>
          <w:rFonts w:ascii="Arial" w:hAnsi="Arial" w:cs="Arial"/>
          <w:b/>
          <w:bCs/>
          <w:sz w:val="24"/>
          <w:szCs w:val="24"/>
        </w:rPr>
      </w:pPr>
    </w:p>
    <w:p w14:paraId="1CFBA260" w14:textId="77777777" w:rsidR="00FD101D" w:rsidRDefault="00FD101D" w:rsidP="006B3D43">
      <w:pPr>
        <w:spacing w:line="360" w:lineRule="auto"/>
        <w:contextualSpacing/>
        <w:jc w:val="both"/>
        <w:rPr>
          <w:rFonts w:ascii="Arial" w:hAnsi="Arial" w:cs="Arial"/>
          <w:b/>
          <w:bCs/>
          <w:sz w:val="24"/>
          <w:szCs w:val="24"/>
        </w:rPr>
      </w:pPr>
    </w:p>
    <w:p w14:paraId="637D8F08" w14:textId="77777777" w:rsidR="00FD101D" w:rsidRDefault="00FD101D" w:rsidP="006B3D43">
      <w:pPr>
        <w:spacing w:line="360" w:lineRule="auto"/>
        <w:contextualSpacing/>
        <w:jc w:val="both"/>
        <w:rPr>
          <w:rFonts w:ascii="Arial" w:hAnsi="Arial" w:cs="Arial"/>
          <w:b/>
          <w:bCs/>
          <w:sz w:val="24"/>
          <w:szCs w:val="24"/>
        </w:rPr>
      </w:pPr>
    </w:p>
    <w:p w14:paraId="0A10E793" w14:textId="404DB011" w:rsidR="00FD101D" w:rsidRDefault="00FD101D" w:rsidP="006B3D43">
      <w:pPr>
        <w:spacing w:line="360" w:lineRule="auto"/>
        <w:contextualSpacing/>
        <w:jc w:val="both"/>
        <w:rPr>
          <w:rFonts w:ascii="Arial" w:hAnsi="Arial" w:cs="Arial"/>
          <w:b/>
          <w:bCs/>
          <w:sz w:val="24"/>
          <w:szCs w:val="24"/>
        </w:rPr>
      </w:pPr>
    </w:p>
    <w:p w14:paraId="52ED113E" w14:textId="77777777" w:rsidR="00DC70F7" w:rsidRDefault="00DC70F7">
      <w:pPr>
        <w:rPr>
          <w:rFonts w:ascii="Arial" w:hAnsi="Arial" w:cs="Arial"/>
          <w:b/>
          <w:bCs/>
          <w:sz w:val="24"/>
          <w:szCs w:val="24"/>
        </w:rPr>
      </w:pPr>
      <w:r>
        <w:rPr>
          <w:rFonts w:ascii="Arial" w:hAnsi="Arial" w:cs="Arial"/>
          <w:b/>
          <w:bCs/>
          <w:sz w:val="24"/>
          <w:szCs w:val="24"/>
        </w:rPr>
        <w:br w:type="page"/>
      </w:r>
    </w:p>
    <w:p w14:paraId="35A287E6" w14:textId="5231934F" w:rsidR="006716E2" w:rsidRPr="006B3D43" w:rsidRDefault="006716E2" w:rsidP="006B3D43">
      <w:pPr>
        <w:spacing w:line="360" w:lineRule="auto"/>
        <w:contextualSpacing/>
        <w:jc w:val="both"/>
        <w:rPr>
          <w:rFonts w:ascii="Arial" w:hAnsi="Arial" w:cs="Arial"/>
          <w:b/>
          <w:bCs/>
          <w:sz w:val="24"/>
          <w:szCs w:val="24"/>
        </w:rPr>
      </w:pPr>
      <w:r w:rsidRPr="006B3D43">
        <w:rPr>
          <w:rFonts w:ascii="Arial" w:hAnsi="Arial" w:cs="Arial"/>
          <w:b/>
          <w:bCs/>
          <w:sz w:val="24"/>
          <w:szCs w:val="24"/>
        </w:rPr>
        <w:lastRenderedPageBreak/>
        <w:t>Introduction</w:t>
      </w:r>
    </w:p>
    <w:p w14:paraId="259A31C9" w14:textId="20D3C59C" w:rsidR="00C00E47" w:rsidRDefault="006716E2" w:rsidP="006F412F">
      <w:pPr>
        <w:spacing w:line="360" w:lineRule="auto"/>
        <w:contextualSpacing/>
        <w:jc w:val="both"/>
        <w:rPr>
          <w:rFonts w:ascii="Arial" w:hAnsi="Arial" w:cs="Arial"/>
          <w:sz w:val="24"/>
          <w:szCs w:val="24"/>
        </w:rPr>
      </w:pPr>
      <w:r w:rsidRPr="006B3D43">
        <w:rPr>
          <w:rFonts w:ascii="Arial" w:hAnsi="Arial" w:cs="Arial"/>
          <w:sz w:val="24"/>
          <w:szCs w:val="24"/>
        </w:rPr>
        <w:t xml:space="preserve">The </w:t>
      </w:r>
      <w:r w:rsidR="009D67E1">
        <w:rPr>
          <w:rFonts w:ascii="Arial" w:hAnsi="Arial" w:cs="Arial"/>
          <w:sz w:val="24"/>
          <w:szCs w:val="24"/>
        </w:rPr>
        <w:t>C</w:t>
      </w:r>
      <w:r w:rsidR="009D67E1" w:rsidRPr="009D67E1">
        <w:rPr>
          <w:rFonts w:ascii="Arial" w:hAnsi="Arial" w:cs="Arial"/>
          <w:sz w:val="24"/>
          <w:szCs w:val="24"/>
        </w:rPr>
        <w:t xml:space="preserve">oronavirus </w:t>
      </w:r>
      <w:r w:rsidR="009D67E1">
        <w:rPr>
          <w:rFonts w:ascii="Arial" w:hAnsi="Arial" w:cs="Arial"/>
          <w:sz w:val="24"/>
          <w:szCs w:val="24"/>
        </w:rPr>
        <w:t>D</w:t>
      </w:r>
      <w:r w:rsidR="009D67E1" w:rsidRPr="009D67E1">
        <w:rPr>
          <w:rFonts w:ascii="Arial" w:hAnsi="Arial" w:cs="Arial"/>
          <w:sz w:val="24"/>
          <w:szCs w:val="24"/>
        </w:rPr>
        <w:t>isease 2019 (COVID-19)</w:t>
      </w:r>
      <w:r w:rsidR="009D67E1">
        <w:rPr>
          <w:rFonts w:ascii="Arial" w:hAnsi="Arial" w:cs="Arial"/>
          <w:sz w:val="24"/>
          <w:szCs w:val="24"/>
        </w:rPr>
        <w:t xml:space="preserve"> </w:t>
      </w:r>
      <w:r w:rsidRPr="006B3D43">
        <w:rPr>
          <w:rFonts w:ascii="Arial" w:hAnsi="Arial" w:cs="Arial"/>
          <w:sz w:val="24"/>
          <w:szCs w:val="24"/>
        </w:rPr>
        <w:t xml:space="preserve">pandemic has prompted the development of an unprecedented array of vaccine candidates against the causative </w:t>
      </w:r>
      <w:r w:rsidR="00B92154">
        <w:rPr>
          <w:rFonts w:ascii="Arial" w:hAnsi="Arial" w:cs="Arial"/>
          <w:sz w:val="24"/>
          <w:szCs w:val="24"/>
        </w:rPr>
        <w:t>pathogen</w:t>
      </w:r>
      <w:r w:rsidRPr="006B3D43">
        <w:rPr>
          <w:rFonts w:ascii="Arial" w:hAnsi="Arial" w:cs="Arial"/>
          <w:sz w:val="24"/>
          <w:szCs w:val="24"/>
        </w:rPr>
        <w:t xml:space="preserve">, </w:t>
      </w:r>
      <w:r w:rsidR="00557DA4">
        <w:rPr>
          <w:rFonts w:ascii="Arial" w:hAnsi="Arial" w:cs="Arial"/>
          <w:sz w:val="24"/>
          <w:szCs w:val="24"/>
        </w:rPr>
        <w:t>s</w:t>
      </w:r>
      <w:r w:rsidR="00557DA4" w:rsidRPr="009D67E1">
        <w:rPr>
          <w:rFonts w:ascii="Arial" w:hAnsi="Arial" w:cs="Arial"/>
          <w:sz w:val="24"/>
          <w:szCs w:val="24"/>
        </w:rPr>
        <w:t xml:space="preserve">evere </w:t>
      </w:r>
      <w:r w:rsidR="009D67E1" w:rsidRPr="009D67E1">
        <w:rPr>
          <w:rFonts w:ascii="Arial" w:hAnsi="Arial" w:cs="Arial"/>
          <w:sz w:val="24"/>
          <w:szCs w:val="24"/>
        </w:rPr>
        <w:t>acute respiratory syndrome</w:t>
      </w:r>
      <w:r w:rsidR="00B51562">
        <w:rPr>
          <w:rFonts w:ascii="Arial" w:hAnsi="Arial" w:cs="Arial"/>
          <w:sz w:val="24"/>
          <w:szCs w:val="24"/>
        </w:rPr>
        <w:t>-</w:t>
      </w:r>
      <w:r w:rsidR="009D67E1" w:rsidRPr="009D67E1">
        <w:rPr>
          <w:rFonts w:ascii="Arial" w:hAnsi="Arial" w:cs="Arial"/>
          <w:sz w:val="24"/>
          <w:szCs w:val="24"/>
        </w:rPr>
        <w:t>coronavirus</w:t>
      </w:r>
      <w:r w:rsidR="00B51562">
        <w:rPr>
          <w:rFonts w:ascii="Arial" w:hAnsi="Arial" w:cs="Arial"/>
          <w:sz w:val="24"/>
          <w:szCs w:val="24"/>
        </w:rPr>
        <w:t>-</w:t>
      </w:r>
      <w:r w:rsidR="009D67E1" w:rsidRPr="009D67E1">
        <w:rPr>
          <w:rFonts w:ascii="Arial" w:hAnsi="Arial" w:cs="Arial"/>
          <w:sz w:val="24"/>
          <w:szCs w:val="24"/>
        </w:rPr>
        <w:t>2</w:t>
      </w:r>
      <w:r w:rsidR="00B92154">
        <w:rPr>
          <w:rFonts w:ascii="Arial" w:hAnsi="Arial" w:cs="Arial"/>
          <w:sz w:val="24"/>
          <w:szCs w:val="24"/>
        </w:rPr>
        <w:t xml:space="preserve"> </w:t>
      </w:r>
      <w:r w:rsidR="009D67E1">
        <w:rPr>
          <w:rFonts w:ascii="Arial" w:hAnsi="Arial" w:cs="Arial"/>
          <w:sz w:val="24"/>
          <w:szCs w:val="24"/>
        </w:rPr>
        <w:t>(</w:t>
      </w:r>
      <w:r w:rsidRPr="006B3D43">
        <w:rPr>
          <w:rFonts w:ascii="Arial" w:hAnsi="Arial" w:cs="Arial"/>
          <w:sz w:val="24"/>
          <w:szCs w:val="24"/>
        </w:rPr>
        <w:t>SARS-CoV-2</w:t>
      </w:r>
      <w:r w:rsidR="009D67E1">
        <w:rPr>
          <w:rFonts w:ascii="Arial" w:hAnsi="Arial" w:cs="Arial"/>
          <w:sz w:val="24"/>
          <w:szCs w:val="24"/>
        </w:rPr>
        <w:t>)</w:t>
      </w:r>
      <w:r w:rsidRPr="006B3D43">
        <w:rPr>
          <w:rFonts w:ascii="Arial" w:hAnsi="Arial" w:cs="Arial"/>
          <w:sz w:val="24"/>
          <w:szCs w:val="24"/>
        </w:rPr>
        <w:t>. All approaches aim to deliver molecular features of the virus in order to induce immunity. The viral spike</w:t>
      </w:r>
      <w:r w:rsidR="007F636A">
        <w:rPr>
          <w:rFonts w:ascii="Arial" w:hAnsi="Arial" w:cs="Arial"/>
          <w:sz w:val="24"/>
          <w:szCs w:val="24"/>
        </w:rPr>
        <w:t xml:space="preserve"> glycoprotein</w:t>
      </w:r>
      <w:r w:rsidRPr="006B3D43">
        <w:rPr>
          <w:rFonts w:ascii="Arial" w:hAnsi="Arial" w:cs="Arial"/>
          <w:sz w:val="24"/>
          <w:szCs w:val="24"/>
        </w:rPr>
        <w:t xml:space="preserve">, </w:t>
      </w:r>
      <w:r w:rsidR="007F636A">
        <w:rPr>
          <w:rFonts w:ascii="Arial" w:hAnsi="Arial" w:cs="Arial"/>
          <w:sz w:val="24"/>
          <w:szCs w:val="24"/>
        </w:rPr>
        <w:t>also referred to as</w:t>
      </w:r>
      <w:r w:rsidR="007F636A" w:rsidRPr="006B3D43">
        <w:rPr>
          <w:rFonts w:ascii="Arial" w:hAnsi="Arial" w:cs="Arial"/>
          <w:sz w:val="24"/>
          <w:szCs w:val="24"/>
        </w:rPr>
        <w:t xml:space="preserve"> </w:t>
      </w:r>
      <w:r w:rsidRPr="006B3D43">
        <w:rPr>
          <w:rFonts w:ascii="Arial" w:hAnsi="Arial" w:cs="Arial"/>
          <w:sz w:val="24"/>
          <w:szCs w:val="24"/>
        </w:rPr>
        <w:t xml:space="preserve">S protein, has emerged as the principal focus </w:t>
      </w:r>
      <w:r w:rsidR="007F636A">
        <w:rPr>
          <w:rFonts w:ascii="Arial" w:hAnsi="Arial" w:cs="Arial"/>
          <w:sz w:val="24"/>
          <w:szCs w:val="24"/>
        </w:rPr>
        <w:t xml:space="preserve">of vaccine design efforts </w:t>
      </w:r>
      <w:r w:rsidRPr="006B3D43">
        <w:rPr>
          <w:rFonts w:ascii="Arial" w:hAnsi="Arial" w:cs="Arial"/>
          <w:sz w:val="24"/>
          <w:szCs w:val="24"/>
        </w:rPr>
        <w:t>as antibodies against this target can offer robust immunity</w:t>
      </w:r>
      <w:r w:rsidR="00E11CF8" w:rsidRPr="006B3D43">
        <w:rPr>
          <w:rFonts w:ascii="Arial" w:hAnsi="Arial" w:cs="Arial"/>
          <w:sz w:val="24"/>
          <w:szCs w:val="24"/>
        </w:rPr>
        <w:fldChar w:fldCharType="begin" w:fldLock="1"/>
      </w:r>
      <w:r w:rsidR="008737C8">
        <w:rPr>
          <w:rFonts w:ascii="Arial" w:hAnsi="Arial" w:cs="Arial"/>
          <w:sz w:val="24"/>
          <w:szCs w:val="24"/>
        </w:rPr>
        <w:instrText>ADDIN CSL_CITATION {"citationItems":[{"id":"ITEM-1","itemData":{"DOI":"10.1126/science.abc5902","ISSN":"10959203","PMID":"32540902","abstract":"The rapid spread of severe acute respiratory syndrome coronavirus 2 (SARS-CoV-2) has had a large impact on global health, travel, and economy. Therefore, preventative and therapeutic measures are urgently needed. Here, we isolated monoclonal antibodies from three convalescent coronavirus disease 2019 (COVID-19) patients using a SARS-CoV-2 stabilized prefusion spike protein. These antibodies had low levels of somatic hypermutation and showed a strong enrichment in VH1-69, VH3-30-3, and VH1-24 gene usage. A subset of the antibodies was able to potently inhibit authentic SARS-CoV-2 infection at a concentration as low as 0.007 micrograms per milliliter. Competition and electron microscopy studies illustrate that the SARS-CoV-2 spike protein contains multiple distinct antigenic sites, including several receptor-binding domain (RBD) epitopes as well as non-RBD epitopes. In addition to providing guidance for vaccine design, the antibodies described here are promising candidates for COVID-19 treatment and prevention.","author":[{"dropping-particle":"","family":"Brouwer","given":"Philip J.M.","non-dropping-particle":"","parse-names":false,"suffix":""},{"dropping-particle":"","family":"Caniels","given":"Tom G.","non-dropping-particle":"","parse-names":false,"suffix":""},{"dropping-particle":"","family":"Straten","given":"Karlijn","non-dropping-particle":"van der","parse-names":false,"suffix":""},{"dropping-particle":"","family":"Snitselaar","given":"Jonne L.","non-dropping-particle":"","parse-names":false,"suffix":""},{"dropping-particle":"","family":"Aldon","given":"Yoann","non-dropping-particle":"","parse-names":false,"suffix":""},{"dropping-particle":"","family":"Bangaru","given":"Sandhya","non-dropping-particle":"","parse-names":false,"suffix":""},{"dropping-particle":"","family":"Torres","given":"Jonathan L.","non-dropping-particle":"","parse-names":false,"suffix":""},{"dropping-particle":"","family":"Okba","given":"Nisreen M.A.","non-dropping-particle":"","parse-names":false,"suffix":""},{"dropping-particle":"","family":"Claireaux","given":"Mathieu","non-dropping-particle":"","parse-names":false,"suffix":""},{"dropping-particle":"","family":"Kerster","given":"Gius","non-dropping-particle":"","parse-names":false,"suffix":""},{"dropping-particle":"","family":"Bentlage","given":"Arthur E.H.","non-dropping-particle":"","parse-names":false,"suffix":""},{"dropping-particle":"","family":"Haaren","given":"Marlies M.","non-dropping-particle":"van","parse-names":false,"suffix":""},{"dropping-particle":"","family":"Guerra","given":"Denise","non-dropping-particle":"","parse-names":false,"suffix":""},{"dropping-particle":"","family":"Burger","given":"Judith A.","non-dropping-particle":"","parse-names":false,"suffix":""},{"dropping-particle":"","family":"Schermer","given":"Edith E.","non-dropping-particle":"","parse-names":false,"suffix":""},{"dropping-particle":"","family":"Verheul","given":"Kirsten D.","non-dropping-particle":"","parse-names":false,"suffix":""},{"dropping-particle":"","family":"Velde","given":"Niels","non-dropping-particle":"van der","parse-names":false,"suffix":""},{"dropping-particle":"","family":"Kooi","given":"Alex","non-dropping-particle":"van der","parse-names":false,"suffix":""},{"dropping-particle":"","family":"Schooten","given":"Jelle","non-dropping-particle":"van","parse-names":false,"suffix":""},{"dropping-particle":"","family":"Breemen","given":"Mariëlle J.","non-dropping-particle":"van","parse-names":false,"suffix":""},{"dropping-particle":"","family":"Bijl","given":"Tom P.L.","non-dropping-particle":"","parse-names":false,"suffix":""},{"dropping-particle":"","family":"Sliepen","given":"Kwinten","non-dropping-particle":"","parse-names":false,"suffix":""},{"dropping-particle":"","family":"Aartse","given":"Aafke","non-dropping-particle":"","parse-names":false,"suffix":""},{"dropping-particle":"","family":"Derking","given":"Ronald","non-dropping-particle":"","parse-names":false,"suffix":""},{"dropping-particle":"","family":"Bontjer","given":"Ilja","non-dropping-particle":"","parse-names":false,"suffix":""},{"dropping-particle":"","family":"Kootstra","given":"Neeltje A.","non-dropping-particle":"","parse-names":false,"suffix":""},{"dropping-particle":"","family":"Joost Wiersinga","given":"W.","non-dropping-particle":"","parse-names":false,"suffix":""},{"dropping-particle":"","family":"Vidarsson","given":"Gestur","non-dropping-particle":"","parse-names":false,"suffix":""},{"dropping-particle":"","family":"Haagmans","given":"Bart L.","non-dropping-particle":"","parse-names":false,"suffix":""},{"dropping-particle":"","family":"Ward","given":"Andrew B.","non-dropping-particle":"","parse-names":false,"suffix":""},{"dropping-particle":"","family":"Bree","given":"Godelieve J.","non-dropping-particle":"de","parse-names":false,"suffix":""},{"dropping-particle":"","family":"Sanders","given":"Rogier W.","non-dropping-particle":"","parse-names":false,"suffix":""},{"dropping-particle":"","family":"Gils","given":"Marit J.","non-dropping-particle":"van","parse-names":false,"suffix":""}],"container-title":"Science","id":"ITEM-1","issue":"6504","issued":{"date-parts":[["2020"]]},"page":"643-650","title":"Potent neutralizing antibodies from COVID-19 patients define multiple targets of vulnerability","type":"article-journal","volume":"369"},"uris":["http://www.mendeley.com/documents/?uuid=27a71b26-596a-4ff8-849c-2daa6b0e254f"]},{"id":"ITEM-2","itemData":{"DOI":"10.1038/s41586-020-2349-y","ISSN":"14764687","PMID":"32422645","abstract":"Severe acute respiratory syndrome coronavirus 2 (SARS-CoV-2) is a newly emerged coronavirus that is responsible for the current pandemic of coronavirus disease 2019 (COVID-19), which has resulted in more than 3.7 million infections and 260,000 deaths as of 6 May 20201,2. Vaccine and therapeutic discovery efforts are paramount to curb the pandemic spread of this zoonotic virus. The SARS-CoV-2 spike (S) glycoprotein promotes entry into host cells and is the main target of neutralizing antibodies. Here we describe several monoclonal antibodies that target the S glycoprotein of SARS-CoV-2, which we identified from memory B cells of an individual who was infected with severe acute respiratory syndrome coronavirus (SARS-CoV) in 2003. One antibody (named S309) potently neutralizes SARS-CoV-2 and SARS-CoV pseudoviruses as well as authentic SARS-CoV-2, by engaging the receptor-binding domain of the S glycoprotein. Using cryo-electron microscopy and binding assays, we show that S309 recognizes an epitope containing a glycan that is conserved within the Sarbecovirus subgenus, without competing with receptor attachment. Antibody cocktails that include S309 in combination with other antibodies that we identified further enhanced SARS-CoV-2 neutralization, and may limit the emergence of neutralization-escape mutants. These results pave the way for using S309 and antibody cocktails containing S309 for prophylaxis in individuals at a high risk of exposure or as a post-exposure therapy to limit or treat severe disease.","author":[{"dropping-particle":"","family":"Pinto","given":"Dora","non-dropping-particle":"","parse-names":false,"suffix":""},{"dropping-particle":"","family":"Park","given":"Young Jun","non-dropping-particle":"","parse-names":false,"suffix":""},{"dropping-particle":"","family":"Beltramello","given":"Martina","non-dropping-particle":"","parse-names":false,"suffix":""},{"dropping-particle":"","family":"Walls","given":"Alexandra C.","non-dropping-particle":"","parse-names":false,"suffix":""},{"dropping-particle":"","family":"Tortorici","given":"M. Alejandra","non-dropping-particle":"","parse-names":false,"suffix":""},{"dropping-particle":"","family":"Bianchi","given":"Siro","non-dropping-particle":"","parse-names":false,"suffix":""},{"dropping-particle":"","family":"Jaconi","given":"Stefano","non-dropping-particle":"","parse-names":false,"suffix":""},{"dropping-particle":"","family":"Culap","given":"Katja","non-dropping-particle":"","parse-names":false,"suffix":""},{"dropping-particle":"","family":"Zatta","given":"Fabrizia","non-dropping-particle":"","parse-names":false,"suffix":""},{"dropping-particle":"","family":"Marco","given":"Anna","non-dropping-particle":"De","parse-names":false,"suffix":""},{"dropping-particle":"","family":"Peter","given":"Alessia","non-dropping-particle":"","parse-names":false,"suffix":""},{"dropping-particle":"","family":"Guarino","given":"Barbara","non-dropping-particle":"","parse-names":false,"suffix":""},{"dropping-particle":"","family":"Spreafico","given":"Roberto","non-dropping-particle":"","parse-names":false,"suffix":""},{"dropping-particle":"","family":"Cameroni","given":"Elisabetta","non-dropping-particle":"","parse-names":false,"suffix":""},{"dropping-particle":"","family":"Case","given":"James Brett","non-dropping-particle":"","parse-names":false,"suffix":""},{"dropping-particle":"","family":"Chen","given":"Rita E.","non-dropping-particle":"","parse-names":false,"suffix":""},{"dropping-particle":"","family":"Havenar-Daughton","given":"Colin","non-dropping-particle":"","parse-names":false,"suffix":""},{"dropping-particle":"","family":"Snell","given":"Gyorgy","non-dropping-particle":"","parse-names":false,"suffix":""},{"dropping-particle":"","family":"Telenti","given":"Amalio","non-dropping-particle":"","parse-names":false,"suffix":""},{"dropping-particle":"","family":"Virgin","given":"Herbert W.","non-dropping-particle":"","parse-names":false,"suffix":""},{"dropping-particle":"","family":"Lanzavecchia","given":"Antonio","non-dropping-particle":"","parse-names":false,"suffix":""},{"dropping-particle":"","family":"Diamond","given":"Michael S.","non-dropping-particle":"","parse-names":false,"suffix":""},{"dropping-particle":"","family":"Fink","given":"Katja","non-dropping-particle":"","parse-names":false,"suffix":""},{"dropping-particle":"","family":"Veesler","given":"David","non-dropping-particle":"","parse-names":false,"suffix":""},{"dropping-particle":"","family":"Corti","given":"Davide","non-dropping-particle":"","parse-names":false,"suffix":""}],"container-title":"Nature","id":"ITEM-2","issue":"7815","issued":{"date-parts":[["2020"]]},"page":"290-295","title":"Cross-neutralization of SARS-CoV-2 by a human monoclonal SARS-CoV antibody","type":"article-journal","volume":"583"},"uris":["http://www.mendeley.com/documents/?uuid=e27543f8-ef13-4c07-8eda-acf29a12f888"]},{"id":"ITEM-3","itemData":{"DOI":"10.1038/s41586-020-2571-7","ISSN":"14764687","PMID":"32698192","abstract":"The severe acute respiratory syndrome coronavirus-2 (SARS-CoV-2) pandemic continues, with devasting consequences for human lives and the global economy1,2. The discovery and development of virus-neutralizing monoclonal antibodies could be one approach to treat or prevent infection by this coronavirus. Here we report the isolation of sixty-one SARS-CoV-2-neutralizing monoclonal antibodies from five patients infected with SARS-CoV-2 and admitted to hospital with severe coronavirus disease 2019 (COVID-19). Among these are nineteen antibodies that potently neutralized authentic SARS-CoV-2 in vitro, nine of which exhibited very high potency, with 50% virus-inhibitory concentrations of 0.7 to 9 ng ml−1. Epitope mapping showed that this collection of nineteen antibodies was about equally divided between those directed against the receptor-binding domain (RBD) and those directed against the N-terminal domain (NTD), indicating that both of these regions at the top of the viral spike are immunogenic. In addition, two other powerful neutralizing antibodies recognized quaternary epitopes that overlap with the domains at the top of the spike. Cryo-electron microscopy reconstructions of one antibody that targets the RBD, a second that targets the NTD, and a third that bridges two separate RBDs showed that the antibodies recognize the closed, ‘all RBD-down’ conformation of the spike. Several of these monoclonal antibodies are promising candidates for clinical development as potential therapeutic and/or prophylactic agents against SARS-CoV-2.","author":[{"dropping-particle":"","family":"Liu","given":"Lihong","non-dropping-particle":"","parse-names":false,"suffix":""},{"dropping-particle":"","family":"Wang","given":"Pengfei","non-dropping-particle":"","parse-names":false,"suffix":""},{"dropping-particle":"","family":"Nair","given":"Manoj S.","non-dropping-particle":"","parse-names":false,"suffix":""},{"dropping-particle":"","family":"Yu","given":"Jian","non-dropping-particle":"","parse-names":false,"suffix":""},{"dropping-particle":"","family":"Rapp","given":"Micah","non-dropping-particle":"","parse-names":false,"suffix":""},{"dropping-particle":"","family":"Wang","given":"Qian","non-dropping-particle":"","parse-names":false,"suffix":""},{"dropping-particle":"","family":"Luo","given":"Yang","non-dropping-particle":"","parse-names":false,"suffix":""},{"dropping-particle":"","family":"Chan","given":"Jasper F.W.","non-dropping-particle":"","parse-names":false,"suffix":""},{"dropping-particle":"","family":"Sahi","given":"Vincent","non-dropping-particle":"","parse-names":false,"suffix":""},{"dropping-particle":"","family":"Figueroa","given":"Amir","non-dropping-particle":"","parse-names":false,"suffix":""},{"dropping-particle":"V.","family":"Guo","given":"Xinzheng","non-dropping-particle":"","parse-names":false,"suffix":""},{"dropping-particle":"","family":"Cerutti","given":"Gabriele","non-dropping-particle":"","parse-names":false,"suffix":""},{"dropping-particle":"","family":"Bimela","given":"Jude","non-dropping-particle":"","parse-names":false,"suffix":""},{"dropping-particle":"","family":"Gorman","given":"Jason","non-dropping-particle":"","parse-names":false,"suffix":""},{"dropping-particle":"","family":"Zhou","given":"Tongqing","non-dropping-particle":"","parse-names":false,"suffix":""},{"dropping-particle":"","family":"Chen","given":"Zhiwei","non-dropping-particle":"","parse-names":false,"suffix":""},{"dropping-particle":"","family":"Yuen","given":"Kwok Yung","non-dropping-particle":"","parse-names":false,"suffix":""},{"dropping-particle":"","family":"Kwong","given":"Peter D.","non-dropping-particle":"","parse-names":false,"suffix":""},{"dropping-particle":"","family":"Sodroski","given":"Joseph G.","non-dropping-particle":"","parse-names":false,"suffix":""},{"dropping-particle":"","family":"Yin","given":"Michael T.","non-dropping-particle":"","parse-names":false,"suffix":""},{"dropping-particle":"","family":"Sheng","given":"Zizhang","non-dropping-particle":"","parse-names":false,"suffix":""},{"dropping-particle":"","family":"Huang","given":"Yaoxing","non-dropping-particle":"","parse-names":false,"suffix":""},{"dropping-particle":"","family":"Shapiro","given":"Lawrence","non-dropping-particle":"","parse-names":false,"suffix":""},{"dropping-particle":"","family":"Ho","given":"David D.","non-dropping-particle":"","parse-names":false,"suffix":""}],"container-title":"Nature","id":"ITEM-3","issue":"7821","issued":{"date-parts":[["2020"]]},"page":"450-456","title":"Potent neutralizing antibodies against multiple epitopes on SARS-CoV-2 spike","type":"article-journal","volume":"584"},"uris":["http://www.mendeley.com/documents/?uuid=d8e3ca52-34e7-4468-9f11-d672bef064a5"]},{"id":"ITEM-4","itemData":{"DOI":"10.1056/nejmoa2034577","ISSN":"0028-4793","PMID":"33301246","abstract":"BACKGROUND Severe acute respiratory syndrome coronavirus 2 (SARS-CoV-2) infection and the resulting coronavirus disease 2019 (Covid-19) have afflicted tens of millions of people in a worldwide pandemic. Safe and effective vaccines are needed urgently. METHODS In an ongoing multinational, placebo-controlled, observer-blinded, pivotal efficacy trial, we randomly assigned persons 16 years of age or older in a 1:1 ratio to receive two doses, 21 days apart, of either placebo or the BNT162b2 vaccine candidate (30 μg per dose). BNT162b2 is a lipid nanoparticle-formulated, nucleoside-modified RNA vaccine that encodes a prefusion stabilized, membrane-anchored SARS-CoV-2 full-length spike protein. The primary end points were efficacy of the vaccine against laboratory-confirmed Covid-19 and safety. RESULTS A total of 43,548 participants underwent randomization, of whom 43,448 received injections: 21,720 with BNT162b2 and 21,728 with placebo. There were 8 cases of Covid-19 with onset at least 7 days after the second dose among participants assigned to receive BNT162b2 and 162 cases among those assigned to placebo; BNT162b2 was 95% effective in preventing Covid-19 (95% credible interval, 90.3 to 97.6). Similar vaccine efficacy (generally 90 to 100%) was observed across subgroups defined by age, sex, race, ethnicity, baseline body-mass index, and the presence of coexisting conditions. Among 10 cases of severe Covid-19 with onset after the first dose, 9 occurred in placebo recipients and 1 in a BNT162b2 recipient. The safety profile of BNT162b2 was characterized by short-term, mild-to-moderate pain at the injection site, fatigue, and headache. The incidence of serious adverse events was low and was similar in the vaccine and placebo groups. CONCLUSIONS A two-dose regimen of BNT162b2 conferred 95% protection against Covid-19 in persons 16 years of age or older. Safety over a median of 2 months was similar to that of other viral vaccines. (Funded by BioNTech and Pfizer; ClinicalTrials.gov number, NCT04368728.).","author":[{"dropping-particle":"","family":"Polack","given":"Fernando P.","non-dropping-particle":"","parse-names":false,"suffix":""},{"dropping-particle":"","family":"Thomas","given":"Stephen J.","non-dropping-particle":"","parse-names":false,"suffix":""},{"dropping-particle":"","family":"Kitchin","given":"Nicholas","non-dropping-particle":"","parse-names":false,"suffix":""},{"dropping-particle":"","family":"Absalon","given":"Judith","non-dropping-particle":"","parse-names":false,"suffix":""},{"dropping-particle":"","family":"Gurtman","given":"Alejandra","non-dropping-particle":"","parse-names":false,"suffix":""},{"dropping-particle":"","family":"Lockhart","given":"Stephen","non-dropping-particle":"","parse-names":false,"suffix":""},{"dropping-particle":"","family":"Perez","given":"John L.","non-dropping-particle":"","parse-names":false,"suffix":""},{"dropping-particle":"","family":"Pérez Marc","given":"Gonzalo","non-dropping-particle":"","parse-names":false,"suffix":""},{"dropping-particle":"","family":"Moreira","given":"Edson D.","non-dropping-particle":"","parse-names":false,"suffix":""},{"dropping-particle":"","family":"Zerbini","given":"Cristiano","non-dropping-particle":"","parse-names":false,"suffix":""},{"dropping-particle":"","family":"Bailey","given":"Ruth","non-dropping-particle":"","parse-names":false,"suffix":""},{"dropping-particle":"","family":"Swanson","given":"Kena A.","non-dropping-particle":"","parse-names":false,"suffix":""},{"dropping-particle":"","family":"Roychoudhury","given":"Satrajit","non-dropping-particle":"","parse-names":false,"suffix":""},{"dropping-particle":"","family":"Koury","given":"Kenneth","non-dropping-particle":"","parse-names":false,"suffix":""},{"dropping-particle":"","family":"Li","given":"Ping","non-dropping-particle":"","parse-names":false,"suffix":""},{"dropping-particle":"V.","family":"Kalina","given":"Warren","non-dropping-particle":"","parse-names":false,"suffix":""},{"dropping-particle":"","family":"Cooper","given":"David","non-dropping-particle":"","parse-names":false,"suffix":""},{"dropping-particle":"","family":"Frenck","given":"Robert W.","non-dropping-particle":"","parse-names":false,"suffix":""},{"dropping-particle":"","family":"Hammitt","given":"Laura L.","non-dropping-particle":"","parse-names":false,"suffix":""},{"dropping-particle":"","family":"Türeci","given":"Özlem","non-dropping-particle":"","parse-names":false,"suffix":""},{"dropping-particle":"","family":"Nell","given":"Haylene","non-dropping-particle":"","parse-names":false,"suffix":""},{"dropping-particle":"","family":"Schaefer","given":"Axel","non-dropping-particle":"","parse-names":false,"suffix":""},{"dropping-particle":"","family":"Ünal","given":"Serhat","non-dropping-particle":"","parse-names":false,"suffix":""},{"dropping-particle":"","family":"Tresnan","given":"Dina B.","non-dropping-particle":"","parse-names":false,"suffix":""},{"dropping-particle":"","family":"Mather","given":"Susan","non-dropping-particle":"","parse-names":false,"suffix":""},{"dropping-particle":"","family":"Dormitzer","given":"Philip R.","non-dropping-particle":"","parse-names":false,"suffix":""},{"dropping-particle":"","family":"Şahin","given":"Uğur","non-dropping-particle":"","parse-names":false,"suffix":""},{"dropping-particle":"","family":"Jansen","given":"Kathrin U.","non-dropping-particle":"","parse-names":false,"suffix":""},{"dropping-particle":"","family":"Gruber","given":"William C.","non-dropping-particle":"","parse-names":false,"suffix":""}],"container-title":"New England Journal of Medicine","id":"ITEM-4","issue":"27","issued":{"date-parts":[["2020","12","31"]]},"page":"2603-2615","publisher":"Massachusetts Medical Society","title":"Safety and Efficacy of the BNT162b2 mRNA Covid-19 Vaccine","type":"article-journal","volume":"383"},"uris":["http://www.mendeley.com/documents/?uuid=0b3454dd-a408-3480-a820-53138fab6c49"]},{"id":"ITEM-5","itemData":{"DOI":"10.1056/nejmoa2035389","ISSN":"0028-4793","abstract":"Abstract Background Vaccines are needed to prevent coronavirus disease 2019 (Covid-19) and to protect persons who are at high risk for complications. The mRNA-1273 vaccine is a lipid nanoparticle–e...","author":[{"dropping-particle":"","family":"Baden","given":"Lindsey R.","non-dropping-particle":"","parse-names":false,"suffix":""},{"dropping-particle":"","family":"Sahly","given":"Hana M.","non-dropping-particle":"El","parse-names":false,"suffix":""},{"dropping-particle":"","family":"Essink","given":"Brandon","non-dropping-particle":"","parse-names":false,"suffix":""},{"dropping-particle":"","family":"Kotloff","given":"Karen","non-dropping-particle":"","parse-names":false,"suffix":""},{"dropping-particle":"","family":"Frey","given":"Sharon","non-dropping-particle":"","parse-names":false,"suffix":""},{"dropping-particle":"","family":"Novak","given":"Rick","non-dropping-particle":"","parse-names":false,"suffix":""},{"dropping-particle":"","family":"Diemert","given":"David","non-dropping-particle":"","parse-names":false,"suffix":""},{"dropping-particle":"","family":"Spector","given":"Stephen A.","non-dropping-particle":"","parse-names":false,"suffix":""},{"dropping-particle":"","family":"Rouphael","given":"Nadine","non-dropping-particle":"","parse-names":false,"suffix":""},{"dropping-particle":"","family":"Creech","given":"C. Buddy","non-dropping-particle":"","parse-names":false,"suffix":""},{"dropping-particle":"","family":"McGettigan","given":"John","non-dropping-particle":"","parse-names":false,"suffix":""},{"dropping-particle":"","family":"Khetan","given":"Shishir","non-dropping-particle":"","parse-names":false,"suffix":""},{"dropping-particle":"","family":"Segall","given":"Nathan","non-dropping-particle":"","parse-names":false,"suffix":""},{"dropping-particle":"","family":"Solis","given":"Joel","non-dropping-particle":"","parse-names":false,"suffix":""},{"dropping-particle":"","family":"Brosz","given":"Adam","non-dropping-particle":"","parse-names":false,"suffix":""},{"dropping-particle":"","family":"Fierro","given":"Carlos","non-dropping-particle":"","parse-names":false,"suffix":""},{"dropping-particle":"","family":"Schwartz","given":"Howard","non-dropping-particle":"","parse-names":false,"suffix":""},{"dropping-particle":"","family":"Neuzil","given":"Kathleen","non-dropping-particle":"","parse-names":false,"suffix":""},{"dropping-particle":"","family":"Corey","given":"Larry","non-dropping-particle":"","parse-names":false,"suffix":""},{"dropping-particle":"","family":"Gilbert","given":"Peter","non-dropping-particle":"","parse-names":false,"suffix":""},{"dropping-particle":"","family":"Janes","given":"Holly","non-dropping-particle":"","parse-names":false,"suffix":""},{"dropping-particle":"","family":"Follmann","given":"Dean","non-dropping-particle":"","parse-names":false,"suffix":""},{"dropping-particle":"","family":"Marovich","given":"Mary","non-dropping-particle":"","parse-names":false,"suffix":""},{"dropping-particle":"","family":"Mascola","given":"John","non-dropping-particle":"","parse-names":false,"suffix":""},{"dropping-particle":"","family":"Polakowski","given":"Laura","non-dropping-particle":"","parse-names":false,"suffix":""},{"dropping-particle":"","family":"Ledgerwood","given":"Julie","non-dropping-particle":"","parse-names":false,"suffix":""},{"dropping-particle":"","family":"Graham","given":"Barney S.","non-dropping-particle":"","parse-names":false,"suffix":""},{"dropping-particle":"","family":"Bennett","given":"Hamilton","non-dropping-particle":"","parse-names":false,"suffix":""},{"dropping-particle":"","family":"Pajon","given":"Rolando","non-dropping-particle":"","parse-names":false,"suffix":""},{"dropping-particle":"","family":"Knightly","given":"Conor","non-dropping-particle":"","parse-names":false,"suffix":""},{"dropping-particle":"","family":"Leav","given":"Brett","non-dropping-particle":"","parse-names":false,"suffix":""},{"dropping-particle":"","family":"Deng","given":"Weiping","non-dropping-particle":"","parse-names":false,"suffix":""},{"dropping-particle":"","family":"Zhou","given":"Honghong","non-dropping-particle":"","parse-names":false,"suffix":""},{"dropping-particle":"","family":"Han","given":"Shu","non-dropping-particle":"","parse-names":false,"suffix":""},{"dropping-particle":"","family":"Ivarsson","given":"Melanie","non-dropping-particle":"","parse-names":false,"suffix":""},{"dropping-particle":"","family":"Miller","given":"Jacqueline","non-dropping-particle":"","parse-names":false,"suffix":""},{"dropping-particle":"","family":"Zaks","given":"Tal","non-dropping-particle":"","parse-names":false,"suffix":""}],"container-title":"New England Journal of Medicine","id":"ITEM-5","issue":"5","issued":{"date-parts":[["2021","2","4"]]},"page":"403-416","publisher":"Massachusetts Medical Society","title":"Efficacy and Safety of the mRNA-1273 SARS-CoV-2 Vaccine","type":"article-journal","volume":"384"},"uris":["http://www.mendeley.com/documents/?uuid=55a82f4d-f7c7-324a-a09f-08a84e9a4396"]},{"id":"ITEM-6","itemData":{"DOI":"10.1016/S0140-6736(20)32466-1","ISBN":"1389833550","ISSN":"1474547X","PMID":"33220855","abstract":"Background: Older adults (aged ≥70 years) are at increased risk of severe disease and death if they develop COVID-19 and are therefore a priority for immunisation should an efficacious vaccine be developed. Immunogenicity of vaccines is often worse in older adults as a result of immunosenescence. We have reported the immunogenicity of a novel chimpanzee adenovirus-vectored vaccine, ChAdOx1 nCoV-19 (AZD1222), in young adults, and now describe the safety and immunogenicity of this vaccine in a wider range of participants, including adults aged 70 years and older. Methods: In this report of the phase 2 component of a single-blind, randomised, controlled, phase 2/3 trial (COV002), healthy adults aged 18 years and older were enrolled at two UK clinical research facilities, in an age-escalation manner, into 18–55 years, 56–69 years, and 70 years and older immunogenicity subgroups. Participants were eligible if they did not have severe or uncontrolled medical comorbidities or a high frailty score (if aged ≥65 years). First, participants were recruited to a low-dose cohort, and within each age group, participants were randomly assigned to receive either intramuscular ChAdOx1 nCoV-19 (2·2 × 1010 virus particles) or a control vaccine, MenACWY, using block randomisation and stratified by age and dose group and study site, using the following ratios: in the 18–55 years group, 1:1 to either two doses of ChAdOx1 nCoV-19 or two doses of MenACWY; in the 56–69 years group, 3:1:3:1 to one dose of ChAdOx1 nCoV-19, one dose of MenACWY, two doses of ChAdOx1 nCoV-19, or two doses of MenACWY; and in the 70 years and older, 5:1:5:1 to one dose of ChAdOx1 nCoV-19, one dose of MenACWY, two doses of ChAdOx1 nCoV-19, or two doses of MenACWY. Prime-booster regimens were given 28 days apart. Participants were then recruited to the standard-dose cohort (3·5–6·5 × 1010 virus particles of ChAdOx1 nCoV-19) and the same randomisation procedures were followed, except the 18–55 years group was assigned in a 5:1 ratio to two doses of ChAdOx1 nCoV-19 or two doses of MenACWY. Participants and investigators, but not staff administering the vaccine, were masked to vaccine allocation. The specific objectives of this report were to assess the safety and humoral and cellular immunogenicity of a single-dose and two-dose schedule in adults older than 55 years. Humoral responses at baseline and after each vaccination until 1 year after the booster were assessed using an in-house standardised ELISA, a…","author":[{"dropping-particle":"","family":"Ramasamy","given":"Maheshi N","non-dropping-particle":"","parse-names":false,"suffix":""},{"dropping-particle":"","family":"Minassian","given":"Angela M","non-dropping-particle":"","parse-names":false,"suffix":""},{"dropping-particle":"","family":"Ewer","given":"Katie J","non-dropping-particle":"","parse-names":false,"suffix":""},{"dropping-particle":"","family":"Flaxman","given":"Amy L","non-dropping-particle":"","parse-names":false,"suffix":""},{"dropping-particle":"","family":"Folegatti","given":"Pedro M","non-dropping-particle":"","parse-names":false,"suffix":""},{"dropping-particle":"","family":"Owens","given":"Daniel R","non-dropping-particle":"","parse-names":false,"suffix":""},{"dropping-particle":"","family":"Voysey","given":"Merryn","non-dropping-particle":"","parse-names":false,"suffix":""},{"dropping-particle":"","family":"Aley","given":"Parvinder K","non-dropping-particle":"","parse-names":false,"suffix":""},{"dropping-particle":"","family":"Angus","given":"Brian","non-dropping-particle":"","parse-names":false,"suffix":""},{"dropping-particle":"","family":"Babbage","given":"Gavin","non-dropping-particle":"","parse-names":false,"suffix":""},{"dropping-particle":"","family":"Belij-Rammerstorfer","given":"Sandra","non-dropping-particle":"","parse-names":false,"suffix":""},{"dropping-particle":"","family":"Berry","given":"Lisa","non-dropping-particle":"","parse-names":false,"suffix":""},{"dropping-particle":"","family":"Bibi","given":"Sagida","non-dropping-particle":"","parse-names":false,"suffix":""},{"dropping-particle":"","family":"Bittaye","given":"Mustapha","non-dropping-particle":"","parse-names":false,"suffix":""},{"dropping-particle":"","family":"Cathie","given":"Katrina","non-dropping-particle":"","parse-names":false,"suffix":""},{"dropping-particle":"","family":"Chappell","given":"Harry","non-dropping-particle":"","parse-names":false,"suffix":""},{"dropping-particle":"","family":"Charlton","given":"Sue","non-dropping-particle":"","parse-names":false,"suffix":""},{"dropping-particle":"","family":"Cicconi","given":"Paola","non-dropping-particle":"","parse-names":false,"suffix":""},{"dropping-particle":"","family":"Clutterbuck","given":"Elizabeth A","non-dropping-particle":"","parse-names":false,"suffix":""},{"dropping-particle":"","family":"Colin-Jones","given":"Rachel","non-dropping-particle":"","parse-names":false,"suffix":""},{"dropping-particle":"","family":"Dold","given":"Christina","non-dropping-particle":"","parse-names":false,"suffix":""},{"dropping-particle":"","family":"Emary","given":"Katherine R.W.","non-dropping-particle":"","parse-names":false,"suffix":""},{"dropping-particle":"","family":"Fedosyuk","given":"Sofiya","non-dropping-particle":"","parse-names":false,"suffix":""},{"dropping-particle":"","family":"Fuskova","given":"Michelle","non-dropping-particle":"","parse-names":false,"suffix":""},{"dropping-particle":"","family":"Gbesemete","given":"Diane","non-dropping-particle":"","parse-names":false,"suffix":""},{"dropping-particle":"","family":"Green","given":"Catherine","non-dropping-particle":"","parse-names":false,"suffix":""},{"dropping-particle":"","family":"Hallis","given":"Bassam","non-dropping-particle":"","parse-names":false,"suffix":""},{"dropping-particle":"","family":"Hou","given":"Mimi M","non-dropping-particle":"","parse-names":false,"suffix":""},{"dropping-particle":"","family":"Jenkin","given":"Daniel","non-dropping-particle":"","parse-names":false,"suffix":""},{"dropping-particle":"","family":"Joe","given":"Carina C.D.","non-dropping-particle":"","parse-names":false,"suffix":""},{"dropping-particle":"","family":"Kelly","given":"Elizabeth J","non-dropping-particle":"","parse-names":false,"suffix":""},{"dropping-particle":"","family":"Kerridge","given":"Simon","non-dropping-particle":"","parse-names":false,"suffix":""},{"dropping-particle":"","family":"Lawrie","given":"Alison M","non-dropping-particle":"","parse-names":false,"suffix":""},{"dropping-particle":"","family":"Lelliott","given":"Alice","non-dropping-particle":"","parse-names":false,"suffix":""},{"dropping-particle":"","family":"Lwin","given":"May N","non-dropping-particle":"","parse-names":false,"suffix":""},{"dropping-particle":"","family":"Makinson","given":"Rebecca","non-dropping-particle":"","parse-names":false,"suffix":""},{"dropping-particle":"","family":"Marchevsky","given":"Natalie G","non-dropping-particle":"","parse-names":false,"suffix":""},{"dropping-particle":"","family":"Mujadidi","given":"Yama","non-dropping-particle":"","parse-names":false,"suffix":""},{"dropping-particle":"","family":"Munro","given":"Alasdair P.S.","non-dropping-particle":"","parse-names":false,"suffix":""},{"dropping-particle":"","family":"Pacurar","given":"Mihaela","non-dropping-particle":"","parse-names":false,"suffix":""},{"dropping-particle":"","family":"Plested","given":"Emma","non-dropping-particle":"","parse-names":false,"suffix":""},{"dropping-particle":"","family":"Rand","given":"Jade","non-dropping-particle":"","parse-names":false,"suffix":""},{"dropping-particle":"","family":"Rawlinson","given":"Thomas","non-dropping-particle":"","parse-names":false,"suffix":""},{"dropping-particle":"","family":"Rhead","given":"Sarah","non-dropping-particle":"","parse-names":false,"suffix":""},{"dropping-particle":"","family":"Robinson","given":"Hannah","non-dropping-particle":"","parse-names":false,"suffix":""},{"dropping-particle":"","family":"Ritchie","given":"Adam J","non-dropping-particle":"","parse-names":false,"suffix":""},{"dropping-particle":"","family":"Ross-Russell","given":"Amy L","non-dropping-particle":"","parse-names":false,"suffix":""},{"dropping-particle":"","family":"Saich","given":"Stephen","non-dropping-particle":"","parse-names":false,"suffix":""},{"dropping-particle":"","family":"Singh","given":"Nisha","non-dropping-particle":"","parse-names":false,"suffix":""},{"dropping-particle":"","family":"Smith","given":"Catherine C","non-dropping-particle":"","parse-names":false,"suffix":""},{"dropping-particle":"","family":"Snape","given":"Matthew D","non-dropping-particle":"","parse-names":false,"suffix":""},{"dropping-particle":"","family":"Song","given":"Rinn","non-dropping-particle":"","parse-names":false,"suffix":""},{"dropping-particle":"","family":"Tarrant","given":"Richard","non-dropping-particle":"","parse-names":false,"suffix":""},{"dropping-particle":"","family":"Themistocleous","given":"Yrene","non-dropping-particle":"","parse-names":false,"suffix":""},{"dropping-particle":"","family":"Thomas","given":"Kelly M","non-dropping-particle":"","parse-names":false,"suffix":""},{"dropping-particle":"","family":"Villafana","given":"Tonya L","non-dropping-particle":"","parse-names":false,"suffix":""},{"dropping-particle":"","family":"Warren","given":"Sarah C","non-dropping-particle":"","parse-names":false,"suffix":""},{"dropping-particle":"","family":"Watson","given":"Marion E.E.","non-dropping-particle":"","parse-names":false,"suffix":""},{"dropping-particle":"","family":"Douglas","given":"Alexander D","non-dropping-particle":"","parse-names":false,"suffix":""},{"dropping-particle":"","family":"Hill","given":"Adrian V.S.","non-dropping-particle":"","parse-names":false,"suffix":""},{"dropping-particle":"","family":"Lambe","given":"Teresa","non-dropping-particle":"","parse-names":false,"suffix":""},{"dropping-particle":"","family":"Gilbert","given":"Sarah C","non-dropping-particle":"","parse-names":false,"suffix":""},{"dropping-particle":"","family":"Faust","given":"Saul N","non-dropping-particle":"","parse-names":false,"suffix":""},{"dropping-particle":"","family":"Pollard","given":"Andrew J","non-dropping-particle":"","parse-names":false,"suffix":""},{"dropping-particle":"","family":"Aboagye","given":"Jeremy","non-dropping-particle":"","parse-names":false,"suffix":""},{"dropping-particle":"","family":"Adams","given":"Kelly","non-dropping-particle":"","parse-names":false,"suffix":""},{"dropping-particle":"","family":"Ali","given":"Aabidah","non-dropping-particle":"","parse-names":false,"suffix":""},{"dropping-particle":"","family":"Allen","given":"Elizabeth R.","non-dropping-particle":"","parse-names":false,"suffix":""},{"dropping-particle":"","family":"Allen","given":"Lauren","non-dropping-particle":"","parse-names":false,"suffix":""},{"dropping-particle":"","family":"Allison","given":"Jennifer L.","non-dropping-particle":"","parse-names":false,"suffix":""},{"dropping-particle":"","family":"Andritsou","given":"Foteini","non-dropping-particle":"","parse-names":false,"suffix":""},{"dropping-particle":"","family":"Anslow","given":"Rachel","non-dropping-particle":"","parse-names":false,"suffix":""},{"dropping-particle":"","family":"Arbe-Barnes","given":"Edward H.","non-dropping-particle":"","parse-names":false,"suffix":""},{"dropping-particle":"","family":"Baker","given":"Megan","non-dropping-particle":"","parse-names":false,"suffix":""},{"dropping-particle":"","family":"Baker","given":"Natalie","non-dropping-particle":"","parse-names":false,"suffix":""},{"dropping-particle":"","family":"Baker","given":"Philip","non-dropping-particle":"","parse-names":false,"suffix":""},{"dropping-particle":"","family":"Baleanu","given":"Ioana","non-dropping-particle":"","parse-names":false,"suffix":""},{"dropping-particle":"","family":"Barker","given":"Debbie","non-dropping-particle":"","parse-names":false,"suffix":""},{"dropping-particle":"","family":"Barnes","given":"Eleanor","non-dropping-particle":"","parse-names":false,"suffix":""},{"dropping-particle":"","family":"Barrett","given":"Jordan R.","non-dropping-particle":"","parse-names":false,"suffix":""},{"dropping-particle":"","family":"Barrett","given":"Kelly","non-dropping-particle":"","parse-names":false,"suffix":""},{"dropping-particle":"","family":"Bates","given":"Louise","non-dropping-particle":"","parse-names":false,"suffix":""},{"dropping-particle":"","family":"Batten","given":"Alexander","non-dropping-particle":"","parse-names":false,"suffix":""},{"dropping-particle":"","family":"Beadon","given":"Kirsten","non-dropping-particle":"","parse-names":false,"suffix":""},{"dropping-particle":"","family":"Beckley","given":"Rebecca","non-dropping-particle":"","parse-names":false,"suffix":""},{"dropping-particle":"","family":"Bellamy","given":"Duncan","non-dropping-particle":"","parse-names":false,"suffix":""},{"dropping-particle":"","family":"Berg","given":"Adam","non-dropping-particle":"","parse-names":false,"suffix":""},{"dropping-particle":"","family":"Bermejo","given":"Laura","non-dropping-particle":"","parse-names":false,"suffix":""},{"dropping-particle":"","family":"Berrie","given":"Eleanor","non-dropping-particle":"","parse-names":false,"suffix":""},{"dropping-particle":"","family":"Beveridge","given":"Amy","non-dropping-particle":"","parse-names":false,"suffix":""},{"dropping-particle":"","family":"Bewley","given":"Kevin","non-dropping-particle":"","parse-names":false,"suffix":""},{"dropping-particle":"","family":"Bijker","given":"Else M.","non-dropping-particle":"","parse-names":false,"suffix":""},{"dropping-particle":"","family":"Birch","given":"Geeta","non-dropping-particle":"","parse-names":false,"suffix":""},{"dropping-particle":"","family":"Blackwell","given":"Luke","non-dropping-particle":"","parse-names":false,"suffix":""},{"dropping-particle":"","family":"Bletchly","given":"Heather","non-dropping-particle":"","parse-names":false,"suffix":""},{"dropping-particle":"","family":"Blundell","given":"Caitlin L.","non-dropping-particle":"","parse-names":false,"suffix":""},{"dropping-particle":"","family":"Blundell","given":"Susannah R.","non-dropping-particle":"","parse-names":false,"suffix":""},{"dropping-particle":"","family":"Bolam","given":"Emma","non-dropping-particle":"","parse-names":false,"suffix":""},{"dropping-particle":"","family":"Boland","given":"Elena","non-dropping-particle":"","parse-names":false,"suffix":""},{"dropping-particle":"","family":"Bormans","given":"Daan","non-dropping-particle":"","parse-names":false,"suffix":""},{"dropping-particle":"","family":"Borthwick","given":"Nicola","non-dropping-particle":"","parse-names":false,"suffix":""},{"dropping-particle":"","family":"Boukas","given":"Konstantinos","non-dropping-particle":"","parse-names":false,"suffix":""},{"dropping-particle":"","family":"Bower","given":"Thomas","non-dropping-particle":"","parse-names":false,"suffix":""},{"dropping-particle":"","family":"Bowring","given":"Francesca","non-dropping-particle":"","parse-names":false,"suffix":""},{"dropping-particle":"","family":"Boyd","given":"Amy","non-dropping-particle":"","parse-names":false,"suffix":""},{"dropping-particle":"","family":"Brenner","given":"Tanja","non-dropping-particle":"","parse-names":false,"suffix":""},{"dropping-particle":"","family":"Brown","given":"Phillip","non-dropping-particle":"","parse-names":false,"suffix":""},{"dropping-particle":"","family":"Brown-O'Sullivan","given":"Charlie","non-dropping-particle":"","parse-names":false,"suffix":""},{"dropping-particle":"","family":"Bruce","given":"Scott","non-dropping-particle":"","parse-names":false,"suffix":""},{"dropping-particle":"","family":"Brunt","given":"Emily","non-dropping-particle":"","parse-names":false,"suffix":""},{"dropping-particle":"","family":"Burbage","given":"Jamie","non-dropping-particle":"","parse-names":false,"suffix":""},{"dropping-particle":"","family":"Burgoyne","given":"Joshua","non-dropping-particle":"","parse-names":false,"suffix":""},{"dropping-particle":"","family":"Buttigieg","given":"Karen R.","non-dropping-particle":"","parse-names":false,"suffix":""},{"dropping-particle":"","family":"Byard","given":"Nicholas","non-dropping-particle":"","parse-names":false,"suffix":""},{"dropping-particle":"","family":"Cabera Puig","given":"Ingrid","non-dropping-particle":"","parse-names":false,"suffix":""},{"dropping-particle":"","family":"Camara","given":"Susana","non-dropping-particle":"","parse-names":false,"suffix":""},{"dropping-particle":"","family":"Cao","given":"Michelangelo","non-dropping-particle":"","parse-names":false,"suffix":""},{"dropping-particle":"","family":"Cappuccini","given":"Federica","non-dropping-particle":"","parse-names":false,"suffix":""},{"dropping-particle":"","family":"Carr","given":"Melanie","non-dropping-particle":"","parse-names":false,"suffix":""},{"dropping-particle":"","family":"Carroll","given":"Miles W.","non-dropping-particle":"","parse-names":false,"suffix":""},{"dropping-particle":"","family":"Cashen","given":"Paul","non-dropping-particle":"","parse-names":false,"suffix":""},{"dropping-particle":"","family":"Cavey","given":"Ana","non-dropping-particle":"","parse-names":false,"suffix":""},{"dropping-particle":"","family":"Chadwick","given":"Jim","non-dropping-particle":"","parse-names":false,"suffix":""},{"dropping-particle":"","family":"Challis","given":"Ruth","non-dropping-particle":"","parse-names":false,"suffix":""},{"dropping-particle":"","family":"Chapman","given":"David","non-dropping-particle":"","parse-names":false,"suffix":""},{"dropping-particle":"","family":"Charles","given":"David","non-dropping-particle":"","parse-names":false,"suffix":""},{"dropping-particle":"","family":"Chelysheva","given":"Irina","non-dropping-particle":"","parse-names":false,"suffix":""},{"dropping-particle":"","family":"Cho","given":"Jee Sun","non-dropping-particle":"","parse-names":false,"suffix":""},{"dropping-particle":"","family":"Cifuentes","given":"Liliana","non-dropping-particle":"","parse-names":false,"suffix":""},{"dropping-particle":"","family":"Clark","given":"Elizabeth","non-dropping-particle":"","parse-names":false,"suffix":""},{"dropping-particle":"","family":"Collins","given":"Sarah","non-dropping-particle":"","parse-names":false,"suffix":""},{"dropping-particle":"","family":"Conlon","given":"Christopher P.","non-dropping-particle":"","parse-names":false,"suffix":""},{"dropping-particle":"","family":"Coombes","given":"Naomi S.","non-dropping-particle":"","parse-names":false,"suffix":""},{"dropping-particle":"","family":"Cooper","given":"Rachel","non-dropping-particle":"","parse-names":false,"suffix":""},{"dropping-particle":"","family":"Cooper","given":"Cushla","non-dropping-particle":"","parse-names":false,"suffix":""},{"dropping-particle":"","family":"Crocker","given":"Wendy E.M.","non-dropping-particle":"","parse-names":false,"suffix":""},{"dropping-particle":"","family":"Crosbie","given":"Sarah","non-dropping-particle":"","parse-names":false,"suffix":""},{"dropping-particle":"","family":"Cullen","given":"Dan","non-dropping-particle":"","parse-names":false,"suffix":""},{"dropping-particle":"","family":"Cunningham","given":"Christina","non-dropping-particle":"","parse-names":false,"suffix":""},{"dropping-particle":"","family":"Cuthbertson","given":"Fiona","non-dropping-particle":"","parse-names":false,"suffix":""},{"dropping-particle":"","family":"Datoo","given":"Brad E.","non-dropping-particle":"","parse-names":false,"suffix":""},{"dropping-particle":"","family":"Dando","given":"Lynne","non-dropping-particle":"","parse-names":false,"suffix":""},{"dropping-particle":"","family":"Datoo","given":"Mehreen S.","non-dropping-particle":"","parse-names":false,"suffix":""},{"dropping-particle":"","family":"Datta","given":"Chandrabali","non-dropping-particle":"","parse-names":false,"suffix":""},{"dropping-particle":"","family":"Davies","given":"Hannah","non-dropping-particle":"","parse-names":false,"suffix":""},{"dropping-particle":"","family":"Davies","given":"Sarah","non-dropping-particle":"","parse-names":false,"suffix":""},{"dropping-particle":"","family":"Davis","given":"Elizabeth J.","non-dropping-particle":"","parse-names":false,"suffix":""},{"dropping-particle":"","family":"Davis","given":"Judith","non-dropping-particle":"","parse-names":false,"suffix":""},{"dropping-particle":"","family":"Dearlove","given":"David","non-dropping-particle":"","parse-names":false,"suffix":""},{"dropping-particle":"","family":"Demissie","given":"Tesfaye","non-dropping-particle":"","parse-names":false,"suffix":""},{"dropping-particle":"","family":"Marco","given":"Stefania","non-dropping-particle":"Di","parse-names":false,"suffix":""},{"dropping-particle":"","family":"Maso","given":"Claudio","non-dropping-particle":"Di","parse-names":false,"suffix":""},{"dropping-particle":"","family":"DiTirro","given":"Danielle","non-dropping-particle":"","parse-names":false,"suffix":""},{"dropping-particle":"","family":"Docksey","given":"Claire","non-dropping-particle":"","parse-names":false,"suffix":""},{"dropping-particle":"","family":"Dong","given":"Tao","non-dropping-particle":"","parse-names":false,"suffix":""},{"dropping-particle":"","family":"Donnellan","given":"Francesca R.","non-dropping-particle":"","parse-names":false,"suffix":""},{"dropping-particle":"","family":"Douglas","given":"Naomi","non-dropping-particle":"","parse-names":false,"suffix":""},{"dropping-particle":"","family":"Downing","given":"Charlotte","non-dropping-particle":"","parse-names":false,"suffix":""},{"dropping-particle":"","family":"Drake","given":"Jonathan","non-dropping-particle":"","parse-names":false,"suffix":""},{"dropping-particle":"","family":"Drake-Brockman","given":"Rachael","non-dropping-particle":"","parse-names":false,"suffix":""},{"dropping-particle":"","family":"Drury","given":"Ruth E.","non-dropping-particle":"","parse-names":false,"suffix":""},{"dropping-particle":"","family":"Dunachie","given":"Susanna J.","non-dropping-particle":"","parse-names":false,"suffix":""},{"dropping-particle":"","family":"Edwards","given":"Christopher J.","non-dropping-particle":"","parse-names":false,"suffix":""},{"dropping-particle":"","family":"Edwards","given":"Nick J.","non-dropping-particle":"","parse-names":false,"suffix":""},{"dropping-particle":"","family":"Muhanna","given":"Omar","non-dropping-particle":"El","parse-names":false,"suffix":""},{"dropping-particle":"","family":"Elias","given":"Sean C.","non-dropping-particle":"","parse-names":false,"suffix":""},{"dropping-particle":"","family":"Elliott","given":"Ryan S.","non-dropping-particle":"","parse-names":false,"suffix":""},{"dropping-particle":"","family":"Elmore","given":"Michael J.","non-dropping-particle":"","parse-names":false,"suffix":""},{"dropping-particle":"","family":"English","given":"Marcus Rex","non-dropping-particle":"","parse-names":false,"suffix":""},{"dropping-particle":"","family":"Felle","given":"Sally","non-dropping-particle":"","parse-names":false,"suffix":""},{"dropping-particle":"","family":"Feng","given":"Shuo","non-dropping-particle":"","parse-names":false,"suffix":""},{"dropping-particle":"","family":"Ferreira Da Silva","given":"Carla","non-dropping-particle":"","parse-names":false,"suffix":""},{"dropping-particle":"","family":"Field","given":"Samantha","non-dropping-particle":"","parse-names":false,"suffix":""},{"dropping-particle":"","family":"Fisher","given":"Richard","non-dropping-particle":"","parse-names":false,"suffix":""},{"dropping-particle":"","family":"Fixmer","given":"Carine","non-dropping-particle":"","parse-names":false,"suffix":""},{"dropping-particle":"","family":"Ford","given":"Karen J.","non-dropping-particle":"","parse-names":false,"suffix":""},{"dropping-particle":"","family":"Fowler","given":"Jamie","non-dropping-particle":"","parse-names":false,"suffix":""},{"dropping-particle":"","family":"Francis","given":"Emma","non-dropping-particle":"","parse-names":false,"suffix":""},{"dropping-particle":"","family":"Frater","given":"John","non-dropping-particle":"","parse-names":false,"suffix":""},{"dropping-particle":"","family":"Furze","given":"Julie","non-dropping-particle":"","parse-names":false,"suffix":""},{"dropping-particle":"","family":"Galian-Rubio","given":"Pablo","non-dropping-particle":"","parse-names":false,"suffix":""},{"dropping-particle":"","family":"Galloway","given":"Celine","non-dropping-particle":"","parse-names":false,"suffix":""},{"dropping-particle":"","family":"Garlant","given":"Harriet","non-dropping-particle":"","parse-names":false,"suffix":""},{"dropping-particle":"","family":"Gavrila","given":"Madita","non-dropping-particle":"","parse-names":false,"suffix":""},{"dropping-particle":"","family":"Gibbons","given":"Felicity","non-dropping-particle":"","parse-names":false,"suffix":""},{"dropping-particle":"","family":"Gibbons","given":"Karyna","non-dropping-particle":"","parse-names":false,"suffix":""},{"dropping-particle":"","family":"Gilbride","given":"Ciaran","non-dropping-particle":"","parse-names":false,"suffix":""},{"dropping-particle":"","family":"Gill","given":"Hardeep","non-dropping-particle":"","parse-names":false,"suffix":""},{"dropping-particle":"","family":"Godwin","given":"Kerry","non-dropping-particle":"","parse-names":false,"suffix":""},{"dropping-particle":"","family":"Gordon-Quayle","given":"Katherine","non-dropping-particle":"","parse-names":false,"suffix":""},{"dropping-particle":"","family":"Gorini","given":"Giacomo","non-dropping-particle":"","parse-names":false,"suffix":""},{"dropping-particle":"","family":"Goulston","given":"Lyndsey","non-dropping-particle":"","parse-names":false,"suffix":""},{"dropping-particle":"","family":"Grabau","given":"Caroline","non-dropping-particle":"","parse-names":false,"suffix":""},{"dropping-particle":"","family":"Gracie","given":"Lara","non-dropping-particle":"","parse-names":false,"suffix":""},{"dropping-particle":"","family":"Graham","given":"Nichola","non-dropping-particle":"","parse-names":false,"suffix":""},{"dropping-particle":"","family":"Greenwood","given":"Nicola","non-dropping-particle":"","parse-names":false,"suffix":""},{"dropping-particle":"","family":"Griffiths","given":"Oliver","non-dropping-particle":"","parse-names":false,"suffix":""},{"dropping-particle":"","family":"Gupta","given":"Gaurav","non-dropping-particle":"","parse-names":false,"suffix":""},{"dropping-particle":"","family":"Hamilton","given":"Elizabeth","non-dropping-particle":"","parse-names":false,"suffix":""},{"dropping-particle":"","family":"Hanumunthadu","given":"Brama","non-dropping-particle":"","parse-names":false,"suffix":""},{"dropping-particle":"","family":"Harris","given":"Stephanie A.","non-dropping-particle":"","parse-names":false,"suffix":""},{"dropping-particle":"","family":"Harris","given":"Tara","non-dropping-particle":"","parse-names":false,"suffix":""},{"dropping-particle":"","family":"Harrison","given":"Daisy","non-dropping-particle":"","parse-names":false,"suffix":""},{"dropping-particle":"","family":"Hart","given":"Thomas C.","non-dropping-particle":"","parse-names":false,"suffix":""},{"dropping-particle":"","family":"Hartnell","given":"Birgit","non-dropping-particle":"","parse-names":false,"suffix":""},{"dropping-particle":"","family":"Haskell","given":"Louise","non-dropping-particle":"","parse-names":false,"suffix":""},{"dropping-particle":"","family":"Hawkins","given":"Sophia","non-dropping-particle":"","parse-names":false,"suffix":""},{"dropping-particle":"","family":"Henry","given":"John Aaron","non-dropping-particle":"","parse-names":false,"suffix":""},{"dropping-particle":"","family":"Hermosin Herrera","given":"Macarena","non-dropping-particle":"","parse-names":false,"suffix":""},{"dropping-particle":"","family":"Hill","given":"David","non-dropping-particle":"","parse-names":false,"suffix":""},{"dropping-particle":"","family":"Hill","given":"Jennifer","non-dropping-particle":"","parse-names":false,"suffix":""},{"dropping-particle":"","family":"Hodges","given":"Gina","non-dropping-particle":"","parse-names":false,"suffix":""},{"dropping-particle":"","family":"Hodgson","given":"Susanne H.C.","non-dropping-particle":"","parse-names":false,"suffix":""},{"dropping-particle":"","family":"Horton","given":"Katie L.","non-dropping-particle":"","parse-names":false,"suffix":""},{"dropping-particle":"","family":"Howe","given":"Elizabeth","non-dropping-particle":"","parse-names":false,"suffix":""},{"dropping-particle":"","family":"Howell","given":"Nicola","non-dropping-particle":"","parse-names":false,"suffix":""},{"dropping-particle":"","family":"Howes","given":"Jessica","non-dropping-particle":"","parse-names":false,"suffix":""},{"dropping-particle":"","family":"Huang","given":"Ben","non-dropping-particle":"","parse-names":false,"suffix":""},{"dropping-particle":"","family":"Humphreys","given":"Jonathan","non-dropping-particle":"","parse-names":false,"suffix":""},{"dropping-particle":"","family":"Humphries","given":"Holly E.","non-dropping-particle":"","parse-names":false,"suffix":""},{"dropping-particle":"","family":"Iveson","given":"Poppy","non-dropping-particle":"","parse-names":false,"suffix":""},{"dropping-particle":"","family":"Jackson","given":"Frederic","non-dropping-particle":"","parse-names":false,"suffix":""},{"dropping-particle":"","family":"Jackson","given":"Susan","non-dropping-particle":"","parse-names":false,"suffix":""},{"dropping-particle":"","family":"Jauregui","given":"Sam","non-dropping-particle":"","parse-names":false,"suffix":""},{"dropping-particle":"","family":"Jeffers","given":"Helen","non-dropping-particle":"","parse-names":false,"suffix":""},{"dropping-particle":"","family":"Jones","given":"Bryony","non-dropping-particle":"","parse-names":false,"suffix":""},{"dropping-particle":"","family":"Jones","given":"Christine E.","non-dropping-particle":"","parse-names":false,"suffix":""},{"dropping-particle":"","family":"Jones","given":"Elizabeth","non-dropping-particle":"","parse-names":false,"suffix":""},{"dropping-particle":"","family":"Jones","given":"Kathryn","non-dropping-particle":"","parse-names":false,"suffix":""},{"dropping-particle":"","family":"Joshi","given":"Amar","non-dropping-particle":"","parse-names":false,"suffix":""},{"dropping-particle":"","family":"Kailath","given":"Reshma","non-dropping-particle":"","parse-names":false,"suffix":""},{"dropping-particle":"","family":"Keen","given":"Jade","non-dropping-particle":"","parse-names":false,"suffix":""},{"dropping-particle":"","family":"Kelly","given":"Dearbhla M.","non-dropping-particle":"","parse-names":false,"suffix":""},{"dropping-particle":"","family":"Kelly","given":"Sarah","non-dropping-particle":"","parse-names":false,"suffix":""},{"dropping-particle":"","family":"Kelly","given":"Debbie","non-dropping-particle":"","parse-names":false,"suffix":""},{"dropping-particle":"","family":"Kerr","given":"David","non-dropping-particle":"","parse-names":false,"suffix":""},{"dropping-particle":"","family":"Khan","given":"Liaquat","non-dropping-particle":"","parse-names":false,"suffix":""},{"dropping-particle":"","family":"Khozoee","given":"Baktash","non-dropping-particle":"","parse-names":false,"suffix":""},{"dropping-particle":"","family":"Killen","given":"Annabel","non-dropping-particle":"","parse-names":false,"suffix":""},{"dropping-particle":"","family":"Kinch","given":"Jasmin","non-dropping-particle":"","parse-names":false,"suffix":""},{"dropping-particle":"","family":"King","given":"Lloyd D.W.","non-dropping-particle":"","parse-names":false,"suffix":""},{"dropping-particle":"","family":"King","given":"Thomas B.","non-dropping-particle":"","parse-names":false,"suffix":""},{"dropping-particle":"","family":"Kingham","given":"Lucy","non-dropping-particle":"","parse-names":false,"suffix":""},{"dropping-particle":"","family":"Klenerman","given":"Paul","non-dropping-particle":"","parse-names":false,"suffix":""},{"dropping-particle":"","family":"Knight","given":"Julian C.","non-dropping-particle":"","parse-names":false,"suffix":""},{"dropping-particle":"","family":"Knott","given":"Daniel","non-dropping-particle":"","parse-names":false,"suffix":""},{"dropping-particle":"","family":"Koleva","given":"Stanislava","non-dropping-particle":"","parse-names":false,"suffix":""},{"dropping-particle":"","family":"Lang","given":"Gail","non-dropping-particle":"","parse-names":false,"suffix":""},{"dropping-particle":"","family":"Larkworthy","given":"Colin W.","non-dropping-particle":"","parse-names":false,"suffix":""},{"dropping-particle":"","family":"Larwood","given":"Jessica P.J.","non-dropping-particle":"","parse-names":false,"suffix":""},{"dropping-particle":"","family":"Law","given":"Rebecca","non-dropping-particle":"","parse-names":false,"suffix":""},{"dropping-particle":"","family":"Lee","given":"Arlene","non-dropping-particle":"","parse-names":false,"suffix":""},{"dropping-particle":"","family":"Lee","given":"Kim Y.N.","non-dropping-particle":"","parse-names":false,"suffix":""},{"dropping-particle":"","family":"Lees","given":"Emily A.","non-dropping-particle":"","parse-names":false,"suffix":""},{"dropping-particle":"","family":"Leung","given":"Stephanie","non-dropping-particle":"","parse-names":false,"suffix":""},{"dropping-particle":"","family":"Li","given":"Yuanyuan","non-dropping-particle":"","parse-names":false,"suffix":""},{"dropping-particle":"","family":"Lias","given":"Amelia M.","non-dropping-particle":"","parse-names":false,"suffix":""},{"dropping-particle":"","family":"Linder","given":"Aline","non-dropping-particle":"","parse-names":false,"suffix":""},{"dropping-particle":"","family":"Lipworth","given":"Samuel","non-dropping-particle":"","parse-names":false,"suffix":""},{"dropping-particle":"","family":"Liu","given":"Shuchang","non-dropping-particle":"","parse-names":false,"suffix":""},{"dropping-particle":"","family":"Liu","given":"Xinxue","non-dropping-particle":"","parse-names":false,"suffix":""},{"dropping-particle":"","family":"Lloyd","given":"Stephanie","non-dropping-particle":"","parse-names":false,"suffix":""},{"dropping-particle":"","family":"Loew","given":"Lisa","non-dropping-particle":"","parse-names":false,"suffix":""},{"dropping-particle":"","family":"Lopez Ramon","given":"Raquel","non-dropping-particle":"","parse-names":false,"suffix":""},{"dropping-particle":"","family":"Madhavan","given":"Meera","non-dropping-particle":"","parse-names":false,"suffix":""},{"dropping-particle":"","family":"Mainwaring","given":"David O.","non-dropping-particle":"","parse-names":false,"suffix":""},{"dropping-particle":"","family":"Mallett","given":"Garry","non-dropping-particle":"","parse-names":false,"suffix":""},{"dropping-particle":"","family":"Mansatta","given":"Kushal","non-dropping-particle":"","parse-names":false,"suffix":""},{"dropping-particle":"","family":"Marinou","given":"Spyridoula","non-dropping-particle":"","parse-names":false,"suffix":""},{"dropping-particle":"","family":"Marius","given":"Phedra","non-dropping-particle":"","parse-names":false,"suffix":""},{"dropping-particle":"","family":"Marlow","given":"Emma","non-dropping-particle":"","parse-names":false,"suffix":""},{"dropping-particle":"","family":"Marriott","given":"Paula","non-dropping-particle":"","parse-names":false,"suffix":""},{"dropping-particle":"","family":"Marshall","given":"Julia L.","non-dropping-particle":"","parse-names":false,"suffix":""},{"dropping-particle":"","family":"Martin","given":"Jane","non-dropping-particle":"","parse-names":false,"suffix":""},{"dropping-particle":"","family":"Masters","given":"Shauna","non-dropping-particle":"","parse-names":false,"suffix":""},{"dropping-particle":"","family":"McEwan","given":"Joanne","non-dropping-particle":"","parse-names":false,"suffix":""},{"dropping-particle":"","family":"McGlashan","given":"Joanna L.","non-dropping-particle":"","parse-names":false,"suffix":""},{"dropping-particle":"","family":"McInroy","given":"Lorna","non-dropping-particle":"","parse-names":false,"suffix":""},{"dropping-particle":"","family":"McRobert","given":"Nicky","non-dropping-particle":"","parse-names":false,"suffix":""},{"dropping-particle":"","family":"Megson","given":"Clare","non-dropping-particle":"","parse-names":false,"suffix":""},{"dropping-particle":"","family":"Mentzer","given":"Alexander J.","non-dropping-particle":"","parse-names":false,"suffix":""},{"dropping-particle":"","family":"Mirtorabi","given":"Neginsadat","non-dropping-particle":"","parse-names":false,"suffix":""},{"dropping-particle":"","family":"Mitton","given":"Celia","non-dropping-particle":"","parse-names":false,"suffix":""},{"dropping-particle":"","family":"Moore","given":"Maria","non-dropping-particle":"","parse-names":false,"suffix":""},{"dropping-particle":"","family":"Moran","given":"Marni","non-dropping-particle":"","parse-names":false,"suffix":""},{"dropping-particle":"","family":"Morey","given":"Ella","non-dropping-particle":"","parse-names":false,"suffix":""},{"dropping-particle":"","family":"Morgans","given":"Róisín","non-dropping-particle":"","parse-names":false,"suffix":""},{"dropping-particle":"","family":"Morris","given":"Susan J.","non-dropping-particle":"","parse-names":false,"suffix":""},{"dropping-particle":"","family":"Morrison","given":"Hazel Morrison","non-dropping-particle":"","parse-names":false,"suffix":""},{"dropping-particle":"","family":"Morshead","given":"Gertraud","non-dropping-particle":"","parse-names":false,"suffix":""},{"dropping-particle":"","family":"Morter","given":"Richard","non-dropping-particle":"","parse-names":false,"suffix":""},{"dropping-particle":"","family":"Moya","given":"Nathifa A.","non-dropping-particle":"","parse-names":false,"suffix":""},{"dropping-particle":"","family":"Mukhopadhyay","given":"Ekta","non-dropping-particle":"","parse-names":false,"suffix":""},{"dropping-particle":"","family":"Muller","given":"Jilly","non-dropping-particle":"","parse-names":false,"suffix":""},{"dropping-particle":"","family":"Munro","given":"Claire","non-dropping-particle":"","parse-names":false,"suffix":""},{"dropping-particle":"","family":"Murphy","given":"Sarah","non-dropping-particle":"","parse-names":false,"suffix":""},{"dropping-particle":"","family":"Mweu","given":"Philomena","non-dropping-particle":"","parse-names":false,"suffix":""},{"dropping-particle":"","family":"Noé","given":"Andrés","non-dropping-particle":"","parse-names":false,"suffix":""},{"dropping-particle":"","family":"Nugent","given":"Fay L.","non-dropping-particle":"","parse-names":false,"suffix":""},{"dropping-particle":"","family":"O'Brien","given":"Katie","non-dropping-particle":"","parse-names":false,"suffix":""},{"dropping-particle":"","family":"O'Connor","given":"Daniel","non-dropping-particle":"","parse-names":false,"suffix":""},{"dropping-particle":"","family":"Oguti","given":"Blanché","non-dropping-particle":"","parse-names":false,"suffix":""},{"dropping-particle":"","family":"Olchawski","given":"Victoria","non-dropping-particle":"","parse-names":false,"suffix":""},{"dropping-particle":"","family":"Oliveira","given":"Catarina","non-dropping-particle":"","parse-names":false,"suffix":""},{"dropping-particle":"","family":"O'Reilly","given":"Peter John","non-dropping-particle":"","parse-names":false,"suffix":""},{"dropping-particle":"","family":"Osborne","given":"Piper","non-dropping-particle":"","parse-names":false,"suffix":""},{"dropping-particle":"","family":"Owen","given":"Lydia","non-dropping-particle":"","parse-names":false,"suffix":""},{"dropping-particle":"","family":"Owino","given":"Nelly","non-dropping-particle":"","parse-names":false,"suffix":""},{"dropping-particle":"","family":"Papageorgiou","given":"Panagiotis","non-dropping-particle":"","parse-names":false,"suffix":""},{"dropping-particle":"","family":"Parracho","given":"Helena","non-dropping-particle":"","parse-names":false,"suffix":""},{"dropping-particle":"","family":"Parsons","given":"Karen","non-dropping-particle":"","parse-names":false,"suffix":""},{"dropping-particle":"","family":"Patel","given":"Bhumika","non-dropping-particle":"","parse-names":false,"suffix":""},{"dropping-particle":"","family":"Patrick-Smith","given":"Maia","non-dropping-particle":"","parse-names":false,"suffix":""},{"dropping-particle":"","family":"Peng","given":"Yanchun","non-dropping-particle":"","parse-names":false,"suffix":""},{"dropping-particle":"","family":"Penn","given":"Elizabeth J.","non-dropping-particle":"","parse-names":false,"suffix":""},{"dropping-particle":"","family":"Peralta-Alvarez","given":"Marco Polo","non-dropping-particle":"","parse-names":false,"suffix":""},{"dropping-particle":"","family":"Perring","given":"James","non-dropping-particle":"","parse-names":false,"suffix":""},{"dropping-particle":"","family":"Petropoulos","given":"Christos","non-dropping-particle":"","parse-names":false,"suffix":""},{"dropping-particle":"","family":"Phillips","given":"Daniel J.","non-dropping-particle":"","parse-names":false,"suffix":""},{"dropping-particle":"","family":"Pipini","given":"Dimitra","non-dropping-particle":"","parse-names":false,"suffix":""},{"dropping-particle":"","family":"Pollard","given":"Samuel","non-dropping-particle":"","parse-names":false,"suffix":""},{"dropping-particle":"","family":"Poulton","given":"Ian","non-dropping-particle":"","parse-names":false,"suffix":""},{"dropping-particle":"","family":"Pratt","given":"Danny","non-dropping-particle":"","parse-names":false,"suffix":""},{"dropping-particle":"","family":"Presland","given":"Laura","non-dropping-particle":"","parse-names":false,"suffix":""},{"dropping-particle":"","family":"Proud","given":"Pamela C.","non-dropping-particle":"","parse-names":false,"suffix":""},{"dropping-particle":"","family":"Provstgaard-Morys","given":"Samuel","non-dropping-particle":"","parse-names":false,"suffix":""},{"dropping-particle":"","family":"Pueschel","given":"Sophie","non-dropping-particle":"","parse-names":false,"suffix":""},{"dropping-particle":"","family":"Pulido","given":"David","non-dropping-particle":"","parse-names":false,"suffix":""},{"dropping-particle":"","family":"Rabara","given":"Ria","non-dropping-particle":"","parse-names":false,"suffix":""},{"dropping-particle":"","family":"Radia","given":"Kajal","non-dropping-particle":"","parse-names":false,"suffix":""},{"dropping-particle":"","family":"Rajapaska","given":"Durga","non-dropping-particle":"","parse-names":false,"suffix":""},{"dropping-particle":"","family":"Ramos Lopez","given":"Fernando","non-dropping-particle":"","parse-names":false,"suffix":""},{"dropping-particle":"","family":"Ratcliffe","given":"Helen","non-dropping-particle":"","parse-names":false,"suffix":""},{"dropping-particle":"","family":"Rayhan","given":"Sara","non-dropping-particle":"","parse-names":false,"suffix":""},{"dropping-particle":"","family":"Rees","given":"Byron","non-dropping-particle":"","parse-names":false,"suffix":""},{"dropping-particle":"","family":"Reyes Pabon","given":"Emilia","non-dropping-particle":"","parse-names":false,"suffix":""},{"dropping-particle":"","family":"Roberts","given":"Hannah","non-dropping-particle":"","parse-names":false,"suffix":""},{"dropping-particle":"","family":"Robertson","given":"Isla","non-dropping-particle":"","parse-names":false,"suffix":""},{"dropping-particle":"","family":"Roche","given":"Sophie","non-dropping-particle":"","parse-names":false,"suffix":""},{"dropping-particle":"","family":"Rollier","given":"Christine S.","non-dropping-particle":"","parse-names":false,"suffix":""},{"dropping-particle":"","family":"Romani","given":"Rossana","non-dropping-particle":"","parse-names":false,"suffix":""},{"dropping-particle":"","family":"Rose","given":"Zoe","non-dropping-particle":"","parse-names":false,"suffix":""},{"dropping-particle":"","family":"Rudiansyah","given":"Indra","non-dropping-particle":"","parse-names":false,"suffix":""},{"dropping-particle":"","family":"Sabheha","given":"Sabeha","non-dropping-particle":"","parse-names":false,"suffix":""},{"dropping-particle":"","family":"Salvador","given":"Stephannie","non-dropping-particle":"","parse-names":false,"suffix":""},{"dropping-particle":"","family":"Sanders","given":"Helen","non-dropping-particle":"","parse-names":false,"suffix":""},{"dropping-particle":"","family":"Sanders","given":"Katherine","non-dropping-particle":"","parse-names":false,"suffix":""},{"dropping-particle":"","family":"Satti","given":"Iman","non-dropping-particle":"","parse-names":false,"suffix":""},{"dropping-particle":"","family":"Sayce","given":"Chloe","non-dropping-particle":"","parse-names":false,"suffix":""},{"dropping-particle":"","family":"Schmid","given":"Annina B.","non-dropping-particle":"","parse-names":false,"suffix":""},{"dropping-particle":"","family":"Schofield","given":"Ella","non-dropping-particle":"","parse-names":false,"suffix":""},{"dropping-particle":"","family":"Screaton","given":"Gavin","non-dropping-particle":"","parse-names":false,"suffix":""},{"dropping-particle":"","family":"Sedik","given":"Cynthia","non-dropping-particle":"","parse-names":false,"suffix":""},{"dropping-particle":"","family":"Seddiqi","given":"Samiullah","non-dropping-particle":"","parse-names":false,"suffix":""},{"dropping-particle":"","family":"Segireddy","given":"Rameswara R.","non-dropping-particle":"","parse-names":false,"suffix":""},{"dropping-particle":"","family":"Selby","given":"Beatrice","non-dropping-particle":"","parse-names":false,"suffix":""},{"dropping-particle":"","family":"Shaik","given":"Imam","non-dropping-particle":"","parse-names":false,"suffix":""},{"dropping-particle":"","family":"Sharpe","given":"Hannah R.","non-dropping-particle":"","parse-names":false,"suffix":""},{"dropping-particle":"","family":"Shaw","given":"Robert","non-dropping-particle":"","parse-names":false,"suffix":""},{"dropping-particle":"","family":"Shea","given":"Adam","non-dropping-particle":"","parse-names":false,"suffix":""},{"dropping-particle":"","family":"Silk","given":"Sarah","non-dropping-particle":"","parse-names":false,"suffix":""},{"dropping-particle":"","family":"Silva-Reyes","given":"Laura","non-dropping-particle":"","parse-names":false,"suffix":""},{"dropping-particle":"","family":"Skelly","given":"Donal T.","non-dropping-particle":"","parse-names":false,"suffix":""},{"dropping-particle":"","family":"Smith","given":"David J.","non-dropping-particle":"","parse-names":false,"suffix":""},{"dropping-particle":"","family":"Smith","given":"Daniel C","non-dropping-particle":"","parse-names":false,"suffix":""},{"dropping-particle":"","family":"Smith","given":"Nicholas","non-dropping-particle":"","parse-names":false,"suffix":""},{"dropping-particle":"","family":"Spencer","given":"Alexandra J.","non-dropping-particle":"","parse-names":false,"suffix":""},{"dropping-particle":"","family":"Spoors","given":"Louise","non-dropping-particle":"","parse-names":false,"suffix":""},{"dropping-particle":"","family":"Stafford","given":"Elizabeth","non-dropping-particle":"","parse-names":false,"suffix":""},{"dropping-particle":"","family":"Stamford","given":"Imogen","non-dropping-particle":"","parse-names":false,"suffix":""},{"dropping-particle":"","family":"Stockdale","given":"Lisa","non-dropping-particle":"","parse-names":false,"suffix":""},{"dropping-particle":"","family":"Stockley","given":"David","non-dropping-particle":"","parse-names":false,"suffix":""},{"dropping-particle":"V.","family":"Stockwell","given":"Lisa","non-dropping-particle":"","parse-names":false,"suffix":""},{"dropping-particle":"","family":"Stokes","given":"Matthew","non-dropping-particle":"","parse-names":false,"suffix":""},{"dropping-particle":"","family":"Strickland","given":"Louise H.","non-dropping-particle":"","parse-names":false,"suffix":""},{"dropping-particle":"","family":"Stuart","given":"Arabella","non-dropping-particle":"","parse-names":false,"suffix":""},{"dropping-particle":"","family":"Sulaiman","given":"Sulaiman","non-dropping-particle":"","parse-names":false,"suffix":""},{"dropping-particle":"","family":"Summerton","given":"Eloise","non-dropping-particle":"","parse-names":false,"suffix":""},{"dropping-particle":"","family":"Swash","given":"Zoe","non-dropping-particle":"","parse-names":false,"suffix":""},{"dropping-particle":"","family":"Szigeti","given":"Anna","non-dropping-particle":"","parse-names":false,"suffix":""},{"dropping-particle":"","family":"Tahiri-Alaoui","given":"Abdessamad","non-dropping-particle":"","parse-names":false,"suffix":""},{"dropping-particle":"","family":"Tanner","given":"Rachel","non-dropping-particle":"","parse-names":false,"suffix":""},{"dropping-particle":"","family":"Taylor","given":"Iona","non-dropping-particle":"","parse-names":false,"suffix":""},{"dropping-particle":"","family":"Taylor","given":"Keja","non-dropping-particle":"","parse-names":false,"suffix":""},{"dropping-particle":"","family":"Taylor","given":"Ursula","non-dropping-particle":"","parse-names":false,"suffix":""},{"dropping-particle":"","family":"Water Naude","given":"Rebecca","non-dropping-particle":"te","parse-names":false,"suffix":""},{"dropping-particle":"","family":"Themistocleous","given":"Andreas","non-dropping-particle":"","parse-names":false,"suffix":""},{"dropping-particle":"","family":"Thomas","given":"Merin","non-dropping-particle":"","parse-names":false,"suffix":""},{"dropping-particle":"","family":"Thomas","given":"Tonia M","non-dropping-particle":"","parse-names":false,"suffix":""},{"dropping-particle":"","family":"Thompson","given":"Amber","non-dropping-particle":"","parse-names":false,"suffix":""},{"dropping-particle":"","family":"Thompson","given":"Kevin","non-dropping-particle":"","parse-names":false,"suffix":""},{"dropping-particle":"","family":"Thornton-Jones","given":"Viv","non-dropping-particle":"","parse-names":false,"suffix":""},{"dropping-particle":"","family":"Tinh","given":"Lan","non-dropping-particle":"","parse-names":false,"suffix":""},{"dropping-particle":"","family":"Tomic","given":"Adriana","non-dropping-particle":"","parse-names":false,"suffix":""},{"dropping-particle":"","family":"Tonks","given":"Susan","non-dropping-particle":"","parse-names":false,"suffix":""},{"dropping-particle":"","family":"Towner","given":"James","non-dropping-particle":"","parse-names":false,"suffix":""},{"dropping-particle":"","family":"Tran","given":"Nguyen","non-dropping-particle":"","parse-names":false,"suffix":""},{"dropping-particle":"","family":"Tree","given":"Julian A.","non-dropping-particle":"","parse-names":false,"suffix":""},{"dropping-particle":"","family":"Truby","given":"Adam","non-dropping-particle":"","parse-names":false,"suffix":""},{"dropping-particle":"","family":"Turner","given":"Cheryl","non-dropping-particle":"","parse-names":false,"suffix":""},{"dropping-particle":"","family":"Turner","given":"Richard","non-dropping-particle":"","parse-names":false,"suffix":""},{"dropping-particle":"","family":"Ulaszewska","given":"Marta","non-dropping-particle":"","parse-names":false,"suffix":""},{"dropping-particle":"","family":"Varughese","given":"Rachel","non-dropping-particle":"","parse-names":false,"suffix":""},{"dropping-particle":"","family":"Verbart","given":"Dennis","non-dropping-particle":"","parse-names":false,"suffix":""},{"dropping-particle":"","family":"Verheul","given":"Marije K.","non-dropping-particle":"","parse-names":false,"suffix":""},{"dropping-particle":"","family":"Vichos","given":"Iason","non-dropping-particle":"","parse-names":false,"suffix":""},{"dropping-particle":"","family":"Walker","given":"Laura","non-dropping-particle":"","parse-names":false,"suffix":""},{"dropping-particle":"","family":"Wand","given":"Matthew E.","non-dropping-particle":"","parse-names":false,"suffix":""},{"dropping-particle":"","family":"Watkins","given":"Bridget","non-dropping-particle":"","parse-names":false,"suffix":""},{"dropping-particle":"","family":"Welch","given":"Jessica","non-dropping-particle":"","parse-names":false,"suffix":""},{"dropping-particle":"","family":"West","given":"Alison J.","non-dropping-particle":"","parse-names":false,"suffix":""},{"dropping-particle":"","family":"White","given":"Caroline","non-dropping-particle":"","parse-names":false,"suffix":""},{"dropping-particle":"","family":"White","given":"Rachel","non-dropping-particle":"","parse-names":false,"suffix":""},{"dropping-particle":"","family":"Williams","given":"Paul","non-dropping-particle":"","parse-names":false,"suffix":""},{"dropping-particle":"","family":"Woodyer","given":"Mark","non-dropping-particle":"","parse-names":false,"suffix":""},{"dropping-particle":"","family":"Worth","given":"Andrew T.","non-dropping-particle":"","parse-names":false,"suffix":""},{"dropping-particle":"","family":"Wright","given":"Daniel","non-dropping-particle":"","parse-names":false,"suffix":""},{"dropping-particle":"","family":"Wrin","given":"Terri","non-dropping-particle":"","parse-names":false,"suffix":""},{"dropping-particle":"","family":"Yao","given":"Xin Li","non-dropping-particle":"","parse-names":false,"suffix":""},{"dropping-particle":"","family":"Zbarcea","given":"Diana Andreea","non-dropping-particle":"","parse-names":false,"suffix":""},{"dropping-particle":"","family":"Zizi","given":"Dalila","non-dropping-particle":"","parse-names":false,"suffix":""}],"container-title":"The Lancet","id":"ITEM-6","issue":"10267","issued":{"date-parts":[["2020"]]},"page":"1979-1993","title":"Safety and immunogenicity of ChAdOx1 nCoV-19 vaccine administered in a prime-boost regimen in young and old adults (COV002): a single-blind, randomised, controlled, phase 2/3 trial","type":"article-journal","volume":"396"},"uris":["http://www.mendeley.com/documents/?uuid=65fb519e-9609-308d-8818-712d48f07825"]}],"mendeley":{"formattedCitation":"&lt;sup&gt;1–6&lt;/sup&gt;","plainTextFormattedCitation":"1–6","previouslyFormattedCitation":"&lt;sup&gt;1–6&lt;/sup&gt;"},"properties":{"noteIndex":0},"schema":"https://github.com/citation-style-language/schema/raw/master/csl-citation.json"}</w:instrText>
      </w:r>
      <w:r w:rsidR="00E11CF8" w:rsidRPr="006B3D43">
        <w:rPr>
          <w:rFonts w:ascii="Arial" w:hAnsi="Arial" w:cs="Arial"/>
          <w:sz w:val="24"/>
          <w:szCs w:val="24"/>
        </w:rPr>
        <w:fldChar w:fldCharType="separate"/>
      </w:r>
      <w:r w:rsidR="008737C8" w:rsidRPr="008737C8">
        <w:rPr>
          <w:rFonts w:ascii="Arial" w:hAnsi="Arial" w:cs="Arial"/>
          <w:noProof/>
          <w:sz w:val="24"/>
          <w:szCs w:val="24"/>
          <w:vertAlign w:val="superscript"/>
        </w:rPr>
        <w:t>1–6</w:t>
      </w:r>
      <w:r w:rsidR="00E11CF8" w:rsidRPr="006B3D43">
        <w:rPr>
          <w:rFonts w:ascii="Arial" w:hAnsi="Arial" w:cs="Arial"/>
          <w:sz w:val="24"/>
          <w:szCs w:val="24"/>
        </w:rPr>
        <w:fldChar w:fldCharType="end"/>
      </w:r>
      <w:r w:rsidRPr="006B3D43">
        <w:rPr>
          <w:rFonts w:ascii="Arial" w:hAnsi="Arial" w:cs="Arial"/>
          <w:sz w:val="24"/>
          <w:szCs w:val="24"/>
        </w:rPr>
        <w:t xml:space="preserve">. </w:t>
      </w:r>
      <w:r w:rsidR="00A0779B" w:rsidRPr="006B3D43">
        <w:rPr>
          <w:rFonts w:ascii="Arial" w:hAnsi="Arial" w:cs="Arial"/>
          <w:sz w:val="24"/>
          <w:szCs w:val="24"/>
        </w:rPr>
        <w:t xml:space="preserve">Encouragingly, neutralization can readily occur despite the extensive array of </w:t>
      </w:r>
      <w:r w:rsidR="009D67E1">
        <w:rPr>
          <w:rFonts w:ascii="Arial" w:hAnsi="Arial" w:cs="Arial"/>
          <w:sz w:val="24"/>
          <w:szCs w:val="24"/>
        </w:rPr>
        <w:t xml:space="preserve">N-linked </w:t>
      </w:r>
      <w:r w:rsidR="00A0779B" w:rsidRPr="006B3D43">
        <w:rPr>
          <w:rFonts w:ascii="Arial" w:hAnsi="Arial" w:cs="Arial"/>
          <w:sz w:val="24"/>
          <w:szCs w:val="24"/>
        </w:rPr>
        <w:t>glycans distributed across the viral spike consistent with numerous vulnerabilities in this so-called glycan shield</w:t>
      </w:r>
      <w:r w:rsidR="002C75C9">
        <w:rPr>
          <w:rFonts w:ascii="Arial" w:hAnsi="Arial" w:cs="Arial"/>
          <w:sz w:val="24"/>
          <w:szCs w:val="24"/>
        </w:rPr>
        <w:t xml:space="preserve"> </w:t>
      </w:r>
      <w:r w:rsidR="00E11CF8" w:rsidRPr="006B3D43">
        <w:rPr>
          <w:rFonts w:ascii="Arial" w:hAnsi="Arial" w:cs="Arial"/>
          <w:sz w:val="24"/>
          <w:szCs w:val="24"/>
        </w:rPr>
        <w:fldChar w:fldCharType="begin" w:fldLock="1"/>
      </w:r>
      <w:r w:rsidR="008737C8">
        <w:rPr>
          <w:rFonts w:ascii="Arial" w:hAnsi="Arial" w:cs="Arial"/>
          <w:sz w:val="24"/>
          <w:szCs w:val="24"/>
        </w:rPr>
        <w:instrText>ADDIN CSL_CITATION {"citationItems":[{"id":"ITEM-1","itemData":{"DOI":"10.1126/science.abb9983","ISSN":"10959203","PMID":"32366695","abstract":"The emergence of the betacoronavirus, severe acute respiratory syndrome coronavirus 2 (SARS-CoV-2), the causative agent of coronavirus 2019 (COVID-19), represents a considerable threat to global human health. Vaccine development is focused on the principal target of the humoral immune response, the spike (S) glycoprotein, which mediates cell entry and membrane fusion. The SARS-CoV-2 S gene encodes 22 N-linked glycan sequons per protomer, which likely play a role in protein folding and immune evasion. Here, using a site-specific mass spectrometric approach, we reveal the glycan structures on a recombinant SARS-CoV-2 S immunogen. This analysis enables mapping of the glycan-processing states across the trimeric viral spike. We show how SARS-CoV-2 S glycans differ from typical host glycan processing, which may have implications in viral pathobiology and vaccine design.","author":[{"dropping-particle":"","family":"Watanabe","given":"Yasunori","non-dropping-particle":"","parse-names":false,"suffix":""},{"dropping-particle":"","family":"Allen","given":"Joel D.","non-dropping-particle":"","parse-names":false,"suffix":""},{"dropping-particle":"","family":"Wrapp","given":"Daniel","non-dropping-particle":"","parse-names":false,"suffix":""},{"dropping-particle":"","family":"McLellan","given":"Jason S.","non-dropping-particle":"","parse-names":false,"suffix":""},{"dropping-particle":"","family":"Crispin","given":"Max","non-dropping-particle":"","parse-names":false,"suffix":""}],"container-title":"Science","id":"ITEM-1","issue":"6501","issued":{"date-parts":[["2020"]]},"page":"330-333","title":"Site-specific glycan analysis of the SARS-CoV-2 spike","type":"article-journal","volume":"369"},"uris":["http://www.mendeley.com/documents/?uuid=80900bf0-6c44-4584-b433-aefacbb87aed"]}],"mendeley":{"formattedCitation":"&lt;sup&gt;7&lt;/sup&gt;","plainTextFormattedCitation":"7","previouslyFormattedCitation":"&lt;sup&gt;7&lt;/sup&gt;"},"properties":{"noteIndex":0},"schema":"https://github.com/citation-style-language/schema/raw/master/csl-citation.json"}</w:instrText>
      </w:r>
      <w:r w:rsidR="00E11CF8" w:rsidRPr="006B3D43">
        <w:rPr>
          <w:rFonts w:ascii="Arial" w:hAnsi="Arial" w:cs="Arial"/>
          <w:sz w:val="24"/>
          <w:szCs w:val="24"/>
        </w:rPr>
        <w:fldChar w:fldCharType="separate"/>
      </w:r>
      <w:r w:rsidR="008737C8" w:rsidRPr="008737C8">
        <w:rPr>
          <w:rFonts w:ascii="Arial" w:hAnsi="Arial" w:cs="Arial"/>
          <w:noProof/>
          <w:sz w:val="24"/>
          <w:szCs w:val="24"/>
          <w:vertAlign w:val="superscript"/>
        </w:rPr>
        <w:t>7</w:t>
      </w:r>
      <w:r w:rsidR="00E11CF8" w:rsidRPr="006B3D43">
        <w:rPr>
          <w:rFonts w:ascii="Arial" w:hAnsi="Arial" w:cs="Arial"/>
          <w:sz w:val="24"/>
          <w:szCs w:val="24"/>
        </w:rPr>
        <w:fldChar w:fldCharType="end"/>
      </w:r>
      <w:r w:rsidR="00A0779B" w:rsidRPr="006B3D43">
        <w:rPr>
          <w:rFonts w:ascii="Arial" w:hAnsi="Arial" w:cs="Arial"/>
          <w:sz w:val="24"/>
          <w:szCs w:val="24"/>
        </w:rPr>
        <w:t xml:space="preserve">. </w:t>
      </w:r>
      <w:r w:rsidR="00111960" w:rsidRPr="006B3D43">
        <w:rPr>
          <w:rFonts w:ascii="Arial" w:hAnsi="Arial" w:cs="Arial"/>
          <w:sz w:val="24"/>
          <w:szCs w:val="24"/>
        </w:rPr>
        <w:t>Despite these observations, glycosylation has emerged as an important parameter in vaccine development</w:t>
      </w:r>
      <w:r w:rsidR="007F636A">
        <w:rPr>
          <w:rFonts w:ascii="Arial" w:hAnsi="Arial" w:cs="Arial"/>
          <w:sz w:val="24"/>
          <w:szCs w:val="24"/>
        </w:rPr>
        <w:t xml:space="preserve"> for SARS-CoV-1 and SARS-CoV-2</w:t>
      </w:r>
      <w:r w:rsidR="002C75C9">
        <w:rPr>
          <w:rFonts w:ascii="Arial" w:hAnsi="Arial" w:cs="Arial"/>
          <w:sz w:val="24"/>
          <w:szCs w:val="24"/>
        </w:rPr>
        <w:t xml:space="preserve"> </w:t>
      </w:r>
      <w:r w:rsidR="00784FD2" w:rsidRPr="006B3D43">
        <w:rPr>
          <w:rFonts w:ascii="Arial" w:hAnsi="Arial" w:cs="Arial"/>
          <w:sz w:val="24"/>
          <w:szCs w:val="24"/>
        </w:rPr>
        <w:fldChar w:fldCharType="begin" w:fldLock="1"/>
      </w:r>
      <w:r w:rsidR="008737C8">
        <w:rPr>
          <w:rFonts w:ascii="Arial" w:hAnsi="Arial" w:cs="Arial"/>
          <w:sz w:val="24"/>
          <w:szCs w:val="24"/>
        </w:rPr>
        <w:instrText>ADDIN CSL_CITATION {"citationItems":[{"id":"ITEM-1","itemData":{"DOI":"10.4161/hv.27464","ISSN":"2164554X","PMID":"24355931","abstract":"Development of vaccines for preventing a future pandemic of severe acute respiratory syndrome (SARS) caused by SARS coronavirus (SARS-CoV) and for biodefense preparedness is urgently needed. Our previous studies have shown that a candidate SARS vaccine antigen consisting of the receptor-binding domain (RBD) of SARS-CoV spike protein can induce potent neutralizing antibody responses and protection against SARS-CoV challenge in vaccinated animals. To optimize expression conditions for scale-up production of the RBD vaccine candidate, we hypothesized that this could be potentially achieved by removing glycosylation sites in the RBD protein. In this study, we constructed two RBD protein variants: 1) RBD193-WT (193-aa, residues 318-510) and its deglycosylated forms (RBD193-N1, RBD193-N2, RBD193-N3); 2) RBD219-WT (219-aa, residues 318-536) and its deglycosylated forms (RBD219-N1, RBD219-N2, and RBD219-N3). All constructs were expressed as recombinant proteins in yeast. The purified recombinant proteins of these constructs were compared for their antigenicity, functionality and immunogenicity in mice using alum as the adjuvant. We found that RBD219-N1 exhibited high expression yield, and maintained its antigenicity and functionality. More importantly, RBD219-N1 induced significantly stronger RBD-specific antibody responses and a higher level of neutralizing antibodies in immunized mice than RBD193-WT, RBD193-N1, RBD193-N3, or RBD219-WT. These results suggest that RBD219-N1 could be selected as an optimal SARS vaccine candidate for further development. © 2014 Landes Bioscience.","author":[{"dropping-particle":"","family":"Chen","given":"Wen Hsiang","non-dropping-particle":"","parse-names":false,"suffix":""},{"dropping-particle":"","family":"Du","given":"Lanying","non-dropping-particle":"","parse-names":false,"suffix":""},{"dropping-particle":"","family":"Chag","given":"Shivali M.","non-dropping-particle":"","parse-names":false,"suffix":""},{"dropping-particle":"","family":"Ma","given":"Cuiqing","non-dropping-particle":"","parse-names":false,"suffix":""},{"dropping-particle":"","family":"Tricoche","given":"Nancy","non-dropping-particle":"","parse-names":false,"suffix":""},{"dropping-particle":"","family":"Tao","given":"Xinrong","non-dropping-particle":"","parse-names":false,"suffix":""},{"dropping-particle":"","family":"Seid","given":"Christopher A.","non-dropping-particle":"","parse-names":false,"suffix":""},{"dropping-particle":"","family":"Hudspeth","given":"Elissa M.","non-dropping-particle":"","parse-names":false,"suffix":""},{"dropping-particle":"","family":"Lustigman","given":"Sara","non-dropping-particle":"","parse-names":false,"suffix":""},{"dropping-particle":"","family":"Tseng","given":"Chien Te K.","non-dropping-particle":"","parse-names":false,"suffix":""},{"dropping-particle":"","family":"Bottazzi","given":"Maria Elena","non-dropping-particle":"","parse-names":false,"suffix":""},{"dropping-particle":"","family":"Hotez","given":"Peter J.","non-dropping-particle":"","parse-names":false,"suffix":""},{"dropping-particle":"","family":"Zhan","given":"Bin","non-dropping-particle":"","parse-names":false,"suffix":""},{"dropping-particle":"","family":"Jiang","given":"Shibo","non-dropping-particle":"","parse-names":false,"suffix":""}],"container-title":"Human Vaccines and Immunotherapeutics","id":"ITEM-1","issue":"3","issued":{"date-parts":[["2014"]]},"page":"648-658","title":"Yeast-expressed recombinant protein of the receptor-binding domain in SARS-CoV spike protein with deglycosylated forms as a SARS vaccine candidate","type":"article-journal","volume":"10"},"uris":["http://www.mendeley.com/documents/?uuid=a75de9c2-1e6e-4c10-bbd3-0f302c604f79"]},{"id":"ITEM-2","itemData":{"DOI":"10.1007/s13337-020-00571-5","ISSN":"23473517","abstract":"The emergence of 2019 novel coronavirus (2019-nCoV) is of global concern and might have emerged from RNA recombination among existing coronaviruses. CoV spike (S) protein which is crucial for receptor binding, membrane fusion via conformational changes, internalization of the virus, host tissue tropism and comprises crucial targets for vaccine development, remain largely uncharacterized. Therefore, the present study has been planned to determine the sequence variation, structural and antigenic divergence of S glycoprotein which may be helpful for the management of 2019-nCoV infection. The sequences of spike glycoprotein of 2019-nCoV and SARS coronavirus (SARS-CoV) were used for the comparison. The sequence variations were determined using EMBOSS Needle pairwise sequence alignment tools. The variation in glycosylation sites was predicted by NetNGlyc 1.0 and validated by N-GlyDE server. Antigenicity was predicted by NetCTL 1.2 and validated by IEDB Analysis Resource server. The structural divergence was determined by using SuperPose Version 1.0 based on cryo-EM structure of the SARS coronavirus spike glycoprotein. Our data suggests that 2019-nCoV is newly spilled coronavirus into humans in China is closely related to SARS-CoV, which has only 12.8% of difference with SARS-CoV in S protein and has 83.9% similarity in minimal receptor-binding domain with SARS-CoV. Addition of a novel glycosylation sites were observed in 2019-nCoV. In addition, antigenic analysis proposes that great antigenic differences exist between both the viral strains, but some of the epitopes were found to be similar between both the S proteins. In spite of the variation in S protein amino acid composition, we found no significant difference in their structures. Collectively, for the first time our results exhibit the emergence of human 2019-nCoV is closely related to predecessor SARS-CoV and provide the evidence that 2019-nCoV uses various novel glycosylation sites as SARS-CoV and may have a potential to become pandemic owing its antigenic discrepancy. Further, demonstration of novel Cytotoxic T lymphocyte epitopes may impart opportunities for the development of peptide based vaccine for the prevention of 2019-nCoV.","author":[{"dropping-particle":"","family":"Kumar","given":"Swatantra","non-dropping-particle":"","parse-names":false,"suffix":""},{"dropping-particle":"","family":"Maurya","given":"Vimal K.","non-dropping-particle":"","parse-names":false,"suffix":""},{"dropping-particle":"","family":"Prasad","given":"Anil K.","non-dropping-particle":"","parse-names":false,"suffix":""},{"dropping-particle":"","family":"Bhatt","given":"Madan L.B.","non-dropping-particle":"","parse-names":false,"suffix":""},{"dropping-particle":"","family":"Saxena","given":"Shailendra K.","non-dropping-particle":"","parse-names":false,"suffix":""}],"container-title":"VirusDisease","id":"ITEM-2","issue":"1","issued":{"date-parts":[["2020"]]},"page":"13-21","title":"Structural, glycosylation and antigenic variation between 2019 novel coronavirus (2019-nCoV) and SARS coronavirus (SARS-CoV)","type":"article-journal","volume":"31"},"uris":["http://www.mendeley.com/documents/?uuid=5db2cb40-8f1a-431b-81e4-54f9ac122ca1"]}],"mendeley":{"formattedCitation":"&lt;sup&gt;8,9&lt;/sup&gt;","plainTextFormattedCitation":"8,9","previouslyFormattedCitation":"&lt;sup&gt;8,9&lt;/sup&gt;"},"properties":{"noteIndex":0},"schema":"https://github.com/citation-style-language/schema/raw/master/csl-citation.json"}</w:instrText>
      </w:r>
      <w:r w:rsidR="00784FD2" w:rsidRPr="006B3D43">
        <w:rPr>
          <w:rFonts w:ascii="Arial" w:hAnsi="Arial" w:cs="Arial"/>
          <w:sz w:val="24"/>
          <w:szCs w:val="24"/>
        </w:rPr>
        <w:fldChar w:fldCharType="separate"/>
      </w:r>
      <w:r w:rsidR="008737C8" w:rsidRPr="008737C8">
        <w:rPr>
          <w:rFonts w:ascii="Arial" w:hAnsi="Arial" w:cs="Arial"/>
          <w:noProof/>
          <w:sz w:val="24"/>
          <w:szCs w:val="24"/>
          <w:vertAlign w:val="superscript"/>
        </w:rPr>
        <w:t>8,9</w:t>
      </w:r>
      <w:r w:rsidR="00784FD2" w:rsidRPr="006B3D43">
        <w:rPr>
          <w:rFonts w:ascii="Arial" w:hAnsi="Arial" w:cs="Arial"/>
          <w:sz w:val="24"/>
          <w:szCs w:val="24"/>
        </w:rPr>
        <w:fldChar w:fldCharType="end"/>
      </w:r>
      <w:r w:rsidR="00111960" w:rsidRPr="006B3D43">
        <w:rPr>
          <w:rFonts w:ascii="Arial" w:hAnsi="Arial" w:cs="Arial"/>
          <w:sz w:val="24"/>
          <w:szCs w:val="24"/>
        </w:rPr>
        <w:t>.  The glycosylation processing state can influence immunogen trafficking in the lymphatic system</w:t>
      </w:r>
      <w:r w:rsidR="002C75C9">
        <w:rPr>
          <w:rFonts w:ascii="Arial" w:hAnsi="Arial" w:cs="Arial"/>
          <w:sz w:val="24"/>
          <w:szCs w:val="24"/>
        </w:rPr>
        <w:t xml:space="preserve"> </w:t>
      </w:r>
      <w:r w:rsidR="007C39C1" w:rsidRPr="006B3D43">
        <w:rPr>
          <w:rFonts w:ascii="Arial" w:hAnsi="Arial" w:cs="Arial"/>
          <w:sz w:val="24"/>
          <w:szCs w:val="24"/>
        </w:rPr>
        <w:fldChar w:fldCharType="begin" w:fldLock="1"/>
      </w:r>
      <w:r w:rsidR="008737C8">
        <w:rPr>
          <w:rFonts w:ascii="Arial" w:hAnsi="Arial" w:cs="Arial"/>
          <w:sz w:val="24"/>
          <w:szCs w:val="24"/>
        </w:rPr>
        <w:instrText>ADDIN CSL_CITATION {"citationItems":[{"id":"ITEM-1","itemData":{"DOI":"10.1126/science.aat9120","ISSN":"10959203","PMID":"30573546","abstract":"In vaccine design, antigens are often arrayed in a multivalent nanoparticle form, but in vivo mechanisms underlying the enhanced immunity elicited by such vaccines remain poorly understood. We compared the fates of two different heavily glycosylated HIV antigens, a gp120-derived mini-protein and a large, stabilized envelope trimer, in protein nanoparticle or “free” forms after primary immunization. Unlike monomeric antigens, nanoparticles were rapidly shuttled to the follicular dendritic cell (FDC) network and then concentrated in germinal centers in a complement-, mannose-binding lectin (MBL)–, and immunogen glycan–dependent manner. Loss of FDC localization in MBL-deficient mice or via immunogen deglycosylation significantly affected antibody responses. These findings identify an innate immune–mediated recognition pathway promoting antibody responses to particulate antigens, with broad implications for humoral immunity and vaccine design.","author":[{"dropping-particle":"","family":"Tokatlian","given":"Talar","non-dropping-particle":"","parse-names":false,"suffix":""},{"dropping-particle":"","family":"Read","given":"Benjamin J.","non-dropping-particle":"","parse-names":false,"suffix":""},{"dropping-particle":"","family":"Jones","given":"Christopher A.","non-dropping-particle":"","parse-names":false,"suffix":""},{"dropping-particle":"","family":"Kulp","given":"Daniel W.","non-dropping-particle":"","parse-names":false,"suffix":""},{"dropping-particle":"","family":"Menis","given":"Sergey","non-dropping-particle":"","parse-names":false,"suffix":""},{"dropping-particle":"","family":"Chang","given":"Jason Y.H.","non-dropping-particle":"","parse-names":false,"suffix":""},{"dropping-particle":"","family":"Steichen","given":"Jon M.","non-dropping-particle":"","parse-names":false,"suffix":""},{"dropping-particle":"","family":"Kumari","given":"Sudha","non-dropping-particle":"","parse-names":false,"suffix":""},{"dropping-particle":"","family":"Allen","given":"Joel D.","non-dropping-particle":"","parse-names":false,"suffix":""},{"dropping-particle":"","family":"Dane","given":"Eric L.","non-dropping-particle":"","parse-names":false,"suffix":""},{"dropping-particle":"","family":"Liguori","given":"Alessia","non-dropping-particle":"","parse-names":false,"suffix":""},{"dropping-particle":"","family":"Sangesland","given":"Maya","non-dropping-particle":"","parse-names":false,"suffix":""},{"dropping-particle":"","family":"Lingwood","given":"Daniel","non-dropping-particle":"","parse-names":false,"suffix":""},{"dropping-particle":"","family":"Crispin","given":"Max","non-dropping-particle":"","parse-names":false,"suffix":""},{"dropping-particle":"","family":"Schief","given":"William R.","non-dropping-particle":"","parse-names":false,"suffix":""},{"dropping-particle":"","family":"Irvine","given":"Darrell J.","non-dropping-particle":"","parse-names":false,"suffix":""}],"container-title":"Science","id":"ITEM-1","issue":"6427","issued":{"date-parts":[["2019"]]},"page":"649-654","title":"Innate immune recognition of glycans targets HIV nanoparticle immunogens to germinal centers","type":"article-journal","volume":"363"},"uris":["http://www.mendeley.com/documents/?uuid=1ee3b75b-3000-4d4d-923a-1431a425ebad"]}],"mendeley":{"formattedCitation":"&lt;sup&gt;10&lt;/sup&gt;","plainTextFormattedCitation":"10","previouslyFormattedCitation":"&lt;sup&gt;10&lt;/sup&gt;"},"properties":{"noteIndex":0},"schema":"https://github.com/citation-style-language/schema/raw/master/csl-citation.json"}</w:instrText>
      </w:r>
      <w:r w:rsidR="007C39C1" w:rsidRPr="006B3D43">
        <w:rPr>
          <w:rFonts w:ascii="Arial" w:hAnsi="Arial" w:cs="Arial"/>
          <w:sz w:val="24"/>
          <w:szCs w:val="24"/>
        </w:rPr>
        <w:fldChar w:fldCharType="separate"/>
      </w:r>
      <w:r w:rsidR="008737C8" w:rsidRPr="008737C8">
        <w:rPr>
          <w:rFonts w:ascii="Arial" w:hAnsi="Arial" w:cs="Arial"/>
          <w:noProof/>
          <w:sz w:val="24"/>
          <w:szCs w:val="24"/>
          <w:vertAlign w:val="superscript"/>
        </w:rPr>
        <w:t>10</w:t>
      </w:r>
      <w:r w:rsidR="007C39C1" w:rsidRPr="006B3D43">
        <w:rPr>
          <w:rFonts w:ascii="Arial" w:hAnsi="Arial" w:cs="Arial"/>
          <w:sz w:val="24"/>
          <w:szCs w:val="24"/>
        </w:rPr>
        <w:fldChar w:fldCharType="end"/>
      </w:r>
      <w:r w:rsidR="00F047E5" w:rsidRPr="006B3D43">
        <w:rPr>
          <w:rFonts w:ascii="Arial" w:hAnsi="Arial" w:cs="Arial"/>
          <w:sz w:val="24"/>
          <w:szCs w:val="24"/>
        </w:rPr>
        <w:t xml:space="preserve">, </w:t>
      </w:r>
      <w:r w:rsidR="00C00E47" w:rsidRPr="006B3D43">
        <w:rPr>
          <w:rFonts w:ascii="Arial" w:hAnsi="Arial" w:cs="Arial"/>
          <w:sz w:val="24"/>
          <w:szCs w:val="24"/>
        </w:rPr>
        <w:t xml:space="preserve">influence the presentation of both native and </w:t>
      </w:r>
      <w:r w:rsidR="00F047E5" w:rsidRPr="006B3D43">
        <w:rPr>
          <w:rFonts w:ascii="Arial" w:hAnsi="Arial" w:cs="Arial"/>
          <w:sz w:val="24"/>
          <w:szCs w:val="24"/>
        </w:rPr>
        <w:t>unwanted cryptic epitopes</w:t>
      </w:r>
      <w:r w:rsidR="002C75C9">
        <w:rPr>
          <w:rFonts w:ascii="Arial" w:hAnsi="Arial" w:cs="Arial"/>
          <w:sz w:val="24"/>
          <w:szCs w:val="24"/>
        </w:rPr>
        <w:t xml:space="preserve"> </w:t>
      </w:r>
      <w:r w:rsidR="007761BB" w:rsidRPr="006B3D43">
        <w:rPr>
          <w:rFonts w:ascii="Arial" w:hAnsi="Arial" w:cs="Arial"/>
          <w:sz w:val="24"/>
          <w:szCs w:val="24"/>
        </w:rPr>
        <w:fldChar w:fldCharType="begin" w:fldLock="1"/>
      </w:r>
      <w:r w:rsidR="008737C8">
        <w:rPr>
          <w:rFonts w:ascii="Arial" w:hAnsi="Arial" w:cs="Arial"/>
          <w:sz w:val="24"/>
          <w:szCs w:val="24"/>
        </w:rPr>
        <w:instrText>ADDIN CSL_CITATION {"citationItems":[{"id":"ITEM-1","itemData":{"DOI":"10.1093/glycob/7.6.725-d","ISSN":"09596658","PMID":"9376674","abstract":"T Lymphocytes (T cells) recognize short antigenic peptides bound to either MHC I or II molecules, in contrast to antibodies which can bind to native antigen. The mechanism by which antigens are processed into peptides, and the nature of the interactions of antigenic peptides with MHC molecules and with the T cell receptor have now been defined in some detail. Of significance to glycobiologists is the recent appreciation that the carbohydrate of glycoprotein antigens can contribute to the T cell recognition of epitopes presented by MHC molecules, Experiments using model T cell epitopes have demonstrated that carbohydrate can modulate T cell responses in a variety of ways; for example, there are a number of cases where glycopeptide-specific T cell responses have been identified. Many of these glycopeptide-specific T cell responses involve a peptide bearing a single glycosyl residue, thus it appears very likely that both glycan and peptide make contact with the T cell receptor binding site. Significantly, glycopeptide-specific T cell responses have also been detected to native glycoproteins. The ability of carbohydrate to influence T cell recognition of antigen has important consequences for a wide range of immune responses as well as the current strategies for mapping T cell determinants.","author":[{"dropping-particle":"","family":"Carbone","given":"Francis R.","non-dropping-particle":"","parse-names":false,"suffix":""},{"dropping-particle":"","family":"Gleeson","given":"Paul A.","non-dropping-particle":"","parse-names":false,"suffix":""}],"container-title":"Glycobiology","id":"ITEM-1","issue":"6","issued":{"date-parts":[["1997"]]},"page":"725-730","title":"Carbohydrates and antigen recognition by T cells","type":"article","volume":"7"},"uris":["http://www.mendeley.com/documents/?uuid=3cdd1675-518a-4881-9b5c-5bd9dc20b7d5"]}],"mendeley":{"formattedCitation":"&lt;sup&gt;11&lt;/sup&gt;","plainTextFormattedCitation":"11","previouslyFormattedCitation":"&lt;sup&gt;11&lt;/sup&gt;"},"properties":{"noteIndex":0},"schema":"https://github.com/citation-style-language/schema/raw/master/csl-citation.json"}</w:instrText>
      </w:r>
      <w:r w:rsidR="007761BB" w:rsidRPr="006B3D43">
        <w:rPr>
          <w:rFonts w:ascii="Arial" w:hAnsi="Arial" w:cs="Arial"/>
          <w:sz w:val="24"/>
          <w:szCs w:val="24"/>
        </w:rPr>
        <w:fldChar w:fldCharType="separate"/>
      </w:r>
      <w:r w:rsidR="008737C8" w:rsidRPr="008737C8">
        <w:rPr>
          <w:rFonts w:ascii="Arial" w:hAnsi="Arial" w:cs="Arial"/>
          <w:noProof/>
          <w:sz w:val="24"/>
          <w:szCs w:val="24"/>
          <w:vertAlign w:val="superscript"/>
        </w:rPr>
        <w:t>11</w:t>
      </w:r>
      <w:r w:rsidR="007761BB" w:rsidRPr="006B3D43">
        <w:rPr>
          <w:rFonts w:ascii="Arial" w:hAnsi="Arial" w:cs="Arial"/>
          <w:sz w:val="24"/>
          <w:szCs w:val="24"/>
        </w:rPr>
        <w:fldChar w:fldCharType="end"/>
      </w:r>
      <w:r w:rsidR="00F047E5" w:rsidRPr="006B3D43">
        <w:rPr>
          <w:rFonts w:ascii="Arial" w:hAnsi="Arial" w:cs="Arial"/>
          <w:sz w:val="24"/>
          <w:szCs w:val="24"/>
        </w:rPr>
        <w:t>, and reveal to what extent immunogens recapitulate native viral architecture.</w:t>
      </w:r>
      <w:r w:rsidR="003C7331">
        <w:rPr>
          <w:rFonts w:ascii="Arial" w:hAnsi="Arial" w:cs="Arial"/>
          <w:sz w:val="24"/>
          <w:szCs w:val="24"/>
        </w:rPr>
        <w:t xml:space="preserve"> Evidence is also emerging that glycosylation can</w:t>
      </w:r>
      <w:r w:rsidR="009D67E1">
        <w:rPr>
          <w:rFonts w:ascii="Arial" w:hAnsi="Arial" w:cs="Arial"/>
          <w:sz w:val="24"/>
          <w:szCs w:val="24"/>
        </w:rPr>
        <w:t xml:space="preserve"> somewhat</w:t>
      </w:r>
      <w:r w:rsidR="003C7331">
        <w:rPr>
          <w:rFonts w:ascii="Arial" w:hAnsi="Arial" w:cs="Arial"/>
          <w:sz w:val="24"/>
          <w:szCs w:val="24"/>
        </w:rPr>
        <w:t xml:space="preserve"> influence the interaction between SARS-CoV-2 and its target receptor, angiotensin converting enzyme 2 (ACE2)</w:t>
      </w:r>
      <w:r w:rsidR="002C75C9">
        <w:rPr>
          <w:rFonts w:ascii="Arial" w:hAnsi="Arial" w:cs="Arial"/>
          <w:sz w:val="24"/>
          <w:szCs w:val="24"/>
        </w:rPr>
        <w:t xml:space="preserve"> </w:t>
      </w:r>
      <w:r w:rsidR="00A7358D">
        <w:rPr>
          <w:rFonts w:ascii="Arial" w:hAnsi="Arial" w:cs="Arial"/>
          <w:sz w:val="24"/>
          <w:szCs w:val="24"/>
        </w:rPr>
        <w:fldChar w:fldCharType="begin" w:fldLock="1"/>
      </w:r>
      <w:r w:rsidR="008737C8">
        <w:rPr>
          <w:rFonts w:ascii="Arial" w:hAnsi="Arial" w:cs="Arial"/>
          <w:sz w:val="24"/>
          <w:szCs w:val="24"/>
        </w:rPr>
        <w:instrText>ADDIN CSL_CITATION {"citationItems":[{"id":"ITEM-1","itemData":{"DOI":"10.21203/rs.3.rs-40123/v1","ISSN":"20411723","abstract":"Preprint: SARS-CoV-2 has affected over 9 million patients with more than 460,000 deaths in about 6 months. Understanding the factors that contribute to efficient SARS-CoV-2 infection of human cells, which are not previously reported, may provide insights on SARS-CoV-2 transmissibility and pathogenesis, and reveal targets of intervention. Here, we reported key host and viral determinants that were essential for efficient SARS-CoV-2 infection in the human lung. First, we identified heparan sulfate as an important attachment factor for SARS-CoV-2 infection. Second, we demonstrated that while cell surface sialic acids significantly restricted SARS-CoV infection, SARS-CoV-2 could largely overcome sialic acid-mediated restriction in both human lung epithelial cells and ex vivo human lung tissue explants. Third, we demonstrated that the inserted furin-like cleavage site in SARS-CoV-2 spike was required for efficient virus replication in human lung but not intestine tissues. Overall, these findings contributed to our understanding on efficient SARS-CoV-2 infection of human lungs.","author":[{"dropping-particle":"","family":"Chu","given":"Hin","non-dropping-particle":"","parse-names":false,"suffix":""},{"dropping-particle":"","family":"Hu","given":"Bingjie","non-dropping-particle":"","parse-names":false,"suffix":""},{"dropping-particle":"","family":"Huang","given":"Xiner","non-dropping-particle":"","parse-names":false,"suffix":""},{"dropping-particle":"","family":"Chai","given":"Yue","non-dropping-particle":"","parse-names":false,"suffix":""},{"dropping-particle":"","family":"Wang","given":"Yixin","non-dropping-particle":"","parse-names":false,"suffix":""},{"dropping-particle":"","family":"Shuai","given":"Huiping","non-dropping-particle":"","parse-names":false,"suffix":""},{"dropping-particle":"","family":"Yang","given":"Dong","non-dropping-particle":"","parse-names":false,"suffix":""},{"dropping-particle":"","family":"Hou","given":"Yuxin","non-dropping-particle":"","parse-names":false,"suffix":""},{"dropping-particle":"","family":"Zhang","given":"Xi","non-dropping-particle":"","parse-names":false,"suffix":""},{"dropping-particle":"","family":"Yuen","given":"Terrence Tsz-Tai","non-dropping-particle":"","parse-names":false,"suffix":""},{"dropping-particle":"","family":"Cai","given":"Jian-Piao","non-dropping-particle":"","parse-names":false,"suffix":""},{"dropping-particle":"","family":"Zhang","given":"Anna Jinxia","non-dropping-particle":"","parse-names":false,"suffix":""},{"dropping-particle":"","family":"Zhou","given":"Jie","non-dropping-particle":"","parse-names":false,"suffix":""},{"dropping-particle":"","family":"Yuan","given":"Shuofeng","non-dropping-particle":"","parse-names":false,"suffix":""},{"dropping-particle":"","family":"To","given":"Kelvin Kai-Wang","non-dropping-particle":"","parse-names":false,"suffix":""},{"dropping-particle":"","family":"Chan","given":"Ivy Hau-Yee","non-dropping-particle":"","parse-names":false,"suffix":""},{"dropping-particle":"","family":"Sit","given":"Ko-Yung","non-dropping-particle":"","parse-names":false,"suffix":""},{"dropping-particle":"","family":"Foo","given":"Dominic Chi-Chung","non-dropping-particle":"","parse-names":false,"suffix":""},{"dropping-particle":"","family":"Wong","given":"Ian Yu-Hong","non-dropping-particle":"","parse-names":false,"suffix":""},{"dropping-particle":"","family":"Ng","given":"Ada Tsui-Lin","non-dropping-particle":"","parse-names":false,"suffix":""},{"dropping-particle":"","family":"Cheung","given":"Tan To","non-dropping-particle":"","parse-names":false,"suffix":""},{"dropping-particle":"","family":"Law","given":"Simon Ying-Kit","non-dropping-particle":"","parse-names":false,"suffix":""},{"dropping-particle":"","family":"Au","given":"Wing-Kuk","non-dropping-particle":"","parse-names":false,"suffix":""},{"dropping-particle":"","family":"Kok","given":"Kin-Hang","non-dropping-particle":"","parse-names":false,"suffix":""},{"dropping-particle":"","family":"Chan","given":"Jasper Fuk-Woo","non-dropping-particle":"","parse-names":false,"suffix":""},{"dropping-particle":"","family":"Yuen","given":"Kwok-Yung","non-dropping-particle":"","parse-names":false,"suffix":""}],"container-title":"Nature Communications","id":"ITEM-1","issue":"1","issued":{"date-parts":[["2020","12","8"]]},"page":"134","publisher":"Nature Publishing Group","title":"Host and viral determinants for efficient SARS-CoV-2 infection of the human lung","type":"article-journal","volume":"12"},"uris":["http://www.mendeley.com/documents/?uuid=5148828a-1ba1-3997-a949-151ac06a6730"]},{"id":"ITEM-2","itemData":{"DOI":"10.7554/eLife.61552","ISSN":"2050084X","PMID":"33103998","abstract":"The Spike protein of SARS-CoV-2, its receptor binding domain (RBD), and its primary receptor ACE2 are extensively glycosylated. The impact of this post-translational modification on viral entry is yet unestablished. We expressed different glycoforms of the Spike-protein and ACE2 in CRISPR-Cas9 glycoengineered cells, and developed corresponding SARS-CoV-2 pseudovirus. We observed that N-and O-glycans had only minor contribution to Spike-ACE2 binding. However, these carbohydrates played a major role in regulating viral entry. Blocking N-glycan biosynthesis at the oligomannose stage using both genetic approaches and the small molecule kifunensine dramatically reduced viral entry into ACE2 expressing HEK293T cells. Blocking O-glycan elaboration also partially blocked viral entry. Mechanistic studies suggest multiple roles for glycans during viral entry. Among them, inhibition of N-glycan biosynthesis enhanced Spike-protein proteolysis. This could reduce RBD presentation on virus, lowering binding to host ACE2 and decreasing viral entry. Overall, chemical inhibitors of glycosylation may be evaluated for COVID-19.","author":[{"dropping-particle":"","family":"Yang","given":"Qi","non-dropping-particle":"","parse-names":false,"suffix":""},{"dropping-particle":"","family":"Hughes","given":"Thomas A.","non-dropping-particle":"","parse-names":false,"suffix":""},{"dropping-particle":"","family":"Kelkar","given":"Anju","non-dropping-particle":"","parse-names":false,"suffix":""},{"dropping-particle":"","family":"Yu","given":"Xinheng","non-dropping-particle":"","parse-names":false,"suffix":""},{"dropping-particle":"","family":"Cheng","given":"Kai","non-dropping-particle":"","parse-names":false,"suffix":""},{"dropping-particle":"","family":"Park","given":"Sheldon J.","non-dropping-particle":"","parse-names":false,"suffix":""},{"dropping-particle":"","family":"Huang","given":"Wei Chiao","non-dropping-particle":"","parse-names":false,"suffix":""},{"dropping-particle":"","family":"Lovell","given":"Jonathan F.","non-dropping-particle":"","parse-names":false,"suffix":""},{"dropping-particle":"","family":"Neelamegham","given":"Sriram","non-dropping-particle":"","parse-names":false,"suffix":""}],"container-title":"eLife","id":"ITEM-2","issued":{"date-parts":[["2020","10","1"]]},"page":"1-44","publisher":"eLife Sciences Publications Ltd","title":"Inhibition of SARS-CoV-2 viral entry upon blocking N-and O-glycan elaboration","type":"article-journal","volume":"9"},"uris":["http://www.mendeley.com/documents/?uuid=29196f08-7af7-31fa-a08c-500d5fd5cfdf"]},{"id":"ITEM-3","itemData":{"DOI":"10.1016/j.jmb.2020.166762","ISSN":"10898638","PMID":"33340519","abstract":"The severity of SARS-CoV-2 infection is highly variable and yet the molecular basis for this effect remains elusive. One potential contribution are differences in the glycosylation of target human cells, particularly as SARS-CoV-2 has the capacity to bind sialic acid which is a common, and highly variable, terminal modification of glycans. The viral spike glycoprotein (S) of SARS-CoV-2 and the human cellular receptor, angiotensin-converting enzyme 2 (ACE2) are both densely glycosylated. We therefore sought to investigate whether the glycosylation state of ACE2 impacts the interaction with SARS-CoV-2 viral spike. We generated a panel of engineered ACE2 glycoforms which were analyzed by mass spectrometry to reveal the site-specific glycan modifications. We then probed the impact of ACE2 glycosylation on S binding and revealed a subtle sensitivity with hypersialylated or oligomannose-type glycans slightly impeding the interaction. In contrast, deglycosylation of ACE2 did not influence SARS-CoV-2 binding. Overall, ACE2 glycosylation does not significantly influence viral spike binding. We suggest that any role of glycosylation in the pathobiology of SARS-CoV-2 will lie beyond its immediate impact of receptor glycosylation on virus binding.","author":[{"dropping-particle":"","family":"Allen","given":"Joel D.","non-dropping-particle":"","parse-names":false,"suffix":""},{"dropping-particle":"","family":"Watanabe","given":"Yasunori","non-dropping-particle":"","parse-names":false,"suffix":""},{"dropping-particle":"","family":"Chawla","given":"Himanshi","non-dropping-particle":"","parse-names":false,"suffix":""},{"dropping-particle":"","family":"Newby","given":"Maddy L.","non-dropping-particle":"","parse-names":false,"suffix":""},{"dropping-particle":"","family":"Crispin","given":"Max","non-dropping-particle":"","parse-names":false,"suffix":""}],"container-title":"Journal of Molecular Biology","id":"ITEM-3","issue":"4","issued":{"date-parts":[["2021","12","19"]]},"page":"166762","publisher":"Elsevier BV","title":"Subtle Influence of ACE2 Glycan Processing on SARS-CoV-2 Recognition","type":"article-journal","volume":"433"},"uris":["http://www.mendeley.com/documents/?uuid=fa622c8d-b347-3d19-950e-cf81c9d7a8ce"]},{"id":"ITEM-4","itemData":{"DOI":"10.1016/j.chom.2020.08.004","ISSN":"19346069","PMID":"32841605","abstract":"The SARS-CoV-2 betacoronavirus uses its highly glycosylated trimeric Spike protein to bind to the cell surface receptor angiotensin converting enzyme 2 (ACE2) glycoprotein and facilitate host cell entry. We utilized glycomics-informed glycoproteomics to characterize site-specific microheterogeneity of glycosylation for a recombinant trimer Spike mimetic immunogen and for a soluble version of human ACE2. We combined this information with bioinformatics analyses of natural variants and with existing 3D structures of both glycoproteins to generate molecular dynamics simulations of each glycoprotein both alone and interacting with one another. Our results highlight roles for glycans in sterically masking polypeptide epitopes and directly modulating Spike-ACE2 interactions. Furthermore, our results illustrate the impact of viral evolution and divergence on Spike glycosylation, as well as the influence of natural variants on ACE2 receptor glycosylation. Taken together, these data can facilitate immunogen design to achieve antibody neutralization and inform therapeutic strategies to inhibit viral infection.","author":[{"dropping-particle":"","family":"Zhao","given":"Peng","non-dropping-particle":"","parse-names":false,"suffix":""},{"dropping-particle":"","family":"Praissman","given":"Jeremy L.","non-dropping-particle":"","parse-names":false,"suffix":""},{"dropping-particle":"","family":"Grant","given":"Oliver C.","non-dropping-particle":"","parse-names":false,"suffix":""},{"dropping-particle":"","family":"Cai","given":"Yongfei","non-dropping-particle":"","parse-names":false,"suffix":""},{"dropping-particle":"","family":"Xiao","given":"Tianshu","non-dropping-particle":"","parse-names":false,"suffix":""},{"dropping-particle":"","family":"Rosenbalm","given":"Katelyn E.","non-dropping-particle":"","parse-names":false,"suffix":""},{"dropping-particle":"","family":"Aoki","given":"Kazuhiro","non-dropping-particle":"","parse-names":false,"suffix":""},{"dropping-particle":"","family":"Kellman","given":"Benjamin P.","non-dropping-particle":"","parse-names":false,"suffix":""},{"dropping-particle":"","family":"Bridger","given":"Robert","non-dropping-particle":"","parse-names":false,"suffix":""},{"dropping-particle":"","family":"Barouch","given":"Dan H.","non-dropping-particle":"","parse-names":false,"suffix":""},{"dropping-particle":"","family":"Brindley","given":"Melinda A.","non-dropping-particle":"","parse-names":false,"suffix":""},{"dropping-particle":"","family":"Lewis","given":"Nathan E.","non-dropping-particle":"","parse-names":false,"suffix":""},{"dropping-particle":"","family":"Tiemeyer","given":"Michael","non-dropping-particle":"","parse-names":false,"suffix":""},{"dropping-particle":"","family":"Chen","given":"Bing","non-dropping-particle":"","parse-names":false,"suffix":""},{"dropping-particle":"","family":"Woods","given":"Robert J.","non-dropping-particle":"","parse-names":false,"suffix":""},{"dropping-particle":"","family":"Wells","given":"Lance","non-dropping-particle":"","parse-names":false,"suffix":""}],"container-title":"Cell Host and Microbe","id":"ITEM-4","issue":"4","issued":{"date-parts":[["2020","10","7"]]},"page":"586-601.e6","publisher":"Cell Press","title":"Virus-Receptor Interactions of Glycosylated SARS-CoV-2 Spike and Human ACE2 Receptor","type":"article-journal","volume":"28"},"uris":["http://www.mendeley.com/documents/?uuid=7dbbbbb9-67b0-3c73-9fb0-9bdec9b9ae3b"]}],"mendeley":{"formattedCitation":"&lt;sup&gt;12–15&lt;/sup&gt;","plainTextFormattedCitation":"12–15","previouslyFormattedCitation":"&lt;sup&gt;12–15&lt;/sup&gt;"},"properties":{"noteIndex":0},"schema":"https://github.com/citation-style-language/schema/raw/master/csl-citation.json"}</w:instrText>
      </w:r>
      <w:r w:rsidR="00A7358D">
        <w:rPr>
          <w:rFonts w:ascii="Arial" w:hAnsi="Arial" w:cs="Arial"/>
          <w:sz w:val="24"/>
          <w:szCs w:val="24"/>
        </w:rPr>
        <w:fldChar w:fldCharType="separate"/>
      </w:r>
      <w:r w:rsidR="008737C8" w:rsidRPr="008737C8">
        <w:rPr>
          <w:rFonts w:ascii="Arial" w:hAnsi="Arial" w:cs="Arial"/>
          <w:noProof/>
          <w:sz w:val="24"/>
          <w:szCs w:val="24"/>
          <w:vertAlign w:val="superscript"/>
        </w:rPr>
        <w:t>12–15</w:t>
      </w:r>
      <w:r w:rsidR="00A7358D">
        <w:rPr>
          <w:rFonts w:ascii="Arial" w:hAnsi="Arial" w:cs="Arial"/>
          <w:sz w:val="24"/>
          <w:szCs w:val="24"/>
        </w:rPr>
        <w:fldChar w:fldCharType="end"/>
      </w:r>
      <w:r w:rsidR="00A7358D">
        <w:rPr>
          <w:rFonts w:ascii="Arial" w:hAnsi="Arial" w:cs="Arial"/>
          <w:sz w:val="24"/>
          <w:szCs w:val="24"/>
        </w:rPr>
        <w:t>.</w:t>
      </w:r>
      <w:r w:rsidR="003C7331">
        <w:rPr>
          <w:rFonts w:ascii="Arial" w:hAnsi="Arial" w:cs="Arial"/>
          <w:sz w:val="24"/>
          <w:szCs w:val="24"/>
        </w:rPr>
        <w:t xml:space="preserve"> </w:t>
      </w:r>
      <w:bookmarkStart w:id="2" w:name="_Hlk73002111"/>
      <w:r w:rsidR="00367411">
        <w:rPr>
          <w:rFonts w:ascii="Arial" w:hAnsi="Arial" w:cs="Arial"/>
          <w:sz w:val="24"/>
          <w:szCs w:val="24"/>
        </w:rPr>
        <w:t>Each protomer of the trimeric</w:t>
      </w:r>
      <w:r w:rsidR="00367411" w:rsidRPr="006B3D43">
        <w:rPr>
          <w:rFonts w:ascii="Arial" w:hAnsi="Arial" w:cs="Arial"/>
          <w:sz w:val="24"/>
          <w:szCs w:val="24"/>
        </w:rPr>
        <w:t xml:space="preserve"> </w:t>
      </w:r>
      <w:r w:rsidR="00C00E47" w:rsidRPr="006B3D43">
        <w:rPr>
          <w:rFonts w:ascii="Arial" w:hAnsi="Arial" w:cs="Arial"/>
          <w:sz w:val="24"/>
          <w:szCs w:val="24"/>
        </w:rPr>
        <w:t>SARS-CoV-2 S protein contains</w:t>
      </w:r>
      <w:r w:rsidR="005759BD">
        <w:rPr>
          <w:rFonts w:ascii="Arial" w:hAnsi="Arial" w:cs="Arial"/>
          <w:sz w:val="24"/>
          <w:szCs w:val="24"/>
        </w:rPr>
        <w:t xml:space="preserve"> at </w:t>
      </w:r>
      <w:r w:rsidR="00367411">
        <w:rPr>
          <w:rFonts w:ascii="Arial" w:hAnsi="Arial" w:cs="Arial"/>
          <w:sz w:val="24"/>
          <w:szCs w:val="24"/>
        </w:rPr>
        <w:t>22</w:t>
      </w:r>
      <w:r w:rsidR="00C00E47" w:rsidRPr="006B3D43">
        <w:rPr>
          <w:rFonts w:ascii="Arial" w:hAnsi="Arial" w:cs="Arial"/>
          <w:sz w:val="24"/>
          <w:szCs w:val="24"/>
        </w:rPr>
        <w:t xml:space="preserve"> N-linked glycosylation sequons that direct the attachment of host glycans to specific Asn residues</w:t>
      </w:r>
      <w:bookmarkEnd w:id="2"/>
      <w:r w:rsidR="00C00E47" w:rsidRPr="006B3D43">
        <w:rPr>
          <w:rFonts w:ascii="Arial" w:hAnsi="Arial" w:cs="Arial"/>
          <w:sz w:val="24"/>
          <w:szCs w:val="24"/>
        </w:rPr>
        <w:t xml:space="preserve">. This extensive glycosylation is important in lectin-mediated protein folding and direct </w:t>
      </w:r>
      <w:r w:rsidR="007C7EBB" w:rsidRPr="006B3D43">
        <w:rPr>
          <w:rFonts w:ascii="Arial" w:hAnsi="Arial" w:cs="Arial"/>
          <w:sz w:val="24"/>
          <w:szCs w:val="24"/>
        </w:rPr>
        <w:t xml:space="preserve">stabilization </w:t>
      </w:r>
      <w:r w:rsidR="00C00E47" w:rsidRPr="006B3D43">
        <w:rPr>
          <w:rFonts w:ascii="Arial" w:hAnsi="Arial" w:cs="Arial"/>
          <w:sz w:val="24"/>
          <w:szCs w:val="24"/>
        </w:rPr>
        <w:t>of the protein fold</w:t>
      </w:r>
      <w:r w:rsidR="002C75C9">
        <w:rPr>
          <w:rFonts w:ascii="Arial" w:hAnsi="Arial" w:cs="Arial"/>
          <w:sz w:val="24"/>
          <w:szCs w:val="24"/>
        </w:rPr>
        <w:t xml:space="preserve"> </w:t>
      </w:r>
      <w:r w:rsidR="002C5BAB" w:rsidRPr="006B3D43">
        <w:rPr>
          <w:rFonts w:ascii="Arial" w:hAnsi="Arial" w:cs="Arial"/>
          <w:sz w:val="24"/>
          <w:szCs w:val="24"/>
        </w:rPr>
        <w:fldChar w:fldCharType="begin" w:fldLock="1"/>
      </w:r>
      <w:r w:rsidR="00B318C2">
        <w:rPr>
          <w:rFonts w:ascii="Arial" w:hAnsi="Arial" w:cs="Arial"/>
          <w:sz w:val="24"/>
          <w:szCs w:val="24"/>
        </w:rPr>
        <w:instrText>ADDIN CSL_CITATION {"citationItems":[{"id":"ITEM-1","itemData":{"DOI":"10.1038/nrm4073","ISSN":"14710080","PMID":"26465718","abstract":"Membrane-bound and soluble proteins of the secretory pathway are commonly glycosylated in the endoplasmic reticulum. These adducts have many biological functions, including, notably, their contribution to the maturation of glycoproteins. N-linked glycans are of oligomeric structure, forming configurations that provide blueprints to precisely instruct the folding of protein substrates and the quality control systems that scrutinize it. O-linked mannoses are simpler in structure and were recently found to have distinct functions in protein quality control that do not require the complex structure of N-linked glycans. Together, recent studies reveal the breadth and sophistication of the roles of these glycan-directed modifications in protein biogenesis.","author":[{"dropping-particle":"","family":"Xu","given":"Chengchao","non-dropping-particle":"","parse-names":false,"suffix":""},{"dropping-particle":"","family":"Ng","given":"Davis T.W.","non-dropping-particle":"","parse-names":false,"suffix":""}],"container-title":"Nature Reviews Molecular Cell Biology","id":"ITEM-1","issue":"12","issued":{"date-parts":[["2015"]]},"page":"742-752","title":"Glycosylation-directed quality control of protein folding","type":"article","volume":"16"},"uris":["http://www.mendeley.com/documents/?uuid=f577de55-bbac-446f-8587-59a175f41159"]}],"mendeley":{"formattedCitation":"&lt;sup&gt;16&lt;/sup&gt;","plainTextFormattedCitation":"16","previouslyFormattedCitation":"&lt;sup&gt;16&lt;/sup&gt;"},"properties":{"noteIndex":0},"schema":"https://github.com/citation-style-language/schema/raw/master/csl-citation.json"}</w:instrText>
      </w:r>
      <w:r w:rsidR="002C5BAB" w:rsidRPr="006B3D43">
        <w:rPr>
          <w:rFonts w:ascii="Arial" w:hAnsi="Arial" w:cs="Arial"/>
          <w:sz w:val="24"/>
          <w:szCs w:val="24"/>
        </w:rPr>
        <w:fldChar w:fldCharType="separate"/>
      </w:r>
      <w:r w:rsidR="00B318C2" w:rsidRPr="00B318C2">
        <w:rPr>
          <w:rFonts w:ascii="Arial" w:hAnsi="Arial" w:cs="Arial"/>
          <w:noProof/>
          <w:sz w:val="24"/>
          <w:szCs w:val="24"/>
          <w:vertAlign w:val="superscript"/>
        </w:rPr>
        <w:t>16</w:t>
      </w:r>
      <w:r w:rsidR="002C5BAB" w:rsidRPr="006B3D43">
        <w:rPr>
          <w:rFonts w:ascii="Arial" w:hAnsi="Arial" w:cs="Arial"/>
          <w:sz w:val="24"/>
          <w:szCs w:val="24"/>
        </w:rPr>
        <w:fldChar w:fldCharType="end"/>
      </w:r>
      <w:r w:rsidR="00C00E47" w:rsidRPr="006B3D43">
        <w:rPr>
          <w:rFonts w:ascii="Arial" w:hAnsi="Arial" w:cs="Arial"/>
          <w:sz w:val="24"/>
          <w:szCs w:val="24"/>
        </w:rPr>
        <w:t xml:space="preserve">. In addition, certain glycans are incompletely matured during biogenesis and can lead to the presentation of immature glycans </w:t>
      </w:r>
      <w:r w:rsidR="0081126D" w:rsidRPr="006B3D43">
        <w:rPr>
          <w:rFonts w:ascii="Arial" w:hAnsi="Arial" w:cs="Arial"/>
          <w:sz w:val="24"/>
          <w:szCs w:val="24"/>
        </w:rPr>
        <w:t>terminating</w:t>
      </w:r>
      <w:r w:rsidR="00C00E47" w:rsidRPr="006B3D43">
        <w:rPr>
          <w:rFonts w:ascii="Arial" w:hAnsi="Arial" w:cs="Arial"/>
          <w:sz w:val="24"/>
          <w:szCs w:val="24"/>
        </w:rPr>
        <w:t xml:space="preserve"> with mannose residues that can act as ligands for innate immune recognition</w:t>
      </w:r>
      <w:r w:rsidR="002C75C9">
        <w:rPr>
          <w:rFonts w:ascii="Arial" w:hAnsi="Arial" w:cs="Arial"/>
          <w:sz w:val="24"/>
          <w:szCs w:val="24"/>
        </w:rPr>
        <w:t xml:space="preserve"> </w:t>
      </w:r>
      <w:r w:rsidR="002C5BAB" w:rsidRPr="006B3D43">
        <w:rPr>
          <w:rFonts w:ascii="Arial" w:hAnsi="Arial" w:cs="Arial"/>
          <w:sz w:val="24"/>
          <w:szCs w:val="24"/>
        </w:rPr>
        <w:fldChar w:fldCharType="begin" w:fldLock="1"/>
      </w:r>
      <w:r w:rsidR="008737C8">
        <w:rPr>
          <w:rFonts w:ascii="Arial" w:hAnsi="Arial" w:cs="Arial"/>
          <w:sz w:val="24"/>
          <w:szCs w:val="24"/>
        </w:rPr>
        <w:instrText>ADDIN CSL_CITATION {"citationItems":[{"id":"ITEM-1","itemData":{"DOI":"10.1128/jvi.01190-15","ISSN":"0022-538X","PMID":"26085151","abstract":"The gp120/gp41 HIV-1 envelope glycoprotein (Env) is highly glycosylated, with up to 50% of its mass consisting of N -linked glycans. This dense carbohydrate coat has emerged as a promising vaccine target, with its glycans acting as epitopes for a number of potent and broadly neutralizing antibodies (bnAbs). Characterizing the glycan structures present on native HIV-1 Env is thus a critical goal for the design of Env immunogens. In this study, we used a complementary, multistep approach involving ion mobility mass spectrometry and high-performance liquid chromatography to comprehensively characterize the glycan structures present on HIV-1 gp120 produced in peripheral blood mononuclear cells (PBMCs). The capacity of different expression systems, including pseudoviral particles and recombinant cell surface trimers, to reproduce native-like glycosylation was then assessed. A population of oligomannose glycans on gp120 was reproduced across all expression systems, supporting this as an intrinsic property of Env that can be targeted for vaccine design. In contrast, Env produced in HEK 293T cells failed to accurately reproduce the highly processed complex-type glycan structures observed on PBMC-derived gp120, and in particular the precise linkage of sialic acid residues that cap these glycans. Finally, we show that unlike for gp120, the glycans decorating gp41 are mostly complex-type sugars, consistent with the glycan specificity of bnAbs that target this region. These findings provide insights into the glycosylation of native and recombinant HIV-1 Env and can be used to inform strategies for immunogen design and preparation. IMPORTANCE Development of an HIV vaccine is desperately needed to control new infections, and elicitation of HIV bnAbs will likely be an important component of an effective vaccine. Increasingly, HIV bnAbs are being identified that bind to the N -linked glycans coating the HIV envelope glycoproteins gp120 and gp41, highlighting them as important targets for vaccine design. It is therefore important to characterize the glycan structures present on native, virion-associated gp120 and gp41 for development of vaccines that accurately mimic native-Env glycosylation. In this study, we used a number of analytical techniques to precisely study the structures of both the oligomannose and complex-type glycans present on native Env to provide a reference for determining the ability of potential HIV immunogens to accurately replicate the glycosylatio…","author":[{"dropping-particle":"","family":"Pritchard","given":"Laura K.","non-dropping-particle":"","parse-names":false,"suffix":""},{"dropping-particle":"","family":"Harvey","given":"David J.","non-dropping-particle":"","parse-names":false,"suffix":""},{"dropping-particle":"","family":"Bonomelli","given":"Camille","non-dropping-particle":"","parse-names":false,"suffix":""},{"dropping-particle":"","family":"Crispin","given":"Max","non-dropping-particle":"","parse-names":false,"suffix":""},{"dropping-particle":"","family":"Doores","given":"Katie J.","non-dropping-particle":"","parse-names":false,"suffix":""}],"container-title":"Journal of Virology","id":"ITEM-1","issue":"17","issued":{"date-parts":[["2015"]]},"page":"8932-8944","title":"Cell- and Protein-Directed Glycosylation of Native Cleaved HIV-1 Envelope","type":"article-journal","volume":"89"},"uris":["http://www.mendeley.com/documents/?uuid=329444c8-4c21-460d-886c-ae24ad887353"]},{"id":"ITEM-2","itemData":{"DOI":"10.1016/j.sbi.2017.03.008","ISSN":"1879033X","PMID":"28363124","abstract":"The heavily glycosylated, trimeric HIV-1 envelope (Env) protein is the sole viral protein exposed on the HIV-1 virion surface and is thus a main focus of antibody-mediated vaccine development. Dense glycosylation at the outer domain of Env constrains normal enzymatic processing, stalling the glycans at immature oligomannose-type structures. Furthermore, native trimerization imposes additional steric constraints, which generate an extensive ‘trimer-induced mannose patch’. Importantly, the immature glycans present a highly conserved feature of the virus that is targeted by broadly neutralizing antibodies. Quantitative mass spectrometry of glycopeptides together with structures of the trimeric viral-spike define the steric principles controlling processing and provide a detailed map of the glycan shield.","author":[{"dropping-particle":"","family":"Behrens","given":"Anna Janina","non-dropping-particle":"","parse-names":false,"suffix":""},{"dropping-particle":"","family":"Crispin","given":"Max","non-dropping-particle":"","parse-names":false,"suffix":""}],"container-title":"Current Opinion in Structural Biology","id":"ITEM-2","issued":{"date-parts":[["2017"]]},"page":"125-133","title":"Structural principles controlling HIV envelope glycosylation","type":"article","volume":"44"},"uris":["http://www.mendeley.com/documents/?uuid=ec45cab7-7af2-4d30-928e-22f686f6f88a"]},{"id":"ITEM-3","itemData":{"DOI":"10.1073/pnas.1803990115","ISSN":"10916490","PMID":"29941589","abstract":"Lassa virus is an Old World arenavirus endemic to West Africa that causes severe hemorrhagic fever. Vaccine development has focused on the envelope glycoprotein complex (GPC) that extends from the virion envelope. The often inadequate antibody immune response elicited by both vaccine and natural infection has been, in part, attributed to the abundance of N-linked glycosylation on the GPC. Here, using a virus-like−particle system that presents Lassa virus GPC in a native-like context, we determine the composite population of each of the N-linked glycosylation sites presented on the trimeric GPC spike. Our analysis reveals the presence of underprocessed oligomannose-type glycans, which form punctuated clusters that obscure the proteinous surface of both the GP1 attachment and GP2 fusion glycoprotein subunits of the Lassa virus GPC. These oligomannose clusters are seemingly derived as a result of sterically reduced accessibility to glycan processing enzymes, and limited amino acid diversification around these sites supports their role protecting against the humoral immune response. Combined, our data provide a structure-based blueprint for understanding how glycans render the glycoprotein spikes of Lassa virus and other Old World arenaviruses immunologically resistant targets.","author":[{"dropping-particle":"","family":"Watanabe","given":"Yasunori","non-dropping-particle":"","parse-names":false,"suffix":""},{"dropping-particle":"","family":"Raghwani","given":"Jayna","non-dropping-particle":"","parse-names":false,"suffix":""},{"dropping-particle":"","family":"Allen","given":"Joel D.","non-dropping-particle":"","parse-names":false,"suffix":""},{"dropping-particle":"","family":"Seabright","given":"Gemma E.","non-dropping-particle":"","parse-names":false,"suffix":""},{"dropping-particle":"","family":"Li","given":"Sai","non-dropping-particle":"","parse-names":false,"suffix":""},{"dropping-particle":"","family":"Moser","given":"Felipe","non-dropping-particle":"","parse-names":false,"suffix":""},{"dropping-particle":"","family":"Huiskonen","given":"Juha T.","non-dropping-particle":"","parse-names":false,"suffix":""},{"dropping-particle":"","family":"Strecker","given":"Thomas","non-dropping-particle":"","parse-names":false,"suffix":""},{"dropping-particle":"","family":"Bowden","given":"Thomas A.","non-dropping-particle":"","parse-names":false,"suffix":""},{"dropping-particle":"","family":"Crispin","given":"Max","non-dropping-particle":"","parse-names":false,"suffix":""}],"container-title":"Proceedings of the National Academy of Sciences of the United States of America","id":"ITEM-3","issue":"28","issued":{"date-parts":[["2018"]]},"page":"7320-7325","title":"Structure of the Lassa virus glycan shield provides a model for immunological resistance","type":"article-journal","volume":"115"},"uris":["http://www.mendeley.com/documents/?uuid=3b396008-b34f-42ba-a783-b85acbca7c87"]}],"mendeley":{"formattedCitation":"&lt;sup&gt;17–19&lt;/sup&gt;","plainTextFormattedCitation":"17–19","previouslyFormattedCitation":"&lt;sup&gt;17–19&lt;/sup&gt;"},"properties":{"noteIndex":0},"schema":"https://github.com/citation-style-language/schema/raw/master/csl-citation.json"}</w:instrText>
      </w:r>
      <w:r w:rsidR="002C5BAB" w:rsidRPr="006B3D43">
        <w:rPr>
          <w:rFonts w:ascii="Arial" w:hAnsi="Arial" w:cs="Arial"/>
          <w:sz w:val="24"/>
          <w:szCs w:val="24"/>
        </w:rPr>
        <w:fldChar w:fldCharType="separate"/>
      </w:r>
      <w:r w:rsidR="008737C8" w:rsidRPr="008737C8">
        <w:rPr>
          <w:rFonts w:ascii="Arial" w:hAnsi="Arial" w:cs="Arial"/>
          <w:noProof/>
          <w:sz w:val="24"/>
          <w:szCs w:val="24"/>
          <w:vertAlign w:val="superscript"/>
        </w:rPr>
        <w:t>17–19</w:t>
      </w:r>
      <w:r w:rsidR="002C5BAB" w:rsidRPr="006B3D43">
        <w:rPr>
          <w:rFonts w:ascii="Arial" w:hAnsi="Arial" w:cs="Arial"/>
          <w:sz w:val="24"/>
          <w:szCs w:val="24"/>
        </w:rPr>
        <w:fldChar w:fldCharType="end"/>
      </w:r>
      <w:r w:rsidR="0081126D" w:rsidRPr="006B3D43">
        <w:rPr>
          <w:rFonts w:ascii="Arial" w:hAnsi="Arial" w:cs="Arial"/>
          <w:sz w:val="24"/>
          <w:szCs w:val="24"/>
        </w:rPr>
        <w:t>.</w:t>
      </w:r>
      <w:r w:rsidR="00C00E47" w:rsidRPr="006B3D43">
        <w:rPr>
          <w:rFonts w:ascii="Arial" w:hAnsi="Arial" w:cs="Arial"/>
          <w:sz w:val="24"/>
          <w:szCs w:val="24"/>
        </w:rPr>
        <w:t xml:space="preserve"> </w:t>
      </w:r>
    </w:p>
    <w:p w14:paraId="50EA8AC8" w14:textId="0D2CD274" w:rsidR="006716E2" w:rsidRPr="006B3D43" w:rsidRDefault="00A0779B" w:rsidP="00FD00FE">
      <w:pPr>
        <w:spacing w:line="360" w:lineRule="auto"/>
        <w:ind w:firstLine="720"/>
        <w:contextualSpacing/>
        <w:jc w:val="both"/>
        <w:rPr>
          <w:rFonts w:ascii="Arial" w:hAnsi="Arial" w:cs="Arial"/>
          <w:sz w:val="24"/>
          <w:szCs w:val="24"/>
        </w:rPr>
      </w:pPr>
      <w:r w:rsidRPr="006B3D43">
        <w:rPr>
          <w:rFonts w:ascii="Arial" w:hAnsi="Arial" w:cs="Arial"/>
          <w:sz w:val="24"/>
          <w:szCs w:val="24"/>
        </w:rPr>
        <w:t>Despite th</w:t>
      </w:r>
      <w:r w:rsidR="00111960" w:rsidRPr="006B3D43">
        <w:rPr>
          <w:rFonts w:ascii="Arial" w:hAnsi="Arial" w:cs="Arial"/>
          <w:sz w:val="24"/>
          <w:szCs w:val="24"/>
        </w:rPr>
        <w:t>e</w:t>
      </w:r>
      <w:r w:rsidRPr="006B3D43">
        <w:rPr>
          <w:rFonts w:ascii="Arial" w:hAnsi="Arial" w:cs="Arial"/>
          <w:sz w:val="24"/>
          <w:szCs w:val="24"/>
        </w:rPr>
        <w:t xml:space="preserve"> focus</w:t>
      </w:r>
      <w:r w:rsidR="00111960" w:rsidRPr="006B3D43">
        <w:rPr>
          <w:rFonts w:ascii="Arial" w:hAnsi="Arial" w:cs="Arial"/>
          <w:sz w:val="24"/>
          <w:szCs w:val="24"/>
        </w:rPr>
        <w:t xml:space="preserve"> on the S protein</w:t>
      </w:r>
      <w:r w:rsidR="00BD47A0">
        <w:rPr>
          <w:rFonts w:ascii="Arial" w:hAnsi="Arial" w:cs="Arial"/>
          <w:sz w:val="24"/>
          <w:szCs w:val="24"/>
        </w:rPr>
        <w:t xml:space="preserve"> in vaccine development efforts</w:t>
      </w:r>
      <w:r w:rsidRPr="006B3D43">
        <w:rPr>
          <w:rFonts w:ascii="Arial" w:hAnsi="Arial" w:cs="Arial"/>
          <w:sz w:val="24"/>
          <w:szCs w:val="24"/>
        </w:rPr>
        <w:t>, t</w:t>
      </w:r>
      <w:r w:rsidR="006716E2" w:rsidRPr="006B3D43">
        <w:rPr>
          <w:rFonts w:ascii="Arial" w:hAnsi="Arial" w:cs="Arial"/>
          <w:sz w:val="24"/>
          <w:szCs w:val="24"/>
        </w:rPr>
        <w:t xml:space="preserve">here </w:t>
      </w:r>
      <w:r w:rsidRPr="006B3D43">
        <w:rPr>
          <w:rFonts w:ascii="Arial" w:hAnsi="Arial" w:cs="Arial"/>
          <w:sz w:val="24"/>
          <w:szCs w:val="24"/>
        </w:rPr>
        <w:t>has been</w:t>
      </w:r>
      <w:r w:rsidR="006716E2" w:rsidRPr="006B3D43">
        <w:rPr>
          <w:rFonts w:ascii="Arial" w:hAnsi="Arial" w:cs="Arial"/>
          <w:sz w:val="24"/>
          <w:szCs w:val="24"/>
        </w:rPr>
        <w:t xml:space="preserve"> considerable divergence in the mechanisms of delivery. In one approach, nucleic acid encoding </w:t>
      </w:r>
      <w:r w:rsidRPr="006B3D43">
        <w:rPr>
          <w:rFonts w:ascii="Arial" w:hAnsi="Arial" w:cs="Arial"/>
          <w:sz w:val="24"/>
          <w:szCs w:val="24"/>
        </w:rPr>
        <w:t>the spike is delivered through mRNA</w:t>
      </w:r>
      <w:r w:rsidR="005759BD">
        <w:rPr>
          <w:rFonts w:ascii="Arial" w:hAnsi="Arial" w:cs="Arial"/>
          <w:sz w:val="24"/>
          <w:szCs w:val="24"/>
        </w:rPr>
        <w:t xml:space="preserve"> or </w:t>
      </w:r>
      <w:r w:rsidR="00C71B70">
        <w:rPr>
          <w:rFonts w:ascii="Arial" w:hAnsi="Arial" w:cs="Arial"/>
          <w:sz w:val="24"/>
          <w:szCs w:val="24"/>
        </w:rPr>
        <w:t>with a</w:t>
      </w:r>
      <w:r w:rsidR="00C71D29">
        <w:rPr>
          <w:rFonts w:ascii="Arial" w:hAnsi="Arial" w:cs="Arial"/>
          <w:sz w:val="24"/>
          <w:szCs w:val="24"/>
        </w:rPr>
        <w:t xml:space="preserve"> </w:t>
      </w:r>
      <w:r w:rsidRPr="006B3D43">
        <w:rPr>
          <w:rFonts w:ascii="Arial" w:hAnsi="Arial" w:cs="Arial"/>
          <w:sz w:val="24"/>
          <w:szCs w:val="24"/>
        </w:rPr>
        <w:t>viral-vector</w:t>
      </w:r>
      <w:r w:rsidR="002C75C9">
        <w:rPr>
          <w:rFonts w:ascii="Arial" w:hAnsi="Arial" w:cs="Arial"/>
          <w:sz w:val="24"/>
          <w:szCs w:val="24"/>
        </w:rPr>
        <w:t xml:space="preserve"> </w:t>
      </w:r>
      <w:r w:rsidR="006579EE" w:rsidRPr="006B3D43">
        <w:rPr>
          <w:rFonts w:ascii="Arial" w:hAnsi="Arial" w:cs="Arial"/>
          <w:sz w:val="24"/>
          <w:szCs w:val="24"/>
        </w:rPr>
        <w:fldChar w:fldCharType="begin" w:fldLock="1"/>
      </w:r>
      <w:r w:rsidR="00A82F54">
        <w:rPr>
          <w:rFonts w:ascii="Arial" w:hAnsi="Arial" w:cs="Arial"/>
          <w:sz w:val="24"/>
          <w:szCs w:val="24"/>
        </w:rPr>
        <w:instrText>ADDIN CSL_CITATION {"citationItems":[{"id":"ITEM-1","itemData":{"DOI":"10.1038/s41467-020-17409-9","ISSN":"20411723","PMID":"32647131","abstract":"The spread of the SARS-CoV-2 into a global pandemic within a few months of onset motivates the development of a rapidly scalable vaccine. Here, we present a self-amplifying RNA encoding the SARS-CoV-2 spike protein encapsulated within a lipid nanoparticle (LNP) as a vaccine. We observe remarkably high and dose-dependent SARS-CoV-2 specific antibody titers in mouse sera, as well as robust neutralization of both a pseudo-virus and wild-type virus. Upon further characterization we find that the neutralization is proportional to the quantity of specific IgG and of higher magnitude than recovered COVID-19 patients. saRNA LNP immunizations induce a Th1-biased response in mice, and there is no antibody-dependent enhancement (ADE) observed. Finally, we observe high cellular responses, as characterized by IFN-γ production, upon re-stimulation with SARS-CoV-2 peptides. These data provide insight into the vaccine design and evaluation of immunogenicity to enable rapid translation to the clinic.","author":[{"dropping-particle":"","family":"McKay","given":"Paul F.","non-dropping-particle":"","parse-names":false,"suffix":""},{"dropping-particle":"","family":"Hu","given":"Kai","non-dropping-particle":"","parse-names":false,"suffix":""},{"dropping-particle":"","family":"Blakney","given":"Anna K.","non-dropping-particle":"","parse-names":false,"suffix":""},{"dropping-particle":"","family":"Samnuan","given":"Karnyart","non-dropping-particle":"","parse-names":false,"suffix":""},{"dropping-particle":"","family":"Brown","given":"Jonathan C.","non-dropping-particle":"","parse-names":false,"suffix":""},{"dropping-particle":"","family":"Penn","given":"Rebecca","non-dropping-particle":"","parse-names":false,"suffix":""},{"dropping-particle":"","family":"Zhou","given":"Jie","non-dropping-particle":"","parse-names":false,"suffix":""},{"dropping-particle":"","family":"Bouton","given":"Clément R.","non-dropping-particle":"","parse-names":false,"suffix":""},{"dropping-particle":"","family":"Rogers","given":"Paul","non-dropping-particle":"","parse-names":false,"suffix":""},{"dropping-particle":"","family":"Polra","given":"Krunal","non-dropping-particle":"","parse-names":false,"suffix":""},{"dropping-particle":"","family":"Lin","given":"Paulo J.C.","non-dropping-particle":"","parse-names":false,"suffix":""},{"dropping-particle":"","family":"Barbosa","given":"Christopher","non-dropping-particle":"","parse-names":false,"suffix":""},{"dropping-particle":"","family":"Tam","given":"Ying K.","non-dropping-particle":"","parse-names":false,"suffix":""},{"dropping-particle":"","family":"Barclay","given":"Wendy S.","non-dropping-particle":"","parse-names":false,"suffix":""},{"dropping-particle":"","family":"Shattock","given":"Robin J.","non-dropping-particle":"","parse-names":false,"suffix":""}],"container-title":"Nature Communications","id":"ITEM-1","issue":"1","issued":{"date-parts":[["2020","12","1"]]},"page":"1-7","publisher":"Nature Research","title":"Self-amplifying RNA SARS-CoV-2 lipid nanoparticle vaccine candidate induces high neutralizing antibody titers in mice","type":"article-journal","volume":"11"},"uris":["http://www.mendeley.com/documents/?uuid=555e8086-da07-3b24-873d-9842875ae7d8"]},{"id":"ITEM-2","itemData":{"DOI":"10.1038/s41541-020-00243-x","ISSN":"20590105","abstract":"Development of effective preventative interventions against SARS-CoV-2, the etiologic agent of COVID-19 is urgently needed. The viral surface spike (S) protein of SARS-CoV-2 is a key target for prophylactic measures as it is critical for the viral replication cycle and the primary target of neutralizing antibodies. We evaluated design elements previously shown for other coronavirus S protein-based vaccines to be successful, e.g., prefusion-stabilizing substitutions and heterologous signal peptides, for selection of a S-based SARS-CoV-2 vaccine candidate. In vitro characterization demonstrated that the introduction of stabilizing substitutions (i.e., furin cleavage site mutations and two consecutive prolines in the hinge region of S2) increased the ratio of neutralizing versus non-neutralizing antibody binding, suggestive for a prefusion conformation of the S protein. Furthermore, the wild-type signal peptide was best suited for the correct cleavage needed for a natively folded protein. These observations translated into superior immunogenicity in mice where the Ad26 vector encoding for a membrane-bound stabilized S protein with a wild-type signal peptide elicited potent neutralizing humoral immunity and cellular immunity that was polarized towards Th1 IFN-γ. This optimized Ad26 vector-based vaccine for SARS-CoV-2, termed Ad26.COV2.S, is currently being evaluated in a phase I clinical trial (ClinicalTrials.gov Identifier: NCT04436276).","author":[{"dropping-particle":"","family":"Bos","given":"Rinke","non-dropping-particle":"","parse-names":false,"suffix":""},{"dropping-particle":"","family":"Rutten","given":"Lucy","non-dropping-particle":"","parse-names":false,"suffix":""},{"dropping-particle":"","family":"Lubbe","given":"Joan E.M.","non-dropping-particle":"van der","parse-names":false,"suffix":""},{"dropping-particle":"","family":"Bakkers","given":"Mark J.G.","non-dropping-particle":"","parse-names":false,"suffix":""},{"dropping-particle":"","family":"Hardenberg","given":"Gijs","non-dropping-particle":"","parse-names":false,"suffix":""},{"dropping-particle":"","family":"Wegmann","given":"Frank","non-dropping-particle":"","parse-names":false,"suffix":""},{"dropping-particle":"","family":"Zuijdgeest","given":"David","non-dropping-particle":"","parse-names":false,"suffix":""},{"dropping-particle":"","family":"Wilde","given":"Adriaan H.","non-dropping-particle":"de","parse-names":false,"suffix":""},{"dropping-particle":"","family":"Koornneef","given":"Annemart","non-dropping-particle":"","parse-names":false,"suffix":""},{"dropping-particle":"","family":"Verwilligen","given":"Annemiek","non-dropping-particle":"","parse-names":false,"suffix":""},{"dropping-particle":"","family":"Manen","given":"Danielle","non-dropping-particle":"van","parse-names":false,"suffix":""},{"dropping-particle":"","family":"Kwaks","given":"Ted","non-dropping-particle":"","parse-names":false,"suffix":""},{"dropping-particle":"","family":"Vogels","given":"Ronald","non-dropping-particle":"","parse-names":false,"suffix":""},{"dropping-particle":"","family":"Dalebout","given":"Tim J.","non-dropping-particle":"","parse-names":false,"suffix":""},{"dropping-particle":"","family":"Myeni","given":"Sebenzile K.","non-dropping-particle":"","parse-names":false,"suffix":""},{"dropping-particle":"","family":"Kikkert","given":"Marjolein","non-dropping-particle":"","parse-names":false,"suffix":""},{"dropping-particle":"","family":"Snijder","given":"Eric J.","non-dropping-particle":"","parse-names":false,"suffix":""},{"dropping-particle":"","family":"Li","given":"Zhenfeng","non-dropping-particle":"","parse-names":false,"suffix":""},{"dropping-particle":"","family":"Barouch","given":"Dan H.","non-dropping-particle":"","parse-names":false,"suffix":""},{"dropping-particle":"","family":"Vellinga","given":"Jort","non-dropping-particle":"","parse-names":false,"suffix":""},{"dropping-particle":"","family":"Langedijk","given":"Johannes P.M.","non-dropping-particle":"","parse-names":false,"suffix":""},{"dropping-particle":"","family":"Zahn","given":"Roland C.","non-dropping-particle":"","parse-names":false,"suffix":""},{"dropping-particle":"","family":"Custers","given":"Jerome","non-dropping-particle":"","parse-names":false,"suffix":""},{"dropping-particle":"","family":"Schuitemaker","given":"Hanneke","non-dropping-particle":"","parse-names":false,"suffix":""}],"container-title":"npj Vaccines","id":"ITEM-2","issue":"91","issued":{"date-parts":[["2020"]]},"title":"Ad26 vector-based COVID-19 vaccine encoding a prefusion-stabilized SARS-CoV-2 Spike immunogen induces potent humoral and cellular immune responses","type":"article-journal","volume":"5"},"uris":["http://www.mendeley.com/documents/?uuid=44c66fcc-dde5-41e5-a4d5-77c190657444"]},{"id":"ITEM-3","itemData":{"DOI":"10.1016/S0140-6736(20)32466-1","ISBN":"1389833550","ISSN":"1474547X","PMID":"33220855","abstract":"Background: Older adults (aged ≥70 years) are at increased risk of severe disease and death if they develop COVID-19 and are therefore a priority for immunisation should an efficacious vaccine be developed. Immunogenicity of vaccines is often worse in older adults as a result of immunosenescence. We have reported the immunogenicity of a novel chimpanzee adenovirus-vectored vaccine, ChAdOx1 nCoV-19 (AZD1222), in young adults, and now describe the safety and immunogenicity of this vaccine in a wider range of participants, including adults aged 70 years and older. Methods: In this report of the phase 2 component of a single-blind, randomised, controlled, phase 2/3 trial (COV002), healthy adults aged 18 years and older were enrolled at two UK clinical research facilities, in an age-escalation manner, into 18–55 years, 56–69 years, and 70 years and older immunogenicity subgroups. Participants were eligible if they did not have severe or uncontrolled medical comorbidities or a high frailty score (if aged ≥65 years). First, participants were recruited to a low-dose cohort, and within each age group, participants were randomly assigned to receive either intramuscular ChAdOx1 nCoV-19 (2·2 × 1010 virus particles) or a control vaccine, MenACWY, using block randomisation and stratified by age and dose group and study site, using the following ratios: in the 18–55 years group, 1:1 to either two doses of ChAdOx1 nCoV-19 or two doses of MenACWY; in the 56–69 years group, 3:1:3:1 to one dose of ChAdOx1 nCoV-19, one dose of MenACWY, two doses of ChAdOx1 nCoV-19, or two doses of MenACWY; and in the 70 years and older, 5:1:5:1 to one dose of ChAdOx1 nCoV-19, one dose of MenACWY, two doses of ChAdOx1 nCoV-19, or two doses of MenACWY. Prime-booster regimens were given 28 days apart. Participants were then recruited to the standard-dose cohort (3·5–6·5 × 1010 virus particles of ChAdOx1 nCoV-19) and the same randomisation procedures were followed, except the 18–55 years group was assigned in a 5:1 ratio to two doses of ChAdOx1 nCoV-19 or two doses of MenACWY. Participants and investigators, but not staff administering the vaccine, were masked to vaccine allocation. The specific objectives of this report were to assess the safety and humoral and cellular immunogenicity of a single-dose and two-dose schedule in adults older than 55 years. Humoral responses at baseline and after each vaccination until 1 year after the booster were assessed using an in-house standardised ELISA, a…","author":[{"dropping-particle":"","family":"Ramasamy","given":"Maheshi N","non-dropping-particle":"","parse-names":false,"suffix":""},{"dropping-particle":"","family":"Minassian","given":"Angela M","non-dropping-particle":"","parse-names":false,"suffix":""},{"dropping-particle":"","family":"Ewer","given":"Katie J","non-dropping-particle":"","parse-names":false,"suffix":""},{"dropping-particle":"","family":"Flaxman","given":"Amy L","non-dropping-particle":"","parse-names":false,"suffix":""},{"dropping-particle":"","family":"Folegatti","given":"Pedro M","non-dropping-particle":"","parse-names":false,"suffix":""},{"dropping-particle":"","family":"Owens","given":"Daniel R","non-dropping-particle":"","parse-names":false,"suffix":""},{"dropping-particle":"","family":"Voysey","given":"Merryn","non-dropping-particle":"","parse-names":false,"suffix":""},{"dropping-particle":"","family":"Aley","given":"Parvinder K","non-dropping-particle":"","parse-names":false,"suffix":""},{"dropping-particle":"","family":"Angus","given":"Brian","non-dropping-particle":"","parse-names":false,"suffix":""},{"dropping-particle":"","family":"Babbage","given":"Gavin","non-dropping-particle":"","parse-names":false,"suffix":""},{"dropping-particle":"","family":"Belij-Rammerstorfer","given":"Sandra","non-dropping-particle":"","parse-names":false,"suffix":""},{"dropping-particle":"","family":"Berry","given":"Lisa","non-dropping-particle":"","parse-names":false,"suffix":""},{"dropping-particle":"","family":"Bibi","given":"Sagida","non-dropping-particle":"","parse-names":false,"suffix":""},{"dropping-particle":"","family":"Bittaye","given":"Mustapha","non-dropping-particle":"","parse-names":false,"suffix":""},{"dropping-particle":"","family":"Cathie","given":"Katrina","non-dropping-particle":"","parse-names":false,"suffix":""},{"dropping-particle":"","family":"Chappell","given":"Harry","non-dropping-particle":"","parse-names":false,"suffix":""},{"dropping-particle":"","family":"Charlton","given":"Sue","non-dropping-particle":"","parse-names":false,"suffix":""},{"dropping-particle":"","family":"Cicconi","given":"Paola","non-dropping-particle":"","parse-names":false,"suffix":""},{"dropping-particle":"","family":"Clutterbuck","given":"Elizabeth A","non-dropping-particle":"","parse-names":false,"suffix":""},{"dropping-particle":"","family":"Colin-Jones","given":"Rachel","non-dropping-particle":"","parse-names":false,"suffix":""},{"dropping-particle":"","family":"Dold","given":"Christina","non-dropping-particle":"","parse-names":false,"suffix":""},{"dropping-particle":"","family":"Emary","given":"Katherine R.W.","non-dropping-particle":"","parse-names":false,"suffix":""},{"dropping-particle":"","family":"Fedosyuk","given":"Sofiya","non-dropping-particle":"","parse-names":false,"suffix":""},{"dropping-particle":"","family":"Fuskova","given":"Michelle","non-dropping-particle":"","parse-names":false,"suffix":""},{"dropping-particle":"","family":"Gbesemete","given":"Diane","non-dropping-particle":"","parse-names":false,"suffix":""},{"dropping-particle":"","family":"Green","given":"Catherine","non-dropping-particle":"","parse-names":false,"suffix":""},{"dropping-particle":"","family":"Hallis","given":"Bassam","non-dropping-particle":"","parse-names":false,"suffix":""},{"dropping-particle":"","family":"Hou","given":"Mimi M","non-dropping-particle":"","parse-names":false,"suffix":""},{"dropping-particle":"","family":"Jenkin","given":"Daniel","non-dropping-particle":"","parse-names":false,"suffix":""},{"dropping-particle":"","family":"Joe","given":"Carina C.D.","non-dropping-particle":"","parse-names":false,"suffix":""},{"dropping-particle":"","family":"Kelly","given":"Elizabeth J","non-dropping-particle":"","parse-names":false,"suffix":""},{"dropping-particle":"","family":"Kerridge","given":"Simon","non-dropping-particle":"","parse-names":false,"suffix":""},{"dropping-particle":"","family":"Lawrie","given":"Alison M","non-dropping-particle":"","parse-names":false,"suffix":""},{"dropping-particle":"","family":"Lelliott","given":"Alice","non-dropping-particle":"","parse-names":false,"suffix":""},{"dropping-particle":"","family":"Lwin","given":"May N","non-dropping-particle":"","parse-names":false,"suffix":""},{"dropping-particle":"","family":"Makinson","given":"Rebecca","non-dropping-particle":"","parse-names":false,"suffix":""},{"dropping-particle":"","family":"Marchevsky","given":"Natalie G","non-dropping-particle":"","parse-names":false,"suffix":""},{"dropping-particle":"","family":"Mujadidi","given":"Yama","non-dropping-particle":"","parse-names":false,"suffix":""},{"dropping-particle":"","family":"Munro","given":"Alasdair P.S.","non-dropping-particle":"","parse-names":false,"suffix":""},{"dropping-particle":"","family":"Pacurar","given":"Mihaela","non-dropping-particle":"","parse-names":false,"suffix":""},{"dropping-particle":"","family":"Plested","given":"Emma","non-dropping-particle":"","parse-names":false,"suffix":""},{"dropping-particle":"","family":"Rand","given":"Jade","non-dropping-particle":"","parse-names":false,"suffix":""},{"dropping-particle":"","family":"Rawlinson","given":"Thomas","non-dropping-particle":"","parse-names":false,"suffix":""},{"dropping-particle":"","family":"Rhead","given":"Sarah","non-dropping-particle":"","parse-names":false,"suffix":""},{"dropping-particle":"","family":"Robinson","given":"Hannah","non-dropping-particle":"","parse-names":false,"suffix":""},{"dropping-particle":"","family":"Ritchie","given":"Adam J","non-dropping-particle":"","parse-names":false,"suffix":""},{"dropping-particle":"","family":"Ross-Russell","given":"Amy L","non-dropping-particle":"","parse-names":false,"suffix":""},{"dropping-particle":"","family":"Saich","given":"Stephen","non-dropping-particle":"","parse-names":false,"suffix":""},{"dropping-particle":"","family":"Singh","given":"Nisha","non-dropping-particle":"","parse-names":false,"suffix":""},{"dropping-particle":"","family":"Smith","given":"Catherine C","non-dropping-particle":"","parse-names":false,"suffix":""},{"dropping-particle":"","family":"Snape","given":"Matthew D","non-dropping-particle":"","parse-names":false,"suffix":""},{"dropping-particle":"","family":"Song","given":"Rinn","non-dropping-particle":"","parse-names":false,"suffix":""},{"dropping-particle":"","family":"Tarrant","given":"Richard","non-dropping-particle":"","parse-names":false,"suffix":""},{"dropping-particle":"","family":"Themistocleous","given":"Yrene","non-dropping-particle":"","parse-names":false,"suffix":""},{"dropping-particle":"","family":"Thomas","given":"Kelly M","non-dropping-particle":"","parse-names":false,"suffix":""},{"dropping-particle":"","family":"Villafana","given":"Tonya L","non-dropping-particle":"","parse-names":false,"suffix":""},{"dropping-particle":"","family":"Warren","given":"Sarah C","non-dropping-particle":"","parse-names":false,"suffix":""},{"dropping-particle":"","family":"Watson","given":"Marion E.E.","non-dropping-particle":"","parse-names":false,"suffix":""},{"dropping-particle":"","family":"Douglas","given":"Alexander D","non-dropping-particle":"","parse-names":false,"suffix":""},{"dropping-particle":"","family":"Hill","given":"Adrian V.S.","non-dropping-particle":"","parse-names":false,"suffix":""},{"dropping-particle":"","family":"Lambe","given":"Teresa","non-dropping-particle":"","parse-names":false,"suffix":""},{"dropping-particle":"","family":"Gilbert","given":"Sarah C","non-dropping-particle":"","parse-names":false,"suffix":""},{"dropping-particle":"","family":"Faust","given":"Saul N","non-dropping-particle":"","parse-names":false,"suffix":""},{"dropping-particle":"","family":"Pollard","given":"Andrew J","non-dropping-particle":"","parse-names":false,"suffix":""},{"dropping-particle":"","family":"Aboagye","given":"Jeremy","non-dropping-particle":"","parse-names":false,"suffix":""},{"dropping-particle":"","family":"Adams","given":"Kelly","non-dropping-particle":"","parse-names":false,"suffix":""},{"dropping-particle":"","family":"Ali","given":"Aabidah","non-dropping-particle":"","parse-names":false,"suffix":""},{"dropping-particle":"","family":"Allen","given":"Elizabeth R.","non-dropping-particle":"","parse-names":false,"suffix":""},{"dropping-particle":"","family":"Allen","given":"Lauren","non-dropping-particle":"","parse-names":false,"suffix":""},{"dropping-particle":"","family":"Allison","given":"Jennifer L.","non-dropping-particle":"","parse-names":false,"suffix":""},{"dropping-particle":"","family":"Andritsou","given":"Foteini","non-dropping-particle":"","parse-names":false,"suffix":""},{"dropping-particle":"","family":"Anslow","given":"Rachel","non-dropping-particle":"","parse-names":false,"suffix":""},{"dropping-particle":"","family":"Arbe-Barnes","given":"Edward H.","non-dropping-particle":"","parse-names":false,"suffix":""},{"dropping-particle":"","family":"Baker","given":"Megan","non-dropping-particle":"","parse-names":false,"suffix":""},{"dropping-particle":"","family":"Baker","given":"Natalie","non-dropping-particle":"","parse-names":false,"suffix":""},{"dropping-particle":"","family":"Baker","given":"Philip","non-dropping-particle":"","parse-names":false,"suffix":""},{"dropping-particle":"","family":"Baleanu","given":"Ioana","non-dropping-particle":"","parse-names":false,"suffix":""},{"dropping-particle":"","family":"Barker","given":"Debbie","non-dropping-particle":"","parse-names":false,"suffix":""},{"dropping-particle":"","family":"Barnes","given":"Eleanor","non-dropping-particle":"","parse-names":false,"suffix":""},{"dropping-particle":"","family":"Barrett","given":"Jordan R.","non-dropping-particle":"","parse-names":false,"suffix":""},{"dropping-particle":"","family":"Barrett","given":"Kelly","non-dropping-particle":"","parse-names":false,"suffix":""},{"dropping-particle":"","family":"Bates","given":"Louise","non-dropping-particle":"","parse-names":false,"suffix":""},{"dropping-particle":"","family":"Batten","given":"Alexander","non-dropping-particle":"","parse-names":false,"suffix":""},{"dropping-particle":"","family":"Beadon","given":"Kirsten","non-dropping-particle":"","parse-names":false,"suffix":""},{"dropping-particle":"","family":"Beckley","given":"Rebecca","non-dropping-particle":"","parse-names":false,"suffix":""},{"dropping-particle":"","family":"Bellamy","given":"Duncan","non-dropping-particle":"","parse-names":false,"suffix":""},{"dropping-particle":"","family":"Berg","given":"Adam","non-dropping-particle":"","parse-names":false,"suffix":""},{"dropping-particle":"","family":"Bermejo","given":"Laura","non-dropping-particle":"","parse-names":false,"suffix":""},{"dropping-particle":"","family":"Berrie","given":"Eleanor","non-dropping-particle":"","parse-names":false,"suffix":""},{"dropping-particle":"","family":"Beveridge","given":"Amy","non-dropping-particle":"","parse-names":false,"suffix":""},{"dropping-particle":"","family":"Bewley","given":"Kevin","non-dropping-particle":"","parse-names":false,"suffix":""},{"dropping-particle":"","family":"Bijker","given":"Else M.","non-dropping-particle":"","parse-names":false,"suffix":""},{"dropping-particle":"","family":"Birch","given":"Geeta","non-dropping-particle":"","parse-names":false,"suffix":""},{"dropping-particle":"","family":"Blackwell","given":"Luke","non-dropping-particle":"","parse-names":false,"suffix":""},{"dropping-particle":"","family":"Bletchly","given":"Heather","non-dropping-particle":"","parse-names":false,"suffix":""},{"dropping-particle":"","family":"Blundell","given":"Caitlin L.","non-dropping-particle":"","parse-names":false,"suffix":""},{"dropping-particle":"","family":"Blundell","given":"Susannah R.","non-dropping-particle":"","parse-names":false,"suffix":""},{"dropping-particle":"","family":"Bolam","given":"Emma","non-dropping-particle":"","parse-names":false,"suffix":""},{"dropping-particle":"","family":"Boland","given":"Elena","non-dropping-particle":"","parse-names":false,"suffix":""},{"dropping-particle":"","family":"Bormans","given":"Daan","non-dropping-particle":"","parse-names":false,"suffix":""},{"dropping-particle":"","family":"Borthwick","given":"Nicola","non-dropping-particle":"","parse-names":false,"suffix":""},{"dropping-particle":"","family":"Boukas","given":"Konstantinos","non-dropping-particle":"","parse-names":false,"suffix":""},{"dropping-particle":"","family":"Bower","given":"Thomas","non-dropping-particle":"","parse-names":false,"suffix":""},{"dropping-particle":"","family":"Bowring","given":"Francesca","non-dropping-particle":"","parse-names":false,"suffix":""},{"dropping-particle":"","family":"Boyd","given":"Amy","non-dropping-particle":"","parse-names":false,"suffix":""},{"dropping-particle":"","family":"Brenner","given":"Tanja","non-dropping-particle":"","parse-names":false,"suffix":""},{"dropping-particle":"","family":"Brown","given":"Phillip","non-dropping-particle":"","parse-names":false,"suffix":""},{"dropping-particle":"","family":"Brown-O'Sullivan","given":"Charlie","non-dropping-particle":"","parse-names":false,"suffix":""},{"dropping-particle":"","family":"Bruce","given":"Scott","non-dropping-particle":"","parse-names":false,"suffix":""},{"dropping-particle":"","family":"Brunt","given":"Emily","non-dropping-particle":"","parse-names":false,"suffix":""},{"dropping-particle":"","family":"Burbage","given":"Jamie","non-dropping-particle":"","parse-names":false,"suffix":""},{"dropping-particle":"","family":"Burgoyne","given":"Joshua","non-dropping-particle":"","parse-names":false,"suffix":""},{"dropping-particle":"","family":"Buttigieg","given":"Karen R.","non-dropping-particle":"","parse-names":false,"suffix":""},{"dropping-particle":"","family":"Byard","given":"Nicholas","non-dropping-particle":"","parse-names":false,"suffix":""},{"dropping-particle":"","family":"Cabera Puig","given":"Ingrid","non-dropping-particle":"","parse-names":false,"suffix":""},{"dropping-particle":"","family":"Camara","given":"Susana","non-dropping-particle":"","parse-names":false,"suffix":""},{"dropping-particle":"","family":"Cao","given":"Michelangelo","non-dropping-particle":"","parse-names":false,"suffix":""},{"dropping-particle":"","family":"Cappuccini","given":"Federica","non-dropping-particle":"","parse-names":false,"suffix":""},{"dropping-particle":"","family":"Carr","given":"Melanie","non-dropping-particle":"","parse-names":false,"suffix":""},{"dropping-particle":"","family":"Carroll","given":"Miles W.","non-dropping-particle":"","parse-names":false,"suffix":""},{"dropping-particle":"","family":"Cashen","given":"Paul","non-dropping-particle":"","parse-names":false,"suffix":""},{"dropping-particle":"","family":"Cavey","given":"Ana","non-dropping-particle":"","parse-names":false,"suffix":""},{"dropping-particle":"","family":"Chadwick","given":"Jim","non-dropping-particle":"","parse-names":false,"suffix":""},{"dropping-particle":"","family":"Challis","given":"Ruth","non-dropping-particle":"","parse-names":false,"suffix":""},{"dropping-particle":"","family":"Chapman","given":"David","non-dropping-particle":"","parse-names":false,"suffix":""},{"dropping-particle":"","family":"Charles","given":"David","non-dropping-particle":"","parse-names":false,"suffix":""},{"dropping-particle":"","family":"Chelysheva","given":"Irina","non-dropping-particle":"","parse-names":false,"suffix":""},{"dropping-particle":"","family":"Cho","given":"Jee Sun","non-dropping-particle":"","parse-names":false,"suffix":""},{"dropping-particle":"","family":"Cifuentes","given":"Liliana","non-dropping-particle":"","parse-names":false,"suffix":""},{"dropping-particle":"","family":"Clark","given":"Elizabeth","non-dropping-particle":"","parse-names":false,"suffix":""},{"dropping-particle":"","family":"Collins","given":"Sarah","non-dropping-particle":"","parse-names":false,"suffix":""},{"dropping-particle":"","family":"Conlon","given":"Christopher P.","non-dropping-particle":"","parse-names":false,"suffix":""},{"dropping-particle":"","family":"Coombes","given":"Naomi S.","non-dropping-particle":"","parse-names":false,"suffix":""},{"dropping-particle":"","family":"Cooper","given":"Rachel","non-dropping-particle":"","parse-names":false,"suffix":""},{"dropping-particle":"","family":"Cooper","given":"Cushla","non-dropping-particle":"","parse-names":false,"suffix":""},{"dropping-particle":"","family":"Crocker","given":"Wendy E.M.","non-dropping-particle":"","parse-names":false,"suffix":""},{"dropping-particle":"","family":"Crosbie","given":"Sarah","non-dropping-particle":"","parse-names":false,"suffix":""},{"dropping-particle":"","family":"Cullen","given":"Dan","non-dropping-particle":"","parse-names":false,"suffix":""},{"dropping-particle":"","family":"Cunningham","given":"Christina","non-dropping-particle":"","parse-names":false,"suffix":""},{"dropping-particle":"","family":"Cuthbertson","given":"Fiona","non-dropping-particle":"","parse-names":false,"suffix":""},{"dropping-particle":"","family":"Datoo","given":"Brad E.","non-dropping-particle":"","parse-names":false,"suffix":""},{"dropping-particle":"","family":"Dando","given":"Lynne","non-dropping-particle":"","parse-names":false,"suffix":""},{"dropping-particle":"","family":"Datoo","given":"Mehreen S.","non-dropping-particle":"","parse-names":false,"suffix":""},{"dropping-particle":"","family":"Datta","given":"Chandrabali","non-dropping-particle":"","parse-names":false,"suffix":""},{"dropping-particle":"","family":"Davies","given":"Hannah","non-dropping-particle":"","parse-names":false,"suffix":""},{"dropping-particle":"","family":"Davies","given":"Sarah","non-dropping-particle":"","parse-names":false,"suffix":""},{"dropping-particle":"","family":"Davis","given":"Elizabeth J.","non-dropping-particle":"","parse-names":false,"suffix":""},{"dropping-particle":"","family":"Davis","given":"Judith","non-dropping-particle":"","parse-names":false,"suffix":""},{"dropping-particle":"","family":"Dearlove","given":"David","non-dropping-particle":"","parse-names":false,"suffix":""},{"dropping-particle":"","family":"Demissie","given":"Tesfaye","non-dropping-particle":"","parse-names":false,"suffix":""},{"dropping-particle":"","family":"Marco","given":"Stefania","non-dropping-particle":"Di","parse-names":false,"suffix":""},{"dropping-particle":"","family":"Maso","given":"Claudio","non-dropping-particle":"Di","parse-names":false,"suffix":""},{"dropping-particle":"","family":"DiTirro","given":"Danielle","non-dropping-particle":"","parse-names":false,"suffix":""},{"dropping-particle":"","family":"Docksey","given":"Claire","non-dropping-particle":"","parse-names":false,"suffix":""},{"dropping-particle":"","family":"Dong","given":"Tao","non-dropping-particle":"","parse-names":false,"suffix":""},{"dropping-particle":"","family":"Donnellan","given":"Francesca R.","non-dropping-particle":"","parse-names":false,"suffix":""},{"dropping-particle":"","family":"Douglas","given":"Naomi","non-dropping-particle":"","parse-names":false,"suffix":""},{"dropping-particle":"","family":"Downing","given":"Charlotte","non-dropping-particle":"","parse-names":false,"suffix":""},{"dropping-particle":"","family":"Drake","given":"Jonathan","non-dropping-particle":"","parse-names":false,"suffix":""},{"dropping-particle":"","family":"Drake-Brockman","given":"Rachael","non-dropping-particle":"","parse-names":false,"suffix":""},{"dropping-particle":"","family":"Drury","given":"Ruth E.","non-dropping-particle":"","parse-names":false,"suffix":""},{"dropping-particle":"","family":"Dunachie","given":"Susanna J.","non-dropping-particle":"","parse-names":false,"suffix":""},{"dropping-particle":"","family":"Edwards","given":"Christopher J.","non-dropping-particle":"","parse-names":false,"suffix":""},{"dropping-particle":"","family":"Edwards","given":"Nick J.","non-dropping-particle":"","parse-names":false,"suffix":""},{"dropping-particle":"","family":"Muhanna","given":"Omar","non-dropping-particle":"El","parse-names":false,"suffix":""},{"dropping-particle":"","family":"Elias","given":"Sean C.","non-dropping-particle":"","parse-names":false,"suffix":""},{"dropping-particle":"","family":"Elliott","given":"Ryan S.","non-dropping-particle":"","parse-names":false,"suffix":""},{"dropping-particle":"","family":"Elmore","given":"Michael J.","non-dropping-particle":"","parse-names":false,"suffix":""},{"dropping-particle":"","family":"English","given":"Marcus Rex","non-dropping-particle":"","parse-names":false,"suffix":""},{"dropping-particle":"","family":"Felle","given":"Sally","non-dropping-particle":"","parse-names":false,"suffix":""},{"dropping-particle":"","family":"Feng","given":"Shuo","non-dropping-particle":"","parse-names":false,"suffix":""},{"dropping-particle":"","family":"Ferreira Da Silva","given":"Carla","non-dropping-particle":"","parse-names":false,"suffix":""},{"dropping-particle":"","family":"Field","given":"Samantha","non-dropping-particle":"","parse-names":false,"suffix":""},{"dropping-particle":"","family":"Fisher","given":"Richard","non-dropping-particle":"","parse-names":false,"suffix":""},{"dropping-particle":"","family":"Fixmer","given":"Carine","non-dropping-particle":"","parse-names":false,"suffix":""},{"dropping-particle":"","family":"Ford","given":"Karen J.","non-dropping-particle":"","parse-names":false,"suffix":""},{"dropping-particle":"","family":"Fowler","given":"Jamie","non-dropping-particle":"","parse-names":false,"suffix":""},{"dropping-particle":"","family":"Francis","given":"Emma","non-dropping-particle":"","parse-names":false,"suffix":""},{"dropping-particle":"","family":"Frater","given":"John","non-dropping-particle":"","parse-names":false,"suffix":""},{"dropping-particle":"","family":"Furze","given":"Julie","non-dropping-particle":"","parse-names":false,"suffix":""},{"dropping-particle":"","family":"Galian-Rubio","given":"Pablo","non-dropping-particle":"","parse-names":false,"suffix":""},{"dropping-particle":"","family":"Galloway","given":"Celine","non-dropping-particle":"","parse-names":false,"suffix":""},{"dropping-particle":"","family":"Garlant","given":"Harriet","non-dropping-particle":"","parse-names":false,"suffix":""},{"dropping-particle":"","family":"Gavrila","given":"Madita","non-dropping-particle":"","parse-names":false,"suffix":""},{"dropping-particle":"","family":"Gibbons","given":"Felicity","non-dropping-particle":"","parse-names":false,"suffix":""},{"dropping-particle":"","family":"Gibbons","given":"Karyna","non-dropping-particle":"","parse-names":false,"suffix":""},{"dropping-particle":"","family":"Gilbride","given":"Ciaran","non-dropping-particle":"","parse-names":false,"suffix":""},{"dropping-particle":"","family":"Gill","given":"Hardeep","non-dropping-particle":"","parse-names":false,"suffix":""},{"dropping-particle":"","family":"Godwin","given":"Kerry","non-dropping-particle":"","parse-names":false,"suffix":""},{"dropping-particle":"","family":"Gordon-Quayle","given":"Katherine","non-dropping-particle":"","parse-names":false,"suffix":""},{"dropping-particle":"","family":"Gorini","given":"Giacomo","non-dropping-particle":"","parse-names":false,"suffix":""},{"dropping-particle":"","family":"Goulston","given":"Lyndsey","non-dropping-particle":"","parse-names":false,"suffix":""},{"dropping-particle":"","family":"Grabau","given":"Caroline","non-dropping-particle":"","parse-names":false,"suffix":""},{"dropping-particle":"","family":"Gracie","given":"Lara","non-dropping-particle":"","parse-names":false,"suffix":""},{"dropping-particle":"","family":"Graham","given":"Nichola","non-dropping-particle":"","parse-names":false,"suffix":""},{"dropping-particle":"","family":"Greenwood","given":"Nicola","non-dropping-particle":"","parse-names":false,"suffix":""},{"dropping-particle":"","family":"Griffiths","given":"Oliver","non-dropping-particle":"","parse-names":false,"suffix":""},{"dropping-particle":"","family":"Gupta","given":"Gaurav","non-dropping-particle":"","parse-names":false,"suffix":""},{"dropping-particle":"","family":"Hamilton","given":"Elizabeth","non-dropping-particle":"","parse-names":false,"suffix":""},{"dropping-particle":"","family":"Hanumunthadu","given":"Brama","non-dropping-particle":"","parse-names":false,"suffix":""},{"dropping-particle":"","family":"Harris","given":"Stephanie A.","non-dropping-particle":"","parse-names":false,"suffix":""},{"dropping-particle":"","family":"Harris","given":"Tara","non-dropping-particle":"","parse-names":false,"suffix":""},{"dropping-particle":"","family":"Harrison","given":"Daisy","non-dropping-particle":"","parse-names":false,"suffix":""},{"dropping-particle":"","family":"Hart","given":"Thomas C.","non-dropping-particle":"","parse-names":false,"suffix":""},{"dropping-particle":"","family":"Hartnell","given":"Birgit","non-dropping-particle":"","parse-names":false,"suffix":""},{"dropping-particle":"","family":"Haskell","given":"Louise","non-dropping-particle":"","parse-names":false,"suffix":""},{"dropping-particle":"","family":"Hawkins","given":"Sophia","non-dropping-particle":"","parse-names":false,"suffix":""},{"dropping-particle":"","family":"Henry","given":"John Aaron","non-dropping-particle":"","parse-names":false,"suffix":""},{"dropping-particle":"","family":"Hermosin Herrera","given":"Macarena","non-dropping-particle":"","parse-names":false,"suffix":""},{"dropping-particle":"","family":"Hill","given":"David","non-dropping-particle":"","parse-names":false,"suffix":""},{"dropping-particle":"","family":"Hill","given":"Jennifer","non-dropping-particle":"","parse-names":false,"suffix":""},{"dropping-particle":"","family":"Hodges","given":"Gina","non-dropping-particle":"","parse-names":false,"suffix":""},{"dropping-particle":"","family":"Hodgson","given":"Susanne H.C.","non-dropping-particle":"","parse-names":false,"suffix":""},{"dropping-particle":"","family":"Horton","given":"Katie L.","non-dropping-particle":"","parse-names":false,"suffix":""},{"dropping-particle":"","family":"Howe","given":"Elizabeth","non-dropping-particle":"","parse-names":false,"suffix":""},{"dropping-particle":"","family":"Howell","given":"Nicola","non-dropping-particle":"","parse-names":false,"suffix":""},{"dropping-particle":"","family":"Howes","given":"Jessica","non-dropping-particle":"","parse-names":false,"suffix":""},{"dropping-particle":"","family":"Huang","given":"Ben","non-dropping-particle":"","parse-names":false,"suffix":""},{"dropping-particle":"","family":"Humphreys","given":"Jonathan","non-dropping-particle":"","parse-names":false,"suffix":""},{"dropping-particle":"","family":"Humphries","given":"Holly E.","non-dropping-particle":"","parse-names":false,"suffix":""},{"dropping-particle":"","family":"Iveson","given":"Poppy","non-dropping-particle":"","parse-names":false,"suffix":""},{"dropping-particle":"","family":"Jackson","given":"Frederic","non-dropping-particle":"","parse-names":false,"suffix":""},{"dropping-particle":"","family":"Jackson","given":"Susan","non-dropping-particle":"","parse-names":false,"suffix":""},{"dropping-particle":"","family":"Jauregui","given":"Sam","non-dropping-particle":"","parse-names":false,"suffix":""},{"dropping-particle":"","family":"Jeffers","given":"Helen","non-dropping-particle":"","parse-names":false,"suffix":""},{"dropping-particle":"","family":"Jones","given":"Bryony","non-dropping-particle":"","parse-names":false,"suffix":""},{"dropping-particle":"","family":"Jones","given":"Christine E.","non-dropping-particle":"","parse-names":false,"suffix":""},{"dropping-particle":"","family":"Jones","given":"Elizabeth","non-dropping-particle":"","parse-names":false,"suffix":""},{"dropping-particle":"","family":"Jones","given":"Kathryn","non-dropping-particle":"","parse-names":false,"suffix":""},{"dropping-particle":"","family":"Joshi","given":"Amar","non-dropping-particle":"","parse-names":false,"suffix":""},{"dropping-particle":"","family":"Kailath","given":"Reshma","non-dropping-particle":"","parse-names":false,"suffix":""},{"dropping-particle":"","family":"Keen","given":"Jade","non-dropping-particle":"","parse-names":false,"suffix":""},{"dropping-particle":"","family":"Kelly","given":"Dearbhla M.","non-dropping-particle":"","parse-names":false,"suffix":""},{"dropping-particle":"","family":"Kelly","given":"Sarah","non-dropping-particle":"","parse-names":false,"suffix":""},{"dropping-particle":"","family":"Kelly","given":"Debbie","non-dropping-particle":"","parse-names":false,"suffix":""},{"dropping-particle":"","family":"Kerr","given":"David","non-dropping-particle":"","parse-names":false,"suffix":""},{"dropping-particle":"","family":"Khan","given":"Liaquat","non-dropping-particle":"","parse-names":false,"suffix":""},{"dropping-particle":"","family":"Khozoee","given":"Baktash","non-dropping-particle":"","parse-names":false,"suffix":""},{"dropping-particle":"","family":"Killen","given":"Annabel","non-dropping-particle":"","parse-names":false,"suffix":""},{"dropping-particle":"","family":"Kinch","given":"Jasmin","non-dropping-particle":"","parse-names":false,"suffix":""},{"dropping-particle":"","family":"King","given":"Lloyd D.W.","non-dropping-particle":"","parse-names":false,"suffix":""},{"dropping-particle":"","family":"King","given":"Thomas B.","non-dropping-particle":"","parse-names":false,"suffix":""},{"dropping-particle":"","family":"Kingham","given":"Lucy","non-dropping-particle":"","parse-names":false,"suffix":""},{"dropping-particle":"","family":"Klenerman","given":"Paul","non-dropping-particle":"","parse-names":false,"suffix":""},{"dropping-particle":"","family":"Knight","given":"Julian C.","non-dropping-particle":"","parse-names":false,"suffix":""},{"dropping-particle":"","family":"Knott","given":"Daniel","non-dropping-particle":"","parse-names":false,"suffix":""},{"dropping-particle":"","family":"Koleva","given":"Stanislava","non-dropping-particle":"","parse-names":false,"suffix":""},{"dropping-particle":"","family":"Lang","given":"Gail","non-dropping-particle":"","parse-names":false,"suffix":""},{"dropping-particle":"","family":"Larkworthy","given":"Colin W.","non-dropping-particle":"","parse-names":false,"suffix":""},{"dropping-particle":"","family":"Larwood","given":"Jessica P.J.","non-dropping-particle":"","parse-names":false,"suffix":""},{"dropping-particle":"","family":"Law","given":"Rebecca","non-dropping-particle":"","parse-names":false,"suffix":""},{"dropping-particle":"","family":"Lee","given":"Arlene","non-dropping-particle":"","parse-names":false,"suffix":""},{"dropping-particle":"","family":"Lee","given":"Kim Y.N.","non-dropping-particle":"","parse-names":false,"suffix":""},{"dropping-particle":"","family":"Lees","given":"Emily A.","non-dropping-particle":"","parse-names":false,"suffix":""},{"dropping-particle":"","family":"Leung","given":"Stephanie","non-dropping-particle":"","parse-names":false,"suffix":""},{"dropping-particle":"","family":"Li","given":"Yuanyuan","non-dropping-particle":"","parse-names":false,"suffix":""},{"dropping-particle":"","family":"Lias","given":"Amelia M.","non-dropping-particle":"","parse-names":false,"suffix":""},{"dropping-particle":"","family":"Linder","given":"Aline","non-dropping-particle":"","parse-names":false,"suffix":""},{"dropping-particle":"","family":"Lipworth","given":"Samuel","non-dropping-particle":"","parse-names":false,"suffix":""},{"dropping-particle":"","family":"Liu","given":"Shuchang","non-dropping-particle":"","parse-names":false,"suffix":""},{"dropping-particle":"","family":"Liu","given":"Xinxue","non-dropping-particle":"","parse-names":false,"suffix":""},{"dropping-particle":"","family":"Lloyd","given":"Stephanie","non-dropping-particle":"","parse-names":false,"suffix":""},{"dropping-particle":"","family":"Loew","given":"Lisa","non-dropping-particle":"","parse-names":false,"suffix":""},{"dropping-particle":"","family":"Lopez Ramon","given":"Raquel","non-dropping-particle":"","parse-names":false,"suffix":""},{"dropping-particle":"","family":"Madhavan","given":"Meera","non-dropping-particle":"","parse-names":false,"suffix":""},{"dropping-particle":"","family":"Mainwaring","given":"David O.","non-dropping-particle":"","parse-names":false,"suffix":""},{"dropping-particle":"","family":"Mallett","given":"Garry","non-dropping-particle":"","parse-names":false,"suffix":""},{"dropping-particle":"","family":"Mansatta","given":"Kushal","non-dropping-particle":"","parse-names":false,"suffix":""},{"dropping-particle":"","family":"Marinou","given":"Spyridoula","non-dropping-particle":"","parse-names":false,"suffix":""},{"dropping-particle":"","family":"Marius","given":"Phedra","non-dropping-particle":"","parse-names":false,"suffix":""},{"dropping-particle":"","family":"Marlow","given":"Emma","non-dropping-particle":"","parse-names":false,"suffix":""},{"dropping-particle":"","family":"Marriott","given":"Paula","non-dropping-particle":"","parse-names":false,"suffix":""},{"dropping-particle":"","family":"Marshall","given":"Julia L.","non-dropping-particle":"","parse-names":false,"suffix":""},{"dropping-particle":"","family":"Martin","given":"Jane","non-dropping-particle":"","parse-names":false,"suffix":""},{"dropping-particle":"","family":"Masters","given":"Shauna","non-dropping-particle":"","parse-names":false,"suffix":""},{"dropping-particle":"","family":"McEwan","given":"Joanne","non-dropping-particle":"","parse-names":false,"suffix":""},{"dropping-particle":"","family":"McGlashan","given":"Joanna L.","non-dropping-particle":"","parse-names":false,"suffix":""},{"dropping-particle":"","family":"McInroy","given":"Lorna","non-dropping-particle":"","parse-names":false,"suffix":""},{"dropping-particle":"","family":"McRobert","given":"Nicky","non-dropping-particle":"","parse-names":false,"suffix":""},{"dropping-particle":"","family":"Megson","given":"Clare","non-dropping-particle":"","parse-names":false,"suffix":""},{"dropping-particle":"","family":"Mentzer","given":"Alexander J.","non-dropping-particle":"","parse-names":false,"suffix":""},{"dropping-particle":"","family":"Mirtorabi","given":"Neginsadat","non-dropping-particle":"","parse-names":false,"suffix":""},{"dropping-particle":"","family":"Mitton","given":"Celia","non-dropping-particle":"","parse-names":false,"suffix":""},{"dropping-particle":"","family":"Moore","given":"Maria","non-dropping-particle":"","parse-names":false,"suffix":""},{"dropping-particle":"","family":"Moran","given":"Marni","non-dropping-particle":"","parse-names":false,"suffix":""},{"dropping-particle":"","family":"Morey","given":"Ella","non-dropping-particle":"","parse-names":false,"suffix":""},{"dropping-particle":"","family":"Morgans","given":"Róisín","non-dropping-particle":"","parse-names":false,"suffix":""},{"dropping-particle":"","family":"Morris","given":"Susan J.","non-dropping-particle":"","parse-names":false,"suffix":""},{"dropping-particle":"","family":"Morrison","given":"Hazel Morrison","non-dropping-particle":"","parse-names":false,"suffix":""},{"dropping-particle":"","family":"Morshead","given":"Gertraud","non-dropping-particle":"","parse-names":false,"suffix":""},{"dropping-particle":"","family":"Morter","given":"Richard","non-dropping-particle":"","parse-names":false,"suffix":""},{"dropping-particle":"","family":"Moya","given":"Nathifa A.","non-dropping-particle":"","parse-names":false,"suffix":""},{"dropping-particle":"","family":"Mukhopadhyay","given":"Ekta","non-dropping-particle":"","parse-names":false,"suffix":""},{"dropping-particle":"","family":"Muller","given":"Jilly","non-dropping-particle":"","parse-names":false,"suffix":""},{"dropping-particle":"","family":"Munro","given":"Claire","non-dropping-particle":"","parse-names":false,"suffix":""},{"dropping-particle":"","family":"Murphy","given":"Sarah","non-dropping-particle":"","parse-names":false,"suffix":""},{"dropping-particle":"","family":"Mweu","given":"Philomena","non-dropping-particle":"","parse-names":false,"suffix":""},{"dropping-particle":"","family":"Noé","given":"Andrés","non-dropping-particle":"","parse-names":false,"suffix":""},{"dropping-particle":"","family":"Nugent","given":"Fay L.","non-dropping-particle":"","parse-names":false,"suffix":""},{"dropping-particle":"","family":"O'Brien","given":"Katie","non-dropping-particle":"","parse-names":false,"suffix":""},{"dropping-particle":"","family":"O'Connor","given":"Daniel","non-dropping-particle":"","parse-names":false,"suffix":""},{"dropping-particle":"","family":"Oguti","given":"Blanché","non-dropping-particle":"","parse-names":false,"suffix":""},{"dropping-particle":"","family":"Olchawski","given":"Victoria","non-dropping-particle":"","parse-names":false,"suffix":""},{"dropping-particle":"","family":"Oliveira","given":"Catarina","non-dropping-particle":"","parse-names":false,"suffix":""},{"dropping-particle":"","family":"O'Reilly","given":"Peter John","non-dropping-particle":"","parse-names":false,"suffix":""},{"dropping-particle":"","family":"Osborne","given":"Piper","non-dropping-particle":"","parse-names":false,"suffix":""},{"dropping-particle":"","family":"Owen","given":"Lydia","non-dropping-particle":"","parse-names":false,"suffix":""},{"dropping-particle":"","family":"Owino","given":"Nelly","non-dropping-particle":"","parse-names":false,"suffix":""},{"dropping-particle":"","family":"Papageorgiou","given":"Panagiotis","non-dropping-particle":"","parse-names":false,"suffix":""},{"dropping-particle":"","family":"Parracho","given":"Helena","non-dropping-particle":"","parse-names":false,"suffix":""},{"dropping-particle":"","family":"Parsons","given":"Karen","non-dropping-particle":"","parse-names":false,"suffix":""},{"dropping-particle":"","family":"Patel","given":"Bhumika","non-dropping-particle":"","parse-names":false,"suffix":""},{"dropping-particle":"","family":"Patrick-Smith","given":"Maia","non-dropping-particle":"","parse-names":false,"suffix":""},{"dropping-particle":"","family":"Peng","given":"Yanchun","non-dropping-particle":"","parse-names":false,"suffix":""},{"dropping-particle":"","family":"Penn","given":"Elizabeth J.","non-dropping-particle":"","parse-names":false,"suffix":""},{"dropping-particle":"","family":"Peralta-Alvarez","given":"Marco Polo","non-dropping-particle":"","parse-names":false,"suffix":""},{"dropping-particle":"","family":"Perring","given":"James","non-dropping-particle":"","parse-names":false,"suffix":""},{"dropping-particle":"","family":"Petropoulos","given":"Christos","non-dropping-particle":"","parse-names":false,"suffix":""},{"dropping-particle":"","family":"Phillips","given":"Daniel J.","non-dropping-particle":"","parse-names":false,"suffix":""},{"dropping-particle":"","family":"Pipini","given":"Dimitra","non-dropping-particle":"","parse-names":false,"suffix":""},{"dropping-particle":"","family":"Pollard","given":"Samuel","non-dropping-particle":"","parse-names":false,"suffix":""},{"dropping-particle":"","family":"Poulton","given":"Ian","non-dropping-particle":"","parse-names":false,"suffix":""},{"dropping-particle":"","family":"Pratt","given":"Danny","non-dropping-particle":"","parse-names":false,"suffix":""},{"dropping-particle":"","family":"Presland","given":"Laura","non-dropping-particle":"","parse-names":false,"suffix":""},{"dropping-particle":"","family":"Proud","given":"Pamela C.","non-dropping-particle":"","parse-names":false,"suffix":""},{"dropping-particle":"","family":"Provstgaard-Morys","given":"Samuel","non-dropping-particle":"","parse-names":false,"suffix":""},{"dropping-particle":"","family":"Pueschel","given":"Sophie","non-dropping-particle":"","parse-names":false,"suffix":""},{"dropping-particle":"","family":"Pulido","given":"David","non-dropping-particle":"","parse-names":false,"suffix":""},{"dropping-particle":"","family":"Rabara","given":"Ria","non-dropping-particle":"","parse-names":false,"suffix":""},{"dropping-particle":"","family":"Radia","given":"Kajal","non-dropping-particle":"","parse-names":false,"suffix":""},{"dropping-particle":"","family":"Rajapaska","given":"Durga","non-dropping-particle":"","parse-names":false,"suffix":""},{"dropping-particle":"","family":"Ramos Lopez","given":"Fernando","non-dropping-particle":"","parse-names":false,"suffix":""},{"dropping-particle":"","family":"Ratcliffe","given":"Helen","non-dropping-particle":"","parse-names":false,"suffix":""},{"dropping-particle":"","family":"Rayhan","given":"Sara","non-dropping-particle":"","parse-names":false,"suffix":""},{"dropping-particle":"","family":"Rees","given":"Byron","non-dropping-particle":"","parse-names":false,"suffix":""},{"dropping-particle":"","family":"Reyes Pabon","given":"Emilia","non-dropping-particle":"","parse-names":false,"suffix":""},{"dropping-particle":"","family":"Roberts","given":"Hannah","non-dropping-particle":"","parse-names":false,"suffix":""},{"dropping-particle":"","family":"Robertson","given":"Isla","non-dropping-particle":"","parse-names":false,"suffix":""},{"dropping-particle":"","family":"Roche","given":"Sophie","non-dropping-particle":"","parse-names":false,"suffix":""},{"dropping-particle":"","family":"Rollier","given":"Christine S.","non-dropping-particle":"","parse-names":false,"suffix":""},{"dropping-particle":"","family":"Romani","given":"Rossana","non-dropping-particle":"","parse-names":false,"suffix":""},{"dropping-particle":"","family":"Rose","given":"Zoe","non-dropping-particle":"","parse-names":false,"suffix":""},{"dropping-particle":"","family":"Rudiansyah","given":"Indra","non-dropping-particle":"","parse-names":false,"suffix":""},{"dropping-particle":"","family":"Sabheha","given":"Sabeha","non-dropping-particle":"","parse-names":false,"suffix":""},{"dropping-particle":"","family":"Salvador","given":"Stephannie","non-dropping-particle":"","parse-names":false,"suffix":""},{"dropping-particle":"","family":"Sanders","given":"Helen","non-dropping-particle":"","parse-names":false,"suffix":""},{"dropping-particle":"","family":"Sanders","given":"Katherine","non-dropping-particle":"","parse-names":false,"suffix":""},{"dropping-particle":"","family":"Satti","given":"Iman","non-dropping-particle":"","parse-names":false,"suffix":""},{"dropping-particle":"","family":"Sayce","given":"Chloe","non-dropping-particle":"","parse-names":false,"suffix":""},{"dropping-particle":"","family":"Schmid","given":"Annina B.","non-dropping-particle":"","parse-names":false,"suffix":""},{"dropping-particle":"","family":"Schofield","given":"Ella","non-dropping-particle":"","parse-names":false,"suffix":""},{"dropping-particle":"","family":"Screaton","given":"Gavin","non-dropping-particle":"","parse-names":false,"suffix":""},{"dropping-particle":"","family":"Sedik","given":"Cynthia","non-dropping-particle":"","parse-names":false,"suffix":""},{"dropping-particle":"","family":"Seddiqi","given":"Samiullah","non-dropping-particle":"","parse-names":false,"suffix":""},{"dropping-particle":"","family":"Segireddy","given":"Rameswara R.","non-dropping-particle":"","parse-names":false,"suffix":""},{"dropping-particle":"","family":"Selby","given":"Beatrice","non-dropping-particle":"","parse-names":false,"suffix":""},{"dropping-particle":"","family":"Shaik","given":"Imam","non-dropping-particle":"","parse-names":false,"suffix":""},{"dropping-particle":"","family":"Sharpe","given":"Hannah R.","non-dropping-particle":"","parse-names":false,"suffix":""},{"dropping-particle":"","family":"Shaw","given":"Robert","non-dropping-particle":"","parse-names":false,"suffix":""},{"dropping-particle":"","family":"Shea","given":"Adam","non-dropping-particle":"","parse-names":false,"suffix":""},{"dropping-particle":"","family":"Silk","given":"Sarah","non-dropping-particle":"","parse-names":false,"suffix":""},{"dropping-particle":"","family":"Silva-Reyes","given":"Laura","non-dropping-particle":"","parse-names":false,"suffix":""},{"dropping-particle":"","family":"Skelly","given":"Donal T.","non-dropping-particle":"","parse-names":false,"suffix":""},{"dropping-particle":"","family":"Smith","given":"David J.","non-dropping-particle":"","parse-names":false,"suffix":""},{"dropping-particle":"","family":"Smith","given":"Daniel C","non-dropping-particle":"","parse-names":false,"suffix":""},{"dropping-particle":"","family":"Smith","given":"Nicholas","non-dropping-particle":"","parse-names":false,"suffix":""},{"dropping-particle":"","family":"Spencer","given":"Alexandra J.","non-dropping-particle":"","parse-names":false,"suffix":""},{"dropping-particle":"","family":"Spoors","given":"Louise","non-dropping-particle":"","parse-names":false,"suffix":""},{"dropping-particle":"","family":"Stafford","given":"Elizabeth","non-dropping-particle":"","parse-names":false,"suffix":""},{"dropping-particle":"","family":"Stamford","given":"Imogen","non-dropping-particle":"","parse-names":false,"suffix":""},{"dropping-particle":"","family":"Stockdale","given":"Lisa","non-dropping-particle":"","parse-names":false,"suffix":""},{"dropping-particle":"","family":"Stockley","given":"David","non-dropping-particle":"","parse-names":false,"suffix":""},{"dropping-particle":"V.","family":"Stockwell","given":"Lisa","non-dropping-particle":"","parse-names":false,"suffix":""},{"dropping-particle":"","family":"Stokes","given":"Matthew","non-dropping-particle":"","parse-names":false,"suffix":""},{"dropping-particle":"","family":"Strickland","given":"Louise H.","non-dropping-particle":"","parse-names":false,"suffix":""},{"dropping-particle":"","family":"Stuart","given":"Arabella","non-dropping-particle":"","parse-names":false,"suffix":""},{"dropping-particle":"","family":"Sulaiman","given":"Sulaiman","non-dropping-particle":"","parse-names":false,"suffix":""},{"dropping-particle":"","family":"Summerton","given":"Eloise","non-dropping-particle":"","parse-names":false,"suffix":""},{"dropping-particle":"","family":"Swash","given":"Zoe","non-dropping-particle":"","parse-names":false,"suffix":""},{"dropping-particle":"","family":"Szigeti","given":"Anna","non-dropping-particle":"","parse-names":false,"suffix":""},{"dropping-particle":"","family":"Tahiri-Alaoui","given":"Abdessamad","non-dropping-particle":"","parse-names":false,"suffix":""},{"dropping-particle":"","family":"Tanner","given":"Rachel","non-dropping-particle":"","parse-names":false,"suffix":""},{"dropping-particle":"","family":"Taylor","given":"Iona","non-dropping-particle":"","parse-names":false,"suffix":""},{"dropping-particle":"","family":"Taylor","given":"Keja","non-dropping-particle":"","parse-names":false,"suffix":""},{"dropping-particle":"","family":"Taylor","given":"Ursula","non-dropping-particle":"","parse-names":false,"suffix":""},{"dropping-particle":"","family":"Water Naude","given":"Rebecca","non-dropping-particle":"te","parse-names":false,"suffix":""},{"dropping-particle":"","family":"Themistocleous","given":"Andreas","non-dropping-particle":"","parse-names":false,"suffix":""},{"dropping-particle":"","family":"Thomas","given":"Merin","non-dropping-particle":"","parse-names":false,"suffix":""},{"dropping-particle":"","family":"Thomas","given":"Tonia M","non-dropping-particle":"","parse-names":false,"suffix":""},{"dropping-particle":"","family":"Thompson","given":"Amber","non-dropping-particle":"","parse-names":false,"suffix":""},{"dropping-particle":"","family":"Thompson","given":"Kevin","non-dropping-particle":"","parse-names":false,"suffix":""},{"dropping-particle":"","family":"Thornton-Jones","given":"Viv","non-dropping-particle":"","parse-names":false,"suffix":""},{"dropping-particle":"","family":"Tinh","given":"Lan","non-dropping-particle":"","parse-names":false,"suffix":""},{"dropping-particle":"","family":"Tomic","given":"Adriana","non-dropping-particle":"","parse-names":false,"suffix":""},{"dropping-particle":"","family":"Tonks","given":"Susan","non-dropping-particle":"","parse-names":false,"suffix":""},{"dropping-particle":"","family":"Towner","given":"James","non-dropping-particle":"","parse-names":false,"suffix":""},{"dropping-particle":"","family":"Tran","given":"Nguyen","non-dropping-particle":"","parse-names":false,"suffix":""},{"dropping-particle":"","family":"Tree","given":"Julian A.","non-dropping-particle":"","parse-names":false,"suffix":""},{"dropping-particle":"","family":"Truby","given":"Adam","non-dropping-particle":"","parse-names":false,"suffix":""},{"dropping-particle":"","family":"Turner","given":"Cheryl","non-dropping-particle":"","parse-names":false,"suffix":""},{"dropping-particle":"","family":"Turner","given":"Richard","non-dropping-particle":"","parse-names":false,"suffix":""},{"dropping-particle":"","family":"Ulaszewska","given":"Marta","non-dropping-particle":"","parse-names":false,"suffix":""},{"dropping-particle":"","family":"Varughese","given":"Rachel","non-dropping-particle":"","parse-names":false,"suffix":""},{"dropping-particle":"","family":"Verbart","given":"Dennis","non-dropping-particle":"","parse-names":false,"suffix":""},{"dropping-particle":"","family":"Verheul","given":"Marije K.","non-dropping-particle":"","parse-names":false,"suffix":""},{"dropping-particle":"","family":"Vichos","given":"Iason","non-dropping-particle":"","parse-names":false,"suffix":""},{"dropping-particle":"","family":"Walker","given":"Laura","non-dropping-particle":"","parse-names":false,"suffix":""},{"dropping-particle":"","family":"Wand","given":"Matthew E.","non-dropping-particle":"","parse-names":false,"suffix":""},{"dropping-particle":"","family":"Watkins","given":"Bridget","non-dropping-particle":"","parse-names":false,"suffix":""},{"dropping-particle":"","family":"Welch","given":"Jessica","non-dropping-particle":"","parse-names":false,"suffix":""},{"dropping-particle":"","family":"West","given":"Alison J.","non-dropping-particle":"","parse-names":false,"suffix":""},{"dropping-particle":"","family":"White","given":"Caroline","non-dropping-particle":"","parse-names":false,"suffix":""},{"dropping-particle":"","family":"White","given":"Rachel","non-dropping-particle":"","parse-names":false,"suffix":""},{"dropping-particle":"","family":"Williams","given":"Paul","non-dropping-particle":"","parse-names":false,"suffix":""},{"dropping-particle":"","family":"Woodyer","given":"Mark","non-dropping-particle":"","parse-names":false,"suffix":""},{"dropping-particle":"","family":"Worth","given":"Andrew T.","non-dropping-particle":"","parse-names":false,"suffix":""},{"dropping-particle":"","family":"Wright","given":"Daniel","non-dropping-particle":"","parse-names":false,"suffix":""},{"dropping-particle":"","family":"Wrin","given":"Terri","non-dropping-particle":"","parse-names":false,"suffix":""},{"dropping-particle":"","family":"Yao","given":"Xin Li","non-dropping-particle":"","parse-names":false,"suffix":""},{"dropping-particle":"","family":"Zbarcea","given":"Diana Andreea","non-dropping-particle":"","parse-names":false,"suffix":""},{"dropping-particle":"","family":"Zizi","given":"Dalila","non-dropping-particle":"","parse-names":false,"suffix":""}],"container-title":"The Lancet","id":"ITEM-3","issue":"10267","issued":{"date-parts":[["2020"]]},"page":"1979-1993","title":"Safety and immunogenicity of ChAdOx1 nCoV-19 vaccine administered in a prime-boost regimen in young and old adults (COV002): a single-blind, randomised, controlled, phase 2/3 trial","type":"article-journal","volume":"396"},"uris":["http://www.mendeley.com/documents/?uuid=65fb519e-9609-308d-8818-712d48f07825"]},{"id":"ITEM-4","itemData":{"DOI":"10.1056/nejmoa2022483","ISSN":"0028-4793","PMID":"32663912","abstract":"BACKGROUND The severe acute respiratory syndrome coronavirus 2 (SARS-CoV-2) emerged in late 2019 and spread globally, prompting an international effort to accelerate development of a vaccine. The candidate vaccine mRNA-1273 encodes the stabilized prefusion SARS-CoV-2 spike protein. METHODS We conducted a phase 1, dose-escalation, open-label trial including 45 healthy adults, 18 to 55 years of age, who received two vaccinations, 28 days apart, with mRNA-1273 in a dose of 25 μg, 100 μg, or 250 μg. There were 15 participants in each dose group. RESULTS After the first vaccination, antibody responses were higher with higher dose (day 29 enzyme-linked immunosorbent assay anti-S-2P antibody geometric mean titer [GMT], 40,227 in the 25-μg group, 109,209 in the 100-μg group, and 213,526 in the 250-μg group). After the second vaccination, the titers increased (day 57 GMT, 299,751, 782,719, and 1,192,154, respectively). After the second vaccination, serum-neutralizing activity was detected by two methods in all participants evaluated, with values generally similar to those in the upper half of the distribution of a panel of control convalescent serum specimens. Solicited adverse events that occurred in more than half the participants included fatigue, chills, headache, myalgia, and pain at the injection site. Systemic adverse events were more common after the second vaccination, particularly with the highest dose, and three participants (21%) in the 250-μg dose group reported one or more severe adverse events. CONCLUSIONS The mRNA-1273 vaccine induced anti-SARS-CoV-2 immune responses in all participants, and no trial-limiting safety concerns were identified. These findings support further development of this vaccine. (Funded by the National Institute of Allergy and Infectious Diseases and others; mRNA-1273 ClinicalTrials.gov number, NCT04283461).","author":[{"dropping-particle":"","family":"Jackson","given":"Lisa A.","non-dropping-particle":"","parse-names":false,"suffix":""},{"dropping-particle":"","family":"Anderson","given":"Evan J.","non-dropping-particle":"","parse-names":false,"suffix":""},{"dropping-particle":"","family":"Rouphael","given":"Nadine G.","non-dropping-particle":"","parse-names":false,"suffix":""},{"dropping-particle":"","family":"Roberts","given":"Paul C.","non-dropping-particle":"","parse-names":false,"suffix":""},{"dropping-particle":"","family":"Makhene","given":"Mamodikoe","non-dropping-particle":"","parse-names":false,"suffix":""},{"dropping-particle":"","family":"Coler","given":"Rhea N.","non-dropping-particle":"","parse-names":false,"suffix":""},{"dropping-particle":"","family":"McCullough","given":"Michele P.","non-dropping-particle":"","parse-names":false,"suffix":""},{"dropping-particle":"","family":"Chappell","given":"James D.","non-dropping-particle":"","parse-names":false,"suffix":""},{"dropping-particle":"","family":"Denison","given":"Mark R.","non-dropping-particle":"","parse-names":false,"suffix":""},{"dropping-particle":"","family":"Stevens","given":"Laura J.","non-dropping-particle":"","parse-names":false,"suffix":""},{"dropping-particle":"","family":"Pruijssers","given":"Andrea J.","non-dropping-particle":"","parse-names":false,"suffix":""},{"dropping-particle":"","family":"McDermott","given":"Adrian","non-dropping-particle":"","parse-names":false,"suffix":""},{"dropping-particle":"","family":"Flach","given":"Britta","non-dropping-particle":"","parse-names":false,"suffix":""},{"dropping-particle":"","family":"Doria-Rose","given":"Nicole A.","non-dropping-particle":"","parse-names":false,"suffix":""},{"dropping-particle":"","family":"Corbett","given":"Kizzmekia S.","non-dropping-particle":"","parse-names":false,"suffix":""},{"dropping-particle":"","family":"Morabito","given":"Kaitlyn M.","non-dropping-particle":"","parse-names":false,"suffix":""},{"dropping-particle":"","family":"O’Dell","given":"Sijy","non-dropping-particle":"","parse-names":false,"suffix":""},{"dropping-particle":"","family":"Schmidt","given":"Stephen D.","non-dropping-particle":"","parse-names":false,"suffix":""},{"dropping-particle":"","family":"Swanson","given":"Phillip A.","non-dropping-particle":"","parse-names":false,"suffix":""},{"dropping-particle":"","family":"Padilla","given":"Marcelino","non-dropping-particle":"","parse-names":false,"suffix":""},{"dropping-particle":"","family":"Mascola","given":"John R.","non-dropping-particle":"","parse-names":false,"suffix":""},{"dropping-particle":"","family":"Neuzil","given":"Kathleen M.","non-dropping-particle":"","parse-names":false,"suffix":""},{"dropping-particle":"","family":"Bennett","given":"Hamilton","non-dropping-particle":"","parse-names":false,"suffix":""},{"dropping-particle":"","family":"Sun","given":"Wellington","non-dropping-particle":"","parse-names":false,"suffix":""},{"dropping-particle":"","family":"Peters","given":"Etza","non-dropping-particle":"","parse-names":false,"suffix":""},{"dropping-particle":"","family":"Makowski","given":"Mat","non-dropping-particle":"","parse-names":false,"suffix":""},{"dropping-particle":"","family":"Albert","given":"Jim","non-dropping-particle":"","parse-names":false,"suffix":""},{"dropping-particle":"","family":"Cross","given":"Kaitlyn","non-dropping-particle":"","parse-names":false,"suffix":""},{"dropping-particle":"","family":"Buchanan","given":"Wendy","non-dropping-particle":"","parse-names":false,"suffix":""},{"dropping-particle":"","family":"Pikaart-Tautges","given":"Rhonda","non-dropping-particle":"","parse-names":false,"suffix":""},{"dropping-particle":"","family":"Ledgerwood","given":"Julie E.","non-dropping-particle":"","parse-names":false,"suffix":""},{"dropping-particle":"","family":"Graham","given":"Barney S.","non-dropping-particle":"","parse-names":false,"suffix":""},{"dropping-particle":"","family":"Beigel","given":"John H.","non-dropping-particle":"","parse-names":false,"suffix":""}],"container-title":"New England Journal of Medicine","id":"ITEM-4","issue":"20","issued":{"date-parts":[["2020"]]},"page":"1920-1931","title":"An mRNA Vaccine against SARS-CoV-2 — Preliminary Report","type":"article-journal","volume":"383"},"uris":["http://www.mendeley.com/documents/?uuid=7110f2e0-31df-4231-add7-13e0be1af7d7"]},{"id":"ITEM-5","itemData":{"DOI":"10.1038/s41586-020-2622-0","ISSN":"14764687","PMID":"32756549","abstract":"A vaccine for severe acute respiratory syndrome coronavirus 2 (SARS-CoV-2) is needed to control the coronavirus disease 2019 (COVID-19) global pandemic. Structural studies have led to the development of mutations that stabilize Betacoronavirus spike proteins in the prefusion state, improving their expression and increasing immunogenicity1. This principle has been applied to design mRNA-1273, an mRNA vaccine that encodes a SARS-CoV-2 spike protein that is stabilized in the prefusion conformation. Here we show that mRNA-1273 induces potent neutralizing antibody responses to both wild-type (D614) and D614G mutant2 SARS-CoV-2 as well as CD8+ T cell responses, and protects against SARS-CoV-2 infection in the lungs and noses of mice without evidence of immunopathology. mRNA-1273 is currently in a phase III trial to evaluate its efficacy.","author":[{"dropping-particle":"","family":"Corbett","given":"Kizzmekia S.","non-dropping-particle":"","parse-names":false,"suffix":""},{"dropping-particle":"","family":"Edwards","given":"Darin K.","non-dropping-particle":"","parse-names":false,"suffix":""},{"dropping-particle":"","family":"Leist","given":"Sarah R.","non-dropping-particle":"","parse-names":false,"suffix":""},{"dropping-particle":"","family":"Abiona","given":"Olubukola M.","non-dropping-particle":"","parse-names":false,"suffix":""},{"dropping-particle":"","family":"Boyoglu-Barnum","given":"Seyhan","non-dropping-particle":"","parse-names":false,"suffix":""},{"dropping-particle":"","family":"Gillespie","given":"Rebecca A.","non-dropping-particle":"","parse-names":false,"suffix":""},{"dropping-particle":"","family":"Himansu","given":"Sunny","non-dropping-particle":"","parse-names":false,"suffix":""},{"dropping-particle":"","family":"Schäfer","given":"Alexandra","non-dropping-particle":"","parse-names":false,"suffix":""},{"dropping-particle":"","family":"Ziwawo","given":"Cynthia T.","non-dropping-particle":"","parse-names":false,"suffix":""},{"dropping-particle":"","family":"DiPiazza","given":"Anthony T.","non-dropping-particle":"","parse-names":false,"suffix":""},{"dropping-particle":"","family":"Dinnon","given":"Kenneth H.","non-dropping-particle":"","parse-names":false,"suffix":""},{"dropping-particle":"","family":"Elbashir","given":"Sayda M.","non-dropping-particle":"","parse-names":false,"suffix":""},{"dropping-particle":"","family":"Shaw","given":"Christine A.","non-dropping-particle":"","parse-names":false,"suffix":""},{"dropping-particle":"","family":"Woods","given":"Angela","non-dropping-particle":"","parse-names":false,"suffix":""},{"dropping-particle":"","family":"Fritch","given":"Ethan J.","non-dropping-particle":"","parse-names":false,"suffix":""},{"dropping-particle":"","family":"Martinez","given":"David R.","non-dropping-particle":"","parse-names":false,"suffix":""},{"dropping-particle":"","family":"Bock","given":"Kevin W.","non-dropping-particle":"","parse-names":false,"suffix":""},{"dropping-particle":"","family":"Minai","given":"Mahnaz","non-dropping-particle":"","parse-names":false,"suffix":""},{"dropping-particle":"","family":"Nagata","given":"Bianca M.","non-dropping-particle":"","parse-names":false,"suffix":""},{"dropping-particle":"","family":"Hutchinson","given":"Geoffrey B.","non-dropping-particle":"","parse-names":false,"suffix":""},{"dropping-particle":"","family":"Wu","given":"Kai","non-dropping-particle":"","parse-names":false,"suffix":""},{"dropping-particle":"","family":"Henry","given":"Carole","non-dropping-particle":"","parse-names":false,"suffix":""},{"dropping-particle":"","family":"Bahl","given":"Kapil","non-dropping-particle":"","parse-names":false,"suffix":""},{"dropping-particle":"","family":"Garcia-Dominguez","given":"Dario","non-dropping-particle":"","parse-names":false,"suffix":""},{"dropping-particle":"","family":"Ma","given":"Ling Zhi","non-dropping-particle":"","parse-names":false,"suffix":""},{"dropping-particle":"","family":"Renzi","given":"Isabella","non-dropping-particle":"","parse-names":false,"suffix":""},{"dropping-particle":"","family":"Kong","given":"Wing Pui","non-dropping-particle":"","parse-names":false,"suffix":""},{"dropping-particle":"","family":"Schmidt","given":"Stephen D.","non-dropping-particle":"","parse-names":false,"suffix":""},{"dropping-particle":"","family":"Wang","given":"Lingshu","non-dropping-particle":"","parse-names":false,"suffix":""},{"dropping-particle":"","family":"Zhang","given":"Yi","non-dropping-particle":"","parse-names":false,"suffix":""},{"dropping-particle":"","family":"Phung","given":"Emily","non-dropping-particle":"","parse-names":false,"suffix":""},{"dropping-particle":"","family":"Chang","given":"Lauren A.","non-dropping-particle":"","parse-names":false,"suffix":""},{"dropping-particle":"","family":"Loomis","given":"Rebecca J.","non-dropping-particle":"","parse-names":false,"suffix":""},{"dropping-particle":"","family":"Altaras","given":"Nedim Emil","non-dropping-particle":"","parse-names":false,"suffix":""},{"dropping-particle":"","family":"Narayanan","given":"Elisabeth","non-dropping-particle":"","parse-names":false,"suffix":""},{"dropping-particle":"","family":"Metkar","given":"Mihir","non-dropping-particle":"","parse-names":false,"suffix":""},{"dropping-particle":"","family":"Presnyak","given":"Vlad","non-dropping-particle":"","parse-names":false,"suffix":""},{"dropping-particle":"","family":"Liu","given":"Cuiping","non-dropping-particle":"","parse-names":false,"suffix":""},{"dropping-particle":"","family":"Louder","given":"Mark K.","non-dropping-particle":"","parse-names":false,"suffix":""},{"dropping-particle":"","family":"Shi","given":"Wei","non-dropping-particle":"","parse-names":false,"suffix":""},{"dropping-particle":"","family":"Leung","given":"Kwanyee","non-dropping-particle":"","parse-names":false,"suffix":""},{"dropping-particle":"","family":"Yang","given":"Eun Sung","non-dropping-particle":"","parse-names":false,"suffix":""},{"dropping-particle":"","family":"West","given":"Ande","non-dropping-particle":"","parse-names":false,"suffix":""},{"dropping-particle":"","family":"Gully","given":"Kendra L.","non-dropping-particle":"","parse-names":false,"suffix":""},{"dropping-particle":"","family":"Stevens","given":"Laura J.","non-dropping-particle":"","parse-names":false,"suffix":""},{"dropping-particle":"","family":"Wang","given":"Nianshuang","non-dropping-particle":"","parse-names":false,"suffix":""},{"dropping-particle":"","family":"Wrapp","given":"Daniel","non-dropping-particle":"","parse-names":false,"suffix":""},{"dropping-particle":"","family":"Doria-Rose","given":"Nicole A.","non-dropping-particle":"","parse-names":false,"suffix":""},{"dropping-particle":"","family":"Stewart-Jones","given":"Guillaume","non-dropping-particle":"","parse-names":false,"suffix":""},{"dropping-particle":"","family":"Bennett","given":"Hamilton","non-dropping-particle":"","parse-names":false,"suffix":""},{"dropping-particle":"","family":"Alvarado","given":"Gabriela S.","non-dropping-particle":"","parse-names":false,"suffix":""},{"dropping-particle":"","family":"Nason","given":"Martha C.","non-dropping-particle":"","parse-names":false,"suffix":""},{"dropping-particle":"","family":"Ruckwardt","given":"Tracy J.","non-dropping-particle":"","parse-names":false,"suffix":""},{"dropping-particle":"","family":"McLellan","given":"Jason S.","non-dropping-particle":"","parse-names":false,"suffix":""},{"dropping-particle":"","family":"Denison","given":"Mark R.","non-dropping-particle":"","parse-names":false,"suffix":""},{"dropping-particle":"","family":"Chappell","given":"James D.","non-dropping-particle":"","parse-names":false,"suffix":""},{"dropping-particle":"","family":"Moore","given":"Ian N.","non-dropping-particle":"","parse-names":false,"suffix":""},{"dropping-particle":"","family":"Morabito","given":"Kaitlyn M.","non-dropping-particle":"","parse-names":false,"suffix":""},{"dropping-particle":"","family":"Mascola","given":"John R.","non-dropping-particle":"","parse-names":false,"suffix":""},{"dropping-particle":"","family":"Baric","given":"Ralph S.","non-dropping-particle":"","parse-names":false,"suffix":""},{"dropping-particle":"","family":"Carfi","given":"Andrea","non-dropping-particle":"","parse-names":false,"suffix":""},{"dropping-particle":"","family":"Graham","given":"Barney S.","non-dropping-particle":"","parse-names":false,"suffix":""}],"container-title":"Nature","id":"ITEM-5","issue":"7830","issued":{"date-parts":[["2020","10","22"]]},"page":"567-571","publisher":"Nature Research","title":"SARS-CoV-2 mRNA vaccine design enabled by prototype pathogen preparedness","type":"article-journal","volume":"586"},"uris":["http://www.mendeley.com/documents/?uuid=07866e81-cffa-4407-82d8-f2566a0a7f95"]},{"id":"ITEM-6","itemData":{"DOI":"10.1056/nejmoa2034577","ISSN":"0028-4793","PMID":"33301246","abstract":"BACKGROUND Severe acute respiratory syndrome coronavirus 2 (SARS-CoV-2) infection and the resulting coronavirus disease 2019 (Covid-19) have afflicted tens of millions of people in a worldwide pandemic. Safe and effective vaccines are needed urgently. METHODS In an ongoing multinational, placebo-controlled, observer-blinded, pivotal efficacy trial, we randomly assigned persons 16 years of age or older in a 1:1 ratio to receive two doses, 21 days apart, of either placebo or the BNT162b2 vaccine candidate (30 μg per dose). BNT162b2 is a lipid nanoparticle-formulated, nucleoside-modified RNA vaccine that encodes a prefusion stabilized, membrane-anchored SARS-CoV-2 full-length spike protein. The primary end points were efficacy of the vaccine against laboratory-confirmed Covid-19 and safety. RESULTS A total of 43,548 participants underwent randomization, of whom 43,448 received injections: 21,720 with BNT162b2 and 21,728 with placebo. There were 8 cases of Covid-19 with onset at least 7 days after the second dose among participants assigned to receive BNT162b2 and 162 cases among those assigned to placebo; BNT162b2 was 95% effective in preventing Covid-19 (95% credible interval, 90.3 to 97.6). Similar vaccine efficacy (generally 90 to 100%) was observed across subgroups defined by age, sex, race, ethnicity, baseline body-mass index, and the presence of coexisting conditions. Among 10 cases of severe Covid-19 with onset after the first dose, 9 occurred in placebo recipients and 1 in a BNT162b2 recipient. The safety profile of BNT162b2 was characterized by short-term, mild-to-moderate pain at the injection site, fatigue, and headache. The incidence of serious adverse events was low and was similar in the vaccine and placebo groups. CONCLUSIONS A two-dose regimen of BNT162b2 conferred 95% protection against Covid-19 in persons 16 years of age or older. Safety over a median of 2 months was similar to that of other viral vaccines. (Funded by BioNTech and Pfizer; ClinicalTrials.gov number, NCT04368728.).","author":[{"dropping-particle":"","family":"Polack","given":"Fernando P.","non-dropping-particle":"","parse-names":false,"suffix":""},{"dropping-particle":"","family":"Thomas","given":"Stephen J.","non-dropping-particle":"","parse-names":false,"suffix":""},{"dropping-particle":"","family":"Kitchin","given":"Nicholas","non-dropping-particle":"","parse-names":false,"suffix":""},{"dropping-particle":"","family":"Absalon","given":"Judith","non-dropping-particle":"","parse-names":false,"suffix":""},{"dropping-particle":"","family":"Gurtman","given":"Alejandra","non-dropping-particle":"","parse-names":false,"suffix":""},{"dropping-particle":"","family":"Lockhart","given":"Stephen","non-dropping-particle":"","parse-names":false,"suffix":""},{"dropping-particle":"","family":"Perez","given":"John L.","non-dropping-particle":"","parse-names":false,"suffix":""},{"dropping-particle":"","family":"Pérez Marc","given":"Gonzalo","non-dropping-particle":"","parse-names":false,"suffix":""},{"dropping-particle":"","family":"Moreira","given":"Edson D.","non-dropping-particle":"","parse-names":false,"suffix":""},{"dropping-particle":"","family":"Zerbini","given":"Cristiano","non-dropping-particle":"","parse-names":false,"suffix":""},{"dropping-particle":"","family":"Bailey","given":"Ruth","non-dropping-particle":"","parse-names":false,"suffix":""},{"dropping-particle":"","family":"Swanson","given":"Kena A.","non-dropping-particle":"","parse-names":false,"suffix":""},{"dropping-particle":"","family":"Roychoudhury","given":"Satrajit","non-dropping-particle":"","parse-names":false,"suffix":""},{"dropping-particle":"","family":"Koury","given":"Kenneth","non-dropping-particle":"","parse-names":false,"suffix":""},{"dropping-particle":"","family":"Li","given":"Ping","non-dropping-particle":"","parse-names":false,"suffix":""},{"dropping-particle":"V.","family":"Kalina","given":"Warren","non-dropping-particle":"","parse-names":false,"suffix":""},{"dropping-particle":"","family":"Cooper","given":"David","non-dropping-particle":"","parse-names":false,"suffix":""},{"dropping-particle":"","family":"Frenck","given":"Robert W.","non-dropping-particle":"","parse-names":false,"suffix":""},{"dropping-particle":"","family":"Hammitt","given":"Laura L.","non-dropping-particle":"","parse-names":false,"suffix":""},{"dropping-particle":"","family":"Türeci","given":"Özlem","non-dropping-particle":"","parse-names":false,"suffix":""},{"dropping-particle":"","family":"Nell","given":"Haylene","non-dropping-particle":"","parse-names":false,"suffix":""},{"dropping-particle":"","family":"Schaefer","given":"Axel","non-dropping-particle":"","parse-names":false,"suffix":""},{"dropping-particle":"","family":"Ünal","given":"Serhat","non-dropping-particle":"","parse-names":false,"suffix":""},{"dropping-particle":"","family":"Tresnan","given":"Dina B.","non-dropping-particle":"","parse-names":false,"suffix":""},{"dropping-particle":"","family":"Mather","given":"Susan","non-dropping-particle":"","parse-names":false,"suffix":""},{"dropping-particle":"","family":"Dormitzer","given":"Philip R.","non-dropping-particle":"","parse-names":false,"suffix":""},{"dropping-particle":"","family":"Şahin","given":"Uğur","non-dropping-particle":"","parse-names":false,"suffix":""},{"dropping-particle":"","family":"Jansen","given":"Kathrin U.","non-dropping-particle":"","parse-names":false,"suffix":""},{"dropping-particle":"","family":"Gruber","given":"William C.","non-dropping-particle":"","parse-names":false,"suffix":""}],"container-title":"New England Journal of Medicine","id":"ITEM-6","issue":"27","issued":{"date-parts":[["2020","12","31"]]},"page":"2603-2615","publisher":"Massachusetts Medical Society","title":"Safety and Efficacy of the BNT162b2 mRNA Covid-19 Vaccine","type":"article-journal","volume":"383"},"uris":["http://www.mendeley.com/documents/?uuid=0b3454dd-a408-3480-a820-53138fab6c49"]},{"id":"ITEM-7","itemData":{"DOI":"10.1056/nejmoa2035389","ISSN":"0028-4793","abstract":"Abstract Background Vaccines are needed to prevent coronavirus disease 2019 (Covid-19) and to protect persons who are at high risk for complications. The mRNA-1273 vaccine is a lipid nanoparticle–e...","author":[{"dropping-particle":"","family":"Baden","given":"Lindsey R.","non-dropping-particle":"","parse-names":false,"suffix":""},{"dropping-particle":"","family":"Sahly","given":"Hana M.","non-dropping-particle":"El","parse-names":false,"suffix":""},{"dropping-particle":"","family":"Essink","given":"Brandon","non-dropping-particle":"","parse-names":false,"suffix":""},{"dropping-particle":"","family":"Kotloff","given":"Karen","non-dropping-particle":"","parse-names":false,"suffix":""},{"dropping-particle":"","family":"Frey","given":"Sharon","non-dropping-particle":"","parse-names":false,"suffix":""},{"dropping-particle":"","family":"Novak","given":"Rick","non-dropping-particle":"","parse-names":false,"suffix":""},{"dropping-particle":"","family":"Diemert","given":"David","non-dropping-particle":"","parse-names":false,"suffix":""},{"dropping-particle":"","family":"Spector","given":"Stephen A.","non-dropping-particle":"","parse-names":false,"suffix":""},{"dropping-particle":"","family":"Rouphael","given":"Nadine","non-dropping-particle":"","parse-names":false,"suffix":""},{"dropping-particle":"","family":"Creech","given":"C. Buddy","non-dropping-particle":"","parse-names":false,"suffix":""},{"dropping-particle":"","family":"McGettigan","given":"John","non-dropping-particle":"","parse-names":false,"suffix":""},{"dropping-particle":"","family":"Khetan","given":"Shishir","non-dropping-particle":"","parse-names":false,"suffix":""},{"dropping-particle":"","family":"Segall","given":"Nathan","non-dropping-particle":"","parse-names":false,"suffix":""},{"dropping-particle":"","family":"Solis","given":"Joel","non-dropping-particle":"","parse-names":false,"suffix":""},{"dropping-particle":"","family":"Brosz","given":"Adam","non-dropping-particle":"","parse-names":false,"suffix":""},{"dropping-particle":"","family":"Fierro","given":"Carlos","non-dropping-particle":"","parse-names":false,"suffix":""},{"dropping-particle":"","family":"Schwartz","given":"Howard","non-dropping-particle":"","parse-names":false,"suffix":""},{"dropping-particle":"","family":"Neuzil","given":"Kathleen","non-dropping-particle":"","parse-names":false,"suffix":""},{"dropping-particle":"","family":"Corey","given":"Larry","non-dropping-particle":"","parse-names":false,"suffix":""},{"dropping-particle":"","family":"Gilbert","given":"Peter","non-dropping-particle":"","parse-names":false,"suffix":""},{"dropping-particle":"","family":"Janes","given":"Holly","non-dropping-particle":"","parse-names":false,"suffix":""},{"dropping-particle":"","family":"Follmann","given":"Dean","non-dropping-particle":"","parse-names":false,"suffix":""},{"dropping-particle":"","family":"Marovich","given":"Mary","non-dropping-particle":"","parse-names":false,"suffix":""},{"dropping-particle":"","family":"Mascola","given":"John","non-dropping-particle":"","parse-names":false,"suffix":""},{"dropping-particle":"","family":"Polakowski","given":"Laura","non-dropping-particle":"","parse-names":false,"suffix":""},{"dropping-particle":"","family":"Ledgerwood","given":"Julie","non-dropping-particle":"","parse-names":false,"suffix":""},{"dropping-particle":"","family":"Graham","given":"Barney S.","non-dropping-particle":"","parse-names":false,"suffix":""},{"dropping-particle":"","family":"Bennett","given":"Hamilton","non-dropping-particle":"","parse-names":false,"suffix":""},{"dropping-particle":"","family":"Pajon","given":"Rolando","non-dropping-particle":"","parse-names":false,"suffix":""},{"dropping-particle":"","family":"Knightly","given":"Conor","non-dropping-particle":"","parse-names":false,"suffix":""},{"dropping-particle":"","family":"Leav","given":"Brett","non-dropping-particle":"","parse-names":false,"suffix":""},{"dropping-particle":"","family":"Deng","given":"Weiping","non-dropping-particle":"","parse-names":false,"suffix":""},{"dropping-particle":"","family":"Zhou","given":"Honghong","non-dropping-particle":"","parse-names":false,"suffix":""},{"dropping-particle":"","family":"Han","given":"Shu","non-dropping-particle":"","parse-names":false,"suffix":""},{"dropping-particle":"","family":"Ivarsson","given":"Melanie","non-dropping-particle":"","parse-names":false,"suffix":""},{"dropping-particle":"","family":"Miller","given":"Jacqueline","non-dropping-particle":"","parse-names":false,"suffix":""},{"dropping-particle":"","family":"Zaks","given":"Tal","non-dropping-particle":"","parse-names":false,"suffix":""}],"container-title":"New England Journal of Medicine","id":"ITEM-7","issue":"5","issued":{"date-parts":[["2021","2","4"]]},"page":"403-416","publisher":"Massachusetts Medical Society","title":"Efficacy and Safety of the mRNA-1273 SARS-CoV-2 Vaccine","type":"article-journal","volume":"384"},"uris":["http://www.mendeley.com/documents/?uuid=55a82f4d-f7c7-324a-a09f-08a84e9a4396"]}],"mendeley":{"formattedCitation":"&lt;sup&gt;4–6,20–23&lt;/sup&gt;","plainTextFormattedCitation":"4–6,20–23","previouslyFormattedCitation":"&lt;sup&gt;4–6,20–23&lt;/sup&gt;"},"properties":{"noteIndex":0},"schema":"https://github.com/citation-style-language/schema/raw/master/csl-citation.json"}</w:instrText>
      </w:r>
      <w:r w:rsidR="006579EE" w:rsidRPr="006B3D43">
        <w:rPr>
          <w:rFonts w:ascii="Arial" w:hAnsi="Arial" w:cs="Arial"/>
          <w:sz w:val="24"/>
          <w:szCs w:val="24"/>
        </w:rPr>
        <w:fldChar w:fldCharType="separate"/>
      </w:r>
      <w:r w:rsidR="007774B6" w:rsidRPr="007774B6">
        <w:rPr>
          <w:rFonts w:ascii="Arial" w:hAnsi="Arial" w:cs="Arial"/>
          <w:noProof/>
          <w:sz w:val="24"/>
          <w:szCs w:val="24"/>
          <w:vertAlign w:val="superscript"/>
        </w:rPr>
        <w:t>4–6,20–23</w:t>
      </w:r>
      <w:r w:rsidR="006579EE" w:rsidRPr="006B3D43">
        <w:rPr>
          <w:rFonts w:ascii="Arial" w:hAnsi="Arial" w:cs="Arial"/>
          <w:sz w:val="24"/>
          <w:szCs w:val="24"/>
        </w:rPr>
        <w:fldChar w:fldCharType="end"/>
      </w:r>
      <w:r w:rsidRPr="006B3D43">
        <w:rPr>
          <w:rFonts w:ascii="Arial" w:hAnsi="Arial" w:cs="Arial"/>
          <w:sz w:val="24"/>
          <w:szCs w:val="24"/>
        </w:rPr>
        <w:t xml:space="preserve">. The resulting S protein is assembled and glycosylated by host tissue. In a contrasting approach, the S protein can be recombinantly manufactured </w:t>
      </w:r>
      <w:r w:rsidR="005759BD">
        <w:rPr>
          <w:rFonts w:ascii="Arial" w:hAnsi="Arial" w:cs="Arial"/>
          <w:sz w:val="24"/>
          <w:szCs w:val="24"/>
        </w:rPr>
        <w:t xml:space="preserve">either as recombinant protein </w:t>
      </w:r>
      <w:r w:rsidR="006766D8">
        <w:rPr>
          <w:rFonts w:ascii="Arial" w:hAnsi="Arial" w:cs="Arial"/>
          <w:sz w:val="24"/>
          <w:szCs w:val="24"/>
        </w:rPr>
        <w:t>using mammalian or insect cell lines</w:t>
      </w:r>
      <w:r w:rsidR="009D67E1">
        <w:rPr>
          <w:rFonts w:ascii="Arial" w:hAnsi="Arial" w:cs="Arial"/>
          <w:sz w:val="24"/>
          <w:szCs w:val="24"/>
        </w:rPr>
        <w:t xml:space="preserve"> </w:t>
      </w:r>
      <w:r w:rsidR="005759BD" w:rsidRPr="006B3D43">
        <w:rPr>
          <w:rFonts w:ascii="Arial" w:hAnsi="Arial" w:cs="Arial"/>
          <w:sz w:val="24"/>
          <w:szCs w:val="24"/>
        </w:rPr>
        <w:t>or</w:t>
      </w:r>
      <w:r w:rsidR="006766D8">
        <w:rPr>
          <w:rFonts w:ascii="Arial" w:hAnsi="Arial" w:cs="Arial"/>
          <w:sz w:val="24"/>
          <w:szCs w:val="24"/>
        </w:rPr>
        <w:t xml:space="preserve"> using</w:t>
      </w:r>
      <w:r w:rsidR="005759BD" w:rsidRPr="006B3D43">
        <w:rPr>
          <w:rFonts w:ascii="Arial" w:hAnsi="Arial" w:cs="Arial"/>
          <w:sz w:val="24"/>
          <w:szCs w:val="24"/>
        </w:rPr>
        <w:t xml:space="preserve"> inactivated virus-based approaches </w:t>
      </w:r>
      <w:r w:rsidR="005759BD">
        <w:rPr>
          <w:rFonts w:ascii="Arial" w:hAnsi="Arial" w:cs="Arial"/>
          <w:sz w:val="24"/>
          <w:szCs w:val="24"/>
        </w:rPr>
        <w:t>which allows</w:t>
      </w:r>
      <w:r w:rsidRPr="006B3D43">
        <w:rPr>
          <w:rFonts w:ascii="Arial" w:hAnsi="Arial" w:cs="Arial"/>
          <w:sz w:val="24"/>
          <w:szCs w:val="24"/>
        </w:rPr>
        <w:t xml:space="preserve"> detailed characterization of the immunogen prior to delivery</w:t>
      </w:r>
      <w:r w:rsidR="000C23C6" w:rsidRPr="006B3D43">
        <w:rPr>
          <w:rFonts w:ascii="Arial" w:hAnsi="Arial" w:cs="Arial"/>
          <w:sz w:val="24"/>
          <w:szCs w:val="24"/>
        </w:rPr>
        <w:t xml:space="preserve"> </w:t>
      </w:r>
      <w:r w:rsidR="000C23C6" w:rsidRPr="006B3D43">
        <w:rPr>
          <w:rFonts w:ascii="Arial" w:hAnsi="Arial" w:cs="Arial"/>
          <w:sz w:val="24"/>
          <w:szCs w:val="24"/>
        </w:rPr>
        <w:fldChar w:fldCharType="begin" w:fldLock="1"/>
      </w:r>
      <w:r w:rsidR="006F1875">
        <w:rPr>
          <w:rFonts w:ascii="Arial" w:hAnsi="Arial" w:cs="Arial"/>
          <w:sz w:val="24"/>
          <w:szCs w:val="24"/>
        </w:rPr>
        <w:instrText>ADDIN CSL_CITATION {"citationItems":[{"id":"ITEM-1","itemData":{"DOI":"10.1016/j.cell.2020.02.058","ISSN":"10974172","PMID":"32155444","abstract":"The emergence of SARS-CoV-2 has resulted in &gt;90,000 infections and &gt;3,000 deaths. Coronavirus spike (S) glycoproteins promote entry into cells and are the main target of antibodies. We show that SARS-CoV-2 S uses ACE2 to enter cells and that the receptor-binding domains of SARS-CoV-2 S and SARS-CoV S bind with similar affinities to human ACE2, correlating with the efficient spread of SARS-CoV-2 among humans. We found that the SARS-CoV-2 S glycoprotein harbors a furin cleavage site at the boundary between the S1/S2 subunits, which is processed during biogenesis and sets this virus apart from SARS-CoV and SARS-related CoVs. We determined cryo-EM structures of the SARS-CoV-2 S ectodomain trimer, providing a blueprint for the design of vaccines and inhibitors of viral entry. Finally, we demonstrate that SARS-CoV S murine polyclonal antibodies potently inhibited SARS-CoV-2 S mediated entry into cells, indicating that cross-neutralizing antibodies targeting conserved S epitopes can be elicited upon vaccination.","author":[{"dropping-particle":"","family":"Walls","given":"Alexandra C.","non-dropping-particle":"","parse-names":false,"suffix":""},{"dropping-particle":"","family":"Park","given":"Young Jun","non-dropping-particle":"","parse-names":false,"suffix":""},{"dropping-particle":"","family":"Tortorici","given":"M. Alejandra","non-dropping-particle":"","parse-names":false,"suffix":""},{"dropping-particle":"","family":"Wall","given":"Abigail","non-dropping-particle":"","parse-names":false,"suffix":""},{"dropping-particle":"","family":"McGuire","given":"Andrew T.","non-dropping-particle":"","parse-names":false,"suffix":""},{"dropping-particle":"","family":"Veesler","given":"David","non-dropping-particle":"","parse-names":false,"suffix":""}],"container-title":"Cell","id":"ITEM-1","issue":"2","issued":{"date-parts":[["2020"]]},"page":"281-292.e6","title":"Structure, Function, and Antigenicity of the SARS-CoV-2 Spike Glycoprotein","type":"article-journal","volume":"181"},"uris":["http://www.mendeley.com/documents/?uuid=f9311ead-2c37-423a-a778-953113177935"]},{"id":"ITEM-2","itemData":{"DOI":"10.1016/j.lfs.2020.118056","ISSN":"1879-0631","PMID":"32645344","abstract":"Various human pathogenic viruses employ envelope glycoproteins for host cell receptor recognition and binding, membrane fusion and viral entry. The spike (S) glycoprotein of betacoronavirus SARS-CoV-2 is a homotrimeric class I fusion protein that exists in a metastable conformation for cleavage by host cell proteases furin and TMPRSS2, thereby undergoing substantial structural rearrangement for ACE2 host cell receptor binding and subsequent viral entry by membrane fusion. The S protein is densely decorated with N-linked glycans protruding from the trimer surface that affect S protein folding, processing by host cell proteases and the elicitation of humoral immune response. Deep insight into the sophisticated structure of SARS-CoV-2 S protein may provide a blueprint for vaccination strategies, as reviewed herein.","author":[{"dropping-particle":"","family":"Sternberg","given":"Ariane","non-dropping-particle":"","parse-names":false,"suffix":""},{"dropping-particle":"","family":"Naujokat","given":"Cord","non-dropping-particle":"","parse-names":false,"suffix":""}],"container-title":"Life sciences","id":"ITEM-2","issued":{"date-parts":[["2020","9","15"]]},"page":"118056","title":"Structural features of coronavirus SARS-CoV-2 spike protein: Targets for vaccination.","type":"article-journal","volume":"257"},"uris":["http://www.mendeley.com/documents/?uuid=b15b25c8-346e-4b3d-a4cf-b0772b6e26a8"]},{"id":"ITEM-3","itemData":{"DOI":"10.1126/SCIENCE.ABD0826","ISSN":"10959203","PMID":"32703906","abstract":"The coronavirus disease 2019 (COVID-19) pandemic has led to accelerated efforts to develop therapeutics and vaccines. A key target of these efforts is the spike (S) protein, which is metastable and difficult to produce recombinantly. We characterized 100 structure-guided spike designs and identified 26 individual substitutions that increased protein yields and stability. Testing combinations of beneficial substitutions resulted in the identification of HexaPro, a variant with six beneficial proline substitutions exhibiting higher expression than its parental construct (by a factor of 10) as well as the ability to withstand heat stress, storage at room temperature, and three freeze-thaw cycles. A cryo-electron microscopy structure of HexaPro at a resolution of 3.2 angstroms confirmed that it retains the prefusion spike conformation. High-yield production of a stabilized prefusion spike protein will accelerate the development of vaccines and serological diagnostics for severe acute respiratory syndrome coronavirus 2 (SARS-CoV-2).","author":[{"dropping-particle":"","family":"Hsieh","given":"Ching Lin","non-dropping-particle":"","parse-names":false,"suffix":""},{"dropping-particle":"","family":"Goldsmith","given":"Jory A.","non-dropping-particle":"","parse-names":false,"suffix":""},{"dropping-particle":"","family":"Schaub","given":"Jeffrey M.","non-dropping-particle":"","parse-names":false,"suffix":""},{"dropping-particle":"","family":"DiVenere","given":"Andrea M.","non-dropping-particle":"","parse-names":false,"suffix":""},{"dropping-particle":"","family":"Kuo","given":"Hung Che","non-dropping-particle":"","parse-names":false,"suffix":""},{"dropping-particle":"","family":"Javanmardi","given":"Kamyab","non-dropping-particle":"","parse-names":false,"suffix":""},{"dropping-particle":"","family":"Le","given":"Kevin C.","non-dropping-particle":"","parse-names":false,"suffix":""},{"dropping-particle":"","family":"Wrapp","given":"Daniel","non-dropping-particle":"","parse-names":false,"suffix":""},{"dropping-particle":"","family":"Lee","given":"Alison G.","non-dropping-particle":"","parse-names":false,"suffix":""},{"dropping-particle":"","family":"Liu","given":"Yutong","non-dropping-particle":"","parse-names":false,"suffix":""},{"dropping-particle":"","family":"Chou","given":"Chia Wei","non-dropping-particle":"","parse-names":false,"suffix":""},{"dropping-particle":"","family":"Byrne","given":"Patrick O.","non-dropping-particle":"","parse-names":false,"suffix":""},{"dropping-particle":"","family":"Hjorth","given":"Christy K.","non-dropping-particle":"","parse-names":false,"suffix":""},{"dropping-particle":"V.","family":"Johnson","given":"Nicole","non-dropping-particle":"","parse-names":false,"suffix":""},{"dropping-particle":"","family":"Ludes-Meyers","given":"John","non-dropping-particle":"","parse-names":false,"suffix":""},{"dropping-particle":"","family":"Nguyen","given":"Annalee W.","non-dropping-particle":"","parse-names":false,"suffix":""},{"dropping-particle":"","family":"Park","given":"Juyeon","non-dropping-particle":"","parse-names":false,"suffix":""},{"dropping-particle":"","family":"Wang","given":"Nianshuang","non-dropping-particle":"","parse-names":false,"suffix":""},{"dropping-particle":"","family":"Amengor","given":"Dzifa","non-dropping-particle":"","parse-names":false,"suffix":""},{"dropping-particle":"","family":"Lavinder","given":"Jason J.","non-dropping-particle":"","parse-names":false,"suffix":""},{"dropping-particle":"","family":"Ippolito","given":"Gregory C.","non-dropping-particle":"","parse-names":false,"suffix":""},{"dropping-particle":"","family":"Maynard","given":"Jennifer A.","non-dropping-particle":"","parse-names":false,"suffix":""},{"dropping-particle":"","family":"Finkelstein","given":"Ilya J.","non-dropping-particle":"","parse-names":false,"suffix":""},{"dropping-particle":"","family":"McLellan","given":"Jason S.","non-dropping-particle":"","parse-names":false,"suffix":""}],"container-title":"Science","id":"ITEM-3","issue":"6509","issued":{"date-parts":[["2020"]]},"page":"1501-1505","title":"Structure-based design of prefusion-stabilized SARS-CoV-2 spikes","type":"article-journal","volume":"369"},"uris":["http://www.mendeley.com/documents/?uuid=d3d28d19-e517-4111-be68-283c56d2ab36"]},{"id":"ITEM-4","itemData":{"DOI":"10.1126/science.abc1932","ISSN":"10959203","PMID":"32376603","abstract":"The coronavirus disease 2019 (COVID-19) pandemic caused by severe acute respiratory syndrome coronavirus 2 (SARS-CoV-2) has resulted in an unprecedented public health crisis. Because of the novelty of the virus, there are currently no SARS-CoV-2-specific treatments or vaccines available. Therefore, rapid development of effective vaccines against SARS-CoV-2 are urgently needed. Here, we developed a pilot-scale production of PiCoVacc, a purified inactivated SARS-CoV-2 virus vaccine candidate, which induced SARS-CoV-2-specific neutralizing antibodies in mice, rats, and nonhuman primates. These antibodies neutralized 10 representative SARS-CoV-2 strains, suggesting a possible broader neutralizing ability against other strains. Three immunizations using two different doses, 3 or 6 micrograms per dose, provided partial or complete protection in macaques against SARS-CoV-2 challenge, respectively, without observable antibody-dependent enhancement of infection. These data support the clinical development and testing of PiCoVacc for use in humans.","author":[{"dropping-particle":"","family":"Gao","given":"Qiang","non-dropping-particle":"","parse-names":false,"suffix":""},{"dropping-particle":"","family":"Bao","given":"Linlin","non-dropping-particle":"","parse-names":false,"suffix":""},{"dropping-particle":"","family":"Mao","given":"Haiyan","non-dropping-particle":"","parse-names":false,"suffix":""},{"dropping-particle":"","family":"Wang","given":"Lin","non-dropping-particle":"","parse-names":false,"suffix":""},{"dropping-particle":"","family":"Xu","given":"Kangwei","non-dropping-particle":"","parse-names":false,"suffix":""},{"dropping-particle":"","family":"Yang","given":"Minnan","non-dropping-particle":"","parse-names":false,"suffix":""},{"dropping-particle":"","family":"Li","given":"Yajing","non-dropping-particle":"","parse-names":false,"suffix":""},{"dropping-particle":"","family":"Zhu","given":"Ling","non-dropping-particle":"","parse-names":false,"suffix":""},{"dropping-particle":"","family":"Wang","given":"Nan","non-dropping-particle":"","parse-names":false,"suffix":""},{"dropping-particle":"","family":"Lv","given":"Zhe","non-dropping-particle":"","parse-names":false,"suffix":""},{"dropping-particle":"","family":"Gao","given":"Hong","non-dropping-particle":"","parse-names":false,"suffix":""},{"dropping-particle":"","family":"Ge","given":"Xiaoqin","non-dropping-particle":"","parse-names":false,"suffix":""},{"dropping-particle":"","family":"Kan","given":"Biao","non-dropping-particle":"","parse-names":false,"suffix":""},{"dropping-particle":"","family":"Hu","given":"Yaling","non-dropping-particle":"","parse-names":false,"suffix":""},{"dropping-particle":"","family":"Liu","given":"Jiangning","non-dropping-particle":"","parse-names":false,"suffix":""},{"dropping-particle":"","family":"Cai","given":"Fang","non-dropping-particle":"","parse-names":false,"suffix":""},{"dropping-particle":"","family":"Jiang","given":"Deyu","non-dropping-particle":"","parse-names":false,"suffix":""},{"dropping-particle":"","family":"Yin","given":"Yanhui","non-dropping-particle":"","parse-names":false,"suffix":""},{"dropping-particle":"","family":"Qin","given":"Chengfeng","non-dropping-particle":"","parse-names":false,"suffix":""},{"dropping-particle":"","family":"Li","given":"Jing","non-dropping-particle":"","parse-names":false,"suffix":""},{"dropping-particle":"","family":"Gong","given":"Xuejie","non-dropping-particle":"","parse-names":false,"suffix":""},{"dropping-particle":"","family":"Lou","given":"Xiuyu","non-dropping-particle":"","parse-names":false,"suffix":""},{"dropping-particle":"","family":"Shi","given":"Wen","non-dropping-particle":"","parse-names":false,"suffix":""},{"dropping-particle":"","family":"Wu","given":"Dongdong","non-dropping-particle":"","parse-names":false,"suffix":""},{"dropping-particle":"","family":"Zhang","given":"Hengming","non-dropping-particle":"","parse-names":false,"suffix":""},{"dropping-particle":"","family":"Zhu","given":"Lang","non-dropping-particle":"","parse-names":false,"suffix":""},{"dropping-particle":"","family":"Deng","given":"Wei","non-dropping-particle":"","parse-names":false,"suffix":""},{"dropping-particle":"","family":"Li","given":"Yurong","non-dropping-particle":"","parse-names":false,"suffix":""},{"dropping-particle":"","family":"Lu","given":"Jinxing","non-dropping-particle":"","parse-names":false,"suffix":""},{"dropping-particle":"","family":"Li","given":"Changgui","non-dropping-particle":"","parse-names":false,"suffix":""},{"dropping-particle":"","family":"Wang","given":"Xiangxi","non-dropping-particle":"","parse-names":false,"suffix":""},{"dropping-particle":"","family":"Yin","given":"Weidong","non-dropping-particle":"","parse-names":false,"suffix":""},{"dropping-particle":"","family":"Zhang","given":"Yanjun","non-dropping-particle":"","parse-names":false,"suffix":""},{"dropping-particle":"","family":"Qin","given":"Chuan","non-dropping-particle":"","parse-names":false,"suffix":""}],"container-title":"Science","id":"ITEM-4","issue":"6499","issued":{"date-parts":[["2020"]]},"page":"77-81","title":"Development of an inactivated vaccine candidate for SARS-CoV-2","type":"article-journal","volume":"369"},"uris":["http://www.mendeley.com/documents/?uuid=418f7160-02c7-41d9-b58e-a2a301df9070"]},{"id":"ITEM-5","itemData":{"DOI":"10.1126/science.abb2507","ISSN":"10959203","PMID":"32075877","abstract":"The outbreak of a novel coronavirus (2019-nCoV) represents a pandemic threat that has been declared a public health emergency of international concern. The CoV spike (S) glycoprotein is a key target for vaccines, therapeutic antibodies, and diagnostics. To facilitate medical countermeasure development, we determined a 3.5-angstrom-resolution cryo-electron microscopy structure of the 2019-nCoV S trimer in the prefusion conformation. The predominant state of the trimer has one of the three receptor-binding domains (RBDs) rotated up in a receptor-accessible conformation. We also provide biophysical and structural evidence that the 2019-nCoV S protein binds angiotensin-converting enzyme 2 (ACE2) with higher affinity than does severe acute respiratory syndrome (SARS)-CoV S. Additionally, we tested several published SARS-CoV RBD-specific monoclonal antibodies and found that they do not have appreciable binding to 2019-nCoV S, suggesting that antibody cross-reactivity may be limited between the two RBDs. The structure of 2019-nCoV S should enable the rapid development and evaluation of medical countermeasures to address the ongoing public health crisis.","author":[{"dropping-particle":"","family":"Wrapp","given":"Daniel","non-dropping-particle":"","parse-names":false,"suffix":""},{"dropping-particle":"","family":"Wang","given":"Nianshuang","non-dropping-particle":"","parse-names":false,"suffix":""},{"dropping-particle":"","family":"Corbett","given":"Kizzmekia S.","non-dropping-particle":"","parse-names":false,"suffix":""},{"dropping-particle":"","family":"Goldsmith","given":"Jory A.","non-dropping-particle":"","parse-names":false,"suffix":""},{"dropping-particle":"","family":"Hsieh","given":"Ching Lin","non-dropping-particle":"","parse-names":false,"suffix":""},{"dropping-particle":"","family":"Abiona","given":"Olubukola","non-dropping-particle":"","parse-names":false,"suffix":""},{"dropping-particle":"","family":"Graham","given":"Barney S.","non-dropping-particle":"","parse-names":false,"suffix":""},{"dropping-particle":"","family":"McLellan","given":"Jason S.","non-dropping-particle":"","parse-names":false,"suffix":""}],"container-title":"Science","id":"ITEM-5","issue":"6483","issued":{"date-parts":[["2020"]]},"page":"1260-1263","title":"Cryo-EM structure of the 2019-nCoV spike in the prefusion conformation","type":"article-journal","volume":"367"},"uris":["http://www.mendeley.com/documents/?uuid=f7160f7d-2d82-4a0a-b66f-1211c4e35985"]}],"mendeley":{"formattedCitation":"&lt;sup&gt;24–28&lt;/sup&gt;","plainTextFormattedCitation":"24–28","previouslyFormattedCitation":"&lt;sup&gt;24–28&lt;/sup&gt;"},"properties":{"noteIndex":0},"schema":"https://github.com/citation-style-language/schema/raw/master/csl-citation.json"}</w:instrText>
      </w:r>
      <w:r w:rsidR="000C23C6" w:rsidRPr="006B3D43">
        <w:rPr>
          <w:rFonts w:ascii="Arial" w:hAnsi="Arial" w:cs="Arial"/>
          <w:sz w:val="24"/>
          <w:szCs w:val="24"/>
        </w:rPr>
        <w:fldChar w:fldCharType="separate"/>
      </w:r>
      <w:r w:rsidR="007774B6" w:rsidRPr="007774B6">
        <w:rPr>
          <w:rFonts w:ascii="Arial" w:hAnsi="Arial" w:cs="Arial"/>
          <w:noProof/>
          <w:sz w:val="24"/>
          <w:szCs w:val="24"/>
          <w:vertAlign w:val="superscript"/>
        </w:rPr>
        <w:t>24–28</w:t>
      </w:r>
      <w:r w:rsidR="000C23C6" w:rsidRPr="006B3D43">
        <w:rPr>
          <w:rFonts w:ascii="Arial" w:hAnsi="Arial" w:cs="Arial"/>
          <w:sz w:val="24"/>
          <w:szCs w:val="24"/>
        </w:rPr>
        <w:fldChar w:fldCharType="end"/>
      </w:r>
      <w:r w:rsidRPr="006B3D43">
        <w:rPr>
          <w:rFonts w:ascii="Arial" w:hAnsi="Arial" w:cs="Arial"/>
          <w:sz w:val="24"/>
          <w:szCs w:val="24"/>
        </w:rPr>
        <w:t>.</w:t>
      </w:r>
      <w:r w:rsidR="00835551" w:rsidRPr="006B3D43">
        <w:rPr>
          <w:rFonts w:ascii="Arial" w:hAnsi="Arial" w:cs="Arial"/>
          <w:sz w:val="24"/>
          <w:szCs w:val="24"/>
        </w:rPr>
        <w:t xml:space="preserve"> Immunogen glycosylation can be influenced by factors specific to the manufacturing con</w:t>
      </w:r>
      <w:r w:rsidR="007924F9" w:rsidRPr="006B3D43">
        <w:rPr>
          <w:rFonts w:ascii="Arial" w:hAnsi="Arial" w:cs="Arial"/>
          <w:sz w:val="24"/>
          <w:szCs w:val="24"/>
        </w:rPr>
        <w:t>ditions such as cell type</w:t>
      </w:r>
      <w:r w:rsidR="00E6662E" w:rsidRPr="006B3D43">
        <w:rPr>
          <w:rFonts w:ascii="Arial" w:hAnsi="Arial" w:cs="Arial"/>
          <w:sz w:val="24"/>
          <w:szCs w:val="24"/>
        </w:rPr>
        <w:t xml:space="preserve"> or </w:t>
      </w:r>
      <w:r w:rsidR="007924F9" w:rsidRPr="006B3D43">
        <w:rPr>
          <w:rFonts w:ascii="Arial" w:hAnsi="Arial" w:cs="Arial"/>
          <w:sz w:val="24"/>
          <w:szCs w:val="24"/>
        </w:rPr>
        <w:t>cell culture conditions</w:t>
      </w:r>
      <w:r w:rsidR="002C75C9">
        <w:rPr>
          <w:rFonts w:ascii="Arial" w:hAnsi="Arial" w:cs="Arial"/>
          <w:sz w:val="24"/>
          <w:szCs w:val="24"/>
        </w:rPr>
        <w:t xml:space="preserve"> </w:t>
      </w:r>
      <w:r w:rsidR="00E11CF8" w:rsidRPr="006B3D43">
        <w:rPr>
          <w:rFonts w:ascii="Arial" w:hAnsi="Arial" w:cs="Arial"/>
          <w:sz w:val="24"/>
          <w:szCs w:val="24"/>
        </w:rPr>
        <w:fldChar w:fldCharType="begin" w:fldLock="1"/>
      </w:r>
      <w:r w:rsidR="006F1875">
        <w:rPr>
          <w:rFonts w:ascii="Arial" w:hAnsi="Arial" w:cs="Arial"/>
          <w:sz w:val="24"/>
          <w:szCs w:val="24"/>
        </w:rPr>
        <w:instrText>ADDIN CSL_CITATION {"citationItems":[{"id":"ITEM-1","itemData":{"DOI":"10.1016/j.copbio.2014.06.010","ISSN":"18790429","PMID":"25005678","abstract":"Non-human mammalian cells such as CHO have been used predominantly for the production of biopharmaceuticals including monoclonal antibodies (Mabs). Although the glycosylation profile of these products is 'human-like' there is still the possibility of immunogenic epitopes such as α-Gal and Neu5Gc. Human cell lines have now been designed for high productivity of recombinant proteins and ensuring authentic glycosylation patterns. The control of glycosylation on such proteins is important for the efficacy of recombinant biopharmaceuticals as well as the immunogenic properties of viral vaccines such as influenza. We are now starting to understand some of the relationships between the structure of glycans and the function bestowed on the associated protein. This has promoted cell culture technologies for the targeted control of glycosylation to produce pre-determined glycan profiles of secreted products. © 2014 Elsevier Ltd.","author":[{"dropping-particle":"","family":"Butler","given":"Michael","non-dropping-particle":"","parse-names":false,"suffix":""},{"dropping-particle":"","family":"Spearman","given":"Maureen","non-dropping-particle":"","parse-names":false,"suffix":""}],"container-title":"Current Opinion in Biotechnology","id":"ITEM-1","issued":{"date-parts":[["2014"]]},"page":"107-112","title":"The choice of mammalian cell host and possibilities for glycosylation engineering","type":"article","volume":"30"},"uris":["http://www.mendeley.com/documents/?uuid=405d634a-0038-4a99-946c-fe7edf19e673"]},{"id":"ITEM-2","itemData":{"DOI":"10.1007/s10616-005-4537-x","ISSN":"09209069","abstract":"Many biopharmaceuticals are now produced as secreted glycoproteins from mammalian cell culture. The glycosylation profile of these proteins is essential to ensure structural stability and biological and clinical activity. However, the ability to control the glycosylation is limited by our understanding of the parameters that affect the heterogeneity of added glycan structures. It is clear that the glycosylation process is affected by a number of factors including the 3-dimensional structure of the protein, the enzyme repertoire of the host cell, the transit time in the Golgi and the availability of intracellular sugar-nucleotide donors. From a process development perspective there are many culture parameters that can be controlled to enable a consistent glycosylation profile to emerge from each batch culture. A further, but more difficult goal is to control the culture conditions to enable the enrichment of specific glycoforms identified with desirable biological activities. The purpose of this paper is to discuss the cellular metabolism associated with protein glycosylation and review the attempts to manipulate, control or engineer this metabolism to allow the expression of human glycosylation profiles in producer lines such as genetically engineered Chinese hamster ovary (CHO) cells. © Springer 2006.","author":[{"dropping-particle":"","family":"Butler","given":"M.","non-dropping-particle":"","parse-names":false,"suffix":""}],"container-title":"Cytotechnology","id":"ITEM-2","issue":"1-3","issued":{"date-parts":[["2006"]]},"page":"57-76","title":"Optimisation of the cellular metabolism of glycosylation for recombinant proteins produced by mammalian cell systems","type":"article","volume":"50"},"uris":["http://www.mendeley.com/documents/?uuid=f835623b-c811-464f-a84c-a627af916e8c"]}],"mendeley":{"formattedCitation":"&lt;sup&gt;29,30&lt;/sup&gt;","plainTextFormattedCitation":"29,30","previouslyFormattedCitation":"&lt;sup&gt;29,30&lt;/sup&gt;"},"properties":{"noteIndex":0},"schema":"https://github.com/citation-style-language/schema/raw/master/csl-citation.json"}</w:instrText>
      </w:r>
      <w:r w:rsidR="00E11CF8" w:rsidRPr="006B3D43">
        <w:rPr>
          <w:rFonts w:ascii="Arial" w:hAnsi="Arial" w:cs="Arial"/>
          <w:sz w:val="24"/>
          <w:szCs w:val="24"/>
        </w:rPr>
        <w:fldChar w:fldCharType="separate"/>
      </w:r>
      <w:r w:rsidR="006F1875" w:rsidRPr="006F1875">
        <w:rPr>
          <w:rFonts w:ascii="Arial" w:hAnsi="Arial" w:cs="Arial"/>
          <w:noProof/>
          <w:sz w:val="24"/>
          <w:szCs w:val="24"/>
          <w:vertAlign w:val="superscript"/>
        </w:rPr>
        <w:t>29,30</w:t>
      </w:r>
      <w:r w:rsidR="00E11CF8" w:rsidRPr="006B3D43">
        <w:rPr>
          <w:rFonts w:ascii="Arial" w:hAnsi="Arial" w:cs="Arial"/>
          <w:sz w:val="24"/>
          <w:szCs w:val="24"/>
        </w:rPr>
        <w:fldChar w:fldCharType="end"/>
      </w:r>
      <w:r w:rsidR="00976A3D">
        <w:rPr>
          <w:rFonts w:ascii="Arial" w:hAnsi="Arial" w:cs="Arial"/>
          <w:sz w:val="24"/>
          <w:szCs w:val="24"/>
        </w:rPr>
        <w:t>, h</w:t>
      </w:r>
      <w:r w:rsidR="007924F9" w:rsidRPr="006B3D43">
        <w:rPr>
          <w:rFonts w:ascii="Arial" w:hAnsi="Arial" w:cs="Arial"/>
          <w:sz w:val="24"/>
          <w:szCs w:val="24"/>
        </w:rPr>
        <w:t xml:space="preserve">owever, construct design and protein architecture can also have substantial impact. For example, under-processed oligomannose-sites can occur at sites sterically hidden </w:t>
      </w:r>
      <w:r w:rsidR="007924F9" w:rsidRPr="006B3D43">
        <w:rPr>
          <w:rFonts w:ascii="Arial" w:hAnsi="Arial" w:cs="Arial"/>
          <w:sz w:val="24"/>
          <w:szCs w:val="24"/>
        </w:rPr>
        <w:lastRenderedPageBreak/>
        <w:t>from the host mannosidase by the tertiary or quaternary architecture including obfuscation by neighboring protein and glycan structure</w:t>
      </w:r>
      <w:r w:rsidR="002C75C9">
        <w:rPr>
          <w:rFonts w:ascii="Arial" w:hAnsi="Arial" w:cs="Arial"/>
          <w:sz w:val="24"/>
          <w:szCs w:val="24"/>
        </w:rPr>
        <w:t xml:space="preserve"> </w:t>
      </w:r>
      <w:r w:rsidR="002C5BAB" w:rsidRPr="006B3D43">
        <w:rPr>
          <w:rFonts w:ascii="Arial" w:hAnsi="Arial" w:cs="Arial"/>
          <w:sz w:val="24"/>
          <w:szCs w:val="24"/>
        </w:rPr>
        <w:fldChar w:fldCharType="begin" w:fldLock="1"/>
      </w:r>
      <w:r w:rsidR="007774B6">
        <w:rPr>
          <w:rFonts w:ascii="Arial" w:hAnsi="Arial" w:cs="Arial"/>
          <w:sz w:val="24"/>
          <w:szCs w:val="24"/>
        </w:rPr>
        <w:instrText>ADDIN CSL_CITATION {"citationItems":[{"id":"ITEM-1","itemData":{"DOI":"10.1021/acscentsci.0c01056","ISSN":"23747951","abstract":"The ongoing COVID-19 pandemic caused by severe acute respiratory syndrome coronavirus 2 (SARS-CoV-2) has resulted in more than 28,000,000 infections and 900,000 deaths worldwide to date. Antibody development efforts mainly revolve around the extensively glycosylated SARS-CoV-2 spike (S) protein, which mediates host cell entry by binding to the angiotensin-converting enzyme 2 (ACE2). Similar to many other viral fusion proteins, the SARS-CoV-2 spike utilizes a glycan shield to thwart the host immune response. Here, we built a full-length model of the glycosylated SARS-CoV-2 S protein, both in the open and closed states, augmenting the available structural and biological data. Multiple microsecond-long, all-atom molecular dynamics simulations were used to provide an atomistic perspective on the roles of glycans and on the protein structure and dynamics. We reveal an essential structural role of N-glycans at sites N165 and N234 in modulating the conformational dynamics of the spike's receptor binding domain (RBD), which is responsible for ACE2 recognition. This finding is corroborated by biolayer interferometry experiments, which show that deletion of these glycans through N165A and N234A mutations significantly reduces binding to ACE2 as a result of the RBD conformational shift toward the “down” state. Additionally, end-to-end accessibility analyses outline a complete overview of the vulnerabilities of the glycan shield of the SARS-CoV-2 S protein, which may be exploited in the therapeutic efforts targeting this molecular machine. Overall, this work presents hitherto unseen functional and structural insights into the SARS-CoV-2 S protein and its glycan coat, providing a strategy to control the conformational plasticity of the RBD that could be harnessed for vaccine development.","author":[{"dropping-particle":"","family":"Casalino","given":"Lorenzo","non-dropping-particle":"","parse-names":false,"suffix":""},{"dropping-particle":"","family":"Gaieb","given":"Zied","non-dropping-particle":"","parse-names":false,"suffix":""},{"dropping-particle":"","family":"Goldsmith","given":"Jory A.","non-dropping-particle":"","parse-names":false,"suffix":""},{"dropping-particle":"","family":"Hjorth","given":"Christy K.","non-dropping-particle":"","parse-names":false,"suffix":""},{"dropping-particle":"","family":"Dommer","given":"Abigail C.","non-dropping-particle":"","parse-names":false,"suffix":""},{"dropping-particle":"","family":"Harbison","given":"Aoife M.","non-dropping-particle":"","parse-names":false,"suffix":""},{"dropping-particle":"","family":"Fogarty","given":"Carl A.","non-dropping-particle":"","parse-names":false,"suffix":""},{"dropping-particle":"","family":"Barros","given":"Emilia P.","non-dropping-particle":"","parse-names":false,"suffix":""},{"dropping-particle":"","family":"Taylor","given":"Bryn C.","non-dropping-particle":"","parse-names":false,"suffix":""},{"dropping-particle":"","family":"Mclellan","given":"Jason S.","non-dropping-particle":"","parse-names":false,"suffix":""},{"dropping-particle":"","family":"Fadda","given":"Elisa","non-dropping-particle":"","parse-names":false,"suffix":""},{"dropping-particle":"","family":"Amaro","given":"Rommie E.","non-dropping-particle":"","parse-names":false,"suffix":""}],"container-title":"ACS Central Science","id":"ITEM-1","issue":"10","issued":{"date-parts":[["2020","10","28"]]},"page":"1722-1734","publisher":"American Chemical Society","title":"Beyond shielding: The roles of glycans in the SARS-CoV-2 spike protein","type":"article-journal","volume":"6"},"uris":["http://www.mendeley.com/documents/?uuid=6bd2407c-82b5-3f0d-8499-c4e83897aa16"]},{"id":"ITEM-2","itemData":{"DOI":"10.1016/j.sbi.2017.03.008","ISSN":"1879033X","PMID":"28363124","abstract":"The heavily glycosylated, trimeric HIV-1 envelope (Env) protein is the sole viral protein exposed on the HIV-1 virion surface and is thus a main focus of antibody-mediated vaccine development. Dense glycosylation at the outer domain of Env constrains normal enzymatic processing, stalling the glycans at immature oligomannose-type structures. Furthermore, native trimerization imposes additional steric constraints, which generate an extensive ‘trimer-induced mannose patch’. Importantly, the immature glycans present a highly conserved feature of the virus that is targeted by broadly neutralizing antibodies. Quantitative mass spectrometry of glycopeptides together with structures of the trimeric viral-spike define the steric principles controlling processing and provide a detailed map of the glycan shield.","author":[{"dropping-particle":"","family":"Behrens","given":"Anna Janina","non-dropping-particle":"","parse-names":false,"suffix":""},{"dropping-particle":"","family":"Crispin","given":"Max","non-dropping-particle":"","parse-names":false,"suffix":""}],"container-title":"Current Opinion in Structural Biology","id":"ITEM-2","issued":{"date-parts":[["2017"]]},"page":"125-133","title":"Structural principles controlling HIV envelope glycosylation","type":"article","volume":"44"},"uris":["http://www.mendeley.com/documents/?uuid=ec45cab7-7af2-4d30-928e-22f686f6f88a"]}],"mendeley":{"formattedCitation":"&lt;sup&gt;18,31&lt;/sup&gt;","plainTextFormattedCitation":"18,31","previouslyFormattedCitation":"&lt;sup&gt;18,31&lt;/sup&gt;"},"properties":{"noteIndex":0},"schema":"https://github.com/citation-style-language/schema/raw/master/csl-citation.json"}</w:instrText>
      </w:r>
      <w:r w:rsidR="002C5BAB" w:rsidRPr="006B3D43">
        <w:rPr>
          <w:rFonts w:ascii="Arial" w:hAnsi="Arial" w:cs="Arial"/>
          <w:sz w:val="24"/>
          <w:szCs w:val="24"/>
        </w:rPr>
        <w:fldChar w:fldCharType="separate"/>
      </w:r>
      <w:r w:rsidR="007774B6" w:rsidRPr="007774B6">
        <w:rPr>
          <w:rFonts w:ascii="Arial" w:hAnsi="Arial" w:cs="Arial"/>
          <w:noProof/>
          <w:sz w:val="24"/>
          <w:szCs w:val="24"/>
          <w:vertAlign w:val="superscript"/>
        </w:rPr>
        <w:t>18,31</w:t>
      </w:r>
      <w:r w:rsidR="002C5BAB" w:rsidRPr="006B3D43">
        <w:rPr>
          <w:rFonts w:ascii="Arial" w:hAnsi="Arial" w:cs="Arial"/>
          <w:sz w:val="24"/>
          <w:szCs w:val="24"/>
        </w:rPr>
        <w:fldChar w:fldCharType="end"/>
      </w:r>
      <w:r w:rsidR="007924F9" w:rsidRPr="006B3D43">
        <w:rPr>
          <w:rFonts w:ascii="Arial" w:hAnsi="Arial" w:cs="Arial"/>
          <w:sz w:val="24"/>
          <w:szCs w:val="24"/>
        </w:rPr>
        <w:t xml:space="preserve">. Immunogens displaying native-like architecture recapitulate these sites of oligomannose glycosylation. Conversely, immunogen design can adversely impact the presentation of native-like glycosylation. </w:t>
      </w:r>
      <w:r w:rsidR="00223B53" w:rsidRPr="006B3D43">
        <w:rPr>
          <w:rFonts w:ascii="Arial" w:hAnsi="Arial" w:cs="Arial"/>
          <w:sz w:val="24"/>
          <w:szCs w:val="24"/>
        </w:rPr>
        <w:t xml:space="preserve">Importantly, despite the differences in biosynthesis of S protein in virions and </w:t>
      </w:r>
      <w:r w:rsidR="00BD3A52">
        <w:rPr>
          <w:rFonts w:ascii="Arial" w:hAnsi="Arial" w:cs="Arial"/>
          <w:sz w:val="24"/>
          <w:szCs w:val="24"/>
        </w:rPr>
        <w:t>from mammalian expression systems</w:t>
      </w:r>
      <w:r w:rsidR="00223B53" w:rsidRPr="006B3D43">
        <w:rPr>
          <w:rFonts w:ascii="Arial" w:hAnsi="Arial" w:cs="Arial"/>
          <w:sz w:val="24"/>
          <w:szCs w:val="24"/>
        </w:rPr>
        <w:t xml:space="preserve"> </w:t>
      </w:r>
      <w:r w:rsidR="00BD3A52">
        <w:rPr>
          <w:rFonts w:ascii="Arial" w:hAnsi="Arial" w:cs="Arial"/>
          <w:sz w:val="24"/>
          <w:szCs w:val="24"/>
        </w:rPr>
        <w:t>they seem</w:t>
      </w:r>
      <w:r w:rsidR="00223B53" w:rsidRPr="006B3D43">
        <w:rPr>
          <w:rFonts w:ascii="Arial" w:hAnsi="Arial" w:cs="Arial"/>
          <w:sz w:val="24"/>
          <w:szCs w:val="24"/>
        </w:rPr>
        <w:t xml:space="preserve"> to generate broadly similar glycosylation</w:t>
      </w:r>
      <w:r w:rsidR="002C75C9">
        <w:rPr>
          <w:rFonts w:ascii="Arial" w:hAnsi="Arial" w:cs="Arial"/>
          <w:sz w:val="24"/>
          <w:szCs w:val="24"/>
        </w:rPr>
        <w:t xml:space="preserve"> </w:t>
      </w:r>
      <w:r w:rsidR="00223B53">
        <w:rPr>
          <w:rFonts w:ascii="Arial" w:hAnsi="Arial" w:cs="Arial"/>
          <w:sz w:val="24"/>
          <w:szCs w:val="24"/>
        </w:rPr>
        <w:fldChar w:fldCharType="begin" w:fldLock="1"/>
      </w:r>
      <w:r w:rsidR="007774B6">
        <w:rPr>
          <w:rFonts w:ascii="Arial" w:hAnsi="Arial" w:cs="Arial"/>
          <w:sz w:val="24"/>
          <w:szCs w:val="24"/>
        </w:rPr>
        <w:instrText xml:space="preserve">ADDIN CSL_CITATION {"citationItems":[{"id":"ITEM-1","itemData":{"DOI":"10.1016/j.cell.2020.09.018","ISSN":"10974172","PMID":"32979942","abstract":"SARS-CoV-2 is an enveloped virus responsible for the COVID-19 pandemic. Despite recent advances in the structural elucidation of SARS-CoV-2 proteins, the detailed architecture of the intact virus remains to be unveiled. Here we report the molecular assembly of the authentic SARS-CoV-2 virus using cryoelectron tomography (cryo-ET) and subtomogram averaging (STA). Native structures of the S proteins in pre- and postfusion conformations were determined to average resolutions of 8.7–11 Å. Compositions of the N-linked glycans from the native spikes were analyzed by mass spectrometry, which revealed overall processing states of the native glycans highly similar to that of the recombinant glycoprotein glycans. The native conformation of the ribonucleoproteins (RNPs) and their higher-order assemblies were revealed. Overall, these characterizations revealed the architecture of the SARS-CoV-2 virus in exceptional detail and shed light on how the virus packs its </w:instrText>
      </w:r>
      <w:r w:rsidR="007774B6">
        <w:rPr>
          <w:rFonts w:ascii="Cambria Math" w:hAnsi="Cambria Math" w:cs="Cambria Math"/>
          <w:sz w:val="24"/>
          <w:szCs w:val="24"/>
        </w:rPr>
        <w:instrText>∼</w:instrText>
      </w:r>
      <w:r w:rsidR="007774B6">
        <w:rPr>
          <w:rFonts w:ascii="Arial" w:hAnsi="Arial" w:cs="Arial"/>
          <w:sz w:val="24"/>
          <w:szCs w:val="24"/>
        </w:rPr>
        <w:instrText xml:space="preserve">30-kb-long single-segmented RNA in the </w:instrText>
      </w:r>
      <w:r w:rsidR="007774B6">
        <w:rPr>
          <w:rFonts w:ascii="Cambria Math" w:hAnsi="Cambria Math" w:cs="Cambria Math"/>
          <w:sz w:val="24"/>
          <w:szCs w:val="24"/>
        </w:rPr>
        <w:instrText>∼</w:instrText>
      </w:r>
      <w:r w:rsidR="007774B6">
        <w:rPr>
          <w:rFonts w:ascii="Arial" w:hAnsi="Arial" w:cs="Arial"/>
          <w:sz w:val="24"/>
          <w:szCs w:val="24"/>
        </w:rPr>
        <w:instrText>80-nm-diameter lumen.","author":[{"dropping-particle":"","family":"Yao","given":"Hangping","non-dropping-particle":"","parse-names":false,"suffix":""},{"dropping-particle":"","family":"Song","given":"Yutong","non-dropping-particle":"","parse-names":false,"suffix":""},{"dropping-particle":"","family":"Chen","given":"Yong","non-dropping-particle":"","parse-names":false,"suffix":""},{"dropping-particle":"","family":"Wu","given":"Nanping","non-dropping-particle":"","parse-names":false,"suffix":""},{"dropping-particle":"","family":"Xu","given":"Jialu","non-dropping-particle":"","parse-names":false,"suffix":""},{"dropping-particle":"","family":"Sun","given":"Chujie","non-dropping-particle":"","parse-names":false,"suffix":""},{"dropping-particle":"","family":"Zhang","given":"Jiaxing","non-dropping-particle":"","parse-names":false,"suffix":""},{"dropping-particle":"","family":"Weng","given":"Tianhao","non-dropping-particle":"","parse-names":false,"suffix":""},{"dropping-particle":"","family":"Zhang","given":"Zheyuan","non-dropping-particle":"","parse-names":false,"suffix":""},{"dropping-particle":"","family":"Wu","given":"Zhigang","non-dropping-particle":"","parse-names":false,"suffix":""},{"dropping-particle":"","family":"Cheng","given":"Linfang","non-dropping-particle":"","parse-names":false,"suffix":""},{"dropping-particle":"","family":"Shi","given":"Danrong","non-dropping-particle":"","parse-names":false,"suffix":""},{"dropping-particle":"","family":"Lu","given":"Xiangyun","non-dropping-particle":"","parse-names":false,"suffix":""},{"dropping-particle":"","family":"Lei","given":"Jianlin","non-dropping-particle":"","parse-names":false,"suffix":""},{"dropping-particle":"","family":"Crispin","given":"Max","non-dropping-particle":"","parse-names":false,"suffix":""},{"dropping-particle":"","family":"Shi","given":"Yigong","non-dropping-particle":"","parse-names":false,"suffix":""},{"dropping-particle":"","family":"Li","given":"Lanjuan","non-dropping-particle":"","parse-names":false,"suffix":""},{"dropping-particle":"","family":"Li","given":"Sai","non-dropping-particle":"","parse-names":false,"suffix":""}],"container-title":"Cell","id":"ITEM-1","issue":"3","issued":{"date-parts":[["2020","10","29"]]},"page":"730-738.e13","publisher":"Cell Press","title":"Molecular Architecture of the SARS-CoV-2 Virus","type":"article-journal","volume":"183"},"uris":["http://www.mendeley.com/documents/?uuid=4662bd08-c13c-3a08-a219-3bcb464b7393"]}],"mendeley":{"formattedCitation":"&lt;sup&gt;32&lt;/sup&gt;","plainTextFormattedCitation":"32","previouslyFormattedCitation":"&lt;sup&gt;32&lt;/sup&gt;"},"properties":{"noteIndex":0},"schema":"https://github.com/citation-style-language/schema/raw/master/csl-citation.json"}</w:instrText>
      </w:r>
      <w:r w:rsidR="00223B53">
        <w:rPr>
          <w:rFonts w:ascii="Arial" w:hAnsi="Arial" w:cs="Arial"/>
          <w:sz w:val="24"/>
          <w:szCs w:val="24"/>
        </w:rPr>
        <w:fldChar w:fldCharType="separate"/>
      </w:r>
      <w:r w:rsidR="007774B6" w:rsidRPr="007774B6">
        <w:rPr>
          <w:rFonts w:ascii="Arial" w:hAnsi="Arial" w:cs="Arial"/>
          <w:noProof/>
          <w:sz w:val="24"/>
          <w:szCs w:val="24"/>
          <w:vertAlign w:val="superscript"/>
        </w:rPr>
        <w:t>32</w:t>
      </w:r>
      <w:r w:rsidR="00223B53">
        <w:rPr>
          <w:rFonts w:ascii="Arial" w:hAnsi="Arial" w:cs="Arial"/>
          <w:sz w:val="24"/>
          <w:szCs w:val="24"/>
        </w:rPr>
        <w:fldChar w:fldCharType="end"/>
      </w:r>
      <w:r w:rsidR="00223B53" w:rsidRPr="006B3D43">
        <w:rPr>
          <w:rFonts w:ascii="Arial" w:hAnsi="Arial" w:cs="Arial"/>
          <w:sz w:val="24"/>
          <w:szCs w:val="24"/>
        </w:rPr>
        <w:t xml:space="preserve">. </w:t>
      </w:r>
      <w:r w:rsidR="00BD3A52">
        <w:rPr>
          <w:rFonts w:ascii="Arial" w:hAnsi="Arial" w:cs="Arial"/>
          <w:sz w:val="24"/>
          <w:szCs w:val="24"/>
        </w:rPr>
        <w:t>However, the success of a broad range of different vaccine platforms exhibiting different S protein glycosylation,</w:t>
      </w:r>
      <w:r w:rsidR="00976A3D">
        <w:rPr>
          <w:rFonts w:ascii="Arial" w:hAnsi="Arial" w:cs="Arial"/>
          <w:sz w:val="24"/>
          <w:szCs w:val="24"/>
        </w:rPr>
        <w:t xml:space="preserve"> indicate </w:t>
      </w:r>
      <w:r w:rsidR="00BD3A52">
        <w:rPr>
          <w:rFonts w:ascii="Arial" w:hAnsi="Arial" w:cs="Arial"/>
          <w:sz w:val="24"/>
          <w:szCs w:val="24"/>
        </w:rPr>
        <w:t xml:space="preserve">that native-like glycosylation is not a prerequisite for a successful vaccine. Despite this observation, understanding </w:t>
      </w:r>
      <w:r w:rsidR="001C4512">
        <w:rPr>
          <w:rFonts w:ascii="Arial" w:hAnsi="Arial" w:cs="Arial"/>
          <w:sz w:val="24"/>
          <w:szCs w:val="24"/>
        </w:rPr>
        <w:t>S protein</w:t>
      </w:r>
      <w:r w:rsidR="00BD3A52">
        <w:rPr>
          <w:rFonts w:ascii="Arial" w:hAnsi="Arial" w:cs="Arial"/>
          <w:sz w:val="24"/>
          <w:szCs w:val="24"/>
        </w:rPr>
        <w:t xml:space="preserve"> glycosylation </w:t>
      </w:r>
      <w:r w:rsidR="001C4512">
        <w:rPr>
          <w:rFonts w:ascii="Arial" w:hAnsi="Arial" w:cs="Arial"/>
          <w:sz w:val="24"/>
          <w:szCs w:val="24"/>
        </w:rPr>
        <w:t xml:space="preserve">will </w:t>
      </w:r>
      <w:r w:rsidR="00BD3A52">
        <w:rPr>
          <w:rFonts w:ascii="Arial" w:hAnsi="Arial" w:cs="Arial"/>
          <w:sz w:val="24"/>
          <w:szCs w:val="24"/>
        </w:rPr>
        <w:t xml:space="preserve">help benchmark </w:t>
      </w:r>
      <w:r w:rsidR="001C4512">
        <w:rPr>
          <w:rFonts w:ascii="Arial" w:hAnsi="Arial" w:cs="Arial"/>
          <w:sz w:val="24"/>
          <w:szCs w:val="24"/>
        </w:rPr>
        <w:t>material employed in different serological and vaccine studies and help define the impact of this extensive feature of the protein surface.</w:t>
      </w:r>
    </w:p>
    <w:p w14:paraId="1E1A7470" w14:textId="77777777" w:rsidR="008E3882" w:rsidRPr="006B3D43" w:rsidRDefault="008E3882" w:rsidP="00D24650">
      <w:pPr>
        <w:spacing w:line="360" w:lineRule="auto"/>
        <w:contextualSpacing/>
        <w:jc w:val="both"/>
        <w:rPr>
          <w:rFonts w:ascii="Arial" w:hAnsi="Arial" w:cs="Arial"/>
          <w:sz w:val="24"/>
          <w:szCs w:val="24"/>
        </w:rPr>
      </w:pPr>
    </w:p>
    <w:p w14:paraId="043A5929" w14:textId="1A213F82" w:rsidR="00BB283E" w:rsidRDefault="00BB283E" w:rsidP="00EE1000">
      <w:pPr>
        <w:spacing w:before="240" w:line="360" w:lineRule="auto"/>
        <w:ind w:firstLine="720"/>
        <w:contextualSpacing/>
        <w:jc w:val="both"/>
        <w:rPr>
          <w:rFonts w:ascii="Arial" w:hAnsi="Arial" w:cs="Arial"/>
          <w:sz w:val="24"/>
          <w:szCs w:val="24"/>
        </w:rPr>
      </w:pPr>
      <w:r w:rsidRPr="006B3D43">
        <w:rPr>
          <w:rFonts w:ascii="Arial" w:hAnsi="Arial" w:cs="Arial"/>
          <w:sz w:val="24"/>
          <w:szCs w:val="24"/>
        </w:rPr>
        <w:t>The flexible and heterogeneous nature of N-</w:t>
      </w:r>
      <w:r w:rsidR="00AC6F74">
        <w:rPr>
          <w:rFonts w:ascii="Arial" w:hAnsi="Arial" w:cs="Arial"/>
          <w:sz w:val="24"/>
          <w:szCs w:val="24"/>
        </w:rPr>
        <w:t xml:space="preserve">linked </w:t>
      </w:r>
      <w:r w:rsidRPr="006B3D43">
        <w:rPr>
          <w:rFonts w:ascii="Arial" w:hAnsi="Arial" w:cs="Arial"/>
          <w:sz w:val="24"/>
          <w:szCs w:val="24"/>
        </w:rPr>
        <w:t>glycosylation necessitates auxiliary methodologies in addition to cryo-electron microscopy or X-ray crystallography to characterize this key part of the S protein structure. Site-specific glycan analysis employing liquid chromatography-mass spectrometry is a widely used approach to obtain this information</w:t>
      </w:r>
      <w:r w:rsidR="002C75C9">
        <w:rPr>
          <w:rFonts w:ascii="Arial" w:hAnsi="Arial" w:cs="Arial"/>
          <w:sz w:val="24"/>
          <w:szCs w:val="24"/>
        </w:rPr>
        <w:t xml:space="preserve"> </w:t>
      </w:r>
      <w:r w:rsidR="00784FD2" w:rsidRPr="006B3D43">
        <w:rPr>
          <w:rFonts w:ascii="Arial" w:hAnsi="Arial" w:cs="Arial"/>
          <w:sz w:val="24"/>
          <w:szCs w:val="24"/>
        </w:rPr>
        <w:fldChar w:fldCharType="begin" w:fldLock="1"/>
      </w:r>
      <w:r w:rsidR="0070492C">
        <w:rPr>
          <w:rFonts w:ascii="Arial" w:hAnsi="Arial" w:cs="Arial"/>
          <w:sz w:val="24"/>
          <w:szCs w:val="24"/>
        </w:rPr>
        <w:instrText>ADDIN CSL_CITATION {"citationItems":[{"id":"ITEM-1","itemData":{"DOI":"10.1080/14789450.2017.1376658","ISSN":"17448387","PMID":"28870097","abstract":"Introduction: Much of the efforts to develop a vaccine against the human immunodeficiency virus (HIV) have focused on the design of recombinant mimics of the viral attachment glycoprotein (Env). The leading immunogens exhibit native-like antigenic properties and are being investigated for their ability to induce broadly neutralizing antibodies (bNAbs). Understanding the relative abundance of glycans at particular glycosylation sites on these immunogens is important as most bNAbs have evolved to recognize or evade the dense coat of glycans that masks much of the protein surface. Understanding the glycan structures on candidate immunogens enables triaging between native-like conformations and immunogens lacking key structural features as steric constraints limit glycan processing. The sensitivity of the processing state of a particular glycan to its structural environment has led to the need for quantitative glycan profiling and site-specific analysis to probe the structural integrity of immunogens. Areas covered: We review analytical methodologies for HIV immunogen evaluation and discuss how these studies have led to a greater understanding of the structural constraints that control the glycosylation state of the HIV attachment and fusion spike. Expert commentary: Total composition and site-specific glycosylation profiling are emerging as standard methods in the evaluation of Env-based immunogen candidates.","author":[{"dropping-particle":"","family":"Behrens","given":"Anna Janina","non-dropping-particle":"","parse-names":false,"suffix":""},{"dropping-particle":"","family":"Struwe","given":"Weston B.","non-dropping-particle":"","parse-names":false,"suffix":""},{"dropping-particle":"","family":"Crispin","given":"Max","non-dropping-particle":"","parse-names":false,"suffix":""}],"container-title":"Expert Review of Proteomics","id":"ITEM-1","issue":"10","issued":{"date-parts":[["2017"]]},"page":"881-890","title":"Glycosylation profiling to evaluate glycoprotein immunogens against HIV-1","type":"article","volume":"14"},"uris":["http://www.mendeley.com/documents/?uuid=9fbdf82b-f992-4ed9-b6ff-d47a79458c9d"]},{"id":"ITEM-2","itemData":{"DOI":"10.1016/j.bbagen.2019.05.012","ISSN":"18728006","PMID":"31121217","abstract":"Glycosylation is a ubiquitous post-translational modification responsible for a multitude of crucial biological roles. As obligate parasites, viruses exploit host-cell machinery to glycosylate their own proteins during replication. Viral envelope proteins from a variety of human pathogens including HIV-1, influenza virus, Lassa virus, SARS, Zika virus, dengue virus, and Ebola virus have evolved to be extensively glycosylated. These host-cell derived glycans facilitate diverse structural and functional roles during the viral life-cycle, ranging from immune evasion by glycan shielding to enhancement of immune cell infection. In this review, we highlight the imperative and auxiliary roles glycans play, and how specific oligosaccharide structures facilitate these functions during viral pathogenesis. We discuss the growing efforts to exploit viral glycobiology in the development of anti-viral vaccines and therapies.","author":[{"dropping-particle":"","family":"Watanabe","given":"Yasunori","non-dropping-particle":"","parse-names":false,"suffix":""},{"dropping-particle":"","family":"Bowden","given":"Thomas A.","non-dropping-particle":"","parse-names":false,"suffix":""},{"dropping-particle":"","family":"Wilson","given":"Ian A.","non-dropping-particle":"","parse-names":false,"suffix":""},{"dropping-particle":"","family":"Crispin","given":"Max","non-dropping-particle":"","parse-names":false,"suffix":""}],"container-title":"Biochimica et Biophysica Acta - General Subjects","id":"ITEM-2","issue":"10","issued":{"date-parts":[["2019"]]},"page":"1480-1497","title":"Exploitation of glycosylation in enveloped virus pathobiology","type":"article","volume":"1863"},"uris":["http://www.mendeley.com/documents/?uuid=ba90dd79-7606-46ab-840d-f04efd798e92"]},{"id":"ITEM-3","itemData":{"DOI":"10.1016/j.celrep.2016.02.058","ISSN":"22111247","PMID":"26972002","abstract":"The HIV-1 envelope glycoprotein trimer is covered by an array of N-linked glycans that shield it from immune surveillance. The high density of glycans on the trimer surface imposes steric constraints limiting the actions of glycan-processing enzymes, so that multiple under-processed structures remain on specific areas. These oligomannose glycans are recognized by broadly neutralizing antibodies (bNAbs) that are not thwarted by the glycan shield but, paradoxically, target it. Our site-specific glycosylation analysis of a soluble, recombinant trimer (BG505 SOSIP.664) maps the extremes of simplicity and diversity of glycan processing at individual sites and reveals a mosaic of dense clusters of oligomannose glycans on the outer domain. Although individual sites usually minimally affect the global integrity of the glycan shield, we identify examples of how deleting some glycans can subtly influence neutralization by bNAbs that bind at distant sites. The network of bNAb-targeted glycans should be preserved on vaccine antigens.","author":[{"dropping-particle":"","family":"Behrens","given":"Anna Janina","non-dropping-particle":"","parse-names":false,"suffix":""},{"dropping-particle":"","family":"Vasiljevic","given":"Snezana","non-dropping-particle":"","parse-names":false,"suffix":""},{"dropping-particle":"","family":"Pritchard","given":"Laura K.","non-dropping-particle":"","parse-names":false,"suffix":""},{"dropping-particle":"","family":"Harvey","given":"David J.","non-dropping-particle":"","parse-names":false,"suffix":""},{"dropping-particle":"","family":"Andev","given":"Rajinder S.","non-dropping-particle":"","parse-names":false,"suffix":""},{"dropping-particle":"","family":"Krumm","given":"Stefanie A.","non-dropping-particle":"","parse-names":false,"suffix":""},{"dropping-particle":"","family":"Struwe","given":"Weston B.","non-dropping-particle":"","parse-names":false,"suffix":""},{"dropping-particle":"","family":"Cupo","given":"Albert","non-dropping-particle":"","parse-names":false,"suffix":""},{"dropping-particle":"","family":"Kumar","given":"Abhinav","non-dropping-particle":"","parse-names":false,"suffix":""},{"dropping-particle":"","family":"Zitzmann","given":"Nicole","non-dropping-particle":"","parse-names":false,"suffix":""},{"dropping-particle":"","family":"Seabright","given":"Gemma E.","non-dropping-particle":"","parse-names":false,"suffix":""},{"dropping-particle":"","family":"Kramer","given":"Holger B.","non-dropping-particle":"","parse-names":false,"suffix":""},{"dropping-particle":"","family":"Spencer","given":"Daniel I.R.","non-dropping-particle":"","parse-names":false,"suffix":""},{"dropping-particle":"","family":"Royle","given":"Louise","non-dropping-particle":"","parse-names":false,"suffix":""},{"dropping-particle":"","family":"Lee","given":"Jeong Hyun","non-dropping-particle":"","parse-names":false,"suffix":""},{"dropping-particle":"","family":"Klasse","given":"Per J.","non-dropping-particle":"","parse-names":false,"suffix":""},{"dropping-particle":"","family":"Burton","given":"Dennis R.","non-dropping-particle":"","parse-names":false,"suffix":""},{"dropping-particle":"","family":"Wilson","given":"Ian A.","non-dropping-particle":"","parse-names":false,"suffix":""},{"dropping-particle":"","family":"Ward","given":"Andrew B.","non-dropping-particle":"","parse-names":false,"suffix":""},{"dropping-particle":"","family":"Sanders","given":"Rogier W.","non-dropping-particle":"","parse-names":false,"suffix":""},{"dropping-particle":"","family":"Moore","given":"John P.","non-dropping-particle":"","parse-names":false,"suffix":""},{"dropping-particle":"","family":"Doores","given":"Katie J.","non-dropping-particle":"","parse-names":false,"suffix":""},{"dropping-particle":"","family":"Crispin","given":"Max","non-dropping-particle":"","parse-names":false,"suffix":""}],"container-title":"Cell Reports","id":"ITEM-3","issue":"11","issued":{"date-parts":[["2016"]]},"page":"2695-2706","title":"Composition and Antigenic Effects of Individual Glycan Sites of a Trimeric HIV-1 Envelope Glycoprotein","type":"article-journal","volume":"14"},"uris":["http://www.mendeley.com/documents/?uuid=bdfed505-fff6-4d3b-b72b-a073019acff6"]},{"id":"ITEM-4","itemData":{"DOI":"10.1002/mas.21629","ISSN":"0277-7037","PMID":"32350911","abstract":"The advancement of viral glycomics has paralleled that of the mass spectrometry glycomics toolbox. In some regard the glycoproteins studied have provided the impetus for this advancement. Viral proteins are often highly glycosylated, especially those targeted by the host immune system. Glycosylation tends to be dynamic over time as viruses propagate in host populations leading to increased number of and/or “movement” of glycosylation sites in response to the immune system and other pressures. This relationship can lead to highly glycosylated, difficult to analyze glycoproteins that challenge the capabilities of modern mass spectrometry. In this review, we briefly discuss five general areas where glycosylation is important in the viral niche and how mass spectrometry has been used to reveal key information regarding structure–function relationships between viral glycoproteins and host cells. We describe the recent past and current glycomics toolbox used in these analyses and give examples of how the requirement to analyze these complex glycoproteins has provided the incentive for some advances seen in glycomics mass spectrometry. A general overview of viral glycomics, special cases, mass spectrometry methods and work-flows, informatics and complementary chemical techniques currently used are discussed. © 2020 The Authors. Mass Spectrometry Reviews published by John Wiley &amp; Sons Ltd. Mass Spec Rev.","author":[{"dropping-particle":"","family":"Cipollo","given":"John F.","non-dropping-particle":"","parse-names":false,"suffix":""},{"dropping-particle":"","family":"Parsons","given":"Lisa M.","non-dropping-particle":"","parse-names":false,"suffix":""}],"container-title":"Mass Spectrometry Reviews","id":"ITEM-4","issue":"4","issued":{"date-parts":[["2020","7","29"]]},"page":"371-409","publisher":"John Wiley and Sons Inc.","title":"Glycomics and glycoproteomics of viruses: Mass spectrometry applications and insights toward structure–function relationships","type":"article-journal","volume":"39"},"uris":["http://www.mendeley.com/documents/?uuid=d757c09e-88b0-3a6b-a1f8-c29d5160d212"]},{"id":"ITEM-5","itemData":{"DOI":"10.1093/glycob/cwy021","ISSN":"14602423","PMID":"29579213","abstract":"Enveloped viruses encompass some of the most common human pathogens causing infections of different severity, ranging from no or very few symptoms to lethal disease as seen with the viral hemorrhagic fevers. All enveloped viruses possess an envelope membrane derived from the host cell, modified with often heavily glycosylated virally encoded glycoproteins important for infectivity, viral particle formation and immune evasion. While N-linked glycosylation of viral envelope proteins is well characterized with respect to location, structure and site occupancy, information on mucin-type O-glycosylation of these proteins is less comprehensive. Studies on viral glycosylation are often limited to analysis of recombinant proteins that in most cases are produced in cell lines with a glycosylation capacity different from the capacity of the host cells. The glycosylation pattern of the produced recombinant glycoproteins might therefore be different from the pattern on native viral proteins. In this review, we provide a historical perspective on analysis of viral glycosylation, and summarize known roles of glycans in the biology of enveloped human viruses. In addition, we describe how to overcome the analytical limitations by using a global approach based on mass spectrometry to identify viral O-glycosylation in virus-infected cell lysates using the complex enveloped virus herpes simplex virus type 1 as a model. We underscore that glycans often pay important contributions to overall protein structure, function and immune recognition, and that glycans represent a crucial determinant for vaccine design. High throughput analysis of glycosylation on relevant glycoprotein formulations, as well as data compilation and sharing is therefore important to identify consensus glycosylation patterns for translational applications.","author":[{"dropping-particle":"","family":"Bagdonaite","given":"Ieva","non-dropping-particle":"","parse-names":false,"suffix":""},{"dropping-particle":"","family":"Wandall","given":"Hans H.","non-dropping-particle":"","parse-names":false,"suffix":""}],"container-title":"Glycobiology","id":"ITEM-5","issue":"7","issued":{"date-parts":[["2018","7","1"]]},"page":"443-467","publisher":"Oxford University Press","title":"Global aspects of viral glycosylation","type":"article","volume":"28"},"uris":["http://www.mendeley.com/documents/?uuid=4345f020-e11a-3912-b5c6-3164c268f61d"]}],"mendeley":{"formattedCitation":"&lt;sup&gt;33–37&lt;/sup&gt;","plainTextFormattedCitation":"33–37","previouslyFormattedCitation":"&lt;sup&gt;33–37&lt;/sup&gt;"},"properties":{"noteIndex":0},"schema":"https://github.com/citation-style-language/schema/raw/master/csl-citation.json"}</w:instrText>
      </w:r>
      <w:r w:rsidR="00784FD2" w:rsidRPr="006B3D43">
        <w:rPr>
          <w:rFonts w:ascii="Arial" w:hAnsi="Arial" w:cs="Arial"/>
          <w:sz w:val="24"/>
          <w:szCs w:val="24"/>
        </w:rPr>
        <w:fldChar w:fldCharType="separate"/>
      </w:r>
      <w:r w:rsidR="007774B6" w:rsidRPr="007774B6">
        <w:rPr>
          <w:rFonts w:ascii="Arial" w:hAnsi="Arial" w:cs="Arial"/>
          <w:noProof/>
          <w:sz w:val="24"/>
          <w:szCs w:val="24"/>
          <w:vertAlign w:val="superscript"/>
        </w:rPr>
        <w:t>33–37</w:t>
      </w:r>
      <w:r w:rsidR="00784FD2" w:rsidRPr="006B3D43">
        <w:rPr>
          <w:rFonts w:ascii="Arial" w:hAnsi="Arial" w:cs="Arial"/>
          <w:sz w:val="24"/>
          <w:szCs w:val="24"/>
        </w:rPr>
        <w:fldChar w:fldCharType="end"/>
      </w:r>
      <w:r w:rsidR="00784FD2" w:rsidRPr="006B3D43">
        <w:rPr>
          <w:rFonts w:ascii="Arial" w:hAnsi="Arial" w:cs="Arial"/>
          <w:sz w:val="24"/>
          <w:szCs w:val="24"/>
        </w:rPr>
        <w:t>.</w:t>
      </w:r>
      <w:r w:rsidR="00E96F66">
        <w:rPr>
          <w:rFonts w:ascii="Arial" w:hAnsi="Arial" w:cs="Arial"/>
          <w:sz w:val="24"/>
          <w:szCs w:val="24"/>
        </w:rPr>
        <w:t xml:space="preserve"> </w:t>
      </w:r>
      <w:r w:rsidR="001562F0">
        <w:rPr>
          <w:rFonts w:ascii="Arial" w:hAnsi="Arial" w:cs="Arial"/>
          <w:sz w:val="24"/>
          <w:szCs w:val="24"/>
        </w:rPr>
        <w:t xml:space="preserve">As research into the structure and function of the SARS-CoV-2 S protein </w:t>
      </w:r>
      <w:r w:rsidR="00BD47A0">
        <w:rPr>
          <w:rFonts w:ascii="Arial" w:hAnsi="Arial" w:cs="Arial"/>
          <w:sz w:val="24"/>
          <w:szCs w:val="24"/>
        </w:rPr>
        <w:t xml:space="preserve">has </w:t>
      </w:r>
      <w:r w:rsidR="001562F0">
        <w:rPr>
          <w:rFonts w:ascii="Arial" w:hAnsi="Arial" w:cs="Arial"/>
          <w:sz w:val="24"/>
          <w:szCs w:val="24"/>
        </w:rPr>
        <w:t>progressed</w:t>
      </w:r>
      <w:r w:rsidR="00B51562">
        <w:rPr>
          <w:rFonts w:ascii="Arial" w:hAnsi="Arial" w:cs="Arial"/>
          <w:sz w:val="24"/>
          <w:szCs w:val="24"/>
        </w:rPr>
        <w:t>,</w:t>
      </w:r>
      <w:r w:rsidR="001562F0">
        <w:rPr>
          <w:rFonts w:ascii="Arial" w:hAnsi="Arial" w:cs="Arial"/>
          <w:sz w:val="24"/>
          <w:szCs w:val="24"/>
        </w:rPr>
        <w:t xml:space="preserve"> more details of the glycan shield of S protein have become apparent. Analyses on recombinant trimeric S protein revealed divergent N-linked glycosylation from host glycoproteins with the presence of under</w:t>
      </w:r>
      <w:r w:rsidR="00F948E9">
        <w:rPr>
          <w:rFonts w:ascii="Arial" w:hAnsi="Arial" w:cs="Arial"/>
          <w:sz w:val="24"/>
          <w:szCs w:val="24"/>
        </w:rPr>
        <w:t>-</w:t>
      </w:r>
      <w:r w:rsidR="001562F0">
        <w:rPr>
          <w:rFonts w:ascii="Arial" w:hAnsi="Arial" w:cs="Arial"/>
          <w:sz w:val="24"/>
          <w:szCs w:val="24"/>
        </w:rPr>
        <w:t>processed oligomannose-type glycans at several sites</w:t>
      </w:r>
      <w:r w:rsidR="002C75C9">
        <w:rPr>
          <w:rFonts w:ascii="Arial" w:hAnsi="Arial" w:cs="Arial"/>
          <w:sz w:val="24"/>
          <w:szCs w:val="24"/>
        </w:rPr>
        <w:t xml:space="preserve"> </w:t>
      </w:r>
      <w:r w:rsidR="001562F0">
        <w:rPr>
          <w:rFonts w:ascii="Arial" w:hAnsi="Arial" w:cs="Arial"/>
          <w:sz w:val="24"/>
          <w:szCs w:val="24"/>
        </w:rPr>
        <w:fldChar w:fldCharType="begin" w:fldLock="1"/>
      </w:r>
      <w:r w:rsidR="007774B6">
        <w:rPr>
          <w:rFonts w:ascii="Arial" w:hAnsi="Arial" w:cs="Arial"/>
          <w:sz w:val="24"/>
          <w:szCs w:val="24"/>
        </w:rPr>
        <w:instrText>ADDIN CSL_CITATION {"citationItems":[{"id":"ITEM-1","itemData":{"DOI":"10.1126/science.abb9983","ISSN":"10959203","PMID":"32366695","abstract":"The emergence of the betacoronavirus, severe acute respiratory syndrome coronavirus 2 (SARS-CoV-2), the causative agent of coronavirus 2019 (COVID-19), represents a considerable threat to global human health. Vaccine development is focused on the principal target of the humoral immune response, the spike (S) glycoprotein, which mediates cell entry and membrane fusion. The SARS-CoV-2 S gene encodes 22 N-linked glycan sequons per protomer, which likely play a role in protein folding and immune evasion. Here, using a site-specific mass spectrometric approach, we reveal the glycan structures on a recombinant SARS-CoV-2 S immunogen. This analysis enables mapping of the glycan-processing states across the trimeric viral spike. We show how SARS-CoV-2 S glycans differ from typical host glycan processing, which may have implications in viral pathobiology and vaccine design.","author":[{"dropping-particle":"","family":"Watanabe","given":"Yasunori","non-dropping-particle":"","parse-names":false,"suffix":""},{"dropping-particle":"","family":"Allen","given":"Joel D.","non-dropping-particle":"","parse-names":false,"suffix":""},{"dropping-particle":"","family":"Wrapp","given":"Daniel","non-dropping-particle":"","parse-names":false,"suffix":""},{"dropping-particle":"","family":"McLellan","given":"Jason S.","non-dropping-particle":"","parse-names":false,"suffix":""},{"dropping-particle":"","family":"Crispin","given":"Max","non-dropping-particle":"","parse-names":false,"suffix":""}],"container-title":"Science","id":"ITEM-1","issue":"6501","issued":{"date-parts":[["2020"]]},"page":"330-333","title":"Site-specific glycan analysis of the SARS-CoV-2 spike","type":"article-journal","volume":"369"},"uris":["http://www.mendeley.com/documents/?uuid=80900bf0-6c44-4584-b433-aefacbb87aed"]},{"id":"ITEM-2","itemData":{"DOI":"10.1016/j.chom.2020.08.004","ISSN":"19346069","PMID":"32841605","abstract":"The SARS-CoV-2 betacoronavirus uses its highly glycosylated trimeric Spike protein to bind to the cell surface receptor angiotensin converting enzyme 2 (ACE2) glycoprotein and facilitate host cell entry. We utilized glycomics-informed glycoproteomics to characterize site-specific microheterogeneity of glycosylation for a recombinant trimer Spike mimetic immunogen and for a soluble version of human ACE2. We combined this information with bioinformatics analyses of natural variants and with existing 3D structures of both glycoproteins to generate molecular dynamics simulations of each glycoprotein both alone and interacting with one another. Our results highlight roles for glycans in sterically masking polypeptide epitopes and directly modulating Spike-ACE2 interactions. Furthermore, our results illustrate the impact of viral evolution and divergence on Spike glycosylation, as well as the influence of natural variants on ACE2 receptor glycosylation. Taken together, these data can facilitate immunogen design to achieve antibody neutralization and inform therapeutic strategies to inhibit viral infection.","author":[{"dropping-particle":"","family":"Zhao","given":"Peng","non-dropping-particle":"","parse-names":false,"suffix":""},{"dropping-particle":"","family":"Praissman","given":"Jeremy L.","non-dropping-particle":"","parse-names":false,"suffix":""},{"dropping-particle":"","family":"Grant","given":"Oliver C.","non-dropping-particle":"","parse-names":false,"suffix":""},{"dropping-particle":"","family":"Cai","given":"Yongfei","non-dropping-particle":"","parse-names":false,"suffix":""},{"dropping-particle":"","family":"Xiao","given":"Tianshu","non-dropping-particle":"","parse-names":false,"suffix":""},{"dropping-particle":"","family":"Rosenbalm","given":"Katelyn E.","non-dropping-particle":"","parse-names":false,"suffix":""},{"dropping-particle":"","family":"Aoki","given":"Kazuhiro","non-dropping-particle":"","parse-names":false,"suffix":""},{"dropping-particle":"","family":"Kellman","given":"Benjamin P.","non-dropping-particle":"","parse-names":false,"suffix":""},{"dropping-particle":"","family":"Bridger","given":"Robert","non-dropping-particle":"","parse-names":false,"suffix":""},{"dropping-particle":"","family":"Barouch","given":"Dan H.","non-dropping-particle":"","parse-names":false,"suffix":""},{"dropping-particle":"","family":"Brindley","given":"Melinda A.","non-dropping-particle":"","parse-names":false,"suffix":""},{"dropping-particle":"","family":"Lewis","given":"Nathan E.","non-dropping-particle":"","parse-names":false,"suffix":""},{"dropping-particle":"","family":"Tiemeyer","given":"Michael","non-dropping-particle":"","parse-names":false,"suffix":""},{"dropping-particle":"","family":"Chen","given":"Bing","non-dropping-particle":"","parse-names":false,"suffix":""},{"dropping-particle":"","family":"Woods","given":"Robert J.","non-dropping-particle":"","parse-names":false,"suffix":""},{"dropping-particle":"","family":"Wells","given":"Lance","non-dropping-particle":"","parse-names":false,"suffix":""}],"container-title":"Cell Host and Microbe","id":"ITEM-2","issue":"4","issued":{"date-parts":[["2020","10","7"]]},"page":"586-601.e6","publisher":"Cell Press","title":"Virus-Receptor Interactions of Glycosylated SARS-CoV-2 Spike and Human ACE2 Receptor","type":"article-journal","volume":"28"},"uris":["http://www.mendeley.com/documents/?uuid=7dbbbbb9-67b0-3c73-9fb0-9bdec9b9ae3b"]},{"id":"ITEM-3","itemData":{"DOI":"10.1021/acs.analchem.0c03301","ISSN":"15206882","abstract":"Severe acute respiratory syndrome coronavirus 2 (SARS-CoV-2) has led to a global pandemic of coronavirus disease 2019 (COVID-19). The spike protein expressed on the surface of this virus is highly glycosylated and plays an essential role during the process of infection. We conducted a comprehensive mass spectrometric analysis of the N-glycosylation profiles of the SARS-CoV-2 spike proteins using signature ions-triggered electron-transfer/higher-energy collision dissociation (EThcD) mass spectrometry. The patterns of N-glycosylation within the recombinant ectodomain and S1 subunit of the SARS-CoV-2 spike protein were characterized using this approach. Significant variations were observed in the distribution of glycan types as well as the specific individual glycans on the modification sites of the ectodomain and subunit proteins. The relative abundance of sialylated glycans in the S1 subunit compared to the full-length protein could indicate differences in the global structure and function of these two species. In addition, we compared N-glycan profiles of the recombinant spike proteins produced from different expression systems, including human embryonic kidney (HEK 293) cells and Spodoptera frugiperda (SF9) insect cells. These results provide useful information for the study of the interactions of SARS-CoV-2 viral proteins and for the development of effective vaccines and therapeutics.","author":[{"dropping-particle":"","family":"Wang","given":"Dongxia","non-dropping-particle":"","parse-names":false,"suffix":""},{"dropping-particle":"","family":"Baudys","given":"Jakub","non-dropping-particle":"","parse-names":false,"suffix":""},{"dropping-particle":"","family":"Bundy","given":"Jonathan L.","non-dropping-particle":"","parse-names":false,"suffix":""},{"dropping-particle":"","family":"Solano","given":"Maria","non-dropping-particle":"","parse-names":false,"suffix":""},{"dropping-particle":"","family":"Keppel","given":"Theodore","non-dropping-particle":"","parse-names":false,"suffix":""},{"dropping-particle":"","family":"Barr","given":"John R.","non-dropping-particle":"","parse-names":false,"suffix":""}],"container-title":"Analytical Chemistry","id":"ITEM-3","issue":"21","issued":{"date-parts":[["2020","11","3"]]},"page":"14730-14739","publisher":"American Chemical Society","title":"Comprehensive Analysis of the Glycan Complement of SARS-CoV-2 Spike Proteins Using Signature Ions-Triggered Electron-Transfer/Higher-Energy Collisional Dissociation (EThcD) Mass Spectrometry","type":"article-journal","volume":"92"},"uris":["http://www.mendeley.com/documents/?uuid=5d01353e-57f1-4e41-a011-2637df2637a7"]}],"mendeley":{"formattedCitation":"&lt;sup&gt;7,15,38&lt;/sup&gt;","plainTextFormattedCitation":"7,15,38","previouslyFormattedCitation":"&lt;sup&gt;7,15,38&lt;/sup&gt;"},"properties":{"noteIndex":0},"schema":"https://github.com/citation-style-language/schema/raw/master/csl-citation.json"}</w:instrText>
      </w:r>
      <w:r w:rsidR="001562F0">
        <w:rPr>
          <w:rFonts w:ascii="Arial" w:hAnsi="Arial" w:cs="Arial"/>
          <w:sz w:val="24"/>
          <w:szCs w:val="24"/>
        </w:rPr>
        <w:fldChar w:fldCharType="separate"/>
      </w:r>
      <w:r w:rsidR="007774B6" w:rsidRPr="007774B6">
        <w:rPr>
          <w:rFonts w:ascii="Arial" w:hAnsi="Arial" w:cs="Arial"/>
          <w:noProof/>
          <w:sz w:val="24"/>
          <w:szCs w:val="24"/>
          <w:vertAlign w:val="superscript"/>
        </w:rPr>
        <w:t>7,15,38</w:t>
      </w:r>
      <w:r w:rsidR="001562F0">
        <w:rPr>
          <w:rFonts w:ascii="Arial" w:hAnsi="Arial" w:cs="Arial"/>
          <w:sz w:val="24"/>
          <w:szCs w:val="24"/>
        </w:rPr>
        <w:fldChar w:fldCharType="end"/>
      </w:r>
      <w:r w:rsidR="001562F0">
        <w:rPr>
          <w:rFonts w:ascii="Arial" w:hAnsi="Arial" w:cs="Arial"/>
          <w:sz w:val="24"/>
          <w:szCs w:val="24"/>
        </w:rPr>
        <w:t xml:space="preserve">. Comparative analyses with monomeric and trimeric S proteins </w:t>
      </w:r>
      <w:r w:rsidR="00BD47A0">
        <w:rPr>
          <w:rFonts w:ascii="Arial" w:hAnsi="Arial" w:cs="Arial"/>
          <w:sz w:val="24"/>
          <w:szCs w:val="24"/>
        </w:rPr>
        <w:t xml:space="preserve">have </w:t>
      </w:r>
      <w:r w:rsidR="001562F0">
        <w:rPr>
          <w:rFonts w:ascii="Arial" w:hAnsi="Arial" w:cs="Arial"/>
          <w:sz w:val="24"/>
          <w:szCs w:val="24"/>
        </w:rPr>
        <w:t xml:space="preserve">revealed site-specific differences in glycosylation with regards to both oligomannose-type glycans and </w:t>
      </w:r>
      <w:r w:rsidR="00861E96">
        <w:rPr>
          <w:rFonts w:ascii="Arial" w:hAnsi="Arial" w:cs="Arial"/>
          <w:sz w:val="24"/>
          <w:szCs w:val="24"/>
        </w:rPr>
        <w:t>the</w:t>
      </w:r>
      <w:r w:rsidR="001562F0">
        <w:rPr>
          <w:rFonts w:ascii="Arial" w:hAnsi="Arial" w:cs="Arial"/>
          <w:sz w:val="24"/>
          <w:szCs w:val="24"/>
        </w:rPr>
        <w:t xml:space="preserve"> presentation of sialic acid</w:t>
      </w:r>
      <w:r w:rsidR="002C75C9">
        <w:rPr>
          <w:rFonts w:ascii="Arial" w:hAnsi="Arial" w:cs="Arial"/>
          <w:sz w:val="24"/>
          <w:szCs w:val="24"/>
        </w:rPr>
        <w:t xml:space="preserve"> </w:t>
      </w:r>
      <w:r w:rsidR="001562F0">
        <w:rPr>
          <w:rFonts w:ascii="Arial" w:hAnsi="Arial" w:cs="Arial"/>
          <w:sz w:val="24"/>
          <w:szCs w:val="24"/>
        </w:rPr>
        <w:fldChar w:fldCharType="begin" w:fldLock="1"/>
      </w:r>
      <w:r w:rsidR="007774B6">
        <w:rPr>
          <w:rFonts w:ascii="Arial" w:hAnsi="Arial" w:cs="Arial"/>
          <w:sz w:val="24"/>
          <w:szCs w:val="24"/>
        </w:rPr>
        <w:instrText>ADDIN CSL_CITATION {"citationItems":[{"id":"ITEM-1","itemData":{"DOI":"10.1021/acs.analchem.0c03301","ISSN":"15206882","abstract":"Severe acute respiratory syndrome coronavirus 2 (SARS-CoV-2) has led to a global pandemic of coronavirus disease 2019 (COVID-19). The spike protein expressed on the surface of this virus is highly glycosylated and plays an essential role during the process of infection. We conducted a comprehensive mass spectrometric analysis of the N-glycosylation profiles of the SARS-CoV-2 spike proteins using signature ions-triggered electron-transfer/higher-energy collision dissociation (EThcD) mass spectrometry. The patterns of N-glycosylation within the recombinant ectodomain and S1 subunit of the SARS-CoV-2 spike protein were characterized using this approach. Significant variations were observed in the distribution of glycan types as well as the specific individual glycans on the modification sites of the ectodomain and subunit proteins. The relative abundance of sialylated glycans in the S1 subunit compared to the full-length protein could indicate differences in the global structure and function of these two species. In addition, we compared N-glycan profiles of the recombinant spike proteins produced from different expression systems, including human embryonic kidney (HEK 293) cells and Spodoptera frugiperda (SF9) insect cells. These results provide useful information for the study of the interactions of SARS-CoV-2 viral proteins and for the development of effective vaccines and therapeutics.","author":[{"dropping-particle":"","family":"Wang","given":"Dongxia","non-dropping-particle":"","parse-names":false,"suffix":""},{"dropping-particle":"","family":"Baudys","given":"Jakub","non-dropping-particle":"","parse-names":false,"suffix":""},{"dropping-particle":"","family":"Bundy","given":"Jonathan L.","non-dropping-particle":"","parse-names":false,"suffix":""},{"dropping-particle":"","family":"Solano","given":"Maria","non-dropping-particle":"","parse-names":false,"suffix":""},{"dropping-particle":"","family":"Keppel","given":"Theodore","non-dropping-particle":"","parse-names":false,"suffix":""},{"dropping-particle":"","family":"Barr","given":"John R.","non-dropping-particle":"","parse-names":false,"suffix":""}],"container-title":"Analytical Chemistry","id":"ITEM-1","issue":"21","issued":{"date-parts":[["2020","11","3"]]},"page":"14730-14739","publisher":"American Chemical Society","title":"Comprehensive Analysis of the Glycan Complement of SARS-CoV-2 Spike Proteins Using Signature Ions-Triggered Electron-Transfer/Higher-Energy Collisional Dissociation (EThcD) Mass Spectrometry","type":"article-journal","volume":"92"},"uris":["http://www.mendeley.com/documents/?uuid=5d01353e-57f1-4e41-a011-2637df2637a7"]}],"mendeley":{"formattedCitation":"&lt;sup&gt;38&lt;/sup&gt;","plainTextFormattedCitation":"38","previouslyFormattedCitation":"&lt;sup&gt;38&lt;/sup&gt;"},"properties":{"noteIndex":0},"schema":"https://github.com/citation-style-language/schema/raw/master/csl-citation.json"}</w:instrText>
      </w:r>
      <w:r w:rsidR="001562F0">
        <w:rPr>
          <w:rFonts w:ascii="Arial" w:hAnsi="Arial" w:cs="Arial"/>
          <w:sz w:val="24"/>
          <w:szCs w:val="24"/>
        </w:rPr>
        <w:fldChar w:fldCharType="separate"/>
      </w:r>
      <w:r w:rsidR="007774B6" w:rsidRPr="007774B6">
        <w:rPr>
          <w:rFonts w:ascii="Arial" w:hAnsi="Arial" w:cs="Arial"/>
          <w:noProof/>
          <w:sz w:val="24"/>
          <w:szCs w:val="24"/>
          <w:vertAlign w:val="superscript"/>
        </w:rPr>
        <w:t>38</w:t>
      </w:r>
      <w:r w:rsidR="001562F0">
        <w:rPr>
          <w:rFonts w:ascii="Arial" w:hAnsi="Arial" w:cs="Arial"/>
          <w:sz w:val="24"/>
          <w:szCs w:val="24"/>
        </w:rPr>
        <w:fldChar w:fldCharType="end"/>
      </w:r>
      <w:r w:rsidR="001562F0">
        <w:rPr>
          <w:rFonts w:ascii="Arial" w:hAnsi="Arial" w:cs="Arial"/>
          <w:sz w:val="24"/>
          <w:szCs w:val="24"/>
        </w:rPr>
        <w:t xml:space="preserve">. Analysis of S protein from insect cells demonstrated that oligomannose-type glycans were conserved on trimeric S protein, notably at N234 </w:t>
      </w:r>
      <w:r w:rsidR="001562F0">
        <w:rPr>
          <w:rFonts w:ascii="Arial" w:hAnsi="Arial" w:cs="Arial"/>
          <w:sz w:val="24"/>
          <w:szCs w:val="24"/>
        </w:rPr>
        <w:fldChar w:fldCharType="begin" w:fldLock="1"/>
      </w:r>
      <w:r w:rsidR="007774B6">
        <w:rPr>
          <w:rFonts w:ascii="Arial" w:hAnsi="Arial" w:cs="Arial"/>
          <w:sz w:val="24"/>
          <w:szCs w:val="24"/>
        </w:rPr>
        <w:instrText>ADDIN CSL_CITATION {"citationItems":[{"id":"ITEM-1","itemData":{"DOI":"10.1126/science.abe1502","ISSN":"10959203","PMID":"33082295","abstract":"Vaccine efforts to combat the severe acute respiratory syndrome coronavirus 2 (SARS-CoV-2), which is responsible for the current coronavirus disease 2019 (COVID-19) pandemic, are focused on SARS-CoV-2 spike glycoprotein, the primary target for neutralizing antibodies. We performed cryo-election microscopy and site-specific glycan analysis of one of the leading subunit vaccine candidates from Novavax, which is based on a full-length spike protein formulated in polysorbate 80 detergent. Our studies reveal a stable prefusion conformation of the spike immunogen with slight differences in the S1 subunit compared with published spike ectodomain structures. We also observed interactions between the spike trimers, allowing formation of higher-order spike complexes. This study confirms the structural integrity of the full-length spike protein immunogen and provides a basis for interpreting immune responses to this multivalent nanoparticle immunogen.","author":[{"dropping-particle":"","family":"Bangaru","given":"Sandhya","non-dropping-particle":"","parse-names":false,"suffix":""},{"dropping-particle":"","family":"Ozorowski","given":"Gabriel","non-dropping-particle":"","parse-names":false,"suffix":""},{"dropping-particle":"","family":"Turner","given":"Hannah L.","non-dropping-particle":"","parse-names":false,"suffix":""},{"dropping-particle":"","family":"Antanasijevic","given":"Aleksandar","non-dropping-particle":"","parse-names":false,"suffix":""},{"dropping-particle":"","family":"Huang","given":"Deli","non-dropping-particle":"","parse-names":false,"suffix":""},{"dropping-particle":"","family":"Wang","given":"Xiaoning","non-dropping-particle":"","parse-names":false,"suffix":""},{"dropping-particle":"","family":"Torres","given":"Jonathan L.","non-dropping-particle":"","parse-names":false,"suffix":""},{"dropping-particle":"","family":"Diedrich","given":"Jolene K.","non-dropping-particle":"","parse-names":false,"suffix":""},{"dropping-particle":"","family":"Tian","given":"Jing Hui","non-dropping-particle":"","parse-names":false,"suffix":""},{"dropping-particle":"","family":"Portnoff","given":"Alyse D.","non-dropping-particle":"","parse-names":false,"suffix":""},{"dropping-particle":"","family":"Patel","given":"Nita","non-dropping-particle":"","parse-names":false,"suffix":""},{"dropping-particle":"","family":"Massare","given":"Michael J.","non-dropping-particle":"","parse-names":false,"suffix":""},{"dropping-particle":"","family":"Yates","given":"John R.","non-dropping-particle":"","parse-names":false,"suffix":""},{"dropping-particle":"","family":"Nemazee","given":"David","non-dropping-particle":"","parse-names":false,"suffix":""},{"dropping-particle":"","family":"Paulson","given":"James C.","non-dropping-particle":"","parse-names":false,"suffix":""},{"dropping-particle":"","family":"Glenn","given":"Greg","non-dropping-particle":"","parse-names":false,"suffix":""},{"dropping-particle":"","family":"Smith","given":"Gale","non-dropping-particle":"","parse-names":false,"suffix":""},{"dropping-particle":"","family":"Ward","given":"Andrew B.","non-dropping-particle":"","parse-names":false,"suffix":""}],"container-title":"Science","id":"ITEM-1","issue":"6520","issued":{"date-parts":[["2020"]]},"page":"1089-1094","title":"Structural analysis of full-length SARS-CoV-2 spike protein from an advanced vaccine candidate","type":"article-journal","volume":"370"},"uris":["http://www.mendeley.com/documents/?uuid=40652f57-5948-41fb-9e23-ea1639355636"]}],"mendeley":{"formattedCitation":"&lt;sup&gt;39&lt;/sup&gt;","plainTextFormattedCitation":"39","previouslyFormattedCitation":"&lt;sup&gt;39&lt;/sup&gt;"},"properties":{"noteIndex":0},"schema":"https://github.com/citation-style-language/schema/raw/master/csl-citation.json"}</w:instrText>
      </w:r>
      <w:r w:rsidR="001562F0">
        <w:rPr>
          <w:rFonts w:ascii="Arial" w:hAnsi="Arial" w:cs="Arial"/>
          <w:sz w:val="24"/>
          <w:szCs w:val="24"/>
        </w:rPr>
        <w:fldChar w:fldCharType="separate"/>
      </w:r>
      <w:r w:rsidR="007774B6" w:rsidRPr="007774B6">
        <w:rPr>
          <w:rFonts w:ascii="Arial" w:hAnsi="Arial" w:cs="Arial"/>
          <w:noProof/>
          <w:sz w:val="24"/>
          <w:szCs w:val="24"/>
          <w:vertAlign w:val="superscript"/>
        </w:rPr>
        <w:t>39</w:t>
      </w:r>
      <w:r w:rsidR="001562F0">
        <w:rPr>
          <w:rFonts w:ascii="Arial" w:hAnsi="Arial" w:cs="Arial"/>
          <w:sz w:val="24"/>
          <w:szCs w:val="24"/>
        </w:rPr>
        <w:fldChar w:fldCharType="end"/>
      </w:r>
      <w:r w:rsidR="00947548">
        <w:rPr>
          <w:rFonts w:ascii="Arial" w:hAnsi="Arial" w:cs="Arial"/>
          <w:sz w:val="24"/>
          <w:szCs w:val="24"/>
        </w:rPr>
        <w:t>. In addition, molecular dynamics</w:t>
      </w:r>
      <w:r w:rsidR="00BD47A0">
        <w:rPr>
          <w:rFonts w:ascii="Arial" w:hAnsi="Arial" w:cs="Arial"/>
          <w:sz w:val="24"/>
          <w:szCs w:val="24"/>
        </w:rPr>
        <w:t xml:space="preserve"> (</w:t>
      </w:r>
      <w:r w:rsidR="00001D37">
        <w:rPr>
          <w:rFonts w:ascii="Arial" w:hAnsi="Arial" w:cs="Arial"/>
          <w:sz w:val="24"/>
          <w:szCs w:val="24"/>
        </w:rPr>
        <w:t>MD</w:t>
      </w:r>
      <w:r w:rsidR="00BD47A0">
        <w:rPr>
          <w:rFonts w:ascii="Arial" w:hAnsi="Arial" w:cs="Arial"/>
          <w:sz w:val="24"/>
          <w:szCs w:val="24"/>
        </w:rPr>
        <w:t>)</w:t>
      </w:r>
      <w:r w:rsidR="00947548">
        <w:rPr>
          <w:rFonts w:ascii="Arial" w:hAnsi="Arial" w:cs="Arial"/>
          <w:sz w:val="24"/>
          <w:szCs w:val="24"/>
        </w:rPr>
        <w:t xml:space="preserve"> studies have proposed that the N234 site</w:t>
      </w:r>
      <w:r w:rsidRPr="006B3D43">
        <w:rPr>
          <w:rFonts w:ascii="Arial" w:hAnsi="Arial" w:cs="Arial"/>
          <w:sz w:val="24"/>
          <w:szCs w:val="24"/>
        </w:rPr>
        <w:t xml:space="preserve"> play</w:t>
      </w:r>
      <w:r w:rsidR="00947548">
        <w:rPr>
          <w:rFonts w:ascii="Arial" w:hAnsi="Arial" w:cs="Arial"/>
          <w:sz w:val="24"/>
          <w:szCs w:val="24"/>
        </w:rPr>
        <w:t>s</w:t>
      </w:r>
      <w:r w:rsidRPr="006B3D43">
        <w:rPr>
          <w:rFonts w:ascii="Arial" w:hAnsi="Arial" w:cs="Arial"/>
          <w:sz w:val="24"/>
          <w:szCs w:val="24"/>
        </w:rPr>
        <w:t xml:space="preserve"> a role in stabilizing the </w:t>
      </w:r>
      <w:r w:rsidR="00223B53">
        <w:rPr>
          <w:rFonts w:ascii="Arial" w:hAnsi="Arial" w:cs="Arial"/>
          <w:sz w:val="24"/>
          <w:szCs w:val="24"/>
        </w:rPr>
        <w:t>receptor binding domain (RBD) in an exposed “up”</w:t>
      </w:r>
      <w:r w:rsidRPr="006B3D43">
        <w:rPr>
          <w:rFonts w:ascii="Arial" w:hAnsi="Arial" w:cs="Arial"/>
          <w:sz w:val="24"/>
          <w:szCs w:val="24"/>
        </w:rPr>
        <w:t xml:space="preserve"> conformation </w:t>
      </w:r>
      <w:r w:rsidRPr="006B3D43">
        <w:rPr>
          <w:rFonts w:ascii="Arial" w:hAnsi="Arial" w:cs="Arial"/>
          <w:sz w:val="24"/>
          <w:szCs w:val="24"/>
        </w:rPr>
        <w:fldChar w:fldCharType="begin" w:fldLock="1"/>
      </w:r>
      <w:r w:rsidR="007774B6">
        <w:rPr>
          <w:rFonts w:ascii="Arial" w:hAnsi="Arial" w:cs="Arial"/>
          <w:sz w:val="24"/>
          <w:szCs w:val="24"/>
        </w:rPr>
        <w:instrText>ADDIN CSL_CITATION {"citationItems":[{"id":"ITEM-1","itemData":{"DOI":"10.1021/acscentsci.0c01056","ISSN":"23747951","abstract":"The ongoing COVID-19 pandemic caused by severe acute respiratory syndrome coronavirus 2 (SARS-CoV-2) has resulted in more than 28,000,000 infections and 900,000 deaths worldwide to date. Antibody development efforts mainly revolve around the extensively glycosylated SARS-CoV-2 spike (S) protein, which mediates host cell entry by binding to the angiotensin-converting enzyme 2 (ACE2). Similar to many other viral fusion proteins, the SARS-CoV-2 spike utilizes a glycan shield to thwart the host immune response. Here, we built a full-length model of the glycosylated SARS-CoV-2 S protein, both in the open and closed states, augmenting the available structural and biological data. Multiple microsecond-long, all-atom molecular dynamics simulations were used to provide an atomistic perspective on the roles of glycans and on the protein structure and dynamics. We reveal an essential structural role of N-glycans at sites N165 and N234 in modulating the conformational dynamics of the spike's receptor binding domain (RBD), which is responsible for ACE2 recognition. This finding is corroborated by biolayer interferometry experiments, which show that deletion of these glycans through N165A and N234A mutations significantly reduces binding to ACE2 as a result of the RBD conformational shift toward the “down” state. Additionally, end-to-end accessibility analyses outline a complete overview of the vulnerabilities of the glycan shield of the SARS-CoV-2 S protein, which may be exploited in the therapeutic efforts targeting this molecular machine. Overall, this work presents hitherto unseen functional and structural insights into the SARS-CoV-2 S protein and its glycan coat, providing a strategy to control the conformational plasticity of the RBD that could be harnessed for vaccine development.","author":[{"dropping-particle":"","family":"Casalino","given":"Lorenzo","non-dropping-particle":"","parse-names":false,"suffix":""},{"dropping-particle":"","family":"Gaieb","given":"Zied","non-dropping-particle":"","parse-names":false,"suffix":""},{"dropping-particle":"","family":"Goldsmith","given":"Jory A.","non-dropping-particle":"","parse-names":false,"suffix":""},{"dropping-particle":"","family":"Hjorth","given":"Christy K.","non-dropping-particle":"","parse-names":false,"suffix":""},{"dropping-particle":"","family":"Dommer","given":"Abigail C.","non-dropping-particle":"","parse-names":false,"suffix":""},{"dropping-particle":"","family":"Harbison","given":"Aoife M.","non-dropping-particle":"","parse-names":false,"suffix":""},{"dropping-particle":"","family":"Fogarty","given":"Carl A.","non-dropping-particle":"","parse-names":false,"suffix":""},{"dropping-particle":"","family":"Barros","given":"Emilia P.","non-dropping-particle":"","parse-names":false,"suffix":""},{"dropping-particle":"","family":"Taylor","given":"Bryn C.","non-dropping-particle":"","parse-names":false,"suffix":""},{"dropping-particle":"","family":"Mclellan","given":"Jason S.","non-dropping-particle":"","parse-names":false,"suffix":""},{"dropping-particle":"","family":"Fadda","given":"Elisa","non-dropping-particle":"","parse-names":false,"suffix":""},{"dropping-particle":"","family":"Amaro","given":"Rommie E.","non-dropping-particle":"","parse-names":false,"suffix":""}],"container-title":"ACS Central Science","id":"ITEM-1","issue":"10","issued":{"date-parts":[["2020","10","28"]]},"page":"1722-1734","publisher":"American Chemical Society","title":"Beyond shielding: The roles of glycans in the SARS-CoV-2 spike protein","type":"article-journal","volume":"6"},"uris":["http://www.mendeley.com/documents/?uuid=6bd2407c-82b5-3f0d-8499-c4e83897aa16"]}],"mendeley":{"formattedCitation":"&lt;sup&gt;31&lt;/sup&gt;","plainTextFormattedCitation":"31","previouslyFormattedCitation":"&lt;sup&gt;31&lt;/sup&gt;"},"properties":{"noteIndex":0},"schema":"https://github.com/citation-style-language/schema/raw/master/csl-citation.json"}</w:instrText>
      </w:r>
      <w:r w:rsidRPr="006B3D43">
        <w:rPr>
          <w:rFonts w:ascii="Arial" w:hAnsi="Arial" w:cs="Arial"/>
          <w:sz w:val="24"/>
          <w:szCs w:val="24"/>
        </w:rPr>
        <w:fldChar w:fldCharType="separate"/>
      </w:r>
      <w:r w:rsidR="007774B6" w:rsidRPr="007774B6">
        <w:rPr>
          <w:rFonts w:ascii="Arial" w:hAnsi="Arial" w:cs="Arial"/>
          <w:noProof/>
          <w:sz w:val="24"/>
          <w:szCs w:val="24"/>
          <w:vertAlign w:val="superscript"/>
        </w:rPr>
        <w:t>31</w:t>
      </w:r>
      <w:r w:rsidRPr="006B3D43">
        <w:rPr>
          <w:rFonts w:ascii="Arial" w:hAnsi="Arial" w:cs="Arial"/>
          <w:sz w:val="24"/>
          <w:szCs w:val="24"/>
        </w:rPr>
        <w:fldChar w:fldCharType="end"/>
      </w:r>
      <w:r w:rsidRPr="006B3D43">
        <w:rPr>
          <w:rFonts w:ascii="Arial" w:hAnsi="Arial" w:cs="Arial"/>
          <w:sz w:val="24"/>
          <w:szCs w:val="24"/>
        </w:rPr>
        <w:t>.</w:t>
      </w:r>
      <w:r w:rsidR="00947548">
        <w:rPr>
          <w:rFonts w:ascii="Arial" w:hAnsi="Arial" w:cs="Arial"/>
          <w:sz w:val="24"/>
          <w:szCs w:val="24"/>
        </w:rPr>
        <w:t xml:space="preserve"> </w:t>
      </w:r>
      <w:r w:rsidRPr="006B3D43">
        <w:rPr>
          <w:rFonts w:ascii="Arial" w:hAnsi="Arial" w:cs="Arial"/>
          <w:sz w:val="24"/>
          <w:szCs w:val="24"/>
        </w:rPr>
        <w:t xml:space="preserve"> </w:t>
      </w:r>
      <w:bookmarkStart w:id="3" w:name="_Hlk73005066"/>
      <w:r w:rsidRPr="006B3D43">
        <w:rPr>
          <w:rFonts w:ascii="Arial" w:hAnsi="Arial" w:cs="Arial"/>
          <w:sz w:val="24"/>
          <w:szCs w:val="24"/>
        </w:rPr>
        <w:t xml:space="preserve">The presence of </w:t>
      </w:r>
      <w:r w:rsidR="00557DA4">
        <w:rPr>
          <w:rFonts w:ascii="Arial" w:hAnsi="Arial" w:cs="Arial"/>
          <w:sz w:val="24"/>
          <w:szCs w:val="24"/>
        </w:rPr>
        <w:t>larger</w:t>
      </w:r>
      <w:r w:rsidR="00557DA4" w:rsidRPr="006B3D43">
        <w:rPr>
          <w:rFonts w:ascii="Arial" w:hAnsi="Arial" w:cs="Arial"/>
          <w:sz w:val="24"/>
          <w:szCs w:val="24"/>
        </w:rPr>
        <w:t xml:space="preserve"> </w:t>
      </w:r>
      <w:r w:rsidRPr="006B3D43">
        <w:rPr>
          <w:rFonts w:ascii="Arial" w:hAnsi="Arial" w:cs="Arial"/>
          <w:sz w:val="24"/>
          <w:szCs w:val="24"/>
        </w:rPr>
        <w:t>under-processed oligomannose-type glycans</w:t>
      </w:r>
      <w:r w:rsidR="00557DA4">
        <w:rPr>
          <w:rFonts w:ascii="Arial" w:hAnsi="Arial" w:cs="Arial"/>
          <w:sz w:val="24"/>
          <w:szCs w:val="24"/>
        </w:rPr>
        <w:t>, such as Man</w:t>
      </w:r>
      <w:r w:rsidR="00557DA4">
        <w:rPr>
          <w:rFonts w:ascii="Arial" w:hAnsi="Arial" w:cs="Arial"/>
          <w:sz w:val="24"/>
          <w:szCs w:val="24"/>
          <w:vertAlign w:val="subscript"/>
        </w:rPr>
        <w:t>9</w:t>
      </w:r>
      <w:r w:rsidR="00557DA4">
        <w:rPr>
          <w:rFonts w:ascii="Arial" w:hAnsi="Arial" w:cs="Arial"/>
          <w:sz w:val="24"/>
          <w:szCs w:val="24"/>
        </w:rPr>
        <w:t>GlcNAc</w:t>
      </w:r>
      <w:r w:rsidR="00557DA4">
        <w:rPr>
          <w:rFonts w:ascii="Arial" w:hAnsi="Arial" w:cs="Arial"/>
          <w:sz w:val="24"/>
          <w:szCs w:val="24"/>
          <w:vertAlign w:val="subscript"/>
        </w:rPr>
        <w:t>2</w:t>
      </w:r>
      <w:r w:rsidR="00557DA4">
        <w:rPr>
          <w:rFonts w:ascii="Arial" w:hAnsi="Arial" w:cs="Arial"/>
          <w:sz w:val="24"/>
          <w:szCs w:val="24"/>
        </w:rPr>
        <w:t xml:space="preserve">, </w:t>
      </w:r>
      <w:r w:rsidRPr="006B3D43">
        <w:rPr>
          <w:rFonts w:ascii="Arial" w:hAnsi="Arial" w:cs="Arial"/>
          <w:sz w:val="24"/>
          <w:szCs w:val="24"/>
        </w:rPr>
        <w:t>on both mammalian and insect-derived S protein provides an indication that the structure of the S protein is driving the presentation of these glycans</w:t>
      </w:r>
      <w:bookmarkEnd w:id="3"/>
      <w:r w:rsidRPr="006B3D43">
        <w:rPr>
          <w:rFonts w:ascii="Arial" w:hAnsi="Arial" w:cs="Arial"/>
          <w:sz w:val="24"/>
          <w:szCs w:val="24"/>
        </w:rPr>
        <w:t xml:space="preserve">. </w:t>
      </w:r>
      <w:r w:rsidR="00947548">
        <w:rPr>
          <w:rFonts w:ascii="Arial" w:hAnsi="Arial" w:cs="Arial"/>
          <w:sz w:val="24"/>
          <w:szCs w:val="24"/>
        </w:rPr>
        <w:t>Subsequent studies have investigated the presentation of N-linked glycans on S protein produced for vaccination, notably the Novavax full length S protein and S protein isolated following administration of the ChAdOx-nCoV-19 vector</w:t>
      </w:r>
      <w:r w:rsidR="002C75C9">
        <w:rPr>
          <w:rFonts w:ascii="Arial" w:hAnsi="Arial" w:cs="Arial"/>
          <w:sz w:val="24"/>
          <w:szCs w:val="24"/>
        </w:rPr>
        <w:t xml:space="preserve"> </w:t>
      </w:r>
      <w:r w:rsidR="00947548">
        <w:rPr>
          <w:rFonts w:ascii="Arial" w:hAnsi="Arial" w:cs="Arial"/>
          <w:sz w:val="24"/>
          <w:szCs w:val="24"/>
        </w:rPr>
        <w:fldChar w:fldCharType="begin" w:fldLock="1"/>
      </w:r>
      <w:r w:rsidR="0070492C">
        <w:rPr>
          <w:rFonts w:ascii="Arial" w:hAnsi="Arial" w:cs="Arial"/>
          <w:sz w:val="24"/>
          <w:szCs w:val="24"/>
        </w:rPr>
        <w:instrText>ADDIN CSL_CITATION {"citationItems":[{"id":"ITEM-1","itemData":{"DOI":"10.1126/science.abe1502","ISSN":"10959203","PMID":"33082295","abstract":"Vaccine efforts to combat the severe acute respiratory syndrome coronavirus 2 (SARS-CoV-2), which is responsible for the current coronavirus disease 2019 (COVID-19) pandemic, are focused on SARS-CoV-2 spike glycoprotein, the primary target for neutralizing antibodies. We performed cryo-election microscopy and site-specific glycan analysis of one of the leading subunit vaccine candidates from Novavax, which is based on a full-length spike protein formulated in polysorbate 80 detergent. Our studies reveal a stable prefusion conformation of the spike immunogen with slight differences in the S1 subunit compared with published spike ectodomain structures. We also observed interactions between the spike trimers, allowing formation of higher-order spike complexes. This study confirms the structural integrity of the full-length spike protein immunogen and provides a basis for interpreting immune responses to this multivalent nanoparticle immunogen.","author":[{"dropping-particle":"","family":"Bangaru","given":"Sandhya","non-dropping-particle":"","parse-names":false,"suffix":""},{"dropping-particle":"","family":"Ozorowski","given":"Gabriel","non-dropping-particle":"","parse-names":false,"suffix":""},{"dropping-particle":"","family":"Turner","given":"Hannah L.","non-dropping-particle":"","parse-names":false,"suffix":""},{"dropping-particle":"","family":"Antanasijevic","given":"Aleksandar","non-dropping-particle":"","parse-names":false,"suffix":""},{"dropping-particle":"","family":"Huang","given":"Deli","non-dropping-particle":"","parse-names":false,"suffix":""},{"dropping-particle":"","family":"Wang","given":"Xiaoning","non-dropping-particle":"","parse-names":false,"suffix":""},{"dropping-particle":"","family":"Torres","given":"Jonathan L.","non-dropping-particle":"","parse-names":false,"suffix":""},{"dropping-particle":"","family":"Diedrich","given":"Jolene K.","non-dropping-particle":"","parse-names":false,"suffix":""},{"dropping-particle":"","family":"Tian","given":"Jing Hui","non-dropping-particle":"","parse-names":false,"suffix":""},{"dropping-particle":"","family":"Portnoff","given":"Alyse D.","non-dropping-particle":"","parse-names":false,"suffix":""},{"dropping-particle":"","family":"Patel","given":"Nita","non-dropping-particle":"","parse-names":false,"suffix":""},{"dropping-particle":"","family":"Massare","given":"Michael J.","non-dropping-particle":"","parse-names":false,"suffix":""},{"dropping-particle":"","family":"Yates","given":"John R.","non-dropping-particle":"","parse-names":false,"suffix":""},{"dropping-particle":"","family":"Nemazee","given":"David","non-dropping-particle":"","parse-names":false,"suffix":""},{"dropping-particle":"","family":"Paulson","given":"James C.","non-dropping-particle":"","parse-names":false,"suffix":""},{"dropping-particle":"","family":"Glenn","given":"Greg","non-dropping-particle":"","parse-names":false,"suffix":""},{"dropping-particle":"","family":"Smith","given":"Gale","non-dropping-particle":"","parse-names":false,"suffix":""},{"dropping-particle":"","family":"Ward","given":"Andrew B.","non-dropping-particle":"","parse-names":false,"suffix":""}],"container-title":"Science","id":"ITEM-1","issue":"6520","issued":{"date-parts":[["2020"]]},"page":"1089-1094","title":"Structural analysis of full-length SARS-CoV-2 spike protein from an advanced vaccine candidate","type":"article-journal","volume":"370"},"uris":["http://www.mendeley.com/documents/?uuid=40652f57-5948-41fb-9e23-ea1639355636"]},{"id":"ITEM-2","itemData":{"DOI":"10.1021/acscentsci.1c00080","ISSN":"23747951","PMID":"33501433","abstract":"Vaccine development against the SARS-CoV-2 virus focuses on the principal target of the neutralizing immune response, the spike (S) glycoprotein. Adenovirus-vectored vaccines offer an effective platform for the delivery of viral antigen, but it is important for the generation of neutralizing antibodies that they produce appropriately processed and assembled viral antigen that mimics that observed on the SARS-CoV-2 virus. Here, we describe the structure, conformation, and glycosylation of the S protein derived from the adenovirus-vectored ChAdOx1 nCoV-19/AZD1222 vaccine. We demonstrate native-like post-translational processing and assembly, and reveal the expression of S proteins on the surface of cells adopting the trimeric prefusion conformation. The data presented here confirm the use of ChAdOx1 adenovirus vectors as a leading platform technology for SARS-CoV-2 vaccines.","author":[{"dropping-particle":"","family":"Watanabe","given":"Yasunori","non-dropping-particle":"","parse-names":false,"suffix":""},{"dropping-particle":"","family":"Mendonça","given":"Luiza","non-dropping-particle":"","parse-names":false,"suffix":""},{"dropping-particle":"","family":"Allen","given":"Elizabeth R.","non-dropping-particle":"","parse-names":false,"suffix":""},{"dropping-particle":"","family":"Howe","given":"Andrew","non-dropping-particle":"","parse-names":false,"suffix":""},{"dropping-particle":"","family":"Lee","given":"Mercede","non-dropping-particle":"","parse-names":false,"suffix":""},{"dropping-particle":"","family":"Allen","given":"Joel D.","non-dropping-particle":"","parse-names":false,"suffix":""},{"dropping-particle":"","family":"Chawla","given":"Himanshi","non-dropping-particle":"","parse-names":false,"suffix":""},{"dropping-particle":"","family":"Pulido","given":"David","non-dropping-particle":"","parse-names":false,"suffix":""},{"dropping-particle":"","family":"Donnellan","given":"Francesca","non-dropping-particle":"","parse-names":false,"suffix":""},{"dropping-particle":"","family":"Davies","given":"Hannah","non-dropping-particle":"","parse-names":false,"suffix":""},{"dropping-particle":"","family":"Ulaszewska","given":"Marta","non-dropping-particle":"","parse-names":false,"suffix":""},{"dropping-particle":"","family":"Belij-Rammerstorfer","given":"Sandra","non-dropping-particle":"","parse-names":false,"suffix":""},{"dropping-particle":"","family":"Morris","given":"Susan","non-dropping-particle":"","parse-names":false,"suffix":""},{"dropping-particle":"","family":"Krebs","given":"Anna Sophia","non-dropping-particle":"","parse-names":false,"suffix":""},{"dropping-particle":"","family":"Dejnirattisai","given":"Wanwisa","non-dropping-particle":"","parse-names":false,"suffix":""},{"dropping-particle":"","family":"Mongkolsapaya","given":"Juthathip","non-dropping-particle":"","parse-names":false,"suffix":""},{"dropping-particle":"","family":"Supasa","given":"Piyada","non-dropping-particle":"","parse-names":false,"suffix":""},{"dropping-particle":"","family":"Screaton","given":"Gavin R.","non-dropping-particle":"","parse-names":false,"suffix":""},{"dropping-particle":"","family":"Green","given":"Catherine M.","non-dropping-particle":"","parse-names":false,"suffix":""},{"dropping-particle":"","family":"Lambe","given":"Teresa","non-dropping-particle":"","parse-names":false,"suffix":""},{"dropping-particle":"","family":"Zhang","given":"Peijun","non-dropping-particle":"","parse-names":false,"suffix":""},{"dropping-particle":"","family":"Gilbert","given":"Sarah C.","non-dropping-particle":"","parse-names":false,"suffix":""},{"dropping-particle":"","family":"Crispin","given":"Max","non-dropping-particle":"","parse-names":false,"suffix":""}],"container-title":"ACS Central Science","id":"ITEM-2","issue":"4","issued":{"date-parts":[["2021","4","28"]]},"page":"594-602","publisher":"American Chemical Society","title":"Native-like SARS-CoV-2 Spike Glycoprotein Expressed by ChAdOx1 nCoV-19/AZD1222 Vaccine","type":"article-journal","volume":"7"},"uris":["http://www.mendeley.com/documents/?uuid=3c10e193-44fc-474b-a221-52fff019fe4e"]}],"mendeley":{"formattedCitation":"&lt;sup&gt;39,40&lt;/sup&gt;","plainTextFormattedCitation":"39,40","previouslyFormattedCitation":"&lt;sup&gt;39,40&lt;/sup&gt;"},"properties":{"noteIndex":0},"schema":"https://github.com/citation-style-language/schema/raw/master/csl-citation.json"}</w:instrText>
      </w:r>
      <w:r w:rsidR="00947548">
        <w:rPr>
          <w:rFonts w:ascii="Arial" w:hAnsi="Arial" w:cs="Arial"/>
          <w:sz w:val="24"/>
          <w:szCs w:val="24"/>
        </w:rPr>
        <w:fldChar w:fldCharType="separate"/>
      </w:r>
      <w:r w:rsidR="007774B6" w:rsidRPr="007774B6">
        <w:rPr>
          <w:rFonts w:ascii="Arial" w:hAnsi="Arial" w:cs="Arial"/>
          <w:noProof/>
          <w:sz w:val="24"/>
          <w:szCs w:val="24"/>
          <w:vertAlign w:val="superscript"/>
        </w:rPr>
        <w:t>39,40</w:t>
      </w:r>
      <w:r w:rsidR="00947548">
        <w:rPr>
          <w:rFonts w:ascii="Arial" w:hAnsi="Arial" w:cs="Arial"/>
          <w:sz w:val="24"/>
          <w:szCs w:val="24"/>
        </w:rPr>
        <w:fldChar w:fldCharType="end"/>
      </w:r>
      <w:r w:rsidR="00947548">
        <w:rPr>
          <w:rFonts w:ascii="Arial" w:hAnsi="Arial" w:cs="Arial"/>
          <w:sz w:val="24"/>
          <w:szCs w:val="24"/>
        </w:rPr>
        <w:t xml:space="preserve">. </w:t>
      </w:r>
      <w:r w:rsidR="000431CF">
        <w:rPr>
          <w:rFonts w:ascii="Arial" w:hAnsi="Arial" w:cs="Arial"/>
          <w:sz w:val="24"/>
          <w:szCs w:val="24"/>
        </w:rPr>
        <w:t xml:space="preserve">The </w:t>
      </w:r>
      <w:r w:rsidR="000431CF">
        <w:rPr>
          <w:rFonts w:ascii="Arial" w:hAnsi="Arial" w:cs="Arial"/>
          <w:sz w:val="24"/>
          <w:szCs w:val="24"/>
        </w:rPr>
        <w:lastRenderedPageBreak/>
        <w:t>observed glycan signatures were broadly in agreement with previous analyses</w:t>
      </w:r>
      <w:r w:rsidR="00E04BB0">
        <w:rPr>
          <w:rFonts w:ascii="Arial" w:hAnsi="Arial" w:cs="Arial"/>
          <w:sz w:val="24"/>
          <w:szCs w:val="24"/>
        </w:rPr>
        <w:t xml:space="preserve">. However, </w:t>
      </w:r>
      <w:r w:rsidR="000431CF">
        <w:rPr>
          <w:rFonts w:ascii="Arial" w:hAnsi="Arial" w:cs="Arial"/>
          <w:sz w:val="24"/>
          <w:szCs w:val="24"/>
        </w:rPr>
        <w:t>these studies involved the truncation of glycan structures using glycosidase treatment</w:t>
      </w:r>
      <w:r w:rsidR="00E04BB0">
        <w:rPr>
          <w:rFonts w:ascii="Arial" w:hAnsi="Arial" w:cs="Arial"/>
          <w:sz w:val="24"/>
          <w:szCs w:val="24"/>
        </w:rPr>
        <w:t xml:space="preserve"> –</w:t>
      </w:r>
      <w:r w:rsidR="000431CF">
        <w:rPr>
          <w:rFonts w:ascii="Arial" w:hAnsi="Arial" w:cs="Arial"/>
          <w:sz w:val="24"/>
          <w:szCs w:val="24"/>
        </w:rPr>
        <w:t xml:space="preserve"> which is useful for categorizing glycans into high mannose or complex-type glycans and determining </w:t>
      </w:r>
      <w:r w:rsidR="00FD174F">
        <w:rPr>
          <w:rFonts w:ascii="Arial" w:hAnsi="Arial" w:cs="Arial"/>
          <w:sz w:val="24"/>
          <w:szCs w:val="24"/>
        </w:rPr>
        <w:t>potential N-glycosylation sites (</w:t>
      </w:r>
      <w:r w:rsidR="000431CF">
        <w:rPr>
          <w:rFonts w:ascii="Arial" w:hAnsi="Arial" w:cs="Arial"/>
          <w:sz w:val="24"/>
          <w:szCs w:val="24"/>
        </w:rPr>
        <w:t>PNGS</w:t>
      </w:r>
      <w:r w:rsidR="00FD174F">
        <w:rPr>
          <w:rFonts w:ascii="Arial" w:hAnsi="Arial" w:cs="Arial"/>
          <w:sz w:val="24"/>
          <w:szCs w:val="24"/>
        </w:rPr>
        <w:t>)</w:t>
      </w:r>
      <w:r w:rsidR="000431CF">
        <w:rPr>
          <w:rFonts w:ascii="Arial" w:hAnsi="Arial" w:cs="Arial"/>
          <w:sz w:val="24"/>
          <w:szCs w:val="24"/>
        </w:rPr>
        <w:t xml:space="preserve"> occupancy on low amounts of material </w:t>
      </w:r>
      <w:r w:rsidR="00E04BB0">
        <w:rPr>
          <w:rFonts w:ascii="Arial" w:hAnsi="Arial" w:cs="Arial"/>
          <w:sz w:val="24"/>
          <w:szCs w:val="24"/>
        </w:rPr>
        <w:t xml:space="preserve">– </w:t>
      </w:r>
      <w:r w:rsidR="000431CF">
        <w:rPr>
          <w:rFonts w:ascii="Arial" w:hAnsi="Arial" w:cs="Arial"/>
          <w:sz w:val="24"/>
          <w:szCs w:val="24"/>
        </w:rPr>
        <w:t xml:space="preserve">but does not allow for the identification </w:t>
      </w:r>
      <w:r w:rsidR="00E04BB0">
        <w:rPr>
          <w:rFonts w:ascii="Arial" w:hAnsi="Arial" w:cs="Arial"/>
          <w:sz w:val="24"/>
          <w:szCs w:val="24"/>
        </w:rPr>
        <w:t xml:space="preserve">of </w:t>
      </w:r>
      <w:r w:rsidR="000431CF">
        <w:rPr>
          <w:rFonts w:ascii="Arial" w:hAnsi="Arial" w:cs="Arial"/>
          <w:sz w:val="24"/>
          <w:szCs w:val="24"/>
        </w:rPr>
        <w:t xml:space="preserve">changes </w:t>
      </w:r>
      <w:r w:rsidR="00E04BB0">
        <w:rPr>
          <w:rFonts w:ascii="Arial" w:hAnsi="Arial" w:cs="Arial"/>
          <w:sz w:val="24"/>
          <w:szCs w:val="24"/>
        </w:rPr>
        <w:t xml:space="preserve">in </w:t>
      </w:r>
      <w:r w:rsidR="000431CF">
        <w:rPr>
          <w:rFonts w:ascii="Arial" w:hAnsi="Arial" w:cs="Arial"/>
          <w:sz w:val="24"/>
          <w:szCs w:val="24"/>
        </w:rPr>
        <w:t>terminal glycan processing such as sialylation. The glycan processing of the two N-linked glycan sites located on the RBD has also been investigated for monomeric RBD. These sites present high levels of complex-type glycans</w:t>
      </w:r>
      <w:r w:rsidR="002C75C9">
        <w:rPr>
          <w:rFonts w:ascii="Arial" w:hAnsi="Arial" w:cs="Arial"/>
          <w:sz w:val="24"/>
          <w:szCs w:val="24"/>
        </w:rPr>
        <w:t xml:space="preserve"> </w:t>
      </w:r>
      <w:r w:rsidR="000431CF">
        <w:rPr>
          <w:rFonts w:ascii="Arial" w:hAnsi="Arial" w:cs="Arial"/>
          <w:sz w:val="24"/>
          <w:szCs w:val="24"/>
        </w:rPr>
        <w:fldChar w:fldCharType="begin" w:fldLock="1"/>
      </w:r>
      <w:r w:rsidR="0070492C">
        <w:rPr>
          <w:rFonts w:ascii="Arial" w:hAnsi="Arial" w:cs="Arial"/>
          <w:sz w:val="24"/>
          <w:szCs w:val="24"/>
        </w:rPr>
        <w:instrText>ADDIN CSL_CITATION {"citationItems":[{"id":"ITEM-1","itemData":{"DOI":"10.1021/acs.analchem.1c00893","ISSN":"15206882","abstract":"As the severe acute respiratory syndrome coronavirus 2 (SARS-CoV-2) pandemic is still ongoing and dramatically influences our life, the need for recombinant viral proteins for diagnostics, vaccine development, and research is very high. The spike (S) protein, and particularly its receptor-binding domain (RBD), mediates the interaction with the angiotensin-converting enzyme 2 (ACE2) receptor on host cells and may be modulated by its structural features. Therefore, well-characterized recombinant RBDs are essential. We have performed an in-depth structural and functional characterization of RBDs expressed in Chinese hamster ovary (CHO) and human embryonic kidney 293 (HEK293) cells. To structurally characterize the native RBDs (comprising N- and O-glycans and additional post translational modifications), a multilevel mass spectrometric approach was employed. Released glycan and glycopeptide analysis were integrated with intact mass analysis, glycan-enzymatic dissection, and top-down sequencing for comprehensive annotation of RBD proteoforms. The data showed distinct glycosylation for CHO- and HEK293-RBD with the latter exhibiting antenna fucosylation, a higher level of sialylation, and a combination of core 1 and core 2 type O-glycans. Additionally, using an alternative approach based on N-terminal cleavage of the O-glycosylation, the previously unknown O-glycosylation site was localized at T323. For both RBDs, the binding to SARS-CoV-2 antibodies of positive patients and affinity to the ACE2 receptor was addressed showing comparable results. This work not only offers insights into RBD structural and functional features but also provides an analytical workflow for characterization of new RBDs and batch-to-batch comparison.","author":[{"dropping-particle":"","family":"Gstöttner","given":"Christoph","non-dropping-particle":"","parse-names":false,"suffix":""},{"dropping-particle":"","family":"Zhang","given":"Tao","non-dropping-particle":"","parse-names":false,"suffix":""},{"dropping-particle":"","family":"Resemann","given":"Anja","non-dropping-particle":"","parse-names":false,"suffix":""},{"dropping-particle":"","family":"Ruben","given":"Sophia","non-dropping-particle":"","parse-names":false,"suffix":""},{"dropping-particle":"","family":"Pengelley","given":"Stuart","non-dropping-particle":"","parse-names":false,"suffix":""},{"dropping-particle":"","family":"Suckau","given":"Detlev","non-dropping-particle":"","parse-names":false,"suffix":""},{"dropping-particle":"","family":"Welsink","given":"Tim","non-dropping-particle":"","parse-names":false,"suffix":""},{"dropping-particle":"","family":"Wuhrer","given":"Manfred","non-dropping-particle":"","parse-names":false,"suffix":""},{"dropping-particle":"","family":"Domínguez-Vega","given":"Elena","non-dropping-particle":"","parse-names":false,"suffix":""}],"container-title":"Analytical Chemistry","id":"ITEM-1","issue":"17","issued":{"date-parts":[["2021","5","4"]]},"page":"6839-6847","publisher":"American Chemical Society","title":"Structural and Functional Characterization of SARS-CoV-2 RBD Domains Produced in Mammalian Cells","type":"article-journal","volume":"93"},"uris":["http://www.mendeley.com/documents/?uuid=bd3982d1-614f-46fe-b388-ce9a56dd167b"]},{"id":"ITEM-2","itemData":{"DOI":"10.1093/glycob/cwaa085","ISSN":"1460-2423","PMID":"32886791","abstract":"The novel coronavirus SARS-CoV-2, the infective agent causing COVID-19, is having a global impact both in terms of human disease as well as socially and economically. Its heavily glycosylated spike glycoprotein is fundamental for the infection process, via its receptor-binding domains interaction with the glycoprotein angiotensin-converting enzyme 2 on human cell surfaces. We therefore utilized an integrated glycomic and glycoproteomic analytical strategy to characterize both N- and O- glycan site-specific glycosylation within the receptor-binding domain. We demonstrate the presence of complex-type N-glycans with unusual fucosylated LacdiNAc at both sites N331 and N343 and a single site of O-glycosylation on T323.","author":[{"dropping-particle":"","family":"Antonopoulos","given":"Aristotelis","non-dropping-particle":"","parse-names":false,"suffix":""},{"dropping-particle":"","family":"Broome","given":"Steven","non-dropping-particle":"","parse-names":false,"suffix":""},{"dropping-particle":"","family":"Sharov","given":"Victor","non-dropping-particle":"","parse-names":false,"suffix":""},{"dropping-particle":"","family":"Ziegenfuss","given":"Christopher","non-dropping-particle":"","parse-names":false,"suffix":""},{"dropping-particle":"","family":"Easton","given":"Richard L","non-dropping-particle":"","parse-names":false,"suffix":""},{"dropping-particle":"","family":"Panico","given":"Maria","non-dropping-particle":"","parse-names":false,"suffix":""},{"dropping-particle":"","family":"Dell","given":"Anne","non-dropping-particle":"","parse-names":false,"suffix":""},{"dropping-particle":"","family":"Morris","given":"Howard R","non-dropping-particle":"","parse-names":false,"suffix":""},{"dropping-particle":"","family":"Haslam","given":"Stuart M","non-dropping-particle":"","parse-names":false,"suffix":""}],"container-title":"Glycobiology","id":"ITEM-2","issue":"3","issued":{"date-parts":[["2021","4","1"]]},"page":"181-187","publisher":"Oxford University Press (OUP)","title":"Site-specific characterization of SARS-CoV-2 spike glycoprotein receptor-binding domain","type":"article-journal","volume":"31"},"uris":["http://www.mendeley.com/documents/?uuid=645db7ce-2843-48cd-a3c0-1dc42c423479"]}],"mendeley":{"formattedCitation":"&lt;sup&gt;41,42&lt;/sup&gt;","plainTextFormattedCitation":"41,42","previouslyFormattedCitation":"&lt;sup&gt;41,42&lt;/sup&gt;"},"properties":{"noteIndex":0},"schema":"https://github.com/citation-style-language/schema/raw/master/csl-citation.json"}</w:instrText>
      </w:r>
      <w:r w:rsidR="000431CF">
        <w:rPr>
          <w:rFonts w:ascii="Arial" w:hAnsi="Arial" w:cs="Arial"/>
          <w:sz w:val="24"/>
          <w:szCs w:val="24"/>
        </w:rPr>
        <w:fldChar w:fldCharType="separate"/>
      </w:r>
      <w:r w:rsidR="007774B6" w:rsidRPr="007774B6">
        <w:rPr>
          <w:rFonts w:ascii="Arial" w:hAnsi="Arial" w:cs="Arial"/>
          <w:noProof/>
          <w:sz w:val="24"/>
          <w:szCs w:val="24"/>
          <w:vertAlign w:val="superscript"/>
        </w:rPr>
        <w:t>41,42</w:t>
      </w:r>
      <w:r w:rsidR="000431CF">
        <w:rPr>
          <w:rFonts w:ascii="Arial" w:hAnsi="Arial" w:cs="Arial"/>
          <w:sz w:val="24"/>
          <w:szCs w:val="24"/>
        </w:rPr>
        <w:fldChar w:fldCharType="end"/>
      </w:r>
      <w:r w:rsidR="000431CF">
        <w:rPr>
          <w:rFonts w:ascii="Arial" w:hAnsi="Arial" w:cs="Arial"/>
          <w:sz w:val="24"/>
          <w:szCs w:val="24"/>
        </w:rPr>
        <w:t xml:space="preserve"> and as the majority of antibodies raised against SARS-CoV-2 S protein target the RBD it is important to fully characterize the structure of the RBD, including the presentation of glycans</w:t>
      </w:r>
      <w:r w:rsidR="00D8588D">
        <w:rPr>
          <w:rFonts w:ascii="Arial" w:hAnsi="Arial" w:cs="Arial"/>
          <w:sz w:val="24"/>
          <w:szCs w:val="24"/>
        </w:rPr>
        <w:t>.</w:t>
      </w:r>
    </w:p>
    <w:p w14:paraId="7E5E0909" w14:textId="77777777" w:rsidR="00FB0E5C" w:rsidRPr="006B3D43" w:rsidRDefault="00FB0E5C" w:rsidP="006B3D43">
      <w:pPr>
        <w:spacing w:line="360" w:lineRule="auto"/>
        <w:ind w:firstLine="720"/>
        <w:contextualSpacing/>
        <w:jc w:val="both"/>
        <w:rPr>
          <w:rFonts w:ascii="Arial" w:hAnsi="Arial" w:cs="Arial"/>
          <w:sz w:val="24"/>
          <w:szCs w:val="24"/>
        </w:rPr>
      </w:pPr>
    </w:p>
    <w:p w14:paraId="08B41D97" w14:textId="7C2D11BA" w:rsidR="00DF2C80" w:rsidRPr="006B3D43" w:rsidRDefault="00DF2C80" w:rsidP="00FD00FE">
      <w:pPr>
        <w:spacing w:line="360" w:lineRule="auto"/>
        <w:ind w:firstLine="720"/>
        <w:jc w:val="both"/>
        <w:rPr>
          <w:rFonts w:ascii="Arial" w:hAnsi="Arial" w:cs="Arial"/>
          <w:sz w:val="24"/>
          <w:szCs w:val="24"/>
        </w:rPr>
      </w:pPr>
      <w:r w:rsidRPr="006B3D43">
        <w:rPr>
          <w:rFonts w:ascii="Arial" w:hAnsi="Arial" w:cs="Arial"/>
          <w:sz w:val="24"/>
          <w:szCs w:val="24"/>
        </w:rPr>
        <w:t xml:space="preserve">N-linked glycans </w:t>
      </w:r>
      <w:r w:rsidR="007F636A">
        <w:rPr>
          <w:rFonts w:ascii="Arial" w:hAnsi="Arial" w:cs="Arial"/>
          <w:sz w:val="24"/>
          <w:szCs w:val="24"/>
        </w:rPr>
        <w:t>are</w:t>
      </w:r>
      <w:r w:rsidRPr="006B3D43">
        <w:rPr>
          <w:rFonts w:ascii="Arial" w:hAnsi="Arial" w:cs="Arial"/>
          <w:sz w:val="24"/>
          <w:szCs w:val="24"/>
        </w:rPr>
        <w:t xml:space="preserve"> highly dynamic and </w:t>
      </w:r>
      <w:r w:rsidR="00D76DE0">
        <w:rPr>
          <w:rFonts w:ascii="Arial" w:hAnsi="Arial" w:cs="Arial"/>
          <w:sz w:val="24"/>
          <w:szCs w:val="24"/>
        </w:rPr>
        <w:t xml:space="preserve">can </w:t>
      </w:r>
      <w:r w:rsidRPr="006B3D43">
        <w:rPr>
          <w:rFonts w:ascii="Arial" w:hAnsi="Arial" w:cs="Arial"/>
          <w:sz w:val="24"/>
          <w:szCs w:val="24"/>
        </w:rPr>
        <w:t xml:space="preserve">substantially vary in chemical composition </w:t>
      </w:r>
      <w:r w:rsidR="007F636A">
        <w:rPr>
          <w:rFonts w:ascii="Arial" w:hAnsi="Arial" w:cs="Arial"/>
          <w:sz w:val="24"/>
          <w:szCs w:val="24"/>
        </w:rPr>
        <w:t>within a single batch of protein.</w:t>
      </w:r>
      <w:r w:rsidR="006F412F">
        <w:rPr>
          <w:rFonts w:ascii="Arial" w:hAnsi="Arial" w:cs="Arial"/>
          <w:sz w:val="24"/>
          <w:szCs w:val="24"/>
        </w:rPr>
        <w:t xml:space="preserve"> </w:t>
      </w:r>
      <w:r w:rsidR="007F636A">
        <w:rPr>
          <w:rFonts w:ascii="Arial" w:hAnsi="Arial" w:cs="Arial"/>
          <w:sz w:val="24"/>
          <w:szCs w:val="24"/>
        </w:rPr>
        <w:t>Whilst glycosylation is heterogeneous</w:t>
      </w:r>
      <w:r w:rsidR="006F412F">
        <w:rPr>
          <w:rFonts w:ascii="Arial" w:hAnsi="Arial" w:cs="Arial"/>
          <w:sz w:val="24"/>
          <w:szCs w:val="24"/>
        </w:rPr>
        <w:t>,</w:t>
      </w:r>
      <w:r w:rsidR="007F636A">
        <w:rPr>
          <w:rFonts w:ascii="Arial" w:hAnsi="Arial" w:cs="Arial"/>
          <w:sz w:val="24"/>
          <w:szCs w:val="24"/>
        </w:rPr>
        <w:t xml:space="preserve"> it is important for therapeutic</w:t>
      </w:r>
      <w:r w:rsidR="006F412F">
        <w:rPr>
          <w:rFonts w:ascii="Arial" w:hAnsi="Arial" w:cs="Arial"/>
          <w:sz w:val="24"/>
          <w:szCs w:val="24"/>
        </w:rPr>
        <w:t xml:space="preserve"> and vaccine</w:t>
      </w:r>
      <w:r w:rsidR="007F636A">
        <w:rPr>
          <w:rFonts w:ascii="Arial" w:hAnsi="Arial" w:cs="Arial"/>
          <w:sz w:val="24"/>
          <w:szCs w:val="24"/>
        </w:rPr>
        <w:t xml:space="preserve"> design to understand whether similar glycoforms arise across different protein expression</w:t>
      </w:r>
      <w:r w:rsidR="006766D8">
        <w:rPr>
          <w:rFonts w:ascii="Arial" w:hAnsi="Arial" w:cs="Arial"/>
          <w:sz w:val="24"/>
          <w:szCs w:val="24"/>
        </w:rPr>
        <w:t xml:space="preserve"> platforms</w:t>
      </w:r>
      <w:r w:rsidR="007F636A">
        <w:rPr>
          <w:rFonts w:ascii="Arial" w:hAnsi="Arial" w:cs="Arial"/>
          <w:sz w:val="24"/>
          <w:szCs w:val="24"/>
        </w:rPr>
        <w:t xml:space="preserve"> from different sources to ensure the antigenic surface of the S protein remains consistent</w:t>
      </w:r>
      <w:r w:rsidR="006F412F">
        <w:rPr>
          <w:rFonts w:ascii="Arial" w:hAnsi="Arial" w:cs="Arial"/>
          <w:sz w:val="24"/>
          <w:szCs w:val="24"/>
        </w:rPr>
        <w:t xml:space="preserve"> when used as an immunogen</w:t>
      </w:r>
      <w:r w:rsidRPr="006B3D43">
        <w:rPr>
          <w:rFonts w:ascii="Arial" w:hAnsi="Arial" w:cs="Arial"/>
          <w:sz w:val="24"/>
          <w:szCs w:val="24"/>
        </w:rPr>
        <w:t xml:space="preserve"> </w:t>
      </w:r>
      <w:r w:rsidR="00D76DE0">
        <w:rPr>
          <w:rFonts w:ascii="Arial" w:hAnsi="Arial" w:cs="Arial"/>
          <w:sz w:val="24"/>
          <w:szCs w:val="24"/>
        </w:rPr>
        <w:t xml:space="preserve">or in serological assays </w:t>
      </w:r>
      <w:r w:rsidR="00D8588D" w:rsidRPr="00D8588D">
        <w:rPr>
          <w:rFonts w:ascii="Arial" w:hAnsi="Arial" w:cs="Arial"/>
          <w:sz w:val="24"/>
          <w:szCs w:val="24"/>
        </w:rPr>
        <w:fldChar w:fldCharType="begin" w:fldLock="1"/>
      </w:r>
      <w:r w:rsidR="0011604D">
        <w:rPr>
          <w:rFonts w:ascii="Arial" w:hAnsi="Arial" w:cs="Arial"/>
          <w:sz w:val="24"/>
          <w:szCs w:val="24"/>
        </w:rPr>
        <w:instrText>ADDIN CSL_CITATION {"citationItems":[{"id":"ITEM-1","itemData":{"DOI":"10.3201/EID2612.203309","ISSN":"10806059","PMID":"32969788","abstract":"Dried blood spot (DBS) samples can be used for the detection of severe acute respiratory syndrome coronavirus 2 spike antibodies. DBS sampling is comparable to matched serum samples with a relative 98.1% sensitivity and 100% specificity. Thus, DBS sampling offers an alternative for population-wide serologic testing in the coronavirus pandemic.","author":[{"dropping-particle":"","family":"Morley","given":"Gabriella L.","non-dropping-particle":"","parse-names":false,"suffix":""},{"dropping-particle":"","family":"Taylor","given":"Stephen","non-dropping-particle":"","parse-names":false,"suffix":""},{"dropping-particle":"","family":"Jossi","given":"Sian","non-dropping-particle":"","parse-names":false,"suffix":""},{"dropping-particle":"","family":"Perez-Toledo","given":"Marisol","non-dropping-particle":"","parse-names":false,"suffix":""},{"dropping-particle":"","family":"Faustini","given":"Sian E.","non-dropping-particle":"","parse-names":false,"suffix":""},{"dropping-particle":"","family":"Marcial-Juarez","given":"Edith","non-dropping-particle":"","parse-names":false,"suffix":""},{"dropping-particle":"","family":"Shields","given":"Adrian M.","non-dropping-particle":"","parse-names":false,"suffix":""},{"dropping-particle":"","family":"Goodall","given":"Margaret","non-dropping-particle":"","parse-names":false,"suffix":""},{"dropping-particle":"","family":"Allen","given":"Joel D.","non-dropping-particle":"","parse-names":false,"suffix":""},{"dropping-particle":"","family":"Watanabe","given":"Yasunori","non-dropping-particle":"","parse-names":false,"suffix":""},{"dropping-particle":"","family":"Newby","given":"Maddy L.","non-dropping-particle":"","parse-names":false,"suffix":""},{"dropping-particle":"","family":"Crispin","given":"Max","non-dropping-particle":"","parse-names":false,"suffix":""},{"dropping-particle":"","family":"Drayson","given":"Mark T.","non-dropping-particle":"","parse-names":false,"suffix":""},{"dropping-particle":"","family":"Cunningham","given":"Adam F.","non-dropping-particle":"","parse-names":false,"suffix":""},{"dropping-particle":"","family":"Richter","given":"Alex G.","non-dropping-particle":"","parse-names":false,"suffix":""},{"dropping-particle":"","family":"O'Shea","given":"Matthew K.","non-dropping-particle":"","parse-names":false,"suffix":""}],"container-title":"Emerging Infectious Diseases","id":"ITEM-1","issue":"12","issued":{"date-parts":[["2020","12","1"]]},"page":"2970-2973","publisher":"Centers for Disease Control and Prevention (CDC)","title":"Sensitive detection of SARS-CoV-2-Specific antibodies in dried blood spot samples","type":"article-journal","volume":"26"},"uris":["http://www.mendeley.com/documents/?uuid=92156983-ddb9-3806-9bad-467c761a604c"]},{"id":"ITEM-2","itemData":{"DOI":"10.1111/imm.13349","ISSN":"0019-2805","abstract":"Detecting antibody responses during and after SARS-CoV-2 infection is essential in determining the seroepidemiology of the virus and the potential role of antibody in disease. Scalable, sensitive and specific serological assays are essential to this process. The detection of antibody in hospitalized patients with severe disease has proven relatively straightforward; detecting responses in subjects with mild disease and asymptomatic infections has proven less reliable. We hypothesized that the suboptimal sensitivity of antibody assays and the compartmentalization of the antibody response may contribute to this effect. We systematically developed an ELISA assay, optimizing different antigens and amplification steps, in serum and saliva from non-hospitalised SARS-CoV-2-infected subjects. Using trimeric spike glycoprotein, rather than nucleocapsid enabled detection of responses in individuals with low antibody responses. IgG1 and IgG3 predominate to both antigens, but more anti-spike IgG1 than IgG3 was detectable. All antigens were effective for detecting responses in hospitalized patients. Anti-spike IgG, IgA and IgM antibody responses were readily detectable in saliva from a minority of RT-PCR confirmed, non-hospitalized symptomatic individuals, and these were mostly subjects who had the highest levels of anti-spike serum antibodies. Therefore, detecting antibody responses in both saliva and serum can contribute to determining virus exposure and understanding immune responses after SARS-CoV-2 infection.","author":[{"dropping-particle":"","family":"Faustini","given":"Sian E.","non-dropping-particle":"","parse-names":false,"suffix":""},{"dropping-particle":"","family":"Jossi","given":"Sian E.","non-dropping-particle":"","parse-names":false,"suffix":""},{"dropping-particle":"","family":"Perez</w:instrText>
      </w:r>
      <w:r w:rsidR="0011604D">
        <w:rPr>
          <w:rFonts w:ascii="Cambria Math" w:hAnsi="Cambria Math" w:cs="Cambria Math"/>
          <w:sz w:val="24"/>
          <w:szCs w:val="24"/>
        </w:rPr>
        <w:instrText>‐</w:instrText>
      </w:r>
      <w:r w:rsidR="0011604D">
        <w:rPr>
          <w:rFonts w:ascii="Arial" w:hAnsi="Arial" w:cs="Arial"/>
          <w:sz w:val="24"/>
          <w:szCs w:val="24"/>
        </w:rPr>
        <w:instrText>Toledo","given":"Marisol","non-dropping-particle":"","parse-names":false,"suffix":""},{"dropping-particle":"","family":"Shields","given":"Adrian M.","non-dropping-particle":"","parse-names":false,"suffix":""},{"dropping-particle":"","family":"Allen","given":"Joel D.","non-dropping-particle":"","parse-names":false,"suffix":""},{"dropping-particle":"","family":"Watanabe","given":"Yasunori","non-dropping-particle":"","parse-names":false,"suffix":""},{"dropping-particle":"","family":"Newby","given":"Maddy L.","non-dropping-particle":"","parse-names":false,"suffix":""},{"dropping-particle":"","family":"Cook","given":"Alex","non-dropping-particle":"","parse-names":false,"suffix":""},{"dropping-particle":"","family":"Willcox","given":"Carrie R.","non-dropping-particle":"","parse-names":false,"suffix":""},{"dropping-particle":"","family":"Salim","given":"Mahboob","non-dropping-particle":"","parse-names":false,"suffix":""},{"dropping-particle":"","family":"Goodall","given":"Margaret","non-dropping-particle":"","parse-names":false,"suffix":""},{"dropping-particle":"","family":"Heaney","given":"Jennifer L.","non-dropping-particle":"","parse-names":false,"suffix":""},{"dropping-particle":"","family":"Marcial</w:instrText>
      </w:r>
      <w:r w:rsidR="0011604D">
        <w:rPr>
          <w:rFonts w:ascii="Cambria Math" w:hAnsi="Cambria Math" w:cs="Cambria Math"/>
          <w:sz w:val="24"/>
          <w:szCs w:val="24"/>
        </w:rPr>
        <w:instrText>‐</w:instrText>
      </w:r>
      <w:r w:rsidR="0011604D">
        <w:rPr>
          <w:rFonts w:ascii="Arial" w:hAnsi="Arial" w:cs="Arial"/>
          <w:sz w:val="24"/>
          <w:szCs w:val="24"/>
        </w:rPr>
        <w:instrText>Juarez","given":"Edith","non-dropping-particle":"","parse-names":false,"suffix":""},{"dropping-particle":"","family":"Morley","given":"Gabriella L.","non-dropping-particle":"","parse-names":false,"suffix":""},{"dropping-particle":"","family":"Torlinska","given":"Barbara","non-dropping-particle":"","parse-names":false,"suffix":""},{"dropping-particle":"","family":"Wraith","given":"David C.","non-dropping-particle":"","parse-names":false,"suffix":""},{"dropping-particle":"V.","family":"Veenith","given":"Tonny","non-dropping-particle":"","parse-names":false,"suffix":""},{"dropping-particle":"","family":"Harding","given":"Stephen","non-dropping-particle":"","parse-names":false,"suffix":""},{"dropping-particle":"","family":"Jolles","given":"Stephen","non-dropping-particle":"","parse-names":false,"suffix":""},{"dropping-particle":"","family":"Ponsford","given":"Mark J.","non-dropping-particle":"","parse-names":false,"suffix":""},{"dropping-particle":"","family":"Plant","given":"Tim","non-dropping-particle":"","parse-names":false,"suffix":""},{"dropping-particle":"","family":"Huissoon","given":"Aarnoud","non-dropping-particle":"","parse-names":false,"suffix":""},{"dropping-particle":"","family":"O’Shea","given":"Matthew K.","non-dropping-particle":"","parse-names":false,"suffix":""},{"dropping-particle":"","family":"Willcox","given":"Benjamin E.","non-dropping-particle":"","parse-names":false,"suffix":""},{"dropping-particle":"","family":"Drayson","given":"Mark T.","non-dropping-particle":"","parse-names":false,"suffix":""},{"dropping-particle":"","family":"Crispin","given":"Max","non-dropping-particle":"","parse-names":false,"suffix":""},{"dropping-particle":"","family":"Cunningham","given":"Adam F.","non-dropping-particle":"","parse-names":false,"suffix":""},{"dropping-particle":"","family":"Richter","given":"Alex G.","non-dropping-particle":"","parse-names":false,"suffix":""}],"container-title":"Immunology","id":"ITEM-2","issued":{"date-parts":[["2021","5","24"]]},"page":"1-13","publisher":"Wiley","title":"Development of a high sensitivity ELISA detecting IgG, A &amp; M antibodies to the SARS</w:instrText>
      </w:r>
      <w:r w:rsidR="0011604D">
        <w:rPr>
          <w:rFonts w:ascii="Cambria Math" w:hAnsi="Cambria Math" w:cs="Cambria Math"/>
          <w:sz w:val="24"/>
          <w:szCs w:val="24"/>
        </w:rPr>
        <w:instrText>‐</w:instrText>
      </w:r>
      <w:r w:rsidR="0011604D">
        <w:rPr>
          <w:rFonts w:ascii="Arial" w:hAnsi="Arial" w:cs="Arial"/>
          <w:sz w:val="24"/>
          <w:szCs w:val="24"/>
        </w:rPr>
        <w:instrText>CoV</w:instrText>
      </w:r>
      <w:r w:rsidR="0011604D">
        <w:rPr>
          <w:rFonts w:ascii="Cambria Math" w:hAnsi="Cambria Math" w:cs="Cambria Math"/>
          <w:sz w:val="24"/>
          <w:szCs w:val="24"/>
        </w:rPr>
        <w:instrText>‐</w:instrText>
      </w:r>
      <w:r w:rsidR="0011604D">
        <w:rPr>
          <w:rFonts w:ascii="Arial" w:hAnsi="Arial" w:cs="Arial"/>
          <w:sz w:val="24"/>
          <w:szCs w:val="24"/>
        </w:rPr>
        <w:instrText>2 spike glycoprotein in serum and saliva","type":"article-journal","volume":"00"},"uris":["http://www.mendeley.com/documents/?uuid=052f56c5-7395-418c-9a11-4e725070f9d8"]},{"id":"ITEM-3","itemData":{"DOI":"10.1016/j.jim.2021.113046","ISSN":"00221759","PMID":"33775672","abstract":"Background: Frequently SARS-CoV-2 results in mild or moderate disease with potentially lower concentrations of antibodies compared to those that are hospitalised. Here, we validated an ELISA using SARS-CoV-2 trimeric spike glycoprotein, with targeted detection of IgG, IgA and IgM (IgGAM) using serum and dried blood spots (DBS) from adults with mild or moderate disease. Methods: Targeting the SARS-CoV-2 trimeric spike, a combined anti-IgG, IgA and IgM serology ELISA assay was developed using 62 PCR-confirmed non-hospitalised, mild or moderate COVID-19 samples, ≥14 days post symptom onset and 624 COVID-19 negative samples. The assay was validated using 73 PCR-confirmed non-hospitalised, mild or moderate COVID-19 samples, ≥14 days post symptom onset and 359 COVID-19 negative serum samples with an additional 81 DBSs. The assay was further validated in 226 PCR-confirmed non-hospitalised, mild or moderate COVID-19 samples, ≥14 days post symptom onset and 426 COVID-19 negative clinical samples. Results: A sensitivity and specificity of 98.6% (95% CI, 92.6–100.0), 98.3% (95% CI, 96.4–99.4), respectively, was observed following validation of the SARS-CoV-2 ELISA. No cross-reactivities with endemic coronaviruses or other human viruses were observed, and no change in results were recorded for interfering substances. The assay was stable at temperature extremes and components were stable for 15 days once opened. A matrix comparison showed DBS to correlate with serum results. Clinical validation of the assay reported a sensitivity of 94.7% (95% CI, 90.9–97.2%) and a specificity of 98.4% (95% CI, 96.6–99.3%). Conclusions: The human anti-IgGAM SARS-CoV-2 ELISA provides accurate and sensitive detection of SARS-CoV-2 antibodies in non-hospitalised adults with mild or moderate disease. The use of dried blood spots makes the assay accessible to the wider community.","author":[{"dropping-particle":"","family":"Cook","given":"A.M.","non-dropping-particle":"","parse-names":false,"suffix":""},{"dropping-particle":"","family":"Faustini","given":"S.E.","non-dropping-particle":"","parse-names":false,"suffix":""},{"dropping-particle":"","family":"Williams","given":"L.J.","non-dropping-particle":"","parse-names":false,"suffix":""},{"dropping-particle":"","family":"Cunningham","given":"A.F.","non-dropping-particle":"","parse-names":false,"suffix":""},{"dropping-particle":"","family":"Drayson","given":"M.T.","non-dropping-particle":"","parse-names":false,"suffix":""},{"dropping-particle":"","family":"Shields","given":"A.M.","non-dropping-particle":"","parse-names":false,"suffix":""},{"dropping-particle":"","family":"Kay","given":"D.","non-dropping-particle":"","parse-names":false,"suffix":""},{"dropping-particle":"","family":"Taylor","given":"L.","non-dropping-particle":"","parse-names":false,"suffix":""},{"dropping-particle":"","family":"Plant","given":"T.","non-dropping-particle":"","parse-names":false,"suffix":""},{"dropping-particle":"","family":"Huissoon","given":"A.","non-dropping-particle":"","parse-names":false,"suffix":""},{"dropping-particle":"","family":"Wallis","given":"G.","non-dropping-particle":"","parse-names":false,"suffix":""},{"dropping-particle":"","family":"Beck","given":"S.","non-dropping-particle":"","parse-names":false,"suffix":""},{"dropping-particle":"","family":"Jossi","given":"S.E.","non-dropping-particle":"","parse-names":false,"suffix":""},{"dropping-particle":"","family":"Perez-Toledo","given":"M.","non-dropping-particle":"","parse-names":false,"suffix":""},{"dropping-particle":"","family":"Newby","given":"M.L.","non-dropping-particle":"","parse-names":false,"suffix":""},{"dropping-particle":"","family":"Allen","given":"J.D.","non-dropping-particle":"","parse-names":false,"suffix":""},{"dropping-particle":"","family":"Crispin","given":"M.","non-dropping-particle":"","parse-names":false,"suffix":""},{"dropping-particle":"","family":"Harding","given":"S.","non-dropping-particle":"","parse-names":false,"suffix":""},{"dropping-particle":"","family":"Richter","given":"A.G.","non-dropping-particle":"","parse-names":false,"suffix":""}],"container-title":"Journal of Immunological Methods","id":"ITEM-3","issued":{"date-parts":[["2021","7","1"]]},"page":"113046","publisher":"Elsevier B.V.","title":"Validation of a combined ELISA to detect IgG, IgA and IgM antibody responses to SARS-CoV-2 in mild or moderate non-hospitalised patients","type":"article-journal","volume":"494"},"uris":["http://www.mendeley.com/documents/?uuid=0e2bfe97-189e-39e5-90f3-aed4e5d117df"]},{"id":"ITEM-4","itemData":{"DOI":"10.1136/thoraxjnl-2020-215414","ISSN":"14683296","PMID":"32917840","abstract":"Objective To determine the rates of asymptomatic viral carriage and seroprevalence of SARS-CoV-2 antibodies in healthcare workers. Design A cross-sectional study of asymptomatic healthcare workers undertaken on 24/25 April 2020. Setting University Hospitals Birmingham NHS Foundation Trust (UHBFT), UK. Participants 545 asymptomatic healthcare workers were recruited while at work. Participants were invited to participate via the UHBFT social media. Exclusion criteria included current symptoms consistent with COVID-19. No potential participants were excluded. Intervention Participants volunteered a nasopharyngeal swab and a venous blood sample that were tested for SARS-CoV-2 RNA and anti-SARS-CoV-2 spike glycoprotein antibodies, respectively. Results were interpreted in the context of prior illnesses and the hospital departments in which participants worked. Main outcome measure Proportion of participants demonstrating infection and positive SARS-CoV-2 serology. Results The point prevalence of SARS-CoV-2 viral carriage was 2.4% (n=13/545). The overall seroprevalence of SARS-CoV-2 antibodies was 24.4% (n=126/516). Participants who reported prior symptomatic illness had higher seroprevalence (37.5% vs 17.1%, χ 2 =21.1034, p&lt;0.0001) and quantitatively greater antibody responses than those who had remained asymptomatic. Seroprevalence was greatest among those working in housekeeping (34.5%), acute medicine (33.3%) and general internal medicine (30.3%), with lower rates observed in participants working in intensive care (14.8%). BAME (Black, Asian and minority ethnic) ethnicity was associated with a significantly increased risk of seropositivity (OR: 1.92, 95% CI 1.14 to 3.23, p=0.01). Working on the intensive care unit was associated with a significantly lower risk of seropositivity compared with working in other areas of the hospital (OR: 0.28, 95% CI 0.09 to 0.78, p=0.02). Conclusions and relevance We identify differences in the occupational risk of exposure to SARS-CoV-2 between hospital departments and confirm asymptomatic seroconversion occurs in healthcare workers. Further investigation of these observations is required to inform future infection control and occupational health practices.","author":[{"dropping-particle":"","family":"Shields","given":"Adrian","non-dropping-particle":"","parse-names":false,"suffix":""},{"dropping-particle":"","family":"Faustini","given":"Sian E.","non-dropping-particle":"","parse-names":false,"suffix":""},{"dropping-particle":"","family":"Perez-Toledo","given":"Marisol","non-dropping-particle":"","parse-names":false,"suffix":""},{"dropping-particle":"","family":"Jossi","given":"Sian","non-dropping-particle":"","parse-names":false,"suffix":""},{"dropping-particle":"","family":"Aldera","given":"Erin","non-dropping-particle":"","parse-names":false,"suffix":""},{"dropping-particle":"","family":"Allen","given":"Joel D.","non-dropping-particle":"","parse-names":false,"suffix":""},{"dropping-particle":"","family":"Al-Taei","given":"Saly","non-dropping-particle":"","parse-names":false,"suffix":""},{"dropping-particle":"","family":"Backhouse","given":"Claire","non-dropping-particle":"","parse-names":false,"suffix":""},{"dropping-particle":"","family":"Bosworth","given":"Andrew","non-dropping-particle":"","parse-names":false,"suffix":""},{"dropping-particle":"","family":"Dunbar","given":"Lyndsey A.","non-dropping-particle":"","parse-names":false,"suffix":""},{"dropping-particle":"","family":"Ebanks","given":"Daniel","non-dropping-particle":"","parse-names":false,"suffix":""},{"dropping-particle":"","family":"Emmanuel","given":"Beena","non-dropping-particle":"","parse-names":false,"suffix":""},{"dropping-particle":"","family":"Garvey","given":"Mark","non-dropping-particle":"","parse-names":false,"suffix":""},{"dropping-particle":"","family":"Gray","given":"Joanna","non-dropping-particle":"","parse-names":false,"suffix":""},{"dropping-particle":"","family":"Kidd","given":"I. Michael","non-dropping-particle":"","parse-names":false,"suffix":""},{"dropping-particle":"","family":"McGinnell","given":"Golaleh","non-dropping-particle":"","parse-names":false,"suffix":""},{"dropping-particle":"","family":"McLoughlin","given":"Dee E.","non-dropping-particle":"","parse-names":false,"suffix":""},{"dropping-particle":"","family":"Morley","given":"Gabriella","non-dropping-particle":"","parse-names":false,"suffix":""},{"dropping-particle":"","family":"O'Neill","given":"Joanna","non-dropping-particle":"","parse-names":false,"suffix":""},{"dropping-particle":"","family":"Papakonstantinou","given":"Danai","non-dropping-particle":"","parse-names":false,"suffix":""},{"dropping-particle":"","family":"Pickles","given":"Oliver","non-dropping-particle":"","parse-names":false,"suffix":""},{"dropping-particle":"","family":"Poxon","given":"Charlotte","non-dropping-particle":"","parse-names":false,"suffix":""},{"dropping-particle":"","family":"Richter","given":"Megan","non-dropping-particle":"","parse-names":false,"suffix":""},{"dropping-particle":"","family":"Walker","given":"Eloise M.","non-dropping-particle":"","parse-names":false,"suffix":""},{"dropping-particle":"","family":"Wanigasooriya","given":"Kasun","non-dropping-particle":"","parse-names":false,"suffix":""},{"dropping-particle":"","family":"Watanabe","given":"Yasunori","non-dropping-particle":"","parse-names":false,"suffix":""},{"dropping-particle":"","family":"Whalley","given":"Celina","non-dropping-particle":"","parse-names":false,"suffix":""},{"dropping-particle":"","family":"Zielinska","given":"Agnieszka E.","non-dropping-particle":"","parse-names":false,"suffix":""},{"dropping-particle":"","family":"Crispin","given":"Max","non-dropping-particle":"","parse-names":false,"suffix":""},{"dropping-particle":"","family":"Wraith","given":"David C.","non-dropping-particle":"","parse-names":false,"suffix":""},{"dropping-particle":"","family":"Beggs","given":"Andrew D.","non-dropping-particle":"","parse-names":false,"suffix":""},{"dropping-particle":"","family":"Cunningham","given":"Adam F.","non-dropping-particle":"","parse-names":false,"suffix":""},{"dropping-particle":"","family":"Drayson","given":"Mark T.","non-dropping-particle":"","parse-names":false,"suffix":""},{"dropping-particle":"","family":"Richter","given":"Alex G.","non-dropping-particle":"","parse-names":false,"suffix":""}],"container-title":"Thorax","id":"ITEM-4","issue":"12","issued":{"date-parts":[["2020","12","1"]]},"page":"1089-1094","publisher":"BMJ Publishing Group","title":"SARS-CoV-2 seroprevalence and asymptomatic viral carriage in healthcare workers: A cross-sectional study","type":"article-journal","volume":"75"},"uris":["http://www.mendeley.com/documents/?uuid=1b34ab6a-ae89-368f-9fb7-db28a28db11c"]}],"mendeley":{"formattedCitation":"&lt;sup&gt;43–46&lt;/sup&gt;","plainTextFormattedCitation":"43–46","previouslyFormattedCitation":"&lt;sup&gt;43–46&lt;/sup&gt;"},"properties":{"noteIndex":0},"schema":"https://github.com/citation-style-language/schema/raw/master/csl-citation.json"}</w:instrText>
      </w:r>
      <w:r w:rsidR="00D8588D" w:rsidRPr="00D8588D">
        <w:rPr>
          <w:rFonts w:ascii="Arial" w:hAnsi="Arial" w:cs="Arial"/>
          <w:sz w:val="24"/>
          <w:szCs w:val="24"/>
        </w:rPr>
        <w:fldChar w:fldCharType="separate"/>
      </w:r>
      <w:r w:rsidR="007774B6" w:rsidRPr="007774B6">
        <w:rPr>
          <w:rFonts w:ascii="Arial" w:hAnsi="Arial" w:cs="Arial"/>
          <w:noProof/>
          <w:sz w:val="24"/>
          <w:szCs w:val="24"/>
          <w:vertAlign w:val="superscript"/>
        </w:rPr>
        <w:t>43–46</w:t>
      </w:r>
      <w:r w:rsidR="00D8588D" w:rsidRPr="00D8588D">
        <w:rPr>
          <w:rFonts w:ascii="Arial" w:hAnsi="Arial" w:cs="Arial"/>
          <w:sz w:val="24"/>
          <w:szCs w:val="24"/>
        </w:rPr>
        <w:fldChar w:fldCharType="end"/>
      </w:r>
      <w:r w:rsidR="00D8588D">
        <w:rPr>
          <w:rFonts w:ascii="Arial" w:hAnsi="Arial" w:cs="Arial"/>
          <w:sz w:val="24"/>
          <w:szCs w:val="24"/>
        </w:rPr>
        <w:t>.</w:t>
      </w:r>
      <w:r w:rsidR="00D76DE0">
        <w:rPr>
          <w:rFonts w:ascii="Arial" w:hAnsi="Arial" w:cs="Arial"/>
          <w:sz w:val="24"/>
          <w:szCs w:val="24"/>
        </w:rPr>
        <w:t xml:space="preserve">This is particularly important as glycan processing can be impacted by adverse protein conformations </w:t>
      </w:r>
      <w:r w:rsidR="00D8588D">
        <w:rPr>
          <w:rFonts w:ascii="Arial" w:hAnsi="Arial" w:cs="Arial"/>
          <w:sz w:val="24"/>
          <w:szCs w:val="24"/>
        </w:rPr>
        <w:fldChar w:fldCharType="begin" w:fldLock="1"/>
      </w:r>
      <w:r w:rsidR="0011604D">
        <w:rPr>
          <w:rFonts w:ascii="Arial" w:hAnsi="Arial" w:cs="Arial"/>
          <w:sz w:val="24"/>
          <w:szCs w:val="24"/>
        </w:rPr>
        <w:instrText>ADDIN CSL_CITATION {"citationItems":[{"id":"ITEM-1","itemData":{"DOI":"10.1128/JVI.01894-16","ISSN":"0022-538X","PMID":"27807235","abstract":"The formation of a correctly folded and natively glycosylated HIV-1 viral spike is dependent on protease cleavage of the gp160 precursor protein in the Golgi apparatus. Cleavage induces a compact structure which not only renders the spike capable of fusion but also limits further maturation of its extensive glycosylation. The redirection of the glycosylation pathway to preserve underprocessed oligomannose-type glycans is an important feature in immunogen design, as glycans contribute to or influence the epitopes of numerous broadly neutralizing antibodies. Here we present a quantitative site-specific analysis of a recombinant, trimeric mimic of the native HIV-1 viral spike (BG505 SOSIP.664) compared to the corresponding uncleaved pseudotrimer and the matched gp120 monomer. We present a detailed molecular map of a trimer-associated glycan remodeling that forms a localized subdomain of the native mannose patch. The formation of native trimers is a critical design feature in shaping the glycan epitopes presented on recombinant vaccine candidates.","author":[{"dropping-particle":"","family":"Behrens","given":"Anna-Janina","non-dropping-particle":"","parse-names":false,"suffix":""},{"dropping-particle":"","family":"Harvey","given":"David J.","non-dropping-particle":"","parse-names":false,"suffix":""},{"dropping-particle":"","family":"Milne","given":"Emilia","non-dropping-particle":"","parse-names":false,"suffix":""},{"dropping-particle":"","family":"Cupo","given":"Albert","non-dropping-particle":"","parse-names":false,"suffix":""},{"dropping-particle":"","family":"Kumar","given":"Abhinav","non-dropping-particle":"","parse-names":false,"suffix":""},{"dropping-particle":"","family":"Zitzmann","given":"Nicole","non-dropping-particle":"","parse-names":false,"suffix":""},{"dropping-particle":"","family":"Struwe","given":"Weston B.","non-dropping-particle":"","parse-names":false,"suffix":""},{"dropping-particle":"","family":"Moore","given":"John P.","non-dropping-particle":"","parse-names":false,"suffix":""},{"dropping-particle":"","family":"Crispin","given":"Max","non-dropping-particle":"","parse-names":false,"suffix":""}],"container-title":"Journal of Virology","id":"ITEM-1","issue":"2","issued":{"date-parts":[["2017","1","15"]]},"page":"e01894-16","publisher":"American Society for Microbiology","title":"Molecular Architecture of the Cleavage-Dependent Mannose Patch on a Soluble HIV-1 Envelope Glycoprotein Trimer","type":"article-journal","volume":"91"},"uris":["http://www.mendeley.com/documents/?uuid=cf1884b4-b34e-41a2-889b-0af28a943682"]}],"mendeley":{"formattedCitation":"&lt;sup&gt;47&lt;/sup&gt;","plainTextFormattedCitation":"47","previouslyFormattedCitation":"&lt;sup&gt;47&lt;/sup&gt;"},"properties":{"noteIndex":0},"schema":"https://github.com/citation-style-language/schema/raw/master/csl-citation.json"}</w:instrText>
      </w:r>
      <w:r w:rsidR="00D8588D">
        <w:rPr>
          <w:rFonts w:ascii="Arial" w:hAnsi="Arial" w:cs="Arial"/>
          <w:sz w:val="24"/>
          <w:szCs w:val="24"/>
        </w:rPr>
        <w:fldChar w:fldCharType="separate"/>
      </w:r>
      <w:r w:rsidR="0011604D" w:rsidRPr="0011604D">
        <w:rPr>
          <w:rFonts w:ascii="Arial" w:hAnsi="Arial" w:cs="Arial"/>
          <w:noProof/>
          <w:sz w:val="24"/>
          <w:szCs w:val="24"/>
          <w:vertAlign w:val="superscript"/>
        </w:rPr>
        <w:t>47</w:t>
      </w:r>
      <w:r w:rsidR="00D8588D">
        <w:rPr>
          <w:rFonts w:ascii="Arial" w:hAnsi="Arial" w:cs="Arial"/>
          <w:sz w:val="24"/>
          <w:szCs w:val="24"/>
        </w:rPr>
        <w:fldChar w:fldCharType="end"/>
      </w:r>
      <w:r w:rsidR="00D76DE0">
        <w:rPr>
          <w:rFonts w:ascii="Arial" w:hAnsi="Arial" w:cs="Arial"/>
          <w:sz w:val="24"/>
          <w:szCs w:val="24"/>
        </w:rPr>
        <w:t xml:space="preserve">. </w:t>
      </w:r>
      <w:r w:rsidRPr="006F412F">
        <w:rPr>
          <w:rFonts w:ascii="Arial" w:hAnsi="Arial" w:cs="Arial"/>
          <w:sz w:val="24"/>
          <w:szCs w:val="24"/>
        </w:rPr>
        <w:t>Here</w:t>
      </w:r>
      <w:r w:rsidR="00224C23" w:rsidRPr="006F412F">
        <w:rPr>
          <w:rFonts w:ascii="Arial" w:hAnsi="Arial" w:cs="Arial"/>
          <w:sz w:val="24"/>
          <w:szCs w:val="24"/>
        </w:rPr>
        <w:t>,</w:t>
      </w:r>
      <w:r w:rsidRPr="006F412F">
        <w:rPr>
          <w:rFonts w:ascii="Arial" w:hAnsi="Arial" w:cs="Arial"/>
          <w:sz w:val="24"/>
          <w:szCs w:val="24"/>
        </w:rPr>
        <w:t xml:space="preserve"> we describe an integrated approach </w:t>
      </w:r>
      <w:r w:rsidR="00224C23" w:rsidRPr="001A44D9">
        <w:rPr>
          <w:rFonts w:ascii="Arial" w:hAnsi="Arial" w:cs="Arial"/>
          <w:sz w:val="24"/>
          <w:szCs w:val="24"/>
        </w:rPr>
        <w:t xml:space="preserve">including liquid </w:t>
      </w:r>
      <w:r w:rsidR="00784FFF" w:rsidRPr="001A44D9">
        <w:rPr>
          <w:rFonts w:ascii="Arial" w:hAnsi="Arial" w:cs="Arial"/>
          <w:sz w:val="24"/>
          <w:szCs w:val="24"/>
        </w:rPr>
        <w:t>chromatography</w:t>
      </w:r>
      <w:r w:rsidR="00224C23" w:rsidRPr="001A44D9">
        <w:rPr>
          <w:rFonts w:ascii="Arial" w:hAnsi="Arial" w:cs="Arial"/>
          <w:sz w:val="24"/>
          <w:szCs w:val="24"/>
        </w:rPr>
        <w:t>- mass spectrometry</w:t>
      </w:r>
      <w:r w:rsidRPr="001A44D9">
        <w:rPr>
          <w:rFonts w:ascii="Arial" w:hAnsi="Arial" w:cs="Arial"/>
          <w:sz w:val="24"/>
          <w:szCs w:val="24"/>
        </w:rPr>
        <w:t xml:space="preserve"> </w:t>
      </w:r>
      <w:r w:rsidR="00224C23" w:rsidRPr="001A44D9">
        <w:rPr>
          <w:rFonts w:ascii="Arial" w:hAnsi="Arial" w:cs="Arial"/>
          <w:sz w:val="24"/>
          <w:szCs w:val="24"/>
        </w:rPr>
        <w:t>(</w:t>
      </w:r>
      <w:r w:rsidRPr="001A44D9">
        <w:rPr>
          <w:rFonts w:ascii="Arial" w:hAnsi="Arial" w:cs="Arial"/>
          <w:sz w:val="24"/>
          <w:szCs w:val="24"/>
        </w:rPr>
        <w:t>LC-MS</w:t>
      </w:r>
      <w:r w:rsidR="00224C23" w:rsidRPr="001A44D9">
        <w:rPr>
          <w:rFonts w:ascii="Arial" w:hAnsi="Arial" w:cs="Arial"/>
          <w:sz w:val="24"/>
          <w:szCs w:val="24"/>
        </w:rPr>
        <w:t>)</w:t>
      </w:r>
      <w:r w:rsidRPr="001A44D9">
        <w:rPr>
          <w:rFonts w:ascii="Arial" w:hAnsi="Arial" w:cs="Arial"/>
          <w:sz w:val="24"/>
          <w:szCs w:val="24"/>
        </w:rPr>
        <w:t xml:space="preserve"> and </w:t>
      </w:r>
      <w:r w:rsidR="00B26F3F">
        <w:rPr>
          <w:rFonts w:ascii="Arial" w:hAnsi="Arial" w:cs="Arial"/>
          <w:sz w:val="24"/>
          <w:szCs w:val="24"/>
        </w:rPr>
        <w:t>MD</w:t>
      </w:r>
      <w:r w:rsidR="00224C23" w:rsidRPr="006F412F">
        <w:rPr>
          <w:rFonts w:ascii="Arial" w:hAnsi="Arial" w:cs="Arial"/>
          <w:sz w:val="24"/>
          <w:szCs w:val="24"/>
        </w:rPr>
        <w:t xml:space="preserve"> simulations</w:t>
      </w:r>
      <w:r w:rsidRPr="006F412F">
        <w:rPr>
          <w:rFonts w:ascii="Arial" w:hAnsi="Arial" w:cs="Arial"/>
          <w:sz w:val="24"/>
          <w:szCs w:val="24"/>
        </w:rPr>
        <w:t xml:space="preserve"> t</w:t>
      </w:r>
      <w:r w:rsidR="00592BBC" w:rsidRPr="006F412F">
        <w:rPr>
          <w:rFonts w:ascii="Arial" w:hAnsi="Arial" w:cs="Arial"/>
          <w:sz w:val="24"/>
          <w:szCs w:val="24"/>
        </w:rPr>
        <w:t>o understand the glycosylation features</w:t>
      </w:r>
      <w:r w:rsidRPr="006F412F">
        <w:rPr>
          <w:rFonts w:ascii="Arial" w:hAnsi="Arial" w:cs="Arial"/>
          <w:sz w:val="24"/>
          <w:szCs w:val="24"/>
        </w:rPr>
        <w:t xml:space="preserve"> across recombinant S proteins from different </w:t>
      </w:r>
      <w:r w:rsidR="006766D8">
        <w:rPr>
          <w:rFonts w:ascii="Arial" w:hAnsi="Arial" w:cs="Arial"/>
          <w:sz w:val="24"/>
          <w:szCs w:val="24"/>
        </w:rPr>
        <w:t>sources</w:t>
      </w:r>
      <w:r w:rsidR="007F636A" w:rsidRPr="00AF6EBF">
        <w:rPr>
          <w:rFonts w:ascii="Arial" w:hAnsi="Arial" w:cs="Arial"/>
          <w:sz w:val="24"/>
          <w:szCs w:val="24"/>
        </w:rPr>
        <w:t>. We then explore</w:t>
      </w:r>
      <w:r w:rsidR="00224C23" w:rsidRPr="006F412F">
        <w:rPr>
          <w:rFonts w:ascii="Arial" w:hAnsi="Arial" w:cs="Arial"/>
          <w:sz w:val="24"/>
          <w:szCs w:val="24"/>
        </w:rPr>
        <w:t xml:space="preserve"> the extent to which these recombinant proteins </w:t>
      </w:r>
      <w:r w:rsidR="00224C23" w:rsidRPr="001A44D9">
        <w:rPr>
          <w:rFonts w:ascii="Arial" w:hAnsi="Arial" w:cs="Arial"/>
          <w:sz w:val="24"/>
          <w:szCs w:val="24"/>
        </w:rPr>
        <w:t>reproduce the glycosylation of viral derived SARS-CoV-2 S protein</w:t>
      </w:r>
      <w:r w:rsidR="00624A24">
        <w:rPr>
          <w:rFonts w:ascii="Arial" w:hAnsi="Arial" w:cs="Arial"/>
          <w:sz w:val="24"/>
          <w:szCs w:val="24"/>
        </w:rPr>
        <w:t xml:space="preserve"> produced from cultured Vero cells which was</w:t>
      </w:r>
      <w:r w:rsidR="00224C23" w:rsidRPr="001A44D9">
        <w:rPr>
          <w:rFonts w:ascii="Arial" w:hAnsi="Arial" w:cs="Arial"/>
          <w:sz w:val="24"/>
          <w:szCs w:val="24"/>
        </w:rPr>
        <w:t xml:space="preserve"> obtained from a previous study</w:t>
      </w:r>
      <w:r w:rsidR="00624A24">
        <w:rPr>
          <w:rFonts w:ascii="Arial" w:hAnsi="Arial" w:cs="Arial"/>
          <w:sz w:val="24"/>
          <w:szCs w:val="24"/>
        </w:rPr>
        <w:t xml:space="preserve"> </w:t>
      </w:r>
      <w:r w:rsidR="00624A24">
        <w:rPr>
          <w:rFonts w:ascii="Arial" w:hAnsi="Arial" w:cs="Arial"/>
          <w:sz w:val="24"/>
          <w:szCs w:val="24"/>
        </w:rPr>
        <w:fldChar w:fldCharType="begin" w:fldLock="1"/>
      </w:r>
      <w:r w:rsidR="007774B6">
        <w:rPr>
          <w:rFonts w:ascii="Arial" w:hAnsi="Arial" w:cs="Arial"/>
          <w:sz w:val="24"/>
          <w:szCs w:val="24"/>
        </w:rPr>
        <w:instrText xml:space="preserve">ADDIN CSL_CITATION {"citationItems":[{"id":"ITEM-1","itemData":{"DOI":"10.1016/j.cell.2020.09.018","ISSN":"10974172","PMID":"32979942","abstract":"SARS-CoV-2 is an enveloped virus responsible for the COVID-19 pandemic. Despite recent advances in the structural elucidation of SARS-CoV-2 proteins, the detailed architecture of the intact virus remains to be unveiled. Here we report the molecular assembly of the authentic SARS-CoV-2 virus using cryoelectron tomography (cryo-ET) and subtomogram averaging (STA). Native structures of the S proteins in pre- and postfusion conformations were determined to average resolutions of 8.7–11 Å. Compositions of the N-linked glycans from the native spikes were analyzed by mass spectrometry, which revealed overall processing states of the native glycans highly similar to that of the recombinant glycoprotein glycans. The native conformation of the ribonucleoproteins (RNPs) and their higher-order assemblies were revealed. Overall, these characterizations revealed the architecture of the SARS-CoV-2 virus in exceptional detail and shed light on how the virus packs its </w:instrText>
      </w:r>
      <w:r w:rsidR="007774B6">
        <w:rPr>
          <w:rFonts w:ascii="Cambria Math" w:hAnsi="Cambria Math" w:cs="Cambria Math"/>
          <w:sz w:val="24"/>
          <w:szCs w:val="24"/>
        </w:rPr>
        <w:instrText>∼</w:instrText>
      </w:r>
      <w:r w:rsidR="007774B6">
        <w:rPr>
          <w:rFonts w:ascii="Arial" w:hAnsi="Arial" w:cs="Arial"/>
          <w:sz w:val="24"/>
          <w:szCs w:val="24"/>
        </w:rPr>
        <w:instrText xml:space="preserve">30-kb-long single-segmented RNA in the </w:instrText>
      </w:r>
      <w:r w:rsidR="007774B6">
        <w:rPr>
          <w:rFonts w:ascii="Cambria Math" w:hAnsi="Cambria Math" w:cs="Cambria Math"/>
          <w:sz w:val="24"/>
          <w:szCs w:val="24"/>
        </w:rPr>
        <w:instrText>∼</w:instrText>
      </w:r>
      <w:r w:rsidR="007774B6">
        <w:rPr>
          <w:rFonts w:ascii="Arial" w:hAnsi="Arial" w:cs="Arial"/>
          <w:sz w:val="24"/>
          <w:szCs w:val="24"/>
        </w:rPr>
        <w:instrText>80-nm-diameter lumen.","author":[{"dropping-particle":"","family":"Yao","given":"Hangping","non-dropping-particle":"","parse-names":false,"suffix":""},{"dropping-particle":"","family":"Song","given":"Yutong","non-dropping-particle":"","parse-names":false,"suffix":""},{"dropping-particle":"","family":"Chen","given":"Yong","non-dropping-particle":"","parse-names":false,"suffix":""},{"dropping-particle":"","family":"Wu","given":"Nanping","non-dropping-particle":"","parse-names":false,"suffix":""},{"dropping-particle":"","family":"Xu","given":"Jialu","non-dropping-particle":"","parse-names":false,"suffix":""},{"dropping-particle":"","family":"Sun","given":"Chujie","non-dropping-particle":"","parse-names":false,"suffix":""},{"dropping-particle":"","family":"Zhang","given":"Jiaxing","non-dropping-particle":"","parse-names":false,"suffix":""},{"dropping-particle":"","family":"Weng","given":"Tianhao","non-dropping-particle":"","parse-names":false,"suffix":""},{"dropping-particle":"","family":"Zhang","given":"Zheyuan","non-dropping-particle":"","parse-names":false,"suffix":""},{"dropping-particle":"","family":"Wu","given":"Zhigang","non-dropping-particle":"","parse-names":false,"suffix":""},{"dropping-particle":"","family":"Cheng","given":"Linfang","non-dropping-particle":"","parse-names":false,"suffix":""},{"dropping-particle":"","family":"Shi","given":"Danrong","non-dropping-particle":"","parse-names":false,"suffix":""},{"dropping-particle":"","family":"Lu","given":"Xiangyun","non-dropping-particle":"","parse-names":false,"suffix":""},{"dropping-particle":"","family":"Lei","given":"Jianlin","non-dropping-particle":"","parse-names":false,"suffix":""},{"dropping-particle":"","family":"Crispin","given":"Max","non-dropping-particle":"","parse-names":false,"suffix":""},{"dropping-particle":"","family":"Shi","given":"Yigong","non-dropping-particle":"","parse-names":false,"suffix":""},{"dropping-particle":"","family":"Li","given":"Lanjuan","non-dropping-particle":"","parse-names":false,"suffix":""},{"dropping-particle":"","family":"Li","given":"Sai","non-dropping-particle":"","parse-names":false,"suffix":""}],"container-title":"Cell","id":"ITEM-1","issue":"3","issued":{"date-parts":[["2020","10","29"]]},"page":"730-738.e13","publisher":"Cell Press","title":"Molecular Architecture of the SARS-CoV-2 Virus","type":"article-journal","volume":"183"},"uris":["http://www.mendeley.com/documents/?uuid=4662bd08-c13c-3a08-a219-3bcb464b7393"]}],"mendeley":{"formattedCitation":"&lt;sup&gt;32&lt;/sup&gt;","plainTextFormattedCitation":"32","previouslyFormattedCitation":"&lt;sup&gt;32&lt;/sup&gt;"},"properties":{"noteIndex":0},"schema":"https://github.com/citation-style-language/schema/raw/master/csl-citation.json"}</w:instrText>
      </w:r>
      <w:r w:rsidR="00624A24">
        <w:rPr>
          <w:rFonts w:ascii="Arial" w:hAnsi="Arial" w:cs="Arial"/>
          <w:sz w:val="24"/>
          <w:szCs w:val="24"/>
        </w:rPr>
        <w:fldChar w:fldCharType="separate"/>
      </w:r>
      <w:r w:rsidR="007774B6" w:rsidRPr="007774B6">
        <w:rPr>
          <w:rFonts w:ascii="Arial" w:hAnsi="Arial" w:cs="Arial"/>
          <w:noProof/>
          <w:sz w:val="24"/>
          <w:szCs w:val="24"/>
          <w:vertAlign w:val="superscript"/>
        </w:rPr>
        <w:t>32</w:t>
      </w:r>
      <w:r w:rsidR="00624A24">
        <w:rPr>
          <w:rFonts w:ascii="Arial" w:hAnsi="Arial" w:cs="Arial"/>
          <w:sz w:val="24"/>
          <w:szCs w:val="24"/>
        </w:rPr>
        <w:fldChar w:fldCharType="end"/>
      </w:r>
      <w:r w:rsidRPr="006F412F">
        <w:rPr>
          <w:rFonts w:ascii="Arial" w:hAnsi="Arial" w:cs="Arial"/>
          <w:sz w:val="24"/>
          <w:szCs w:val="24"/>
        </w:rPr>
        <w:t xml:space="preserve">. </w:t>
      </w:r>
      <w:r w:rsidRPr="006B3D43">
        <w:rPr>
          <w:rFonts w:ascii="Arial" w:hAnsi="Arial" w:cs="Arial"/>
          <w:sz w:val="24"/>
          <w:szCs w:val="24"/>
        </w:rPr>
        <w:t xml:space="preserve">We have employed an identical analytical approach to determine </w:t>
      </w:r>
      <w:r w:rsidR="00184A21">
        <w:rPr>
          <w:rFonts w:ascii="Arial" w:hAnsi="Arial" w:cs="Arial"/>
          <w:sz w:val="24"/>
          <w:szCs w:val="24"/>
        </w:rPr>
        <w:t xml:space="preserve">the </w:t>
      </w:r>
      <w:r w:rsidRPr="006B3D43">
        <w:rPr>
          <w:rFonts w:ascii="Arial" w:hAnsi="Arial" w:cs="Arial"/>
          <w:sz w:val="24"/>
          <w:szCs w:val="24"/>
        </w:rPr>
        <w:t>glycan composition a</w:t>
      </w:r>
      <w:r w:rsidR="00184A21">
        <w:rPr>
          <w:rFonts w:ascii="Arial" w:hAnsi="Arial" w:cs="Arial"/>
          <w:sz w:val="24"/>
          <w:szCs w:val="24"/>
        </w:rPr>
        <w:t>t</w:t>
      </w:r>
      <w:r w:rsidRPr="006B3D43">
        <w:rPr>
          <w:rFonts w:ascii="Arial" w:hAnsi="Arial" w:cs="Arial"/>
          <w:sz w:val="24"/>
          <w:szCs w:val="24"/>
        </w:rPr>
        <w:t xml:space="preserve"> each site</w:t>
      </w:r>
      <w:r w:rsidR="00861E96">
        <w:rPr>
          <w:rFonts w:ascii="Arial" w:hAnsi="Arial" w:cs="Arial"/>
          <w:sz w:val="24"/>
          <w:szCs w:val="24"/>
        </w:rPr>
        <w:t>,</w:t>
      </w:r>
      <w:r w:rsidR="006F412F">
        <w:rPr>
          <w:rFonts w:ascii="Arial" w:hAnsi="Arial" w:cs="Arial"/>
          <w:sz w:val="24"/>
          <w:szCs w:val="24"/>
        </w:rPr>
        <w:t xml:space="preserve"> </w:t>
      </w:r>
      <w:r w:rsidR="006F412F" w:rsidRPr="006B3D43">
        <w:rPr>
          <w:rFonts w:ascii="Arial" w:hAnsi="Arial" w:cs="Arial"/>
          <w:sz w:val="24"/>
          <w:szCs w:val="24"/>
        </w:rPr>
        <w:t>illustrating conservation across recombinant protein and virion derived material</w:t>
      </w:r>
      <w:r w:rsidRPr="006B3D43">
        <w:rPr>
          <w:rFonts w:ascii="Arial" w:hAnsi="Arial" w:cs="Arial"/>
          <w:sz w:val="24"/>
          <w:szCs w:val="24"/>
        </w:rPr>
        <w:t>. Furthermore, we have analyzed</w:t>
      </w:r>
      <w:r w:rsidR="00861E96">
        <w:rPr>
          <w:rFonts w:ascii="Arial" w:hAnsi="Arial" w:cs="Arial"/>
          <w:sz w:val="24"/>
          <w:szCs w:val="24"/>
        </w:rPr>
        <w:t xml:space="preserve"> the glycosylation of</w:t>
      </w:r>
      <w:r w:rsidRPr="006B3D43">
        <w:rPr>
          <w:rFonts w:ascii="Arial" w:hAnsi="Arial" w:cs="Arial"/>
          <w:sz w:val="24"/>
          <w:szCs w:val="24"/>
        </w:rPr>
        <w:t xml:space="preserve"> </w:t>
      </w:r>
      <w:r w:rsidR="003560A7" w:rsidRPr="006B3D43">
        <w:rPr>
          <w:rFonts w:ascii="Arial" w:hAnsi="Arial" w:cs="Arial"/>
          <w:sz w:val="24"/>
          <w:szCs w:val="24"/>
        </w:rPr>
        <w:t xml:space="preserve">monomeric </w:t>
      </w:r>
      <w:r w:rsidRPr="006B3D43">
        <w:rPr>
          <w:rFonts w:ascii="Arial" w:hAnsi="Arial" w:cs="Arial"/>
          <w:sz w:val="24"/>
          <w:szCs w:val="24"/>
        </w:rPr>
        <w:t xml:space="preserve">RBD recombinant </w:t>
      </w:r>
      <w:r w:rsidR="00224C23" w:rsidRPr="006B3D43">
        <w:rPr>
          <w:rFonts w:ascii="Arial" w:hAnsi="Arial" w:cs="Arial"/>
          <w:sz w:val="24"/>
          <w:szCs w:val="24"/>
        </w:rPr>
        <w:t>protein</w:t>
      </w:r>
      <w:r w:rsidR="00861E96">
        <w:rPr>
          <w:rFonts w:ascii="Arial" w:hAnsi="Arial" w:cs="Arial"/>
          <w:sz w:val="24"/>
          <w:szCs w:val="24"/>
        </w:rPr>
        <w:t>,</w:t>
      </w:r>
      <w:r w:rsidRPr="006B3D43">
        <w:rPr>
          <w:rFonts w:ascii="Arial" w:hAnsi="Arial" w:cs="Arial"/>
          <w:sz w:val="24"/>
          <w:szCs w:val="24"/>
        </w:rPr>
        <w:t xml:space="preserve"> as</w:t>
      </w:r>
      <w:r w:rsidR="00E06734">
        <w:rPr>
          <w:rFonts w:ascii="Arial" w:hAnsi="Arial" w:cs="Arial"/>
          <w:sz w:val="24"/>
          <w:szCs w:val="24"/>
        </w:rPr>
        <w:t xml:space="preserve"> it has</w:t>
      </w:r>
      <w:r w:rsidRPr="006B3D43">
        <w:rPr>
          <w:rFonts w:ascii="Arial" w:hAnsi="Arial" w:cs="Arial"/>
          <w:sz w:val="24"/>
          <w:szCs w:val="24"/>
        </w:rPr>
        <w:t xml:space="preserve"> previously been explored as a subunit vaccine and </w:t>
      </w:r>
      <w:r w:rsidR="00C43EEC">
        <w:rPr>
          <w:rFonts w:ascii="Arial" w:hAnsi="Arial" w:cs="Arial"/>
          <w:sz w:val="24"/>
          <w:szCs w:val="24"/>
        </w:rPr>
        <w:t>a</w:t>
      </w:r>
      <w:r w:rsidR="005728B6">
        <w:rPr>
          <w:rFonts w:ascii="Arial" w:hAnsi="Arial" w:cs="Arial"/>
          <w:sz w:val="24"/>
          <w:szCs w:val="24"/>
        </w:rPr>
        <w:t xml:space="preserve"> candidate for</w:t>
      </w:r>
      <w:r w:rsidR="005728B6" w:rsidRPr="006B3D43">
        <w:rPr>
          <w:rFonts w:ascii="Arial" w:hAnsi="Arial" w:cs="Arial"/>
          <w:sz w:val="24"/>
          <w:szCs w:val="24"/>
        </w:rPr>
        <w:t xml:space="preserve"> </w:t>
      </w:r>
      <w:r w:rsidRPr="006B3D43">
        <w:rPr>
          <w:rFonts w:ascii="Arial" w:hAnsi="Arial" w:cs="Arial"/>
          <w:sz w:val="24"/>
          <w:szCs w:val="24"/>
        </w:rPr>
        <w:t>serological testing</w:t>
      </w:r>
      <w:r w:rsidR="002C75C9">
        <w:rPr>
          <w:rFonts w:ascii="Arial" w:hAnsi="Arial" w:cs="Arial"/>
          <w:sz w:val="24"/>
          <w:szCs w:val="24"/>
        </w:rPr>
        <w:t xml:space="preserve"> </w:t>
      </w:r>
      <w:r w:rsidR="003560A7" w:rsidRPr="006B3D43">
        <w:rPr>
          <w:rFonts w:ascii="Arial" w:hAnsi="Arial" w:cs="Arial"/>
          <w:sz w:val="24"/>
          <w:szCs w:val="24"/>
        </w:rPr>
        <w:fldChar w:fldCharType="begin" w:fldLock="1"/>
      </w:r>
      <w:r w:rsidR="009E22F0">
        <w:rPr>
          <w:rFonts w:ascii="Arial" w:hAnsi="Arial" w:cs="Arial"/>
          <w:sz w:val="24"/>
          <w:szCs w:val="24"/>
        </w:rPr>
        <w:instrText>ADDIN CSL_CITATION {"citationItems":[{"id":"ITEM-1","itemData":{"DOI":"10.1038/s41423-020-0400-4","ISSN":"20420226","PMID":"32203189","abstract":"The outbreak of Coronavirus Disease 2019 (COVID-19) has posed a serious threat to global public health, calling for the development of safe and effective prophylactics and therapeutics against infection of its causative agent, severe acute respiratory syndrome coronavirus 2 (SARS-CoV-2), also known as 2019 novel coronavirus (2019-nCoV). The CoV spike (S) protein plays the most important roles in viral attachment, fusion and entry, and serves as a target for development of antibodies, entry inhibitors and vaccines. Here, we identified the receptor-binding domain (RBD) in SARS-CoV-2 S protein and found that the RBD protein bound strongly to human and bat angiotensin-converting enzyme 2 (ACE2) receptors. SARS-CoV-2 RBD exhibited significantly higher binding affinity to ACE2 receptor than SARS-CoV RBD and could block the binding and, hence, attachment of SARS-CoV-2 RBD and SARS-CoV RBD to ACE2-expressing cells, thus inhibiting their infection to host cells. SARS-CoV RBD-specific antibodies could cross-react with SARS-CoV-2 RBD protein, and SARS-CoV RBD-induced antisera could cross-neutralize SARS-CoV-2, suggesting the potential to develop SARS-CoV RBD-based vaccines for prevention of SARS-CoV-2 and SARS-CoV infection.","author":[{"dropping-particle":"","family":"Tai","given":"Wanbo","non-dropping-particle":"","parse-names":false,"suffix":""},{"dropping-particle":"","family":"He","given":"Lei","non-dropping-particle":"","parse-names":false,"suffix":""},{"dropping-particle":"","family":"Zhang","given":"Xiujuan","non-dropping-particle":"","parse-names":false,"suffix":""},{"dropping-particle":"","family":"Pu","given":"Jing","non-dropping-particle":"","parse-names":false,"suffix":""},{"dropping-particle":"","family":"Voronin","given":"Denis","non-dropping-particle":"","parse-names":false,"suffix":""},{"dropping-particle":"","family":"Jiang","given":"Shibo","non-dropping-particle":"","parse-names":false,"suffix":""},{"dropping-particle":"","family":"Zhou","given":"Yusen","non-dropping-particle":"","parse-names":false,"suffix":""},{"dropping-particle":"","family":"Du","given":"Lanying","non-dropping-particle":"","parse-names":false,"suffix":""}],"container-title":"Cellular and Molecular Immunology","id":"ITEM-1","issue":"6","issued":{"date-parts":[["2020"]]},"page":"613-620","title":"Characterization of the receptor-binding domain (RBD) of 2019 novel coronavirus: implication for development of RBD protein as a viral attachment inhibitor and vaccine","type":"article-journal","volume":"17"},"uris":["http://www.mendeley.com/documents/?uuid=fa7fd3fa-56ef-4ea8-b422-325a704ceeb9"]},{"id":"ITEM-2","itemData":{"DOI":"10.1002/cpmc.100","ISSN":"19348533","PMID":"32302069","abstract":"In late 2019, cases of atypical pneumonia were detected in China. The etiological agent was quickly identified as a betacoronavirus (named SARS-CoV-2), which has since caused a pandemic. Several methods allowing for the specific detection of viral nucleic acids have been established, but these only allow detection of the virus during a short period of time, generally during acute infection. Serological assays are urgently needed to conduct serosurveys, to understand the antibody responses mounted in response to the virus, and to identify individuals who are potentially immune to re-infection. Here we describe a detailed protocol for expression of antigens derived from the spike protein of SARS-CoV-2 that can serve as a substrate for immunological assays, as well as a two-stage serological enzyme-linked immunosorbent assay (ELISA). These assays can be used for research studies and for testing in clinical laboratories. © 2020 The Authors. Current Protocols in Microbiology published by Wiley Periodicals LLC. Basic Protocol 1: Mammalian cell transfection and protein purification. Basic Protocol 2: A two-stage ELISA for high-throughput screening of human serum samples for antibodies binding to the spike protein of SARS-CoV-2.","author":[{"dropping-particle":"","family":"Stadlbauer","given":"Daniel","non-dropping-particle":"","parse-names":false,"suffix":""},{"dropping-particle":"","family":"Amanat","given":"Fatima","non-dropping-particle":"","parse-names":false,"suffix":""},{"dropping-particle":"","family":"Chromikova","given":"Veronika","non-dropping-particle":"","parse-names":false,"suffix":""},{"dropping-particle":"","family":"Jiang","given":"Kaijun","non-dropping-particle":"","parse-names":false,"suffix":""},{"dropping-particle":"","family":"Strohmeier","given":"Shirin","non-dropping-particle":"","parse-names":false,"suffix":""},{"dropping-particle":"","family":"Arunkumar","given":"Guha Asthagiri","non-dropping-particle":"","parse-names":false,"suffix":""},{"dropping-particle":"","family":"Tan","given":"Jessica","non-dropping-particle":"","parse-names":false,"suffix":""},{"dropping-particle":"","family":"Bhavsar","given":"Disha","non-dropping-particle":"","parse-names":false,"suffix":""},{"dropping-particle":"","family":"Capuano","given":"Christina","non-dropping-particle":"","parse-names":false,"suffix":""},{"dropping-particle":"","family":"Kirkpatrick","given":"Ericka","non-dropping-particle":"","parse-names":false,"suffix":""},{"dropping-particle":"","family":"Meade","given":"Philip","non-dropping-particle":"","parse-names":false,"suffix":""},{"dropping-particle":"","family":"Brito","given":"Ruhi Nichalle","non-dropping-particle":"","parse-names":false,"suffix":""},{"dropping-particle":"","family":"Teo","given":"Catherine","non-dropping-particle":"","parse-names":false,"suffix":""},{"dropping-particle":"","family":"McMahon","given":"Meagan","non-dropping-particle":"","parse-names":false,"suffix":""},{"dropping-particle":"","family":"Simon","given":"Viviana","non-dropping-particle":"","parse-names":false,"suffix":""},{"dropping-particle":"","family":"Krammer","given":"Florian","non-dropping-particle":"","parse-names":false,"suffix":""}],"container-title":"Current Protocols in Microbiology","id":"ITEM-2","issue":"1","issued":{"date-parts":[["2020","6","1"]]},"publisher":"Blackwell Publishing Inc.","title":"SARS-CoV-2 Seroconversion in Humans: A Detailed Protocol for a Serological Assay, Antigen Production, and Test Setup","type":"article-journal","volume":"57"},"uris":["http://www.mendeley.com/documents/?uuid=6575fc4a-b8c4-31dc-ade3-30f7e6884a00"]}],"mendeley":{"formattedCitation":"&lt;sup&gt;48,49&lt;/sup&gt;","plainTextFormattedCitation":"48,49","previouslyFormattedCitation":"&lt;sup&gt;48,49&lt;/sup&gt;"},"properties":{"noteIndex":0},"schema":"https://github.com/citation-style-language/schema/raw/master/csl-citation.json"}</w:instrText>
      </w:r>
      <w:r w:rsidR="003560A7" w:rsidRPr="006B3D43">
        <w:rPr>
          <w:rFonts w:ascii="Arial" w:hAnsi="Arial" w:cs="Arial"/>
          <w:sz w:val="24"/>
          <w:szCs w:val="24"/>
        </w:rPr>
        <w:fldChar w:fldCharType="separate"/>
      </w:r>
      <w:r w:rsidR="007774B6" w:rsidRPr="007774B6">
        <w:rPr>
          <w:rFonts w:ascii="Arial" w:hAnsi="Arial" w:cs="Arial"/>
          <w:noProof/>
          <w:sz w:val="24"/>
          <w:szCs w:val="24"/>
          <w:vertAlign w:val="superscript"/>
        </w:rPr>
        <w:t>48,49</w:t>
      </w:r>
      <w:r w:rsidR="003560A7" w:rsidRPr="006B3D43">
        <w:rPr>
          <w:rFonts w:ascii="Arial" w:hAnsi="Arial" w:cs="Arial"/>
          <w:sz w:val="24"/>
          <w:szCs w:val="24"/>
        </w:rPr>
        <w:fldChar w:fldCharType="end"/>
      </w:r>
      <w:r w:rsidRPr="006B3D43">
        <w:rPr>
          <w:rFonts w:ascii="Arial" w:hAnsi="Arial" w:cs="Arial"/>
          <w:sz w:val="24"/>
          <w:szCs w:val="24"/>
        </w:rPr>
        <w:t>.</w:t>
      </w:r>
      <w:r w:rsidR="00224C23" w:rsidRPr="006B3D43">
        <w:rPr>
          <w:rFonts w:ascii="Arial" w:hAnsi="Arial" w:cs="Arial"/>
          <w:sz w:val="24"/>
          <w:szCs w:val="24"/>
        </w:rPr>
        <w:t xml:space="preserve"> We then compared the site-specific glycan analysis of the two sites located in the RBD</w:t>
      </w:r>
      <w:r w:rsidR="00184A21">
        <w:rPr>
          <w:rFonts w:ascii="Arial" w:hAnsi="Arial" w:cs="Arial"/>
          <w:sz w:val="24"/>
          <w:szCs w:val="24"/>
        </w:rPr>
        <w:t xml:space="preserve"> of SARS-CoV-2</w:t>
      </w:r>
      <w:r w:rsidR="00224C23" w:rsidRPr="006B3D43">
        <w:rPr>
          <w:rFonts w:ascii="Arial" w:hAnsi="Arial" w:cs="Arial"/>
          <w:sz w:val="24"/>
          <w:szCs w:val="24"/>
        </w:rPr>
        <w:t>, N331 and N343, between monomer and trimer and reveal a broad consensus in glycan processing, with some modest change in the processing of complex-type glycans</w:t>
      </w:r>
      <w:r w:rsidRPr="006B3D43">
        <w:rPr>
          <w:rFonts w:ascii="Arial" w:hAnsi="Arial" w:cs="Arial"/>
          <w:sz w:val="24"/>
          <w:szCs w:val="24"/>
        </w:rPr>
        <w:t xml:space="preserve">. </w:t>
      </w:r>
      <w:r w:rsidR="00A77F4F" w:rsidRPr="006B3D43">
        <w:rPr>
          <w:rFonts w:ascii="Arial" w:hAnsi="Arial" w:cs="Arial"/>
          <w:sz w:val="24"/>
          <w:szCs w:val="24"/>
        </w:rPr>
        <w:t xml:space="preserve">We also </w:t>
      </w:r>
      <w:r w:rsidR="00184A21">
        <w:rPr>
          <w:rFonts w:ascii="Arial" w:hAnsi="Arial" w:cs="Arial"/>
          <w:sz w:val="24"/>
          <w:szCs w:val="24"/>
        </w:rPr>
        <w:t xml:space="preserve">performed a comparative analysis on </w:t>
      </w:r>
      <w:r w:rsidR="00A77F4F" w:rsidRPr="006B3D43">
        <w:rPr>
          <w:rFonts w:ascii="Arial" w:hAnsi="Arial" w:cs="Arial"/>
          <w:sz w:val="24"/>
          <w:szCs w:val="24"/>
        </w:rPr>
        <w:t>MERS-CoV</w:t>
      </w:r>
      <w:r w:rsidR="00184A21">
        <w:rPr>
          <w:rFonts w:ascii="Arial" w:hAnsi="Arial" w:cs="Arial"/>
          <w:sz w:val="24"/>
          <w:szCs w:val="24"/>
        </w:rPr>
        <w:t xml:space="preserve"> RBD</w:t>
      </w:r>
      <w:r w:rsidR="00A77F4F" w:rsidRPr="006B3D43">
        <w:rPr>
          <w:rFonts w:ascii="Arial" w:hAnsi="Arial" w:cs="Arial"/>
          <w:sz w:val="24"/>
          <w:szCs w:val="24"/>
        </w:rPr>
        <w:t xml:space="preserve">. </w:t>
      </w:r>
      <w:r w:rsidR="00184A21">
        <w:rPr>
          <w:rFonts w:ascii="Arial" w:hAnsi="Arial" w:cs="Arial"/>
          <w:sz w:val="24"/>
          <w:szCs w:val="24"/>
        </w:rPr>
        <w:t>T</w:t>
      </w:r>
      <w:r w:rsidR="00A77F4F" w:rsidRPr="006B3D43">
        <w:rPr>
          <w:rFonts w:ascii="Arial" w:hAnsi="Arial" w:cs="Arial"/>
          <w:sz w:val="24"/>
          <w:szCs w:val="24"/>
        </w:rPr>
        <w:t>h</w:t>
      </w:r>
      <w:r w:rsidR="00C6228D" w:rsidRPr="006B3D43">
        <w:rPr>
          <w:rFonts w:ascii="Arial" w:hAnsi="Arial" w:cs="Arial"/>
          <w:sz w:val="24"/>
          <w:szCs w:val="24"/>
        </w:rPr>
        <w:t>i</w:t>
      </w:r>
      <w:r w:rsidR="00A77F4F" w:rsidRPr="006B3D43">
        <w:rPr>
          <w:rFonts w:ascii="Arial" w:hAnsi="Arial" w:cs="Arial"/>
          <w:sz w:val="24"/>
          <w:szCs w:val="24"/>
        </w:rPr>
        <w:t>s</w:t>
      </w:r>
      <w:r w:rsidR="00C6228D" w:rsidRPr="006B3D43">
        <w:rPr>
          <w:rFonts w:ascii="Arial" w:hAnsi="Arial" w:cs="Arial"/>
          <w:sz w:val="24"/>
          <w:szCs w:val="24"/>
        </w:rPr>
        <w:t xml:space="preserve"> contrasts with glycan processing of </w:t>
      </w:r>
      <w:r w:rsidR="00184A21">
        <w:rPr>
          <w:rFonts w:ascii="Arial" w:hAnsi="Arial" w:cs="Arial"/>
          <w:sz w:val="24"/>
          <w:szCs w:val="24"/>
        </w:rPr>
        <w:t>SARS-CoV-2</w:t>
      </w:r>
      <w:r w:rsidR="00A77F4F" w:rsidRPr="006B3D43">
        <w:rPr>
          <w:rFonts w:ascii="Arial" w:hAnsi="Arial" w:cs="Arial"/>
          <w:sz w:val="24"/>
          <w:szCs w:val="24"/>
        </w:rPr>
        <w:t xml:space="preserve"> RBD</w:t>
      </w:r>
      <w:r w:rsidR="00184A21">
        <w:rPr>
          <w:rFonts w:ascii="Arial" w:hAnsi="Arial" w:cs="Arial"/>
          <w:sz w:val="24"/>
          <w:szCs w:val="24"/>
        </w:rPr>
        <w:t xml:space="preserve"> monomer</w:t>
      </w:r>
      <w:r w:rsidR="00A77F4F" w:rsidRPr="006B3D43">
        <w:rPr>
          <w:rFonts w:ascii="Arial" w:hAnsi="Arial" w:cs="Arial"/>
          <w:sz w:val="24"/>
          <w:szCs w:val="24"/>
        </w:rPr>
        <w:t xml:space="preserve"> when compared with S protein</w:t>
      </w:r>
      <w:r w:rsidR="00C6228D" w:rsidRPr="006B3D43">
        <w:rPr>
          <w:rFonts w:ascii="Arial" w:hAnsi="Arial" w:cs="Arial"/>
          <w:sz w:val="24"/>
          <w:szCs w:val="24"/>
        </w:rPr>
        <w:t>,</w:t>
      </w:r>
      <w:r w:rsidR="00184A21">
        <w:rPr>
          <w:rFonts w:ascii="Arial" w:hAnsi="Arial" w:cs="Arial"/>
          <w:sz w:val="24"/>
          <w:szCs w:val="24"/>
        </w:rPr>
        <w:t xml:space="preserve"> with trimeric MERS-CoV RBD glycan sites presenting restricted glycan processing, likely </w:t>
      </w:r>
      <w:r w:rsidR="00184A21">
        <w:rPr>
          <w:rFonts w:ascii="Arial" w:hAnsi="Arial" w:cs="Arial"/>
          <w:sz w:val="24"/>
          <w:szCs w:val="24"/>
        </w:rPr>
        <w:lastRenderedPageBreak/>
        <w:t>due</w:t>
      </w:r>
      <w:r w:rsidR="00744D87">
        <w:rPr>
          <w:rFonts w:ascii="Arial" w:hAnsi="Arial" w:cs="Arial"/>
          <w:sz w:val="24"/>
          <w:szCs w:val="24"/>
        </w:rPr>
        <w:t xml:space="preserve"> </w:t>
      </w:r>
      <w:r w:rsidR="00C6228D" w:rsidRPr="006B3D43">
        <w:rPr>
          <w:rFonts w:ascii="Arial" w:hAnsi="Arial" w:cs="Arial"/>
          <w:sz w:val="24"/>
          <w:szCs w:val="24"/>
        </w:rPr>
        <w:t xml:space="preserve">to conformational masking </w:t>
      </w:r>
      <w:r w:rsidR="00184A21">
        <w:rPr>
          <w:rFonts w:ascii="Arial" w:hAnsi="Arial" w:cs="Arial"/>
          <w:sz w:val="24"/>
          <w:szCs w:val="24"/>
        </w:rPr>
        <w:t>of these sites</w:t>
      </w:r>
      <w:r w:rsidR="00B939D1">
        <w:rPr>
          <w:rFonts w:ascii="Arial" w:hAnsi="Arial" w:cs="Arial"/>
          <w:sz w:val="24"/>
          <w:szCs w:val="24"/>
        </w:rPr>
        <w:t>, either by proximal glycans or nearby protein clashes,</w:t>
      </w:r>
      <w:r w:rsidR="00184A21">
        <w:rPr>
          <w:rFonts w:ascii="Arial" w:hAnsi="Arial" w:cs="Arial"/>
          <w:sz w:val="24"/>
          <w:szCs w:val="24"/>
        </w:rPr>
        <w:t xml:space="preserve"> on trimeric</w:t>
      </w:r>
      <w:r w:rsidR="00184A21" w:rsidRPr="006B3D43">
        <w:rPr>
          <w:rFonts w:ascii="Arial" w:hAnsi="Arial" w:cs="Arial"/>
          <w:sz w:val="24"/>
          <w:szCs w:val="24"/>
        </w:rPr>
        <w:t xml:space="preserve"> </w:t>
      </w:r>
      <w:r w:rsidR="00C6228D" w:rsidRPr="006B3D43">
        <w:rPr>
          <w:rFonts w:ascii="Arial" w:hAnsi="Arial" w:cs="Arial"/>
          <w:sz w:val="24"/>
          <w:szCs w:val="24"/>
        </w:rPr>
        <w:t xml:space="preserve">MERS-CoV S protein </w:t>
      </w:r>
      <w:r w:rsidR="00C6228D" w:rsidRPr="006B3D43">
        <w:rPr>
          <w:rFonts w:ascii="Arial" w:hAnsi="Arial" w:cs="Arial"/>
          <w:sz w:val="24"/>
          <w:szCs w:val="24"/>
        </w:rPr>
        <w:fldChar w:fldCharType="begin" w:fldLock="1"/>
      </w:r>
      <w:r w:rsidR="009E22F0">
        <w:rPr>
          <w:rFonts w:ascii="Arial" w:hAnsi="Arial" w:cs="Arial"/>
          <w:sz w:val="24"/>
          <w:szCs w:val="24"/>
        </w:rPr>
        <w:instrText xml:space="preserve">ADDIN CSL_CITATION {"citationItems":[{"id":"ITEM-1","itemData":{"DOI":"10.1073/pnas.1707304114","ISSN":"10916490","PMID":"28807998","abstract":"Middle East respiratory syndrome coronavirus (MERS-CoV) is a lineage C betacoronavirus that since its emergence in 2012 has caused outbreaks in human populations with case-fatality rates of </w:instrText>
      </w:r>
      <w:r w:rsidR="009E22F0">
        <w:rPr>
          <w:rFonts w:ascii="Cambria Math" w:hAnsi="Cambria Math" w:cs="Cambria Math"/>
          <w:sz w:val="24"/>
          <w:szCs w:val="24"/>
        </w:rPr>
        <w:instrText>∼</w:instrText>
      </w:r>
      <w:r w:rsidR="009E22F0">
        <w:rPr>
          <w:rFonts w:ascii="Arial" w:hAnsi="Arial" w:cs="Arial"/>
          <w:sz w:val="24"/>
          <w:szCs w:val="24"/>
        </w:rPr>
        <w:instrText>36%. As in other coronaviruses, the spike (S) glycoprotein of MERS-CoV mediates receptor recognition and membrane fusion and is the primary target of the humoral immune response during infection. Here we use structure-based design to develop a generalizable strategy for retaining coronavirus S proteins in the antigenically optimal prefusion conformation and demonstrate that our engineered immunogen is able to elicit high neutralizing antibody titers against MERS-CoV. We also determined high-resolution structures of the trimeric MERS-CoV S ectodomain in complex with G4, a stem-directed neutralizing antibody. The structures reveal that G4 recognizes a glycosylated loop that is variable among coronaviruses and they define four conformational states of the trimer wherein each receptor-binding domain is either tightly packed at the membrane-distal apex or rotated into a receptor-accessible conformation. Our studies suggest a potential mechanism for fusion initiation through sequential receptor-binding events and provide a foundation for the structure-based design of coronavirus vaccines.","author":[{"dropping-particle":"","family":"Pallesen","given":"Jesper","non-dropping-particle":"","parse-names":false,"suffix":""},{"dropping-particle":"","family":"Wang","given":"Nianshuang","non-dropping-particle":"","parse-names":false,"suffix":""},{"dropping-particle":"","family":"Corbett","given":"Kizzmekia S.","non-dropping-particle":"","parse-names":false,"suffix":""},{"dropping-particle":"","family":"Wrapp","given":"Daniel","non-dropping-particle":"","parse-names":false,"suffix":""},{"dropping-particle":"","family":"Kirchdoerfer","given":"Robert N.","non-dropping-particle":"","parse-names":false,"suffix":""},{"dropping-particle":"","family":"Turner","given":"Hannah L.","non-dropping-particle":"","parse-names":false,"suffix":""},{"dropping-particle":"","family":"Cottrell","given":"Christopher A.","non-dropping-particle":"","parse-names":false,"suffix":""},{"dropping-particle":"","family":"Becker","given":"Michelle M.","non-dropping-particle":"","parse-names":false,"suffix":""},{"dropping-particle":"","family":"Wang","given":"Lingshu","non-dropping-particle":"","parse-names":false,"suffix":""},{"dropping-particle":"","family":"Shi","given":"Wei","non-dropping-particle":"","parse-names":false,"suffix":""},{"dropping-particle":"","family":"Kong","given":"Wing Pui","non-dropping-particle":"","parse-names":false,"suffix":""},{"dropping-particle":"","family":"Andres","given":"Erica L.","non-dropping-particle":"","parse-names":false,"suffix":""},{"dropping-particle":"","family":"Kettenbach","given":"Arminja N.","non-dropping-particle":"","parse-names":false,"suffix":""},{"dropping-particle":"","family":"Denison","given":"Mark R.","non-dropping-particle":"","parse-names":false,"suffix":""},{"dropping-particle":"","family":"Chappell","given":"James D.","non-dropping-particle":"","parse-names":false,"suffix":""},{"dropping-particle":"","family":"Graham","given":"Barney S.","non-dropping-particle":"","parse-names":false,"suffix":""},{"dropping-particle":"","family":"Ward","given":"Andrew B.","non-dropping-particle":"","parse-names":false,"suffix":""},{"dropping-particle":"","family":"McLellan","given":"Jason S.","non-dropping-particle":"","parse-names":false,"suffix":""}],"container-title":"Proceedings of the National Academy of Sciences of the United States of America","id":"ITEM-1","issue":"35","issued":{"date-parts":[["2017"]]},"page":"E7348-E7357","title":"Immunogenicity and structures of a rationally designed prefusion MERS-CoV spike antigen","type":"article-journal","volume":"114"},"uris":["http://www.mendeley.com/documents/?uuid=a8e236ed-accc-426d-bf52-1bf0a72267e6"]},{"id":"ITEM-2","itemData":{"DOI":"10.1038/s41467-020-16567-0","ISSN":"2041-1723","PMID":"32461612","abstract":"Severe acute respiratory syndrome (SARS) and Middle East respiratory syndrome (MERS) coronaviruses (CoVs) are zoonotic pathogens with high fatality rates and pandemic potential. Vaccine development focuses on the principal target of the neutralizing humoral immune response, the spike (S) glycoprotein. Coronavirus S proteins are extensively glycosylated, encoding around 66–87 N-linked glycosylation sites per trimeric spike. Here, we reveal a specific area of high glycan density on MERS S that results in the formation of oligomannose-type glycan clusters, which were absent on SARS and HKU1 CoVs. We provide a comparison of the global glycan density of coronavirus spikes with other viral proteins including HIV-1 envelope, Lassa virus glycoprotein complex, and influenza hemagglutinin, where glycosylation plays a known role in shielding immunogenic epitopes. Overall, our data reveal how organisation of glycosylation across class I viral fusion proteins influence not only individual glycan compositions but also the immunological pressure across the protein surface.","author":[{"dropping-particle":"","family":"Watanabe","given":"Yasunori","non-dropping-particle":"","parse-names":false,"suffix":""},{"dropping-particle":"","family":"Berndsen","given":"Zachary T.","non-dropping-particle":"","parse-names":false,"suffix":""},{"dropping-particle":"","family":"Raghwani","given":"Jayna","non-dropping-particle":"","parse-names":false,"suffix":""},{"dropping-particle":"","family":"Seabright","given":"Gemma E.","non-dropping-particle":"","parse-names":false,"suffix":""},{"dropping-particle":"","family":"Allen","given":"Joel D.","non-dropping-particle":"","parse-names":false,"suffix":""},{"dropping-particle":"","family":"Pybus","given":"Oliver G.","non-dropping-particle":"","parse-names":false,"suffix":""},{"dropping-particle":"","family":"McLellan","given":"Jason S.","non-dropping-particle":"","parse-names":false,"suffix":""},{"dropping-particle":"","family":"Wilson","given":"Ian A.","non-dropping-particle":"","parse-names":false,"suffix":""},{"dropping-particle":"","family":"Bowden","given":"Thomas A.","non-dropping-particle":"","parse-names":false,"suffix":""},{"dropping-particle":"","family":"Ward","given":"Andrew B.","non-dropping-particle":"","parse-names":false,"suffix":""},{"dropping-particle":"","family":"Crispin","given":"Max","non-dropping-particle":"","parse-names":false,"suffix":""}],"container-title":"Nature Communications","id":"ITEM-2","issue":"1","issued":{"date-parts":[["2020","12","27"]]},"page":"2688","title":"Vulnerabilities in coronavirus glycan shields despite extensive glycosylation","type":"article-journal","volume":"11"},"uris":["http://www.mendeley.com/documents/?uuid=62b5697a-14ff-4854-ad3e-7fa80182924c"]}],"mendeley":{"formattedCitation":"&lt;sup&gt;50,51&lt;/sup&gt;","plainTextFormattedCitation":"50,51","previouslyFormattedCitation":"&lt;sup&gt;50,51&lt;/sup&gt;"},"properties":{"noteIndex":0},"schema":"https://github.com/citation-style-language/schema/raw/master/csl-citation.json"}</w:instrText>
      </w:r>
      <w:r w:rsidR="00C6228D" w:rsidRPr="006B3D43">
        <w:rPr>
          <w:rFonts w:ascii="Arial" w:hAnsi="Arial" w:cs="Arial"/>
          <w:sz w:val="24"/>
          <w:szCs w:val="24"/>
        </w:rPr>
        <w:fldChar w:fldCharType="separate"/>
      </w:r>
      <w:r w:rsidR="007774B6" w:rsidRPr="007774B6">
        <w:rPr>
          <w:rFonts w:ascii="Arial" w:hAnsi="Arial" w:cs="Arial"/>
          <w:noProof/>
          <w:sz w:val="24"/>
          <w:szCs w:val="24"/>
          <w:vertAlign w:val="superscript"/>
        </w:rPr>
        <w:t>50,51</w:t>
      </w:r>
      <w:r w:rsidR="00C6228D" w:rsidRPr="006B3D43">
        <w:rPr>
          <w:rFonts w:ascii="Arial" w:hAnsi="Arial" w:cs="Arial"/>
          <w:sz w:val="24"/>
          <w:szCs w:val="24"/>
        </w:rPr>
        <w:fldChar w:fldCharType="end"/>
      </w:r>
      <w:r w:rsidR="00C6228D" w:rsidRPr="006B3D43">
        <w:rPr>
          <w:rFonts w:ascii="Arial" w:hAnsi="Arial" w:cs="Arial"/>
          <w:sz w:val="24"/>
          <w:szCs w:val="24"/>
        </w:rPr>
        <w:t xml:space="preserve">. </w:t>
      </w:r>
      <w:r w:rsidR="00184A21">
        <w:rPr>
          <w:rFonts w:ascii="Arial" w:hAnsi="Arial" w:cs="Arial"/>
          <w:sz w:val="24"/>
          <w:szCs w:val="24"/>
        </w:rPr>
        <w:t>W</w:t>
      </w:r>
      <w:r w:rsidR="00184A21" w:rsidRPr="006B3D43">
        <w:rPr>
          <w:rFonts w:ascii="Arial" w:hAnsi="Arial" w:cs="Arial"/>
          <w:sz w:val="24"/>
          <w:szCs w:val="24"/>
        </w:rPr>
        <w:t xml:space="preserve">e </w:t>
      </w:r>
      <w:r w:rsidRPr="006B3D43">
        <w:rPr>
          <w:rFonts w:ascii="Arial" w:hAnsi="Arial" w:cs="Arial"/>
          <w:sz w:val="24"/>
          <w:szCs w:val="24"/>
        </w:rPr>
        <w:t>have</w:t>
      </w:r>
      <w:r w:rsidR="00184A21">
        <w:rPr>
          <w:rFonts w:ascii="Arial" w:hAnsi="Arial" w:cs="Arial"/>
          <w:sz w:val="24"/>
          <w:szCs w:val="24"/>
        </w:rPr>
        <w:t xml:space="preserve"> further</w:t>
      </w:r>
      <w:r w:rsidRPr="006B3D43">
        <w:rPr>
          <w:rFonts w:ascii="Arial" w:hAnsi="Arial" w:cs="Arial"/>
          <w:sz w:val="24"/>
          <w:szCs w:val="24"/>
        </w:rPr>
        <w:t xml:space="preserve"> </w:t>
      </w:r>
      <w:r w:rsidR="00307A17" w:rsidRPr="006B3D43">
        <w:rPr>
          <w:rFonts w:ascii="Arial" w:hAnsi="Arial" w:cs="Arial"/>
          <w:sz w:val="24"/>
          <w:szCs w:val="24"/>
        </w:rPr>
        <w:t xml:space="preserve">combined </w:t>
      </w:r>
      <w:r w:rsidRPr="006B3D43">
        <w:rPr>
          <w:rFonts w:ascii="Arial" w:hAnsi="Arial" w:cs="Arial"/>
          <w:sz w:val="24"/>
          <w:szCs w:val="24"/>
        </w:rPr>
        <w:t xml:space="preserve">the </w:t>
      </w:r>
      <w:r w:rsidR="00184A21">
        <w:rPr>
          <w:rFonts w:ascii="Arial" w:hAnsi="Arial" w:cs="Arial"/>
          <w:sz w:val="24"/>
          <w:szCs w:val="24"/>
        </w:rPr>
        <w:t>site-specific glycan data</w:t>
      </w:r>
      <w:r w:rsidR="00881160">
        <w:rPr>
          <w:rFonts w:ascii="Arial" w:hAnsi="Arial" w:cs="Arial"/>
          <w:sz w:val="24"/>
          <w:szCs w:val="24"/>
        </w:rPr>
        <w:t xml:space="preserve"> </w:t>
      </w:r>
      <w:r w:rsidR="00BA1A83" w:rsidRPr="006B3D43">
        <w:rPr>
          <w:rFonts w:ascii="Arial" w:hAnsi="Arial" w:cs="Arial"/>
          <w:sz w:val="24"/>
          <w:szCs w:val="24"/>
        </w:rPr>
        <w:t>of SARS-CoV</w:t>
      </w:r>
      <w:r w:rsidR="006F412F">
        <w:rPr>
          <w:rFonts w:ascii="Arial" w:hAnsi="Arial" w:cs="Arial"/>
          <w:sz w:val="24"/>
          <w:szCs w:val="24"/>
        </w:rPr>
        <w:t>-</w:t>
      </w:r>
      <w:r w:rsidR="00BA1A83" w:rsidRPr="006B3D43">
        <w:rPr>
          <w:rFonts w:ascii="Arial" w:hAnsi="Arial" w:cs="Arial"/>
          <w:sz w:val="24"/>
          <w:szCs w:val="24"/>
        </w:rPr>
        <w:t>2</w:t>
      </w:r>
      <w:r w:rsidR="006F412F">
        <w:rPr>
          <w:rFonts w:ascii="Arial" w:hAnsi="Arial" w:cs="Arial"/>
          <w:sz w:val="24"/>
          <w:szCs w:val="24"/>
        </w:rPr>
        <w:t xml:space="preserve"> </w:t>
      </w:r>
      <w:r w:rsidR="00BA1A83" w:rsidRPr="006B3D43">
        <w:rPr>
          <w:rFonts w:ascii="Arial" w:hAnsi="Arial" w:cs="Arial"/>
          <w:sz w:val="24"/>
          <w:szCs w:val="24"/>
        </w:rPr>
        <w:t>S protein</w:t>
      </w:r>
      <w:r w:rsidR="006F412F" w:rsidRPr="006B3D43">
        <w:rPr>
          <w:rFonts w:ascii="Arial" w:hAnsi="Arial" w:cs="Arial"/>
          <w:sz w:val="24"/>
          <w:szCs w:val="24"/>
        </w:rPr>
        <w:t xml:space="preserve"> with </w:t>
      </w:r>
      <w:r w:rsidR="00001D37">
        <w:rPr>
          <w:rFonts w:ascii="Arial" w:hAnsi="Arial" w:cs="Arial"/>
          <w:sz w:val="24"/>
          <w:szCs w:val="24"/>
        </w:rPr>
        <w:t>MD</w:t>
      </w:r>
      <w:r w:rsidR="006F412F" w:rsidRPr="006B3D43">
        <w:rPr>
          <w:rFonts w:ascii="Arial" w:hAnsi="Arial" w:cs="Arial"/>
          <w:sz w:val="24"/>
          <w:szCs w:val="24"/>
        </w:rPr>
        <w:t xml:space="preserve"> simulations</w:t>
      </w:r>
      <w:r w:rsidR="001A44D9">
        <w:rPr>
          <w:rFonts w:ascii="Arial" w:hAnsi="Arial" w:cs="Arial"/>
          <w:sz w:val="24"/>
          <w:szCs w:val="24"/>
        </w:rPr>
        <w:t xml:space="preserve">. </w:t>
      </w:r>
      <w:r w:rsidR="00184A21">
        <w:rPr>
          <w:rFonts w:ascii="Arial" w:hAnsi="Arial" w:cs="Arial"/>
          <w:sz w:val="24"/>
          <w:szCs w:val="24"/>
        </w:rPr>
        <w:t>These simulations</w:t>
      </w:r>
      <w:r w:rsidR="00307A17" w:rsidRPr="006B3D43">
        <w:rPr>
          <w:rFonts w:ascii="Arial" w:hAnsi="Arial" w:cs="Arial"/>
          <w:sz w:val="24"/>
          <w:szCs w:val="24"/>
        </w:rPr>
        <w:t xml:space="preserve"> reveal distinct degrees of accessibility between different glycan sites across the protein that broadly correlate to their processing states.</w:t>
      </w:r>
      <w:r w:rsidR="00D525AD" w:rsidRPr="006B3D43">
        <w:rPr>
          <w:rFonts w:ascii="Arial" w:hAnsi="Arial" w:cs="Arial"/>
        </w:rPr>
        <w:t xml:space="preserve"> </w:t>
      </w:r>
      <w:r w:rsidR="00A87ACB" w:rsidRPr="001A44D9">
        <w:rPr>
          <w:rFonts w:ascii="Arial" w:hAnsi="Arial" w:cs="Arial"/>
          <w:sz w:val="24"/>
          <w:szCs w:val="24"/>
        </w:rPr>
        <w:t xml:space="preserve">Taken together, our results </w:t>
      </w:r>
      <w:r w:rsidR="001A44D9">
        <w:rPr>
          <w:rFonts w:ascii="Arial" w:hAnsi="Arial" w:cs="Arial"/>
          <w:sz w:val="24"/>
          <w:szCs w:val="24"/>
        </w:rPr>
        <w:t xml:space="preserve">reveal </w:t>
      </w:r>
      <w:r w:rsidR="00A87ACB" w:rsidRPr="001A44D9">
        <w:rPr>
          <w:rFonts w:ascii="Arial" w:hAnsi="Arial" w:cs="Arial"/>
          <w:sz w:val="24"/>
          <w:szCs w:val="24"/>
        </w:rPr>
        <w:t xml:space="preserve">the conserved structural N-glycan sites in S protein when compared with native viral spike which </w:t>
      </w:r>
      <w:r w:rsidR="00BD3A52">
        <w:rPr>
          <w:rFonts w:ascii="Arial" w:hAnsi="Arial" w:cs="Arial"/>
          <w:sz w:val="24"/>
          <w:szCs w:val="24"/>
        </w:rPr>
        <w:t>drives similarity in glycosylation</w:t>
      </w:r>
      <w:r w:rsidR="00A87ACB" w:rsidRPr="001A44D9">
        <w:rPr>
          <w:rFonts w:ascii="Arial" w:hAnsi="Arial" w:cs="Arial"/>
          <w:sz w:val="24"/>
          <w:szCs w:val="24"/>
        </w:rPr>
        <w:t xml:space="preserve"> </w:t>
      </w:r>
      <w:r w:rsidR="00BD3A52">
        <w:rPr>
          <w:rFonts w:ascii="Arial" w:hAnsi="Arial" w:cs="Arial"/>
          <w:sz w:val="24"/>
          <w:szCs w:val="24"/>
        </w:rPr>
        <w:t xml:space="preserve">amongst S protein from disparate sources and manufacture methods. </w:t>
      </w:r>
      <w:r w:rsidR="001C4512">
        <w:rPr>
          <w:rFonts w:ascii="Arial" w:hAnsi="Arial" w:cs="Arial"/>
          <w:sz w:val="24"/>
          <w:szCs w:val="24"/>
        </w:rPr>
        <w:t xml:space="preserve">Understanding S protein glycosylation will aid in the analysis of the vaccine and serological work of the global COVID-19 </w:t>
      </w:r>
      <w:proofErr w:type="spellStart"/>
      <w:r w:rsidR="001C4512">
        <w:rPr>
          <w:rFonts w:ascii="Arial" w:hAnsi="Arial" w:cs="Arial"/>
          <w:sz w:val="24"/>
          <w:szCs w:val="24"/>
        </w:rPr>
        <w:t>reponse</w:t>
      </w:r>
      <w:proofErr w:type="spellEnd"/>
      <w:r w:rsidR="001C4512">
        <w:rPr>
          <w:rFonts w:ascii="Arial" w:hAnsi="Arial" w:cs="Arial"/>
          <w:sz w:val="24"/>
          <w:szCs w:val="24"/>
        </w:rPr>
        <w:t>.</w:t>
      </w:r>
    </w:p>
    <w:p w14:paraId="4FC25AC4" w14:textId="66CBDD52" w:rsidR="00584E27" w:rsidRDefault="00584E27">
      <w:pPr>
        <w:rPr>
          <w:rFonts w:ascii="Arial" w:hAnsi="Arial" w:cs="Arial"/>
          <w:b/>
          <w:bCs/>
          <w:sz w:val="24"/>
          <w:szCs w:val="24"/>
        </w:rPr>
      </w:pPr>
      <w:r>
        <w:rPr>
          <w:rFonts w:ascii="Arial" w:hAnsi="Arial" w:cs="Arial"/>
          <w:b/>
          <w:bCs/>
          <w:sz w:val="24"/>
          <w:szCs w:val="24"/>
        </w:rPr>
        <w:br w:type="page"/>
      </w:r>
    </w:p>
    <w:p w14:paraId="4DE25DEC" w14:textId="77777777" w:rsidR="00584E27" w:rsidRDefault="00584E27" w:rsidP="00584E27">
      <w:pPr>
        <w:spacing w:line="360" w:lineRule="auto"/>
        <w:jc w:val="both"/>
        <w:rPr>
          <w:rFonts w:ascii="Arial" w:hAnsi="Arial" w:cs="Arial"/>
          <w:b/>
          <w:bCs/>
          <w:sz w:val="24"/>
          <w:szCs w:val="24"/>
        </w:rPr>
      </w:pPr>
      <w:r>
        <w:rPr>
          <w:rFonts w:ascii="Arial" w:hAnsi="Arial" w:cs="Arial"/>
          <w:b/>
          <w:bCs/>
          <w:sz w:val="24"/>
          <w:szCs w:val="24"/>
        </w:rPr>
        <w:lastRenderedPageBreak/>
        <w:t>Materials and Methods</w:t>
      </w:r>
    </w:p>
    <w:p w14:paraId="0039FD81" w14:textId="77777777" w:rsidR="00584E27" w:rsidRPr="0000656C" w:rsidRDefault="00584E27" w:rsidP="00584E27">
      <w:pPr>
        <w:spacing w:line="360" w:lineRule="auto"/>
        <w:jc w:val="both"/>
        <w:rPr>
          <w:rFonts w:ascii="Arial" w:hAnsi="Arial" w:cs="Arial"/>
          <w:b/>
          <w:bCs/>
          <w:sz w:val="24"/>
          <w:szCs w:val="24"/>
        </w:rPr>
      </w:pPr>
      <w:r w:rsidRPr="0000656C">
        <w:rPr>
          <w:rFonts w:ascii="Arial" w:hAnsi="Arial" w:cs="Arial"/>
          <w:b/>
          <w:bCs/>
          <w:sz w:val="24"/>
          <w:szCs w:val="24"/>
        </w:rPr>
        <w:t xml:space="preserve">SARS-CoV-2 S protein purification </w:t>
      </w:r>
      <w:r>
        <w:rPr>
          <w:rFonts w:ascii="Arial" w:hAnsi="Arial" w:cs="Arial"/>
          <w:b/>
          <w:bCs/>
          <w:sz w:val="24"/>
          <w:szCs w:val="24"/>
        </w:rPr>
        <w:t>(</w:t>
      </w:r>
      <w:r w:rsidRPr="0000656C">
        <w:rPr>
          <w:rFonts w:ascii="Arial" w:hAnsi="Arial" w:cs="Arial"/>
          <w:b/>
          <w:bCs/>
          <w:sz w:val="24"/>
          <w:szCs w:val="24"/>
        </w:rPr>
        <w:t>Harvard</w:t>
      </w:r>
      <w:r>
        <w:rPr>
          <w:rFonts w:ascii="Arial" w:hAnsi="Arial" w:cs="Arial"/>
          <w:b/>
          <w:bCs/>
          <w:sz w:val="24"/>
          <w:szCs w:val="24"/>
        </w:rPr>
        <w:t>)</w:t>
      </w:r>
    </w:p>
    <w:p w14:paraId="4BBEFE60" w14:textId="77777777" w:rsidR="00584E27" w:rsidRPr="0000656C" w:rsidRDefault="00584E27" w:rsidP="00584E27">
      <w:pPr>
        <w:spacing w:line="360" w:lineRule="auto"/>
        <w:jc w:val="both"/>
        <w:rPr>
          <w:rFonts w:ascii="Arial" w:hAnsi="Arial" w:cs="Arial"/>
          <w:sz w:val="24"/>
          <w:szCs w:val="24"/>
        </w:rPr>
      </w:pPr>
      <w:r w:rsidRPr="0000656C">
        <w:rPr>
          <w:rFonts w:ascii="Arial" w:hAnsi="Arial" w:cs="Arial"/>
          <w:sz w:val="24"/>
          <w:szCs w:val="24"/>
        </w:rPr>
        <w:t xml:space="preserve">To express a stabilized ectodomain of Spike protein, a synthetic gene encoding residues 1−1208 of SARS-CoV-2 Spike with the furin cleavage site (residues 682–685) replaced by a “GGSG” sequence, proline substitutions at residues 986 and 987, and a </w:t>
      </w:r>
      <w:proofErr w:type="spellStart"/>
      <w:r w:rsidRPr="0000656C">
        <w:rPr>
          <w:rFonts w:ascii="Arial" w:hAnsi="Arial" w:cs="Arial"/>
          <w:sz w:val="24"/>
          <w:szCs w:val="24"/>
        </w:rPr>
        <w:t>foldon</w:t>
      </w:r>
      <w:proofErr w:type="spellEnd"/>
      <w:r w:rsidRPr="0000656C">
        <w:rPr>
          <w:rFonts w:ascii="Arial" w:hAnsi="Arial" w:cs="Arial"/>
          <w:sz w:val="24"/>
          <w:szCs w:val="24"/>
        </w:rPr>
        <w:t xml:space="preserve"> trimerization motif followed by a C-terminal 6xHisTag was created and cloned into the mammalian expression vector </w:t>
      </w:r>
      <w:proofErr w:type="spellStart"/>
      <w:r w:rsidRPr="0000656C">
        <w:rPr>
          <w:rFonts w:ascii="Arial" w:hAnsi="Arial" w:cs="Arial"/>
          <w:sz w:val="24"/>
          <w:szCs w:val="24"/>
        </w:rPr>
        <w:t>pCMV</w:t>
      </w:r>
      <w:proofErr w:type="spellEnd"/>
      <w:r w:rsidRPr="0000656C">
        <w:rPr>
          <w:rFonts w:ascii="Arial" w:hAnsi="Arial" w:cs="Arial"/>
          <w:sz w:val="24"/>
          <w:szCs w:val="24"/>
        </w:rPr>
        <w:t xml:space="preserve">-IRES-puro (Codex BioSolutions, Inc, Gaithersburg, MD). The expression construct was transiently transfected in HEK 293T cells using </w:t>
      </w:r>
      <w:proofErr w:type="spellStart"/>
      <w:r w:rsidRPr="0000656C">
        <w:rPr>
          <w:rFonts w:ascii="Arial" w:hAnsi="Arial" w:cs="Arial"/>
          <w:sz w:val="24"/>
          <w:szCs w:val="24"/>
        </w:rPr>
        <w:t>polyethylenimine</w:t>
      </w:r>
      <w:proofErr w:type="spellEnd"/>
      <w:r w:rsidRPr="0000656C">
        <w:rPr>
          <w:rFonts w:ascii="Arial" w:hAnsi="Arial" w:cs="Arial"/>
          <w:sz w:val="24"/>
          <w:szCs w:val="24"/>
        </w:rPr>
        <w:t xml:space="preserve"> (</w:t>
      </w:r>
      <w:proofErr w:type="spellStart"/>
      <w:r w:rsidRPr="0000656C">
        <w:rPr>
          <w:rFonts w:ascii="Arial" w:hAnsi="Arial" w:cs="Arial"/>
          <w:sz w:val="24"/>
          <w:szCs w:val="24"/>
        </w:rPr>
        <w:t>Polysciences</w:t>
      </w:r>
      <w:proofErr w:type="spellEnd"/>
      <w:r w:rsidRPr="0000656C">
        <w:rPr>
          <w:rFonts w:ascii="Arial" w:hAnsi="Arial" w:cs="Arial"/>
          <w:sz w:val="24"/>
          <w:szCs w:val="24"/>
        </w:rPr>
        <w:t xml:space="preserve">, Inc, Warrington, PA). Protein was purified from cell supernatants using Ni-NTA resin (Qiagen, Germany), the eluted fractions containing S protein were pooled, concentrated, and further purified by gel filtration chromatography on a </w:t>
      </w:r>
      <w:proofErr w:type="spellStart"/>
      <w:r w:rsidRPr="0000656C">
        <w:rPr>
          <w:rFonts w:ascii="Arial" w:hAnsi="Arial" w:cs="Arial"/>
          <w:sz w:val="24"/>
          <w:szCs w:val="24"/>
        </w:rPr>
        <w:t>Superose</w:t>
      </w:r>
      <w:proofErr w:type="spellEnd"/>
      <w:r w:rsidRPr="0000656C">
        <w:rPr>
          <w:rFonts w:ascii="Arial" w:hAnsi="Arial" w:cs="Arial"/>
          <w:sz w:val="24"/>
          <w:szCs w:val="24"/>
        </w:rPr>
        <w:t xml:space="preserve"> 6 column (GE Healthcare).</w:t>
      </w:r>
    </w:p>
    <w:p w14:paraId="793191C6" w14:textId="77777777" w:rsidR="00584E27" w:rsidRPr="0000656C" w:rsidRDefault="00584E27" w:rsidP="00584E27">
      <w:pPr>
        <w:spacing w:line="360" w:lineRule="auto"/>
        <w:jc w:val="both"/>
        <w:rPr>
          <w:rFonts w:ascii="Arial" w:hAnsi="Arial" w:cs="Arial"/>
          <w:b/>
          <w:bCs/>
          <w:sz w:val="24"/>
          <w:szCs w:val="24"/>
        </w:rPr>
      </w:pPr>
      <w:r w:rsidRPr="0000656C">
        <w:rPr>
          <w:rFonts w:ascii="Arial" w:hAnsi="Arial" w:cs="Arial"/>
          <w:b/>
          <w:bCs/>
          <w:sz w:val="24"/>
          <w:szCs w:val="24"/>
        </w:rPr>
        <w:t xml:space="preserve">SARS-CoV-2 S protein purification </w:t>
      </w:r>
      <w:r>
        <w:rPr>
          <w:rFonts w:ascii="Arial" w:hAnsi="Arial" w:cs="Arial"/>
          <w:b/>
          <w:bCs/>
          <w:sz w:val="24"/>
          <w:szCs w:val="24"/>
        </w:rPr>
        <w:t>(</w:t>
      </w:r>
      <w:r w:rsidRPr="0000656C">
        <w:rPr>
          <w:rFonts w:ascii="Arial" w:hAnsi="Arial" w:cs="Arial"/>
          <w:b/>
          <w:bCs/>
          <w:sz w:val="24"/>
          <w:szCs w:val="24"/>
        </w:rPr>
        <w:t>Oxford</w:t>
      </w:r>
      <w:r>
        <w:rPr>
          <w:rFonts w:ascii="Arial" w:hAnsi="Arial" w:cs="Arial"/>
          <w:b/>
          <w:bCs/>
          <w:sz w:val="24"/>
          <w:szCs w:val="24"/>
        </w:rPr>
        <w:t>)</w:t>
      </w:r>
    </w:p>
    <w:p w14:paraId="7DB24C8A" w14:textId="30554196" w:rsidR="00584E27" w:rsidRPr="0000656C" w:rsidRDefault="00584E27" w:rsidP="00584E27">
      <w:pPr>
        <w:spacing w:line="360" w:lineRule="auto"/>
        <w:jc w:val="both"/>
        <w:rPr>
          <w:rFonts w:ascii="Arial" w:hAnsi="Arial" w:cs="Arial"/>
          <w:sz w:val="24"/>
          <w:szCs w:val="24"/>
        </w:rPr>
      </w:pPr>
      <w:r w:rsidRPr="0000656C">
        <w:rPr>
          <w:rFonts w:ascii="Arial" w:hAnsi="Arial" w:cs="Arial"/>
          <w:sz w:val="24"/>
          <w:szCs w:val="24"/>
        </w:rPr>
        <w:t>The extracellular domain of SARS-CoV-2 spike was cloned into pHLsec vector</w:t>
      </w:r>
      <w:r w:rsidR="00F724BD">
        <w:rPr>
          <w:rFonts w:ascii="Arial" w:hAnsi="Arial" w:cs="Arial"/>
          <w:sz w:val="24"/>
          <w:szCs w:val="24"/>
        </w:rPr>
        <w:t xml:space="preserve"> </w:t>
      </w:r>
      <w:r>
        <w:rPr>
          <w:rFonts w:ascii="Arial" w:hAnsi="Arial" w:cs="Arial"/>
          <w:sz w:val="24"/>
          <w:szCs w:val="24"/>
        </w:rPr>
        <w:fldChar w:fldCharType="begin" w:fldLock="1"/>
      </w:r>
      <w:r w:rsidR="007774B6">
        <w:rPr>
          <w:rFonts w:ascii="Arial" w:hAnsi="Arial" w:cs="Arial"/>
          <w:sz w:val="24"/>
          <w:szCs w:val="24"/>
        </w:rPr>
        <w:instrText>ADDIN CSL_CITATION {"citationItems":[{"id":"ITEM-1","itemData":{"DOI":"10.1107/S0907444906029799","ISSN":"09074449","PMID":"17001101","abstract":"Most proteins for structural biology studies are produced by high-level expression in Escherichia coli. However, prokaryotic based expression systems fail to generate correctly folded functional forms of many proteins and hence a variety of eukaryotic based expression systems have been developed. Of these, yeast and baculovirus-infected insect cells currently represent the expression systems of choice for structural biologists. Here, protocols for a simple, fast and affordable method for transient protein expression in mammalian cells are reported. The results demonstrate that it combines several features necessary for the production of suitable samples for structural biology, in particular protein crystallography, namely high protein yield, straightforward purification, selenomethionine incorporation and control of N-linked glycosylation. The system is suitable for use in conventional laboratories or can be implemented in a medium- or high-throughput pipeline. © International Union of Crystallography, 2006.","author":[{"dropping-particle":"","family":"Aricescu","given":"A. Radu","non-dropping-particle":"","parse-names":false,"suffix":""},{"dropping-particle":"","family":"Lu","given":"Weixian","non-dropping-particle":"","parse-names":false,"suffix":""},{"dropping-particle":"","family":"Jones","given":"E. Yvonne","non-dropping-particle":"","parse-names":false,"suffix":""}],"container-title":"Acta Crystallographica Section D: Biological Crystallography","id":"ITEM-1","issue":"10","issued":{"date-parts":[["2006","10"]]},"page":"1243-1250","publisher":"Acta Crystallogr D Biol Crystallogr","title":"A time- and cost-efficient system for high-level protein production in mammalian cells","type":"article-journal","volume":"62"},"uris":["http://www.mendeley.com/documents/?uuid=afd3ddc7-5a24-367e-9986-ebec228fd2b8"]}],"mendeley":{"formattedCitation":"&lt;sup&gt;52&lt;/sup&gt;","plainTextFormattedCitation":"52","previouslyFormattedCitation":"&lt;sup&gt;52&lt;/sup&gt;"},"properties":{"noteIndex":0},"schema":"https://github.com/citation-style-language/schema/raw/master/csl-citation.json"}</w:instrText>
      </w:r>
      <w:r>
        <w:rPr>
          <w:rFonts w:ascii="Arial" w:hAnsi="Arial" w:cs="Arial"/>
          <w:sz w:val="24"/>
          <w:szCs w:val="24"/>
        </w:rPr>
        <w:fldChar w:fldCharType="separate"/>
      </w:r>
      <w:r w:rsidR="007774B6" w:rsidRPr="007774B6">
        <w:rPr>
          <w:rFonts w:ascii="Arial" w:hAnsi="Arial" w:cs="Arial"/>
          <w:noProof/>
          <w:sz w:val="24"/>
          <w:szCs w:val="24"/>
          <w:vertAlign w:val="superscript"/>
        </w:rPr>
        <w:t>52</w:t>
      </w:r>
      <w:r>
        <w:rPr>
          <w:rFonts w:ascii="Arial" w:hAnsi="Arial" w:cs="Arial"/>
          <w:sz w:val="24"/>
          <w:szCs w:val="24"/>
        </w:rPr>
        <w:fldChar w:fldCharType="end"/>
      </w:r>
      <w:r>
        <w:rPr>
          <w:rFonts w:ascii="Arial" w:hAnsi="Arial" w:cs="Arial"/>
          <w:sz w:val="24"/>
          <w:szCs w:val="24"/>
        </w:rPr>
        <w:t xml:space="preserve"> </w:t>
      </w:r>
      <w:r w:rsidRPr="0000656C">
        <w:rPr>
          <w:rFonts w:ascii="Arial" w:hAnsi="Arial" w:cs="Arial"/>
          <w:sz w:val="24"/>
          <w:szCs w:val="24"/>
        </w:rPr>
        <w:t>and encompassed residues M1-Q1208 (</w:t>
      </w:r>
      <w:proofErr w:type="spellStart"/>
      <w:r w:rsidRPr="0000656C">
        <w:rPr>
          <w:rFonts w:ascii="Arial" w:hAnsi="Arial" w:cs="Arial"/>
          <w:sz w:val="24"/>
          <w:szCs w:val="24"/>
        </w:rPr>
        <w:t>UniProtKB</w:t>
      </w:r>
      <w:proofErr w:type="spellEnd"/>
      <w:r w:rsidRPr="0000656C">
        <w:rPr>
          <w:rFonts w:ascii="Arial" w:hAnsi="Arial" w:cs="Arial"/>
          <w:sz w:val="24"/>
          <w:szCs w:val="24"/>
        </w:rPr>
        <w:t xml:space="preserve"> ID P0DTC2) with mutations R682G/R683S/R685S (furin recognition sequence), K986P/V987P, followed by </w:t>
      </w:r>
      <w:proofErr w:type="spellStart"/>
      <w:r w:rsidRPr="0000656C">
        <w:rPr>
          <w:rFonts w:ascii="Arial" w:hAnsi="Arial" w:cs="Arial"/>
          <w:sz w:val="24"/>
          <w:szCs w:val="24"/>
        </w:rPr>
        <w:t>Fibritin</w:t>
      </w:r>
      <w:proofErr w:type="spellEnd"/>
      <w:r w:rsidRPr="0000656C">
        <w:rPr>
          <w:rFonts w:ascii="Arial" w:hAnsi="Arial" w:cs="Arial"/>
          <w:sz w:val="24"/>
          <w:szCs w:val="24"/>
        </w:rPr>
        <w:t xml:space="preserve"> </w:t>
      </w:r>
      <w:proofErr w:type="spellStart"/>
      <w:r w:rsidRPr="0000656C">
        <w:rPr>
          <w:rFonts w:ascii="Arial" w:hAnsi="Arial" w:cs="Arial"/>
          <w:sz w:val="24"/>
          <w:szCs w:val="24"/>
        </w:rPr>
        <w:t>trimerisation</w:t>
      </w:r>
      <w:proofErr w:type="spellEnd"/>
      <w:r w:rsidRPr="0000656C">
        <w:rPr>
          <w:rFonts w:ascii="Arial" w:hAnsi="Arial" w:cs="Arial"/>
          <w:sz w:val="24"/>
          <w:szCs w:val="24"/>
        </w:rPr>
        <w:t xml:space="preserve"> region, an HRV3C protease cleavage site, a His8-tag and a Twin-Strep-tag at the C-terminus</w:t>
      </w:r>
      <w:r>
        <w:rPr>
          <w:rFonts w:ascii="Arial" w:hAnsi="Arial" w:cs="Arial"/>
          <w:sz w:val="24"/>
          <w:szCs w:val="24"/>
        </w:rPr>
        <w:t xml:space="preserve"> </w:t>
      </w:r>
      <w:r>
        <w:rPr>
          <w:rFonts w:ascii="Arial" w:hAnsi="Arial" w:cs="Arial"/>
          <w:sz w:val="24"/>
          <w:szCs w:val="24"/>
        </w:rPr>
        <w:fldChar w:fldCharType="begin" w:fldLock="1"/>
      </w:r>
      <w:r w:rsidR="007774B6">
        <w:rPr>
          <w:rFonts w:ascii="Arial" w:hAnsi="Arial" w:cs="Arial"/>
          <w:sz w:val="24"/>
          <w:szCs w:val="24"/>
        </w:rPr>
        <w:instrText>ADDIN CSL_CITATION {"citationItems":[{"id":"ITEM-1","itemData":{"DOI":"10.1016/j.chom.2020.06.010","ISSN":"19346069","PMID":"32585135","abstract":"Huo et al. find that the antibody CR3022 binds tightly to the receptor binding domain of the SARS-CoV-2 spike at a site different to that used by the receptor. CR3022 effectively neutralizes the virus, and cryo-EM reveals that it disrupts the spike. Such antibodies could have potential as COVID-19 therapeutics.","author":[{"dropping-particle":"","family":"Huo","given":"Jiandong","non-dropping-particle":"","parse-names":false,"suffix":""},{"dropping-particle":"","family":"Zhao","given":"Yuguang","non-dropping-particle":"","parse-names":false,"suffix":""},{"dropping-particle":"","family":"Ren","given":"Jingshan","non-dropping-particle":"","parse-names":false,"suffix":""},{"dropping-particle":"","family":"Zhou","given":"Daming","non-dropping-particle":"","parse-names":false,"suffix":""},{"dropping-particle":"","family":"Duyvesteyn","given":"Helen M.E.","non-dropping-particle":"","parse-names":false,"suffix":""},{"dropping-particle":"","family":"Ginn","given":"Helen M.","non-dropping-particle":"","parse-names":false,"suffix":""},{"dropping-particle":"","family":"Carrique","given":"Loic","non-dropping-particle":"","parse-names":false,"suffix":""},{"dropping-particle":"","family":"Malinauskas","given":"Tomas","non-dropping-particle":"","parse-names":false,"suffix":""},{"dropping-particle":"","family":"Ruza","given":"Reinis R.","non-dropping-particle":"","parse-names":false,"suffix":""},{"dropping-particle":"","family":"Shah","given":"Pranav N.M.","non-dropping-particle":"","parse-names":false,"suffix":""},{"dropping-particle":"","family":"Tan","given":"Tiong Kit","non-dropping-particle":"","parse-names":false,"suffix":""},{"dropping-particle":"","family":"Rijal","given":"Pramila","non-dropping-particle":"","parse-names":false,"suffix":""},{"dropping-particle":"","family":"Coombes","given":"Naomi","non-dropping-particle":"","parse-names":false,"suffix":""},{"dropping-particle":"","family":"Bewley","given":"Kevin R.","non-dropping-particle":"","parse-names":false,"suffix":""},{"dropping-particle":"","family":"Tree","given":"Julia A.","non-dropping-particle":"","parse-names":false,"suffix":""},{"dropping-particle":"","family":"Radecke","given":"Julika","non-dropping-particle":"","parse-names":false,"suffix":""},{"dropping-particle":"","family":"Paterson","given":"Neil G.","non-dropping-particle":"","parse-names":false,"suffix":""},{"dropping-particle":"","family":"Supasa","given":"Piyada","non-dropping-particle":"","parse-names":false,"suffix":""},{"dropping-particle":"","family":"Mongkolsapaya","given":"Juthathip","non-dropping-particle":"","parse-names":false,"suffix":""},{"dropping-particle":"","family":"Screaton","given":"Gavin R.","non-dropping-particle":"","parse-names":false,"suffix":""},{"dropping-particle":"","family":"Carroll","given":"Miles","non-dropping-particle":"","parse-names":false,"suffix":""},{"dropping-particle":"","family":"Townsend","given":"Alain","non-dropping-particle":"","parse-names":false,"suffix":""},{"dropping-particle":"","family":"Fry","given":"Elizabeth E.","non-dropping-particle":"","parse-names":false,"suffix":""},{"dropping-particle":"","family":"Owens","given":"Raymond J.","non-dropping-particle":"","parse-names":false,"suffix":""},{"dropping-particle":"","family":"Stuart","given":"David I.","non-dropping-particle":"","parse-names":false,"suffix":""}],"container-title":"Cell Host and Microbe","id":"ITEM-1","issue":"3","issued":{"date-parts":[["2020","9","9"]]},"page":"445-454.e6","publisher":"Cell Press","title":"Neutralization of SARS-CoV-2 by Destruction of the Prefusion Spike","type":"article-journal","volume":"28"},"uris":["http://www.mendeley.com/documents/?uuid=ddf72979-aca5-374d-b80b-4cea90fd2470"]},{"id":"ITEM-2","itemData":{"DOI":"10.1126/science.abb2507","ISSN":"10959203","PMID":"32075877","abstract":"The outbreak of a novel coronavirus (2019-nCoV) represents a pandemic threat that has been declared a public health emergency of international concern. The CoV spike (S) glycoprotein is a key target for vaccines, therapeutic antibodies, and diagnostics. To facilitate medical countermeasure development, we determined a 3.5-angstrom-resolution cryo-electron microscopy structure of the 2019-nCoV S trimer in the prefusion conformation. The predominant state of the trimer has one of the three receptor-binding domains (RBDs) rotated up in a receptor-accessible conformation. We also provide biophysical and structural evidence that the 2019-nCoV S protein binds angiotensin-converting enzyme 2 (ACE2) with higher affinity than does severe acute respiratory syndrome (SARS)-CoV S. Additionally, we tested several published SARS-CoV RBD-specific monoclonal antibodies and found that they do not have appreciable binding to 2019-nCoV S, suggesting that antibody cross-reactivity may be limited between the two RBDs. The structure of 2019-nCoV S should enable the rapid development and evaluation of medical countermeasures to address the ongoing public health crisis.","author":[{"dropping-particle":"","family":"Wrapp","given":"Daniel","non-dropping-particle":"","parse-names":false,"suffix":""},{"dropping-particle":"","family":"Wang","given":"Nianshuang","non-dropping-particle":"","parse-names":false,"suffix":""},{"dropping-particle":"","family":"Corbett","given":"Kizzmekia S.","non-dropping-particle":"","parse-names":false,"suffix":""},{"dropping-particle":"","family":"Goldsmith","given":"Jory A.","non-dropping-particle":"","parse-names":false,"suffix":""},{"dropping-particle":"","family":"Hsieh","given":"Ching Lin","non-dropping-particle":"","parse-names":false,"suffix":""},{"dropping-particle":"","family":"Abiona","given":"Olubukola","non-dropping-particle":"","parse-names":false,"suffix":""},{"dropping-particle":"","family":"Graham","given":"Barney S.","non-dropping-particle":"","parse-names":false,"suffix":""},{"dropping-particle":"","family":"McLellan","given":"Jason S.","non-dropping-particle":"","parse-names":false,"suffix":""}],"container-title":"Science","id":"ITEM-2","issue":"6483","issued":{"date-parts":[["2020"]]},"page":"1260-1263","title":"Cryo-EM structure of the 2019-nCoV spike in the prefusion conformation","type":"article-journal","volume":"367"},"uris":["http://www.mendeley.com/documents/?uuid=f7160f7d-2d82-4a0a-b66f-1211c4e35985"]}],"mendeley":{"formattedCitation":"&lt;sup&gt;28,53&lt;/sup&gt;","plainTextFormattedCitation":"28,53","previouslyFormattedCitation":"&lt;sup&gt;28,53&lt;/sup&gt;"},"properties":{"noteIndex":0},"schema":"https://github.com/citation-style-language/schema/raw/master/csl-citation.json"}</w:instrText>
      </w:r>
      <w:r>
        <w:rPr>
          <w:rFonts w:ascii="Arial" w:hAnsi="Arial" w:cs="Arial"/>
          <w:sz w:val="24"/>
          <w:szCs w:val="24"/>
        </w:rPr>
        <w:fldChar w:fldCharType="separate"/>
      </w:r>
      <w:r w:rsidR="007774B6" w:rsidRPr="007774B6">
        <w:rPr>
          <w:rFonts w:ascii="Arial" w:hAnsi="Arial" w:cs="Arial"/>
          <w:noProof/>
          <w:sz w:val="24"/>
          <w:szCs w:val="24"/>
          <w:vertAlign w:val="superscript"/>
        </w:rPr>
        <w:t>28,53</w:t>
      </w:r>
      <w:r>
        <w:rPr>
          <w:rFonts w:ascii="Arial" w:hAnsi="Arial" w:cs="Arial"/>
          <w:sz w:val="24"/>
          <w:szCs w:val="24"/>
        </w:rPr>
        <w:fldChar w:fldCharType="end"/>
      </w:r>
      <w:r w:rsidRPr="0000656C">
        <w:rPr>
          <w:rFonts w:ascii="Arial" w:hAnsi="Arial" w:cs="Arial"/>
          <w:sz w:val="24"/>
          <w:szCs w:val="24"/>
        </w:rPr>
        <w:t xml:space="preserve">. Spike ectodomain was expressed by transient transfection HEK293T (ATCC, CRL-3216) cells for 6 days at 30 °C. Conditioned media was </w:t>
      </w:r>
      <w:proofErr w:type="spellStart"/>
      <w:r w:rsidRPr="0000656C">
        <w:rPr>
          <w:rFonts w:ascii="Arial" w:hAnsi="Arial" w:cs="Arial"/>
          <w:sz w:val="24"/>
          <w:szCs w:val="24"/>
        </w:rPr>
        <w:t>dialysed</w:t>
      </w:r>
      <w:proofErr w:type="spellEnd"/>
      <w:r w:rsidRPr="0000656C">
        <w:rPr>
          <w:rFonts w:ascii="Arial" w:hAnsi="Arial" w:cs="Arial"/>
          <w:sz w:val="24"/>
          <w:szCs w:val="24"/>
        </w:rPr>
        <w:t xml:space="preserve"> against 2x phosphate buffered saline pH 7.4 buffer (Sigma-Aldrich). The spike ectodomain was purified using Strep-</w:t>
      </w:r>
      <w:proofErr w:type="spellStart"/>
      <w:r w:rsidRPr="0000656C">
        <w:rPr>
          <w:rFonts w:ascii="Arial" w:hAnsi="Arial" w:cs="Arial"/>
          <w:sz w:val="24"/>
          <w:szCs w:val="24"/>
        </w:rPr>
        <w:t>Tactin</w:t>
      </w:r>
      <w:proofErr w:type="spellEnd"/>
      <w:r w:rsidRPr="0000656C">
        <w:rPr>
          <w:rFonts w:ascii="Arial" w:hAnsi="Arial" w:cs="Arial"/>
          <w:sz w:val="24"/>
          <w:szCs w:val="24"/>
        </w:rPr>
        <w:t xml:space="preserve"> </w:t>
      </w:r>
      <w:proofErr w:type="spellStart"/>
      <w:r w:rsidRPr="0000656C">
        <w:rPr>
          <w:rFonts w:ascii="Arial" w:hAnsi="Arial" w:cs="Arial"/>
          <w:sz w:val="24"/>
          <w:szCs w:val="24"/>
        </w:rPr>
        <w:t>Superflow</w:t>
      </w:r>
      <w:proofErr w:type="spellEnd"/>
      <w:r w:rsidRPr="0000656C">
        <w:rPr>
          <w:rFonts w:ascii="Arial" w:hAnsi="Arial" w:cs="Arial"/>
          <w:sz w:val="24"/>
          <w:szCs w:val="24"/>
        </w:rPr>
        <w:t xml:space="preserve"> resin (IBA Lifesciences) followed by size exclusion chromatography using </w:t>
      </w:r>
      <w:proofErr w:type="spellStart"/>
      <w:r w:rsidRPr="0000656C">
        <w:rPr>
          <w:rFonts w:ascii="Arial" w:hAnsi="Arial" w:cs="Arial"/>
          <w:sz w:val="24"/>
          <w:szCs w:val="24"/>
        </w:rPr>
        <w:t>Superose</w:t>
      </w:r>
      <w:proofErr w:type="spellEnd"/>
      <w:r w:rsidRPr="0000656C">
        <w:rPr>
          <w:rFonts w:ascii="Arial" w:hAnsi="Arial" w:cs="Arial"/>
          <w:sz w:val="24"/>
          <w:szCs w:val="24"/>
        </w:rPr>
        <w:t xml:space="preserve"> 6 Increase column (GE Healthcare) equilibrated in 200 mM NaCl, 2 mM Tris-HCl pH 8.0, 0.02% NaN</w:t>
      </w:r>
      <w:r w:rsidRPr="00633D9F">
        <w:rPr>
          <w:rFonts w:ascii="Arial" w:hAnsi="Arial" w:cs="Arial"/>
          <w:sz w:val="24"/>
          <w:szCs w:val="24"/>
          <w:vertAlign w:val="subscript"/>
        </w:rPr>
        <w:t>3</w:t>
      </w:r>
      <w:r w:rsidRPr="0000656C">
        <w:rPr>
          <w:rFonts w:ascii="Arial" w:hAnsi="Arial" w:cs="Arial"/>
          <w:sz w:val="24"/>
          <w:szCs w:val="24"/>
        </w:rPr>
        <w:t xml:space="preserve"> at 21 °C.</w:t>
      </w:r>
    </w:p>
    <w:p w14:paraId="3C2F54D3" w14:textId="77777777" w:rsidR="00584E27" w:rsidRPr="0000656C" w:rsidRDefault="00584E27" w:rsidP="00584E27">
      <w:pPr>
        <w:spacing w:line="360" w:lineRule="auto"/>
        <w:jc w:val="both"/>
        <w:rPr>
          <w:rFonts w:ascii="Arial" w:hAnsi="Arial" w:cs="Arial"/>
          <w:b/>
          <w:bCs/>
          <w:sz w:val="24"/>
          <w:szCs w:val="24"/>
        </w:rPr>
      </w:pPr>
      <w:r w:rsidRPr="0000656C">
        <w:rPr>
          <w:rFonts w:ascii="Arial" w:hAnsi="Arial" w:cs="Arial"/>
          <w:b/>
          <w:bCs/>
          <w:sz w:val="24"/>
          <w:szCs w:val="24"/>
        </w:rPr>
        <w:t xml:space="preserve">SARS-CoV-2 S protein purification </w:t>
      </w:r>
      <w:r>
        <w:rPr>
          <w:rFonts w:ascii="Arial" w:hAnsi="Arial" w:cs="Arial"/>
          <w:b/>
          <w:bCs/>
          <w:sz w:val="24"/>
          <w:szCs w:val="24"/>
        </w:rPr>
        <w:t>(</w:t>
      </w:r>
      <w:r w:rsidRPr="0000656C">
        <w:rPr>
          <w:rFonts w:ascii="Arial" w:hAnsi="Arial" w:cs="Arial"/>
          <w:b/>
          <w:bCs/>
          <w:sz w:val="24"/>
          <w:szCs w:val="24"/>
        </w:rPr>
        <w:t>Amsterdam</w:t>
      </w:r>
      <w:r>
        <w:rPr>
          <w:rFonts w:ascii="Arial" w:hAnsi="Arial" w:cs="Arial"/>
          <w:b/>
          <w:bCs/>
          <w:sz w:val="24"/>
          <w:szCs w:val="24"/>
        </w:rPr>
        <w:t>)</w:t>
      </w:r>
    </w:p>
    <w:p w14:paraId="7ED604E1" w14:textId="77777777" w:rsidR="00584E27" w:rsidRPr="0000656C" w:rsidRDefault="00584E27" w:rsidP="00584E27">
      <w:pPr>
        <w:spacing w:line="360" w:lineRule="auto"/>
        <w:jc w:val="both"/>
        <w:rPr>
          <w:rFonts w:ascii="Arial" w:eastAsia="Times New Roman" w:hAnsi="Arial" w:cs="Arial"/>
          <w:color w:val="000000"/>
          <w:sz w:val="24"/>
          <w:szCs w:val="24"/>
        </w:rPr>
      </w:pPr>
      <w:r w:rsidRPr="0000656C">
        <w:rPr>
          <w:rFonts w:ascii="Arial" w:eastAsia="Times New Roman" w:hAnsi="Arial" w:cs="Arial"/>
          <w:color w:val="000000"/>
          <w:sz w:val="24"/>
          <w:szCs w:val="24"/>
        </w:rPr>
        <w:t>The SARS-CoV-2 S protein construct was designed and expressed as described previously</w:t>
      </w:r>
      <w:r>
        <w:rPr>
          <w:rFonts w:ascii="Arial" w:eastAsia="Times New Roman" w:hAnsi="Arial" w:cs="Arial"/>
          <w:color w:val="000000"/>
          <w:sz w:val="24"/>
          <w:szCs w:val="24"/>
        </w:rPr>
        <w:t xml:space="preserve"> </w:t>
      </w:r>
      <w:r>
        <w:rPr>
          <w:rFonts w:ascii="Arial" w:eastAsia="Times New Roman" w:hAnsi="Arial" w:cs="Arial"/>
          <w:color w:val="000000"/>
          <w:sz w:val="24"/>
          <w:szCs w:val="24"/>
        </w:rPr>
        <w:fldChar w:fldCharType="begin" w:fldLock="1"/>
      </w:r>
      <w:r>
        <w:rPr>
          <w:rFonts w:ascii="Arial" w:eastAsia="Times New Roman" w:hAnsi="Arial" w:cs="Arial"/>
          <w:color w:val="000000"/>
          <w:sz w:val="24"/>
          <w:szCs w:val="24"/>
        </w:rPr>
        <w:instrText>ADDIN CSL_CITATION {"citationItems":[{"id":"ITEM-1","itemData":{"DOI":"10.1126/science.abc5902","ISSN":"10959203","PMID":"32540902","abstract":"The rapid spread of severe acute respiratory syndrome coronavirus 2 (SARS-CoV-2) has had a large impact on global health, travel, and economy. Therefore, preventative and therapeutic measures are urgently needed. Here, we isolated monoclonal antibodies from three convalescent coronavirus disease 2019 (COVID-19) patients using a SARS-CoV-2 stabilized prefusion spike protein. These antibodies had low levels of somatic hypermutation and showed a strong enrichment in VH1-69, VH3-30-3, and VH1-24 gene usage. A subset of the antibodies was able to potently inhibit authentic SARS-CoV-2 infection at a concentration as low as 0.007 micrograms per milliliter. Competition and electron microscopy studies illustrate that the SARS-CoV-2 spike protein contains multiple distinct antigenic sites, including several receptor-binding domain (RBD) epitopes as well as non-RBD epitopes. In addition to providing guidance for vaccine design, the antibodies described here are promising candidates for COVID-19 treatment and prevention.","author":[{"dropping-particle":"","family":"Brouwer","given":"Philip J.M.","non-dropping-particle":"","parse-names":false,"suffix":""},{"dropping-particle":"","family":"Caniels","given":"Tom G.","non-dropping-particle":"","parse-names":false,"suffix":""},{"dropping-particle":"","family":"Straten","given":"Karlijn","non-dropping-particle":"van der","parse-names":false,"suffix":""},{"dropping-particle":"","family":"Snitselaar","given":"Jonne L.","non-dropping-particle":"","parse-names":false,"suffix":""},{"dropping-particle":"","family":"Aldon","given":"Yoann","non-dropping-particle":"","parse-names":false,"suffix":""},{"dropping-particle":"","family":"Bangaru","given":"Sandhya","non-dropping-particle":"","parse-names":false,"suffix":""},{"dropping-particle":"","family":"Torres","given":"Jonathan L.","non-dropping-particle":"","parse-names":false,"suffix":""},{"dropping-particle":"","family":"Okba","given":"Nisreen M.A.","non-dropping-particle":"","parse-names":false,"suffix":""},{"dropping-particle":"","family":"Claireaux","given":"Mathieu","non-dropping-particle":"","parse-names":false,"suffix":""},{"dropping-particle":"","family":"Kerster","given":"Gius","non-dropping-particle":"","parse-names":false,"suffix":""},{"dropping-particle":"","family":"Bentlage","given":"Arthur E.H.","non-dropping-particle":"","parse-names":false,"suffix":""},{"dropping-particle":"","family":"Haaren","given":"Marlies M.","non-dropping-particle":"van","parse-names":false,"suffix":""},{"dropping-particle":"","family":"Guerra","given":"Denise","non-dropping-particle":"","parse-names":false,"suffix":""},{"dropping-particle":"","family":"Burger","given":"Judith A.","non-dropping-particle":"","parse-names":false,"suffix":""},{"dropping-particle":"","family":"Schermer","given":"Edith E.","non-dropping-particle":"","parse-names":false,"suffix":""},{"dropping-particle":"","family":"Verheul","given":"Kirsten D.","non-dropping-particle":"","parse-names":false,"suffix":""},{"dropping-particle":"","family":"Velde","given":"Niels","non-dropping-particle":"van der","parse-names":false,"suffix":""},{"dropping-particle":"","family":"Kooi","given":"Alex","non-dropping-particle":"van der","parse-names":false,"suffix":""},{"dropping-particle":"","family":"Schooten","given":"Jelle","non-dropping-particle":"van","parse-names":false,"suffix":""},{"dropping-particle":"","family":"Breemen","given":"Mariëlle J.","non-dropping-particle":"van","parse-names":false,"suffix":""},{"dropping-particle":"","family":"Bijl","given":"Tom P.L.","non-dropping-particle":"","parse-names":false,"suffix":""},{"dropping-particle":"","family":"Sliepen","given":"Kwinten","non-dropping-particle":"","parse-names":false,"suffix":""},{"dropping-particle":"","family":"Aartse","given":"Aafke","non-dropping-particle":"","parse-names":false,"suffix":""},{"dropping-particle":"","family":"Derking","given":"Ronald","non-dropping-particle":"","parse-names":false,"suffix":""},{"dropping-particle":"","family":"Bontjer","given":"Ilja","non-dropping-particle":"","parse-names":false,"suffix":""},{"dropping-particle":"","family":"Kootstra","given":"Neeltje A.","non-dropping-particle":"","parse-names":false,"suffix":""},{"dropping-particle":"","family":"Joost Wiersinga","given":"W.","non-dropping-particle":"","parse-names":false,"suffix":""},{"dropping-particle":"","family":"Vidarsson","given":"Gestur","non-dropping-particle":"","parse-names":false,"suffix":""},{"dropping-particle":"","family":"Haagmans","given":"Bart L.","non-dropping-particle":"","parse-names":false,"suffix":""},{"dropping-particle":"","family":"Ward","given":"Andrew B.","non-dropping-particle":"","parse-names":false,"suffix":""},{"dropping-particle":"","family":"Bree","given":"Godelieve J.","non-dropping-particle":"de","parse-names":false,"suffix":""},{"dropping-particle":"","family":"Sanders","given":"Rogier W.","non-dropping-particle":"","parse-names":false,"suffix":""},{"dropping-particle":"","family":"Gils","given":"Marit J.","non-dropping-particle":"van","parse-names":false,"suffix":""}],"container-title":"Science","id":"ITEM-1","issue":"6504","issued":{"date-parts":[["2020"]]},"page":"643-650","title":"Potent neutralizing antibodies from COVID-19 patients define multiple targets of vulnerability","type":"article-journal","volume":"369"},"uris":["http://www.mendeley.com/documents/?uuid=27a71b26-596a-4ff8-849c-2daa6b0e254f"]}],"mendeley":{"formattedCitation":"&lt;sup&gt;1&lt;/sup&gt;","plainTextFormattedCitation":"1","previouslyFormattedCitation":"&lt;sup&gt;1&lt;/sup&gt;"},"properties":{"noteIndex":0},"schema":"https://github.com/citation-style-language/schema/raw/master/csl-citation.json"}</w:instrText>
      </w:r>
      <w:r>
        <w:rPr>
          <w:rFonts w:ascii="Arial" w:eastAsia="Times New Roman" w:hAnsi="Arial" w:cs="Arial"/>
          <w:color w:val="000000"/>
          <w:sz w:val="24"/>
          <w:szCs w:val="24"/>
        </w:rPr>
        <w:fldChar w:fldCharType="separate"/>
      </w:r>
      <w:r w:rsidRPr="008737C8">
        <w:rPr>
          <w:rFonts w:ascii="Arial" w:eastAsia="Times New Roman" w:hAnsi="Arial" w:cs="Arial"/>
          <w:noProof/>
          <w:color w:val="000000"/>
          <w:sz w:val="24"/>
          <w:szCs w:val="24"/>
          <w:vertAlign w:val="superscript"/>
        </w:rPr>
        <w:t>1</w:t>
      </w:r>
      <w:r>
        <w:rPr>
          <w:rFonts w:ascii="Arial" w:eastAsia="Times New Roman" w:hAnsi="Arial" w:cs="Arial"/>
          <w:color w:val="000000"/>
          <w:sz w:val="24"/>
          <w:szCs w:val="24"/>
        </w:rPr>
        <w:fldChar w:fldCharType="end"/>
      </w:r>
      <w:r w:rsidRPr="0000656C">
        <w:rPr>
          <w:rFonts w:ascii="Arial" w:eastAsia="Times New Roman" w:hAnsi="Arial" w:cs="Arial"/>
          <w:color w:val="000000"/>
          <w:sz w:val="24"/>
          <w:szCs w:val="24"/>
        </w:rPr>
        <w:t>. Briefly, a SARS-CoV-2 S gene encoding residues 1-1138 (WuhanHu-1; GenBank: MN908947.3) was ordered (</w:t>
      </w:r>
      <w:proofErr w:type="spellStart"/>
      <w:r w:rsidRPr="0000656C">
        <w:rPr>
          <w:rFonts w:ascii="Arial" w:eastAsia="Times New Roman" w:hAnsi="Arial" w:cs="Arial"/>
          <w:color w:val="000000"/>
          <w:sz w:val="24"/>
          <w:szCs w:val="24"/>
        </w:rPr>
        <w:t>Genscript</w:t>
      </w:r>
      <w:proofErr w:type="spellEnd"/>
      <w:r w:rsidRPr="0000656C">
        <w:rPr>
          <w:rFonts w:ascii="Arial" w:eastAsia="Times New Roman" w:hAnsi="Arial" w:cs="Arial"/>
          <w:color w:val="000000"/>
          <w:sz w:val="24"/>
          <w:szCs w:val="24"/>
        </w:rPr>
        <w:t xml:space="preserve">) and cloned into a pPPI4 plasmid containing a T4 trimerization domain followed by a </w:t>
      </w:r>
      <w:proofErr w:type="spellStart"/>
      <w:r w:rsidRPr="0000656C">
        <w:rPr>
          <w:rFonts w:ascii="Arial" w:eastAsia="Times New Roman" w:hAnsi="Arial" w:cs="Arial"/>
          <w:color w:val="000000"/>
          <w:sz w:val="24"/>
          <w:szCs w:val="24"/>
        </w:rPr>
        <w:t>hexahistidine</w:t>
      </w:r>
      <w:proofErr w:type="spellEnd"/>
      <w:r w:rsidRPr="0000656C">
        <w:rPr>
          <w:rFonts w:ascii="Arial" w:eastAsia="Times New Roman" w:hAnsi="Arial" w:cs="Arial"/>
          <w:color w:val="000000"/>
          <w:sz w:val="24"/>
          <w:szCs w:val="24"/>
        </w:rPr>
        <w:t xml:space="preserve"> tag by </w:t>
      </w:r>
      <w:proofErr w:type="spellStart"/>
      <w:r w:rsidRPr="0000656C">
        <w:rPr>
          <w:rFonts w:ascii="Arial" w:eastAsia="Times New Roman" w:hAnsi="Arial" w:cs="Arial"/>
          <w:color w:val="000000"/>
          <w:sz w:val="24"/>
          <w:szCs w:val="24"/>
        </w:rPr>
        <w:t>PstI-BamHI</w:t>
      </w:r>
      <w:proofErr w:type="spellEnd"/>
      <w:r w:rsidRPr="0000656C">
        <w:rPr>
          <w:rFonts w:ascii="Arial" w:eastAsia="Times New Roman" w:hAnsi="Arial" w:cs="Arial"/>
          <w:color w:val="000000"/>
          <w:sz w:val="24"/>
          <w:szCs w:val="24"/>
        </w:rPr>
        <w:t xml:space="preserve"> digestion and ligation. Modifications consist of substituting the amino acid positions 986 and 987 to prolines and removing the furin cleavage site by substituting </w:t>
      </w:r>
      <w:r w:rsidRPr="0000656C">
        <w:rPr>
          <w:rFonts w:ascii="Arial" w:eastAsia="Times New Roman" w:hAnsi="Arial" w:cs="Arial"/>
          <w:color w:val="000000"/>
          <w:sz w:val="24"/>
          <w:szCs w:val="24"/>
        </w:rPr>
        <w:lastRenderedPageBreak/>
        <w:t xml:space="preserve">amino acids 682-685 to </w:t>
      </w:r>
      <w:proofErr w:type="spellStart"/>
      <w:r w:rsidRPr="0000656C">
        <w:rPr>
          <w:rFonts w:ascii="Arial" w:eastAsia="Times New Roman" w:hAnsi="Arial" w:cs="Arial"/>
          <w:color w:val="000000"/>
          <w:sz w:val="24"/>
          <w:szCs w:val="24"/>
        </w:rPr>
        <w:t>glycines</w:t>
      </w:r>
      <w:proofErr w:type="spellEnd"/>
      <w:r w:rsidRPr="0000656C">
        <w:rPr>
          <w:rFonts w:ascii="Arial" w:eastAsia="Times New Roman" w:hAnsi="Arial" w:cs="Arial"/>
          <w:color w:val="000000"/>
          <w:sz w:val="24"/>
          <w:szCs w:val="24"/>
        </w:rPr>
        <w:t xml:space="preserve">. S protein was expressed in HEK 293F cells. Approximately 1.0 million cells/ml, maintained in Freestyle medium (Gibco), were transfected by adding a mix of </w:t>
      </w:r>
      <w:proofErr w:type="spellStart"/>
      <w:r w:rsidRPr="0000656C">
        <w:rPr>
          <w:rFonts w:ascii="Arial" w:eastAsia="Times New Roman" w:hAnsi="Arial" w:cs="Arial"/>
          <w:color w:val="000000"/>
          <w:sz w:val="24"/>
          <w:szCs w:val="24"/>
        </w:rPr>
        <w:t>PEImax</w:t>
      </w:r>
      <w:proofErr w:type="spellEnd"/>
      <w:r w:rsidRPr="0000656C">
        <w:rPr>
          <w:rFonts w:ascii="Arial" w:eastAsia="Times New Roman" w:hAnsi="Arial" w:cs="Arial"/>
          <w:color w:val="000000"/>
          <w:sz w:val="24"/>
          <w:szCs w:val="24"/>
        </w:rPr>
        <w:t xml:space="preserve"> (1 µg/µl) and SARS-CoV-2 S plasmid (312.5 µg/l) in a 3:1 ratio in </w:t>
      </w:r>
      <w:proofErr w:type="spellStart"/>
      <w:r w:rsidRPr="0000656C">
        <w:rPr>
          <w:rFonts w:ascii="Arial" w:eastAsia="Times New Roman" w:hAnsi="Arial" w:cs="Arial"/>
          <w:color w:val="000000"/>
          <w:sz w:val="24"/>
          <w:szCs w:val="24"/>
        </w:rPr>
        <w:t>OptiMEM</w:t>
      </w:r>
      <w:proofErr w:type="spellEnd"/>
      <w:r w:rsidRPr="0000656C">
        <w:rPr>
          <w:rFonts w:ascii="Arial" w:eastAsia="Times New Roman" w:hAnsi="Arial" w:cs="Arial"/>
          <w:color w:val="000000"/>
          <w:sz w:val="24"/>
          <w:szCs w:val="24"/>
        </w:rPr>
        <w:t>. After six days supernatants were centrifuged for 30 min at 4000 rp</w:t>
      </w:r>
      <w:r>
        <w:rPr>
          <w:rFonts w:ascii="Arial" w:eastAsia="Times New Roman" w:hAnsi="Arial" w:cs="Arial"/>
          <w:color w:val="000000"/>
          <w:sz w:val="24"/>
          <w:szCs w:val="24"/>
        </w:rPr>
        <w:t>m</w:t>
      </w:r>
      <w:r w:rsidRPr="0000656C">
        <w:rPr>
          <w:rFonts w:ascii="Arial" w:eastAsia="Times New Roman" w:hAnsi="Arial" w:cs="Arial"/>
          <w:color w:val="000000"/>
          <w:sz w:val="24"/>
          <w:szCs w:val="24"/>
        </w:rPr>
        <w:t xml:space="preserve">, and filtered using </w:t>
      </w:r>
      <w:proofErr w:type="spellStart"/>
      <w:r w:rsidRPr="0000656C">
        <w:rPr>
          <w:rFonts w:ascii="Arial" w:eastAsia="Times New Roman" w:hAnsi="Arial" w:cs="Arial"/>
          <w:color w:val="000000"/>
          <w:sz w:val="24"/>
          <w:szCs w:val="24"/>
        </w:rPr>
        <w:t>Steritop</w:t>
      </w:r>
      <w:proofErr w:type="spellEnd"/>
      <w:r w:rsidRPr="0000656C">
        <w:rPr>
          <w:rFonts w:ascii="Arial" w:eastAsia="Times New Roman" w:hAnsi="Arial" w:cs="Arial"/>
          <w:color w:val="000000"/>
          <w:sz w:val="24"/>
          <w:szCs w:val="24"/>
        </w:rPr>
        <w:t xml:space="preserve"> filter (Merck Millipore; 0.22 µm). S protein was purified from supernatant by affinity purification using Ni-NTA agarose beads and eluates were concentrated and buffer exchanged to PBS using </w:t>
      </w:r>
      <w:proofErr w:type="spellStart"/>
      <w:r w:rsidRPr="0000656C">
        <w:rPr>
          <w:rFonts w:ascii="Arial" w:eastAsia="Times New Roman" w:hAnsi="Arial" w:cs="Arial"/>
          <w:color w:val="000000"/>
          <w:sz w:val="24"/>
          <w:szCs w:val="24"/>
        </w:rPr>
        <w:t>Vivaspin</w:t>
      </w:r>
      <w:proofErr w:type="spellEnd"/>
      <w:r w:rsidRPr="0000656C">
        <w:rPr>
          <w:rFonts w:ascii="Arial" w:eastAsia="Times New Roman" w:hAnsi="Arial" w:cs="Arial"/>
          <w:color w:val="000000"/>
          <w:sz w:val="24"/>
          <w:szCs w:val="24"/>
        </w:rPr>
        <w:t xml:space="preserve"> filters with a 100 kDa molecular weight cutoff (GE Healthcare). The S protein concentration was determined by the Nanodrop method using the proteins </w:t>
      </w:r>
      <w:proofErr w:type="spellStart"/>
      <w:r w:rsidRPr="0000656C">
        <w:rPr>
          <w:rFonts w:ascii="Arial" w:eastAsia="Times New Roman" w:hAnsi="Arial" w:cs="Arial"/>
          <w:color w:val="000000"/>
          <w:sz w:val="24"/>
          <w:szCs w:val="24"/>
        </w:rPr>
        <w:t>peptidic</w:t>
      </w:r>
      <w:proofErr w:type="spellEnd"/>
      <w:r w:rsidRPr="0000656C">
        <w:rPr>
          <w:rFonts w:ascii="Arial" w:eastAsia="Times New Roman" w:hAnsi="Arial" w:cs="Arial"/>
          <w:color w:val="000000"/>
          <w:sz w:val="24"/>
          <w:szCs w:val="24"/>
        </w:rPr>
        <w:t xml:space="preserve"> molecular weight and extinction coefficient as determined by the online </w:t>
      </w:r>
      <w:proofErr w:type="spellStart"/>
      <w:r w:rsidRPr="0000656C">
        <w:rPr>
          <w:rFonts w:ascii="Arial" w:eastAsia="Times New Roman" w:hAnsi="Arial" w:cs="Arial"/>
          <w:color w:val="000000"/>
          <w:sz w:val="24"/>
          <w:szCs w:val="24"/>
        </w:rPr>
        <w:t>ExPASy</w:t>
      </w:r>
      <w:proofErr w:type="spellEnd"/>
      <w:r w:rsidRPr="0000656C">
        <w:rPr>
          <w:rFonts w:ascii="Arial" w:eastAsia="Times New Roman" w:hAnsi="Arial" w:cs="Arial"/>
          <w:color w:val="000000"/>
          <w:sz w:val="24"/>
          <w:szCs w:val="24"/>
        </w:rPr>
        <w:t xml:space="preserve"> software (</w:t>
      </w:r>
      <w:proofErr w:type="spellStart"/>
      <w:r w:rsidRPr="0000656C">
        <w:rPr>
          <w:rFonts w:ascii="Arial" w:eastAsia="Times New Roman" w:hAnsi="Arial" w:cs="Arial"/>
          <w:color w:val="000000"/>
          <w:sz w:val="24"/>
          <w:szCs w:val="24"/>
        </w:rPr>
        <w:t>ProtParam</w:t>
      </w:r>
      <w:proofErr w:type="spellEnd"/>
      <w:r w:rsidRPr="0000656C">
        <w:rPr>
          <w:rFonts w:ascii="Arial" w:eastAsia="Times New Roman" w:hAnsi="Arial" w:cs="Arial"/>
          <w:color w:val="000000"/>
          <w:sz w:val="24"/>
          <w:szCs w:val="24"/>
        </w:rPr>
        <w:t>).</w:t>
      </w:r>
    </w:p>
    <w:p w14:paraId="738630F5" w14:textId="77777777" w:rsidR="00584E27" w:rsidRPr="001578DB" w:rsidRDefault="00584E27" w:rsidP="00584E27">
      <w:pPr>
        <w:spacing w:line="360" w:lineRule="auto"/>
        <w:jc w:val="both"/>
        <w:rPr>
          <w:rFonts w:ascii="Arial" w:hAnsi="Arial" w:cs="Arial"/>
          <w:b/>
          <w:bCs/>
          <w:sz w:val="24"/>
          <w:szCs w:val="24"/>
        </w:rPr>
      </w:pPr>
      <w:r w:rsidRPr="001578DB">
        <w:rPr>
          <w:rFonts w:ascii="Arial" w:hAnsi="Arial" w:cs="Arial"/>
          <w:b/>
          <w:bCs/>
          <w:sz w:val="24"/>
          <w:szCs w:val="24"/>
        </w:rPr>
        <w:t>SARS-CoV-2 Spike Trimer protein production and purification from CHO cells</w:t>
      </w:r>
    </w:p>
    <w:p w14:paraId="7E1125B4" w14:textId="13E03545" w:rsidR="00584E27" w:rsidRPr="00C71D29" w:rsidRDefault="00584E27" w:rsidP="00584E27">
      <w:pPr>
        <w:spacing w:line="360" w:lineRule="auto"/>
        <w:jc w:val="both"/>
        <w:rPr>
          <w:rFonts w:ascii="Arial" w:hAnsi="Arial" w:cs="Arial"/>
          <w:sz w:val="24"/>
          <w:szCs w:val="24"/>
        </w:rPr>
      </w:pPr>
      <w:r w:rsidRPr="00C71D29">
        <w:rPr>
          <w:rFonts w:ascii="Arial" w:hAnsi="Arial" w:cs="Arial"/>
          <w:sz w:val="24"/>
          <w:szCs w:val="24"/>
        </w:rPr>
        <w:t>For CHO-based production of a trimeric Spike protein the construct Spike_ΔCter_ΔFurin_2P_T4_His was used</w:t>
      </w:r>
      <w:r w:rsidR="00F724BD">
        <w:rPr>
          <w:rFonts w:ascii="Arial" w:hAnsi="Arial" w:cs="Arial"/>
          <w:sz w:val="24"/>
          <w:szCs w:val="24"/>
        </w:rPr>
        <w:t xml:space="preserve"> </w:t>
      </w:r>
      <w:r>
        <w:rPr>
          <w:rFonts w:ascii="Arial" w:hAnsi="Arial" w:cs="Arial"/>
          <w:sz w:val="24"/>
          <w:szCs w:val="24"/>
        </w:rPr>
        <w:fldChar w:fldCharType="begin" w:fldLock="1"/>
      </w:r>
      <w:r w:rsidR="007774B6">
        <w:rPr>
          <w:rFonts w:ascii="Arial" w:hAnsi="Arial" w:cs="Arial"/>
          <w:sz w:val="24"/>
          <w:szCs w:val="24"/>
        </w:rPr>
        <w:instrText>ADDIN CSL_CITATION {"citationItems":[{"id":"ITEM-1","itemData":{"DOI":"10.3390/pr8121539","ISSN":"22279717","abstract":"The spike protein of the pandemic human corona virus is essential for its entry into human cells. In fact, most neutralizing antibodies against Severe Acute Respiratory Syndrome Corona Virus 2 (SARS-CoV-2) are directed against the Virus-surface exposed spike protein, making it the antigen of choice for use in vaccines and diagnostic tests. In the current pandemic context, global demand for spike proteins has rapidly increased and could exceed hundreds of grams to kilograms annually. Coronavirus spikes are large heavily glycosylated homo-trimeric complexes, with inherent instability. The poor manufacturability now threatens the availability of these proteins for vaccines and diagnostic tests. Here, we outline scalable, Good Manufacturing Practice (GMP) compliant, and chemically defined processes for the production of two cell-secreted stabilized forms of the trimeric spike proteins (Wuhan and D614G variant). The processes are chemically defined and based on clonal suspension-CHO cell populations and on protein purification via a two-step scalable downstream process. The trimeric conformation was confirmed using electron microscopy and HPLC analysis. Binding to susceptible cells was shown using a virus-inhibition assay. The diagnostic sensitivity and specificity for detection of serum SARS-CoV-2-specific-immunoglobulin molecules was found to exceed that of spike fragments (Spike subunit-1, S1 and Receptor Binding Domain, RBD). The process described here will enable production of sufficient high-quality trimeric spike protein to meet the global demand for SARS-CoV-2 diagnostic tests and potentially vaccines.","author":[{"dropping-particle":"","family":"Pino","given":"Paco","non-dropping-particle":"","parse-names":false,"suffix":""},{"dropping-particle":"","family":"Kint","given":"Joeri","non-dropping-particle":"","parse-names":false,"suffix":""},{"dropping-particle":"","family":"Kiseljak","given":"Divor","non-dropping-particle":"","parse-names":false,"suffix":""},{"dropping-particle":"","family":"Agnolon","given":"Valentina","non-dropping-particle":"","parse-names":false,"suffix":""},{"dropping-particle":"","family":"Corradin","given":"Giampietro","non-dropping-particle":"","parse-names":false,"suffix":""},{"dropping-particle":"V.","family":"Kajava","given":"Andrey","non-dropping-particle":"","parse-names":false,"suffix":""},{"dropping-particle":"","family":"Rovero","given":"Paolo","non-dropping-particle":"","parse-names":false,"suffix":""},{"dropping-particle":"","family":"Dijkman","given":"Ronald","non-dropping-particle":"","parse-names":false,"suffix":""},{"dropping-particle":"Den","family":"Hartog","given":"Gerco","non-dropping-particle":"","parse-names":false,"suffix":""},{"dropping-particle":"","family":"McLellan","given":"Jason S.","non-dropping-particle":"","parse-names":false,"suffix":""},{"dropping-particle":"","family":"Byrne","given":"Patrick O.","non-dropping-particle":"","parse-names":false,"suffix":""},{"dropping-particle":"","family":"Wurm","given":"Maria J.","non-dropping-particle":"","parse-names":false,"suffix":""},{"dropping-particle":"","family":"Wurm","given":"Florian M.","non-dropping-particle":"","parse-names":false,"suffix":""}],"container-title":"Processes","id":"ITEM-1","issue":"12","issued":{"date-parts":[["2020","11","25"]]},"page":"1-11","publisher":"MDPI AG","title":"Trimeric SARS-CoV-2 spike proteins produced from CHO cells in bioreactors are high-quality antigens","type":"article-journal","volume":"8"},"uris":["http://www.mendeley.com/documents/?uuid=6389ebc2-455f-3369-8235-413075ebf8d2"]}],"mendeley":{"formattedCitation":"&lt;sup&gt;54&lt;/sup&gt;","plainTextFormattedCitation":"54","previouslyFormattedCitation":"&lt;sup&gt;54&lt;/sup&gt;"},"properties":{"noteIndex":0},"schema":"https://github.com/citation-style-language/schema/raw/master/csl-citation.json"}</w:instrText>
      </w:r>
      <w:r>
        <w:rPr>
          <w:rFonts w:ascii="Arial" w:hAnsi="Arial" w:cs="Arial"/>
          <w:sz w:val="24"/>
          <w:szCs w:val="24"/>
        </w:rPr>
        <w:fldChar w:fldCharType="separate"/>
      </w:r>
      <w:r w:rsidR="007774B6" w:rsidRPr="007774B6">
        <w:rPr>
          <w:rFonts w:ascii="Arial" w:hAnsi="Arial" w:cs="Arial"/>
          <w:noProof/>
          <w:sz w:val="24"/>
          <w:szCs w:val="24"/>
          <w:vertAlign w:val="superscript"/>
        </w:rPr>
        <w:t>54</w:t>
      </w:r>
      <w:r>
        <w:rPr>
          <w:rFonts w:ascii="Arial" w:hAnsi="Arial" w:cs="Arial"/>
          <w:sz w:val="24"/>
          <w:szCs w:val="24"/>
        </w:rPr>
        <w:fldChar w:fldCharType="end"/>
      </w:r>
      <w:r w:rsidRPr="00C71D29">
        <w:rPr>
          <w:rFonts w:ascii="Arial" w:hAnsi="Arial" w:cs="Arial"/>
          <w:sz w:val="24"/>
          <w:szCs w:val="24"/>
        </w:rPr>
        <w:t>. Briefly, based on the CHO-vector pXLG-6 (</w:t>
      </w:r>
      <w:proofErr w:type="spellStart"/>
      <w:r w:rsidRPr="00C71D29">
        <w:rPr>
          <w:rFonts w:ascii="Arial" w:hAnsi="Arial" w:cs="Arial"/>
          <w:sz w:val="24"/>
          <w:szCs w:val="24"/>
        </w:rPr>
        <w:t>ExcellGene</w:t>
      </w:r>
      <w:proofErr w:type="spellEnd"/>
      <w:r w:rsidRPr="00C71D29">
        <w:rPr>
          <w:rFonts w:ascii="Arial" w:hAnsi="Arial" w:cs="Arial"/>
          <w:sz w:val="24"/>
          <w:szCs w:val="24"/>
        </w:rPr>
        <w:t xml:space="preserve"> SA), containing a puromycin resistance marker and optimized expression elements, the variant spike sequence was inserted, containing a </w:t>
      </w:r>
      <w:proofErr w:type="spellStart"/>
      <w:r w:rsidRPr="00C71D29">
        <w:rPr>
          <w:rFonts w:ascii="Arial" w:hAnsi="Arial" w:cs="Arial"/>
          <w:sz w:val="24"/>
          <w:szCs w:val="24"/>
        </w:rPr>
        <w:t>scambled</w:t>
      </w:r>
      <w:proofErr w:type="spellEnd"/>
      <w:r w:rsidRPr="00C71D29">
        <w:rPr>
          <w:rFonts w:ascii="Arial" w:hAnsi="Arial" w:cs="Arial"/>
          <w:sz w:val="24"/>
          <w:szCs w:val="24"/>
        </w:rPr>
        <w:t xml:space="preserve"> </w:t>
      </w:r>
      <w:proofErr w:type="spellStart"/>
      <w:r w:rsidRPr="00C71D29">
        <w:rPr>
          <w:rFonts w:ascii="Arial" w:hAnsi="Arial" w:cs="Arial"/>
          <w:sz w:val="24"/>
          <w:szCs w:val="24"/>
        </w:rPr>
        <w:t>furin</w:t>
      </w:r>
      <w:proofErr w:type="spellEnd"/>
      <w:r w:rsidRPr="00C71D29">
        <w:rPr>
          <w:rFonts w:ascii="Arial" w:hAnsi="Arial" w:cs="Arial"/>
          <w:sz w:val="24"/>
          <w:szCs w:val="24"/>
        </w:rPr>
        <w:t xml:space="preserve"> cleavage site sequence, a two-prolin</w:t>
      </w:r>
      <w:r w:rsidR="00F724BD">
        <w:rPr>
          <w:rFonts w:ascii="Arial" w:hAnsi="Arial" w:cs="Arial"/>
          <w:sz w:val="24"/>
          <w:szCs w:val="24"/>
        </w:rPr>
        <w:t>e</w:t>
      </w:r>
      <w:r w:rsidRPr="00C71D29">
        <w:rPr>
          <w:rFonts w:ascii="Arial" w:hAnsi="Arial" w:cs="Arial"/>
          <w:sz w:val="24"/>
          <w:szCs w:val="24"/>
        </w:rPr>
        <w:t xml:space="preserve"> sequence for </w:t>
      </w:r>
      <w:r w:rsidR="00F724BD">
        <w:rPr>
          <w:rFonts w:ascii="Arial" w:hAnsi="Arial" w:cs="Arial"/>
          <w:sz w:val="24"/>
          <w:szCs w:val="24"/>
        </w:rPr>
        <w:t>stabilizing</w:t>
      </w:r>
      <w:r w:rsidRPr="00C71D29">
        <w:rPr>
          <w:rFonts w:ascii="Arial" w:hAnsi="Arial" w:cs="Arial"/>
          <w:sz w:val="24"/>
          <w:szCs w:val="24"/>
        </w:rPr>
        <w:t xml:space="preserve"> the protein in the prefusion form, a 3’ T4-trimerization DNA, followed by a </w:t>
      </w:r>
      <w:proofErr w:type="spellStart"/>
      <w:r w:rsidRPr="00C71D29">
        <w:rPr>
          <w:rFonts w:ascii="Arial" w:hAnsi="Arial" w:cs="Arial"/>
          <w:sz w:val="24"/>
          <w:szCs w:val="24"/>
        </w:rPr>
        <w:t>hexahistidin</w:t>
      </w:r>
      <w:r w:rsidR="00C54AB3">
        <w:rPr>
          <w:rFonts w:ascii="Arial" w:hAnsi="Arial" w:cs="Arial"/>
          <w:sz w:val="24"/>
          <w:szCs w:val="24"/>
        </w:rPr>
        <w:t>e</w:t>
      </w:r>
      <w:proofErr w:type="spellEnd"/>
      <w:r w:rsidRPr="00C71D29">
        <w:rPr>
          <w:rFonts w:ascii="Arial" w:hAnsi="Arial" w:cs="Arial"/>
          <w:sz w:val="24"/>
          <w:szCs w:val="24"/>
        </w:rPr>
        <w:t xml:space="preserve"> tag sequence. From chemical transfection (CHO4Tx®, </w:t>
      </w:r>
      <w:proofErr w:type="spellStart"/>
      <w:r w:rsidRPr="00C71D29">
        <w:rPr>
          <w:rFonts w:ascii="Arial" w:hAnsi="Arial" w:cs="Arial"/>
          <w:sz w:val="24"/>
          <w:szCs w:val="24"/>
        </w:rPr>
        <w:t>ExcellGene</w:t>
      </w:r>
      <w:proofErr w:type="spellEnd"/>
      <w:r w:rsidRPr="00C71D29">
        <w:rPr>
          <w:rFonts w:ascii="Arial" w:hAnsi="Arial" w:cs="Arial"/>
          <w:sz w:val="24"/>
          <w:szCs w:val="24"/>
        </w:rPr>
        <w:t xml:space="preserve">) to clonal selection and isolation of protein producing cell lines, to subsequent expansion of cells and production – all steps were done under suspension culture in chemically defined media with strict adherence to regulatory recommendations. </w:t>
      </w:r>
    </w:p>
    <w:p w14:paraId="72E07096" w14:textId="77777777" w:rsidR="00584E27" w:rsidRPr="00C71D29" w:rsidRDefault="00584E27" w:rsidP="00584E27">
      <w:pPr>
        <w:spacing w:line="360" w:lineRule="auto"/>
        <w:jc w:val="both"/>
        <w:rPr>
          <w:rFonts w:ascii="Arial" w:hAnsi="Arial" w:cs="Arial"/>
          <w:sz w:val="24"/>
          <w:szCs w:val="24"/>
        </w:rPr>
      </w:pPr>
      <w:r w:rsidRPr="00C71D29">
        <w:rPr>
          <w:rFonts w:ascii="Arial" w:hAnsi="Arial" w:cs="Arial"/>
          <w:sz w:val="24"/>
          <w:szCs w:val="24"/>
        </w:rPr>
        <w:t>Productions were done in orbitally shaken containers (</w:t>
      </w:r>
      <w:proofErr w:type="spellStart"/>
      <w:r w:rsidRPr="00C71D29">
        <w:rPr>
          <w:rFonts w:ascii="Arial" w:hAnsi="Arial" w:cs="Arial"/>
          <w:sz w:val="24"/>
          <w:szCs w:val="24"/>
        </w:rPr>
        <w:t>TubeSpin</w:t>
      </w:r>
      <w:proofErr w:type="spellEnd"/>
      <w:r w:rsidRPr="00C71D29">
        <w:rPr>
          <w:rFonts w:ascii="Arial" w:hAnsi="Arial" w:cs="Arial"/>
          <w:sz w:val="24"/>
          <w:szCs w:val="24"/>
        </w:rPr>
        <w:t xml:space="preserve"> bioreactor 600, TPP, </w:t>
      </w:r>
      <w:proofErr w:type="spellStart"/>
      <w:r w:rsidRPr="00C71D29">
        <w:rPr>
          <w:rFonts w:ascii="Arial" w:hAnsi="Arial" w:cs="Arial"/>
          <w:sz w:val="24"/>
          <w:szCs w:val="24"/>
        </w:rPr>
        <w:t>Trasadingen</w:t>
      </w:r>
      <w:proofErr w:type="spellEnd"/>
      <w:r w:rsidRPr="00C71D29">
        <w:rPr>
          <w:rFonts w:ascii="Arial" w:hAnsi="Arial" w:cs="Arial"/>
          <w:sz w:val="24"/>
          <w:szCs w:val="24"/>
        </w:rPr>
        <w:t xml:space="preserve">, Switzerland) or in 5 L Erlenmeyer type shaker flasks in a </w:t>
      </w:r>
      <w:proofErr w:type="spellStart"/>
      <w:r w:rsidRPr="00C71D29">
        <w:rPr>
          <w:rFonts w:ascii="Arial" w:hAnsi="Arial" w:cs="Arial"/>
          <w:sz w:val="24"/>
          <w:szCs w:val="24"/>
        </w:rPr>
        <w:t>Kuhner</w:t>
      </w:r>
      <w:proofErr w:type="spellEnd"/>
      <w:r w:rsidRPr="00C71D29">
        <w:rPr>
          <w:rFonts w:ascii="Arial" w:hAnsi="Arial" w:cs="Arial"/>
          <w:sz w:val="24"/>
          <w:szCs w:val="24"/>
        </w:rPr>
        <w:t xml:space="preserve"> Shaker ISF4-X incubator (Adolf </w:t>
      </w:r>
      <w:proofErr w:type="spellStart"/>
      <w:r w:rsidRPr="00C71D29">
        <w:rPr>
          <w:rFonts w:ascii="Arial" w:hAnsi="Arial" w:cs="Arial"/>
          <w:sz w:val="24"/>
          <w:szCs w:val="24"/>
        </w:rPr>
        <w:t>Kühner</w:t>
      </w:r>
      <w:proofErr w:type="spellEnd"/>
      <w:r w:rsidRPr="00C71D29">
        <w:rPr>
          <w:rFonts w:ascii="Arial" w:hAnsi="Arial" w:cs="Arial"/>
          <w:sz w:val="24"/>
          <w:szCs w:val="24"/>
        </w:rPr>
        <w:t xml:space="preserve"> AG, </w:t>
      </w:r>
      <w:proofErr w:type="spellStart"/>
      <w:r w:rsidRPr="00C71D29">
        <w:rPr>
          <w:rFonts w:ascii="Arial" w:hAnsi="Arial" w:cs="Arial"/>
          <w:sz w:val="24"/>
          <w:szCs w:val="24"/>
        </w:rPr>
        <w:t>Birsfelden</w:t>
      </w:r>
      <w:proofErr w:type="spellEnd"/>
      <w:r w:rsidRPr="00C71D29">
        <w:rPr>
          <w:rFonts w:ascii="Arial" w:hAnsi="Arial" w:cs="Arial"/>
          <w:sz w:val="24"/>
          <w:szCs w:val="24"/>
        </w:rPr>
        <w:t>, Switzerland), set to 37ºC, 5% CO2, humidity control and shaking at 150 rpm with a displacement radius of 50 mm. A fed-batch process was implemented until harvest of supernatants on day 10. The viability of cell culture, reaching about 25 x 10</w:t>
      </w:r>
      <w:r w:rsidRPr="00EE1000">
        <w:rPr>
          <w:rFonts w:ascii="Arial" w:hAnsi="Arial" w:cs="Arial"/>
          <w:sz w:val="24"/>
          <w:szCs w:val="24"/>
          <w:vertAlign w:val="superscript"/>
        </w:rPr>
        <w:t>6</w:t>
      </w:r>
      <w:r w:rsidRPr="00C71D29">
        <w:rPr>
          <w:rFonts w:ascii="Arial" w:hAnsi="Arial" w:cs="Arial"/>
          <w:sz w:val="24"/>
          <w:szCs w:val="24"/>
        </w:rPr>
        <w:t xml:space="preserve"> cells/mL remained in the 90-100% range until harvest. Production culture fluids were subjected to purification by affinity chromatography after depth filtration to remove cells. Loading onto, washing of and elution from a Ni-Sepharose column (Cytiva) were optimized, following the resin producers’ suggestions. The eluted product stream was loaded on a Size-Exclusion </w:t>
      </w:r>
      <w:r w:rsidRPr="00C71D29">
        <w:rPr>
          <w:rFonts w:ascii="Arial" w:hAnsi="Arial" w:cs="Arial"/>
          <w:sz w:val="24"/>
          <w:szCs w:val="24"/>
        </w:rPr>
        <w:lastRenderedPageBreak/>
        <w:t xml:space="preserve">column (SEC, </w:t>
      </w:r>
      <w:proofErr w:type="spellStart"/>
      <w:r w:rsidRPr="00C71D29">
        <w:rPr>
          <w:rFonts w:ascii="Arial" w:hAnsi="Arial" w:cs="Arial"/>
          <w:sz w:val="24"/>
          <w:szCs w:val="24"/>
        </w:rPr>
        <w:t>Superdex</w:t>
      </w:r>
      <w:proofErr w:type="spellEnd"/>
      <w:r w:rsidRPr="00C71D29">
        <w:rPr>
          <w:rFonts w:ascii="Arial" w:hAnsi="Arial" w:cs="Arial"/>
          <w:sz w:val="24"/>
          <w:szCs w:val="24"/>
        </w:rPr>
        <w:t xml:space="preserve"> 200 </w:t>
      </w:r>
      <w:proofErr w:type="spellStart"/>
      <w:r w:rsidRPr="00C71D29">
        <w:rPr>
          <w:rFonts w:ascii="Arial" w:hAnsi="Arial" w:cs="Arial"/>
          <w:sz w:val="24"/>
          <w:szCs w:val="24"/>
        </w:rPr>
        <w:t>pg</w:t>
      </w:r>
      <w:proofErr w:type="spellEnd"/>
      <w:r w:rsidRPr="00C71D29">
        <w:rPr>
          <w:rFonts w:ascii="Arial" w:hAnsi="Arial" w:cs="Arial"/>
          <w:sz w:val="24"/>
          <w:szCs w:val="24"/>
        </w:rPr>
        <w:t xml:space="preserve">, </w:t>
      </w:r>
      <w:proofErr w:type="spellStart"/>
      <w:r w:rsidRPr="00C71D29">
        <w:rPr>
          <w:rFonts w:ascii="Arial" w:hAnsi="Arial" w:cs="Arial"/>
          <w:sz w:val="24"/>
          <w:szCs w:val="24"/>
        </w:rPr>
        <w:t>Cytiva</w:t>
      </w:r>
      <w:proofErr w:type="spellEnd"/>
      <w:r w:rsidRPr="00C71D29">
        <w:rPr>
          <w:rFonts w:ascii="Arial" w:hAnsi="Arial" w:cs="Arial"/>
          <w:sz w:val="24"/>
          <w:szCs w:val="24"/>
        </w:rPr>
        <w:t>) for further purification, following a concentration step through tangential flow filtration.</w:t>
      </w:r>
    </w:p>
    <w:p w14:paraId="274C109F" w14:textId="0EBBDBEB" w:rsidR="00584E27" w:rsidRPr="00972267" w:rsidRDefault="00584E27" w:rsidP="00584E27">
      <w:pPr>
        <w:spacing w:line="360" w:lineRule="auto"/>
        <w:jc w:val="both"/>
        <w:rPr>
          <w:rFonts w:ascii="Arial" w:hAnsi="Arial" w:cs="Arial"/>
          <w:b/>
          <w:bCs/>
          <w:sz w:val="24"/>
          <w:szCs w:val="24"/>
        </w:rPr>
      </w:pPr>
      <w:r w:rsidRPr="00972267">
        <w:rPr>
          <w:rFonts w:ascii="Arial" w:hAnsi="Arial" w:cs="Arial"/>
          <w:b/>
          <w:bCs/>
          <w:sz w:val="24"/>
          <w:szCs w:val="24"/>
        </w:rPr>
        <w:t xml:space="preserve">Plasmid construction </w:t>
      </w:r>
      <w:r>
        <w:rPr>
          <w:rFonts w:ascii="Arial" w:hAnsi="Arial" w:cs="Arial"/>
          <w:b/>
          <w:bCs/>
          <w:sz w:val="24"/>
          <w:szCs w:val="24"/>
        </w:rPr>
        <w:t>and expression of</w:t>
      </w:r>
      <w:r w:rsidRPr="00972267">
        <w:rPr>
          <w:rFonts w:ascii="Arial" w:hAnsi="Arial" w:cs="Arial"/>
          <w:b/>
          <w:bCs/>
          <w:sz w:val="24"/>
          <w:szCs w:val="24"/>
        </w:rPr>
        <w:t xml:space="preserve"> </w:t>
      </w:r>
      <w:r w:rsidR="00F724BD">
        <w:rPr>
          <w:rFonts w:ascii="Arial" w:hAnsi="Arial" w:cs="Arial"/>
          <w:b/>
          <w:bCs/>
          <w:sz w:val="24"/>
          <w:szCs w:val="24"/>
        </w:rPr>
        <w:t>r</w:t>
      </w:r>
      <w:r w:rsidRPr="00972267">
        <w:rPr>
          <w:rFonts w:ascii="Arial" w:hAnsi="Arial" w:cs="Arial"/>
          <w:b/>
          <w:bCs/>
          <w:sz w:val="24"/>
          <w:szCs w:val="24"/>
        </w:rPr>
        <w:t xml:space="preserve">eceptor </w:t>
      </w:r>
      <w:r w:rsidR="00F724BD">
        <w:rPr>
          <w:rFonts w:ascii="Arial" w:hAnsi="Arial" w:cs="Arial"/>
          <w:b/>
          <w:bCs/>
          <w:sz w:val="24"/>
          <w:szCs w:val="24"/>
        </w:rPr>
        <w:t>b</w:t>
      </w:r>
      <w:r w:rsidRPr="00972267">
        <w:rPr>
          <w:rFonts w:ascii="Arial" w:hAnsi="Arial" w:cs="Arial"/>
          <w:b/>
          <w:bCs/>
          <w:sz w:val="24"/>
          <w:szCs w:val="24"/>
        </w:rPr>
        <w:t>inding domain protein</w:t>
      </w:r>
      <w:r>
        <w:rPr>
          <w:rFonts w:ascii="Arial" w:hAnsi="Arial" w:cs="Arial"/>
          <w:b/>
          <w:bCs/>
          <w:sz w:val="24"/>
          <w:szCs w:val="24"/>
        </w:rPr>
        <w:t>s</w:t>
      </w:r>
    </w:p>
    <w:p w14:paraId="2C266D6B" w14:textId="10436082" w:rsidR="00584E27" w:rsidRPr="00972267" w:rsidRDefault="00584E27" w:rsidP="00584E27">
      <w:pPr>
        <w:spacing w:line="360" w:lineRule="auto"/>
        <w:jc w:val="both"/>
        <w:rPr>
          <w:rFonts w:ascii="Arial" w:hAnsi="Arial" w:cs="Arial"/>
          <w:sz w:val="24"/>
          <w:szCs w:val="24"/>
        </w:rPr>
      </w:pPr>
      <w:r w:rsidRPr="00972267">
        <w:rPr>
          <w:rFonts w:ascii="Arial" w:hAnsi="Arial" w:cs="Arial"/>
          <w:sz w:val="24"/>
          <w:szCs w:val="24"/>
        </w:rPr>
        <w:t>To express the receptor-binding domains (RBDs) of SARS-CoV-2 (residues: 320-527), SARS-CoV-1 (residues: 307-513), and MERS-CoV (residues: 368- 587), we amplified the DNA fragments by PCR using the SARS-CoV-2, SARS-CoV-1 and MERS-CoV S protein ectodomain plasmids as templates. The DNA fragments were cloned into the phCMV3 (</w:t>
      </w:r>
      <w:proofErr w:type="spellStart"/>
      <w:r w:rsidRPr="00972267">
        <w:rPr>
          <w:rFonts w:ascii="Arial" w:hAnsi="Arial" w:cs="Arial"/>
          <w:sz w:val="24"/>
          <w:szCs w:val="24"/>
        </w:rPr>
        <w:t>Genlantis</w:t>
      </w:r>
      <w:proofErr w:type="spellEnd"/>
      <w:r w:rsidRPr="00972267">
        <w:rPr>
          <w:rFonts w:ascii="Arial" w:hAnsi="Arial" w:cs="Arial"/>
          <w:sz w:val="24"/>
          <w:szCs w:val="24"/>
        </w:rPr>
        <w:t xml:space="preserve">, USA) vector in frame with the Tissue Plasminogen Activator (TPA) leader sequence. To facilitate the purification and </w:t>
      </w:r>
      <w:proofErr w:type="spellStart"/>
      <w:r w:rsidRPr="00972267">
        <w:rPr>
          <w:rFonts w:ascii="Arial" w:hAnsi="Arial" w:cs="Arial"/>
          <w:sz w:val="24"/>
          <w:szCs w:val="24"/>
        </w:rPr>
        <w:t>biotinylation</w:t>
      </w:r>
      <w:proofErr w:type="spellEnd"/>
      <w:r w:rsidRPr="00972267">
        <w:rPr>
          <w:rFonts w:ascii="Arial" w:hAnsi="Arial" w:cs="Arial"/>
          <w:sz w:val="24"/>
          <w:szCs w:val="24"/>
        </w:rPr>
        <w:t xml:space="preserve"> of the protein, we fused the protein with C-terminal 6X </w:t>
      </w:r>
      <w:proofErr w:type="spellStart"/>
      <w:r w:rsidRPr="00972267">
        <w:rPr>
          <w:rFonts w:ascii="Arial" w:hAnsi="Arial" w:cs="Arial"/>
          <w:sz w:val="24"/>
          <w:szCs w:val="24"/>
        </w:rPr>
        <w:t>HisTag</w:t>
      </w:r>
      <w:proofErr w:type="spellEnd"/>
      <w:r w:rsidRPr="00972267">
        <w:rPr>
          <w:rFonts w:ascii="Arial" w:hAnsi="Arial" w:cs="Arial"/>
          <w:sz w:val="24"/>
          <w:szCs w:val="24"/>
        </w:rPr>
        <w:t xml:space="preserve">, and </w:t>
      </w:r>
      <w:proofErr w:type="spellStart"/>
      <w:r w:rsidRPr="00972267">
        <w:rPr>
          <w:rFonts w:ascii="Arial" w:hAnsi="Arial" w:cs="Arial"/>
          <w:sz w:val="24"/>
          <w:szCs w:val="24"/>
        </w:rPr>
        <w:t>AviTag</w:t>
      </w:r>
      <w:proofErr w:type="spellEnd"/>
      <w:r w:rsidRPr="00972267">
        <w:rPr>
          <w:rFonts w:ascii="Arial" w:hAnsi="Arial" w:cs="Arial"/>
          <w:sz w:val="24"/>
          <w:szCs w:val="24"/>
        </w:rPr>
        <w:t xml:space="preserve"> spaced by GS-linkers. </w:t>
      </w:r>
    </w:p>
    <w:p w14:paraId="59406A8D" w14:textId="77777777" w:rsidR="00584E27" w:rsidRPr="006079EE" w:rsidRDefault="00584E27" w:rsidP="00584E27">
      <w:pPr>
        <w:spacing w:line="360" w:lineRule="auto"/>
        <w:jc w:val="both"/>
        <w:rPr>
          <w:rFonts w:ascii="Arial" w:hAnsi="Arial" w:cs="Arial"/>
          <w:sz w:val="24"/>
          <w:szCs w:val="24"/>
        </w:rPr>
      </w:pPr>
      <w:r w:rsidRPr="00972267">
        <w:rPr>
          <w:rFonts w:ascii="Arial" w:hAnsi="Arial" w:cs="Arial"/>
          <w:sz w:val="24"/>
          <w:szCs w:val="24"/>
        </w:rPr>
        <w:t xml:space="preserve">The RBD constructs were expressed by transient transfection of FreeStyle293F cells (Thermo Fisher). For a liter transfection, we added 350µg of the RBD-encoding plasmids to 16mL </w:t>
      </w:r>
      <w:proofErr w:type="gramStart"/>
      <w:r w:rsidRPr="00972267">
        <w:rPr>
          <w:rFonts w:ascii="Arial" w:hAnsi="Arial" w:cs="Arial"/>
          <w:sz w:val="24"/>
          <w:szCs w:val="24"/>
        </w:rPr>
        <w:t xml:space="preserve">of  </w:t>
      </w:r>
      <w:proofErr w:type="spellStart"/>
      <w:r w:rsidRPr="00972267">
        <w:rPr>
          <w:rFonts w:ascii="Arial" w:hAnsi="Arial" w:cs="Arial"/>
          <w:sz w:val="24"/>
          <w:szCs w:val="24"/>
        </w:rPr>
        <w:t>Transfectagro</w:t>
      </w:r>
      <w:proofErr w:type="spellEnd"/>
      <w:proofErr w:type="gramEnd"/>
      <w:r w:rsidRPr="00972267">
        <w:rPr>
          <w:rFonts w:ascii="Arial" w:hAnsi="Arial" w:cs="Arial"/>
          <w:sz w:val="24"/>
          <w:szCs w:val="24"/>
        </w:rPr>
        <w:t xml:space="preserve"> (Corning) and 1.5mL of 40K PEI (1mg/mL) in 16mL of </w:t>
      </w:r>
      <w:proofErr w:type="spellStart"/>
      <w:r w:rsidRPr="00972267">
        <w:rPr>
          <w:rFonts w:ascii="Arial" w:hAnsi="Arial" w:cs="Arial"/>
          <w:sz w:val="24"/>
          <w:szCs w:val="24"/>
        </w:rPr>
        <w:t>Transfectagro</w:t>
      </w:r>
      <w:proofErr w:type="spellEnd"/>
      <w:r w:rsidRPr="00972267">
        <w:rPr>
          <w:rFonts w:ascii="Arial" w:hAnsi="Arial" w:cs="Arial"/>
          <w:sz w:val="24"/>
          <w:szCs w:val="24"/>
        </w:rPr>
        <w:t xml:space="preserve"> in separate 50mL conical tubes. The media containing the plasmids were filtered with a 0.22µm </w:t>
      </w:r>
      <w:proofErr w:type="spellStart"/>
      <w:r w:rsidRPr="00972267">
        <w:rPr>
          <w:rFonts w:ascii="Arial" w:hAnsi="Arial" w:cs="Arial"/>
          <w:sz w:val="24"/>
          <w:szCs w:val="24"/>
        </w:rPr>
        <w:t>Steriflip</w:t>
      </w:r>
      <w:proofErr w:type="spellEnd"/>
      <w:r w:rsidRPr="00972267">
        <w:rPr>
          <w:rFonts w:ascii="Arial" w:hAnsi="Arial" w:cs="Arial"/>
          <w:sz w:val="24"/>
          <w:szCs w:val="24"/>
        </w:rPr>
        <w:t xml:space="preserve"> Disposable </w:t>
      </w:r>
      <w:proofErr w:type="spellStart"/>
      <w:r w:rsidRPr="00972267">
        <w:rPr>
          <w:rFonts w:ascii="Arial" w:hAnsi="Arial" w:cs="Arial"/>
          <w:sz w:val="24"/>
          <w:szCs w:val="24"/>
        </w:rPr>
        <w:t>Vaccum</w:t>
      </w:r>
      <w:proofErr w:type="spellEnd"/>
      <w:r w:rsidRPr="00972267">
        <w:rPr>
          <w:rFonts w:ascii="Arial" w:hAnsi="Arial" w:cs="Arial"/>
          <w:sz w:val="24"/>
          <w:szCs w:val="24"/>
        </w:rPr>
        <w:t xml:space="preserve"> Filter Unit (Millipore Sigma) and gently mixed with PEI. The plasmid and PEI mixture was incubated for 30 minutes and gently added to 1L of cells at a concentration of 1million cells/mL. The culture supernatants were harvested after 4 days and loaded onto </w:t>
      </w:r>
      <w:proofErr w:type="spellStart"/>
      <w:r w:rsidRPr="00972267">
        <w:rPr>
          <w:rFonts w:ascii="Arial" w:hAnsi="Arial" w:cs="Arial"/>
          <w:sz w:val="24"/>
          <w:szCs w:val="24"/>
        </w:rPr>
        <w:t>HisPur</w:t>
      </w:r>
      <w:proofErr w:type="spellEnd"/>
      <w:r w:rsidRPr="00972267">
        <w:rPr>
          <w:rFonts w:ascii="Arial" w:hAnsi="Arial" w:cs="Arial"/>
          <w:sz w:val="24"/>
          <w:szCs w:val="24"/>
        </w:rPr>
        <w:t xml:space="preserve"> Ni-NTA resin column (Thermo Fisher).  Following a wash with 25mM Imidazole, the protein from the column was eluted with 250mM Imidazole. The eluate was buffer exchanged with PBS and concentrated using 10K </w:t>
      </w:r>
      <w:proofErr w:type="spellStart"/>
      <w:r w:rsidRPr="00972267">
        <w:rPr>
          <w:rFonts w:ascii="Arial" w:hAnsi="Arial" w:cs="Arial"/>
          <w:sz w:val="24"/>
          <w:szCs w:val="24"/>
        </w:rPr>
        <w:t>Amicon</w:t>
      </w:r>
      <w:proofErr w:type="spellEnd"/>
      <w:r w:rsidRPr="00972267">
        <w:rPr>
          <w:rFonts w:ascii="Arial" w:hAnsi="Arial" w:cs="Arial"/>
          <w:sz w:val="24"/>
          <w:szCs w:val="24"/>
        </w:rPr>
        <w:t xml:space="preserve"> </w:t>
      </w:r>
      <w:proofErr w:type="spellStart"/>
      <w:r w:rsidRPr="00972267">
        <w:rPr>
          <w:rFonts w:ascii="Arial" w:hAnsi="Arial" w:cs="Arial"/>
          <w:sz w:val="24"/>
          <w:szCs w:val="24"/>
        </w:rPr>
        <w:t>tuebs</w:t>
      </w:r>
      <w:proofErr w:type="spellEnd"/>
      <w:r w:rsidRPr="00972267">
        <w:rPr>
          <w:rFonts w:ascii="Arial" w:hAnsi="Arial" w:cs="Arial"/>
          <w:sz w:val="24"/>
          <w:szCs w:val="24"/>
        </w:rPr>
        <w:t xml:space="preserve">. The RBD proteins were further purified with size-exclusion chromatography using a </w:t>
      </w:r>
      <w:proofErr w:type="spellStart"/>
      <w:r w:rsidRPr="00972267">
        <w:rPr>
          <w:rFonts w:ascii="Arial" w:hAnsi="Arial" w:cs="Arial"/>
          <w:sz w:val="24"/>
          <w:szCs w:val="24"/>
        </w:rPr>
        <w:t>Superdex</w:t>
      </w:r>
      <w:proofErr w:type="spellEnd"/>
      <w:r w:rsidRPr="00972267">
        <w:rPr>
          <w:rFonts w:ascii="Arial" w:hAnsi="Arial" w:cs="Arial"/>
          <w:sz w:val="24"/>
          <w:szCs w:val="24"/>
        </w:rPr>
        <w:t xml:space="preserve"> 200 </w:t>
      </w:r>
      <w:proofErr w:type="spellStart"/>
      <w:r w:rsidRPr="00972267">
        <w:rPr>
          <w:rFonts w:ascii="Arial" w:hAnsi="Arial" w:cs="Arial"/>
          <w:sz w:val="24"/>
          <w:szCs w:val="24"/>
        </w:rPr>
        <w:t>Increasse</w:t>
      </w:r>
      <w:proofErr w:type="spellEnd"/>
      <w:r w:rsidRPr="00972267">
        <w:rPr>
          <w:rFonts w:ascii="Arial" w:hAnsi="Arial" w:cs="Arial"/>
          <w:sz w:val="24"/>
          <w:szCs w:val="24"/>
        </w:rPr>
        <w:t xml:space="preserve"> 10/300 GL column (GE Healthcare).</w:t>
      </w:r>
    </w:p>
    <w:p w14:paraId="17448468" w14:textId="77777777" w:rsidR="00584E27" w:rsidRPr="0000656C" w:rsidRDefault="00584E27" w:rsidP="00584E27">
      <w:pPr>
        <w:spacing w:line="360" w:lineRule="auto"/>
        <w:jc w:val="both"/>
        <w:rPr>
          <w:rFonts w:ascii="Arial" w:hAnsi="Arial" w:cs="Arial"/>
          <w:b/>
          <w:bCs/>
          <w:sz w:val="24"/>
          <w:szCs w:val="24"/>
        </w:rPr>
      </w:pPr>
      <w:r w:rsidRPr="0000656C">
        <w:rPr>
          <w:rFonts w:ascii="Arial" w:hAnsi="Arial" w:cs="Arial"/>
          <w:b/>
          <w:bCs/>
          <w:sz w:val="24"/>
          <w:szCs w:val="24"/>
        </w:rPr>
        <w:t>Sample preparation and analysis by LC-MS</w:t>
      </w:r>
    </w:p>
    <w:p w14:paraId="3A9853D0" w14:textId="13F691C1" w:rsidR="00584E27" w:rsidRPr="0000656C" w:rsidRDefault="00584E27" w:rsidP="00584E27">
      <w:pPr>
        <w:spacing w:line="360" w:lineRule="auto"/>
        <w:jc w:val="both"/>
        <w:rPr>
          <w:rFonts w:ascii="Arial" w:hAnsi="Arial" w:cs="Arial"/>
          <w:sz w:val="24"/>
          <w:szCs w:val="24"/>
        </w:rPr>
      </w:pPr>
      <w:r w:rsidRPr="00F41E65">
        <w:rPr>
          <w:rFonts w:ascii="Arial" w:hAnsi="Arial" w:cs="Arial"/>
          <w:sz w:val="24"/>
          <w:szCs w:val="24"/>
        </w:rPr>
        <w:t>Mass spectrometry data for the virion derived glycosylation was obtained using the protocols described in Yao et al. and reanalyzed</w:t>
      </w:r>
      <w:r>
        <w:rPr>
          <w:rFonts w:ascii="Arial" w:hAnsi="Arial" w:cs="Arial"/>
          <w:sz w:val="24"/>
          <w:szCs w:val="24"/>
        </w:rPr>
        <w:t xml:space="preserve"> </w:t>
      </w:r>
      <w:r>
        <w:rPr>
          <w:rFonts w:ascii="Arial" w:hAnsi="Arial" w:cs="Arial"/>
          <w:sz w:val="24"/>
          <w:szCs w:val="24"/>
        </w:rPr>
        <w:fldChar w:fldCharType="begin" w:fldLock="1"/>
      </w:r>
      <w:r w:rsidR="007774B6">
        <w:rPr>
          <w:rFonts w:ascii="Arial" w:hAnsi="Arial" w:cs="Arial"/>
          <w:sz w:val="24"/>
          <w:szCs w:val="24"/>
        </w:rPr>
        <w:instrText xml:space="preserve">ADDIN CSL_CITATION {"citationItems":[{"id":"ITEM-1","itemData":{"DOI":"10.1016/j.cell.2020.09.018","ISSN":"10974172","PMID":"32979942","abstract":"SARS-CoV-2 is an enveloped virus responsible for the COVID-19 pandemic. Despite recent advances in the structural elucidation of SARS-CoV-2 proteins, the detailed architecture of the intact virus remains to be unveiled. Here we report the molecular assembly of the authentic SARS-CoV-2 virus using cryoelectron tomography (cryo-ET) and subtomogram averaging (STA). Native structures of the S proteins in pre- and postfusion conformations were determined to average resolutions of 8.7–11 Å. Compositions of the N-linked glycans from the native spikes were analyzed by mass spectrometry, which revealed overall processing states of the native glycans highly similar to that of the recombinant glycoprotein glycans. The native conformation of the ribonucleoproteins (RNPs) and their higher-order assemblies were revealed. Overall, these characterizations revealed the architecture of the SARS-CoV-2 virus in exceptional detail and shed light on how the virus packs its </w:instrText>
      </w:r>
      <w:r w:rsidR="007774B6">
        <w:rPr>
          <w:rFonts w:ascii="Cambria Math" w:hAnsi="Cambria Math" w:cs="Cambria Math"/>
          <w:sz w:val="24"/>
          <w:szCs w:val="24"/>
        </w:rPr>
        <w:instrText>∼</w:instrText>
      </w:r>
      <w:r w:rsidR="007774B6">
        <w:rPr>
          <w:rFonts w:ascii="Arial" w:hAnsi="Arial" w:cs="Arial"/>
          <w:sz w:val="24"/>
          <w:szCs w:val="24"/>
        </w:rPr>
        <w:instrText xml:space="preserve">30-kb-long single-segmented RNA in the </w:instrText>
      </w:r>
      <w:r w:rsidR="007774B6">
        <w:rPr>
          <w:rFonts w:ascii="Cambria Math" w:hAnsi="Cambria Math" w:cs="Cambria Math"/>
          <w:sz w:val="24"/>
          <w:szCs w:val="24"/>
        </w:rPr>
        <w:instrText>∼</w:instrText>
      </w:r>
      <w:r w:rsidR="007774B6">
        <w:rPr>
          <w:rFonts w:ascii="Arial" w:hAnsi="Arial" w:cs="Arial"/>
          <w:sz w:val="24"/>
          <w:szCs w:val="24"/>
        </w:rPr>
        <w:instrText>80-nm-diameter lumen.","author":[{"dropping-particle":"","family":"Yao","given":"Hangping","non-dropping-particle":"","parse-names":false,"suffix":""},{"dropping-particle":"","family":"Song","given":"Yutong","non-dropping-particle":"","parse-names":false,"suffix":""},{"dropping-particle":"","family":"Chen","given":"Yong","non-dropping-particle":"","parse-names":false,"suffix":""},{"dropping-particle":"","family":"Wu","given":"Nanping","non-dropping-particle":"","parse-names":false,"suffix":""},{"dropping-particle":"","family":"Xu","given":"Jialu","non-dropping-particle":"","parse-names":false,"suffix":""},{"dropping-particle":"","family":"Sun","given":"Chujie","non-dropping-particle":"","parse-names":false,"suffix":""},{"dropping-particle":"","family":"Zhang","given":"Jiaxing","non-dropping-particle":"","parse-names":false,"suffix":""},{"dropping-particle":"","family":"Weng","given":"Tianhao","non-dropping-particle":"","parse-names":false,"suffix":""},{"dropping-particle":"","family":"Zhang","given":"Zheyuan","non-dropping-particle":"","parse-names":false,"suffix":""},{"dropping-particle":"","family":"Wu","given":"Zhigang","non-dropping-particle":"","parse-names":false,"suffix":""},{"dropping-particle":"","family":"Cheng","given":"Linfang","non-dropping-particle":"","parse-names":false,"suffix":""},{"dropping-particle":"","family":"Shi","given":"Danrong","non-dropping-particle":"","parse-names":false,"suffix":""},{"dropping-particle":"","family":"Lu","given":"Xiangyun","non-dropping-particle":"","parse-names":false,"suffix":""},{"dropping-particle":"","family":"Lei","given":"Jianlin","non-dropping-particle":"","parse-names":false,"suffix":""},{"dropping-particle":"","family":"Crispin","given":"Max","non-dropping-particle":"","parse-names":false,"suffix":""},{"dropping-particle":"","family":"Shi","given":"Yigong","non-dropping-particle":"","parse-names":false,"suffix":""},{"dropping-particle":"","family":"Li","given":"Lanjuan","non-dropping-particle":"","parse-names":false,"suffix":""},{"dropping-particle":"","family":"Li","given":"Sai","non-dropping-particle":"","parse-names":false,"suffix":""}],"container-title":"Cell","id":"ITEM-1","issue":"3","issued":{"date-parts":[["2020","10","29"]]},"page":"730-738.e13","publisher":"Cell Press","title":"Molecular Architecture of the SARS-CoV-2 Virus","type":"article-journal","volume":"183"},"uris":["http://www.mendeley.com/documents/?uuid=4662bd08-c13c-3a08-a219-3bcb464b7393"]}],"mendeley":{"formattedCitation":"&lt;sup&gt;32&lt;/sup&gt;","plainTextFormattedCitation":"32","previouslyFormattedCitation":"&lt;sup&gt;32&lt;/sup&gt;"},"properties":{"noteIndex":0},"schema":"https://github.com/citation-style-language/schema/raw/master/csl-citation.json"}</w:instrText>
      </w:r>
      <w:r>
        <w:rPr>
          <w:rFonts w:ascii="Arial" w:hAnsi="Arial" w:cs="Arial"/>
          <w:sz w:val="24"/>
          <w:szCs w:val="24"/>
        </w:rPr>
        <w:fldChar w:fldCharType="separate"/>
      </w:r>
      <w:r w:rsidR="007774B6" w:rsidRPr="007774B6">
        <w:rPr>
          <w:rFonts w:ascii="Arial" w:hAnsi="Arial" w:cs="Arial"/>
          <w:noProof/>
          <w:sz w:val="24"/>
          <w:szCs w:val="24"/>
          <w:vertAlign w:val="superscript"/>
        </w:rPr>
        <w:t>32</w:t>
      </w:r>
      <w:r>
        <w:rPr>
          <w:rFonts w:ascii="Arial" w:hAnsi="Arial" w:cs="Arial"/>
          <w:sz w:val="24"/>
          <w:szCs w:val="24"/>
        </w:rPr>
        <w:fldChar w:fldCharType="end"/>
      </w:r>
      <w:r w:rsidRPr="00F41E65">
        <w:rPr>
          <w:rFonts w:ascii="Arial" w:hAnsi="Arial" w:cs="Arial"/>
          <w:sz w:val="24"/>
          <w:szCs w:val="24"/>
        </w:rPr>
        <w:t xml:space="preserve">. </w:t>
      </w:r>
      <w:r>
        <w:rPr>
          <w:rFonts w:ascii="Arial" w:hAnsi="Arial" w:cs="Arial"/>
          <w:sz w:val="24"/>
          <w:szCs w:val="24"/>
        </w:rPr>
        <w:t xml:space="preserve">For recombinant S protein and RBD, </w:t>
      </w:r>
      <w:r w:rsidRPr="0000656C">
        <w:rPr>
          <w:rFonts w:ascii="Arial" w:hAnsi="Arial" w:cs="Arial"/>
          <w:sz w:val="24"/>
          <w:szCs w:val="24"/>
        </w:rPr>
        <w:t xml:space="preserve">30 </w:t>
      </w:r>
      <w:proofErr w:type="spellStart"/>
      <w:r w:rsidRPr="0000656C">
        <w:rPr>
          <w:rFonts w:ascii="Arial" w:hAnsi="Arial" w:cs="Arial"/>
          <w:sz w:val="24"/>
          <w:szCs w:val="24"/>
        </w:rPr>
        <w:t>μg</w:t>
      </w:r>
      <w:proofErr w:type="spellEnd"/>
      <w:r w:rsidRPr="0000656C">
        <w:rPr>
          <w:rFonts w:ascii="Arial" w:hAnsi="Arial" w:cs="Arial"/>
          <w:sz w:val="24"/>
          <w:szCs w:val="24"/>
        </w:rPr>
        <w:t xml:space="preserve"> aliquots of SARS-CoV-2 S proteins were denatured for 1h in 50 mM Tris/HCl, pH 8.0 containing 6 M of urea and 5 mM of dithiothreitol (DTT). Next, the S proteins were reduced and alkylated by adding 20 mM IAA and incubated for 1hr in the dark, followed by incubation with DTT to get rid of any residual IAA. The alkylated S proteins were buffer-exchanged into 50 mM Tris/HCl, pH 8.0 using </w:t>
      </w:r>
      <w:proofErr w:type="spellStart"/>
      <w:r w:rsidRPr="0000656C">
        <w:rPr>
          <w:rFonts w:ascii="Arial" w:hAnsi="Arial" w:cs="Arial"/>
          <w:sz w:val="24"/>
          <w:szCs w:val="24"/>
        </w:rPr>
        <w:t>Vivaspin</w:t>
      </w:r>
      <w:proofErr w:type="spellEnd"/>
      <w:r w:rsidRPr="0000656C">
        <w:rPr>
          <w:rFonts w:ascii="Arial" w:hAnsi="Arial" w:cs="Arial"/>
          <w:sz w:val="24"/>
          <w:szCs w:val="24"/>
        </w:rPr>
        <w:t xml:space="preserve"> columns </w:t>
      </w:r>
      <w:r w:rsidRPr="0000656C">
        <w:rPr>
          <w:rFonts w:ascii="Arial" w:hAnsi="Arial" w:cs="Arial"/>
          <w:sz w:val="24"/>
          <w:szCs w:val="24"/>
        </w:rPr>
        <w:lastRenderedPageBreak/>
        <w:t xml:space="preserve">(3 </w:t>
      </w:r>
      <w:proofErr w:type="spellStart"/>
      <w:r w:rsidRPr="0000656C">
        <w:rPr>
          <w:rFonts w:ascii="Arial" w:hAnsi="Arial" w:cs="Arial"/>
          <w:sz w:val="24"/>
          <w:szCs w:val="24"/>
        </w:rPr>
        <w:t>kDa</w:t>
      </w:r>
      <w:proofErr w:type="spellEnd"/>
      <w:r w:rsidRPr="0000656C">
        <w:rPr>
          <w:rFonts w:ascii="Arial" w:hAnsi="Arial" w:cs="Arial"/>
          <w:sz w:val="24"/>
          <w:szCs w:val="24"/>
        </w:rPr>
        <w:t xml:space="preserve">) and digested separately overnight using trypsin, </w:t>
      </w:r>
      <w:proofErr w:type="gramStart"/>
      <w:r w:rsidRPr="0000656C">
        <w:rPr>
          <w:rFonts w:ascii="Arial" w:hAnsi="Arial" w:cs="Arial"/>
          <w:sz w:val="24"/>
          <w:szCs w:val="24"/>
        </w:rPr>
        <w:t>chymotrypsin</w:t>
      </w:r>
      <w:r>
        <w:rPr>
          <w:rFonts w:ascii="Arial" w:hAnsi="Arial" w:cs="Arial"/>
          <w:sz w:val="24"/>
          <w:szCs w:val="24"/>
        </w:rPr>
        <w:t xml:space="preserve"> </w:t>
      </w:r>
      <w:r w:rsidRPr="0000656C">
        <w:rPr>
          <w:rFonts w:ascii="Arial" w:hAnsi="Arial" w:cs="Arial"/>
          <w:sz w:val="24"/>
          <w:szCs w:val="24"/>
        </w:rPr>
        <w:t xml:space="preserve"> (</w:t>
      </w:r>
      <w:proofErr w:type="gramEnd"/>
      <w:r w:rsidRPr="0000656C">
        <w:rPr>
          <w:rFonts w:ascii="Arial" w:hAnsi="Arial" w:cs="Arial"/>
          <w:sz w:val="24"/>
          <w:szCs w:val="24"/>
        </w:rPr>
        <w:t>Mass Spectrometry Grade, Promega)  or alpha lytic protease</w:t>
      </w:r>
      <w:r>
        <w:rPr>
          <w:rFonts w:ascii="Arial" w:hAnsi="Arial" w:cs="Arial"/>
          <w:sz w:val="24"/>
          <w:szCs w:val="24"/>
        </w:rPr>
        <w:t xml:space="preserve"> (Sigma Aldrich) </w:t>
      </w:r>
      <w:r w:rsidRPr="0000656C">
        <w:rPr>
          <w:rFonts w:ascii="Arial" w:hAnsi="Arial" w:cs="Arial"/>
          <w:sz w:val="24"/>
          <w:szCs w:val="24"/>
        </w:rPr>
        <w:t>at a ratio of 1:30 (w/w). The peptides were dried and extracted using C18 Zip-tip (</w:t>
      </w:r>
      <w:proofErr w:type="spellStart"/>
      <w:r w:rsidRPr="0000656C">
        <w:rPr>
          <w:rFonts w:ascii="Arial" w:hAnsi="Arial" w:cs="Arial"/>
          <w:sz w:val="24"/>
          <w:szCs w:val="24"/>
        </w:rPr>
        <w:t>MerckMilipore</w:t>
      </w:r>
      <w:proofErr w:type="spellEnd"/>
      <w:r w:rsidRPr="0000656C">
        <w:rPr>
          <w:rFonts w:ascii="Arial" w:hAnsi="Arial" w:cs="Arial"/>
          <w:sz w:val="24"/>
          <w:szCs w:val="24"/>
        </w:rPr>
        <w:t>). The peptides were dried again, re-suspended in 0.1% formic acid and analyzed by nanoLC-ESI MS with an Easy-</w:t>
      </w:r>
      <w:proofErr w:type="spellStart"/>
      <w:r w:rsidRPr="0000656C">
        <w:rPr>
          <w:rFonts w:ascii="Arial" w:hAnsi="Arial" w:cs="Arial"/>
          <w:sz w:val="24"/>
          <w:szCs w:val="24"/>
        </w:rPr>
        <w:t>nLC</w:t>
      </w:r>
      <w:proofErr w:type="spellEnd"/>
      <w:r w:rsidRPr="0000656C">
        <w:rPr>
          <w:rFonts w:ascii="Arial" w:hAnsi="Arial" w:cs="Arial"/>
          <w:sz w:val="24"/>
          <w:szCs w:val="24"/>
        </w:rPr>
        <w:t xml:space="preserve"> 1200 (Thermo Fisher Scientific) system coupled to an Orbitrap Fusion mass spectrometer (Thermo Fisher Scientific) using higher energy collision-induced dissociation (HCD) fragmentation. Peptides were separated using an EasySpray PepMap RSLC C18 column (75 µm × 75 cm). A trapping column (PepMap 100 C18 3 </w:t>
      </w:r>
      <w:proofErr w:type="spellStart"/>
      <w:r w:rsidRPr="0000656C">
        <w:rPr>
          <w:rFonts w:ascii="Arial" w:hAnsi="Arial" w:cs="Arial"/>
          <w:sz w:val="24"/>
          <w:szCs w:val="24"/>
        </w:rPr>
        <w:t>μm</w:t>
      </w:r>
      <w:proofErr w:type="spellEnd"/>
      <w:r w:rsidRPr="0000656C">
        <w:rPr>
          <w:rFonts w:ascii="Arial" w:hAnsi="Arial" w:cs="Arial"/>
          <w:sz w:val="24"/>
          <w:szCs w:val="24"/>
        </w:rPr>
        <w:t xml:space="preserve"> (particle size), 75 </w:t>
      </w:r>
      <w:proofErr w:type="spellStart"/>
      <w:r w:rsidRPr="0000656C">
        <w:rPr>
          <w:rFonts w:ascii="Arial" w:hAnsi="Arial" w:cs="Arial"/>
          <w:sz w:val="24"/>
          <w:szCs w:val="24"/>
        </w:rPr>
        <w:t>μm</w:t>
      </w:r>
      <w:proofErr w:type="spellEnd"/>
      <w:r w:rsidRPr="0000656C">
        <w:rPr>
          <w:rFonts w:ascii="Arial" w:hAnsi="Arial" w:cs="Arial"/>
          <w:sz w:val="24"/>
          <w:szCs w:val="24"/>
        </w:rPr>
        <w:t xml:space="preserve"> × 2cm) was used in line with the LC prior to separation with the analytical column. The LC conditions were as follows: </w:t>
      </w:r>
      <w:proofErr w:type="gramStart"/>
      <w:r w:rsidRPr="0000656C">
        <w:rPr>
          <w:rFonts w:ascii="Arial" w:hAnsi="Arial" w:cs="Arial"/>
          <w:sz w:val="24"/>
          <w:szCs w:val="24"/>
        </w:rPr>
        <w:t>275 minute</w:t>
      </w:r>
      <w:proofErr w:type="gramEnd"/>
      <w:r w:rsidRPr="0000656C">
        <w:rPr>
          <w:rFonts w:ascii="Arial" w:hAnsi="Arial" w:cs="Arial"/>
          <w:sz w:val="24"/>
          <w:szCs w:val="24"/>
        </w:rPr>
        <w:t xml:space="preserve"> linear gradient consisting of 0-32% acetonitrile in 0.1% formic acid over 240 minutes followed by 35 minutes of 80% acetonitrile in 0.1% formic acid. The flow rate was set to 200 </w:t>
      </w:r>
      <w:proofErr w:type="spellStart"/>
      <w:r w:rsidRPr="0000656C">
        <w:rPr>
          <w:rFonts w:ascii="Arial" w:hAnsi="Arial" w:cs="Arial"/>
          <w:sz w:val="24"/>
          <w:szCs w:val="24"/>
        </w:rPr>
        <w:t>nL</w:t>
      </w:r>
      <w:proofErr w:type="spellEnd"/>
      <w:r w:rsidRPr="0000656C">
        <w:rPr>
          <w:rFonts w:ascii="Arial" w:hAnsi="Arial" w:cs="Arial"/>
          <w:sz w:val="24"/>
          <w:szCs w:val="24"/>
        </w:rPr>
        <w:t xml:space="preserve">/min. The spray voltage was set to 2.7 kV and the temperature of the heated capillary was set to 40 °C.  The ion transfer tube temperature was set to 275 °C. The scan range was 400−1600 </w:t>
      </w:r>
      <w:r w:rsidRPr="0000656C">
        <w:rPr>
          <w:rFonts w:ascii="Arial" w:hAnsi="Arial" w:cs="Arial"/>
          <w:i/>
          <w:iCs/>
          <w:sz w:val="24"/>
          <w:szCs w:val="24"/>
        </w:rPr>
        <w:t>m/z</w:t>
      </w:r>
      <w:r w:rsidRPr="0000656C">
        <w:rPr>
          <w:rFonts w:ascii="Arial" w:hAnsi="Arial" w:cs="Arial"/>
          <w:sz w:val="24"/>
          <w:szCs w:val="24"/>
        </w:rPr>
        <w:t>. The HCD collision energy was set to 50%</w:t>
      </w:r>
      <w:r>
        <w:rPr>
          <w:rFonts w:ascii="Arial" w:hAnsi="Arial" w:cs="Arial"/>
          <w:sz w:val="24"/>
          <w:szCs w:val="24"/>
        </w:rPr>
        <w:t xml:space="preserve">. </w:t>
      </w:r>
      <w:r w:rsidRPr="0000656C">
        <w:rPr>
          <w:rFonts w:ascii="Arial" w:hAnsi="Arial" w:cs="Arial"/>
          <w:sz w:val="24"/>
          <w:szCs w:val="24"/>
        </w:rPr>
        <w:t>Precursor and fragment detection were performed using Orbitrap at a resolution MS1 = 100,000. MS2 = 30,000. The AGC target for MS1 = 4e</w:t>
      </w:r>
      <w:r w:rsidRPr="00E875A3">
        <w:rPr>
          <w:rFonts w:ascii="Arial" w:hAnsi="Arial" w:cs="Arial"/>
          <w:sz w:val="24"/>
          <w:szCs w:val="24"/>
          <w:vertAlign w:val="superscript"/>
        </w:rPr>
        <w:t>5</w:t>
      </w:r>
      <w:r w:rsidRPr="0000656C">
        <w:rPr>
          <w:rFonts w:ascii="Arial" w:hAnsi="Arial" w:cs="Arial"/>
          <w:sz w:val="24"/>
          <w:szCs w:val="24"/>
        </w:rPr>
        <w:t xml:space="preserve"> and MS2 = 5e</w:t>
      </w:r>
      <w:r w:rsidRPr="00E875A3">
        <w:rPr>
          <w:rFonts w:ascii="Arial" w:hAnsi="Arial" w:cs="Arial"/>
          <w:sz w:val="24"/>
          <w:szCs w:val="24"/>
          <w:vertAlign w:val="superscript"/>
        </w:rPr>
        <w:t>4</w:t>
      </w:r>
      <w:r w:rsidRPr="0000656C">
        <w:rPr>
          <w:rFonts w:ascii="Arial" w:hAnsi="Arial" w:cs="Arial"/>
          <w:sz w:val="24"/>
          <w:szCs w:val="24"/>
        </w:rPr>
        <w:t xml:space="preserve"> and injection time: MS1 = 50 </w:t>
      </w:r>
      <w:proofErr w:type="spellStart"/>
      <w:r w:rsidRPr="0000656C">
        <w:rPr>
          <w:rFonts w:ascii="Arial" w:hAnsi="Arial" w:cs="Arial"/>
          <w:sz w:val="24"/>
          <w:szCs w:val="24"/>
        </w:rPr>
        <w:t>ms</w:t>
      </w:r>
      <w:proofErr w:type="spellEnd"/>
      <w:r w:rsidRPr="0000656C">
        <w:rPr>
          <w:rFonts w:ascii="Arial" w:hAnsi="Arial" w:cs="Arial"/>
          <w:sz w:val="24"/>
          <w:szCs w:val="24"/>
        </w:rPr>
        <w:t xml:space="preserve"> MS2 = 54 </w:t>
      </w:r>
      <w:proofErr w:type="spellStart"/>
      <w:r w:rsidRPr="0000656C">
        <w:rPr>
          <w:rFonts w:ascii="Arial" w:hAnsi="Arial" w:cs="Arial"/>
          <w:sz w:val="24"/>
          <w:szCs w:val="24"/>
        </w:rPr>
        <w:t>ms.</w:t>
      </w:r>
      <w:proofErr w:type="spellEnd"/>
    </w:p>
    <w:p w14:paraId="00D417BA" w14:textId="77777777" w:rsidR="00584E27" w:rsidRPr="0000656C" w:rsidRDefault="00584E27" w:rsidP="00584E27">
      <w:pPr>
        <w:spacing w:line="360" w:lineRule="auto"/>
        <w:jc w:val="both"/>
        <w:rPr>
          <w:rFonts w:ascii="Arial" w:hAnsi="Arial" w:cs="Arial"/>
          <w:b/>
          <w:bCs/>
          <w:sz w:val="24"/>
          <w:szCs w:val="24"/>
        </w:rPr>
      </w:pPr>
      <w:r w:rsidRPr="0000656C">
        <w:rPr>
          <w:rFonts w:ascii="Arial" w:hAnsi="Arial" w:cs="Arial"/>
          <w:b/>
          <w:bCs/>
          <w:sz w:val="24"/>
          <w:szCs w:val="24"/>
        </w:rPr>
        <w:t>Data processing of LC-MS data</w:t>
      </w:r>
    </w:p>
    <w:p w14:paraId="639EE0C8" w14:textId="24DB3764" w:rsidR="00584E27" w:rsidRPr="0000656C" w:rsidRDefault="00584E27" w:rsidP="00584E27">
      <w:pPr>
        <w:spacing w:line="360" w:lineRule="auto"/>
        <w:jc w:val="both"/>
        <w:rPr>
          <w:rFonts w:ascii="Arial" w:hAnsi="Arial" w:cs="Arial"/>
          <w:sz w:val="24"/>
          <w:szCs w:val="24"/>
        </w:rPr>
      </w:pPr>
      <w:r w:rsidRPr="0000656C">
        <w:rPr>
          <w:rFonts w:ascii="Arial" w:hAnsi="Arial" w:cs="Arial"/>
          <w:sz w:val="24"/>
          <w:szCs w:val="24"/>
        </w:rPr>
        <w:t xml:space="preserve">Glycopeptide fragmentation data were extracted from the raw file </w:t>
      </w:r>
      <w:proofErr w:type="spellStart"/>
      <w:r w:rsidRPr="0000656C">
        <w:rPr>
          <w:rFonts w:ascii="Arial" w:hAnsi="Arial" w:cs="Arial"/>
          <w:sz w:val="24"/>
          <w:szCs w:val="24"/>
        </w:rPr>
        <w:t>Byos</w:t>
      </w:r>
      <w:proofErr w:type="spellEnd"/>
      <w:r w:rsidRPr="0000656C">
        <w:rPr>
          <w:rFonts w:ascii="Arial" w:hAnsi="Arial" w:cs="Arial"/>
          <w:sz w:val="24"/>
          <w:szCs w:val="24"/>
        </w:rPr>
        <w:t xml:space="preserve"> (Version 3.5; Protein Metrics Inc.). The following parameters were used for data searches in Byonic: The precursor mass tolerance was set at 4 ppm and 10 ppm for fragments. Peptide modifications included in the search include: </w:t>
      </w:r>
      <w:proofErr w:type="spellStart"/>
      <w:r w:rsidRPr="0000656C">
        <w:rPr>
          <w:rFonts w:ascii="Arial" w:hAnsi="Arial" w:cs="Arial"/>
          <w:sz w:val="24"/>
          <w:szCs w:val="24"/>
        </w:rPr>
        <w:t>Cys</w:t>
      </w:r>
      <w:proofErr w:type="spellEnd"/>
      <w:r w:rsidRPr="0000656C">
        <w:rPr>
          <w:rFonts w:ascii="Arial" w:hAnsi="Arial" w:cs="Arial"/>
          <w:sz w:val="24"/>
          <w:szCs w:val="24"/>
        </w:rPr>
        <w:t xml:space="preserve"> carbamidomethyl, Met oxidation, Glu</w:t>
      </w:r>
      <w:r>
        <w:rPr>
          <w:rFonts w:ascii="Arial" w:hAnsi="Arial" w:cs="Arial"/>
          <w:sz w:val="24"/>
          <w:szCs w:val="24"/>
        </w:rPr>
        <w:t xml:space="preserve"> </w:t>
      </w:r>
      <w:r w:rsidRPr="0000656C">
        <w:rPr>
          <w:rFonts w:ascii="Arial" w:hAnsi="Arial" w:cs="Arial"/>
          <w:sz w:val="24"/>
          <w:szCs w:val="24"/>
        </w:rPr>
        <w:sym w:font="Wingdings" w:char="F0E0"/>
      </w:r>
      <w:r w:rsidRPr="0000656C">
        <w:rPr>
          <w:rFonts w:ascii="Arial" w:hAnsi="Arial" w:cs="Arial"/>
          <w:sz w:val="24"/>
          <w:szCs w:val="24"/>
        </w:rPr>
        <w:t xml:space="preserve"> </w:t>
      </w:r>
      <w:proofErr w:type="spellStart"/>
      <w:r w:rsidRPr="0000656C">
        <w:rPr>
          <w:rFonts w:ascii="Arial" w:hAnsi="Arial" w:cs="Arial"/>
          <w:sz w:val="24"/>
          <w:szCs w:val="24"/>
        </w:rPr>
        <w:t>pyroGlu</w:t>
      </w:r>
      <w:proofErr w:type="spellEnd"/>
      <w:r w:rsidRPr="0000656C">
        <w:rPr>
          <w:rFonts w:ascii="Arial" w:hAnsi="Arial" w:cs="Arial"/>
          <w:sz w:val="24"/>
          <w:szCs w:val="24"/>
        </w:rPr>
        <w:t xml:space="preserve">, Gln </w:t>
      </w:r>
      <w:r w:rsidRPr="0000656C">
        <w:rPr>
          <w:rFonts w:ascii="Arial" w:hAnsi="Arial" w:cs="Arial"/>
          <w:sz w:val="24"/>
          <w:szCs w:val="24"/>
        </w:rPr>
        <w:sym w:font="Wingdings" w:char="F0E0"/>
      </w:r>
      <w:r w:rsidRPr="0000656C">
        <w:rPr>
          <w:rFonts w:ascii="Arial" w:hAnsi="Arial" w:cs="Arial"/>
          <w:sz w:val="24"/>
          <w:szCs w:val="24"/>
        </w:rPr>
        <w:t xml:space="preserve"> </w:t>
      </w:r>
      <w:proofErr w:type="spellStart"/>
      <w:r w:rsidRPr="0000656C">
        <w:rPr>
          <w:rFonts w:ascii="Arial" w:hAnsi="Arial" w:cs="Arial"/>
          <w:sz w:val="24"/>
          <w:szCs w:val="24"/>
        </w:rPr>
        <w:t>pyroGln</w:t>
      </w:r>
      <w:proofErr w:type="spellEnd"/>
      <w:r w:rsidRPr="0000656C">
        <w:rPr>
          <w:rFonts w:ascii="Arial" w:hAnsi="Arial" w:cs="Arial"/>
          <w:sz w:val="24"/>
          <w:szCs w:val="24"/>
        </w:rPr>
        <w:t xml:space="preserve"> and N deamidation. For each protease digest a separate search node was used with digestion parameters appropriate for each protease (Trypsin RK, Chymotrypsin YFW and ALP TASV) using a semi-specific search with 2 missed cleavages. A 1% false discovery rate (FDR) was applied. All three digests were combined into a single file for downstream analysis. All charge states for a single glycopeptide were summed. The glycopeptide fragmentation data were evaluated manually for each glycopeptide; the peptide was scored as true-positive when the correct b and y fragment ions were observed along with oxonium ions corresponding to the glycan identified. The protein metrics 309 mammalian </w:t>
      </w:r>
      <w:r>
        <w:rPr>
          <w:rFonts w:ascii="Arial" w:hAnsi="Arial" w:cs="Arial"/>
          <w:sz w:val="24"/>
          <w:szCs w:val="24"/>
        </w:rPr>
        <w:t>N-</w:t>
      </w:r>
      <w:r w:rsidRPr="0000656C">
        <w:rPr>
          <w:rFonts w:ascii="Arial" w:hAnsi="Arial" w:cs="Arial"/>
          <w:sz w:val="24"/>
          <w:szCs w:val="24"/>
        </w:rPr>
        <w:t xml:space="preserve">glycan library was modified to include sulfated glycans and phosphorylated mannose species, although </w:t>
      </w:r>
      <w:r w:rsidRPr="0000656C">
        <w:rPr>
          <w:rFonts w:ascii="Arial" w:hAnsi="Arial" w:cs="Arial"/>
          <w:sz w:val="24"/>
          <w:szCs w:val="24"/>
        </w:rPr>
        <w:lastRenderedPageBreak/>
        <w:t xml:space="preserve">no phosphorylated mannose glycans were detected on any of the samples </w:t>
      </w:r>
      <w:proofErr w:type="spellStart"/>
      <w:r w:rsidRPr="0000656C">
        <w:rPr>
          <w:rFonts w:ascii="Arial" w:hAnsi="Arial" w:cs="Arial"/>
          <w:sz w:val="24"/>
          <w:szCs w:val="24"/>
        </w:rPr>
        <w:t>analysed</w:t>
      </w:r>
      <w:proofErr w:type="spellEnd"/>
      <w:r w:rsidRPr="0000656C">
        <w:rPr>
          <w:rFonts w:ascii="Arial" w:hAnsi="Arial" w:cs="Arial"/>
          <w:sz w:val="24"/>
          <w:szCs w:val="24"/>
        </w:rPr>
        <w:t>. The relative amounts</w:t>
      </w:r>
      <w:r>
        <w:rPr>
          <w:rFonts w:ascii="Arial" w:hAnsi="Arial" w:cs="Arial"/>
          <w:sz w:val="24"/>
          <w:szCs w:val="24"/>
        </w:rPr>
        <w:t xml:space="preserve"> (determined by comparing the XIC of each glycopeptide, summing charge states)</w:t>
      </w:r>
      <w:r w:rsidRPr="0000656C">
        <w:rPr>
          <w:rFonts w:ascii="Arial" w:hAnsi="Arial" w:cs="Arial"/>
          <w:sz w:val="24"/>
          <w:szCs w:val="24"/>
        </w:rPr>
        <w:t xml:space="preserve"> of each glycan at each site as well as the unoccupied proportion were determined by comparing the extracted chromatographic areas for different glycotypes with an identical peptide sequence. Glycans were categorized according to the composition detected. </w:t>
      </w:r>
      <w:proofErr w:type="gramStart"/>
      <w:r w:rsidRPr="0000656C">
        <w:rPr>
          <w:rFonts w:ascii="Arial" w:hAnsi="Arial" w:cs="Arial"/>
          <w:sz w:val="24"/>
          <w:szCs w:val="24"/>
        </w:rPr>
        <w:t>HexNAc(</w:t>
      </w:r>
      <w:proofErr w:type="gramEnd"/>
      <w:r w:rsidRPr="0000656C">
        <w:rPr>
          <w:rFonts w:ascii="Arial" w:hAnsi="Arial" w:cs="Arial"/>
          <w:sz w:val="24"/>
          <w:szCs w:val="24"/>
        </w:rPr>
        <w:t>2), Hex(9−</w:t>
      </w:r>
      <w:r>
        <w:rPr>
          <w:rFonts w:ascii="Arial" w:hAnsi="Arial" w:cs="Arial"/>
          <w:sz w:val="24"/>
          <w:szCs w:val="24"/>
        </w:rPr>
        <w:t>3</w:t>
      </w:r>
      <w:r w:rsidRPr="0000656C">
        <w:rPr>
          <w:rFonts w:ascii="Arial" w:hAnsi="Arial" w:cs="Arial"/>
          <w:sz w:val="24"/>
          <w:szCs w:val="24"/>
        </w:rPr>
        <w:t>) was classified as M9 to M</w:t>
      </w:r>
      <w:r>
        <w:rPr>
          <w:rFonts w:ascii="Arial" w:hAnsi="Arial" w:cs="Arial"/>
          <w:sz w:val="24"/>
          <w:szCs w:val="24"/>
        </w:rPr>
        <w:t>3</w:t>
      </w:r>
      <w:r w:rsidRPr="0000656C">
        <w:rPr>
          <w:rFonts w:ascii="Arial" w:hAnsi="Arial" w:cs="Arial"/>
          <w:sz w:val="24"/>
          <w:szCs w:val="24"/>
        </w:rPr>
        <w:t>.</w:t>
      </w:r>
      <w:r>
        <w:rPr>
          <w:rFonts w:ascii="Arial" w:hAnsi="Arial" w:cs="Arial"/>
          <w:sz w:val="24"/>
          <w:szCs w:val="24"/>
        </w:rPr>
        <w:t xml:space="preserve"> Any of these compositions that were detected with a fucose are classified as FM.</w:t>
      </w:r>
      <w:r w:rsidRPr="0000656C">
        <w:rPr>
          <w:rFonts w:ascii="Arial" w:hAnsi="Arial" w:cs="Arial"/>
          <w:sz w:val="24"/>
          <w:szCs w:val="24"/>
        </w:rPr>
        <w:t xml:space="preserve"> HexNAc(</w:t>
      </w:r>
      <w:proofErr w:type="gramStart"/>
      <w:r w:rsidRPr="0000656C">
        <w:rPr>
          <w:rFonts w:ascii="Arial" w:hAnsi="Arial" w:cs="Arial"/>
          <w:sz w:val="24"/>
          <w:szCs w:val="24"/>
        </w:rPr>
        <w:t>3)Hex</w:t>
      </w:r>
      <w:proofErr w:type="gramEnd"/>
      <w:r w:rsidRPr="0000656C">
        <w:rPr>
          <w:rFonts w:ascii="Arial" w:hAnsi="Arial" w:cs="Arial"/>
          <w:sz w:val="24"/>
          <w:szCs w:val="24"/>
        </w:rPr>
        <w:t>(5−6)Neu5Ac</w:t>
      </w:r>
      <w:r w:rsidR="00684B82" w:rsidRPr="0000656C" w:rsidDel="00684B82">
        <w:rPr>
          <w:rFonts w:ascii="Arial" w:hAnsi="Arial" w:cs="Arial"/>
          <w:sz w:val="24"/>
          <w:szCs w:val="24"/>
        </w:rPr>
        <w:t xml:space="preserve"> </w:t>
      </w:r>
      <w:r w:rsidRPr="0000656C">
        <w:rPr>
          <w:rFonts w:ascii="Arial" w:hAnsi="Arial" w:cs="Arial"/>
          <w:sz w:val="24"/>
          <w:szCs w:val="24"/>
        </w:rPr>
        <w:t xml:space="preserve">(0-4) was classified as Hybrid with </w:t>
      </w:r>
      <w:proofErr w:type="spellStart"/>
      <w:r w:rsidRPr="0000656C">
        <w:rPr>
          <w:rFonts w:ascii="Arial" w:hAnsi="Arial" w:cs="Arial"/>
          <w:sz w:val="24"/>
          <w:szCs w:val="24"/>
        </w:rPr>
        <w:t>HexNAc</w:t>
      </w:r>
      <w:proofErr w:type="spellEnd"/>
      <w:r w:rsidRPr="0000656C">
        <w:rPr>
          <w:rFonts w:ascii="Arial" w:hAnsi="Arial" w:cs="Arial"/>
          <w:sz w:val="24"/>
          <w:szCs w:val="24"/>
        </w:rPr>
        <w:t>(3)Hex(5-6)</w:t>
      </w:r>
      <w:proofErr w:type="spellStart"/>
      <w:r w:rsidRPr="0000656C">
        <w:rPr>
          <w:rFonts w:ascii="Arial" w:hAnsi="Arial" w:cs="Arial"/>
          <w:sz w:val="24"/>
          <w:szCs w:val="24"/>
        </w:rPr>
        <w:t>Fuc</w:t>
      </w:r>
      <w:proofErr w:type="spellEnd"/>
      <w:r w:rsidRPr="0000656C">
        <w:rPr>
          <w:rFonts w:ascii="Arial" w:hAnsi="Arial" w:cs="Arial"/>
          <w:sz w:val="24"/>
          <w:szCs w:val="24"/>
        </w:rPr>
        <w:t>(1)</w:t>
      </w:r>
      <w:proofErr w:type="spellStart"/>
      <w:r w:rsidRPr="0000656C">
        <w:rPr>
          <w:rFonts w:ascii="Arial" w:hAnsi="Arial" w:cs="Arial"/>
          <w:sz w:val="24"/>
          <w:szCs w:val="24"/>
        </w:rPr>
        <w:t>NeuAc</w:t>
      </w:r>
      <w:proofErr w:type="spellEnd"/>
      <w:r w:rsidRPr="0000656C">
        <w:rPr>
          <w:rFonts w:ascii="Arial" w:hAnsi="Arial" w:cs="Arial"/>
          <w:sz w:val="24"/>
          <w:szCs w:val="24"/>
        </w:rPr>
        <w:t>(0-</w:t>
      </w:r>
      <w:r>
        <w:rPr>
          <w:rFonts w:ascii="Arial" w:hAnsi="Arial" w:cs="Arial"/>
          <w:sz w:val="24"/>
          <w:szCs w:val="24"/>
        </w:rPr>
        <w:t>1</w:t>
      </w:r>
      <w:r w:rsidRPr="0000656C">
        <w:rPr>
          <w:rFonts w:ascii="Arial" w:hAnsi="Arial" w:cs="Arial"/>
          <w:sz w:val="24"/>
          <w:szCs w:val="24"/>
        </w:rPr>
        <w:t xml:space="preserve">) classified as </w:t>
      </w:r>
      <w:proofErr w:type="spellStart"/>
      <w:r w:rsidRPr="0000656C">
        <w:rPr>
          <w:rFonts w:ascii="Arial" w:hAnsi="Arial" w:cs="Arial"/>
          <w:sz w:val="24"/>
          <w:szCs w:val="24"/>
        </w:rPr>
        <w:t>Fhybrid</w:t>
      </w:r>
      <w:proofErr w:type="spellEnd"/>
      <w:r w:rsidRPr="0000656C">
        <w:rPr>
          <w:rFonts w:ascii="Arial" w:hAnsi="Arial" w:cs="Arial"/>
          <w:sz w:val="24"/>
          <w:szCs w:val="24"/>
        </w:rPr>
        <w:t>. Complex-type glycans were classified according to the number of processed antenna and fucosylation. Complex glycans are categorized as HexNAc(3)(X), HexNAc(3)(F)(X), HexNAc(4)(X), HexNAc(4)(F)(X), HexNAc(5)(X), HexNAc(5)(F)(X), HexNAc(6</w:t>
      </w:r>
      <w:proofErr w:type="gramStart"/>
      <w:r w:rsidRPr="0000656C">
        <w:rPr>
          <w:rFonts w:ascii="Arial" w:hAnsi="Arial" w:cs="Arial"/>
          <w:sz w:val="24"/>
          <w:szCs w:val="24"/>
        </w:rPr>
        <w:t>+)(</w:t>
      </w:r>
      <w:proofErr w:type="gramEnd"/>
      <w:r w:rsidRPr="0000656C">
        <w:rPr>
          <w:rFonts w:ascii="Arial" w:hAnsi="Arial" w:cs="Arial"/>
          <w:sz w:val="24"/>
          <w:szCs w:val="24"/>
        </w:rPr>
        <w:t>X) and HexNAc(6+)(F)(X).</w:t>
      </w:r>
      <w:r>
        <w:rPr>
          <w:rFonts w:ascii="Arial" w:hAnsi="Arial" w:cs="Arial"/>
          <w:sz w:val="24"/>
          <w:szCs w:val="24"/>
        </w:rPr>
        <w:t xml:space="preserve"> Core glycans are any glycan smaller than HexNAc(</w:t>
      </w:r>
      <w:proofErr w:type="gramStart"/>
      <w:r>
        <w:rPr>
          <w:rFonts w:ascii="Arial" w:hAnsi="Arial" w:cs="Arial"/>
          <w:sz w:val="24"/>
          <w:szCs w:val="24"/>
        </w:rPr>
        <w:t>2)Hex</w:t>
      </w:r>
      <w:proofErr w:type="gramEnd"/>
      <w:r>
        <w:rPr>
          <w:rFonts w:ascii="Arial" w:hAnsi="Arial" w:cs="Arial"/>
          <w:sz w:val="24"/>
          <w:szCs w:val="24"/>
        </w:rPr>
        <w:t>(3)</w:t>
      </w:r>
      <w:r w:rsidR="00684B82">
        <w:rPr>
          <w:rFonts w:ascii="Arial" w:hAnsi="Arial" w:cs="Arial"/>
          <w:sz w:val="24"/>
          <w:szCs w:val="24"/>
        </w:rPr>
        <w:t>.</w:t>
      </w:r>
      <w:r w:rsidRPr="0000656C">
        <w:rPr>
          <w:rFonts w:ascii="Arial" w:hAnsi="Arial" w:cs="Arial"/>
          <w:sz w:val="24"/>
          <w:szCs w:val="24"/>
        </w:rPr>
        <w:t xml:space="preserve"> Glycans were further classified according to their processing state. A glycan was classified as fucosylated or sialylated if it contained at least one fucose or sialic acid residue. Agalactosylated glycans consisted of compositions in the above categories for complex-type glycans which possessed only 3 hexose residues, or if the composition was a hybrid-type glycan then this was increased to 5 hexoses. If the complex-type glycan did not contain sialic acid but more than 3/5 hexoses then it was counted as galactosylated. Sulfated glycans were included in the above categories, so a glycan can be in both galactosylated and sulfated categories, for example. </w:t>
      </w:r>
    </w:p>
    <w:p w14:paraId="61224AEC" w14:textId="77777777" w:rsidR="00584E27" w:rsidRDefault="00584E27" w:rsidP="00584E27">
      <w:pPr>
        <w:spacing w:line="360" w:lineRule="auto"/>
        <w:jc w:val="both"/>
        <w:rPr>
          <w:rFonts w:ascii="Arial" w:hAnsi="Arial" w:cs="Arial"/>
          <w:b/>
          <w:bCs/>
          <w:sz w:val="24"/>
          <w:szCs w:val="24"/>
        </w:rPr>
      </w:pPr>
    </w:p>
    <w:p w14:paraId="7BA1251C" w14:textId="77777777" w:rsidR="00584E27" w:rsidRPr="0000656C" w:rsidRDefault="00584E27" w:rsidP="00584E27">
      <w:pPr>
        <w:spacing w:line="360" w:lineRule="auto"/>
        <w:jc w:val="both"/>
        <w:rPr>
          <w:rFonts w:ascii="Arial" w:hAnsi="Arial" w:cs="Arial"/>
          <w:b/>
          <w:bCs/>
          <w:sz w:val="24"/>
          <w:szCs w:val="24"/>
        </w:rPr>
      </w:pPr>
      <w:r w:rsidRPr="0000656C">
        <w:rPr>
          <w:rFonts w:ascii="Arial" w:hAnsi="Arial" w:cs="Arial"/>
          <w:b/>
          <w:bCs/>
          <w:sz w:val="24"/>
          <w:szCs w:val="24"/>
        </w:rPr>
        <w:t>Integrative modelling and molecular dynamics simulation</w:t>
      </w:r>
    </w:p>
    <w:p w14:paraId="70199A28" w14:textId="4D5779CC" w:rsidR="00584E27" w:rsidRPr="00E1325C" w:rsidRDefault="00584E27" w:rsidP="00584E27">
      <w:pPr>
        <w:spacing w:line="360" w:lineRule="auto"/>
        <w:jc w:val="both"/>
        <w:rPr>
          <w:rFonts w:ascii="Arial" w:hAnsi="Arial" w:cs="Arial"/>
          <w:sz w:val="24"/>
          <w:szCs w:val="24"/>
        </w:rPr>
      </w:pPr>
      <w:r w:rsidRPr="00E1325C">
        <w:rPr>
          <w:rFonts w:ascii="Arial" w:hAnsi="Arial" w:cs="Arial"/>
          <w:sz w:val="24"/>
          <w:szCs w:val="24"/>
        </w:rPr>
        <w:t xml:space="preserve">The model of S protein was built using </w:t>
      </w:r>
      <w:proofErr w:type="spellStart"/>
      <w:r w:rsidRPr="00E1325C">
        <w:rPr>
          <w:rFonts w:ascii="Arial" w:hAnsi="Arial" w:cs="Arial"/>
          <w:sz w:val="24"/>
          <w:szCs w:val="24"/>
        </w:rPr>
        <w:t>Modeller</w:t>
      </w:r>
      <w:proofErr w:type="spellEnd"/>
      <w:r w:rsidRPr="00E1325C">
        <w:rPr>
          <w:rFonts w:ascii="Arial" w:hAnsi="Arial" w:cs="Arial"/>
          <w:sz w:val="24"/>
          <w:szCs w:val="24"/>
        </w:rPr>
        <w:t xml:space="preserve"> 9.21</w:t>
      </w:r>
      <w:r w:rsidR="00684B82">
        <w:rPr>
          <w:rFonts w:ascii="Arial" w:hAnsi="Arial" w:cs="Arial"/>
          <w:sz w:val="24"/>
          <w:szCs w:val="24"/>
        </w:rPr>
        <w:t xml:space="preserve"> </w:t>
      </w:r>
      <w:r w:rsidRPr="00E1325C">
        <w:rPr>
          <w:rFonts w:ascii="Arial" w:hAnsi="Arial" w:cs="Arial"/>
          <w:sz w:val="24"/>
          <w:szCs w:val="24"/>
        </w:rPr>
        <w:fldChar w:fldCharType="begin" w:fldLock="1"/>
      </w:r>
      <w:r w:rsidR="007774B6">
        <w:rPr>
          <w:rFonts w:ascii="Arial" w:hAnsi="Arial" w:cs="Arial"/>
          <w:sz w:val="24"/>
          <w:szCs w:val="24"/>
        </w:rPr>
        <w:instrText>ADDIN CSL_CITATION {"citationItems":[{"id":"ITEM-1","itemData":{"DOI":"10.1006/jmbi.1993.1626","ISSN":"00222836","PMID":"9415161","abstract":"We describe a comparative protein modelling method designed to find the most probable structure for a sequence given its alignment with related structures. The three-dimensional (3D) model is obtained by optimally satisfying spatial restraints derived from the alignment and expressed as probability density functions (pdfs) for the features restrained. For example, the probabilities for main-chain conformations of a modelled residue may be restrained by its residue type, main-chain conformation of an equivalent residue in a related protein, and the local similarity between the two sequences. Several such pdfs are obtained from the correlations between structural features in 17 families of homologous proteins which have been aligned on the basis of their 3D structures. The pdfs restrain Cα-Cα distances, main-chain N-O distances, main-chain and side-chain dihedral angles. A smoothing procedure is used in the derivation of these relationships to minimize the problem of a sparse database. The 3D model of a protein is obtained by optimization of the molecular pdf such that the model violates the input restraints as little as possible. The molecular pdf is derived as a combination of pdfs restraining individual spatial features of the whole molecule. The optimization procedure is a variable target function method that applies the conjugate gradients algorithm to positions of all non-hydrogen atoms. The method is automated and is illustrated by the modelling of trypsin from two other serine proteinases. © 1993 Academic Press Limited.","author":[{"dropping-particle":"","family":"Šali","given":"Andrej","non-dropping-particle":"","parse-names":false,"suffix":""},{"dropping-particle":"","family":"Blundell","given":"Tom L.","non-dropping-particle":"","parse-names":false,"suffix":""}],"container-title":"Journal of Molecular Biology","id":"ITEM-1","issue":"3","issued":{"date-parts":[["1993","12","5"]]},"page":"779-815","publisher":"J Mol Biol","title":"Comparative protein modelling by satisfaction of spatial restraints","type":"article-journal","volume":"234"},"uris":["http://www.mendeley.com/documents/?uuid=80dd5aa1-a6a6-3302-b7ed-97750d946915"]}],"mendeley":{"formattedCitation":"&lt;sup&gt;55&lt;/sup&gt;","plainTextFormattedCitation":"55","previouslyFormattedCitation":"&lt;sup&gt;55&lt;/sup&gt;"},"properties":{"noteIndex":0},"schema":"https://github.com/citation-style-language/schema/raw/master/csl-citation.json"}</w:instrText>
      </w:r>
      <w:r w:rsidRPr="00E1325C">
        <w:rPr>
          <w:rFonts w:ascii="Arial" w:hAnsi="Arial" w:cs="Arial"/>
          <w:sz w:val="24"/>
          <w:szCs w:val="24"/>
        </w:rPr>
        <w:fldChar w:fldCharType="separate"/>
      </w:r>
      <w:r w:rsidR="007774B6" w:rsidRPr="007774B6">
        <w:rPr>
          <w:rFonts w:ascii="Arial" w:hAnsi="Arial" w:cs="Arial"/>
          <w:noProof/>
          <w:sz w:val="24"/>
          <w:szCs w:val="24"/>
          <w:vertAlign w:val="superscript"/>
        </w:rPr>
        <w:t>55</w:t>
      </w:r>
      <w:r w:rsidRPr="00E1325C">
        <w:rPr>
          <w:rFonts w:ascii="Arial" w:hAnsi="Arial" w:cs="Arial"/>
          <w:sz w:val="24"/>
          <w:szCs w:val="24"/>
        </w:rPr>
        <w:fldChar w:fldCharType="end"/>
      </w:r>
      <w:r w:rsidRPr="00E1325C">
        <w:rPr>
          <w:rFonts w:ascii="Arial" w:hAnsi="Arial" w:cs="Arial"/>
          <w:sz w:val="24"/>
          <w:szCs w:val="24"/>
        </w:rPr>
        <w:t xml:space="preserve"> with three structural templates: i) the cryo-EM structure of SARS-CoV-2 S ECD in the open state (PDB: 6VSB)</w:t>
      </w:r>
      <w:r w:rsidRPr="00E1325C">
        <w:rPr>
          <w:rFonts w:ascii="Arial" w:hAnsi="Arial" w:cs="Arial"/>
          <w:sz w:val="24"/>
          <w:szCs w:val="24"/>
        </w:rPr>
        <w:fldChar w:fldCharType="begin" w:fldLock="1"/>
      </w:r>
      <w:r w:rsidR="007774B6">
        <w:rPr>
          <w:rFonts w:ascii="Arial" w:hAnsi="Arial" w:cs="Arial"/>
          <w:sz w:val="24"/>
          <w:szCs w:val="24"/>
        </w:rPr>
        <w:instrText>ADDIN CSL_CITATION {"citationItems":[{"id":"ITEM-1","itemData":{"DOI":"10.1126/science.abb2507","ISSN":"10959203","PMID":"32075877","abstract":"The outbreak of a novel coronavirus (2019-nCoV) represents a pandemic threat that has been declared a public health emergency of international concern. The CoV spike (S) glycoprotein is a key target for vaccines, therapeutic antibodies, and diagnostics. To facilitate medical countermeasure development, we determined a 3.5-angstrom-resolution cryo-electron microscopy structure of the 2019-nCoV S trimer in the prefusion conformation. The predominant state of the trimer has one of the three receptor-binding domains (RBDs) rotated up in a receptor-accessible conformation. We also provide biophysical and structural evidence that the 2019-nCoV S protein binds angiotensin-converting enzyme 2 (ACE2) with higher affinity than does severe acute respiratory syndrome (SARS)-CoV S. Additionally, we tested several published SARS-CoV RBD-specific monoclonal antibodies and found that they do not have appreciable binding to 2019-nCoV S, suggesting that antibody cross-reactivity may be limited between the two RBDs. The structure of 2019-nCoV S should enable the rapid development and evaluation of medical countermeasures to address the ongoing public health crisis.","author":[{"dropping-particle":"","family":"Wrapp","given":"Daniel","non-dropping-particle":"","parse-names":false,"suffix":""},{"dropping-particle":"","family":"Wang","given":"Nianshuang","non-dropping-particle":"","parse-names":false,"suffix":""},{"dropping-particle":"","family":"Corbett","given":"Kizzmekia S.","non-dropping-particle":"","parse-names":false,"suffix":""},{"dropping-particle":"","family":"Goldsmith","given":"Jory A.","non-dropping-particle":"","parse-names":false,"suffix":""},{"dropping-particle":"","family":"Hsieh","given":"Ching Lin","non-dropping-particle":"","parse-names":false,"suffix":""},{"dropping-particle":"","family":"Abiona","given":"Olubukola","non-dropping-particle":"","parse-names":false,"suffix":""},{"dropping-particle":"","family":"Graham","given":"Barney S.","non-dropping-particle":"","parse-names":false,"suffix":""},{"dropping-particle":"","family":"McLellan","given":"Jason S.","non-dropping-particle":"","parse-names":false,"suffix":""}],"container-title":"Science","id":"ITEM-1","issue":"6483","issued":{"date-parts":[["2020"]]},"page":"1260-1263","title":"Cryo-EM structure of the 2019-nCoV spike in the prefusion conformation","type":"article-journal","volume":"367"},"uris":["http://www.mendeley.com/documents/?uuid=f7160f7d-2d82-4a0a-b66f-1211c4e35985"]}],"mendeley":{"formattedCitation":"&lt;sup&gt;28&lt;/sup&gt;","plainTextFormattedCitation":"28","previouslyFormattedCitation":"&lt;sup&gt;28&lt;/sup&gt;"},"properties":{"noteIndex":0},"schema":"https://github.com/citation-style-language/schema/raw/master/csl-citation.json"}</w:instrText>
      </w:r>
      <w:r w:rsidRPr="00E1325C">
        <w:rPr>
          <w:rFonts w:ascii="Arial" w:hAnsi="Arial" w:cs="Arial"/>
          <w:sz w:val="24"/>
          <w:szCs w:val="24"/>
        </w:rPr>
        <w:fldChar w:fldCharType="separate"/>
      </w:r>
      <w:r w:rsidR="007774B6" w:rsidRPr="007774B6">
        <w:rPr>
          <w:rFonts w:ascii="Arial" w:hAnsi="Arial" w:cs="Arial"/>
          <w:noProof/>
          <w:sz w:val="24"/>
          <w:szCs w:val="24"/>
          <w:vertAlign w:val="superscript"/>
        </w:rPr>
        <w:t>28</w:t>
      </w:r>
      <w:r w:rsidRPr="00E1325C">
        <w:rPr>
          <w:rFonts w:ascii="Arial" w:hAnsi="Arial" w:cs="Arial"/>
          <w:sz w:val="24"/>
          <w:szCs w:val="24"/>
        </w:rPr>
        <w:fldChar w:fldCharType="end"/>
      </w:r>
      <w:r w:rsidRPr="00E1325C">
        <w:rPr>
          <w:rFonts w:ascii="Arial" w:hAnsi="Arial" w:cs="Arial"/>
          <w:sz w:val="24"/>
          <w:szCs w:val="24"/>
        </w:rPr>
        <w:t xml:space="preserve">, ii) the NMR structure of SAR-CoV S HR2 domain (PDB: 2FXP) </w:t>
      </w:r>
      <w:r w:rsidRPr="00E1325C">
        <w:rPr>
          <w:rFonts w:ascii="Arial" w:hAnsi="Arial" w:cs="Arial"/>
          <w:sz w:val="24"/>
          <w:szCs w:val="24"/>
        </w:rPr>
        <w:fldChar w:fldCharType="begin" w:fldLock="1"/>
      </w:r>
      <w:r w:rsidR="007774B6">
        <w:rPr>
          <w:rFonts w:ascii="Arial" w:hAnsi="Arial" w:cs="Arial"/>
          <w:sz w:val="24"/>
          <w:szCs w:val="24"/>
        </w:rPr>
        <w:instrText>ADDIN CSL_CITATION {"citationItems":[{"id":"ITEM-1","itemData":{"DOI":"10.1074/jbc.M601174200","ISSN":"00219258","PMID":"16507566","abstract":"The envelope glycoprotein, termed the spike protein, of severe acute respiratory syndrome coronavirus (SARS-CoV) is known to mediate viral entry. Similar to other class 1 viral fusion proteins, the heptad repeat regions of SARS-CoV spike are thought to undergo conformational changes from a prefusion form to a subsequent post-fusion form that enables fusion of the viral and host membranes. Recently, the structure of a post-fusion form of SARS-CoV spike, which consists of isolated domains of heptad repeats 1 and 2 (HR1 and HR2), has been determined by x-ray crystallography. To date there is no structural information for the prefusion conformations of SARS-CoV HR1 and HR2. In this work we present the NMR structure of the HR2 domain (residues 1141-1193) from SARS-CoV (termed S2-HR2) in the presence of the co-solvent trifluoroethanol. We find that in the absence of HR1, S2-HR2 forms a coiled coil symmetric trimer with a complex molecular mass of 18 kDa. The S2-HR2 structure, which is the first example of the prefusion form of coronavirus envelope, supports the current model of viral membrane fusion and gives insight into the design of structure-based antagonists of SARS. © 2006 by The American Society for Biochemistry and Molecular Biology, Inc.","author":[{"dropping-particle":"","family":"Hakansson-McReynolds","given":"Susanna","non-dropping-particle":"","parse-names":false,"suffix":""},{"dropping-particle":"","family":"Jiang","given":"Shaokai","non-dropping-particle":"","parse-names":false,"suffix":""},{"dropping-particle":"","family":"Rong","given":"Lijun","non-dropping-particle":"","parse-names":false,"suffix":""},{"dropping-particle":"","family":"Caffrey","given":"Michael","non-dropping-particle":"","parse-names":false,"suffix":""}],"container-title":"Journal of Biological Chemistry","id":"ITEM-1","issue":"17","issued":{"date-parts":[["2006","4","28"]]},"page":"11965-11971","publisher":"J Biol Chem","title":"Solution structure of the severe acute respiratory syndrome-coronavirus heptad repeat 2 domain in the prefusion state","type":"article-journal","volume":"281"},"uris":["http://www.mendeley.com/documents/?uuid=ed5148d5-6e0e-3699-b8e7-cfbc2712cfc9"]}],"mendeley":{"formattedCitation":"&lt;sup&gt;56&lt;/sup&gt;","plainTextFormattedCitation":"56","previouslyFormattedCitation":"&lt;sup&gt;56&lt;/sup&gt;"},"properties":{"noteIndex":0},"schema":"https://github.com/citation-style-language/schema/raw/master/csl-citation.json"}</w:instrText>
      </w:r>
      <w:r w:rsidRPr="00E1325C">
        <w:rPr>
          <w:rFonts w:ascii="Arial" w:hAnsi="Arial" w:cs="Arial"/>
          <w:sz w:val="24"/>
          <w:szCs w:val="24"/>
        </w:rPr>
        <w:fldChar w:fldCharType="separate"/>
      </w:r>
      <w:r w:rsidR="007774B6" w:rsidRPr="007774B6">
        <w:rPr>
          <w:rFonts w:ascii="Arial" w:hAnsi="Arial" w:cs="Arial"/>
          <w:noProof/>
          <w:sz w:val="24"/>
          <w:szCs w:val="24"/>
          <w:vertAlign w:val="superscript"/>
        </w:rPr>
        <w:t>56</w:t>
      </w:r>
      <w:r w:rsidRPr="00E1325C">
        <w:rPr>
          <w:rFonts w:ascii="Arial" w:hAnsi="Arial" w:cs="Arial"/>
          <w:sz w:val="24"/>
          <w:szCs w:val="24"/>
        </w:rPr>
        <w:fldChar w:fldCharType="end"/>
      </w:r>
      <w:r w:rsidRPr="00E1325C">
        <w:rPr>
          <w:rFonts w:ascii="Arial" w:hAnsi="Arial" w:cs="Arial"/>
          <w:sz w:val="24"/>
          <w:szCs w:val="24"/>
        </w:rPr>
        <w:t>, and iii) the NMR structure of HIV-1 gp-41 TM domain (PDB: 5JYN)</w:t>
      </w:r>
      <w:r w:rsidR="00684B82">
        <w:rPr>
          <w:rFonts w:ascii="Arial" w:hAnsi="Arial" w:cs="Arial"/>
          <w:sz w:val="24"/>
          <w:szCs w:val="24"/>
        </w:rPr>
        <w:t xml:space="preserve"> </w:t>
      </w:r>
      <w:r w:rsidRPr="00E1325C">
        <w:rPr>
          <w:rFonts w:ascii="Arial" w:hAnsi="Arial" w:cs="Arial"/>
          <w:sz w:val="24"/>
          <w:szCs w:val="24"/>
        </w:rPr>
        <w:fldChar w:fldCharType="begin" w:fldLock="1"/>
      </w:r>
      <w:r w:rsidR="007774B6">
        <w:rPr>
          <w:rFonts w:ascii="Arial" w:hAnsi="Arial" w:cs="Arial"/>
          <w:sz w:val="24"/>
          <w:szCs w:val="24"/>
        </w:rPr>
        <w:instrText>ADDIN CSL_CITATION {"citationItems":[{"id":"ITEM-1","itemData":{"DOI":"10.1126/science.aaf7066","ISSN":"10959203","PMID":"27338706","abstract":"HIV-1 envelope spike (Env) is a type I membrane protein that mediates viral entry. We used nuclear magnetic resonance to determine an atomic structure of the transmembrane (TM) domain of HIV-1 Env reconstituted in bicelles that mimic a lipid bilayer.The TM forms a well-ordered trimer that protects a conserved membrane-embedded arginine. An aminoterminal coiled-coil and a carboxyl-terminal hydrophilic core stabilize the trimer. Individual mutations of conserved residues did not disrupt the TM trimer and minimally affected membrane fusion and infectivity. Major changes in the hydrophilic core, however, altered the antibody sensitivity of Env.These results show how a TM domain anchors, stabilizes, and modulates a viral envelope spike and suggest that its influence on Env conformation is an important consideration for HIV-1 immunogen design.","author":[{"dropping-particle":"","family":"Dev","given":"Jyoti","non-dropping-particle":"","parse-names":false,"suffix":""},{"dropping-particle":"","family":"Park","given":"Donghyun","non-dropping-particle":"","parse-names":false,"suffix":""},{"dropping-particle":"","family":"Fu","given":"Qingshan","non-dropping-particle":"","parse-names":false,"suffix":""},{"dropping-particle":"","family":"Chen","given":"Jia","non-dropping-particle":"","parse-names":false,"suffix":""},{"dropping-particle":"","family":"Ha","given":"Heather Jiwon","non-dropping-particle":"","parse-names":false,"suffix":""},{"dropping-particle":"","family":"Ghantous","given":"Fadi","non-dropping-particle":"","parse-names":false,"suffix":""},{"dropping-particle":"","family":"Herrmann","given":"Tobias","non-dropping-particle":"","parse-names":false,"suffix":""},{"dropping-particle":"","family":"Chang","given":"Weiting","non-dropping-particle":"","parse-names":false,"suffix":""},{"dropping-particle":"","family":"Liu","given":"Zhijun","non-dropping-particle":"","parse-names":false,"suffix":""},{"dropping-particle":"","family":"Frey","given":"Gary","non-dropping-particle":"","parse-names":false,"suffix":""},{"dropping-particle":"","family":"Seaman","given":"Michael S.","non-dropping-particle":"","parse-names":false,"suffix":""},{"dropping-particle":"","family":"Chen","given":"Bing","non-dropping-particle":"","parse-names":false,"suffix":""},{"dropping-particle":"","family":"Chou","given":"James J.","non-dropping-particle":"","parse-names":false,"suffix":""}],"container-title":"Science","id":"ITEM-1","issue":"6295","issued":{"date-parts":[["2016","7","8"]]},"page":"172-175","publisher":"American Association for the Advancement of Science","title":"Structural basis for membrane anchoring of HIV-1 envelope spike","type":"article-journal","volume":"353"},"uris":["http://www.mendeley.com/documents/?uuid=273b891f-667a-3f01-a5d6-34a6b1f5729a"]}],"mendeley":{"formattedCitation":"&lt;sup&gt;57&lt;/sup&gt;","plainTextFormattedCitation":"57","previouslyFormattedCitation":"&lt;sup&gt;57&lt;/sup&gt;"},"properties":{"noteIndex":0},"schema":"https://github.com/citation-style-language/schema/raw/master/csl-citation.json"}</w:instrText>
      </w:r>
      <w:r w:rsidRPr="00E1325C">
        <w:rPr>
          <w:rFonts w:ascii="Arial" w:hAnsi="Arial" w:cs="Arial"/>
          <w:sz w:val="24"/>
          <w:szCs w:val="24"/>
        </w:rPr>
        <w:fldChar w:fldCharType="separate"/>
      </w:r>
      <w:r w:rsidR="007774B6" w:rsidRPr="007774B6">
        <w:rPr>
          <w:rFonts w:ascii="Arial" w:hAnsi="Arial" w:cs="Arial"/>
          <w:noProof/>
          <w:sz w:val="24"/>
          <w:szCs w:val="24"/>
          <w:vertAlign w:val="superscript"/>
        </w:rPr>
        <w:t>57</w:t>
      </w:r>
      <w:r w:rsidRPr="00E1325C">
        <w:rPr>
          <w:rFonts w:ascii="Arial" w:hAnsi="Arial" w:cs="Arial"/>
          <w:sz w:val="24"/>
          <w:szCs w:val="24"/>
        </w:rPr>
        <w:fldChar w:fldCharType="end"/>
      </w:r>
      <w:r w:rsidRPr="00E1325C">
        <w:rPr>
          <w:rFonts w:ascii="Arial" w:hAnsi="Arial" w:cs="Arial"/>
          <w:sz w:val="24"/>
          <w:szCs w:val="24"/>
        </w:rPr>
        <w:t xml:space="preserve">. </w:t>
      </w:r>
      <w:r w:rsidRPr="00E00903">
        <w:rPr>
          <w:rFonts w:ascii="Arial" w:hAnsi="Arial" w:cs="Arial"/>
          <w:sz w:val="24"/>
          <w:szCs w:val="24"/>
        </w:rPr>
        <w:t>Missing loops in the N-terminal domain and the C-terminal of the ECD were modelled using the cryo-EM structure of S ECD in the closed state, which was resolved at a higher resolution (PDB: 6XR8)</w:t>
      </w:r>
      <w:r w:rsidR="00684B82">
        <w:rPr>
          <w:rFonts w:ascii="Arial" w:hAnsi="Arial" w:cs="Arial"/>
          <w:sz w:val="24"/>
          <w:szCs w:val="24"/>
        </w:rPr>
        <w:t xml:space="preserve"> </w:t>
      </w:r>
      <w:r>
        <w:rPr>
          <w:rFonts w:ascii="Arial" w:hAnsi="Arial" w:cs="Arial"/>
          <w:sz w:val="24"/>
          <w:szCs w:val="24"/>
        </w:rPr>
        <w:fldChar w:fldCharType="begin" w:fldLock="1"/>
      </w:r>
      <w:r w:rsidR="007774B6">
        <w:rPr>
          <w:rFonts w:ascii="Arial" w:hAnsi="Arial" w:cs="Arial"/>
          <w:sz w:val="24"/>
          <w:szCs w:val="24"/>
        </w:rPr>
        <w:instrText>ADDIN CSL_CITATION {"citationItems":[{"id":"ITEM-1","itemData":{"DOI":"10.1126/science.abd4251","ISSN":"10959203","PMID":"32694201","abstract":"Intervention strategies are urgently needed to control the severe acute respiratory syndrome coronavirus 2 (SARS-CoV-2) pandemic. The trimeric viral spike (S) protein catalyzes fusion between viral and target cell membranes to initiate infection. Here, we report two cryo-electron microscopy structures derived from a preparation of the full-length S protein, representing its prefusion (2.9-angstrom resolution) and postfusion (3.0-angstrom resolution) conformations, respectively. The spontaneous transition to the postfusion state is independent of target cells. The prefusion trimer has three receptor-binding domains clamped down by a segment adjacent to the fusion peptide. The postfusion structure is strategically decorated by N-linked glycans, suggesting possible protective roles against host immune responses and harsh external conditions. These findings advance our understanding of SARS-CoV-2 entry and may guide the development of vaccines and therapeutics.","author":[{"dropping-particle":"","family":"Cai","given":"Yongfei","non-dropping-particle":"","parse-names":false,"suffix":""},{"dropping-particle":"","family":"Zhang","given":"Jun","non-dropping-particle":"","parse-names":false,"suffix":""},{"dropping-particle":"","family":"Xiao","given":"Tianshu","non-dropping-particle":"","parse-names":false,"suffix":""},{"dropping-particle":"","family":"Peng","given":"Hanqin","non-dropping-particle":"","parse-names":false,"suffix":""},{"dropping-particle":"","family":"Sterling","given":"Sarah M.","non-dropping-particle":"","parse-names":false,"suffix":""},{"dropping-particle":"","family":"Walsh","given":"Richard M.","non-dropping-particle":"","parse-names":false,"suffix":""},{"dropping-particle":"","family":"Rawson","given":"Shaun","non-dropping-particle":"","parse-names":false,"suffix":""},{"dropping-particle":"","family":"Rits-Volloch","given":"Sophia","non-dropping-particle":"","parse-names":false,"suffix":""},{"dropping-particle":"","family":"Chen","given":"Bing","non-dropping-particle":"","parse-names":false,"suffix":""}],"container-title":"Science","id":"ITEM-1","issue":"6511","issued":{"date-parts":[["2020","9","25"]]},"publisher":"American Association for the Advancement of Science","title":"Distinct conformational states of SARS-CoV-2 spike protein","type":"article-journal","volume":"369"},"uris":["http://www.mendeley.com/documents/?uuid=b36ea076-10b3-3a28-8de2-9b87315f7712"]}],"mendeley":{"formattedCitation":"&lt;sup&gt;58&lt;/sup&gt;","plainTextFormattedCitation":"58","previouslyFormattedCitation":"&lt;sup&gt;58&lt;/sup&gt;"},"properties":{"noteIndex":0},"schema":"https://github.com/citation-style-language/schema/raw/master/csl-citation.json"}</w:instrText>
      </w:r>
      <w:r>
        <w:rPr>
          <w:rFonts w:ascii="Arial" w:hAnsi="Arial" w:cs="Arial"/>
          <w:sz w:val="24"/>
          <w:szCs w:val="24"/>
        </w:rPr>
        <w:fldChar w:fldCharType="separate"/>
      </w:r>
      <w:r w:rsidR="007774B6" w:rsidRPr="007774B6">
        <w:rPr>
          <w:rFonts w:ascii="Arial" w:hAnsi="Arial" w:cs="Arial"/>
          <w:noProof/>
          <w:sz w:val="24"/>
          <w:szCs w:val="24"/>
          <w:vertAlign w:val="superscript"/>
        </w:rPr>
        <w:t>58</w:t>
      </w:r>
      <w:r>
        <w:rPr>
          <w:rFonts w:ascii="Arial" w:hAnsi="Arial" w:cs="Arial"/>
          <w:sz w:val="24"/>
          <w:szCs w:val="24"/>
        </w:rPr>
        <w:fldChar w:fldCharType="end"/>
      </w:r>
      <w:r w:rsidRPr="00E00903">
        <w:rPr>
          <w:rFonts w:ascii="Arial" w:hAnsi="Arial" w:cs="Arial"/>
          <w:sz w:val="24"/>
          <w:szCs w:val="24"/>
        </w:rPr>
        <w:t xml:space="preserve">. </w:t>
      </w:r>
      <w:r w:rsidRPr="00E1325C">
        <w:rPr>
          <w:rFonts w:ascii="Arial" w:hAnsi="Arial" w:cs="Arial"/>
          <w:sz w:val="24"/>
          <w:szCs w:val="24"/>
        </w:rPr>
        <w:t>A total of ten models were built and three top models (based on the lowest discrete optimized protein energy score</w:t>
      </w:r>
      <w:r w:rsidR="00684B82">
        <w:rPr>
          <w:rFonts w:ascii="Arial" w:hAnsi="Arial" w:cs="Arial"/>
          <w:sz w:val="24"/>
          <w:szCs w:val="24"/>
        </w:rPr>
        <w:t xml:space="preserve"> </w:t>
      </w:r>
      <w:r w:rsidRPr="00E1325C">
        <w:rPr>
          <w:rFonts w:ascii="Arial" w:hAnsi="Arial" w:cs="Arial"/>
          <w:sz w:val="24"/>
          <w:szCs w:val="24"/>
        </w:rPr>
        <w:fldChar w:fldCharType="begin" w:fldLock="1"/>
      </w:r>
      <w:r w:rsidR="007774B6">
        <w:rPr>
          <w:rFonts w:ascii="Arial" w:hAnsi="Arial" w:cs="Arial"/>
          <w:sz w:val="24"/>
          <w:szCs w:val="24"/>
        </w:rPr>
        <w:instrText xml:space="preserve">ADDIN CSL_CITATION {"citationItems":[{"id":"ITEM-1","itemData":{"DOI":"10.1110/ps.062095806","ISSN":"09618368","PMID":"16751606","abstract":"Reliable prediction of model accuracy is an important unsolved problem in protein structure modeling. To address this problem, we studied 24 individual assessment scores, including physics-based energy functions, statistical potentials, and machine learning-based scoring functions. Individual scores were also used to construct </w:instrText>
      </w:r>
      <w:r w:rsidR="007774B6">
        <w:rPr>
          <w:rFonts w:ascii="Cambria Math" w:hAnsi="Cambria Math" w:cs="Cambria Math"/>
          <w:sz w:val="24"/>
          <w:szCs w:val="24"/>
        </w:rPr>
        <w:instrText>∼</w:instrText>
      </w:r>
      <w:r w:rsidR="007774B6">
        <w:rPr>
          <w:rFonts w:ascii="Arial" w:hAnsi="Arial" w:cs="Arial"/>
          <w:sz w:val="24"/>
          <w:szCs w:val="24"/>
        </w:rPr>
        <w:instrText>85,000 composite scoring functions using support vector machine (SVM) regression. The scores were tested for their abilities to identify the most native-like models from a set of 6000 comparative models of 20 representative protein structures. Each of the 20 targets was modeled using a template of &lt;30% sequence identity, corresponding to challenging comparative modeling cases. The best SVM score outperformed all individual scores by decreasing the average RMSD difference between the model identified as the best of the set and the model with the lowest RMSD (ΔRMSD) from 0.63 Å to 0.45 Å, while having a higher Pearson correlation coefficient to RMSD (r = 0.87) than any other tested score. The most accurate score is based on a combination of the DOPE non-hydrogen atom statistical potential; surface, contact, and combined statistical potentials from MODPIPE; and two PSIPRED/DSSP scores. It was implemented in the SVMod program, which can now be applied to select the final model in various modeling problems, including fold assignment, target-template alignment, and loop modeling. Published by Cold Spring Harbor Laboratory Press. Copyright © 2006 The Protein Society.","author":[{"dropping-particle":"","family":"Eramian","given":"David","non-dropping-particle":"","parse-names":false,"suffix":""},{"dropping-particle":"","family":"Shen","given":"Min-yi","non-dropping-particle":"","parse-names":false,"suffix":""},{"dropping-particle":"","family":"Devos","given":"Damien","non-dropping-particle":"","parse-names":false,"suffix":""},{"dropping-particle":"","family":"Melo","given":"Francisco","non-dropping-particle":"","parse-names":false,"suffix":""},{"dropping-particle":"","family":"Sali","given":"Andrej","non-dropping-particle":"","parse-names":false,"suffix":""},{"dropping-particle":"","family":"Marti-Renom","given":"Marc A.","non-dropping-particle":"","parse-names":false,"suffix":""}],"container-title":"Protein Science","id":"ITEM-1","issue":"7","issued":{"date-parts":[["2006","7"]]},"page":"1653-1666","publisher":"Wiley","title":"A composite score for predicting errors in protein structure models","type":"article-journal","volume":"15"},"uris":["http://www.mendeley.com/documents/?uuid=fadafee7-978d-3de3-b696-6ffa2f5faf0d"]}],"mendeley":{"formattedCitation":"&lt;sup&gt;59&lt;/sup&gt;","plainTextFormattedCitation":"59","previouslyFormattedCitation":"&lt;sup&gt;59&lt;/sup&gt;"},"properties":{"noteIndex":0},"schema":"https://github.com/citation-style-language/schema/raw/master/csl-citation.json"}</w:instrText>
      </w:r>
      <w:r w:rsidRPr="00E1325C">
        <w:rPr>
          <w:rFonts w:ascii="Arial" w:hAnsi="Arial" w:cs="Arial"/>
          <w:sz w:val="24"/>
          <w:szCs w:val="24"/>
        </w:rPr>
        <w:fldChar w:fldCharType="separate"/>
      </w:r>
      <w:r w:rsidR="007774B6" w:rsidRPr="007774B6">
        <w:rPr>
          <w:rFonts w:ascii="Arial" w:hAnsi="Arial" w:cs="Arial"/>
          <w:noProof/>
          <w:sz w:val="24"/>
          <w:szCs w:val="24"/>
          <w:vertAlign w:val="superscript"/>
        </w:rPr>
        <w:t>59</w:t>
      </w:r>
      <w:r w:rsidRPr="00E1325C">
        <w:rPr>
          <w:rFonts w:ascii="Arial" w:hAnsi="Arial" w:cs="Arial"/>
          <w:sz w:val="24"/>
          <w:szCs w:val="24"/>
        </w:rPr>
        <w:fldChar w:fldCharType="end"/>
      </w:r>
      <w:r w:rsidR="00684B82">
        <w:rPr>
          <w:rFonts w:ascii="Arial" w:hAnsi="Arial" w:cs="Arial"/>
          <w:sz w:val="24"/>
          <w:szCs w:val="24"/>
        </w:rPr>
        <w:t>)</w:t>
      </w:r>
      <w:r w:rsidRPr="00E1325C">
        <w:rPr>
          <w:rFonts w:ascii="Arial" w:hAnsi="Arial" w:cs="Arial"/>
          <w:sz w:val="24"/>
          <w:szCs w:val="24"/>
        </w:rPr>
        <w:t xml:space="preserve"> were subjected to further stereochemical assessment using Ramachandran analysis</w:t>
      </w:r>
      <w:r w:rsidR="00684B82">
        <w:rPr>
          <w:rFonts w:ascii="Arial" w:hAnsi="Arial" w:cs="Arial"/>
          <w:sz w:val="24"/>
          <w:szCs w:val="24"/>
        </w:rPr>
        <w:t xml:space="preserve"> </w:t>
      </w:r>
      <w:r w:rsidRPr="00E1325C">
        <w:rPr>
          <w:rFonts w:ascii="Arial" w:hAnsi="Arial" w:cs="Arial"/>
          <w:sz w:val="24"/>
          <w:szCs w:val="24"/>
        </w:rPr>
        <w:fldChar w:fldCharType="begin" w:fldLock="1"/>
      </w:r>
      <w:r w:rsidR="007774B6">
        <w:rPr>
          <w:rFonts w:ascii="Arial" w:hAnsi="Arial" w:cs="Arial"/>
          <w:sz w:val="24"/>
          <w:szCs w:val="24"/>
        </w:rPr>
        <w:instrText>ADDIN CSL_CITATION {"citationItems":[{"id":"ITEM-1","itemData":{"DOI":"10.1016/S0022-2836(63)80023-6","ISSN":"00222836","PMID":"13990617","author":[{"dropping-particle":"","family":"Ramachandran","given":"G. N.","non-dropping-particle":"","parse-names":false,"suffix":""},{"dropping-particle":"","family":"Ramakrishnan","given":"C.","non-dropping-particle":"","parse-names":false,"suffix":""},{"dropping-particle":"","family":"Sasisekharan","given":"V.","non-dropping-particle":"","parse-names":false,"suffix":""}],"container-title":"Journal of Molecular Biology","id":"ITEM-1","issue":"1","issued":{"date-parts":[["1963"]]},"page":"95-99","publisher":"J Mol Biol","title":"Stereochemistry of polypeptide chain configurations","type":"article","volume":"7"},"uris":["http://www.mendeley.com/documents/?uuid=d65746ab-3468-3b4b-8d3b-506eaf587e13"]}],"mendeley":{"formattedCitation":"&lt;sup&gt;60&lt;/sup&gt;","plainTextFormattedCitation":"60","previouslyFormattedCitation":"&lt;sup&gt;60&lt;/sup&gt;"},"properties":{"noteIndex":0},"schema":"https://github.com/citation-style-language/schema/raw/master/csl-citation.json"}</w:instrText>
      </w:r>
      <w:r w:rsidRPr="00E1325C">
        <w:rPr>
          <w:rFonts w:ascii="Arial" w:hAnsi="Arial" w:cs="Arial"/>
          <w:sz w:val="24"/>
          <w:szCs w:val="24"/>
        </w:rPr>
        <w:fldChar w:fldCharType="separate"/>
      </w:r>
      <w:r w:rsidR="007774B6" w:rsidRPr="007774B6">
        <w:rPr>
          <w:rFonts w:ascii="Arial" w:hAnsi="Arial" w:cs="Arial"/>
          <w:noProof/>
          <w:sz w:val="24"/>
          <w:szCs w:val="24"/>
          <w:vertAlign w:val="superscript"/>
        </w:rPr>
        <w:t>60</w:t>
      </w:r>
      <w:r w:rsidRPr="00E1325C">
        <w:rPr>
          <w:rFonts w:ascii="Arial" w:hAnsi="Arial" w:cs="Arial"/>
          <w:sz w:val="24"/>
          <w:szCs w:val="24"/>
        </w:rPr>
        <w:fldChar w:fldCharType="end"/>
      </w:r>
      <w:r w:rsidRPr="00E1325C">
        <w:rPr>
          <w:rFonts w:ascii="Arial" w:hAnsi="Arial" w:cs="Arial"/>
          <w:sz w:val="24"/>
          <w:szCs w:val="24"/>
        </w:rPr>
        <w:t xml:space="preserve">. The model with the lowest number of </w:t>
      </w:r>
      <w:r w:rsidRPr="00E1325C">
        <w:rPr>
          <w:rFonts w:ascii="Arial" w:hAnsi="Arial" w:cs="Arial"/>
          <w:sz w:val="24"/>
          <w:szCs w:val="24"/>
        </w:rPr>
        <w:lastRenderedPageBreak/>
        <w:t>outliers was then selected. M</w:t>
      </w:r>
      <w:r>
        <w:rPr>
          <w:rFonts w:ascii="Arial" w:hAnsi="Arial" w:cs="Arial"/>
          <w:sz w:val="24"/>
          <w:szCs w:val="24"/>
        </w:rPr>
        <w:t>an-</w:t>
      </w:r>
      <w:r w:rsidRPr="00E1325C">
        <w:rPr>
          <w:rFonts w:ascii="Arial" w:hAnsi="Arial" w:cs="Arial"/>
          <w:sz w:val="24"/>
          <w:szCs w:val="24"/>
        </w:rPr>
        <w:t xml:space="preserve">9 glycans were added to </w:t>
      </w:r>
      <w:r>
        <w:rPr>
          <w:rFonts w:ascii="Arial" w:hAnsi="Arial" w:cs="Arial"/>
          <w:sz w:val="24"/>
          <w:szCs w:val="24"/>
        </w:rPr>
        <w:t xml:space="preserve">all </w:t>
      </w:r>
      <w:r w:rsidRPr="00E1325C">
        <w:rPr>
          <w:rFonts w:ascii="Arial" w:hAnsi="Arial" w:cs="Arial"/>
          <w:sz w:val="24"/>
          <w:szCs w:val="24"/>
        </w:rPr>
        <w:t>2</w:t>
      </w:r>
      <w:r>
        <w:rPr>
          <w:rFonts w:ascii="Arial" w:hAnsi="Arial" w:cs="Arial"/>
          <w:sz w:val="24"/>
          <w:szCs w:val="24"/>
        </w:rPr>
        <w:t>2</w:t>
      </w:r>
      <w:r w:rsidRPr="00E1325C">
        <w:rPr>
          <w:rFonts w:ascii="Arial" w:hAnsi="Arial" w:cs="Arial"/>
          <w:sz w:val="24"/>
          <w:szCs w:val="24"/>
        </w:rPr>
        <w:t xml:space="preserve"> glycosylation sites using the CHARMM-GUI Glycan Reader and </w:t>
      </w:r>
      <w:proofErr w:type="spellStart"/>
      <w:r w:rsidRPr="00E1325C">
        <w:rPr>
          <w:rFonts w:ascii="Arial" w:hAnsi="Arial" w:cs="Arial"/>
          <w:sz w:val="24"/>
          <w:szCs w:val="24"/>
        </w:rPr>
        <w:t>Modeller</w:t>
      </w:r>
      <w:proofErr w:type="spellEnd"/>
      <w:r w:rsidRPr="00E1325C">
        <w:rPr>
          <w:rFonts w:ascii="Arial" w:hAnsi="Arial" w:cs="Arial"/>
          <w:sz w:val="24"/>
          <w:szCs w:val="24"/>
        </w:rPr>
        <w:t xml:space="preserve"> web server</w:t>
      </w:r>
      <w:r w:rsidR="00684B82">
        <w:rPr>
          <w:rFonts w:ascii="Arial" w:hAnsi="Arial" w:cs="Arial"/>
          <w:sz w:val="24"/>
          <w:szCs w:val="24"/>
        </w:rPr>
        <w:t xml:space="preserve"> </w:t>
      </w:r>
      <w:r w:rsidRPr="00E1325C">
        <w:rPr>
          <w:rFonts w:ascii="Arial" w:hAnsi="Arial" w:cs="Arial"/>
          <w:sz w:val="24"/>
          <w:szCs w:val="24"/>
        </w:rPr>
        <w:fldChar w:fldCharType="begin" w:fldLock="1"/>
      </w:r>
      <w:r w:rsidR="007774B6">
        <w:rPr>
          <w:rFonts w:ascii="Arial" w:hAnsi="Arial" w:cs="Arial"/>
          <w:sz w:val="24"/>
          <w:szCs w:val="24"/>
        </w:rPr>
        <w:instrText>ADDIN CSL_CITATION {"citationItems":[{"id":"ITEM-1","itemData":{"DOI":"10.1093/glycob/cwz003","ISSN":"14602423","PMID":"30689864","abstract":"Characterizing glycans and glycoconjugates in the context of three-dimensional structures is important in understanding their biological roles and developing efficient therapeutic agents. Computational modeling and molecular simulation have become an essential tool complementary to experimental methods. Here, we present a computational tool, Glycan Modeler for in silico N-/O-glycosylation of the target protein and generation of carbohydrate-only systems. In our previous study, we developed Glycan Reader, a web-based tool for detecting carbohydrate molecules from a PDB structure and generation of simulation system and input files. As integrated into Glycan Reader in CHARMM-GUI, Glycan Modeler (Glycan Reader and Modeler) enables to generate the structures of glycans and glycoconjugates for given glycan sequences and glycosylation sites using PDB glycan template structures from Glycan Fragment Database (http://glycanstructure.org/ fragment-db). Our benchmark tests demonstrate the universal applicability of Glycan Reader and Modeler to various glycan sequences and target proteins. We also investigated the structural properties of modeled glycan structures by running 2-us molecular dynamics simulations of HIV envelope protein. The simulations show that the modeled glycan structures built by Glycan Reader and Modeler have the similar structural features compared to the ones solved by X-ray crystallography. We also describe the representative examples of glycoconjugate modeling with video demos to illustrate the practical applications of Glycan Reader and Modeler. Glycan Reader and Modeler is freely available at http://charmm-gui.org/input/glycan.","author":[{"dropping-particle":"","family":"Park","given":"Sang Jun","non-dropping-particle":"","parse-names":false,"suffix":""},{"dropping-particle":"","family":"Lee","given":"Jumin","non-dropping-particle":"","parse-names":false,"suffix":""},{"dropping-particle":"","family":"Qi","given":"Yifei","non-dropping-particle":"","parse-names":false,"suffix":""},{"dropping-particle":"","family":"Kern","given":"Nathan R.","non-dropping-particle":"","parse-names":false,"suffix":""},{"dropping-particle":"","family":"Lee","given":"Hui Sun","non-dropping-particle":"","parse-names":false,"suffix":""},{"dropping-particle":"","family":"Jo","given":"Sunhwan","non-dropping-particle":"","parse-names":false,"suffix":""},{"dropping-particle":"","family":"Joung","given":"Insuk","non-dropping-particle":"","parse-names":false,"suffix":""},{"dropping-particle":"","family":"Joo","given":"Keehyung","non-dropping-particle":"","parse-names":false,"suffix":""},{"dropping-particle":"","family":"Lee","given":"Jooyoung","non-dropping-particle":"","parse-names":false,"suffix":""},{"dropping-particle":"","family":"Im","given":"Wonpil","non-dropping-particle":"","parse-names":false,"suffix":""}],"container-title":"Glycobiology","id":"ITEM-1","issue":"4","issued":{"date-parts":[["2019","2","26"]]},"page":"320-331","publisher":"Oxford University Press","title":"CHARMM-GUI Glycan Modeler for modeling and simulation of carbohydrates and glycoconjugates","type":"article-journal","volume":"29"},"uris":["http://www.mendeley.com/documents/?uuid=3a915a42-e7e1-38c7-8594-353228551636"]}],"mendeley":{"formattedCitation":"&lt;sup&gt;61&lt;/sup&gt;","plainTextFormattedCitation":"61","previouslyFormattedCitation":"&lt;sup&gt;61&lt;/sup&gt;"},"properties":{"noteIndex":0},"schema":"https://github.com/citation-style-language/schema/raw/master/csl-citation.json"}</w:instrText>
      </w:r>
      <w:r w:rsidRPr="00E1325C">
        <w:rPr>
          <w:rFonts w:ascii="Arial" w:hAnsi="Arial" w:cs="Arial"/>
          <w:sz w:val="24"/>
          <w:szCs w:val="24"/>
        </w:rPr>
        <w:fldChar w:fldCharType="separate"/>
      </w:r>
      <w:r w:rsidR="007774B6" w:rsidRPr="007774B6">
        <w:rPr>
          <w:rFonts w:ascii="Arial" w:hAnsi="Arial" w:cs="Arial"/>
          <w:noProof/>
          <w:sz w:val="24"/>
          <w:szCs w:val="24"/>
          <w:vertAlign w:val="superscript"/>
        </w:rPr>
        <w:t>61</w:t>
      </w:r>
      <w:r w:rsidRPr="00E1325C">
        <w:rPr>
          <w:rFonts w:ascii="Arial" w:hAnsi="Arial" w:cs="Arial"/>
          <w:sz w:val="24"/>
          <w:szCs w:val="24"/>
        </w:rPr>
        <w:fldChar w:fldCharType="end"/>
      </w:r>
      <w:r w:rsidRPr="00E1325C">
        <w:rPr>
          <w:rFonts w:ascii="Arial" w:hAnsi="Arial" w:cs="Arial"/>
          <w:sz w:val="24"/>
          <w:szCs w:val="24"/>
        </w:rPr>
        <w:t xml:space="preserve">. Three cysteine residues on the C-terminal domain (C1236, C1240 and C1243) were palmitoylated as they have been shown to be important in cell fusion </w:t>
      </w:r>
      <w:r w:rsidRPr="00E1325C">
        <w:rPr>
          <w:rFonts w:ascii="Arial" w:hAnsi="Arial" w:cs="Arial"/>
          <w:sz w:val="24"/>
          <w:szCs w:val="24"/>
        </w:rPr>
        <w:fldChar w:fldCharType="begin" w:fldLock="1"/>
      </w:r>
      <w:r w:rsidR="007774B6">
        <w:rPr>
          <w:rFonts w:ascii="Arial" w:hAnsi="Arial" w:cs="Arial"/>
          <w:sz w:val="24"/>
          <w:szCs w:val="24"/>
        </w:rPr>
        <w:instrText>ADDIN CSL_CITATION {"citationItems":[{"id":"ITEM-1","itemData":{"DOI":"10.1016/j.virol.2006.10.034","ISSN":"00426822","PMID":"17134730","abstract":"The SARS-coronavirus (SARS-CoV) is the etiological agent of the severe acute respiratory syndrome (SARS). The SARS-CoV spike (S) glycoprotein mediates membrane fusion events during virus entry and virus-induced cell-to-cell fusion. The cytoplasmic portion of the S glycoprotein contains four cysteine-rich amino acid clusters. Individual cysteine clusters were altered via cysteine-to-alanine amino acid replacement and the modified S glycoproteins were tested for their transport to cell-surfaces and ability to cause cell fusion in transient transfection assays. Mutagenesis of the cysteine cluster I, located immediately proximal to the predicted transmembrane, domain did not appreciably reduce cell-surface expression, although S-mediated cell fusion was reduced by more than 50% in comparison to the wild-type S. Similarly, mutagenesis of the cysteine cluster II located adjacent to cluster I reduced S-mediated cell fusion by more than 60% compared to the wild-type S, while cell-surface expression was reduced by less than 20%. Mutagenesis of cysteine clusters III and IV did not appreciably affect S cell-surface expression or S-mediated cell fusion. The wild-type S was palmitoylated as evidenced by the efficient incorporation of 3H-palmitic acid in wild-type S molecules. S glycoprotein palmitoylation was significantly reduced for mutant glycoproteins having cluster I and II cysteine changes, but was largely unaffected for cysteine cluster III and IV mutants. These results show that the S cytoplasmic domain is palmitoylated and that palmitoylation of the membrane proximal cysteine clusters I and II may be important for S-mediated cell fusion. © 2006 Elsevier Inc. All rights reserved.","author":[{"dropping-particle":"","family":"Petit","given":"Chad M.","non-dropping-particle":"","parse-names":false,"suffix":""},{"dropping-particle":"","family":"Chouljenko","given":"Vladimir N.","non-dropping-particle":"","parse-names":false,"suffix":""},{"dropping-particle":"","family":"Iyer","given":"Arun","non-dropping-particle":"","parse-names":false,"suffix":""},{"dropping-particle":"","family":"Colgrove","given":"Robin","non-dropping-particle":"","parse-names":false,"suffix":""},{"dropping-particle":"","family":"Farzan","given":"Michael","non-dropping-particle":"","parse-names":false,"suffix":""},{"dropping-particle":"","family":"Knipe","given":"David M.","non-dropping-particle":"","parse-names":false,"suffix":""},{"dropping-particle":"","family":"Kousoulas","given":"K. G.","non-dropping-particle":"","parse-names":false,"suffix":""}],"container-title":"Virology","id":"ITEM-1","issue":"2","issued":{"date-parts":[["2007","4","10"]]},"page":"264-274","publisher":"Virology","title":"Palmitoylation of the cysteine-rich endodomain of the SARS-coronavirus spike glycoprotein is important for spike-mediated cell fusion","type":"article-journal","volume":"360"},"uris":["http://www.mendeley.com/documents/?uuid=849dd300-726f-397c-a4c3-35ae1db8adbd"]}],"mendeley":{"formattedCitation":"&lt;sup&gt;62&lt;/sup&gt;","plainTextFormattedCitation":"62","previouslyFormattedCitation":"&lt;sup&gt;62&lt;/sup&gt;"},"properties":{"noteIndex":0},"schema":"https://github.com/citation-style-language/schema/raw/master/csl-citation.json"}</w:instrText>
      </w:r>
      <w:r w:rsidRPr="00E1325C">
        <w:rPr>
          <w:rFonts w:ascii="Arial" w:hAnsi="Arial" w:cs="Arial"/>
          <w:sz w:val="24"/>
          <w:szCs w:val="24"/>
        </w:rPr>
        <w:fldChar w:fldCharType="separate"/>
      </w:r>
      <w:r w:rsidR="007774B6" w:rsidRPr="007774B6">
        <w:rPr>
          <w:rFonts w:ascii="Arial" w:hAnsi="Arial" w:cs="Arial"/>
          <w:noProof/>
          <w:sz w:val="24"/>
          <w:szCs w:val="24"/>
          <w:vertAlign w:val="superscript"/>
        </w:rPr>
        <w:t>62</w:t>
      </w:r>
      <w:r w:rsidRPr="00E1325C">
        <w:rPr>
          <w:rFonts w:ascii="Arial" w:hAnsi="Arial" w:cs="Arial"/>
          <w:sz w:val="24"/>
          <w:szCs w:val="24"/>
        </w:rPr>
        <w:fldChar w:fldCharType="end"/>
      </w:r>
      <w:r w:rsidRPr="00E1325C">
        <w:rPr>
          <w:rFonts w:ascii="Arial" w:hAnsi="Arial" w:cs="Arial"/>
          <w:sz w:val="24"/>
          <w:szCs w:val="24"/>
        </w:rPr>
        <w:t>. The glycosylated S protein model was then embedded into a model ERGIC membrane built using CHARMM-GUI Membrane Builder</w:t>
      </w:r>
      <w:r w:rsidR="0011604D">
        <w:rPr>
          <w:rFonts w:ascii="Arial" w:hAnsi="Arial" w:cs="Arial"/>
          <w:sz w:val="24"/>
          <w:szCs w:val="24"/>
        </w:rPr>
        <w:t xml:space="preserve"> </w:t>
      </w:r>
      <w:r w:rsidRPr="00E1325C">
        <w:rPr>
          <w:rFonts w:ascii="Arial" w:hAnsi="Arial" w:cs="Arial"/>
          <w:sz w:val="24"/>
          <w:szCs w:val="24"/>
        </w:rPr>
        <w:fldChar w:fldCharType="begin" w:fldLock="1"/>
      </w:r>
      <w:r w:rsidR="007774B6">
        <w:rPr>
          <w:rFonts w:ascii="Arial" w:hAnsi="Arial" w:cs="Arial"/>
          <w:sz w:val="24"/>
          <w:szCs w:val="24"/>
        </w:rPr>
        <w:instrText>ADDIN CSL_CITATION {"citationItems":[{"id":"ITEM-1","itemData":{"DOI":"10.1021/acs.jctc.8b01066","ISSN":"15499626","PMID":"30525595","abstract":"Glycolipids (such as glycoglycerolipids, glycosphingolipids, and glycosylphosphatidylinositol) and lipoglycans (such as lipopolysaccharides (LPS), lipooligosaccharides (LOS), mycobacterial lipoarabinomannan, and mycoplasma lipoglycans) are typically found on the surface of cell membranes and play crucial roles in various cellular functions. Characterizing their structure and dynamics at the molecular level is essential to understand their biological roles, but systematic generation of glycolipid and lipoglycan structures is challenging because of great variations in lipid structures and glycan sequences (i.e., carbohydrate types and their linkages). To facilitate the generation of all-atom glycolipid/LPS/LOS structures, we have developed Glycolipid Modeler and LPS Modeler in CHARMM-GUI (http://www.charmm-gui.org), a web-based interface that simplifies building of complex biological simulation systems. In addition, we have incorporated these modules into Membrane Builder so that users can readily build a complex symmetric or asymmetric biological membrane system with various glycolipids and LPS/LOS. These tools are expected to be useful in innovative and novel glycolipid/LPS/LOS modeling and simulation research by easing tedious and intricate steps in modeling complex biological systems and shall provide insight into structures, dynamics, and underlying mechanisms of complex glycolipid-/LPS-/LOS-containing biological membrane systems.","author":[{"dropping-particle":"","family":"Lee","given":"Jumin","non-dropping-particle":"","parse-names":false,"suffix":""},{"dropping-particle":"","family":"Patel","given":"Dhilon S.","non-dropping-particle":"","parse-names":false,"suffix":""},{"dropping-particle":"","family":"Ståhle","given":"Jonas","non-dropping-particle":"","parse-names":false,"suffix":""},{"dropping-particle":"","family":"Park","given":"Sang Jun","non-dropping-particle":"","parse-names":false,"suffix":""},{"dropping-particle":"","family":"Kern","given":"Nathan R.","non-dropping-particle":"","parse-names":false,"suffix":""},{"dropping-particle":"","family":"Kim","given":"Seonghoon","non-dropping-particle":"","parse-names":false,"suffix":""},{"dropping-particle":"","family":"Lee","given":"Joonseong","non-dropping-particle":"","parse-names":false,"suffix":""},{"dropping-particle":"","family":"Cheng","given":"Xi","non-dropping-particle":"","parse-names":false,"suffix":""},{"dropping-particle":"","family":"Valvano","given":"Miguel A.","non-dropping-particle":"","parse-names":false,"suffix":""},{"dropping-particle":"","family":"Holst","given":"Otto","non-dropping-particle":"","parse-names":false,"suffix":""},{"dropping-particle":"","family":"Knirel","given":"Yuriy A.","non-dropping-particle":"","parse-names":false,"suffix":""},{"dropping-particle":"","family":"Qi","given":"Yifei","non-dropping-particle":"","parse-names":false,"suffix":""},{"dropping-particle":"","family":"Jo","given":"Sunhwan","non-dropping-particle":"","parse-names":false,"suffix":""},{"dropping-particle":"","family":"Klauda","given":"Jeffery B.","non-dropping-particle":"","parse-names":false,"suffix":""},{"dropping-particle":"","family":"Widmalm","given":"Göran","non-dropping-particle":"","parse-names":false,"suffix":""},{"dropping-particle":"","family":"Im","given":"Wonpil","non-dropping-particle":"","parse-names":false,"suffix":""}],"container-title":"Journal of Chemical Theory and Computation","id":"ITEM-1","issue":"1","issued":{"date-parts":[["2019","1","8"]]},"page":"775-786","publisher":"American Chemical Society","title":"CHARMM-GUI Membrane Builder for Complex Biological Membrane Simulations with Glycolipids and Lipoglycans","type":"article-journal","volume":"15"},"uris":["http://www.mendeley.com/documents/?uuid=798ff063-dbf2-3c94-ad89-6be8b53b0a88"]}],"mendeley":{"formattedCitation":"&lt;sup&gt;63&lt;/sup&gt;","plainTextFormattedCitation":"63","previouslyFormattedCitation":"&lt;sup&gt;63&lt;/sup&gt;"},"properties":{"noteIndex":0},"schema":"https://github.com/citation-style-language/schema/raw/master/csl-citation.json"}</w:instrText>
      </w:r>
      <w:r w:rsidRPr="00E1325C">
        <w:rPr>
          <w:rFonts w:ascii="Arial" w:hAnsi="Arial" w:cs="Arial"/>
          <w:sz w:val="24"/>
          <w:szCs w:val="24"/>
        </w:rPr>
        <w:fldChar w:fldCharType="separate"/>
      </w:r>
      <w:r w:rsidR="007774B6" w:rsidRPr="007774B6">
        <w:rPr>
          <w:rFonts w:ascii="Arial" w:hAnsi="Arial" w:cs="Arial"/>
          <w:noProof/>
          <w:sz w:val="24"/>
          <w:szCs w:val="24"/>
          <w:vertAlign w:val="superscript"/>
        </w:rPr>
        <w:t>63</w:t>
      </w:r>
      <w:r w:rsidRPr="00E1325C">
        <w:rPr>
          <w:rFonts w:ascii="Arial" w:hAnsi="Arial" w:cs="Arial"/>
          <w:sz w:val="24"/>
          <w:szCs w:val="24"/>
        </w:rPr>
        <w:fldChar w:fldCharType="end"/>
      </w:r>
      <w:r w:rsidRPr="00E1325C">
        <w:rPr>
          <w:rFonts w:ascii="Arial" w:hAnsi="Arial" w:cs="Arial"/>
          <w:sz w:val="24"/>
          <w:szCs w:val="24"/>
        </w:rPr>
        <w:t>, which contained 47% phosphatidylcholine (PC), 20% phosphatidylethanolamine (PE), 11% phosphatidylinositol phosphate (PIP), 7% phosphatidylserine (PS) and 15% cholesterol</w:t>
      </w:r>
      <w:r w:rsidR="0011604D">
        <w:rPr>
          <w:rFonts w:ascii="Arial" w:hAnsi="Arial" w:cs="Arial"/>
          <w:sz w:val="24"/>
          <w:szCs w:val="24"/>
        </w:rPr>
        <w:t xml:space="preserve"> </w:t>
      </w:r>
      <w:r w:rsidRPr="00E1325C">
        <w:rPr>
          <w:rFonts w:ascii="Arial" w:hAnsi="Arial" w:cs="Arial"/>
          <w:sz w:val="24"/>
          <w:szCs w:val="24"/>
        </w:rPr>
        <w:fldChar w:fldCharType="begin" w:fldLock="1"/>
      </w:r>
      <w:r w:rsidR="007774B6">
        <w:rPr>
          <w:rFonts w:ascii="Arial" w:hAnsi="Arial" w:cs="Arial"/>
          <w:sz w:val="24"/>
          <w:szCs w:val="24"/>
        </w:rPr>
        <w:instrText>ADDIN CSL_CITATION {"citationItems":[{"id":"ITEM-1","itemData":{"DOI":"10.3390/ijms20092167","ISSN":"14220067","PMID":"31052427","abstract":"Biological membranes are key elements for the maintenance of cell architecture and physiology. Beyond a pure barrier separating the inner space of the cell from the outer, the plasma membrane is a scaffold and player in cell-to-cell communication and the initiation of intracellular signals among other functions. Critical to this function is the plasma membrane compartmentalization in lipid microdomains that control the localization and productive interactions of proteins involved in cell signal propagation. In addition, cells are divided into compartments limited by other membranes whose integrity and homeostasis are finely controlled, and which determine the identity and function of the different organelles. Here, we review current knowledge on membrane lipid composition in the plasma membrane and endomembrane compartments, emphasizing its role in sustaining organelle structure and function. The correct composition and structure of cell membranes define key pathophysiological aspects of cells. Therefore, we explore the therapeutic potential of manipulating membrane lipid composition with approaches like membrane lipid therapy, aiming to normalize cell functions through the modification of membrane lipid bilayers.","author":[{"dropping-particle":"","family":"Casares","given":"Doralicia","non-dropping-particle":"","parse-names":false,"suffix":""},{"dropping-particle":"V.","family":"Escribá","given":"Pablo","non-dropping-particle":"","parse-names":false,"suffix":""},{"dropping-particle":"","family":"Rosselló","given":"Catalina Ana","non-dropping-particle":"","parse-names":false,"suffix":""}],"container-title":"International Journal of Molecular Sciences","id":"ITEM-1","issue":"9","issued":{"date-parts":[["2019","5","1"]]},"publisher":"MDPI AG","title":"Membrane lipid composition: Effect on membrane and organelle structure, function and compartmentalization and therapeutic avenues","type":"article-journal","volume":"20"},"uris":["http://www.mendeley.com/documents/?uuid=6a0d15fb-9e6f-378f-bbb4-848cd3bfb602"]},{"id":"ITEM-2","itemData":{"DOI":"10.1038/nrm2330","ISSN":"14710072","PMID":"18216768","abstract":"Throughout the biological world, a 30 Å hydrophobic film typically delimits the environments that serve as the margin between life and death for individual cells. Biochemical and biophysical findings have provided a detailed model of the composition and structure of membranes, which includes levels of dynamic organization both across the lipid bilayer (lipid asymmetry) and in the lateral dimension (lipid domains) of membranes. How do cells apply anabolic and catabolic enzymes, translocases and transporters, plus the intrinsic physical phase behaviour of lipids and their interactions with membrane proteins, to create the unique compositions and multiple functionalities of their individual membranes? © 2008 Nature Publishing Group.","author":[{"dropping-particle":"","family":"Meer","given":"Gerrit","non-dropping-particle":"Van","parse-names":false,"suffix":""},{"dropping-particle":"","family":"Voelker","given":"Dennis R.","non-dropping-particle":"","parse-names":false,"suffix":""},{"dropping-particle":"","family":"Feigenson","given":"Gerald W.","non-dropping-particle":"","parse-names":false,"suffix":""}],"container-title":"Nature Reviews Molecular Cell Biology","id":"ITEM-2","issue":"2","issued":{"date-parts":[["2008","2"]]},"page":"112-124","publisher":"Nat Rev Mol Cell Biol","title":"Membrane lipids: Where they are and how they behave","type":"article","volume":"9"},"uris":["http://www.mendeley.com/documents/?uuid=d89c9cc1-de24-35da-84a8-848fb4df1aa3"]},{"id":"ITEM-3","itemData":{"DOI":"10.1016/S0962-8924(97)01196-3","ISSN":"09628924","PMID":"9695805","abstract":"The thin membrane of the endoplasmic reticulum matures into the thick plasma membrane in the Golgi apparatus. Along the way, the concentrations of cholesterol and sphingolipids increase. Here, Gerrit van Meer discusses how this phenomenon may reflect an intricate lipid-protein sorting machinery. Synthesis of sphingolipids, translocation across the Golgi membrane and lateral segregation into lumenal domains seem to be key events. In addition, signalling lipids indicate the lipid status of the Golgi and interact with proteins of the transport machinery to regulate membrane flux.","author":[{"dropping-particle":"","family":"Meer","given":"Gerrit","non-dropping-particle":"Van","parse-names":false,"suffix":""}],"container-title":"Trends in Cell Biology","id":"ITEM-3","issue":"1","issued":{"date-parts":[["1998"]]},"page":"29-33","publisher":"Elsevier Ltd","title":"Lipids of the Golgi membrane","type":"article-journal","volume":"8"},"uris":["http://www.mendeley.com/documents/?uuid=bc66d32b-c1ce-365d-92fb-b16210272874"]}],"mendeley":{"formattedCitation":"&lt;sup&gt;64–66&lt;/sup&gt;","plainTextFormattedCitation":"64–66","previouslyFormattedCitation":"&lt;sup&gt;64–66&lt;/sup&gt;"},"properties":{"noteIndex":0},"schema":"https://github.com/citation-style-language/schema/raw/master/csl-citation.json"}</w:instrText>
      </w:r>
      <w:r w:rsidRPr="00E1325C">
        <w:rPr>
          <w:rFonts w:ascii="Arial" w:hAnsi="Arial" w:cs="Arial"/>
          <w:sz w:val="24"/>
          <w:szCs w:val="24"/>
        </w:rPr>
        <w:fldChar w:fldCharType="separate"/>
      </w:r>
      <w:r w:rsidR="007774B6" w:rsidRPr="007774B6">
        <w:rPr>
          <w:rFonts w:ascii="Arial" w:hAnsi="Arial" w:cs="Arial"/>
          <w:noProof/>
          <w:sz w:val="24"/>
          <w:szCs w:val="24"/>
          <w:vertAlign w:val="superscript"/>
        </w:rPr>
        <w:t>64–66</w:t>
      </w:r>
      <w:r w:rsidRPr="00E1325C">
        <w:rPr>
          <w:rFonts w:ascii="Arial" w:hAnsi="Arial" w:cs="Arial"/>
          <w:sz w:val="24"/>
          <w:szCs w:val="24"/>
        </w:rPr>
        <w:fldChar w:fldCharType="end"/>
      </w:r>
      <w:r w:rsidRPr="00E1325C">
        <w:rPr>
          <w:rFonts w:ascii="Arial" w:hAnsi="Arial" w:cs="Arial"/>
          <w:sz w:val="24"/>
          <w:szCs w:val="24"/>
        </w:rPr>
        <w:t>.</w:t>
      </w:r>
    </w:p>
    <w:p w14:paraId="213BDB75" w14:textId="449B27A2" w:rsidR="00584E27" w:rsidRPr="00E1325C" w:rsidRDefault="00584E27" w:rsidP="00584E27">
      <w:pPr>
        <w:spacing w:line="360" w:lineRule="auto"/>
        <w:jc w:val="both"/>
        <w:rPr>
          <w:rFonts w:ascii="Arial" w:hAnsi="Arial" w:cs="Arial"/>
          <w:b/>
          <w:bCs/>
          <w:sz w:val="24"/>
          <w:szCs w:val="24"/>
        </w:rPr>
      </w:pPr>
      <w:r w:rsidRPr="00E1325C">
        <w:rPr>
          <w:rFonts w:ascii="Arial" w:hAnsi="Arial" w:cs="Arial"/>
          <w:sz w:val="24"/>
          <w:szCs w:val="24"/>
        </w:rPr>
        <w:tab/>
        <w:t xml:space="preserve">The system was parametrized using the CHARMM36 force field </w:t>
      </w:r>
      <w:r w:rsidRPr="00E1325C">
        <w:rPr>
          <w:rFonts w:ascii="Arial" w:hAnsi="Arial" w:cs="Arial"/>
          <w:sz w:val="24"/>
          <w:szCs w:val="24"/>
        </w:rPr>
        <w:fldChar w:fldCharType="begin" w:fldLock="1"/>
      </w:r>
      <w:r w:rsidR="007774B6">
        <w:rPr>
          <w:rFonts w:ascii="Arial" w:hAnsi="Arial" w:cs="Arial"/>
          <w:sz w:val="24"/>
          <w:szCs w:val="24"/>
        </w:rPr>
        <w:instrText>ADDIN CSL_CITATION {"citationItems":[{"id":"ITEM-1","itemData":{"DOI":"10.1002/jcc.23354","ISSN":"01928651","abstract":"Protein structure and dynamics can be characterized on the atomistic level with both nuclear magnetic resonance (NMR) experiments and molecular dynamics (MD) simulations. Here, we quantify the ability of the recently presented CHARMM36 (C36) force field (FF) to reproduce various NMR observables using MD simulations. The studied NMR properties include backbone scalar couplings across hydrogen bonds, residual dipolar couplings (RDCs) and relaxation order parameter, as well as scalar couplings, RDCs, and order parameters for side-chain amino- and methyl-containing groups. It is shown that the C36 FF leads to better correlation with experimental data compared to the CHARMM22/CMAP FF and suggest using C36 in protein simulations. Although both CHARMM FFs contains the same nonbond parameters, our results show how the changes in the internal parameters associated with the peptide backbone via CMAP and the χ1 and χ2 dihedral parameters leads to improved treatment of the analyzed nonbond interactions. This highlights the importance of proper treatment of the internal covalent components in modeling nonbond interactions with molecular mechanics FFs. © 2013 Wiley Periodicals, Inc.","author":[{"dropping-particle":"","family":"Huang","given":"Jing","non-dropping-particle":"","parse-names":false,"suffix":""},{"dropping-particle":"","family":"Mackerell","given":"Alexander D.","non-dropping-particle":"","parse-names":false,"suffix":""}],"container-title":"Journal of Computational Chemistry","id":"ITEM-1","issue":"25","issued":{"date-parts":[["2013","9","30"]]},"page":"2135-2145","publisher":"J Comput Chem","title":"CHARMM36 all-atom additive protein force field: Validation based on comparison to NMR data","type":"article-journal","volume":"34"},"uris":["http://www.mendeley.com/documents/?uuid=91d64d26-a5fc-3f6b-8c11-a9fe6acc0da9"]}],"mendeley":{"formattedCitation":"&lt;sup&gt;67&lt;/sup&gt;","plainTextFormattedCitation":"67","previouslyFormattedCitation":"&lt;sup&gt;67&lt;/sup&gt;"},"properties":{"noteIndex":0},"schema":"https://github.com/citation-style-language/schema/raw/master/csl-citation.json"}</w:instrText>
      </w:r>
      <w:r w:rsidRPr="00E1325C">
        <w:rPr>
          <w:rFonts w:ascii="Arial" w:hAnsi="Arial" w:cs="Arial"/>
          <w:sz w:val="24"/>
          <w:szCs w:val="24"/>
        </w:rPr>
        <w:fldChar w:fldCharType="separate"/>
      </w:r>
      <w:r w:rsidR="007774B6" w:rsidRPr="007774B6">
        <w:rPr>
          <w:rFonts w:ascii="Arial" w:hAnsi="Arial" w:cs="Arial"/>
          <w:noProof/>
          <w:sz w:val="24"/>
          <w:szCs w:val="24"/>
          <w:vertAlign w:val="superscript"/>
        </w:rPr>
        <w:t>67</w:t>
      </w:r>
      <w:r w:rsidRPr="00E1325C">
        <w:rPr>
          <w:rFonts w:ascii="Arial" w:hAnsi="Arial" w:cs="Arial"/>
          <w:sz w:val="24"/>
          <w:szCs w:val="24"/>
        </w:rPr>
        <w:fldChar w:fldCharType="end"/>
      </w:r>
      <w:r w:rsidRPr="00E1325C">
        <w:rPr>
          <w:rFonts w:ascii="Arial" w:hAnsi="Arial" w:cs="Arial"/>
          <w:sz w:val="24"/>
          <w:szCs w:val="24"/>
        </w:rPr>
        <w:t xml:space="preserve">. TIP3P water molecules were used to solvate the system and 0.15 M NaCl salt was added to neutralize it. The system was then subjected to stepwise energy minimization and equilibration with decreasing positional and dihedral restraints, following the standard CHARMM-GUI protocol </w:t>
      </w:r>
      <w:r w:rsidRPr="00E1325C">
        <w:rPr>
          <w:rFonts w:ascii="Arial" w:hAnsi="Arial" w:cs="Arial"/>
          <w:sz w:val="24"/>
          <w:szCs w:val="24"/>
        </w:rPr>
        <w:fldChar w:fldCharType="begin" w:fldLock="1"/>
      </w:r>
      <w:r w:rsidR="007774B6">
        <w:rPr>
          <w:rFonts w:ascii="Arial" w:hAnsi="Arial" w:cs="Arial"/>
          <w:sz w:val="24"/>
          <w:szCs w:val="24"/>
        </w:rPr>
        <w:instrText>ADDIN CSL_CITATION {"citationItems":[{"id":"ITEM-1","itemData":{"DOI":"10.1021/acs.jctc.5b00935","ISSN":"15499626","PMID":"26631602","abstract":"Proper treatment of nonbonded interactions is essential for the accuracy of molecular dynamics (MD) simulations, especially in studies of lipid bilayers. The use of the CHARMM36 force field (C36 FF) in different MD simulation programs can result in disagreements with published simulations performed with CHARMM due to differences in the protocols used to treat the long-range and 1-4 nonbonded interactions. In this study, we systematically test the use of the C36 lipid FF in NAMD, GROMACS, AMBER, OpenMM, and CHARMM/OpenMM. A wide range of Lennard-Jones (LJ) cutoff schemes and integrator algorithms were tested to find the optimal simulation protocol to best match bilayer properties of six lipids with varying acyl chain saturation and head groups. MD simulations of a 1,2-dipalmitoyl-sn-phosphatidylcholine (DPPC) bilayer were used to obtain the optimal protocol for each program. MD simulations with all programs were found to reasonably match the DPPC bilayer properties (surface area per lipid, chain order parameters, and area compressibility modulus) obtained using the standard protocol used in CHARMM as well as from experiments. The optimal simulation protocol was then applied to the other five lipid simulations and resulted in excellent agreement between results from most simulation programs as well as with experimental data. AMBER compared least favorably with the expected membrane properties, which appears to be due to its use of the hard-truncation in the LJ potential versus a force-based switching function used to smooth the LJ potential as it approaches the cutoff distance. The optimal simulation protocol for each program has been implemented in CHARMM-GUI. This protocol is expected to be applicable to the remainder of the additive C36 FF including the proteins, nucleic acids, carbohydrates, and small molecules.","author":[{"dropping-particle":"","family":"Lee","given":"Jumin","non-dropping-particle":"","parse-names":false,"suffix":""},{"dropping-particle":"","family":"Cheng","given":"Xi","non-dropping-particle":"","parse-names":false,"suffix":""},{"dropping-particle":"","family":"Swails","given":"Jason M.","non-dropping-particle":"","parse-names":false,"suffix":""},{"dropping-particle":"","family":"Yeom","given":"Min Sun","non-dropping-particle":"","parse-names":false,"suffix":""},{"dropping-particle":"","family":"Eastman","given":"Peter K.","non-dropping-particle":"","parse-names":false,"suffix":""},{"dropping-particle":"","family":"Lemkul","given":"Justin A.","non-dropping-particle":"","parse-names":false,"suffix":""},{"dropping-particle":"","family":"Wei","given":"Shuai","non-dropping-particle":"","parse-names":false,"suffix":""},{"dropping-particle":"","family":"Buckner","given":"Joshua","non-dropping-particle":"","parse-names":false,"suffix":""},{"dropping-particle":"","family":"Jeong","given":"Jong Cheol","non-dropping-particle":"","parse-names":false,"suffix":""},{"dropping-particle":"","family":"Qi","given":"Yifei","non-dropping-particle":"","parse-names":false,"suffix":""},{"dropping-particle":"","family":"Jo","given":"Sunhwan","non-dropping-particle":"","parse-names":false,"suffix":""},{"dropping-particle":"","family":"Pande","given":"Vijay S.","non-dropping-particle":"","parse-names":false,"suffix":""},{"dropping-particle":"","family":"Case","given":"David A.","non-dropping-particle":"","parse-names":false,"suffix":""},{"dropping-particle":"","family":"Brooks","given":"Charles L.","non-dropping-particle":"","parse-names":false,"suffix":""},{"dropping-particle":"","family":"MacKerell","given":"Alexander D.","non-dropping-particle":"","parse-names":false,"suffix":""},{"dropping-particle":"","family":"Klauda","given":"Jeffery B.","non-dropping-particle":"","parse-names":false,"suffix":""},{"dropping-particle":"","family":"Im","given":"Wonpil","non-dropping-particle":"","parse-names":false,"suffix":""}],"container-title":"Journal of Chemical Theory and Computation","id":"ITEM-1","issue":"1","issued":{"date-parts":[["2016","1","12"]]},"page":"405-413","publisher":"American Chemical Society","title":"CHARMM-GUI Input Generator for NAMD, GROMACS, AMBER, OpenMM, and CHARMM/OpenMM Simulations Using the CHARMM36 Additive Force Field","type":"article-journal","volume":"12"},"uris":["http://www.mendeley.com/documents/?uuid=8a627c16-18cd-3141-b1a3-6526faec0e48"]}],"mendeley":{"formattedCitation":"&lt;sup&gt;68&lt;/sup&gt;","plainTextFormattedCitation":"68","previouslyFormattedCitation":"&lt;sup&gt;68&lt;/sup&gt;"},"properties":{"noteIndex":0},"schema":"https://github.com/citation-style-language/schema/raw/master/csl-citation.json"}</w:instrText>
      </w:r>
      <w:r w:rsidRPr="00E1325C">
        <w:rPr>
          <w:rFonts w:ascii="Arial" w:hAnsi="Arial" w:cs="Arial"/>
          <w:sz w:val="24"/>
          <w:szCs w:val="24"/>
        </w:rPr>
        <w:fldChar w:fldCharType="separate"/>
      </w:r>
      <w:r w:rsidR="007774B6" w:rsidRPr="007774B6">
        <w:rPr>
          <w:rFonts w:ascii="Arial" w:hAnsi="Arial" w:cs="Arial"/>
          <w:noProof/>
          <w:sz w:val="24"/>
          <w:szCs w:val="24"/>
          <w:vertAlign w:val="superscript"/>
        </w:rPr>
        <w:t>68</w:t>
      </w:r>
      <w:r w:rsidRPr="00E1325C">
        <w:rPr>
          <w:rFonts w:ascii="Arial" w:hAnsi="Arial" w:cs="Arial"/>
          <w:sz w:val="24"/>
          <w:szCs w:val="24"/>
        </w:rPr>
        <w:fldChar w:fldCharType="end"/>
      </w:r>
      <w:r w:rsidRPr="00E1325C">
        <w:rPr>
          <w:rFonts w:ascii="Arial" w:hAnsi="Arial" w:cs="Arial"/>
          <w:sz w:val="24"/>
          <w:szCs w:val="24"/>
        </w:rPr>
        <w:t xml:space="preserve">. A 200 ns production simulation was conducted with the temperature maintained at 310 K using the </w:t>
      </w:r>
      <w:proofErr w:type="spellStart"/>
      <w:r w:rsidRPr="00E1325C">
        <w:rPr>
          <w:rFonts w:ascii="Arial" w:hAnsi="Arial" w:cs="Arial"/>
          <w:sz w:val="24"/>
          <w:szCs w:val="24"/>
        </w:rPr>
        <w:t>Nosé</w:t>
      </w:r>
      <w:proofErr w:type="spellEnd"/>
      <w:r w:rsidRPr="00E1325C">
        <w:rPr>
          <w:rFonts w:ascii="Arial" w:hAnsi="Arial" w:cs="Arial"/>
          <w:sz w:val="24"/>
          <w:szCs w:val="24"/>
        </w:rPr>
        <w:t xml:space="preserve">-Hoover thermostat </w:t>
      </w:r>
      <w:r w:rsidRPr="00E1325C">
        <w:rPr>
          <w:rFonts w:ascii="Arial" w:hAnsi="Arial" w:cs="Arial"/>
          <w:sz w:val="24"/>
          <w:szCs w:val="24"/>
        </w:rPr>
        <w:fldChar w:fldCharType="begin" w:fldLock="1"/>
      </w:r>
      <w:r w:rsidR="007774B6">
        <w:rPr>
          <w:rFonts w:ascii="Arial" w:hAnsi="Arial" w:cs="Arial"/>
          <w:sz w:val="24"/>
          <w:szCs w:val="24"/>
        </w:rPr>
        <w:instrText>ADDIN CSL_CITATION {"citationItems":[{"id":"ITEM-1","itemData":{"DOI":"10.1002/jcc.20689","ISSN":"01928651","abstract":"An extended system Hamiltonian is proposed to perform molecular dynamics (MD) simulation in the grand canonical ensemble. The Hamiltonian is similar to the one proposed by Lynch and Pettitt (Lynch and Pettitt, J Chem Phys 1997, 107, 8594), which consists of the kinetic and potential energies for real and fractional particles as well as the kinetic and potential energy terms for material and heat reservoirs interacting with the system. We perform a nonlinear scaling of the potential energy parameters of the fractional particle, as well as its mass to vary the number of particles dynamically. On the basis of the equations of motion derived from this Hamiltonian, an algorithm has been proposed for MD simulation at constant chemical potential. The algorithm has been tested for the ideal gas, for the Lennard-Jones fluid over a wide range of temperatures and densities, and for water. The results for the low-density Lennard-Jones fluid are compared with the predictions from a truncated virial equation of state. In the case of the dense Lennard-Jones fluid and water our predicted results are compared with the results reported using other available methods for the calculation of the chemical potential. The method is also applied to the case of vapor-liquid coexistence point predictions. © 2007 Wiley Periodicals, Inc.","author":[{"dropping-particle":"","family":"Eslami","given":"Hossein","non-dropping-particle":"","parse-names":false,"suffix":""},{"dropping-particle":"","family":"Müller-Plathe","given":"Florian","non-dropping-particle":"","parse-names":false,"suffix":""}],"container-title":"Journal of Computational Chemistry","id":"ITEM-1","issue":"10","issued":{"date-parts":[["2007","7","30"]]},"page":"1763-1773","publisher":"J Comput Chem","title":"Molecular dynamics simulation in the grand canonical ensemble","type":"article-journal","volume":"28"},"uris":["http://www.mendeley.com/documents/?uuid=3acba5a5-27b5-32a3-bedf-e25d54ab6311"]},{"id":"ITEM-2","itemData":{"DOI":"10.1103/PhysRevA.31.1695","ISSN":"10502947","PMID":"9895674","abstract":"Nosé has modified Newtonian dynamics so as to reproduce both the canonical and the isothermal-isobaric probability densities in the phase space of an N-body system. He did this by scaling time (with s) and distance (with V1/D in D dimensions) through Lagrangian equations of motion. The dynamical equations describe the evolution of these two scaling variables and their two conjugate momenta ps and pv. Here we develop a slightly different set of equations, free of time scaling. We find the dynamical steady-state probability density in an extended phase space with variables x, px, V, , and , where the x are reduced distances and the two variables and act as thermodynamic friction coefficients. We find that these friction coefficients have Gaussian distributions. From the distributions the extent of small-system non-Newtonian behavior can be estimated. We illustrate the dynamical equations by considering their application to the simplest possible case, a one-dimensional classical harmonic oscillator. © 1985 The American Physical Society.","author":[{"dropping-particle":"","family":"Hoover","given":"William G.","non-dropping-particle":"","parse-names":false,"suffix":""}],"container-title":"Physical Review A","id":"ITEM-2","issue":"3","issued":{"date-parts":[["1985"]]},"page":"1695-1697","publisher":"Phys Rev A Gen Phys","title":"Canonical dynamics: Equilibrium phase-space distributions","type":"article-journal","volume":"31"},"uris":["http://www.mendeley.com/documents/?uuid=642d39cf-821a-3094-b9dc-a43f942ddd10"]}],"mendeley":{"formattedCitation":"&lt;sup&gt;69,70&lt;/sup&gt;","plainTextFormattedCitation":"69,70","previouslyFormattedCitation":"&lt;sup&gt;69,70&lt;/sup&gt;"},"properties":{"noteIndex":0},"schema":"https://github.com/citation-style-language/schema/raw/master/csl-citation.json"}</w:instrText>
      </w:r>
      <w:r w:rsidRPr="00E1325C">
        <w:rPr>
          <w:rFonts w:ascii="Arial" w:hAnsi="Arial" w:cs="Arial"/>
          <w:sz w:val="24"/>
          <w:szCs w:val="24"/>
        </w:rPr>
        <w:fldChar w:fldCharType="separate"/>
      </w:r>
      <w:r w:rsidR="007774B6" w:rsidRPr="007774B6">
        <w:rPr>
          <w:rFonts w:ascii="Arial" w:hAnsi="Arial" w:cs="Arial"/>
          <w:noProof/>
          <w:sz w:val="24"/>
          <w:szCs w:val="24"/>
          <w:vertAlign w:val="superscript"/>
        </w:rPr>
        <w:t>69,70</w:t>
      </w:r>
      <w:r w:rsidRPr="00E1325C">
        <w:rPr>
          <w:rFonts w:ascii="Arial" w:hAnsi="Arial" w:cs="Arial"/>
          <w:sz w:val="24"/>
          <w:szCs w:val="24"/>
        </w:rPr>
        <w:fldChar w:fldCharType="end"/>
      </w:r>
      <w:r w:rsidRPr="00E1325C">
        <w:rPr>
          <w:rFonts w:ascii="Arial" w:hAnsi="Arial" w:cs="Arial"/>
          <w:sz w:val="24"/>
          <w:szCs w:val="24"/>
        </w:rPr>
        <w:t>. The pressure was maintained at 1 at</w:t>
      </w:r>
      <w:r w:rsidR="00684B82">
        <w:rPr>
          <w:rFonts w:ascii="Arial" w:hAnsi="Arial" w:cs="Arial"/>
          <w:sz w:val="24"/>
          <w:szCs w:val="24"/>
        </w:rPr>
        <w:t>o</w:t>
      </w:r>
      <w:r w:rsidRPr="00E1325C">
        <w:rPr>
          <w:rFonts w:ascii="Arial" w:hAnsi="Arial" w:cs="Arial"/>
          <w:sz w:val="24"/>
          <w:szCs w:val="24"/>
        </w:rPr>
        <w:t xml:space="preserve">m using a semi-isotropic coupling to the </w:t>
      </w:r>
      <w:proofErr w:type="spellStart"/>
      <w:r w:rsidRPr="00E1325C">
        <w:rPr>
          <w:rFonts w:ascii="Arial" w:hAnsi="Arial" w:cs="Arial"/>
          <w:sz w:val="24"/>
          <w:szCs w:val="24"/>
        </w:rPr>
        <w:t>Parrinello</w:t>
      </w:r>
      <w:proofErr w:type="spellEnd"/>
      <w:r w:rsidRPr="00E1325C">
        <w:rPr>
          <w:rFonts w:ascii="Arial" w:hAnsi="Arial" w:cs="Arial"/>
          <w:sz w:val="24"/>
          <w:szCs w:val="24"/>
        </w:rPr>
        <w:t xml:space="preserve">-Rahman </w:t>
      </w:r>
      <w:proofErr w:type="spellStart"/>
      <w:r w:rsidRPr="00E1325C">
        <w:rPr>
          <w:rFonts w:ascii="Arial" w:hAnsi="Arial" w:cs="Arial"/>
          <w:sz w:val="24"/>
          <w:szCs w:val="24"/>
        </w:rPr>
        <w:t>barostat</w:t>
      </w:r>
      <w:proofErr w:type="spellEnd"/>
      <w:r w:rsidRPr="00E1325C">
        <w:rPr>
          <w:rFonts w:ascii="Arial" w:hAnsi="Arial" w:cs="Arial"/>
          <w:sz w:val="24"/>
          <w:szCs w:val="24"/>
        </w:rPr>
        <w:t xml:space="preserve"> </w:t>
      </w:r>
      <w:r w:rsidRPr="00E1325C">
        <w:rPr>
          <w:rFonts w:ascii="Arial" w:hAnsi="Arial" w:cs="Arial"/>
          <w:sz w:val="24"/>
          <w:szCs w:val="24"/>
        </w:rPr>
        <w:fldChar w:fldCharType="begin" w:fldLock="1"/>
      </w:r>
      <w:r w:rsidR="007774B6">
        <w:rPr>
          <w:rFonts w:ascii="Arial" w:hAnsi="Arial" w:cs="Arial"/>
          <w:sz w:val="24"/>
          <w:szCs w:val="24"/>
        </w:rPr>
        <w:instrText>ADDIN CSL_CITATION {"citationItems":[{"id":"ITEM-1","itemData":{"DOI":"10.1063/1.328693","ISSN":"00218979","abstract":"A new Lagrangian formulation is introduced. It can be used to make molecular dynamics (MD) calculations on systems under the most general, externally applied, conditions of stress. In this formulation the MD cell shape and size can change according to dynamical equations given by this Lagrangian. This new MD technique is well suited to the study of structural transformations in solids under external stress and at finite temperature. As an example of the use of this technique we show how a single crystal of Ni behaves under uniform uniaxial compressive and tensile loads. This work confirms some of the results of static (i.e., zero temperature) calculations reported in the literature. We also show that some results regarding the stress-strain relation obtained by static calculations are invalid at finite temperature. We find that, under compressive loading, our model of Ni shows a bifurcation in its stress-strain relation; this bifurcation provides a link in configuration space between cubic and hexagonal close packing. It is suggested that such a transformation could perhaps be observed experimentally under extreme conditions of shock.","author":[{"dropping-particle":"","family":"Parrinello","given":"M.","non-dropping-particle":"","parse-names":false,"suffix":""},{"dropping-particle":"","family":"Rahman","given":"A.","non-dropping-particle":"","parse-names":false,"suffix":""}],"container-title":"Journal of Applied Physics","id":"ITEM-1","issue":"12","issued":{"date-parts":[["1981","12","14"]]},"page":"7182-7190","publisher":"American Institute of PhysicsAIP","title":"Polymorphic transitions in single crystals: A new molecular dynamics method","type":"article-journal","volume":"52"},"uris":["http://www.mendeley.com/documents/?uuid=e5837f1d-8456-3605-bdb8-ad2934900557"]}],"mendeley":{"formattedCitation":"&lt;sup&gt;71&lt;/sup&gt;","plainTextFormattedCitation":"71","previouslyFormattedCitation":"&lt;sup&gt;71&lt;/sup&gt;"},"properties":{"noteIndex":0},"schema":"https://github.com/citation-style-language/schema/raw/master/csl-citation.json"}</w:instrText>
      </w:r>
      <w:r w:rsidRPr="00E1325C">
        <w:rPr>
          <w:rFonts w:ascii="Arial" w:hAnsi="Arial" w:cs="Arial"/>
          <w:sz w:val="24"/>
          <w:szCs w:val="24"/>
        </w:rPr>
        <w:fldChar w:fldCharType="separate"/>
      </w:r>
      <w:r w:rsidR="007774B6" w:rsidRPr="007774B6">
        <w:rPr>
          <w:rFonts w:ascii="Arial" w:hAnsi="Arial" w:cs="Arial"/>
          <w:noProof/>
          <w:sz w:val="24"/>
          <w:szCs w:val="24"/>
          <w:vertAlign w:val="superscript"/>
        </w:rPr>
        <w:t>71</w:t>
      </w:r>
      <w:r w:rsidRPr="00E1325C">
        <w:rPr>
          <w:rFonts w:ascii="Arial" w:hAnsi="Arial" w:cs="Arial"/>
          <w:sz w:val="24"/>
          <w:szCs w:val="24"/>
        </w:rPr>
        <w:fldChar w:fldCharType="end"/>
      </w:r>
      <w:r w:rsidRPr="00E1325C">
        <w:rPr>
          <w:rFonts w:ascii="Arial" w:hAnsi="Arial" w:cs="Arial"/>
          <w:sz w:val="24"/>
          <w:szCs w:val="24"/>
        </w:rPr>
        <w:t xml:space="preserve">. Electrostatics were calculated using the smooth particle mesh Ewald method </w:t>
      </w:r>
      <w:r w:rsidRPr="00E1325C">
        <w:rPr>
          <w:rFonts w:ascii="Arial" w:hAnsi="Arial" w:cs="Arial"/>
          <w:sz w:val="24"/>
          <w:szCs w:val="24"/>
        </w:rPr>
        <w:fldChar w:fldCharType="begin" w:fldLock="1"/>
      </w:r>
      <w:r w:rsidR="007774B6">
        <w:rPr>
          <w:rFonts w:ascii="Arial" w:hAnsi="Arial" w:cs="Arial"/>
          <w:sz w:val="24"/>
          <w:szCs w:val="24"/>
        </w:rPr>
        <w:instrText>ADDIN CSL_CITATION {"citationItems":[{"id":"ITEM-1","itemData":{"DOI":"10.1063/1.470117","ISSN":"00219606","abstract":"The previously developed particle mesh Ewald method is reformulated in terms of efficient B-spline interpolation of the structure factors. This reformulation allows a natural extension of the method to potentials of the form 1/rp with p≥1. Furthermore, efficient calculation of the virial tensor follows. Use of B-splines in place of Lagrange interpolation leads to analytic gradients as well as a significant improvement in the accuracy. We demonstrate that arbitrary accuracy can be achieved, independent of system size N, at a cost that scales as N log(N). For biomolecular systems with many thousands of atoms this method permits the use of Ewald summation at a computational cost comparable to that of a simple truncation method of 10 Å or less. © 1995 American Institute of Physics.","author":[{"dropping-particle":"","family":"Essmann","given":"Ulrich","non-dropping-particle":"","parse-names":false,"suffix":""},{"dropping-particle":"","family":"Perera","given":"Lalith","non-dropping-particle":"","parse-names":false,"suffix":""},{"dropping-particle":"","family":"Berkowitz","given":"Max L.","non-dropping-particle":"","parse-names":false,"suffix":""},{"dropping-particle":"","family":"Darden","given":"Tom","non-dropping-particle":"","parse-names":false,"suffix":""},{"dropping-particle":"","family":"Lee","given":"Hsing","non-dropping-particle":"","parse-names":false,"suffix":""},{"dropping-particle":"","family":"Pedersen","given":"Lee G.","non-dropping-particle":"","parse-names":false,"suffix":""}],"container-title":"The Journal of Chemical Physics","id":"ITEM-1","issue":"19","issued":{"date-parts":[["1995","11","15"]]},"page":"8577-8593","publisher":"American Institute of PhysicsAIP","title":"A smooth particle mesh Ewald method","type":"article-journal","volume":"103"},"uris":["http://www.mendeley.com/documents/?uuid=0f9089be-595a-3325-a9c1-d8da1c082e29"]}],"mendeley":{"formattedCitation":"&lt;sup&gt;72&lt;/sup&gt;","plainTextFormattedCitation":"72","previouslyFormattedCitation":"&lt;sup&gt;72&lt;/sup&gt;"},"properties":{"noteIndex":0},"schema":"https://github.com/citation-style-language/schema/raw/master/csl-citation.json"}</w:instrText>
      </w:r>
      <w:r w:rsidRPr="00E1325C">
        <w:rPr>
          <w:rFonts w:ascii="Arial" w:hAnsi="Arial" w:cs="Arial"/>
          <w:sz w:val="24"/>
          <w:szCs w:val="24"/>
        </w:rPr>
        <w:fldChar w:fldCharType="separate"/>
      </w:r>
      <w:r w:rsidR="007774B6" w:rsidRPr="007774B6">
        <w:rPr>
          <w:rFonts w:ascii="Arial" w:hAnsi="Arial" w:cs="Arial"/>
          <w:noProof/>
          <w:sz w:val="24"/>
          <w:szCs w:val="24"/>
          <w:vertAlign w:val="superscript"/>
        </w:rPr>
        <w:t>72</w:t>
      </w:r>
      <w:r w:rsidRPr="00E1325C">
        <w:rPr>
          <w:rFonts w:ascii="Arial" w:hAnsi="Arial" w:cs="Arial"/>
          <w:sz w:val="24"/>
          <w:szCs w:val="24"/>
        </w:rPr>
        <w:fldChar w:fldCharType="end"/>
      </w:r>
      <w:r w:rsidRPr="00E1325C">
        <w:rPr>
          <w:rFonts w:ascii="Arial" w:hAnsi="Arial" w:cs="Arial"/>
          <w:sz w:val="24"/>
          <w:szCs w:val="24"/>
        </w:rPr>
        <w:t xml:space="preserve"> with a real-space cut-off of 1.2 nm, while the van der Waals interactions were truncated at 1.2 nm with a force switch smoothing function applied between 1.0-1.2 nm. The LINCS algorithm was utilized to constrain all covalent bonds involving hydrogen atoms </w:t>
      </w:r>
      <w:r w:rsidRPr="00E1325C">
        <w:rPr>
          <w:rFonts w:ascii="Arial" w:hAnsi="Arial" w:cs="Arial"/>
          <w:sz w:val="24"/>
          <w:szCs w:val="24"/>
        </w:rPr>
        <w:fldChar w:fldCharType="begin" w:fldLock="1"/>
      </w:r>
      <w:r w:rsidR="007774B6">
        <w:rPr>
          <w:rFonts w:ascii="Arial" w:hAnsi="Arial" w:cs="Arial"/>
          <w:sz w:val="24"/>
          <w:szCs w:val="24"/>
        </w:rPr>
        <w:instrText>ADDIN CSL_CITATION {"citationItems":[{"id":"ITEM-1","itemData":{"DOI":"10.1002/(SICI)1096-987X(199709)18:12&lt;1463::AID-JCC4&gt;3.0.CO;2-H","ISSN":"01928651","abstract":"In this article, we present a new LINear Constraint Solver (LINCS) for molecular simulations with bond constraints. The algorithm is inherently stable, as the constraints themselves are reset instead of derivatives of the constraints, thereby eliminating drift. Although the derivation of the algorithm is presented in terms of matrices, no matrix matrix multiplications are needed and only the nonzero matrix elements have to be stored, making the method useful for very large molecules. At the same accuracy, the LINCS algorithm is three to four times faster than the SHAKE algorithm. Parallelization of the algorithm is straightforward. © 1997 John Wiley &amp; Sons, Inc.","author":[{"dropping-particle":"","family":"Hess","given":"Berk","non-dropping-particle":"","parse-names":false,"suffix":""},{"dropping-particle":"","family":"Bekker","given":"Henk","non-dropping-particle":"","parse-names":false,"suffix":""},{"dropping-particle":"","family":"Berendsen","given":"Herman J.C.","non-dropping-particle":"","parse-names":false,"suffix":""},{"dropping-particle":"","family":"Fraaije","given":"Johannes G.E.M.","non-dropping-particle":"","parse-names":false,"suffix":""}],"container-title":"Journal of Computational Chemistry","id":"ITEM-1","issue":"12","issued":{"date-parts":[["1997","9","1"]]},"page":"1463-1472","publisher":"John Wiley and Sons Inc.","title":"LINCS: A Linear Constraint Solver for molecular simulations","type":"article-journal","volume":"18"},"uris":["http://www.mendeley.com/documents/?uuid=e585ab7d-0cdc-3d34-b553-6ddffe4eaf87"]}],"mendeley":{"formattedCitation":"&lt;sup&gt;73&lt;/sup&gt;","plainTextFormattedCitation":"73","previouslyFormattedCitation":"&lt;sup&gt;73&lt;/sup&gt;"},"properties":{"noteIndex":0},"schema":"https://github.com/citation-style-language/schema/raw/master/csl-citation.json"}</w:instrText>
      </w:r>
      <w:r w:rsidRPr="00E1325C">
        <w:rPr>
          <w:rFonts w:ascii="Arial" w:hAnsi="Arial" w:cs="Arial"/>
          <w:sz w:val="24"/>
          <w:szCs w:val="24"/>
        </w:rPr>
        <w:fldChar w:fldCharType="separate"/>
      </w:r>
      <w:r w:rsidR="007774B6" w:rsidRPr="007774B6">
        <w:rPr>
          <w:rFonts w:ascii="Arial" w:hAnsi="Arial" w:cs="Arial"/>
          <w:noProof/>
          <w:sz w:val="24"/>
          <w:szCs w:val="24"/>
          <w:vertAlign w:val="superscript"/>
        </w:rPr>
        <w:t>73</w:t>
      </w:r>
      <w:r w:rsidRPr="00E1325C">
        <w:rPr>
          <w:rFonts w:ascii="Arial" w:hAnsi="Arial" w:cs="Arial"/>
          <w:sz w:val="24"/>
          <w:szCs w:val="24"/>
        </w:rPr>
        <w:fldChar w:fldCharType="end"/>
      </w:r>
      <w:r w:rsidRPr="00E1325C">
        <w:rPr>
          <w:rFonts w:ascii="Arial" w:hAnsi="Arial" w:cs="Arial"/>
          <w:sz w:val="24"/>
          <w:szCs w:val="24"/>
        </w:rPr>
        <w:t xml:space="preserve"> and a 2 fs integration time step was employed. All simulations were performed using GROMACS 2018 </w:t>
      </w:r>
      <w:r w:rsidRPr="00E1325C">
        <w:rPr>
          <w:rFonts w:ascii="Arial" w:hAnsi="Arial" w:cs="Arial"/>
          <w:sz w:val="24"/>
          <w:szCs w:val="24"/>
        </w:rPr>
        <w:fldChar w:fldCharType="begin" w:fldLock="1"/>
      </w:r>
      <w:r w:rsidR="007774B6">
        <w:rPr>
          <w:rFonts w:ascii="Arial" w:hAnsi="Arial" w:cs="Arial"/>
          <w:sz w:val="24"/>
          <w:szCs w:val="24"/>
        </w:rPr>
        <w:instrText>ADDIN CSL_CITATION {"citationItems":[{"id":"ITEM-1","itemData":{"DOI":"10.1016/j.softx.2015.06.001","ISSN":"23527110","abstract":"GROMACS is one of the most widely used open-source and free software codes in chemistry, used primarily for dynamical simulations of biomolecules. It provides a rich set of calculation types, preparation and analysis tools. Several advanced techniques for free-energy calculations are supported. In version 5, it reaches new performance heights, through several new and enhanced parallelization algorithms. These work on every level; SIMD registers inside cores, multithreading, heterogeneous CPU-GPU acceleration, state-of-the-art 3D domain decomposition, and ensemble-level parallelization through built-in replica exchange and the separate Copernicus framework. The latest best-in-class compressed trajectory storage format is supported.","author":[{"dropping-particle":"","family":"Abraham","given":"Mark James","non-dropping-particle":"","parse-names":false,"suffix":""},{"dropping-particle":"","family":"Murtola","given":"Teemu","non-dropping-particle":"","parse-names":false,"suffix":""},{"dropping-particle":"","family":"Schulz","given":"Roland","non-dropping-particle":"","parse-names":false,"suffix":""},{"dropping-particle":"","family":"Páll","given":"Szilárd","non-dropping-particle":"","parse-names":false,"suffix":""},{"dropping-particle":"","family":"Smith","given":"Jeremy C.","non-dropping-particle":"","parse-names":false,"suffix":""},{"dropping-particle":"","family":"Hess","given":"Berk","non-dropping-particle":"","parse-names":false,"suffix":""},{"dropping-particle":"","family":"Lindah","given":"Erik","non-dropping-particle":"","parse-names":false,"suffix":""}],"container-title":"SoftwareX","id":"ITEM-1","issued":{"date-parts":[["2015","9","1"]]},"page":"19-25","publisher":"Elsevier B.V.","title":"Gromacs: High performance molecular simulations through multi-level parallelism from laptops to supercomputers","type":"article-journal","volume":"1-2"},"uris":["http://www.mendeley.com/documents/?uuid=ba119515-af1d-3e5b-b746-0dec617829f6"]}],"mendeley":{"formattedCitation":"&lt;sup&gt;74&lt;/sup&gt;","plainTextFormattedCitation":"74","previouslyFormattedCitation":"&lt;sup&gt;74&lt;/sup&gt;"},"properties":{"noteIndex":0},"schema":"https://github.com/citation-style-language/schema/raw/master/csl-citation.json"}</w:instrText>
      </w:r>
      <w:r w:rsidRPr="00E1325C">
        <w:rPr>
          <w:rFonts w:ascii="Arial" w:hAnsi="Arial" w:cs="Arial"/>
          <w:sz w:val="24"/>
          <w:szCs w:val="24"/>
        </w:rPr>
        <w:fldChar w:fldCharType="separate"/>
      </w:r>
      <w:r w:rsidR="007774B6" w:rsidRPr="007774B6">
        <w:rPr>
          <w:rFonts w:ascii="Arial" w:hAnsi="Arial" w:cs="Arial"/>
          <w:noProof/>
          <w:sz w:val="24"/>
          <w:szCs w:val="24"/>
          <w:vertAlign w:val="superscript"/>
        </w:rPr>
        <w:t>74</w:t>
      </w:r>
      <w:r w:rsidRPr="00E1325C">
        <w:rPr>
          <w:rFonts w:ascii="Arial" w:hAnsi="Arial" w:cs="Arial"/>
          <w:sz w:val="24"/>
          <w:szCs w:val="24"/>
        </w:rPr>
        <w:fldChar w:fldCharType="end"/>
      </w:r>
      <w:r w:rsidRPr="00E1325C">
        <w:rPr>
          <w:rFonts w:ascii="Arial" w:hAnsi="Arial" w:cs="Arial"/>
          <w:sz w:val="24"/>
          <w:szCs w:val="24"/>
        </w:rPr>
        <w:t xml:space="preserve"> and visualized in VMD </w:t>
      </w:r>
      <w:r w:rsidRPr="00E1325C">
        <w:rPr>
          <w:rFonts w:ascii="Arial" w:hAnsi="Arial" w:cs="Arial"/>
          <w:sz w:val="24"/>
          <w:szCs w:val="24"/>
        </w:rPr>
        <w:fldChar w:fldCharType="begin" w:fldLock="1"/>
      </w:r>
      <w:r w:rsidR="007774B6">
        <w:rPr>
          <w:rFonts w:ascii="Arial" w:hAnsi="Arial" w:cs="Arial"/>
          <w:sz w:val="24"/>
          <w:szCs w:val="24"/>
        </w:rPr>
        <w:instrText>ADDIN CSL_CITATION {"citationItems":[{"id":"ITEM-1","itemData":{"DOI":"10.1016/0263-7855(96)00018-5","ISSN":"02637855","PMID":"8744570","abstract":"VMD is a molecular graphics program designed for the display and analysis of molecular assemblies, in particular biopolymers such as proteins and nucleic acids. VMD can simultaneously display any number of structures using a wide variety of rendering styles and coloring methods. Molecules are displayed as one or more 'representations,' in which each representation embodies a particular rendering method and coloring scheme for a selected subset of atoms. The atoms displayed in each representation are chosen using an extensive atom selection syntax, which includes Boolean operators and regular expressions. VMD provides a complete graphical user interface for program control, as well as a text interface using the Tcl embeddable parser to allow for complex scripts with variable substitution, control loops, and function calls. Full session logging is supported, which produces a VMD command script for later playback. High-resolution raster images of displayed molecules may be produced by generating input scripts for use by a number of photorealistic image-rendering applications. VMD has also been expressly designed with the ability to animate molecular dynamics (MD) simulation trajectories, imported either from files or from a direct connection to a running MD simulation. VMD is the visualization component of MDScope, a set of tools for interactive problem solving in structural biology, which also includes the parallel MD program NAMD, and the MDCOMM software used to connect the visualization and simulation programs. VMD is written in C++, using an object-oriented design; the program, including source code and extensive documentation, is freely available via anonymous ftp and through the World Wide Web.","author":[{"dropping-particle":"","family":"Humphrey","given":"William","non-dropping-particle":"","parse-names":false,"suffix":""},{"dropping-particle":"","family":"Dalke","given":"Andrew","non-dropping-particle":"","parse-names":false,"suffix":""},{"dropping-particle":"","family":"Schulten","given":"Klaus","non-dropping-particle":"","parse-names":false,"suffix":""}],"container-title":"Journal of Molecular Graphics","id":"ITEM-1","issue":"1","issued":{"date-parts":[["1996","2","1"]]},"page":"33-38","publisher":"Elsevier Inc.","title":"VMD: Visual molecular dynamics","type":"article-journal","volume":"14"},"uris":["http://www.mendeley.com/documents/?uuid=9a683658-4a9a-3661-ac4b-16fd2b5924d0"]}],"mendeley":{"formattedCitation":"&lt;sup&gt;75&lt;/sup&gt;","plainTextFormattedCitation":"75","previouslyFormattedCitation":"&lt;sup&gt;75&lt;/sup&gt;"},"properties":{"noteIndex":0},"schema":"https://github.com/citation-style-language/schema/raw/master/csl-citation.json"}</w:instrText>
      </w:r>
      <w:r w:rsidRPr="00E1325C">
        <w:rPr>
          <w:rFonts w:ascii="Arial" w:hAnsi="Arial" w:cs="Arial"/>
          <w:sz w:val="24"/>
          <w:szCs w:val="24"/>
        </w:rPr>
        <w:fldChar w:fldCharType="separate"/>
      </w:r>
      <w:r w:rsidR="007774B6" w:rsidRPr="007774B6">
        <w:rPr>
          <w:rFonts w:ascii="Arial" w:hAnsi="Arial" w:cs="Arial"/>
          <w:noProof/>
          <w:sz w:val="24"/>
          <w:szCs w:val="24"/>
          <w:vertAlign w:val="superscript"/>
        </w:rPr>
        <w:t>75</w:t>
      </w:r>
      <w:r w:rsidRPr="00E1325C">
        <w:rPr>
          <w:rFonts w:ascii="Arial" w:hAnsi="Arial" w:cs="Arial"/>
          <w:sz w:val="24"/>
          <w:szCs w:val="24"/>
        </w:rPr>
        <w:fldChar w:fldCharType="end"/>
      </w:r>
      <w:r w:rsidRPr="00E1325C">
        <w:rPr>
          <w:rFonts w:ascii="Arial" w:hAnsi="Arial" w:cs="Arial"/>
          <w:sz w:val="24"/>
          <w:szCs w:val="24"/>
        </w:rPr>
        <w:t xml:space="preserve">. ASA and glycan contact analyses were performed using the built-in GROMACS tools </w:t>
      </w:r>
      <w:proofErr w:type="spellStart"/>
      <w:r w:rsidRPr="00E1325C">
        <w:rPr>
          <w:rFonts w:ascii="Arial" w:hAnsi="Arial" w:cs="Arial"/>
          <w:i/>
          <w:iCs/>
          <w:sz w:val="24"/>
          <w:szCs w:val="24"/>
        </w:rPr>
        <w:t>gmx</w:t>
      </w:r>
      <w:proofErr w:type="spellEnd"/>
      <w:r w:rsidRPr="00E1325C">
        <w:rPr>
          <w:rFonts w:ascii="Arial" w:hAnsi="Arial" w:cs="Arial"/>
          <w:i/>
          <w:iCs/>
          <w:sz w:val="24"/>
          <w:szCs w:val="24"/>
        </w:rPr>
        <w:t xml:space="preserve"> </w:t>
      </w:r>
      <w:proofErr w:type="spellStart"/>
      <w:r w:rsidRPr="00E1325C">
        <w:rPr>
          <w:rFonts w:ascii="Arial" w:hAnsi="Arial" w:cs="Arial"/>
          <w:i/>
          <w:iCs/>
          <w:sz w:val="24"/>
          <w:szCs w:val="24"/>
        </w:rPr>
        <w:t>sasa</w:t>
      </w:r>
      <w:proofErr w:type="spellEnd"/>
      <w:r w:rsidRPr="00E1325C">
        <w:rPr>
          <w:rFonts w:ascii="Arial" w:hAnsi="Arial" w:cs="Arial"/>
          <w:sz w:val="24"/>
          <w:szCs w:val="24"/>
        </w:rPr>
        <w:t xml:space="preserve"> and </w:t>
      </w:r>
      <w:proofErr w:type="spellStart"/>
      <w:r w:rsidRPr="00E1325C">
        <w:rPr>
          <w:rFonts w:ascii="Arial" w:hAnsi="Arial" w:cs="Arial"/>
          <w:i/>
          <w:iCs/>
          <w:sz w:val="24"/>
          <w:szCs w:val="24"/>
        </w:rPr>
        <w:t>gmx</w:t>
      </w:r>
      <w:proofErr w:type="spellEnd"/>
      <w:r w:rsidRPr="00E1325C">
        <w:rPr>
          <w:rFonts w:ascii="Arial" w:hAnsi="Arial" w:cs="Arial"/>
          <w:i/>
          <w:iCs/>
          <w:sz w:val="24"/>
          <w:szCs w:val="24"/>
        </w:rPr>
        <w:t xml:space="preserve"> select</w:t>
      </w:r>
      <w:r w:rsidRPr="00E1325C">
        <w:rPr>
          <w:rFonts w:ascii="Arial" w:hAnsi="Arial" w:cs="Arial"/>
          <w:sz w:val="24"/>
          <w:szCs w:val="24"/>
        </w:rPr>
        <w:t xml:space="preserve">. </w:t>
      </w:r>
    </w:p>
    <w:p w14:paraId="35F68894" w14:textId="77777777" w:rsidR="00943E15" w:rsidRPr="006B3D43" w:rsidRDefault="00943E15" w:rsidP="006B3D43">
      <w:pPr>
        <w:spacing w:line="360" w:lineRule="auto"/>
        <w:jc w:val="both"/>
        <w:rPr>
          <w:rFonts w:ascii="Arial" w:hAnsi="Arial" w:cs="Arial"/>
          <w:b/>
          <w:bCs/>
          <w:sz w:val="24"/>
          <w:szCs w:val="24"/>
        </w:rPr>
      </w:pPr>
    </w:p>
    <w:p w14:paraId="77410B2C" w14:textId="77777777" w:rsidR="008E170C" w:rsidRPr="006B3D43" w:rsidRDefault="008E170C" w:rsidP="006B3D43">
      <w:pPr>
        <w:jc w:val="both"/>
        <w:rPr>
          <w:rFonts w:ascii="Arial" w:hAnsi="Arial" w:cs="Arial"/>
          <w:b/>
          <w:bCs/>
          <w:sz w:val="28"/>
          <w:szCs w:val="28"/>
        </w:rPr>
      </w:pPr>
      <w:r w:rsidRPr="006B3D43">
        <w:rPr>
          <w:rFonts w:ascii="Arial" w:hAnsi="Arial" w:cs="Arial"/>
          <w:b/>
          <w:bCs/>
          <w:sz w:val="28"/>
          <w:szCs w:val="28"/>
        </w:rPr>
        <w:br w:type="page"/>
      </w:r>
    </w:p>
    <w:p w14:paraId="69E44184" w14:textId="77777777" w:rsidR="007A5564" w:rsidRPr="006B3D43" w:rsidRDefault="007A5564" w:rsidP="006B3D43">
      <w:pPr>
        <w:spacing w:line="360" w:lineRule="auto"/>
        <w:jc w:val="both"/>
        <w:rPr>
          <w:rFonts w:ascii="Arial" w:hAnsi="Arial" w:cs="Arial"/>
          <w:b/>
          <w:bCs/>
          <w:sz w:val="24"/>
          <w:szCs w:val="24"/>
        </w:rPr>
      </w:pPr>
      <w:r w:rsidRPr="006B3D43">
        <w:rPr>
          <w:rFonts w:ascii="Arial" w:hAnsi="Arial" w:cs="Arial"/>
          <w:b/>
          <w:bCs/>
          <w:sz w:val="24"/>
          <w:szCs w:val="24"/>
        </w:rPr>
        <w:lastRenderedPageBreak/>
        <w:t>Results</w:t>
      </w:r>
    </w:p>
    <w:p w14:paraId="74B24981" w14:textId="06203949" w:rsidR="007A5564" w:rsidRPr="006B3D43" w:rsidRDefault="007A5564" w:rsidP="006B3D43">
      <w:pPr>
        <w:spacing w:line="360" w:lineRule="auto"/>
        <w:jc w:val="both"/>
        <w:rPr>
          <w:rFonts w:ascii="Arial" w:hAnsi="Arial" w:cs="Arial"/>
          <w:b/>
          <w:bCs/>
          <w:sz w:val="24"/>
          <w:szCs w:val="24"/>
        </w:rPr>
      </w:pPr>
      <w:r w:rsidRPr="006B3D43">
        <w:rPr>
          <w:rFonts w:ascii="Arial" w:hAnsi="Arial" w:cs="Arial"/>
          <w:b/>
          <w:bCs/>
          <w:sz w:val="24"/>
          <w:szCs w:val="24"/>
        </w:rPr>
        <w:t>Expression and purification of recombinant S protein from multiple sources</w:t>
      </w:r>
      <w:r w:rsidR="00D76DE0">
        <w:rPr>
          <w:rFonts w:ascii="Arial" w:hAnsi="Arial" w:cs="Arial"/>
          <w:b/>
          <w:bCs/>
          <w:sz w:val="24"/>
          <w:szCs w:val="24"/>
        </w:rPr>
        <w:t>.</w:t>
      </w:r>
    </w:p>
    <w:p w14:paraId="243CFE52" w14:textId="2F4B57D8" w:rsidR="00BB283E" w:rsidRPr="006B3D43" w:rsidRDefault="00BB283E" w:rsidP="006B3D43">
      <w:pPr>
        <w:spacing w:line="360" w:lineRule="auto"/>
        <w:jc w:val="both"/>
        <w:rPr>
          <w:rFonts w:ascii="Arial" w:hAnsi="Arial" w:cs="Arial"/>
          <w:sz w:val="24"/>
          <w:szCs w:val="24"/>
        </w:rPr>
      </w:pPr>
      <w:r w:rsidRPr="006B3D43">
        <w:rPr>
          <w:rFonts w:ascii="Arial" w:hAnsi="Arial" w:cs="Arial"/>
          <w:sz w:val="24"/>
          <w:szCs w:val="24"/>
        </w:rPr>
        <w:t xml:space="preserve">In order to define the variability in </w:t>
      </w:r>
      <w:r w:rsidR="00491D3B">
        <w:rPr>
          <w:rFonts w:ascii="Arial" w:hAnsi="Arial" w:cs="Arial"/>
          <w:sz w:val="24"/>
          <w:szCs w:val="24"/>
        </w:rPr>
        <w:t xml:space="preserve">trimeric </w:t>
      </w:r>
      <w:r w:rsidRPr="006B3D43">
        <w:rPr>
          <w:rFonts w:ascii="Arial" w:hAnsi="Arial" w:cs="Arial"/>
          <w:sz w:val="24"/>
          <w:szCs w:val="24"/>
        </w:rPr>
        <w:t>recombinant S protein glycosylation and compare recombinant and viral derived S protein we obtained preparations of recombinant S protein from a range of laboratories</w:t>
      </w:r>
      <w:r w:rsidR="00B51562">
        <w:rPr>
          <w:rFonts w:ascii="Arial" w:hAnsi="Arial" w:cs="Arial"/>
          <w:sz w:val="24"/>
          <w:szCs w:val="24"/>
        </w:rPr>
        <w:t>.</w:t>
      </w:r>
      <w:r w:rsidR="00DF0899">
        <w:rPr>
          <w:rFonts w:ascii="Arial" w:hAnsi="Arial" w:cs="Arial"/>
          <w:sz w:val="24"/>
          <w:szCs w:val="24"/>
        </w:rPr>
        <w:t xml:space="preserve"> These include the Amsterdam </w:t>
      </w:r>
      <w:r w:rsidR="00B51562">
        <w:rPr>
          <w:rFonts w:ascii="Arial" w:hAnsi="Arial" w:cs="Arial"/>
          <w:sz w:val="24"/>
          <w:szCs w:val="24"/>
        </w:rPr>
        <w:t>M</w:t>
      </w:r>
      <w:r w:rsidR="00DF0899">
        <w:rPr>
          <w:rFonts w:ascii="Arial" w:hAnsi="Arial" w:cs="Arial"/>
          <w:sz w:val="24"/>
          <w:szCs w:val="24"/>
        </w:rPr>
        <w:t xml:space="preserve">edical </w:t>
      </w:r>
      <w:r w:rsidR="00B51562">
        <w:rPr>
          <w:rFonts w:ascii="Arial" w:hAnsi="Arial" w:cs="Arial"/>
          <w:sz w:val="24"/>
          <w:szCs w:val="24"/>
        </w:rPr>
        <w:t>C</w:t>
      </w:r>
      <w:r w:rsidR="00DF0899">
        <w:rPr>
          <w:rFonts w:ascii="Arial" w:hAnsi="Arial" w:cs="Arial"/>
          <w:sz w:val="24"/>
          <w:szCs w:val="24"/>
        </w:rPr>
        <w:t xml:space="preserve">entre (Amsterdam), Harvard Medical School (Harvard), </w:t>
      </w:r>
      <w:r w:rsidR="00E61F00">
        <w:rPr>
          <w:rFonts w:ascii="Arial" w:hAnsi="Arial" w:cs="Arial"/>
          <w:sz w:val="24"/>
          <w:szCs w:val="24"/>
        </w:rPr>
        <w:t xml:space="preserve"> Switzerland</w:t>
      </w:r>
      <w:r w:rsidR="00D12BF9">
        <w:rPr>
          <w:rFonts w:ascii="Arial" w:hAnsi="Arial" w:cs="Arial"/>
          <w:sz w:val="24"/>
          <w:szCs w:val="24"/>
        </w:rPr>
        <w:t xml:space="preserve">, The </w:t>
      </w:r>
      <w:proofErr w:type="spellStart"/>
      <w:r w:rsidR="00D12BF9">
        <w:rPr>
          <w:rFonts w:ascii="Arial" w:hAnsi="Arial" w:cs="Arial"/>
          <w:sz w:val="24"/>
          <w:szCs w:val="24"/>
        </w:rPr>
        <w:t>Wellcome</w:t>
      </w:r>
      <w:proofErr w:type="spellEnd"/>
      <w:r w:rsidR="00D12BF9">
        <w:rPr>
          <w:rFonts w:ascii="Arial" w:hAnsi="Arial" w:cs="Arial"/>
          <w:sz w:val="24"/>
          <w:szCs w:val="24"/>
        </w:rPr>
        <w:t xml:space="preserve"> </w:t>
      </w:r>
      <w:proofErr w:type="spellStart"/>
      <w:r w:rsidR="00D12BF9">
        <w:rPr>
          <w:rFonts w:ascii="Arial" w:hAnsi="Arial" w:cs="Arial"/>
          <w:sz w:val="24"/>
          <w:szCs w:val="24"/>
        </w:rPr>
        <w:t>centre</w:t>
      </w:r>
      <w:proofErr w:type="spellEnd"/>
      <w:r w:rsidR="00D12BF9">
        <w:rPr>
          <w:rFonts w:ascii="Arial" w:hAnsi="Arial" w:cs="Arial"/>
          <w:sz w:val="24"/>
          <w:szCs w:val="24"/>
        </w:rPr>
        <w:t xml:space="preserve"> for Human genetics (Oxford) and Biological Sciences/University of </w:t>
      </w:r>
      <w:r w:rsidR="008F39B0">
        <w:rPr>
          <w:rFonts w:ascii="Arial" w:hAnsi="Arial" w:cs="Arial"/>
          <w:sz w:val="24"/>
          <w:szCs w:val="24"/>
        </w:rPr>
        <w:t xml:space="preserve">Texas at </w:t>
      </w:r>
      <w:r w:rsidR="00D12BF9">
        <w:rPr>
          <w:rFonts w:ascii="Arial" w:hAnsi="Arial" w:cs="Arial"/>
          <w:sz w:val="24"/>
          <w:szCs w:val="24"/>
        </w:rPr>
        <w:t>Austin (Southampton/Texas)</w:t>
      </w:r>
      <w:r w:rsidR="002C75C9">
        <w:rPr>
          <w:rFonts w:ascii="Arial" w:hAnsi="Arial" w:cs="Arial"/>
          <w:sz w:val="24"/>
          <w:szCs w:val="24"/>
        </w:rPr>
        <w:t xml:space="preserve"> </w:t>
      </w:r>
      <w:r w:rsidR="00D12BF9">
        <w:rPr>
          <w:rFonts w:ascii="Arial" w:hAnsi="Arial" w:cs="Arial"/>
          <w:sz w:val="24"/>
          <w:szCs w:val="24"/>
        </w:rPr>
        <w:fldChar w:fldCharType="begin" w:fldLock="1"/>
      </w:r>
      <w:r w:rsidR="007774B6">
        <w:rPr>
          <w:rFonts w:ascii="Arial" w:hAnsi="Arial" w:cs="Arial"/>
          <w:sz w:val="24"/>
          <w:szCs w:val="24"/>
        </w:rPr>
        <w:instrText>ADDIN CSL_CITATION {"citationItems":[{"id":"ITEM-1","itemData":{"DOI":"10.1126/science.abb2507","ISSN":"10959203","PMID":"32075877","abstract":"The outbreak of a novel coronavirus (2019-nCoV) represents a pandemic threat that has been declared a public health emergency of international concern. The CoV spike (S) glycoprotein is a key target for vaccines, therapeutic antibodies, and diagnostics. To facilitate medical countermeasure development, we determined a 3.5-angstrom-resolution cryo-electron microscopy structure of the 2019-nCoV S trimer in the prefusion conformation. The predominant state of the trimer has one of the three receptor-binding domains (RBDs) rotated up in a receptor-accessible conformation. We also provide biophysical and structural evidence that the 2019-nCoV S protein binds angiotensin-converting enzyme 2 (ACE2) with higher affinity than does severe acute respiratory syndrome (SARS)-CoV S. Additionally, we tested several published SARS-CoV RBD-specific monoclonal antibodies and found that they do not have appreciable binding to 2019-nCoV S, suggesting that antibody cross-reactivity may be limited between the two RBDs. The structure of 2019-nCoV S should enable the rapid development and evaluation of medical countermeasures to address the ongoing public health crisis.","author":[{"dropping-particle":"","family":"Wrapp","given":"Daniel","non-dropping-particle":"","parse-names":false,"suffix":""},{"dropping-particle":"","family":"Wang","given":"Nianshuang","non-dropping-particle":"","parse-names":false,"suffix":""},{"dropping-particle":"","family":"Corbett","given":"Kizzmekia S.","non-dropping-particle":"","parse-names":false,"suffix":""},{"dropping-particle":"","family":"Goldsmith","given":"Jory A.","non-dropping-particle":"","parse-names":false,"suffix":""},{"dropping-particle":"","family":"Hsieh","given":"Ching Lin","non-dropping-particle":"","parse-names":false,"suffix":""},{"dropping-particle":"","family":"Abiona","given":"Olubukola","non-dropping-particle":"","parse-names":false,"suffix":""},{"dropping-particle":"","family":"Graham","given":"Barney S.","non-dropping-particle":"","parse-names":false,"suffix":""},{"dropping-particle":"","family":"McLellan","given":"Jason S.","non-dropping-particle":"","parse-names":false,"suffix":""}],"container-title":"Science","id":"ITEM-1","issue":"6483","issued":{"date-parts":[["2020"]]},"page":"1260-1263","title":"Cryo-EM structure of the 2019-nCoV spike in the prefusion conformation","type":"article-journal","volume":"367"},"uris":["http://www.mendeley.com/documents/?uuid=f7160f7d-2d82-4a0a-b66f-1211c4e35985"]},{"id":"ITEM-2","itemData":{"DOI":"10.3390/pr8121539","ISSN":"22279717","abstract":"The spike protein of the pandemic human corona virus is essential for its entry into human cells. In fact, most neutralizing antibodies against Severe Acute Respiratory Syndrome Corona Virus 2 (SARS-CoV-2) are directed against the Virus-surface exposed spike protein, making it the antigen of choice for use in vaccines and diagnostic tests. In the current pandemic context, global demand for spike proteins has rapidly increased and could exceed hundreds of grams to kilograms annually. Coronavirus spikes are large heavily glycosylated homo-trimeric complexes, with inherent instability. The poor manufacturability now threatens the availability of these proteins for vaccines and diagnostic tests. Here, we outline scalable, Good Manufacturing Practice (GMP) compliant, and chemically defined processes for the production of two cell-secreted stabilized forms of the trimeric spike proteins (Wuhan and D614G variant). The processes are chemically defined and based on clonal suspension-CHO cell populations and on protein purification via a two-step scalable downstream process. The trimeric conformation was confirmed using electron microscopy and HPLC analysis. Binding to susceptible cells was shown using a virus-inhibition assay. The diagnostic sensitivity and specificity for detection of serum SARS-CoV-2-specific-immunoglobulin molecules was found to exceed that of spike fragments (Spike subunit-1, S1 and Receptor Binding Domain, RBD). The process described here will enable production of sufficient high-quality trimeric spike protein to meet the global demand for SARS-CoV-2 diagnostic tests and potentially vaccines.","author":[{"dropping-particle":"","family":"Pino","given":"Paco","non-dropping-particle":"","parse-names":false,"suffix":""},{"dropping-particle":"","family":"Kint","given":"Joeri","non-dropping-particle":"","parse-names":false,"suffix":""},{"dropping-particle":"","family":"Kiseljak","given":"Divor","non-dropping-particle":"","parse-names":false,"suffix":""},{"dropping-particle":"","family":"Agnolon","given":"Valentina","non-dropping-particle":"","parse-names":false,"suffix":""},{"dropping-particle":"","family":"Corradin","given":"Giampietro","non-dropping-particle":"","parse-names":false,"suffix":""},{"dropping-particle":"V.","family":"Kajava","given":"Andrey","non-dropping-particle":"","parse-names":false,"suffix":""},{"dropping-particle":"","family":"Rovero","given":"Paolo","non-dropping-particle":"","parse-names":false,"suffix":""},{"dropping-particle":"","family":"Dijkman","given":"Ronald","non-dropping-particle":"","parse-names":false,"suffix":""},{"dropping-particle":"Den","family":"Hartog","given":"Gerco","non-dropping-particle":"","parse-names":false,"suffix":""},{"dropping-particle":"","family":"McLellan","given":"Jason S.","non-dropping-particle":"","parse-names":false,"suffix":""},{"dropping-particle":"","family":"Byrne","given":"Patrick O.","non-dropping-particle":"","parse-names":false,"suffix":""},{"dropping-particle":"","family":"Wurm","given":"Maria J.","non-dropping-particle":"","parse-names":false,"suffix":""},{"dropping-particle":"","family":"Wurm","given":"Florian M.","non-dropping-particle":"","parse-names":false,"suffix":""}],"container-title":"Processes","id":"ITEM-2","issue":"12","issued":{"date-parts":[["2020","11","25"]]},"page":"1-11","publisher":"MDPI AG","title":"Trimeric SARS-CoV-2 spike proteins produced from CHO cells in bioreactors are high-quality antigens","type":"article-journal","volume":"8"},"uris":["http://www.mendeley.com/documents/?uuid=6389ebc2-455f-3369-8235-413075ebf8d2"]},{"id":"ITEM-3","itemData":{"DOI":"10.1002/bit.27615","ISSN":"0006-3592","author":[{"dropping-particle":"","family":"Johari","given":"Yusuf B.","non-dropping-particle":"","parse-names":false,"suffix":""},{"dropping-particle":"","family":"Jaffé","given":"Stephen R. P.","non-dropping-particle":"","parse-names":false,"suffix":""},{"dropping-particle":"","family":"Scarrott","given":"Joseph M.","non-dropping-particle":"","parse-names":false,"suffix":""},{"dropping-particle":"","family":"Johnson","given":"Abayomi O.","non-dropping-particle":"","parse-names":false,"suffix":""},{"dropping-particle":"","family":"Mozzanino","given":"Théo","non-dropping-particle":"","parse-names":false,"suffix":""},{"dropping-particle":"","family":"Pohle","given":"Thilo H.","non-dropping-particle":"","parse-names":false,"suffix":""},{"dropping-particle":"","family":"Maisuria","given":"Sheetal","non-dropping-particle":"","parse-names":false,"suffix":""},{"dropping-particle":"","family":"Bhayat</w:instrText>
      </w:r>
      <w:r w:rsidR="007774B6">
        <w:rPr>
          <w:rFonts w:ascii="Cambria Math" w:hAnsi="Cambria Math" w:cs="Cambria Math"/>
          <w:sz w:val="24"/>
          <w:szCs w:val="24"/>
        </w:rPr>
        <w:instrText>‐</w:instrText>
      </w:r>
      <w:r w:rsidR="007774B6">
        <w:rPr>
          <w:rFonts w:ascii="Arial" w:hAnsi="Arial" w:cs="Arial"/>
          <w:sz w:val="24"/>
          <w:szCs w:val="24"/>
        </w:rPr>
        <w:instrText>Cammack","given":"Amina","non-dropping-particle":"","parse-names":false,"suffix":""},{"dropping-particle":"","family":"Lambiase","given":"Giulia","non-dropping-particle":"","parse-names":false,"suffix":""},{"dropping-particle":"","family":"Brown","given":"Adam J.","non-dropping-particle":"","parse-names":false,"suffix":""},{"dropping-particle":"","family":"Tee","given":"Kang Lan","non-dropping-particle":"","parse-names":false,"suffix":""},{"dropping-particle":"","family":"Jackson","given":"Philip J.","non-dropping-particle":"","parse-names":false,"suffix":""},{"dropping-particle":"","family":"Wong","given":"Tuck Seng","non-dropping-particle":"","parse-names":false,"suffix":""},{"dropping-particle":"","family":"Dickman","given":"Mark J.","non-dropping-particle":"","parse-names":false,"suffix":""},{"dropping-particle":"","family":"Sargur","given":"Ravishankar B.","non-dropping-particle":"","parse-names":false,"suffix":""},{"dropping-particle":"","family":"James","given":"David C.","non-dropping-particle":"","parse-names":false,"suffix":""}],"container-title":"Biotechnology and Bioengineering","id":"ITEM-3","issue":"2","issued":{"date-parts":[["2021","2","11"]]},"page":"1013-1021","publisher":"Wiley","title":"Production of trimeric SARS</w:instrText>
      </w:r>
      <w:r w:rsidR="007774B6">
        <w:rPr>
          <w:rFonts w:ascii="Cambria Math" w:hAnsi="Cambria Math" w:cs="Cambria Math"/>
          <w:sz w:val="24"/>
          <w:szCs w:val="24"/>
        </w:rPr>
        <w:instrText>‐</w:instrText>
      </w:r>
      <w:r w:rsidR="007774B6">
        <w:rPr>
          <w:rFonts w:ascii="Arial" w:hAnsi="Arial" w:cs="Arial"/>
          <w:sz w:val="24"/>
          <w:szCs w:val="24"/>
        </w:rPr>
        <w:instrText>CoV</w:instrText>
      </w:r>
      <w:r w:rsidR="007774B6">
        <w:rPr>
          <w:rFonts w:ascii="Cambria Math" w:hAnsi="Cambria Math" w:cs="Cambria Math"/>
          <w:sz w:val="24"/>
          <w:szCs w:val="24"/>
        </w:rPr>
        <w:instrText>‐</w:instrText>
      </w:r>
      <w:r w:rsidR="007774B6">
        <w:rPr>
          <w:rFonts w:ascii="Arial" w:hAnsi="Arial" w:cs="Arial"/>
          <w:sz w:val="24"/>
          <w:szCs w:val="24"/>
        </w:rPr>
        <w:instrText>2 spike protein by CHO cells for serological COVID</w:instrText>
      </w:r>
      <w:r w:rsidR="007774B6">
        <w:rPr>
          <w:rFonts w:ascii="Cambria Math" w:hAnsi="Cambria Math" w:cs="Cambria Math"/>
          <w:sz w:val="24"/>
          <w:szCs w:val="24"/>
        </w:rPr>
        <w:instrText>‐</w:instrText>
      </w:r>
      <w:r w:rsidR="007774B6">
        <w:rPr>
          <w:rFonts w:ascii="Arial" w:hAnsi="Arial" w:cs="Arial"/>
          <w:sz w:val="24"/>
          <w:szCs w:val="24"/>
        </w:rPr>
        <w:instrText>19 testing","type":"article-journal","volume":"118"},"uris":["http://www.mendeley.com/documents/?uuid=3b37b3af-1d1f-3749-bb8f-9f34cc6c5572"]},{"id":"ITEM-4","itemData":{"DOI":"10.1016/j.chom.2020.06.010","ISSN":"19346069","PMID":"32585135","abstract":"Huo et al. find that the antibody CR3022 binds tightly to the receptor binding domain of the SARS-CoV-2 spike at a site different to that used by the receptor. CR3022 effectively neutralizes the virus, and cryo-EM reveals that it disrupts the spike. Such antibodies could have potential as COVID-19 therapeutics.","author":[{"dropping-particle":"","family":"Huo","given":"Jiandong","non-dropping-particle":"","parse-names":false,"suffix":""},{"dropping-particle":"","family":"Zhao","given":"Yuguang","non-dropping-particle":"","parse-names":false,"suffix":""},{"dropping-particle":"","family":"Ren","given":"Jingshan","non-dropping-particle":"","parse-names":false,"suffix":""},{"dropping-particle":"","family":"Zhou","given":"Daming","non-dropping-particle":"","parse-names":false,"suffix":""},{"dropping-particle":"","family":"Duyvesteyn","given":"Helen M.E.","non-dropping-particle":"","parse-names":false,"suffix":""},{"dropping-particle":"","family":"Ginn","given":"Helen M.","non-dropping-particle":"","parse-names":false,"suffix":""},{"dropping-particle":"","family":"Carrique","given":"Loic","non-dropping-particle":"","parse-names":false,"suffix":""},{"dropping-particle":"","family":"Malinauskas","given":"Tomas","non-dropping-particle":"","parse-names":false,"suffix":""},{"dropping-particle":"","family":"Ruza","given":"Reinis R.","non-dropping-particle":"","parse-names":false,"suffix":""},{"dropping-particle":"","family":"Shah","given":"Pranav N.M.","non-dropping-particle":"","parse-names":false,"suffix":""},{"dropping-particle":"","family":"Tan","given":"Tiong Kit","non-dropping-particle":"","parse-names":false,"suffix":""},{"dropping-particle":"","family":"Rijal","given":"Pramila","non-dropping-particle":"","parse-names":false,"suffix":""},{"dropping-particle":"","family":"Coombes","given":"Naomi","non-dropping-particle":"","parse-names":false,"suffix":""},{"dropping-particle":"","family":"Bewley","given":"Kevin R.","non-dropping-particle":"","parse-names":false,"suffix":""},{"dropping-particle":"","family":"Tree","given":"Julia A.","non-dropping-particle":"","parse-names":false,"suffix":""},{"dropping-particle":"","family":"Radecke","given":"Julika","non-dropping-particle":"","parse-names":false,"suffix":""},{"dropping-particle":"","family":"Paterson","given":"Neil G.","non-dropping-particle":"","parse-names":false,"suffix":""},{"dropping-particle":"","family":"Supasa","given":"Piyada","non-dropping-particle":"","parse-names":false,"suffix":""},{"dropping-particle":"","family":"Mongkolsapaya","given":"Juthathip","non-dropping-particle":"","parse-names":false,"suffix":""},{"dropping-particle":"","family":"Screaton","given":"Gavin R.","non-dropping-particle":"","parse-names":false,"suffix":""},{"dropping-particle":"","family":"Carroll","given":"Miles","non-dropping-particle":"","parse-names":false,"suffix":""},{"dropping-particle":"","family":"Townsend","given":"Alain","non-dropping-particle":"","parse-names":false,"suffix":""},{"dropping-particle":"","family":"Fry","given":"Elizabeth E.","non-dropping-particle":"","parse-names":false,"suffix":""},{"dropping-particle":"","family":"Owens","given":"Raymond J.","non-dropping-particle":"","parse-names":false,"suffix":""},{"dropping-particle":"","family":"Stuart","given":"David I.","non-dropping-particle":"","parse-names":false,"suffix":""}],"container-title":"Cell Host and Microbe","id":"ITEM-4","issue":"3","issued":{"date-parts":[["2020","9","9"]]},"page":"445-454.e6","publisher":"Cell Press","title":"Neutralization of SARS-CoV-2 by Destruction of the Prefusion Spike","type":"article-journal","volume":"28"},"uris":["http://www.mendeley.com/documents/?uuid=ddf72979-aca5-374d-b80b-4cea90fd2470"]},{"id":"ITEM-5","itemData":{"DOI":"10.1126/science.abd4251","ISSN":"10959203","PMID":"32694201","abstract":"Intervention strategies are urgently needed to control the severe acute respiratory syndrome coronavirus 2 (SARS-CoV-2) pandemic. The trimeric viral spike (S) protein catalyzes fusion between viral and target cell membranes to initiate infection. Here, we report two cryo-electron microscopy structures derived from a preparation of the full-length S protein, representing its prefusion (2.9-angstrom resolution) and postfusion (3.0-angstrom resolution) conformations, respectively. The spontaneous transition to the postfusion state is independent of target cells. The prefusion trimer has three receptor-binding domains clamped down by a segment adjacent to the fusion peptide. The postfusion structure is strategically decorated by N-linked glycans, suggesting possible protective roles against host immune responses and harsh external conditions. These findings advance our understanding of SARS-CoV-2 entry and may guide the development of vaccines and therapeutics.","author":[{"dropping-particle":"","family":"Cai","given":"Yongfei","non-dropping-particle":"","parse-names":false,"suffix":""},{"dropping-particle":"","family":"Zhang","given":"Jun","non-dropping-particle":"","parse-names":false,"suffix":""},{"dropping-particle":"","family":"Xiao","given":"Tianshu","non-dropping-particle":"","parse-names":false,"suffix":""},{"dropping-particle":"","family":"Peng","given":"Hanqin","non-dropping-particle":"","parse-names":false,"suffix":""},{"dropping-particle":"","family":"Sterling","given":"Sarah M.","non-dropping-particle":"","parse-names":false,"suffix":""},{"dropping-particle":"","family":"Walsh","given":"Richard M.","non-dropping-particle":"","parse-names":false,"suffix":""},{"dropping-particle":"","family":"Rawson","given":"Shaun","non-dropping-particle":"","parse-names":false,"suffix":""},{"dropping-particle":"","family":"Rits-Volloch","given":"Sophia","non-dropping-particle":"","parse-names":false,"suffix":""},{"dropping-particle":"","family":"Chen","given":"Bing","non-dropping-particle":"","parse-names":false,"suffix":""}],"container-title":"Science","id":"ITEM-5","issue":"6511","issued":{"date-parts":[["2020","9","25"]]},"page":"1586-1592","publisher":"American Association for the Advancement of Science","title":"Distinct conformational states of SARS-CoV-2 spike protein","type":"article-journal","volume":"369"},"uris":["http://www.mendeley.com/documents/?uuid=2664ad78-8ac7-4bf1-af8b-a271baccadd8"]},{"id":"ITEM-6","itemData":{"DOI":"10.1126/science.abc5902","ISSN":"10959203","PMID":"32540902","abstract":"The rapid spread of severe acute respiratory syndrome coronavirus 2 (SARS-CoV-2) has had a large impact on global health, travel, and economy. Therefore, preventative and therapeutic measures are urgently needed. Here, we isolated monoclonal antibodies from three convalescent coronavirus disease 2019 (COVID-19) patients using a SARS-CoV-2 stabilized prefusion spike protein. These antibodies had low levels of somatic hypermutation and showed a strong enrichment in VH1-69, VH3-30-3, and VH1-24 gene usage. A subset of the antibodies was able to potently inhibit authentic SARS-CoV-2 infection at a concentration as low as 0.007 micrograms per milliliter. Competition and electron microscopy studies illustrate that the SARS-CoV-2 spike protein contains multiple distinct antigenic sites, including several receptor-binding domain (RBD) epitopes as well as non-RBD epitopes. In addition to providing guidance for vaccine design, the antibodies described here are promising candidates for COVID-19 treatment and prevention.","author":[{"dropping-particle":"","family":"Brouwer","given":"Philip J.M.","non-dropping-particle":"","parse-names":false,"suffix":""},{"dropping-particle":"","family":"Caniels","given":"Tom G.","non-dropping-particle":"","parse-names":false,"suffix":""},{"dropping-particle":"","family":"Straten","given":"Karlijn","non-dropping-particle":"van der","parse-names":false,"suffix":""},{"dropping-particle":"","family":"Snitselaar","given":"Jonne L.","non-dropping-particle":"","parse-names":false,"suffix":""},{"dropping-particle":"","family":"Aldon","given":"Yoann","non-dropping-particle":"","parse-names":false,"suffix":""},{"dropping-particle":"","family":"Bangaru","given":"Sandhya","non-dropping-particle":"","parse-names":false,"suffix":""},{"dropping-particle":"","family":"Torres","given":"Jonathan L.","non-dropping-particle":"","parse-names":false,"suffix":""},{"dropping-particle":"","family":"Okba","given":"Nisreen M.A.","non-dropping-particle":"","parse-names":false,"suffix":""},{"dropping-particle":"","family":"Claireaux","given":"Mathieu","non-dropping-particle":"","parse-names":false,"suffix":""},{"dropping-particle":"","family":"Kerster","given":"Gius","non-dropping-particle":"","parse-names":false,"suffix":""},{"dropping-particle":"","family":"Bentlage","given":"Arthur E.H.","non-dropping-particle":"","parse-names":false,"suffix":""},{"dropping-particle":"","family":"Haaren","given":"Marlies M.","non-dropping-particle":"van","parse-names":false,"suffix":""},{"dropping-particle":"","family":"Guerra","given":"Denise","non-dropping-particle":"","parse-names":false,"suffix":""},{"dropping-particle":"","family":"Burger","given":"Judith A.","non-dropping-particle":"","parse-names":false,"suffix":""},{"dropping-particle":"","family":"Schermer","given":"Edith E.","non-dropping-particle":"","parse-names":false,"suffix":""},{"dropping-particle":"","family":"Verheul","given":"Kirsten D.","non-dropping-particle":"","parse-names":false,"suffix":""},{"dropping-particle":"","family":"Velde","given":"Niels","non-dropping-particle":"van der","parse-names":false,"suffix":""},{"dropping-particle":"","family":"Kooi","given":"Alex","non-dropping-particle":"van der","parse-names":false,"suffix":""},{"dropping-particle":"","family":"Schooten","given":"Jelle","non-dropping-particle":"van","parse-names":false,"suffix":""},{"dropping-particle":"","family":"Breemen","given":"Mariëlle J.","non-dropping-particle":"van","parse-names":false,"suffix":""},{"dropping-particle":"","family":"Bijl","given":"Tom P.L.","non-dropping-particle":"","parse-names":false,"suffix":""},{"dropping-particle":"","family":"Sliepen","given":"Kwinten","non-dropping-particle":"","parse-names":false,"suffix":""},{"dropping-particle":"","family":"Aartse","given":"Aafke","non-dropping-particle":"","parse-names":false,"suffix":""},{"dropping-particle":"","family":"Derking","given":"Ronald","non-dropping-particle":"","parse-names":false,"suffix":""},{"dropping-particle":"","family":"Bontjer","given":"Ilja","non-dropping-particle":"","parse-names":false,"suffix":""},{"dropping-particle":"","family":"Kootstra","given":"Neeltje A.","non-dropping-particle":"","parse-names":false,"suffix":""},{"dropping-particle":"","family":"Joost Wiersinga","given":"W.","non-dropping-particle":"","parse-names":false,"suffix":""},{"dropping-particle":"","family":"Vidarsson","given":"Gestur","non-dropping-particle":"","parse-names":false,"suffix":""},{"dropping-particle":"","family":"Haagmans","given":"Bart L.","non-dropping-particle":"","parse-names":false,"suffix":""},{"dropping-particle":"","family":"Ward","given":"Andrew B.","non-dropping-particle":"","parse-names":false,"suffix":""},{"dropping-particle":"","family":"Bree","given":"Godelieve J.","non-dropping-particle":"de","parse-names":false,"suffix":""},{"dropping-particle":"","family":"Sanders","given":"Rogier W.","non-dropping-particle":"","parse-names":false,"suffix":""},{"dropping-particle":"","family":"Gils","given":"Marit J.","non-dropping-particle":"van","parse-names":false,"suffix":""}],"container-title":"Science","id":"ITEM-6","issue":"6504","issued":{"date-parts":[["2020"]]},"page":"643-650","title":"Potent neutralizing antibodies from COVID-19 patients define multiple targets of vulnerability","type":"article-journal","volume":"369"},"uris":["http://www.mendeley.com/documents/?uuid=27a71b26-596a-4ff8-849c-2daa6b0e254f"]}],"mendeley":{"formattedCitation":"&lt;sup&gt;1,28,53,54,76,77&lt;/sup&gt;","plainTextFormattedCitation":"1,28,53,54,76,77","previouslyFormattedCitation":"&lt;sup&gt;1,28,53,54,76,77&lt;/sup&gt;"},"properties":{"noteIndex":0},"schema":"https://github.com/citation-style-language/schema/raw/master/csl-citation.json"}</w:instrText>
      </w:r>
      <w:r w:rsidR="00D12BF9">
        <w:rPr>
          <w:rFonts w:ascii="Arial" w:hAnsi="Arial" w:cs="Arial"/>
          <w:sz w:val="24"/>
          <w:szCs w:val="24"/>
        </w:rPr>
        <w:fldChar w:fldCharType="separate"/>
      </w:r>
      <w:r w:rsidR="007774B6" w:rsidRPr="007774B6">
        <w:rPr>
          <w:rFonts w:ascii="Arial" w:hAnsi="Arial" w:cs="Arial"/>
          <w:noProof/>
          <w:sz w:val="24"/>
          <w:szCs w:val="24"/>
          <w:vertAlign w:val="superscript"/>
        </w:rPr>
        <w:t>1,28,53,54,76,77</w:t>
      </w:r>
      <w:r w:rsidR="00D12BF9">
        <w:rPr>
          <w:rFonts w:ascii="Arial" w:hAnsi="Arial" w:cs="Arial"/>
          <w:sz w:val="24"/>
          <w:szCs w:val="24"/>
        </w:rPr>
        <w:fldChar w:fldCharType="end"/>
      </w:r>
      <w:r w:rsidR="00D12BF9">
        <w:rPr>
          <w:rFonts w:ascii="Arial" w:hAnsi="Arial" w:cs="Arial"/>
          <w:sz w:val="24"/>
          <w:szCs w:val="24"/>
        </w:rPr>
        <w:t>.</w:t>
      </w:r>
      <w:r w:rsidR="008F39B0">
        <w:rPr>
          <w:rFonts w:ascii="Arial" w:hAnsi="Arial" w:cs="Arial"/>
          <w:sz w:val="24"/>
          <w:szCs w:val="24"/>
        </w:rPr>
        <w:t xml:space="preserve"> </w:t>
      </w:r>
      <w:r w:rsidRPr="006B3D43">
        <w:rPr>
          <w:rFonts w:ascii="Arial" w:hAnsi="Arial" w:cs="Arial"/>
          <w:sz w:val="24"/>
          <w:szCs w:val="24"/>
        </w:rPr>
        <w:t>Whi</w:t>
      </w:r>
      <w:r w:rsidR="008F39B0">
        <w:rPr>
          <w:rFonts w:ascii="Arial" w:hAnsi="Arial" w:cs="Arial"/>
          <w:sz w:val="24"/>
          <w:szCs w:val="24"/>
        </w:rPr>
        <w:t>l</w:t>
      </w:r>
      <w:r w:rsidRPr="006B3D43">
        <w:rPr>
          <w:rFonts w:ascii="Arial" w:hAnsi="Arial" w:cs="Arial"/>
          <w:sz w:val="24"/>
          <w:szCs w:val="24"/>
        </w:rPr>
        <w:t xml:space="preserve">st there are minor differences between the constructs used to produce the S protein the overall design is similar. </w:t>
      </w:r>
      <w:r w:rsidR="00213681" w:rsidRPr="006B3D43">
        <w:rPr>
          <w:rFonts w:ascii="Arial" w:hAnsi="Arial" w:cs="Arial"/>
          <w:sz w:val="24"/>
          <w:szCs w:val="24"/>
        </w:rPr>
        <w:t xml:space="preserve">This involves a truncation of the S protein prior to the C terminus, </w:t>
      </w:r>
      <w:r w:rsidR="00213681">
        <w:rPr>
          <w:rFonts w:ascii="Arial" w:hAnsi="Arial" w:cs="Arial"/>
          <w:sz w:val="24"/>
          <w:szCs w:val="24"/>
        </w:rPr>
        <w:t>replacement of</w:t>
      </w:r>
      <w:r w:rsidR="00213681" w:rsidRPr="006B3D43">
        <w:rPr>
          <w:rFonts w:ascii="Arial" w:hAnsi="Arial" w:cs="Arial"/>
          <w:sz w:val="24"/>
          <w:szCs w:val="24"/>
        </w:rPr>
        <w:t xml:space="preserve"> the furin cleavage site between S1 and S2 with a “GSAS” </w:t>
      </w:r>
      <w:r w:rsidR="006766D8">
        <w:rPr>
          <w:rFonts w:ascii="Arial" w:hAnsi="Arial" w:cs="Arial"/>
          <w:sz w:val="24"/>
          <w:szCs w:val="24"/>
        </w:rPr>
        <w:t>or otherwise mutated linker</w:t>
      </w:r>
      <w:r w:rsidR="002E4E1F">
        <w:rPr>
          <w:rFonts w:ascii="Arial" w:hAnsi="Arial" w:cs="Arial"/>
          <w:sz w:val="24"/>
          <w:szCs w:val="24"/>
        </w:rPr>
        <w:t>, a</w:t>
      </w:r>
      <w:r w:rsidR="002E4E1F" w:rsidRPr="002E4E1F">
        <w:t xml:space="preserve"> </w:t>
      </w:r>
      <w:r w:rsidR="002E4E1F" w:rsidRPr="002E4E1F">
        <w:rPr>
          <w:rFonts w:ascii="Arial" w:hAnsi="Arial" w:cs="Arial"/>
          <w:sz w:val="24"/>
          <w:szCs w:val="24"/>
        </w:rPr>
        <w:t xml:space="preserve">C-terminal T4 </w:t>
      </w:r>
      <w:proofErr w:type="spellStart"/>
      <w:r w:rsidR="002E4E1F" w:rsidRPr="002E4E1F">
        <w:rPr>
          <w:rFonts w:ascii="Arial" w:hAnsi="Arial" w:cs="Arial"/>
          <w:sz w:val="24"/>
          <w:szCs w:val="24"/>
        </w:rPr>
        <w:t>fibritin</w:t>
      </w:r>
      <w:proofErr w:type="spellEnd"/>
      <w:r w:rsidR="002E4E1F" w:rsidRPr="002E4E1F">
        <w:rPr>
          <w:rFonts w:ascii="Arial" w:hAnsi="Arial" w:cs="Arial"/>
          <w:sz w:val="24"/>
          <w:szCs w:val="24"/>
        </w:rPr>
        <w:t xml:space="preserve"> trimerization motif</w:t>
      </w:r>
      <w:r w:rsidR="00213681" w:rsidRPr="006B3D43">
        <w:rPr>
          <w:rFonts w:ascii="Arial" w:hAnsi="Arial" w:cs="Arial"/>
          <w:sz w:val="24"/>
          <w:szCs w:val="24"/>
        </w:rPr>
        <w:t xml:space="preserve"> and </w:t>
      </w:r>
      <w:r w:rsidR="00213681">
        <w:rPr>
          <w:rFonts w:ascii="Arial" w:hAnsi="Arial" w:cs="Arial"/>
          <w:sz w:val="24"/>
          <w:szCs w:val="24"/>
        </w:rPr>
        <w:t>stabilization of</w:t>
      </w:r>
      <w:r w:rsidR="00213681" w:rsidRPr="006B3D43">
        <w:rPr>
          <w:rFonts w:ascii="Arial" w:hAnsi="Arial" w:cs="Arial"/>
          <w:sz w:val="24"/>
          <w:szCs w:val="24"/>
        </w:rPr>
        <w:t xml:space="preserve"> the prefusion</w:t>
      </w:r>
      <w:r w:rsidR="00213681">
        <w:rPr>
          <w:rFonts w:ascii="Arial" w:hAnsi="Arial" w:cs="Arial"/>
          <w:sz w:val="24"/>
          <w:szCs w:val="24"/>
        </w:rPr>
        <w:t xml:space="preserve"> S protein</w:t>
      </w:r>
      <w:r w:rsidR="00213681" w:rsidRPr="006B3D43">
        <w:rPr>
          <w:rFonts w:ascii="Arial" w:hAnsi="Arial" w:cs="Arial"/>
          <w:sz w:val="24"/>
          <w:szCs w:val="24"/>
        </w:rPr>
        <w:t xml:space="preserve"> conformation</w:t>
      </w:r>
      <w:r w:rsidR="00213681">
        <w:rPr>
          <w:rFonts w:ascii="Arial" w:hAnsi="Arial" w:cs="Arial"/>
          <w:sz w:val="24"/>
          <w:szCs w:val="24"/>
        </w:rPr>
        <w:t>s</w:t>
      </w:r>
      <w:r w:rsidR="00213681" w:rsidRPr="006B3D43">
        <w:rPr>
          <w:rFonts w:ascii="Arial" w:hAnsi="Arial" w:cs="Arial"/>
          <w:sz w:val="24"/>
          <w:szCs w:val="24"/>
        </w:rPr>
        <w:t xml:space="preserve"> using proline substitutions</w:t>
      </w:r>
      <w:r w:rsidR="002C75C9">
        <w:rPr>
          <w:rFonts w:ascii="Arial" w:hAnsi="Arial" w:cs="Arial"/>
          <w:sz w:val="24"/>
          <w:szCs w:val="24"/>
        </w:rPr>
        <w:t xml:space="preserve"> </w:t>
      </w:r>
      <w:r w:rsidRPr="006B3D43">
        <w:rPr>
          <w:rFonts w:ascii="Arial" w:hAnsi="Arial" w:cs="Arial"/>
          <w:sz w:val="24"/>
          <w:szCs w:val="24"/>
        </w:rPr>
        <w:fldChar w:fldCharType="begin" w:fldLock="1"/>
      </w:r>
      <w:r w:rsidR="007774B6">
        <w:rPr>
          <w:rFonts w:ascii="Arial" w:hAnsi="Arial" w:cs="Arial"/>
          <w:sz w:val="24"/>
          <w:szCs w:val="24"/>
        </w:rPr>
        <w:instrText xml:space="preserve">ADDIN CSL_CITATION {"citationItems":[{"id":"ITEM-1","itemData":{"DOI":"10.1038/nature17200","ISSN":"14764687","PMID":"26935699","abstract":"HKU1 is a human betacoronavirus that causes mild yet prevalent respiratory disease, and is related to the zoonotic SARS and MERS betacoronaviruses, which have high fatality rates and pandemic potential. Cell tropism and host range is determined in part by the coronavirus spike (S) protein, which binds cellular receptors and mediates membrane fusion. As the largest known class I fusion protein, its size and extensive glycosylation have hindered structural studies of the full ectodomain, thus preventing a molecular understanding of its function and limiting development of effective interventions. Here we present the 4.0 Å resolution structure of the trimeric HKU1 S protein determined using single-particle cryo-electron microscopy. In the pre-fusion conformation, the receptor-binding subunits, S1, rest above the fusion-mediating subunits, S2, preventing their conformational rearrangement. Surprisingly, the S1 C-terminal domains are interdigitated and form extensive quaternary interactions that occlude surfaces known in other coronaviruses to bind protein receptors. These features, along with the location of the two protease sites known to be important for coronavirus entry, provide a structural basis to support a model of membrane fusion mediated by progressive S protein destabilization through receptor binding and proteolytic cleavage. These studies should also serve as a foundation for the structure-based design of betacoronavirus vaccine immunogens.","author":[{"dropping-particle":"","family":"Kirchdoerfer","given":"Robert N.","non-dropping-particle":"","parse-names":false,"suffix":""},{"dropping-particle":"","family":"Cottrell","given":"Christopher A.","non-dropping-particle":"","parse-names":false,"suffix":""},{"dropping-particle":"","family":"Wang","given":"Nianshuang","non-dropping-particle":"","parse-names":false,"suffix":""},{"dropping-particle":"","family":"Pallesen","given":"Jesper","non-dropping-particle":"","parse-names":false,"suffix":""},{"dropping-particle":"","family":"Yassine","given":"Hadi M.","non-dropping-particle":"","parse-names":false,"suffix":""},{"dropping-particle":"","family":"Turner","given":"Hannah L.","non-dropping-particle":"","parse-names":false,"suffix":""},{"dropping-particle":"","family":"Corbett","given":"Kizzmekia S.","non-dropping-particle":"","parse-names":false,"suffix":""},{"dropping-particle":"","family":"Graham","given":"Barney S.","non-dropping-particle":"","parse-names":false,"suffix":""},{"dropping-particle":"","family":"McLellan","given":"Jason S.","non-dropping-particle":"","parse-names":false,"suffix":""},{"dropping-particle":"","family":"Ward","given":"Andrew B.","non-dropping-particle":"","parse-names":false,"suffix":""}],"container-title":"Nature","id":"ITEM-1","issue":"7592","issued":{"date-parts":[["2016"]]},"page":"118-121","title":"Pre-fusion structure of a human coronavirus spike protein","type":"article-journal","volume":"531"},"uris":["http://www.mendeley.com/documents/?uuid=6c61bb84-e9c4-460f-a6ca-b74a0dbd3638"]},{"id":"ITEM-2","itemData":{"DOI":"10.1073/pnas.1707304114","ISSN":"10916490","PMID":"28807998","abstract":"Middle East respiratory syndrome coronavirus (MERS-CoV) is a lineage C betacoronavirus that since its emergence in 2012 has caused outbreaks in human populations with case-fatality rates of </w:instrText>
      </w:r>
      <w:r w:rsidR="007774B6">
        <w:rPr>
          <w:rFonts w:ascii="Cambria Math" w:hAnsi="Cambria Math" w:cs="Cambria Math"/>
          <w:sz w:val="24"/>
          <w:szCs w:val="24"/>
        </w:rPr>
        <w:instrText>∼</w:instrText>
      </w:r>
      <w:r w:rsidR="007774B6">
        <w:rPr>
          <w:rFonts w:ascii="Arial" w:hAnsi="Arial" w:cs="Arial"/>
          <w:sz w:val="24"/>
          <w:szCs w:val="24"/>
        </w:rPr>
        <w:instrText>36%. As in other coronaviruses, the spike (S) glycoprotein of MERS-CoV mediates receptor recognition and membrane fusion and is the primary target of the humoral immune response during infection. Here we use structure-based design to develop a generalizable strategy for retaining coronavirus S proteins in the antigenically optimal prefusion conformation and demonstrate that our engineered immunogen is able to elicit high neutralizing antibody titers against MERS-CoV. We also determined high-resolution structures of the trimeric MERS-CoV S ectodomain in complex with G4, a stem-directed neutralizing antibody. The structures reveal that G4 recognizes a glycosylated loop that is variable among coronaviruses and they define four conformational states of the trimer wherein each receptor-binding domain is either tightly packed at the membrane-distal apex or rotated into a receptor-accessible conformation. Our studies suggest a potential mechanism for fusion initiation through sequential receptor-binding events and provide a foundation for the structure-based design of coronavirus vaccines.","author":[{"dropping-particle":"","family":"Pallesen","given":"Jesper","non-dropping-particle":"","parse-names":false,"suffix":""},{"dropping-particle":"","family":"Wang","given":"Nianshuang","non-dropping-particle":"","parse-names":false,"suffix":""},{"dropping-particle":"","family":"Corbett","given":"Kizzmekia S.","non-dropping-particle":"","parse-names":false,"suffix":""},{"dropping-particle":"","family":"Wrapp","given":"Daniel","non-dropping-particle":"","parse-names":false,"suffix":""},{"dropping-particle":"","family":"Kirchdoerfer","given":"Robert N.","non-dropping-particle":"","parse-names":false,"suffix":""},{"dropping-particle":"","family":"Turner","given":"Hannah L.","non-dropping-particle":"","parse-names":false,"suffix":""},{"dropping-particle":"","family":"Cottrell","given":"Christopher A.","non-dropping-particle":"","parse-names":false,"suffix":""},{"dropping-particle":"","family":"Becker","given":"Michelle M.","non-dropping-particle":"","parse-names":false,"suffix":""},{"dropping-particle":"","family":"Wang","given":"Lingshu","non-dropping-particle":"","parse-names":false,"suffix":""},{"dropping-particle":"","family":"Shi","given":"Wei","non-dropping-particle":"","parse-names":false,"suffix":""},{"dropping-particle":"","family":"Kong","given":"Wing Pui","non-dropping-particle":"","parse-names":false,"suffix":""},{"dropping-particle":"","family":"Andres","given":"Erica L.","non-dropping-particle":"","parse-names":false,"suffix":""},{"dropping-particle":"","family":"Kettenbach","given":"Arminja N.","non-dropping-particle":"","parse-names":false,"suffix":""},{"dropping-particle":"","family":"Denison","given":"Mark R.","non-dropping-particle":"","parse-names":false,"suffix":""},{"dropping-particle":"","family":"Chappell","given":"James D.","non-dropping-particle":"","parse-names":false,"suffix":""},{"dropping-particle":"","family":"Graham","given":"Barney S.","non-dropping-particle":"","parse-names":false,"suffix":""},{"dropping-particle":"","family":"Ward","given":"Andrew B.","non-dropping-particle":"","parse-names":false,"suffix":""},{"dropping-particle":"","family":"McLellan","given":"Jason S.","non-dropping-particle":"","parse-names":false,"suffix":""}],"container-title":"Proceedings of the National Academy of Sciences of the United States of America","id":"ITEM-2","issue":"35","issued":{"date-parts":[["2017"]]},"page":"E7348-E7357","title":"Immunogenicity and structures of a rationally designed prefusion MERS-CoV spike antigen","type":"article-journal","volume":"114"},"uris":["http://www.mendeley.com/documents/?uuid=a8e236ed-accc-426d-bf52-1bf0a72267e6"]},{"id":"ITEM-3","itemData":{"DOI":"10.1126/science.abb2507","ISSN":"10959203","PMID":"32075877","abstract":"The outbreak of a novel coronavirus (2019-nCoV) represents a pandemic threat that has been declared a public health emergency of international concern. The CoV spike (S) glycoprotein is a key target for vaccines, therapeutic antibodies, and diagnostics. To facilitate medical countermeasure development, we determined a 3.5-angstrom-resolution cryo-electron microscopy structure of the 2019-nCoV S trimer in the prefusion conformation. The predominant state of the trimer has one of the three receptor-binding domains (RBDs) rotated up in a receptor-accessible conformation. We also provide biophysical and structural evidence that the 2019-nCoV S protein binds angiotensin-converting enzyme 2 (ACE2) with higher affinity than does severe acute respiratory syndrome (SARS)-CoV S. Additionally, we tested several published SARS-CoV RBD-specific monoclonal antibodies and found that they do not have appreciable binding to 2019-nCoV S, suggesting that antibody cross-reactivity may be limited between the two RBDs. The structure of 2019-nCoV S should enable the rapid development and evaluation of medical countermeasures to address the ongoing public health crisis.","author":[{"dropping-particle":"","family":"Wrapp","given":"Daniel","non-dropping-particle":"","parse-names":false,"suffix":""},{"dropping-particle":"","family":"Wang","given":"Nianshuang","non-dropping-particle":"","parse-names":false,"suffix":""},{"dropping-particle":"","family":"Corbett","given":"Kizzmekia S.","non-dropping-particle":"","parse-names":false,"suffix":""},{"dropping-particle":"","family":"Goldsmith","given":"Jory A.","non-dropping-particle":"","parse-names":false,"suffix":""},{"dropping-particle":"","family":"Hsieh","given":"Ching Lin","non-dropping-particle":"","parse-names":false,"suffix":""},{"dropping-particle":"","family":"Abiona","given":"Olubukola","non-dropping-particle":"","parse-names":false,"suffix":""},{"dropping-particle":"","family":"Graham","given":"Barney S.","non-dropping-particle":"","parse-names":false,"suffix":""},{"dropping-particle":"","family":"McLellan","given":"Jason S.","non-dropping-particle":"","parse-names":false,"suffix":""}],"container-title":"Science","id":"ITEM-3","issue":"6483","issued":{"date-parts":[["2020"]]},"page":"1260-1263","title":"Cryo-EM structure of the 2019-nCoV spike in the prefusion conformation","type":"article-journal","volume":"367"},"uris":["http://www.mendeley.com/documents/?uuid=f7160f7d-2d82-4a0a-b66f-1211c4e35985"]}],"mendeley":{"formattedCitation":"&lt;sup&gt;28,50,78&lt;/sup&gt;","plainTextFormattedCitation":"28,50,78","previouslyFormattedCitation":"&lt;sup&gt;28,50,78&lt;/sup&gt;"},"properties":{"noteIndex":0},"schema":"https://github.com/citation-style-language/schema/raw/master/csl-citation.json"}</w:instrText>
      </w:r>
      <w:r w:rsidRPr="006B3D43">
        <w:rPr>
          <w:rFonts w:ascii="Arial" w:hAnsi="Arial" w:cs="Arial"/>
          <w:sz w:val="24"/>
          <w:szCs w:val="24"/>
        </w:rPr>
        <w:fldChar w:fldCharType="separate"/>
      </w:r>
      <w:r w:rsidR="007774B6" w:rsidRPr="007774B6">
        <w:rPr>
          <w:rFonts w:ascii="Arial" w:hAnsi="Arial" w:cs="Arial"/>
          <w:noProof/>
          <w:sz w:val="24"/>
          <w:szCs w:val="24"/>
          <w:vertAlign w:val="superscript"/>
        </w:rPr>
        <w:t>28,50,78</w:t>
      </w:r>
      <w:r w:rsidRPr="006B3D43">
        <w:rPr>
          <w:rFonts w:ascii="Arial" w:hAnsi="Arial" w:cs="Arial"/>
          <w:sz w:val="24"/>
          <w:szCs w:val="24"/>
        </w:rPr>
        <w:fldChar w:fldCharType="end"/>
      </w:r>
      <w:r w:rsidRPr="006B3D43">
        <w:rPr>
          <w:rFonts w:ascii="Arial" w:hAnsi="Arial" w:cs="Arial"/>
          <w:sz w:val="24"/>
          <w:szCs w:val="24"/>
        </w:rPr>
        <w:t>. The recombinant proteins analyzed contain 22 N-linked glycan sites with the exception of the “Amsterdam” preparation which was truncated prior to the last 3 N-glycans. An alignment of the recombinant proteins was performed and glycan sites are numbered according to the numbering used in previous reports of the site-specific glycosylation of the 2P stabilized S protein (</w:t>
      </w:r>
      <w:r w:rsidR="00F30EED">
        <w:rPr>
          <w:rFonts w:ascii="Arial" w:hAnsi="Arial" w:cs="Arial"/>
          <w:b/>
          <w:bCs/>
          <w:sz w:val="24"/>
          <w:szCs w:val="24"/>
        </w:rPr>
        <w:t>Figure S1</w:t>
      </w:r>
      <w:r w:rsidRPr="006B3D43">
        <w:rPr>
          <w:rFonts w:ascii="Arial" w:hAnsi="Arial" w:cs="Arial"/>
          <w:sz w:val="24"/>
          <w:szCs w:val="24"/>
        </w:rPr>
        <w:t>)</w:t>
      </w:r>
      <w:r w:rsidR="00B51562">
        <w:rPr>
          <w:rFonts w:ascii="Arial" w:hAnsi="Arial" w:cs="Arial"/>
          <w:sz w:val="24"/>
          <w:szCs w:val="24"/>
        </w:rPr>
        <w:t xml:space="preserve"> </w:t>
      </w:r>
      <w:r w:rsidRPr="006B3D43">
        <w:rPr>
          <w:rFonts w:ascii="Arial" w:hAnsi="Arial" w:cs="Arial"/>
          <w:sz w:val="24"/>
          <w:szCs w:val="24"/>
        </w:rPr>
        <w:fldChar w:fldCharType="begin" w:fldLock="1"/>
      </w:r>
      <w:r w:rsidR="008737C8">
        <w:rPr>
          <w:rFonts w:ascii="Arial" w:hAnsi="Arial" w:cs="Arial"/>
          <w:sz w:val="24"/>
          <w:szCs w:val="24"/>
        </w:rPr>
        <w:instrText>ADDIN CSL_CITATION {"citationItems":[{"id":"ITEM-1","itemData":{"DOI":"10.1126/science.abb9983","ISSN":"10959203","PMID":"32366695","abstract":"The emergence of the betacoronavirus, severe acute respiratory syndrome coronavirus 2 (SARS-CoV-2), the causative agent of coronavirus 2019 (COVID-19), represents a considerable threat to global human health. Vaccine development is focused on the principal target of the humoral immune response, the spike (S) glycoprotein, which mediates cell entry and membrane fusion. The SARS-CoV-2 S gene encodes 22 N-linked glycan sequons per protomer, which likely play a role in protein folding and immune evasion. Here, using a site-specific mass spectrometric approach, we reveal the glycan structures on a recombinant SARS-CoV-2 S immunogen. This analysis enables mapping of the glycan-processing states across the trimeric viral spike. We show how SARS-CoV-2 S glycans differ from typical host glycan processing, which may have implications in viral pathobiology and vaccine design.","author":[{"dropping-particle":"","family":"Watanabe","given":"Yasunori","non-dropping-particle":"","parse-names":false,"suffix":""},{"dropping-particle":"","family":"Allen","given":"Joel D.","non-dropping-particle":"","parse-names":false,"suffix":""},{"dropping-particle":"","family":"Wrapp","given":"Daniel","non-dropping-particle":"","parse-names":false,"suffix":""},{"dropping-particle":"","family":"McLellan","given":"Jason S.","non-dropping-particle":"","parse-names":false,"suffix":""},{"dropping-particle":"","family":"Crispin","given":"Max","non-dropping-particle":"","parse-names":false,"suffix":""}],"container-title":"Science","id":"ITEM-1","issue":"6501","issued":{"date-parts":[["2020"]]},"page":"330-333","title":"Site-specific glycan analysis of the SARS-CoV-2 spike","type":"article-journal","volume":"369"},"uris":["http://www.mendeley.com/documents/?uuid=80900bf0-6c44-4584-b433-aefacbb87aed"]}],"mendeley":{"formattedCitation":"&lt;sup&gt;7&lt;/sup&gt;","plainTextFormattedCitation":"7","previouslyFormattedCitation":"&lt;sup&gt;7&lt;/sup&gt;"},"properties":{"noteIndex":0},"schema":"https://github.com/citation-style-language/schema/raw/master/csl-citation.json"}</w:instrText>
      </w:r>
      <w:r w:rsidRPr="006B3D43">
        <w:rPr>
          <w:rFonts w:ascii="Arial" w:hAnsi="Arial" w:cs="Arial"/>
          <w:sz w:val="24"/>
          <w:szCs w:val="24"/>
        </w:rPr>
        <w:fldChar w:fldCharType="separate"/>
      </w:r>
      <w:r w:rsidR="008737C8" w:rsidRPr="008737C8">
        <w:rPr>
          <w:rFonts w:ascii="Arial" w:hAnsi="Arial" w:cs="Arial"/>
          <w:noProof/>
          <w:sz w:val="24"/>
          <w:szCs w:val="24"/>
          <w:vertAlign w:val="superscript"/>
        </w:rPr>
        <w:t>7</w:t>
      </w:r>
      <w:r w:rsidRPr="006B3D43">
        <w:rPr>
          <w:rFonts w:ascii="Arial" w:hAnsi="Arial" w:cs="Arial"/>
          <w:sz w:val="24"/>
          <w:szCs w:val="24"/>
        </w:rPr>
        <w:fldChar w:fldCharType="end"/>
      </w:r>
      <w:r w:rsidRPr="006B3D43">
        <w:rPr>
          <w:rFonts w:ascii="Arial" w:hAnsi="Arial" w:cs="Arial"/>
          <w:sz w:val="24"/>
          <w:szCs w:val="24"/>
        </w:rPr>
        <w:t>. All recombinant proteins were expressed in human embryonic kidney 293 (HEK293) cells</w:t>
      </w:r>
      <w:r w:rsidR="007F2BBB">
        <w:rPr>
          <w:rFonts w:ascii="Arial" w:hAnsi="Arial" w:cs="Arial"/>
          <w:sz w:val="24"/>
          <w:szCs w:val="24"/>
        </w:rPr>
        <w:t xml:space="preserve"> with the Amsterdam, Harvard, and Southampton/Texas S protein preparations produced in HEK293F and the Oxford S protein </w:t>
      </w:r>
      <w:proofErr w:type="spellStart"/>
      <w:r w:rsidR="007F2BBB">
        <w:rPr>
          <w:rFonts w:ascii="Arial" w:hAnsi="Arial" w:cs="Arial"/>
          <w:sz w:val="24"/>
          <w:szCs w:val="24"/>
        </w:rPr>
        <w:t>preparion</w:t>
      </w:r>
      <w:proofErr w:type="spellEnd"/>
      <w:r w:rsidR="007F2BBB">
        <w:rPr>
          <w:rFonts w:ascii="Arial" w:hAnsi="Arial" w:cs="Arial"/>
          <w:sz w:val="24"/>
          <w:szCs w:val="24"/>
        </w:rPr>
        <w:t xml:space="preserve"> in HEK293T. </w:t>
      </w:r>
      <w:r w:rsidR="00E27704">
        <w:rPr>
          <w:rFonts w:ascii="Arial" w:hAnsi="Arial" w:cs="Arial"/>
          <w:sz w:val="24"/>
          <w:szCs w:val="24"/>
        </w:rPr>
        <w:t>T</w:t>
      </w:r>
      <w:r w:rsidR="00E27704" w:rsidRPr="006B3D43">
        <w:rPr>
          <w:rFonts w:ascii="Arial" w:hAnsi="Arial" w:cs="Arial"/>
          <w:sz w:val="24"/>
          <w:szCs w:val="24"/>
        </w:rPr>
        <w:t xml:space="preserve">he </w:t>
      </w:r>
      <w:r w:rsidRPr="006B3D43">
        <w:rPr>
          <w:rFonts w:ascii="Arial" w:hAnsi="Arial" w:cs="Arial"/>
          <w:sz w:val="24"/>
          <w:szCs w:val="24"/>
        </w:rPr>
        <w:t>“</w:t>
      </w:r>
      <w:r w:rsidR="006766D8">
        <w:rPr>
          <w:rFonts w:ascii="Arial" w:hAnsi="Arial" w:cs="Arial"/>
          <w:sz w:val="24"/>
          <w:szCs w:val="24"/>
        </w:rPr>
        <w:t>Swiss</w:t>
      </w:r>
      <w:r w:rsidRPr="006B3D43">
        <w:rPr>
          <w:rFonts w:ascii="Arial" w:hAnsi="Arial" w:cs="Arial"/>
          <w:sz w:val="24"/>
          <w:szCs w:val="24"/>
        </w:rPr>
        <w:t xml:space="preserve">” </w:t>
      </w:r>
      <w:r w:rsidR="002E4E1F">
        <w:rPr>
          <w:rFonts w:ascii="Arial" w:hAnsi="Arial" w:cs="Arial"/>
          <w:sz w:val="24"/>
          <w:szCs w:val="24"/>
        </w:rPr>
        <w:t>S protein</w:t>
      </w:r>
      <w:r w:rsidR="002E4E1F" w:rsidRPr="006B3D43">
        <w:rPr>
          <w:rFonts w:ascii="Arial" w:hAnsi="Arial" w:cs="Arial"/>
          <w:sz w:val="24"/>
          <w:szCs w:val="24"/>
        </w:rPr>
        <w:t xml:space="preserve"> </w:t>
      </w:r>
      <w:r w:rsidRPr="006B3D43">
        <w:rPr>
          <w:rFonts w:ascii="Arial" w:hAnsi="Arial" w:cs="Arial"/>
          <w:sz w:val="24"/>
          <w:szCs w:val="24"/>
        </w:rPr>
        <w:t>was expressed in Chinese hamster ovary (CHO) cells. Following expression and purification</w:t>
      </w:r>
      <w:r w:rsidR="00213681">
        <w:rPr>
          <w:rFonts w:ascii="Arial" w:hAnsi="Arial" w:cs="Arial"/>
          <w:sz w:val="24"/>
          <w:szCs w:val="24"/>
        </w:rPr>
        <w:t>,</w:t>
      </w:r>
      <w:r w:rsidRPr="006B3D43">
        <w:rPr>
          <w:rFonts w:ascii="Arial" w:hAnsi="Arial" w:cs="Arial"/>
          <w:sz w:val="24"/>
          <w:szCs w:val="24"/>
        </w:rPr>
        <w:t xml:space="preserve"> an identical approach was utilized to prepare the recombinant samples for analysis by LC-MS, involving three separate protease digests; trypsin, chymotrypsin and alpha lytic protease. After analysis by LC-MS the site-specific glycosylation of these recombinant samples was compared to previously published viral derived S protein which we searched using the same analytical parameters as for the recombinant proteins</w:t>
      </w:r>
      <w:r w:rsidR="002D5CB9" w:rsidRPr="006B3D43">
        <w:rPr>
          <w:rFonts w:ascii="Arial" w:hAnsi="Arial" w:cs="Arial"/>
          <w:sz w:val="24"/>
          <w:szCs w:val="24"/>
        </w:rPr>
        <w:t xml:space="preserve"> </w:t>
      </w:r>
      <w:r w:rsidR="002D5CB9" w:rsidRPr="006B3D43">
        <w:rPr>
          <w:rFonts w:ascii="Arial" w:hAnsi="Arial" w:cs="Arial"/>
          <w:sz w:val="24"/>
          <w:szCs w:val="24"/>
        </w:rPr>
        <w:fldChar w:fldCharType="begin" w:fldLock="1"/>
      </w:r>
      <w:r w:rsidR="007774B6">
        <w:rPr>
          <w:rFonts w:ascii="Arial" w:hAnsi="Arial" w:cs="Arial"/>
          <w:sz w:val="24"/>
          <w:szCs w:val="24"/>
        </w:rPr>
        <w:instrText xml:space="preserve">ADDIN CSL_CITATION {"citationItems":[{"id":"ITEM-1","itemData":{"DOI":"10.1016/j.cell.2020.09.018","ISSN":"10974172","PMID":"32979942","abstract":"SARS-CoV-2 is an enveloped virus responsible for the COVID-19 pandemic. Despite recent advances in the structural elucidation of SARS-CoV-2 proteins, the detailed architecture of the intact virus remains to be unveiled. Here we report the molecular assembly of the authentic SARS-CoV-2 virus using cryoelectron tomography (cryo-ET) and subtomogram averaging (STA). Native structures of the S proteins in pre- and postfusion conformations were determined to average resolutions of 8.7–11 Å. Compositions of the N-linked glycans from the native spikes were analyzed by mass spectrometry, which revealed overall processing states of the native glycans highly similar to that of the recombinant glycoprotein glycans. The native conformation of the ribonucleoproteins (RNPs) and their higher-order assemblies were revealed. Overall, these characterizations revealed the architecture of the SARS-CoV-2 virus in exceptional detail and shed light on how the virus packs its </w:instrText>
      </w:r>
      <w:r w:rsidR="007774B6">
        <w:rPr>
          <w:rFonts w:ascii="Cambria Math" w:hAnsi="Cambria Math" w:cs="Cambria Math"/>
          <w:sz w:val="24"/>
          <w:szCs w:val="24"/>
        </w:rPr>
        <w:instrText>∼</w:instrText>
      </w:r>
      <w:r w:rsidR="007774B6">
        <w:rPr>
          <w:rFonts w:ascii="Arial" w:hAnsi="Arial" w:cs="Arial"/>
          <w:sz w:val="24"/>
          <w:szCs w:val="24"/>
        </w:rPr>
        <w:instrText xml:space="preserve">30-kb-long single-segmented RNA in the </w:instrText>
      </w:r>
      <w:r w:rsidR="007774B6">
        <w:rPr>
          <w:rFonts w:ascii="Cambria Math" w:hAnsi="Cambria Math" w:cs="Cambria Math"/>
          <w:sz w:val="24"/>
          <w:szCs w:val="24"/>
        </w:rPr>
        <w:instrText>∼</w:instrText>
      </w:r>
      <w:r w:rsidR="007774B6">
        <w:rPr>
          <w:rFonts w:ascii="Arial" w:hAnsi="Arial" w:cs="Arial"/>
          <w:sz w:val="24"/>
          <w:szCs w:val="24"/>
        </w:rPr>
        <w:instrText>80-nm-diameter lumen.","author":[{"dropping-particle":"","family":"Yao","given":"Hangping","non-dropping-particle":"","parse-names":false,"suffix":""},{"dropping-particle":"","family":"Song","given":"Yutong","non-dropping-particle":"","parse-names":false,"suffix":""},{"dropping-particle":"","family":"Chen","given":"Yong","non-dropping-particle":"","parse-names":false,"suffix":""},{"dropping-particle":"","family":"Wu","given":"Nanping","non-dropping-particle":"","parse-names":false,"suffix":""},{"dropping-particle":"","family":"Xu","given":"Jialu","non-dropping-particle":"","parse-names":false,"suffix":""},{"dropping-particle":"","family":"Sun","given":"Chujie","non-dropping-particle":"","parse-names":false,"suffix":""},{"dropping-particle":"","family":"Zhang","given":"Jiaxing","non-dropping-particle":"","parse-names":false,"suffix":""},{"dropping-particle":"","family":"Weng","given":"Tianhao","non-dropping-particle":"","parse-names":false,"suffix":""},{"dropping-particle":"","family":"Zhang","given":"Zheyuan","non-dropping-particle":"","parse-names":false,"suffix":""},{"dropping-particle":"","family":"Wu","given":"Zhigang","non-dropping-particle":"","parse-names":false,"suffix":""},{"dropping-particle":"","family":"Cheng","given":"Linfang","non-dropping-particle":"","parse-names":false,"suffix":""},{"dropping-particle":"","family":"Shi","given":"Danrong","non-dropping-particle":"","parse-names":false,"suffix":""},{"dropping-particle":"","family":"Lu","given":"Xiangyun","non-dropping-particle":"","parse-names":false,"suffix":""},{"dropping-particle":"","family":"Lei","given":"Jianlin","non-dropping-particle":"","parse-names":false,"suffix":""},{"dropping-particle":"","family":"Crispin","given":"Max","non-dropping-particle":"","parse-names":false,"suffix":""},{"dropping-particle":"","family":"Shi","given":"Yigong","non-dropping-particle":"","parse-names":false,"suffix":""},{"dropping-particle":"","family":"Li","given":"Lanjuan","non-dropping-particle":"","parse-names":false,"suffix":""},{"dropping-particle":"","family":"Li","given":"Sai","non-dropping-particle":"","parse-names":false,"suffix":""}],"container-title":"Cell","id":"ITEM-1","issue":"3","issued":{"date-parts":[["2020","10","29"]]},"page":"730-738.e13","publisher":"Cell Press","title":"Molecular Architecture of the SARS-CoV-2 Virus","type":"article-journal","volume":"183"},"uris":["http://www.mendeley.com/documents/?uuid=4662bd08-c13c-3a08-a219-3bcb464b7393"]}],"mendeley":{"formattedCitation":"&lt;sup&gt;32&lt;/sup&gt;","plainTextFormattedCitation":"32","previouslyFormattedCitation":"&lt;sup&gt;32&lt;/sup&gt;"},"properties":{"noteIndex":0},"schema":"https://github.com/citation-style-language/schema/raw/master/csl-citation.json"}</w:instrText>
      </w:r>
      <w:r w:rsidR="002D5CB9" w:rsidRPr="006B3D43">
        <w:rPr>
          <w:rFonts w:ascii="Arial" w:hAnsi="Arial" w:cs="Arial"/>
          <w:sz w:val="24"/>
          <w:szCs w:val="24"/>
        </w:rPr>
        <w:fldChar w:fldCharType="separate"/>
      </w:r>
      <w:r w:rsidR="007774B6" w:rsidRPr="007774B6">
        <w:rPr>
          <w:rFonts w:ascii="Arial" w:hAnsi="Arial" w:cs="Arial"/>
          <w:noProof/>
          <w:sz w:val="24"/>
          <w:szCs w:val="24"/>
          <w:vertAlign w:val="superscript"/>
        </w:rPr>
        <w:t>32</w:t>
      </w:r>
      <w:r w:rsidR="002D5CB9" w:rsidRPr="006B3D43">
        <w:rPr>
          <w:rFonts w:ascii="Arial" w:hAnsi="Arial" w:cs="Arial"/>
          <w:sz w:val="24"/>
          <w:szCs w:val="24"/>
        </w:rPr>
        <w:fldChar w:fldCharType="end"/>
      </w:r>
      <w:r w:rsidRPr="006B3D43">
        <w:rPr>
          <w:rFonts w:ascii="Arial" w:hAnsi="Arial" w:cs="Arial"/>
          <w:sz w:val="24"/>
          <w:szCs w:val="24"/>
        </w:rPr>
        <w:t>.</w:t>
      </w:r>
    </w:p>
    <w:p w14:paraId="77EDDFB2" w14:textId="20C9B506" w:rsidR="007A5564" w:rsidRPr="006B3D43" w:rsidRDefault="007A5564" w:rsidP="006B3D43">
      <w:pPr>
        <w:spacing w:line="360" w:lineRule="auto"/>
        <w:jc w:val="both"/>
        <w:rPr>
          <w:rFonts w:ascii="Arial" w:hAnsi="Arial" w:cs="Arial"/>
          <w:b/>
          <w:bCs/>
          <w:sz w:val="24"/>
          <w:szCs w:val="24"/>
        </w:rPr>
      </w:pPr>
      <w:r w:rsidRPr="006B3D43">
        <w:rPr>
          <w:rFonts w:ascii="Arial" w:hAnsi="Arial" w:cs="Arial"/>
          <w:b/>
          <w:bCs/>
          <w:sz w:val="24"/>
          <w:szCs w:val="24"/>
        </w:rPr>
        <w:t xml:space="preserve">Conservation of </w:t>
      </w:r>
      <w:r w:rsidR="00F948E9" w:rsidRPr="006B3D43">
        <w:rPr>
          <w:rFonts w:ascii="Arial" w:hAnsi="Arial" w:cs="Arial"/>
          <w:b/>
          <w:bCs/>
          <w:sz w:val="24"/>
          <w:szCs w:val="24"/>
        </w:rPr>
        <w:t>under</w:t>
      </w:r>
      <w:r w:rsidR="00F948E9">
        <w:rPr>
          <w:rFonts w:ascii="Arial" w:hAnsi="Arial" w:cs="Arial"/>
          <w:b/>
          <w:bCs/>
          <w:sz w:val="24"/>
          <w:szCs w:val="24"/>
        </w:rPr>
        <w:t>-</w:t>
      </w:r>
      <w:r w:rsidRPr="006B3D43">
        <w:rPr>
          <w:rFonts w:ascii="Arial" w:hAnsi="Arial" w:cs="Arial"/>
          <w:b/>
          <w:bCs/>
          <w:sz w:val="24"/>
          <w:szCs w:val="24"/>
        </w:rPr>
        <w:t xml:space="preserve">processed glycans on </w:t>
      </w:r>
      <w:r w:rsidR="00491D3B">
        <w:rPr>
          <w:rFonts w:ascii="Arial" w:hAnsi="Arial" w:cs="Arial"/>
          <w:b/>
          <w:bCs/>
          <w:sz w:val="24"/>
          <w:szCs w:val="24"/>
        </w:rPr>
        <w:t xml:space="preserve">trimeric </w:t>
      </w:r>
      <w:r w:rsidRPr="006B3D43">
        <w:rPr>
          <w:rFonts w:ascii="Arial" w:hAnsi="Arial" w:cs="Arial"/>
          <w:b/>
          <w:bCs/>
          <w:sz w:val="24"/>
          <w:szCs w:val="24"/>
        </w:rPr>
        <w:t>recombinant and viral-derived S protein</w:t>
      </w:r>
      <w:r w:rsidR="00D76DE0">
        <w:rPr>
          <w:rFonts w:ascii="Arial" w:hAnsi="Arial" w:cs="Arial"/>
          <w:b/>
          <w:bCs/>
          <w:sz w:val="24"/>
          <w:szCs w:val="24"/>
        </w:rPr>
        <w:t>.</w:t>
      </w:r>
    </w:p>
    <w:p w14:paraId="6F5B1D6F" w14:textId="799B77BB" w:rsidR="007541F2" w:rsidRDefault="007A5564" w:rsidP="006B3D43">
      <w:pPr>
        <w:spacing w:line="360" w:lineRule="auto"/>
        <w:jc w:val="both"/>
        <w:rPr>
          <w:rFonts w:ascii="Arial" w:hAnsi="Arial" w:cs="Arial"/>
          <w:sz w:val="24"/>
          <w:szCs w:val="24"/>
        </w:rPr>
      </w:pPr>
      <w:r w:rsidRPr="006B3D43">
        <w:rPr>
          <w:rFonts w:ascii="Arial" w:hAnsi="Arial" w:cs="Arial"/>
          <w:sz w:val="24"/>
          <w:szCs w:val="24"/>
        </w:rPr>
        <w:t>Under</w:t>
      </w:r>
      <w:r w:rsidR="00F948E9">
        <w:rPr>
          <w:rFonts w:ascii="Arial" w:hAnsi="Arial" w:cs="Arial"/>
          <w:sz w:val="24"/>
          <w:szCs w:val="24"/>
        </w:rPr>
        <w:t>-</w:t>
      </w:r>
      <w:r w:rsidRPr="006B3D43">
        <w:rPr>
          <w:rFonts w:ascii="Arial" w:hAnsi="Arial" w:cs="Arial"/>
          <w:sz w:val="24"/>
          <w:szCs w:val="24"/>
        </w:rPr>
        <w:t>processed oligomannose</w:t>
      </w:r>
      <w:r w:rsidR="008F39B0">
        <w:rPr>
          <w:rFonts w:ascii="Arial" w:hAnsi="Arial" w:cs="Arial"/>
          <w:sz w:val="24"/>
          <w:szCs w:val="24"/>
        </w:rPr>
        <w:t>-type</w:t>
      </w:r>
      <w:r w:rsidRPr="006B3D43">
        <w:rPr>
          <w:rFonts w:ascii="Arial" w:hAnsi="Arial" w:cs="Arial"/>
          <w:sz w:val="24"/>
          <w:szCs w:val="24"/>
        </w:rPr>
        <w:t xml:space="preserve"> and hybrid-type glycans are common on viral glycoproteins and commonly arise due to either glycan- or protein-mediated steric clashes with ER and Golgi</w:t>
      </w:r>
      <w:r w:rsidR="008D0913">
        <w:rPr>
          <w:rFonts w:ascii="Arial" w:hAnsi="Arial" w:cs="Arial"/>
          <w:sz w:val="24"/>
          <w:szCs w:val="24"/>
        </w:rPr>
        <w:t xml:space="preserve"> </w:t>
      </w:r>
      <w:r w:rsidRPr="006B3D43">
        <w:rPr>
          <w:rFonts w:ascii="Arial" w:hAnsi="Arial" w:cs="Arial"/>
          <w:sz w:val="24"/>
          <w:szCs w:val="24"/>
        </w:rPr>
        <w:t xml:space="preserve">resident mannosidase enzymes, terminating the glycan </w:t>
      </w:r>
      <w:r w:rsidRPr="006B3D43">
        <w:rPr>
          <w:rFonts w:ascii="Arial" w:hAnsi="Arial" w:cs="Arial"/>
          <w:sz w:val="24"/>
          <w:szCs w:val="24"/>
        </w:rPr>
        <w:lastRenderedPageBreak/>
        <w:t>processing pathway. As the presence of these glycans is linked to the quaternary structure of the protein</w:t>
      </w:r>
      <w:r w:rsidR="003526C8" w:rsidRPr="006B3D43">
        <w:rPr>
          <w:rFonts w:ascii="Arial" w:hAnsi="Arial" w:cs="Arial"/>
          <w:sz w:val="24"/>
          <w:szCs w:val="24"/>
        </w:rPr>
        <w:t>,</w:t>
      </w:r>
      <w:r w:rsidRPr="006B3D43">
        <w:rPr>
          <w:rFonts w:ascii="Arial" w:hAnsi="Arial" w:cs="Arial"/>
          <w:sz w:val="24"/>
          <w:szCs w:val="24"/>
        </w:rPr>
        <w:t xml:space="preserve"> changes in the abundance of these glycoforms can indicate changes in the fine structure of the glycoprotein. To investigate the abundance of these glycans</w:t>
      </w:r>
      <w:r w:rsidR="00D16548" w:rsidRPr="006B3D43">
        <w:rPr>
          <w:rFonts w:ascii="Arial" w:hAnsi="Arial" w:cs="Arial"/>
          <w:sz w:val="24"/>
          <w:szCs w:val="24"/>
        </w:rPr>
        <w:t>,</w:t>
      </w:r>
      <w:r w:rsidRPr="006B3D43">
        <w:rPr>
          <w:rFonts w:ascii="Arial" w:hAnsi="Arial" w:cs="Arial"/>
          <w:sz w:val="24"/>
          <w:szCs w:val="24"/>
        </w:rPr>
        <w:t xml:space="preserve"> we simplified the heterogeneous glycan compositions detected by LC-MS </w:t>
      </w:r>
      <w:r w:rsidR="00491D3B">
        <w:rPr>
          <w:rFonts w:ascii="Arial" w:hAnsi="Arial" w:cs="Arial"/>
          <w:sz w:val="24"/>
          <w:szCs w:val="24"/>
        </w:rPr>
        <w:t xml:space="preserve">into </w:t>
      </w:r>
      <w:r w:rsidR="005224F5">
        <w:rPr>
          <w:rFonts w:ascii="Arial" w:hAnsi="Arial" w:cs="Arial"/>
          <w:sz w:val="24"/>
          <w:szCs w:val="24"/>
        </w:rPr>
        <w:t>three</w:t>
      </w:r>
      <w:r w:rsidR="00491D3B">
        <w:rPr>
          <w:rFonts w:ascii="Arial" w:hAnsi="Arial" w:cs="Arial"/>
          <w:sz w:val="24"/>
          <w:szCs w:val="24"/>
        </w:rPr>
        <w:t xml:space="preserve"> categories, as (1) oligomannose</w:t>
      </w:r>
      <w:r w:rsidR="008F39B0">
        <w:rPr>
          <w:rFonts w:ascii="Arial" w:hAnsi="Arial" w:cs="Arial"/>
          <w:sz w:val="24"/>
          <w:szCs w:val="24"/>
        </w:rPr>
        <w:t>-type</w:t>
      </w:r>
      <w:r w:rsidR="00491D3B">
        <w:rPr>
          <w:rFonts w:ascii="Arial" w:hAnsi="Arial" w:cs="Arial"/>
          <w:sz w:val="24"/>
          <w:szCs w:val="24"/>
        </w:rPr>
        <w:t xml:space="preserve"> and hybrid-type glycans, (</w:t>
      </w:r>
      <w:r w:rsidR="00B51562">
        <w:rPr>
          <w:rFonts w:ascii="Arial" w:hAnsi="Arial" w:cs="Arial"/>
          <w:sz w:val="24"/>
          <w:szCs w:val="24"/>
        </w:rPr>
        <w:t>2</w:t>
      </w:r>
      <w:r w:rsidR="00491D3B">
        <w:rPr>
          <w:rFonts w:ascii="Arial" w:hAnsi="Arial" w:cs="Arial"/>
          <w:sz w:val="24"/>
          <w:szCs w:val="24"/>
        </w:rPr>
        <w:t xml:space="preserve">) complex-type glycans and </w:t>
      </w:r>
      <w:r w:rsidR="00B51562">
        <w:rPr>
          <w:rFonts w:ascii="Arial" w:hAnsi="Arial" w:cs="Arial"/>
          <w:sz w:val="24"/>
          <w:szCs w:val="24"/>
        </w:rPr>
        <w:t xml:space="preserve">(3) </w:t>
      </w:r>
      <w:r w:rsidR="00491D3B">
        <w:rPr>
          <w:rFonts w:ascii="Arial" w:hAnsi="Arial" w:cs="Arial"/>
          <w:sz w:val="24"/>
          <w:szCs w:val="24"/>
        </w:rPr>
        <w:t>the</w:t>
      </w:r>
      <w:r w:rsidR="00B51562">
        <w:rPr>
          <w:rFonts w:ascii="Arial" w:hAnsi="Arial" w:cs="Arial"/>
          <w:sz w:val="24"/>
          <w:szCs w:val="24"/>
        </w:rPr>
        <w:t xml:space="preserve"> </w:t>
      </w:r>
      <w:r w:rsidR="00491D3B">
        <w:rPr>
          <w:rFonts w:ascii="Arial" w:hAnsi="Arial" w:cs="Arial"/>
          <w:sz w:val="24"/>
          <w:szCs w:val="24"/>
        </w:rPr>
        <w:t>proportion of PNGS</w:t>
      </w:r>
      <w:r w:rsidR="00B51562">
        <w:rPr>
          <w:rFonts w:ascii="Arial" w:hAnsi="Arial" w:cs="Arial"/>
          <w:sz w:val="24"/>
          <w:szCs w:val="24"/>
        </w:rPr>
        <w:t xml:space="preserve"> lacking an N-linked glycan. </w:t>
      </w:r>
      <w:r w:rsidR="006F111C" w:rsidRPr="006B3D43">
        <w:rPr>
          <w:rFonts w:ascii="Arial" w:hAnsi="Arial" w:cs="Arial"/>
          <w:sz w:val="24"/>
          <w:szCs w:val="24"/>
        </w:rPr>
        <w:t>Overall,</w:t>
      </w:r>
      <w:r w:rsidRPr="006B3D43">
        <w:rPr>
          <w:rFonts w:ascii="Arial" w:hAnsi="Arial" w:cs="Arial"/>
          <w:sz w:val="24"/>
          <w:szCs w:val="24"/>
        </w:rPr>
        <w:t xml:space="preserve"> the recombinant samples recapitulated the glycan processing observed on the viral derived S protein (</w:t>
      </w:r>
      <w:r w:rsidRPr="006B3D43">
        <w:rPr>
          <w:rFonts w:ascii="Arial" w:hAnsi="Arial" w:cs="Arial"/>
          <w:b/>
          <w:bCs/>
          <w:sz w:val="24"/>
          <w:szCs w:val="24"/>
        </w:rPr>
        <w:t>Figure 1A</w:t>
      </w:r>
      <w:r w:rsidR="008923AD">
        <w:rPr>
          <w:rFonts w:ascii="Arial" w:hAnsi="Arial" w:cs="Arial"/>
          <w:b/>
          <w:bCs/>
          <w:sz w:val="24"/>
          <w:szCs w:val="24"/>
        </w:rPr>
        <w:t xml:space="preserve"> and B</w:t>
      </w:r>
      <w:r w:rsidRPr="006B3D43">
        <w:rPr>
          <w:rFonts w:ascii="Arial" w:hAnsi="Arial" w:cs="Arial"/>
          <w:sz w:val="24"/>
          <w:szCs w:val="24"/>
        </w:rPr>
        <w:t>). Sites</w:t>
      </w:r>
      <w:r w:rsidRPr="006B3D43">
        <w:rPr>
          <w:rFonts w:ascii="Arial" w:hAnsi="Arial" w:cs="Arial"/>
        </w:rPr>
        <w:t xml:space="preserve"> </w:t>
      </w:r>
      <w:r w:rsidRPr="006B3D43">
        <w:rPr>
          <w:rFonts w:ascii="Arial" w:hAnsi="Arial" w:cs="Arial"/>
          <w:sz w:val="24"/>
          <w:szCs w:val="24"/>
        </w:rPr>
        <w:t>on the viral-derived material with an abundance of under</w:t>
      </w:r>
      <w:r w:rsidR="00F948E9">
        <w:rPr>
          <w:rFonts w:ascii="Arial" w:hAnsi="Arial" w:cs="Arial"/>
          <w:sz w:val="24"/>
          <w:szCs w:val="24"/>
        </w:rPr>
        <w:t>-</w:t>
      </w:r>
      <w:r w:rsidRPr="006B3D43">
        <w:rPr>
          <w:rFonts w:ascii="Arial" w:hAnsi="Arial" w:cs="Arial"/>
          <w:sz w:val="24"/>
          <w:szCs w:val="24"/>
        </w:rPr>
        <w:t>processed glycans greater than 30% include N61, N122, N234, N603, N709, N717, N801 and N1074</w:t>
      </w:r>
      <w:r w:rsidR="00B51562">
        <w:rPr>
          <w:rFonts w:ascii="Arial" w:hAnsi="Arial" w:cs="Arial"/>
          <w:sz w:val="24"/>
          <w:szCs w:val="24"/>
        </w:rPr>
        <w:t xml:space="preserve"> (</w:t>
      </w:r>
      <w:r w:rsidR="00B51562">
        <w:rPr>
          <w:rFonts w:ascii="Arial" w:hAnsi="Arial" w:cs="Arial"/>
          <w:b/>
          <w:bCs/>
          <w:sz w:val="24"/>
          <w:szCs w:val="24"/>
        </w:rPr>
        <w:t>Figure 1B</w:t>
      </w:r>
      <w:r w:rsidR="00B51562">
        <w:rPr>
          <w:rFonts w:ascii="Arial" w:hAnsi="Arial" w:cs="Arial"/>
          <w:sz w:val="24"/>
          <w:szCs w:val="24"/>
        </w:rPr>
        <w:t>)</w:t>
      </w:r>
      <w:r w:rsidRPr="006B3D43">
        <w:rPr>
          <w:rFonts w:ascii="Arial" w:hAnsi="Arial" w:cs="Arial"/>
          <w:sz w:val="24"/>
          <w:szCs w:val="24"/>
        </w:rPr>
        <w:t>. With a few exceptions</w:t>
      </w:r>
      <w:r w:rsidR="00D16548" w:rsidRPr="006B3D43">
        <w:rPr>
          <w:rFonts w:ascii="Arial" w:hAnsi="Arial" w:cs="Arial"/>
          <w:sz w:val="24"/>
          <w:szCs w:val="24"/>
        </w:rPr>
        <w:t>,</w:t>
      </w:r>
      <w:r w:rsidRPr="006B3D43">
        <w:rPr>
          <w:rFonts w:ascii="Arial" w:hAnsi="Arial" w:cs="Arial"/>
          <w:sz w:val="24"/>
          <w:szCs w:val="24"/>
        </w:rPr>
        <w:t xml:space="preserve"> all recombinant samples analyzed also present at least 30% oligomannose-type glycans at these sites (</w:t>
      </w:r>
      <w:r w:rsidR="00F30EED">
        <w:rPr>
          <w:rFonts w:ascii="Arial" w:hAnsi="Arial" w:cs="Arial"/>
          <w:b/>
          <w:bCs/>
          <w:sz w:val="24"/>
          <w:szCs w:val="24"/>
        </w:rPr>
        <w:t>Table S1</w:t>
      </w:r>
      <w:r w:rsidRPr="006B3D43">
        <w:rPr>
          <w:rFonts w:ascii="Arial" w:hAnsi="Arial" w:cs="Arial"/>
          <w:sz w:val="24"/>
          <w:szCs w:val="24"/>
        </w:rPr>
        <w:t xml:space="preserve">). </w:t>
      </w:r>
    </w:p>
    <w:p w14:paraId="7BABBA81" w14:textId="6690BC41" w:rsidR="007A5564" w:rsidRPr="006B3D43" w:rsidRDefault="0021213D" w:rsidP="006B3D43">
      <w:pPr>
        <w:spacing w:line="360" w:lineRule="auto"/>
        <w:jc w:val="both"/>
        <w:rPr>
          <w:rFonts w:ascii="Arial" w:hAnsi="Arial" w:cs="Arial"/>
          <w:sz w:val="24"/>
          <w:szCs w:val="24"/>
        </w:rPr>
      </w:pPr>
      <w:r w:rsidRPr="0021213D">
        <w:rPr>
          <w:rFonts w:ascii="Arial" w:hAnsi="Arial" w:cs="Arial"/>
          <w:noProof/>
          <w:sz w:val="24"/>
          <w:szCs w:val="24"/>
        </w:rPr>
        <w:drawing>
          <wp:inline distT="0" distB="0" distL="0" distR="0" wp14:anchorId="752A2CB1" wp14:editId="698105AF">
            <wp:extent cx="5731510" cy="40608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060825"/>
                    </a:xfrm>
                    <a:prstGeom prst="rect">
                      <a:avLst/>
                    </a:prstGeom>
                    <a:noFill/>
                    <a:ln>
                      <a:noFill/>
                    </a:ln>
                  </pic:spPr>
                </pic:pic>
              </a:graphicData>
            </a:graphic>
          </wp:inline>
        </w:drawing>
      </w:r>
    </w:p>
    <w:p w14:paraId="061ED709" w14:textId="59D99F26" w:rsidR="007A5564" w:rsidRPr="006B3D43" w:rsidRDefault="007A5564" w:rsidP="006B3D43">
      <w:pPr>
        <w:jc w:val="both"/>
        <w:rPr>
          <w:rFonts w:ascii="Arial" w:hAnsi="Arial" w:cs="Arial"/>
          <w:sz w:val="24"/>
          <w:szCs w:val="24"/>
        </w:rPr>
      </w:pPr>
      <w:r w:rsidRPr="006B3D43">
        <w:rPr>
          <w:rFonts w:ascii="Arial" w:hAnsi="Arial" w:cs="Arial"/>
          <w:b/>
          <w:bCs/>
          <w:sz w:val="24"/>
          <w:szCs w:val="24"/>
        </w:rPr>
        <w:t xml:space="preserve">Figure 1: The site-specific glycosylation of recombinant and viral derived S protein from multiple laboratories.  (A) </w:t>
      </w:r>
      <w:r w:rsidRPr="006B3D43">
        <w:rPr>
          <w:rFonts w:ascii="Arial" w:hAnsi="Arial" w:cs="Arial"/>
          <w:sz w:val="24"/>
          <w:szCs w:val="24"/>
        </w:rPr>
        <w:t xml:space="preserve">Site-specific glycan analysis of recombinant S protein expressed and purified at different locations. The bar charts represent the relative proportion of glycoforms present at each site, including the proportion of PNGS that were not modified by an N-linked glycan. The proportion of oligomannose- and hybrid-type glycans are colored green. Processed complex-type glycans are colored pink and the proportion of unoccupied sites are colored grey. The </w:t>
      </w:r>
      <w:r w:rsidR="006F111C" w:rsidRPr="006B3D43">
        <w:rPr>
          <w:rFonts w:ascii="Arial" w:hAnsi="Arial" w:cs="Arial"/>
          <w:sz w:val="24"/>
          <w:szCs w:val="24"/>
        </w:rPr>
        <w:t>institution</w:t>
      </w:r>
      <w:r w:rsidRPr="006B3D43">
        <w:rPr>
          <w:rFonts w:ascii="Arial" w:hAnsi="Arial" w:cs="Arial"/>
          <w:sz w:val="24"/>
          <w:szCs w:val="24"/>
        </w:rPr>
        <w:t xml:space="preserve"> which </w:t>
      </w:r>
      <w:r w:rsidRPr="006B3D43">
        <w:rPr>
          <w:rFonts w:ascii="Arial" w:hAnsi="Arial" w:cs="Arial"/>
          <w:sz w:val="24"/>
          <w:szCs w:val="24"/>
        </w:rPr>
        <w:lastRenderedPageBreak/>
        <w:t>provided the S protein for analysis is listed above each chart. The Texas/Southampton data is reproduced from Chawla et al. (</w:t>
      </w:r>
      <w:r w:rsidRPr="00C71D29">
        <w:rPr>
          <w:rFonts w:ascii="Arial" w:hAnsi="Arial" w:cs="Arial"/>
          <w:sz w:val="24"/>
          <w:szCs w:val="24"/>
        </w:rPr>
        <w:t>unpublished data</w:t>
      </w:r>
      <w:r w:rsidRPr="006B3D43">
        <w:rPr>
          <w:rFonts w:ascii="Arial" w:hAnsi="Arial" w:cs="Arial"/>
          <w:sz w:val="24"/>
          <w:szCs w:val="24"/>
        </w:rPr>
        <w:t xml:space="preserve">). The average compositions of recombinant S protein were calculated using all samples. Bars represent the mean +/- </w:t>
      </w:r>
      <w:r w:rsidR="00B51562">
        <w:rPr>
          <w:rFonts w:ascii="Arial" w:hAnsi="Arial" w:cs="Arial"/>
          <w:sz w:val="24"/>
          <w:szCs w:val="24"/>
        </w:rPr>
        <w:t>standard error of the mean</w:t>
      </w:r>
      <w:r w:rsidRPr="006B3D43">
        <w:rPr>
          <w:rFonts w:ascii="Arial" w:hAnsi="Arial" w:cs="Arial"/>
          <w:sz w:val="24"/>
          <w:szCs w:val="24"/>
        </w:rPr>
        <w:t xml:space="preserve"> of all recombinant samples </w:t>
      </w:r>
      <w:r w:rsidR="006F111C" w:rsidRPr="006B3D43">
        <w:rPr>
          <w:rFonts w:ascii="Arial" w:hAnsi="Arial" w:cs="Arial"/>
          <w:sz w:val="24"/>
          <w:szCs w:val="24"/>
        </w:rPr>
        <w:t>analyzed</w:t>
      </w:r>
      <w:r w:rsidRPr="006B3D43">
        <w:rPr>
          <w:rFonts w:ascii="Arial" w:hAnsi="Arial" w:cs="Arial"/>
          <w:sz w:val="24"/>
          <w:szCs w:val="24"/>
        </w:rPr>
        <w:t xml:space="preserve">. </w:t>
      </w:r>
      <w:r w:rsidRPr="006B3D43">
        <w:rPr>
          <w:rFonts w:ascii="Arial" w:hAnsi="Arial" w:cs="Arial"/>
          <w:b/>
          <w:bCs/>
          <w:sz w:val="24"/>
          <w:szCs w:val="24"/>
        </w:rPr>
        <w:t xml:space="preserve">(B) </w:t>
      </w:r>
      <w:r w:rsidRPr="006B3D43">
        <w:rPr>
          <w:rFonts w:ascii="Arial" w:hAnsi="Arial" w:cs="Arial"/>
          <w:sz w:val="24"/>
          <w:szCs w:val="24"/>
        </w:rPr>
        <w:t>The viral derived site-specific analysis was obtained from data acquired by Yao et al. and categorized in the same manner as above</w:t>
      </w:r>
      <w:r w:rsidR="002C75C9">
        <w:rPr>
          <w:rFonts w:ascii="Arial" w:hAnsi="Arial" w:cs="Arial"/>
          <w:sz w:val="24"/>
          <w:szCs w:val="24"/>
        </w:rPr>
        <w:t xml:space="preserve"> </w:t>
      </w:r>
      <w:r w:rsidR="00B51562">
        <w:rPr>
          <w:rFonts w:ascii="Arial" w:hAnsi="Arial" w:cs="Arial"/>
          <w:sz w:val="24"/>
          <w:szCs w:val="24"/>
        </w:rPr>
        <w:fldChar w:fldCharType="begin" w:fldLock="1"/>
      </w:r>
      <w:r w:rsidR="007774B6">
        <w:rPr>
          <w:rFonts w:ascii="Arial" w:hAnsi="Arial" w:cs="Arial"/>
          <w:sz w:val="24"/>
          <w:szCs w:val="24"/>
        </w:rPr>
        <w:instrText xml:space="preserve">ADDIN CSL_CITATION {"citationItems":[{"id":"ITEM-1","itemData":{"DOI":"10.1016/j.cell.2020.09.018","ISSN":"10974172","PMID":"32979942","abstract":"SARS-CoV-2 is an enveloped virus responsible for the COVID-19 pandemic. Despite recent advances in the structural elucidation of SARS-CoV-2 proteins, the detailed architecture of the intact virus remains to be unveiled. Here we report the molecular assembly of the authentic SARS-CoV-2 virus using cryoelectron tomography (cryo-ET) and subtomogram averaging (STA). Native structures of the S proteins in pre- and postfusion conformations were determined to average resolutions of 8.7–11 Å. Compositions of the N-linked glycans from the native spikes were analyzed by mass spectrometry, which revealed overall processing states of the native glycans highly similar to that of the recombinant glycoprotein glycans. The native conformation of the ribonucleoproteins (RNPs) and their higher-order assemblies were revealed. Overall, these characterizations revealed the architecture of the SARS-CoV-2 virus in exceptional detail and shed light on how the virus packs its </w:instrText>
      </w:r>
      <w:r w:rsidR="007774B6">
        <w:rPr>
          <w:rFonts w:ascii="Cambria Math" w:hAnsi="Cambria Math" w:cs="Cambria Math"/>
          <w:sz w:val="24"/>
          <w:szCs w:val="24"/>
        </w:rPr>
        <w:instrText>∼</w:instrText>
      </w:r>
      <w:r w:rsidR="007774B6">
        <w:rPr>
          <w:rFonts w:ascii="Arial" w:hAnsi="Arial" w:cs="Arial"/>
          <w:sz w:val="24"/>
          <w:szCs w:val="24"/>
        </w:rPr>
        <w:instrText xml:space="preserve">30-kb-long single-segmented RNA in the </w:instrText>
      </w:r>
      <w:r w:rsidR="007774B6">
        <w:rPr>
          <w:rFonts w:ascii="Cambria Math" w:hAnsi="Cambria Math" w:cs="Cambria Math"/>
          <w:sz w:val="24"/>
          <w:szCs w:val="24"/>
        </w:rPr>
        <w:instrText>∼</w:instrText>
      </w:r>
      <w:r w:rsidR="007774B6">
        <w:rPr>
          <w:rFonts w:ascii="Arial" w:hAnsi="Arial" w:cs="Arial"/>
          <w:sz w:val="24"/>
          <w:szCs w:val="24"/>
        </w:rPr>
        <w:instrText>80-nm-diameter lumen.","author":[{"dropping-particle":"","family":"Yao","given":"Hangping","non-dropping-particle":"","parse-names":false,"suffix":""},{"dropping-particle":"","family":"Song","given":"Yutong","non-dropping-particle":"","parse-names":false,"suffix":""},{"dropping-particle":"","family":"Chen","given":"Yong","non-dropping-particle":"","parse-names":false,"suffix":""},{"dropping-particle":"","family":"Wu","given":"Nanping","non-dropping-particle":"","parse-names":false,"suffix":""},{"dropping-particle":"","family":"Xu","given":"Jialu","non-dropping-particle":"","parse-names":false,"suffix":""},{"dropping-particle":"","family":"Sun","given":"Chujie","non-dropping-particle":"","parse-names":false,"suffix":""},{"dropping-particle":"","family":"Zhang","given":"Jiaxing","non-dropping-particle":"","parse-names":false,"suffix":""},{"dropping-particle":"","family":"Weng","given":"Tianhao","non-dropping-particle":"","parse-names":false,"suffix":""},{"dropping-particle":"","family":"Zhang","given":"Zheyuan","non-dropping-particle":"","parse-names":false,"suffix":""},{"dropping-particle":"","family":"Wu","given":"Zhigang","non-dropping-particle":"","parse-names":false,"suffix":""},{"dropping-particle":"","family":"Cheng","given":"Linfang","non-dropping-particle":"","parse-names":false,"suffix":""},{"dropping-particle":"","family":"Shi","given":"Danrong","non-dropping-particle":"","parse-names":false,"suffix":""},{"dropping-particle":"","family":"Lu","given":"Xiangyun","non-dropping-particle":"","parse-names":false,"suffix":""},{"dropping-particle":"","family":"Lei","given":"Jianlin","non-dropping-particle":"","parse-names":false,"suffix":""},{"dropping-particle":"","family":"Crispin","given":"Max","non-dropping-particle":"","parse-names":false,"suffix":""},{"dropping-particle":"","family":"Shi","given":"Yigong","non-dropping-particle":"","parse-names":false,"suffix":""},{"dropping-particle":"","family":"Li","given":"Lanjuan","non-dropping-particle":"","parse-names":false,"suffix":""},{"dropping-particle":"","family":"Li","given":"Sai","non-dropping-particle":"","parse-names":false,"suffix":""}],"container-title":"Cell","id":"ITEM-1","issue":"3","issued":{"date-parts":[["2020","10","29"]]},"page":"730-738.e13","publisher":"Cell Press","title":"Molecular Architecture of the SARS-CoV-2 Virus","type":"article-journal","volume":"183"},"uris":["http://www.mendeley.com/documents/?uuid=4662bd08-c13c-3a08-a219-3bcb464b7393"]}],"mendeley":{"formattedCitation":"&lt;sup&gt;32&lt;/sup&gt;","plainTextFormattedCitation":"32","previouslyFormattedCitation":"&lt;sup&gt;32&lt;/sup&gt;"},"properties":{"noteIndex":0},"schema":"https://github.com/citation-style-language/schema/raw/master/csl-citation.json"}</w:instrText>
      </w:r>
      <w:r w:rsidR="00B51562">
        <w:rPr>
          <w:rFonts w:ascii="Arial" w:hAnsi="Arial" w:cs="Arial"/>
          <w:sz w:val="24"/>
          <w:szCs w:val="24"/>
        </w:rPr>
        <w:fldChar w:fldCharType="separate"/>
      </w:r>
      <w:r w:rsidR="007774B6" w:rsidRPr="007774B6">
        <w:rPr>
          <w:rFonts w:ascii="Arial" w:hAnsi="Arial" w:cs="Arial"/>
          <w:noProof/>
          <w:sz w:val="24"/>
          <w:szCs w:val="24"/>
          <w:vertAlign w:val="superscript"/>
        </w:rPr>
        <w:t>32</w:t>
      </w:r>
      <w:r w:rsidR="00B51562">
        <w:rPr>
          <w:rFonts w:ascii="Arial" w:hAnsi="Arial" w:cs="Arial"/>
          <w:sz w:val="24"/>
          <w:szCs w:val="24"/>
        </w:rPr>
        <w:fldChar w:fldCharType="end"/>
      </w:r>
      <w:r w:rsidRPr="006B3D43">
        <w:rPr>
          <w:rFonts w:ascii="Arial" w:hAnsi="Arial" w:cs="Arial"/>
          <w:sz w:val="24"/>
          <w:szCs w:val="24"/>
        </w:rPr>
        <w:t>.</w:t>
      </w:r>
      <w:r w:rsidR="007F2BBB">
        <w:rPr>
          <w:rFonts w:ascii="Arial" w:hAnsi="Arial" w:cs="Arial"/>
          <w:sz w:val="24"/>
          <w:szCs w:val="24"/>
        </w:rPr>
        <w:t xml:space="preserve"> Data for sites N657 and N1158 could not be obtained and are not represented.</w:t>
      </w:r>
      <w:r w:rsidRPr="006B3D43">
        <w:rPr>
          <w:rFonts w:ascii="Arial" w:hAnsi="Arial" w:cs="Arial"/>
          <w:sz w:val="24"/>
          <w:szCs w:val="24"/>
        </w:rPr>
        <w:t xml:space="preserve"> </w:t>
      </w:r>
      <w:r w:rsidRPr="006B3D43">
        <w:rPr>
          <w:rFonts w:ascii="Arial" w:hAnsi="Arial" w:cs="Arial"/>
          <w:b/>
          <w:bCs/>
          <w:sz w:val="24"/>
          <w:szCs w:val="24"/>
        </w:rPr>
        <w:t>(C)</w:t>
      </w:r>
      <w:r w:rsidRPr="006B3D43">
        <w:rPr>
          <w:rFonts w:ascii="Arial" w:hAnsi="Arial" w:cs="Arial"/>
          <w:sz w:val="24"/>
          <w:szCs w:val="24"/>
        </w:rPr>
        <w:t xml:space="preserve"> Full length model displaying the site-specific </w:t>
      </w:r>
      <w:r w:rsidR="00D959B9">
        <w:rPr>
          <w:rFonts w:ascii="Arial" w:hAnsi="Arial" w:cs="Arial"/>
          <w:sz w:val="24"/>
          <w:szCs w:val="24"/>
        </w:rPr>
        <w:t xml:space="preserve">oligomannose </w:t>
      </w:r>
      <w:r w:rsidRPr="006B3D43">
        <w:rPr>
          <w:rFonts w:ascii="Arial" w:hAnsi="Arial" w:cs="Arial"/>
          <w:sz w:val="24"/>
          <w:szCs w:val="24"/>
        </w:rPr>
        <w:t>glycosylation of viral derived S protein</w:t>
      </w:r>
      <w:r w:rsidR="00F948E9">
        <w:rPr>
          <w:rFonts w:ascii="Arial" w:hAnsi="Arial" w:cs="Arial"/>
          <w:sz w:val="24"/>
          <w:szCs w:val="24"/>
        </w:rPr>
        <w:t xml:space="preserve">; </w:t>
      </w:r>
      <w:r w:rsidR="007F2BBB">
        <w:rPr>
          <w:rFonts w:ascii="Arial" w:hAnsi="Arial" w:cs="Arial"/>
          <w:sz w:val="24"/>
          <w:szCs w:val="24"/>
        </w:rPr>
        <w:t xml:space="preserve">description of how this model was generated can be found in </w:t>
      </w:r>
      <w:r w:rsidR="007F2BBB" w:rsidRPr="00C71D29">
        <w:rPr>
          <w:rFonts w:ascii="Arial" w:hAnsi="Arial" w:cs="Arial"/>
          <w:b/>
          <w:bCs/>
          <w:sz w:val="24"/>
          <w:szCs w:val="24"/>
        </w:rPr>
        <w:t>Materials and Methods</w:t>
      </w:r>
      <w:r w:rsidRPr="006B3D43">
        <w:rPr>
          <w:rFonts w:ascii="Arial" w:hAnsi="Arial" w:cs="Arial"/>
          <w:sz w:val="24"/>
          <w:szCs w:val="24"/>
        </w:rPr>
        <w:t xml:space="preserve">. </w:t>
      </w:r>
      <w:r w:rsidR="007E7677" w:rsidRPr="006B3D43">
        <w:rPr>
          <w:rFonts w:ascii="Arial" w:hAnsi="Arial" w:cs="Arial"/>
          <w:sz w:val="24"/>
          <w:szCs w:val="24"/>
        </w:rPr>
        <w:t>Both protein and glycans are shown in surface representation</w:t>
      </w:r>
      <w:r w:rsidR="00A43268" w:rsidRPr="006B3D43">
        <w:rPr>
          <w:rFonts w:ascii="Arial" w:hAnsi="Arial" w:cs="Arial"/>
          <w:sz w:val="24"/>
          <w:szCs w:val="24"/>
        </w:rPr>
        <w:t>;</w:t>
      </w:r>
      <w:r w:rsidR="007E7677" w:rsidRPr="006B3D43">
        <w:rPr>
          <w:rFonts w:ascii="Arial" w:hAnsi="Arial" w:cs="Arial"/>
          <w:sz w:val="24"/>
          <w:szCs w:val="24"/>
        </w:rPr>
        <w:t xml:space="preserve"> the former </w:t>
      </w:r>
      <w:proofErr w:type="spellStart"/>
      <w:r w:rsidR="007E7677" w:rsidRPr="006B3D43">
        <w:rPr>
          <w:rFonts w:ascii="Arial" w:hAnsi="Arial" w:cs="Arial"/>
          <w:sz w:val="24"/>
          <w:szCs w:val="24"/>
        </w:rPr>
        <w:t>coloured</w:t>
      </w:r>
      <w:proofErr w:type="spellEnd"/>
      <w:r w:rsidR="007E7677" w:rsidRPr="006B3D43">
        <w:rPr>
          <w:rFonts w:ascii="Arial" w:hAnsi="Arial" w:cs="Arial"/>
          <w:sz w:val="24"/>
          <w:szCs w:val="24"/>
        </w:rPr>
        <w:t xml:space="preserve"> in grey and the latter </w:t>
      </w:r>
      <w:proofErr w:type="spellStart"/>
      <w:r w:rsidR="007E7677" w:rsidRPr="006B3D43">
        <w:rPr>
          <w:rFonts w:ascii="Arial" w:hAnsi="Arial" w:cs="Arial"/>
          <w:sz w:val="24"/>
          <w:szCs w:val="24"/>
        </w:rPr>
        <w:t>coloured</w:t>
      </w:r>
      <w:proofErr w:type="spellEnd"/>
      <w:r w:rsidR="007E7677" w:rsidRPr="006B3D43">
        <w:rPr>
          <w:rFonts w:ascii="Arial" w:hAnsi="Arial" w:cs="Arial"/>
          <w:sz w:val="24"/>
          <w:szCs w:val="24"/>
        </w:rPr>
        <w:t xml:space="preserve"> based on </w:t>
      </w:r>
      <w:proofErr w:type="spellStart"/>
      <w:r w:rsidR="00F93B81" w:rsidRPr="006B3D43">
        <w:rPr>
          <w:rFonts w:ascii="Arial" w:hAnsi="Arial" w:cs="Arial"/>
          <w:sz w:val="24"/>
          <w:szCs w:val="24"/>
        </w:rPr>
        <w:t>oligomannose</w:t>
      </w:r>
      <w:proofErr w:type="spellEnd"/>
      <w:r w:rsidR="00F93B81" w:rsidRPr="006B3D43">
        <w:rPr>
          <w:rFonts w:ascii="Arial" w:hAnsi="Arial" w:cs="Arial"/>
          <w:sz w:val="24"/>
          <w:szCs w:val="24"/>
        </w:rPr>
        <w:t xml:space="preserve"> content </w:t>
      </w:r>
      <w:r w:rsidR="009D1441" w:rsidRPr="006B3D43">
        <w:rPr>
          <w:rFonts w:ascii="Arial" w:hAnsi="Arial" w:cs="Arial"/>
          <w:sz w:val="24"/>
          <w:szCs w:val="24"/>
        </w:rPr>
        <w:t xml:space="preserve">as </w:t>
      </w:r>
      <w:r w:rsidR="00F93B81" w:rsidRPr="006B3D43">
        <w:rPr>
          <w:rFonts w:ascii="Arial" w:hAnsi="Arial" w:cs="Arial"/>
          <w:sz w:val="24"/>
          <w:szCs w:val="24"/>
        </w:rPr>
        <w:t xml:space="preserve">shown in </w:t>
      </w:r>
      <w:r w:rsidR="00F30EED">
        <w:rPr>
          <w:rFonts w:ascii="Arial" w:hAnsi="Arial" w:cs="Arial"/>
          <w:b/>
          <w:bCs/>
          <w:sz w:val="24"/>
          <w:szCs w:val="24"/>
        </w:rPr>
        <w:t>Table S1</w:t>
      </w:r>
      <w:r w:rsidR="00F93B81" w:rsidRPr="006B3D43">
        <w:rPr>
          <w:rFonts w:ascii="Arial" w:hAnsi="Arial" w:cs="Arial"/>
          <w:sz w:val="24"/>
          <w:szCs w:val="24"/>
        </w:rPr>
        <w:t xml:space="preserve"> (green for 80-100%, orange for 30-80% and pink for 0-30%).</w:t>
      </w:r>
    </w:p>
    <w:p w14:paraId="682C2499" w14:textId="1E06532E" w:rsidR="007A5564" w:rsidRPr="006B3D43" w:rsidRDefault="007A5564" w:rsidP="006B3D43">
      <w:pPr>
        <w:jc w:val="both"/>
        <w:rPr>
          <w:rFonts w:ascii="Arial" w:hAnsi="Arial" w:cs="Arial"/>
          <w:sz w:val="24"/>
          <w:szCs w:val="24"/>
        </w:rPr>
      </w:pPr>
    </w:p>
    <w:p w14:paraId="0084E17F" w14:textId="7AC611D6" w:rsidR="007A5564" w:rsidRDefault="007A5564" w:rsidP="006B3D43">
      <w:pPr>
        <w:spacing w:line="360" w:lineRule="auto"/>
        <w:ind w:firstLine="720"/>
        <w:jc w:val="both"/>
        <w:rPr>
          <w:rFonts w:ascii="Arial" w:hAnsi="Arial" w:cs="Arial"/>
          <w:sz w:val="24"/>
          <w:szCs w:val="24"/>
        </w:rPr>
      </w:pPr>
      <w:r w:rsidRPr="006B3D43">
        <w:rPr>
          <w:rFonts w:ascii="Arial" w:hAnsi="Arial" w:cs="Arial"/>
          <w:sz w:val="24"/>
          <w:szCs w:val="24"/>
        </w:rPr>
        <w:t xml:space="preserve">To compare the variability of oligomannose- and hybrid-type glycosylation across all recombinant proteins the compositions were averaged and displayed with the </w:t>
      </w:r>
      <w:r w:rsidR="007F2BBB">
        <w:rPr>
          <w:rFonts w:ascii="Arial" w:hAnsi="Arial" w:cs="Arial"/>
          <w:sz w:val="24"/>
          <w:szCs w:val="24"/>
        </w:rPr>
        <w:t>standard error of the mean (SEM)</w:t>
      </w:r>
      <w:r w:rsidR="007F2BBB" w:rsidRPr="006B3D43">
        <w:rPr>
          <w:rFonts w:ascii="Arial" w:hAnsi="Arial" w:cs="Arial"/>
          <w:sz w:val="24"/>
          <w:szCs w:val="24"/>
        </w:rPr>
        <w:t xml:space="preserve"> </w:t>
      </w:r>
      <w:r w:rsidRPr="006B3D43">
        <w:rPr>
          <w:rFonts w:ascii="Arial" w:hAnsi="Arial" w:cs="Arial"/>
          <w:sz w:val="24"/>
          <w:szCs w:val="24"/>
        </w:rPr>
        <w:t>of</w:t>
      </w:r>
      <w:r w:rsidR="007F2BBB">
        <w:rPr>
          <w:rFonts w:ascii="Arial" w:hAnsi="Arial" w:cs="Arial"/>
          <w:sz w:val="24"/>
          <w:szCs w:val="24"/>
        </w:rPr>
        <w:t xml:space="preserve"> S protein preparations from different laboratories</w:t>
      </w:r>
      <w:r w:rsidR="007F2BBB" w:rsidRPr="006B3D43">
        <w:rPr>
          <w:rFonts w:ascii="Arial" w:hAnsi="Arial" w:cs="Arial"/>
          <w:sz w:val="24"/>
          <w:szCs w:val="24"/>
        </w:rPr>
        <w:t xml:space="preserve"> </w:t>
      </w:r>
      <w:r w:rsidRPr="006B3D43">
        <w:rPr>
          <w:rFonts w:ascii="Arial" w:hAnsi="Arial" w:cs="Arial"/>
          <w:sz w:val="24"/>
          <w:szCs w:val="24"/>
        </w:rPr>
        <w:t>(</w:t>
      </w:r>
      <w:r w:rsidRPr="006B3D43">
        <w:rPr>
          <w:rFonts w:ascii="Arial" w:hAnsi="Arial" w:cs="Arial"/>
          <w:b/>
          <w:bCs/>
          <w:sz w:val="24"/>
          <w:szCs w:val="24"/>
        </w:rPr>
        <w:t xml:space="preserve">Figure 1A </w:t>
      </w:r>
      <w:r w:rsidRPr="002E1FAC">
        <w:rPr>
          <w:rFonts w:ascii="Arial" w:hAnsi="Arial" w:cs="Arial"/>
          <w:sz w:val="24"/>
          <w:szCs w:val="24"/>
        </w:rPr>
        <w:t xml:space="preserve">and </w:t>
      </w:r>
      <w:r w:rsidRPr="006B3D43">
        <w:rPr>
          <w:rFonts w:ascii="Arial" w:hAnsi="Arial" w:cs="Arial"/>
          <w:b/>
          <w:bCs/>
          <w:sz w:val="24"/>
          <w:szCs w:val="24"/>
        </w:rPr>
        <w:t>B</w:t>
      </w:r>
      <w:r w:rsidRPr="006B3D43">
        <w:rPr>
          <w:rFonts w:ascii="Arial" w:hAnsi="Arial" w:cs="Arial"/>
          <w:sz w:val="24"/>
          <w:szCs w:val="24"/>
        </w:rPr>
        <w:t xml:space="preserve">). This analysis revealed a broad consensus of glycan processing regarding high mannose glycans, with localized variations occurring. One example of remarkable homogeneity is the N234 site, which presents high levels of </w:t>
      </w:r>
      <w:r w:rsidR="00F948E9" w:rsidRPr="006B3D43">
        <w:rPr>
          <w:rFonts w:ascii="Arial" w:hAnsi="Arial" w:cs="Arial"/>
          <w:sz w:val="24"/>
          <w:szCs w:val="24"/>
        </w:rPr>
        <w:t>under</w:t>
      </w:r>
      <w:r w:rsidR="00F948E9">
        <w:rPr>
          <w:rFonts w:ascii="Arial" w:hAnsi="Arial" w:cs="Arial"/>
          <w:sz w:val="24"/>
          <w:szCs w:val="24"/>
        </w:rPr>
        <w:t>-</w:t>
      </w:r>
      <w:r w:rsidRPr="006B3D43">
        <w:rPr>
          <w:rFonts w:ascii="Arial" w:hAnsi="Arial" w:cs="Arial"/>
          <w:sz w:val="24"/>
          <w:szCs w:val="24"/>
        </w:rPr>
        <w:t>processed glycans in all samples analyzed. This processing was conserved on the viral derived S protein. The recombinant material possessed low levels of oligomannose-type glycans at several sites across the protein not present on viral derived material. For example, material analyzed from Oxford had at least 5% oligomannose-type glycans at every site except N343 (</w:t>
      </w:r>
      <w:r w:rsidRPr="006B3D43">
        <w:rPr>
          <w:rFonts w:ascii="Arial" w:hAnsi="Arial" w:cs="Arial"/>
          <w:b/>
          <w:bCs/>
          <w:sz w:val="24"/>
          <w:szCs w:val="24"/>
        </w:rPr>
        <w:t>Figure 1A</w:t>
      </w:r>
      <w:r w:rsidRPr="006B3D43">
        <w:rPr>
          <w:rFonts w:ascii="Arial" w:hAnsi="Arial" w:cs="Arial"/>
          <w:sz w:val="24"/>
          <w:szCs w:val="24"/>
        </w:rPr>
        <w:t>). This global moderate increase in oligomannose-type glycans could potentially arise from two sources, the first is that the recombinant preparations utilize stabilizing mutations that might generate a more compact structure which limits the ability of glycan processing enzymes to act</w:t>
      </w:r>
      <w:r w:rsidR="00E27704">
        <w:rPr>
          <w:rFonts w:ascii="Arial" w:hAnsi="Arial" w:cs="Arial"/>
          <w:sz w:val="24"/>
          <w:szCs w:val="24"/>
        </w:rPr>
        <w:t xml:space="preserve">, this is supported by the observation that viral-derived S protein exhibits metastable conformations in the NTD, likely increasing accessibility to particular glycan sites </w:t>
      </w:r>
      <w:r w:rsidR="00E27704">
        <w:rPr>
          <w:rFonts w:ascii="Arial" w:hAnsi="Arial" w:cs="Arial"/>
          <w:sz w:val="24"/>
          <w:szCs w:val="24"/>
        </w:rPr>
        <w:fldChar w:fldCharType="begin" w:fldLock="1"/>
      </w:r>
      <w:r w:rsidR="007774B6">
        <w:rPr>
          <w:rFonts w:ascii="Arial" w:hAnsi="Arial" w:cs="Arial"/>
          <w:sz w:val="24"/>
          <w:szCs w:val="24"/>
        </w:rPr>
        <w:instrText xml:space="preserve">ADDIN CSL_CITATION {"citationItems":[{"id":"ITEM-1","itemData":{"DOI":"10.1016/j.cell.2020.09.018","ISSN":"10974172","PMID":"32979942","abstract":"SARS-CoV-2 is an enveloped virus responsible for the COVID-19 pandemic. Despite recent advances in the structural elucidation of SARS-CoV-2 proteins, the detailed architecture of the intact virus remains to be unveiled. Here we report the molecular assembly of the authentic SARS-CoV-2 virus using cryoelectron tomography (cryo-ET) and subtomogram averaging (STA). Native structures of the S proteins in pre- and postfusion conformations were determined to average resolutions of 8.7–11 Å. Compositions of the N-linked glycans from the native spikes were analyzed by mass spectrometry, which revealed overall processing states of the native glycans highly similar to that of the recombinant glycoprotein glycans. The native conformation of the ribonucleoproteins (RNPs) and their higher-order assemblies were revealed. Overall, these characterizations revealed the architecture of the SARS-CoV-2 virus in exceptional detail and shed light on how the virus packs its </w:instrText>
      </w:r>
      <w:r w:rsidR="007774B6">
        <w:rPr>
          <w:rFonts w:ascii="Cambria Math" w:hAnsi="Cambria Math" w:cs="Cambria Math"/>
          <w:sz w:val="24"/>
          <w:szCs w:val="24"/>
        </w:rPr>
        <w:instrText>∼</w:instrText>
      </w:r>
      <w:r w:rsidR="007774B6">
        <w:rPr>
          <w:rFonts w:ascii="Arial" w:hAnsi="Arial" w:cs="Arial"/>
          <w:sz w:val="24"/>
          <w:szCs w:val="24"/>
        </w:rPr>
        <w:instrText xml:space="preserve">30-kb-long single-segmented RNA in the </w:instrText>
      </w:r>
      <w:r w:rsidR="007774B6">
        <w:rPr>
          <w:rFonts w:ascii="Cambria Math" w:hAnsi="Cambria Math" w:cs="Cambria Math"/>
          <w:sz w:val="24"/>
          <w:szCs w:val="24"/>
        </w:rPr>
        <w:instrText>∼</w:instrText>
      </w:r>
      <w:r w:rsidR="007774B6">
        <w:rPr>
          <w:rFonts w:ascii="Arial" w:hAnsi="Arial" w:cs="Arial"/>
          <w:sz w:val="24"/>
          <w:szCs w:val="24"/>
        </w:rPr>
        <w:instrText>80-nm-diameter lumen.","author":[{"dropping-particle":"","family":"Yao","given":"Hangping","non-dropping-particle":"","parse-names":false,"suffix":""},{"dropping-particle":"","family":"Song","given":"Yutong","non-dropping-particle":"","parse-names":false,"suffix":""},{"dropping-particle":"","family":"Chen","given":"Yong","non-dropping-particle":"","parse-names":false,"suffix":""},{"dropping-particle":"","family":"Wu","given":"Nanping","non-dropping-particle":"","parse-names":false,"suffix":""},{"dropping-particle":"","family":"Xu","given":"Jialu","non-dropping-particle":"","parse-names":false,"suffix":""},{"dropping-particle":"","family":"Sun","given":"Chujie","non-dropping-particle":"","parse-names":false,"suffix":""},{"dropping-particle":"","family":"Zhang","given":"Jiaxing","non-dropping-particle":"","parse-names":false,"suffix":""},{"dropping-particle":"","family":"Weng","given":"Tianhao","non-dropping-particle":"","parse-names":false,"suffix":""},{"dropping-particle":"","family":"Zhang","given":"Zheyuan","non-dropping-particle":"","parse-names":false,"suffix":""},{"dropping-particle":"","family":"Wu","given":"Zhigang","non-dropping-particle":"","parse-names":false,"suffix":""},{"dropping-particle":"","family":"Cheng","given":"Linfang","non-dropping-particle":"","parse-names":false,"suffix":""},{"dropping-particle":"","family":"Shi","given":"Danrong","non-dropping-particle":"","parse-names":false,"suffix":""},{"dropping-particle":"","family":"Lu","given":"Xiangyun","non-dropping-particle":"","parse-names":false,"suffix":""},{"dropping-particle":"","family":"Lei","given":"Jianlin","non-dropping-particle":"","parse-names":false,"suffix":""},{"dropping-particle":"","family":"Crispin","given":"Max","non-dropping-particle":"","parse-names":false,"suffix":""},{"dropping-particle":"","family":"Shi","given":"Yigong","non-dropping-particle":"","parse-names":false,"suffix":""},{"dropping-particle":"","family":"Li","given":"Lanjuan","non-dropping-particle":"","parse-names":false,"suffix":""},{"dropping-particle":"","family":"Li","given":"Sai","non-dropping-particle":"","parse-names":false,"suffix":""}],"container-title":"Cell","id":"ITEM-1","issue":"3","issued":{"date-parts":[["2020","10","29"]]},"page":"730-738.e13","publisher":"Cell Press","title":"Molecular Architecture of the SARS-CoV-2 Virus","type":"article-journal","volume":"183"},"uris":["http://www.mendeley.com/documents/?uuid=4662bd08-c13c-3a08-a219-3bcb464b7393"]}],"mendeley":{"formattedCitation":"&lt;sup&gt;32&lt;/sup&gt;","plainTextFormattedCitation":"32","previouslyFormattedCitation":"&lt;sup&gt;32&lt;/sup&gt;"},"properties":{"noteIndex":0},"schema":"https://github.com/citation-style-language/schema/raw/master/csl-citation.json"}</w:instrText>
      </w:r>
      <w:r w:rsidR="00E27704">
        <w:rPr>
          <w:rFonts w:ascii="Arial" w:hAnsi="Arial" w:cs="Arial"/>
          <w:sz w:val="24"/>
          <w:szCs w:val="24"/>
        </w:rPr>
        <w:fldChar w:fldCharType="separate"/>
      </w:r>
      <w:r w:rsidR="007774B6" w:rsidRPr="007774B6">
        <w:rPr>
          <w:rFonts w:ascii="Arial" w:hAnsi="Arial" w:cs="Arial"/>
          <w:noProof/>
          <w:sz w:val="24"/>
          <w:szCs w:val="24"/>
          <w:vertAlign w:val="superscript"/>
        </w:rPr>
        <w:t>32</w:t>
      </w:r>
      <w:r w:rsidR="00E27704">
        <w:rPr>
          <w:rFonts w:ascii="Arial" w:hAnsi="Arial" w:cs="Arial"/>
          <w:sz w:val="24"/>
          <w:szCs w:val="24"/>
        </w:rPr>
        <w:fldChar w:fldCharType="end"/>
      </w:r>
      <w:r w:rsidRPr="006B3D43">
        <w:rPr>
          <w:rFonts w:ascii="Arial" w:hAnsi="Arial" w:cs="Arial"/>
          <w:sz w:val="24"/>
          <w:szCs w:val="24"/>
        </w:rPr>
        <w:t xml:space="preserve">. The second could be that the higher yield of protein obtained during recombinant protein expression places limitations on the capacity of the cell to process the high number of glycan sites present on the S protein. </w:t>
      </w:r>
    </w:p>
    <w:p w14:paraId="1C035068" w14:textId="77777777" w:rsidR="00F30D23" w:rsidRPr="006B3D43" w:rsidRDefault="00F30D23" w:rsidP="006B3D43">
      <w:pPr>
        <w:spacing w:line="360" w:lineRule="auto"/>
        <w:ind w:firstLine="720"/>
        <w:jc w:val="both"/>
        <w:rPr>
          <w:rFonts w:ascii="Arial" w:hAnsi="Arial" w:cs="Arial"/>
          <w:sz w:val="24"/>
          <w:szCs w:val="24"/>
        </w:rPr>
      </w:pPr>
    </w:p>
    <w:p w14:paraId="04CB656F" w14:textId="587DE67D" w:rsidR="007A5564" w:rsidRPr="006B3D43" w:rsidRDefault="007A5564" w:rsidP="006B3D43">
      <w:pPr>
        <w:spacing w:line="360" w:lineRule="auto"/>
        <w:ind w:firstLine="720"/>
        <w:jc w:val="both"/>
        <w:rPr>
          <w:rFonts w:ascii="Arial" w:hAnsi="Arial" w:cs="Arial"/>
          <w:sz w:val="24"/>
          <w:szCs w:val="24"/>
        </w:rPr>
      </w:pPr>
      <w:r w:rsidRPr="006B3D43">
        <w:rPr>
          <w:rFonts w:ascii="Arial" w:hAnsi="Arial" w:cs="Arial"/>
          <w:sz w:val="24"/>
          <w:szCs w:val="24"/>
        </w:rPr>
        <w:t xml:space="preserve">Glycan occupancy is another important parameter to consider for immunogen design. Underoccupancy of recombinant glycoprotein PNGS compared to their viral counterparts has been shown to result in the presentation of non-neutralizing </w:t>
      </w:r>
      <w:r w:rsidRPr="006B3D43">
        <w:rPr>
          <w:rFonts w:ascii="Arial" w:hAnsi="Arial" w:cs="Arial"/>
          <w:sz w:val="24"/>
          <w:szCs w:val="24"/>
        </w:rPr>
        <w:lastRenderedPageBreak/>
        <w:t>distracting epitopes and is important to monitor</w:t>
      </w:r>
      <w:r w:rsidR="002C75C9">
        <w:rPr>
          <w:rFonts w:ascii="Arial" w:hAnsi="Arial" w:cs="Arial"/>
          <w:sz w:val="24"/>
          <w:szCs w:val="24"/>
        </w:rPr>
        <w:t xml:space="preserve"> </w:t>
      </w:r>
      <w:r w:rsidR="00440ACC">
        <w:rPr>
          <w:rFonts w:ascii="Arial" w:hAnsi="Arial" w:cs="Arial"/>
          <w:sz w:val="24"/>
          <w:szCs w:val="24"/>
        </w:rPr>
        <w:fldChar w:fldCharType="begin" w:fldLock="1"/>
      </w:r>
      <w:r w:rsidR="0088562C">
        <w:rPr>
          <w:rFonts w:ascii="Arial" w:hAnsi="Arial" w:cs="Arial"/>
          <w:sz w:val="24"/>
          <w:szCs w:val="24"/>
        </w:rPr>
        <w:instrText>ADDIN CSL_CITATION {"citationItems":[{"id":"ITEM-1","itemData":{"DOI":"10.1016/j.celrep.2021.108933","ISSN":"22111247","PMID":"33826885","abstract":"Artificial glycan holes on recombinant Env-based vaccines occur when a potential N-linked glycosylation site (PNGS) is under-occupied, but not on their viral counterparts. Native-like SOSIP trimers, including clinical candidates, contain such holes in the glycan shield that induce strain-specific neutralizing antibodies (NAbs) or non-NAbs. To eliminate glycan holes and mimic the glycosylation of native BG505 Env, we replace all 12 NxS sequons on BG505 SOSIP with NxT. All PNGS, except N133 and N160, are nearly fully occupied. Occupancy of the N133 site is increased by changing N133 to NxS, whereas occupancy of the N160 site is restored by reverting the nearby N156 sequon to NxS. Hence, PNGS in close proximity, such as in the N133-N137 and N156-N160 pairs, affect each other's occupancy. We further apply this approach to improve the occupancy of several Env strains. Increasing glycan occupancy should reduce off-target immune responses to vaccine antigens.","author":[{"dropping-particle":"","family":"Derking","given":"Ronald","non-dropping-particle":"","parse-names":false,"suffix":""},{"dropping-particle":"","family":"Allen","given":"Joel D.","non-dropping-particle":"","parse-names":false,"suffix":""},{"dropping-particle":"","family":"Cottrell","given":"Christopher A.","non-dropping-particle":"","parse-names":false,"suffix":""},{"dropping-particle":"","family":"Sliepen","given":"Kwinten","non-dropping-particle":"","parse-names":false,"suffix":""},{"dropping-particle":"","family":"Seabright","given":"Gemma E.","non-dropping-particle":"","parse-names":false,"suffix":""},{"dropping-particle":"","family":"Lee","given":"Wen-Hsin","non-dropping-particle":"","parse-names":false,"suffix":""},{"dropping-particle":"","family":"Aldon","given":"Yoann","non-dropping-particle":"","parse-names":false,"suffix":""},{"dropping-particle":"","family":"Rantalainen","given":"Kimmo","non-dropping-particle":"","parse-names":false,"suffix":""},{"dropping-particle":"","family":"Antanasijevic","given":"Aleksandar","non-dropping-particle":"","parse-names":false,"suffix":""},{"dropping-particle":"","family":"Copps","given":"Jeffrey","non-dropping-particle":"","parse-names":false,"suffix":""},{"dropping-particle":"","family":"Yasmeen","given":"Anila","non-dropping-particle":"","parse-names":false,"suffix":""},{"dropping-particle":"","family":"Cupo","given":"Albert","non-dropping-particle":"","parse-names":false,"suffix":""},{"dropping-particle":"","family":"Cruz Portillo","given":"Victor M.","non-dropping-particle":"","parse-names":false,"suffix":""},{"dropping-particle":"","family":"Poniman","given":"Meliawati","non-dropping-particle":"","parse-names":false,"suffix":""},{"dropping-particle":"","family":"Bol","given":"Niki","non-dropping-particle":"","parse-names":false,"suffix":""},{"dropping-particle":"","family":"Woude","given":"Patricia","non-dropping-particle":"van der","parse-names":false,"suffix":""},{"dropping-particle":"","family":"Taeye","given":"Steven W.","non-dropping-particle":"de","parse-names":false,"suffix":""},{"dropping-particle":"","family":"Kerkhof","given":"Tom L.G.M.","non-dropping-particle":"van den","parse-names":false,"suffix":""},{"dropping-particle":"","family":"Klasse","given":"P.J.","non-dropping-particle":"","parse-names":false,"suffix":""},{"dropping-particle":"","family":"Ozorowski","given":"Gabriel","non-dropping-particle":"","parse-names":false,"suffix":""},{"dropping-particle":"","family":"Gils","given":"Marit J.","non-dropping-particle":"van","parse-names":false,"suffix":""},{"dropping-particle":"","family":"Moore","given":"John P.","non-dropping-particle":"","parse-names":false,"suffix":""},{"dropping-particle":"","family":"Ward","given":"Andrew B.","non-dropping-particle":"","parse-names":false,"suffix":""},{"dropping-particle":"","family":"Crispin","given":"Max","non-dropping-particle":"","parse-names":false,"suffix":""},{"dropping-particle":"","family":"Sanders","given":"Rogier W.","non-dropping-particle":"","parse-names":false,"suffix":""}],"container-title":"Cell Reports","id":"ITEM-1","issue":"1","issued":{"date-parts":[["2021","4","6"]]},"page":"108933","publisher":"Elsevier","title":"Enhancing glycan occupancy of soluble HIV-1 envelope trimers to mimic the native viral spike","type":"article-journal","volume":"35"},"uris":["http://www.mendeley.com/documents/?uuid=ddb549f0-1c5a-4655-9842-93d2bbe33af4"]},{"id":"ITEM-2","itemData":{"DOI":"10.1371/journal.ppat.1008753","ISSN":"15537374","PMID":"32866207","abstract":"The induction of broad and potent immunity by vaccines is the key focus of research efforts aimed at protecting against HIV-1 infection. Soluble native-like HIV-1 envelope glycoproteins have shown promise as vaccine candidates as they can induce potent autologous neutralizing responses in rabbits and non-human primates. In this study, monoclonal antibodies were isolated and characterized from rhesus macaques immunized with the BG505 SOSIP.664 trimer to better understand vaccine-induced antibody responses. Our studies reveal a diverse landscape of antibodies recognizing immunodominant strain-specific epitopes and non-neutralizing neo-epitopes. Additionally, we isolated a subset of mAbs against an epitope cluster at the gp120-gp41 interface that recognize the highly conserved fusion peptide and the glycan at position 88 and have characteristics akin to several human-derived broadly neutralizing antibodies.","author":[{"dropping-particle":"","family":"Cottrell","given":"Christopher A.","non-dropping-particle":"","parse-names":false,"suffix":""},{"dropping-particle":"","family":"Schooten","given":"Jelle","non-dropping-particle":"van","parse-names":false,"suffix":""},{"dropping-particle":"","family":"Bowman","given":"Charles A.","non-dropping-particle":"","parse-names":false,"suffix":""},{"dropping-particle":"","family":"Yuan","given":"Meng","non-dropping-particle":"","parse-names":false,"suffix":""},{"dropping-particle":"","family":"Oyen","given":"David","non-dropping-particle":"","parse-names":false,"suffix":""},{"dropping-particle":"","family":"Shin","given":"Mia","non-dropping-particle":"","parse-names":false,"suffix":""},{"dropping-particle":"","family":"Morpurgo","given":"Robert","non-dropping-particle":"","parse-names":false,"suffix":""},{"dropping-particle":"","family":"Woude","given":"Patricia","non-dropping-particle":"van der","parse-names":false,"suffix":""},{"dropping-particle":"","family":"Breemen","given":"Marielle","non-dropping-particle":"van","parse-names":false,"suffix":""},{"dropping-particle":"","family":"Torres","given":"Jonathan L.","non-dropping-particle":"","parse-names":false,"suffix":""},{"dropping-particle":"","family":"Patel","given":"Raj","non-dropping-particle":"","parse-names":false,"suffix":""},{"dropping-particle":"","family":"Gross","given":"Justin","non-dropping-particle":"","parse-names":false,"suffix":""},{"dropping-particle":"","family":"Sewall","given":"Leigh M.","non-dropping-particle":"","parse-names":false,"suffix":""},{"dropping-particle":"","family":"Copps","given":"Jeffrey","non-dropping-particle":"","parse-names":false,"suffix":""},{"dropping-particle":"","family":"Ozorowski","given":"Gabriel","non-dropping-particle":"","parse-names":false,"suffix":""},{"dropping-particle":"","family":"Nogal","given":"Bartek","non-dropping-particle":"","parse-names":false,"suffix":""},{"dropping-particle":"","family":"Sok","given":"Devin","non-dropping-particle":"","parse-names":false,"suffix":""},{"dropping-particle":"","family":"Rakasz","given":"Eva G.","non-dropping-particle":"","parse-names":false,"suffix":""},{"dropping-particle":"","family":"Labranche","given":"Celia","non-dropping-particle":"","parse-names":false,"suffix":""},{"dropping-particle":"","family":"Vigdorovich","given":"Vladimir","non-dropping-particle":"","parse-names":false,"suffix":""},{"dropping-particle":"","family":"Christley","given":"Scott","non-dropping-particle":"","parse-names":false,"suffix":""},{"dropping-particle":"","family":"Carnathan","given":"Diane G.","non-dropping-particle":"","parse-names":false,"suffix":""},{"dropping-particle":"","family":"Sather","given":"D. Noah","non-dropping-particle":"","parse-names":false,"suffix":""},{"dropping-particle":"","family":"Montefiori","given":"David","non-dropping-particle":"","parse-names":false,"suffix":""},{"dropping-particle":"","family":"Silvestri","given":"Guido","non-dropping-particle":"","parse-names":false,"suffix":""},{"dropping-particle":"","family":"Burton","given":"Dennis R.","non-dropping-particle":"","parse-names":false,"suffix":""},{"dropping-particle":"","family":"Moore","given":"John P.","non-dropping-particle":"","parse-names":false,"suffix":""},{"dropping-particle":"","family":"Wilson","given":"Ian A.","non-dropping-particle":"","parse-names":false,"suffix":""},{"dropping-particle":"","family":"Sanders","given":"Rogier W.","non-dropping-particle":"","parse-names":false,"suffix":""},{"dropping-particle":"","family":"Ward","given":"Andrew B.","non-dropping-particle":"","parse-names":false,"suffix":""},{"dropping-particle":"","family":"Gils","given":"Marit J.","non-dropping-particle":"van","parse-names":false,"suffix":""}],"container-title":"PLoS Pathogens","id":"ITEM-2","issue":"8","issued":{"date-parts":[["2020","8","1"]]},"page":"e1008753","publisher":"Public Library of Science","title":"Mapping the immunogenic landscape of near-native HIV-1 envelope trimers in non-human primates","type":"article-journal","volume":"16"},"uris":["http://www.mendeley.com/documents/?uuid=63efa687-a401-36a2-abf2-b6ec7a4c588d"]}],"mendeley":{"formattedCitation":"&lt;sup&gt;79,80&lt;/sup&gt;","plainTextFormattedCitation":"79,80","previouslyFormattedCitation":"&lt;sup&gt;79,80&lt;/sup&gt;"},"properties":{"noteIndex":0},"schema":"https://github.com/citation-style-language/schema/raw/master/csl-citation.json"}</w:instrText>
      </w:r>
      <w:r w:rsidR="00440ACC">
        <w:rPr>
          <w:rFonts w:ascii="Arial" w:hAnsi="Arial" w:cs="Arial"/>
          <w:sz w:val="24"/>
          <w:szCs w:val="24"/>
        </w:rPr>
        <w:fldChar w:fldCharType="separate"/>
      </w:r>
      <w:r w:rsidR="007774B6" w:rsidRPr="007774B6">
        <w:rPr>
          <w:rFonts w:ascii="Arial" w:hAnsi="Arial" w:cs="Arial"/>
          <w:noProof/>
          <w:sz w:val="24"/>
          <w:szCs w:val="24"/>
          <w:vertAlign w:val="superscript"/>
        </w:rPr>
        <w:t>79,80</w:t>
      </w:r>
      <w:r w:rsidR="00440ACC">
        <w:rPr>
          <w:rFonts w:ascii="Arial" w:hAnsi="Arial" w:cs="Arial"/>
          <w:sz w:val="24"/>
          <w:szCs w:val="24"/>
        </w:rPr>
        <w:fldChar w:fldCharType="end"/>
      </w:r>
      <w:r w:rsidRPr="006B3D43">
        <w:rPr>
          <w:rFonts w:ascii="Arial" w:hAnsi="Arial" w:cs="Arial"/>
          <w:sz w:val="24"/>
          <w:szCs w:val="24"/>
        </w:rPr>
        <w:t xml:space="preserve">. As is the case with viral derived HIV-1 Env, viral derived SARS-CoV-2 S protein displayed high levels of glycan occupancy at all sites analyzed </w:t>
      </w:r>
      <w:r w:rsidRPr="00C71D29">
        <w:rPr>
          <w:rFonts w:ascii="Arial" w:hAnsi="Arial" w:cs="Arial"/>
          <w:sz w:val="24"/>
          <w:szCs w:val="24"/>
        </w:rPr>
        <w:t>(</w:t>
      </w:r>
      <w:r w:rsidRPr="006B3D43">
        <w:rPr>
          <w:rFonts w:ascii="Arial" w:hAnsi="Arial" w:cs="Arial"/>
          <w:b/>
          <w:bCs/>
          <w:sz w:val="24"/>
          <w:szCs w:val="24"/>
        </w:rPr>
        <w:t>Figure 1B</w:t>
      </w:r>
      <w:r w:rsidRPr="00C71D29">
        <w:rPr>
          <w:rFonts w:ascii="Arial" w:hAnsi="Arial" w:cs="Arial"/>
          <w:sz w:val="24"/>
          <w:szCs w:val="24"/>
        </w:rPr>
        <w:t>)</w:t>
      </w:r>
      <w:r w:rsidRPr="006B3D43">
        <w:rPr>
          <w:rFonts w:ascii="Arial" w:hAnsi="Arial" w:cs="Arial"/>
          <w:sz w:val="24"/>
          <w:szCs w:val="24"/>
        </w:rPr>
        <w:t>. When comparing this to the consensus site-specific glycosylation data</w:t>
      </w:r>
      <w:r w:rsidR="00B42828">
        <w:rPr>
          <w:rFonts w:ascii="Arial" w:hAnsi="Arial" w:cs="Arial"/>
          <w:sz w:val="24"/>
          <w:szCs w:val="24"/>
        </w:rPr>
        <w:t>,</w:t>
      </w:r>
      <w:r w:rsidRPr="006B3D43">
        <w:rPr>
          <w:rFonts w:ascii="Arial" w:hAnsi="Arial" w:cs="Arial"/>
          <w:sz w:val="24"/>
          <w:szCs w:val="24"/>
        </w:rPr>
        <w:t xml:space="preserve"> the majority of PNGS on recombinant S protein are highly occupied. The exceptions to this are at the C terminus, where several samples analyzed display reduced glycan occupancy denoted by a larger population of unoccupied sites (</w:t>
      </w:r>
      <w:r w:rsidRPr="006B3D43">
        <w:rPr>
          <w:rFonts w:ascii="Arial" w:hAnsi="Arial" w:cs="Arial"/>
          <w:b/>
          <w:bCs/>
          <w:sz w:val="24"/>
          <w:szCs w:val="24"/>
        </w:rPr>
        <w:t>Figure 1A</w:t>
      </w:r>
      <w:r w:rsidRPr="006B3D43">
        <w:rPr>
          <w:rFonts w:ascii="Arial" w:hAnsi="Arial" w:cs="Arial"/>
          <w:sz w:val="24"/>
          <w:szCs w:val="24"/>
        </w:rPr>
        <w:t>). These sites displaying larger proportions of unoccupied glycans at the C terminus is likely due to the truncation of the recombinant proteins required for solubilization</w:t>
      </w:r>
      <w:r w:rsidR="00AB1A1D" w:rsidRPr="006B3D43">
        <w:rPr>
          <w:rFonts w:ascii="Arial" w:hAnsi="Arial" w:cs="Arial"/>
          <w:sz w:val="24"/>
          <w:szCs w:val="24"/>
        </w:rPr>
        <w:t xml:space="preserve">; </w:t>
      </w:r>
      <w:r w:rsidRPr="006B3D43">
        <w:rPr>
          <w:rFonts w:ascii="Arial" w:hAnsi="Arial" w:cs="Arial"/>
          <w:sz w:val="24"/>
          <w:szCs w:val="24"/>
        </w:rPr>
        <w:t>it has previously been reported that the proximity of a glycan sequon to the C-terminus can influence its occupancy</w:t>
      </w:r>
      <w:r w:rsidR="002C75C9">
        <w:rPr>
          <w:rFonts w:ascii="Arial" w:hAnsi="Arial" w:cs="Arial"/>
          <w:sz w:val="24"/>
          <w:szCs w:val="24"/>
        </w:rPr>
        <w:t xml:space="preserve"> </w:t>
      </w:r>
      <w:r w:rsidR="006F111C" w:rsidRPr="006B3D43">
        <w:rPr>
          <w:rFonts w:ascii="Arial" w:hAnsi="Arial" w:cs="Arial"/>
          <w:sz w:val="24"/>
          <w:szCs w:val="24"/>
        </w:rPr>
        <w:fldChar w:fldCharType="begin" w:fldLock="1"/>
      </w:r>
      <w:r w:rsidR="007774B6">
        <w:rPr>
          <w:rFonts w:ascii="Arial" w:hAnsi="Arial" w:cs="Arial"/>
          <w:sz w:val="24"/>
          <w:szCs w:val="24"/>
        </w:rPr>
        <w:instrText>ADDIN CSL_CITATION {"citationItems":[{"id":"ITEM-1","itemData":{"DOI":"10.1002/pro.551","ISSN":"09618368","PMID":"21082725","abstract":"N-glycosylation is the most common and versatile protein modification. In eukaryotic cells, this modification is catalyzed cotranslationally by the enzyme oligosaccharyltransferase, which targets the β-amide of the asparagine in an Asn-Xaa-Ser/Thr consensus sequon (where Xaa is any amino acid but proline) in nascent proteins as they enter the endoplasmic reticulum. Because modification of the glycosylation acceptor site on membrane proteins occurs in a compartment-specific manner, the presence of glycosylation is used to indicate membrane protein topology. Moreover, glycosylation sites can be added to gain topological information. In this study, we explored the determinants of N-glycosylation with the in vitro transcription/translation of a truncated model protein in the presence of microsomes and surveyed 25,488 glycoproteins, of which 2,533 glycosylation sites had been experimentally validated. We found that glycosylation efficiency was dependent on both the distance to the C-terminus and the nature of the amino acid that preceded the consensus sequon. These findings establish a broadly applicable method for membrane protein tagging in topological studies. © 2010 The Protein Society.","author":[{"dropping-particle":"","family":"Bañó-Polo","given":"Manuel","non-dropping-particle":"","parse-names":false,"suffix":""},{"dropping-particle":"","family":"Baldin","given":"Francesca","non-dropping-particle":"","parse-names":false,"suffix":""},{"dropping-particle":"","family":"Tamborero","given":"Silvia","non-dropping-particle":"","parse-names":false,"suffix":""},{"dropping-particle":"","family":"Marti-Renom","given":"Marc A.","non-dropping-particle":"","parse-names":false,"suffix":""},{"dropping-particle":"","family":"Mingarro","given":"Ismael","non-dropping-particle":"","parse-names":false,"suffix":""}],"container-title":"Protein Science","id":"ITEM-1","issue":"1","issued":{"date-parts":[["2011"]]},"page":"179-186","title":"N-Glycosylation efficiency is determined by the distance to the C-terminus and the amino acid preceding an Asn-Ser-Thr sequon","type":"article-journal","volume":"20"},"uris":["http://www.mendeley.com/documents/?uuid=85f385f6-5c1f-4882-b3a3-046a5ae5d994"]}],"mendeley":{"formattedCitation":"&lt;sup&gt;81&lt;/sup&gt;","plainTextFormattedCitation":"81","previouslyFormattedCitation":"&lt;sup&gt;81&lt;/sup&gt;"},"properties":{"noteIndex":0},"schema":"https://github.com/citation-style-language/schema/raw/master/csl-citation.json"}</w:instrText>
      </w:r>
      <w:r w:rsidR="006F111C" w:rsidRPr="006B3D43">
        <w:rPr>
          <w:rFonts w:ascii="Arial" w:hAnsi="Arial" w:cs="Arial"/>
          <w:sz w:val="24"/>
          <w:szCs w:val="24"/>
        </w:rPr>
        <w:fldChar w:fldCharType="separate"/>
      </w:r>
      <w:r w:rsidR="007774B6" w:rsidRPr="007774B6">
        <w:rPr>
          <w:rFonts w:ascii="Arial" w:hAnsi="Arial" w:cs="Arial"/>
          <w:noProof/>
          <w:sz w:val="24"/>
          <w:szCs w:val="24"/>
          <w:vertAlign w:val="superscript"/>
        </w:rPr>
        <w:t>81</w:t>
      </w:r>
      <w:r w:rsidR="006F111C" w:rsidRPr="006B3D43">
        <w:rPr>
          <w:rFonts w:ascii="Arial" w:hAnsi="Arial" w:cs="Arial"/>
          <w:sz w:val="24"/>
          <w:szCs w:val="24"/>
        </w:rPr>
        <w:fldChar w:fldCharType="end"/>
      </w:r>
      <w:r w:rsidRPr="006B3D43">
        <w:rPr>
          <w:rFonts w:ascii="Arial" w:hAnsi="Arial" w:cs="Arial"/>
          <w:sz w:val="24"/>
          <w:szCs w:val="24"/>
        </w:rPr>
        <w:t>.</w:t>
      </w:r>
    </w:p>
    <w:p w14:paraId="09FF11D2" w14:textId="7470398F" w:rsidR="007A5564" w:rsidRPr="006B3D43" w:rsidRDefault="007A5564" w:rsidP="006B3D43">
      <w:pPr>
        <w:spacing w:line="360" w:lineRule="auto"/>
        <w:ind w:firstLine="720"/>
        <w:jc w:val="both"/>
        <w:rPr>
          <w:rFonts w:ascii="Arial" w:hAnsi="Arial" w:cs="Arial"/>
          <w:sz w:val="24"/>
          <w:szCs w:val="24"/>
        </w:rPr>
      </w:pPr>
      <w:r w:rsidRPr="006B3D43">
        <w:rPr>
          <w:rFonts w:ascii="Arial" w:hAnsi="Arial" w:cs="Arial"/>
          <w:sz w:val="24"/>
          <w:szCs w:val="24"/>
        </w:rPr>
        <w:t xml:space="preserve">Modelling the site-specific glycosylation of viral derived material enables the glycosylation of S protein to be contextualized </w:t>
      </w:r>
      <w:r w:rsidR="00D959B9">
        <w:rPr>
          <w:rFonts w:ascii="Arial" w:hAnsi="Arial" w:cs="Arial"/>
          <w:sz w:val="24"/>
          <w:szCs w:val="24"/>
        </w:rPr>
        <w:t xml:space="preserve">spatially </w:t>
      </w:r>
      <w:r w:rsidRPr="006B3D43">
        <w:rPr>
          <w:rFonts w:ascii="Arial" w:hAnsi="Arial" w:cs="Arial"/>
          <w:sz w:val="24"/>
          <w:szCs w:val="24"/>
        </w:rPr>
        <w:t>in three</w:t>
      </w:r>
      <w:r w:rsidR="006766D8">
        <w:rPr>
          <w:rFonts w:ascii="Arial" w:hAnsi="Arial" w:cs="Arial"/>
          <w:sz w:val="24"/>
          <w:szCs w:val="24"/>
        </w:rPr>
        <w:t xml:space="preserve"> </w:t>
      </w:r>
      <w:r w:rsidRPr="006B3D43">
        <w:rPr>
          <w:rFonts w:ascii="Arial" w:hAnsi="Arial" w:cs="Arial"/>
          <w:sz w:val="24"/>
          <w:szCs w:val="24"/>
        </w:rPr>
        <w:t xml:space="preserve">dimensions. </w:t>
      </w:r>
      <w:r w:rsidR="001C1DEF" w:rsidRPr="006B3D43">
        <w:rPr>
          <w:rFonts w:ascii="Arial" w:hAnsi="Arial" w:cs="Arial"/>
          <w:sz w:val="24"/>
          <w:szCs w:val="24"/>
        </w:rPr>
        <w:t xml:space="preserve">Using the cryo-EM structure of S protein ectodomain (ECD) in the open state (one RBD in the </w:t>
      </w:r>
      <w:r w:rsidR="0000049B" w:rsidRPr="006B3D43">
        <w:rPr>
          <w:rFonts w:ascii="Arial" w:hAnsi="Arial" w:cs="Arial"/>
          <w:sz w:val="24"/>
          <w:szCs w:val="24"/>
        </w:rPr>
        <w:t>“</w:t>
      </w:r>
      <w:r w:rsidR="001C1DEF" w:rsidRPr="006B3D43">
        <w:rPr>
          <w:rFonts w:ascii="Arial" w:hAnsi="Arial" w:cs="Arial"/>
          <w:sz w:val="24"/>
          <w:szCs w:val="24"/>
        </w:rPr>
        <w:t>up conformation</w:t>
      </w:r>
      <w:r w:rsidR="0000049B" w:rsidRPr="006B3D43">
        <w:rPr>
          <w:rFonts w:ascii="Arial" w:hAnsi="Arial" w:cs="Arial"/>
          <w:sz w:val="24"/>
          <w:szCs w:val="24"/>
        </w:rPr>
        <w:t>”</w:t>
      </w:r>
      <w:r w:rsidR="001C1DEF" w:rsidRPr="006B3D43">
        <w:rPr>
          <w:rFonts w:ascii="Arial" w:hAnsi="Arial" w:cs="Arial"/>
          <w:sz w:val="24"/>
          <w:szCs w:val="24"/>
        </w:rPr>
        <w:t xml:space="preserve"> and two RBDs in the </w:t>
      </w:r>
      <w:r w:rsidR="0000049B" w:rsidRPr="006B3D43">
        <w:rPr>
          <w:rFonts w:ascii="Arial" w:hAnsi="Arial" w:cs="Arial"/>
          <w:sz w:val="24"/>
          <w:szCs w:val="24"/>
        </w:rPr>
        <w:t>“</w:t>
      </w:r>
      <w:r w:rsidR="001C1DEF" w:rsidRPr="006B3D43">
        <w:rPr>
          <w:rFonts w:ascii="Arial" w:hAnsi="Arial" w:cs="Arial"/>
          <w:sz w:val="24"/>
          <w:szCs w:val="24"/>
        </w:rPr>
        <w:t>down conformation</w:t>
      </w:r>
      <w:r w:rsidR="0000049B" w:rsidRPr="006B3D43">
        <w:rPr>
          <w:rFonts w:ascii="Arial" w:hAnsi="Arial" w:cs="Arial"/>
          <w:sz w:val="24"/>
          <w:szCs w:val="24"/>
        </w:rPr>
        <w:t>”</w:t>
      </w:r>
      <w:r w:rsidR="001C1DEF" w:rsidRPr="006B3D43">
        <w:rPr>
          <w:rFonts w:ascii="Arial" w:hAnsi="Arial" w:cs="Arial"/>
          <w:sz w:val="24"/>
          <w:szCs w:val="24"/>
        </w:rPr>
        <w:t>)</w:t>
      </w:r>
      <w:r w:rsidR="00D92230" w:rsidRPr="006B3D43">
        <w:rPr>
          <w:rFonts w:ascii="Arial" w:hAnsi="Arial" w:cs="Arial"/>
          <w:sz w:val="24"/>
          <w:szCs w:val="24"/>
        </w:rPr>
        <w:t xml:space="preserve"> </w:t>
      </w:r>
      <w:r w:rsidR="00D92230" w:rsidRPr="00C71D29">
        <w:rPr>
          <w:rFonts w:ascii="Arial" w:hAnsi="Arial" w:cs="Arial"/>
          <w:sz w:val="24"/>
          <w:szCs w:val="24"/>
        </w:rPr>
        <w:t>(PDB: 6VSB)</w:t>
      </w:r>
      <w:r w:rsidR="002C75C9">
        <w:rPr>
          <w:rFonts w:ascii="Arial" w:hAnsi="Arial" w:cs="Arial"/>
          <w:sz w:val="24"/>
          <w:szCs w:val="24"/>
        </w:rPr>
        <w:t xml:space="preserve"> </w:t>
      </w:r>
      <w:r w:rsidR="009675A0" w:rsidRPr="00C71D29">
        <w:rPr>
          <w:rFonts w:ascii="Arial" w:hAnsi="Arial" w:cs="Arial"/>
          <w:sz w:val="24"/>
          <w:szCs w:val="24"/>
        </w:rPr>
        <w:fldChar w:fldCharType="begin" w:fldLock="1"/>
      </w:r>
      <w:r w:rsidR="007774B6">
        <w:rPr>
          <w:rFonts w:ascii="Arial" w:hAnsi="Arial" w:cs="Arial"/>
          <w:sz w:val="24"/>
          <w:szCs w:val="24"/>
        </w:rPr>
        <w:instrText>ADDIN CSL_CITATION {"citationItems":[{"id":"ITEM-1","itemData":{"DOI":"10.1126/science.abb2507","ISSN":"10959203","PMID":"32075877","abstract":"The outbreak of a novel coronavirus (2019-nCoV) represents a pandemic threat that has been declared a public health emergency of international concern. The CoV spike (S) glycoprotein is a key target for vaccines, therapeutic antibodies, and diagnostics. To facilitate medical countermeasure development, we determined a 3.5-angstrom-resolution cryo-electron microscopy structure of the 2019-nCoV S trimer in the prefusion conformation. The predominant state of the trimer has one of the three receptor-binding domains (RBDs) rotated up in a receptor-accessible conformation. We also provide biophysical and structural evidence that the 2019-nCoV S protein binds angiotensin-converting enzyme 2 (ACE2) with higher affinity than does severe acute respiratory syndrome (SARS)-CoV S. Additionally, we tested several published SARS-CoV RBD-specific monoclonal antibodies and found that they do not have appreciable binding to 2019-nCoV S, suggesting that antibody cross-reactivity may be limited between the two RBDs. The structure of 2019-nCoV S should enable the rapid development and evaluation of medical countermeasures to address the ongoing public health crisis.","author":[{"dropping-particle":"","family":"Wrapp","given":"Daniel","non-dropping-particle":"","parse-names":false,"suffix":""},{"dropping-particle":"","family":"Wang","given":"Nianshuang","non-dropping-particle":"","parse-names":false,"suffix":""},{"dropping-particle":"","family":"Corbett","given":"Kizzmekia S.","non-dropping-particle":"","parse-names":false,"suffix":""},{"dropping-particle":"","family":"Goldsmith","given":"Jory A.","non-dropping-particle":"","parse-names":false,"suffix":""},{"dropping-particle":"","family":"Hsieh","given":"Ching Lin","non-dropping-particle":"","parse-names":false,"suffix":""},{"dropping-particle":"","family":"Abiona","given":"Olubukola","non-dropping-particle":"","parse-names":false,"suffix":""},{"dropping-particle":"","family":"Graham","given":"Barney S.","non-dropping-particle":"","parse-names":false,"suffix":""},{"dropping-particle":"","family":"McLellan","given":"Jason S.","non-dropping-particle":"","parse-names":false,"suffix":""}],"container-title":"Science","id":"ITEM-1","issue":"6483","issued":{"date-parts":[["2020"]]},"page":"1260-1263","title":"Cryo-EM structure of the 2019-nCoV spike in the prefusion conformation","type":"article-journal","volume":"367"},"uris":["http://www.mendeley.com/documents/?uuid=f7160f7d-2d82-4a0a-b66f-1211c4e35985"]}],"mendeley":{"formattedCitation":"&lt;sup&gt;28&lt;/sup&gt;","plainTextFormattedCitation":"28","previouslyFormattedCitation":"&lt;sup&gt;28&lt;/sup&gt;"},"properties":{"noteIndex":0},"schema":"https://github.com/citation-style-language/schema/raw/master/csl-citation.json"}</w:instrText>
      </w:r>
      <w:r w:rsidR="009675A0" w:rsidRPr="00C71D29">
        <w:rPr>
          <w:rFonts w:ascii="Arial" w:hAnsi="Arial" w:cs="Arial"/>
          <w:sz w:val="24"/>
          <w:szCs w:val="24"/>
        </w:rPr>
        <w:fldChar w:fldCharType="separate"/>
      </w:r>
      <w:r w:rsidR="007774B6" w:rsidRPr="007774B6">
        <w:rPr>
          <w:rFonts w:ascii="Arial" w:hAnsi="Arial" w:cs="Arial"/>
          <w:noProof/>
          <w:sz w:val="24"/>
          <w:szCs w:val="24"/>
          <w:vertAlign w:val="superscript"/>
        </w:rPr>
        <w:t>28</w:t>
      </w:r>
      <w:r w:rsidR="009675A0" w:rsidRPr="00C71D29">
        <w:rPr>
          <w:rFonts w:ascii="Arial" w:hAnsi="Arial" w:cs="Arial"/>
          <w:sz w:val="24"/>
          <w:szCs w:val="24"/>
        </w:rPr>
        <w:fldChar w:fldCharType="end"/>
      </w:r>
      <w:r w:rsidR="001C1DEF" w:rsidRPr="006B3D43">
        <w:rPr>
          <w:rFonts w:ascii="Arial" w:hAnsi="Arial" w:cs="Arial"/>
          <w:sz w:val="24"/>
          <w:szCs w:val="24"/>
        </w:rPr>
        <w:t>, as well as the NMR structures of SARS-CoV HR2 domain</w:t>
      </w:r>
      <w:r w:rsidR="003142F8" w:rsidRPr="006B3D43">
        <w:rPr>
          <w:rFonts w:ascii="Arial" w:hAnsi="Arial" w:cs="Arial"/>
          <w:sz w:val="24"/>
          <w:szCs w:val="24"/>
        </w:rPr>
        <w:t xml:space="preserve"> </w:t>
      </w:r>
      <w:r w:rsidR="003142F8" w:rsidRPr="00C71D29">
        <w:rPr>
          <w:rFonts w:ascii="Arial" w:hAnsi="Arial" w:cs="Arial"/>
          <w:sz w:val="24"/>
          <w:szCs w:val="24"/>
        </w:rPr>
        <w:t>(PDB: 2FXP)</w:t>
      </w:r>
      <w:r w:rsidR="002C75C9">
        <w:rPr>
          <w:rFonts w:ascii="Arial" w:hAnsi="Arial" w:cs="Arial"/>
          <w:sz w:val="24"/>
          <w:szCs w:val="24"/>
        </w:rPr>
        <w:t xml:space="preserve"> </w:t>
      </w:r>
      <w:r w:rsidR="009675A0" w:rsidRPr="006B3D43">
        <w:rPr>
          <w:rFonts w:ascii="Arial" w:hAnsi="Arial" w:cs="Arial"/>
          <w:sz w:val="24"/>
          <w:szCs w:val="24"/>
        </w:rPr>
        <w:fldChar w:fldCharType="begin" w:fldLock="1"/>
      </w:r>
      <w:r w:rsidR="007774B6">
        <w:rPr>
          <w:rFonts w:ascii="Arial" w:hAnsi="Arial" w:cs="Arial"/>
          <w:sz w:val="24"/>
          <w:szCs w:val="24"/>
        </w:rPr>
        <w:instrText>ADDIN CSL_CITATION {"citationItems":[{"id":"ITEM-1","itemData":{"DOI":"10.1074/jbc.M601174200","ISSN":"00219258","PMID":"16507566","abstract":"The envelope glycoprotein, termed the spike protein, of severe acute respiratory syndrome coronavirus (SARS-CoV) is known to mediate viral entry. Similar to other class 1 viral fusion proteins, the heptad repeat regions of SARS-CoV spike are thought to undergo conformational changes from a prefusion form to a subsequent post-fusion form that enables fusion of the viral and host membranes. Recently, the structure of a post-fusion form of SARS-CoV spike, which consists of isolated domains of heptad repeats 1 and 2 (HR1 and HR2), has been determined by x-ray crystallography. To date there is no structural information for the prefusion conformations of SARS-CoV HR1 and HR2. In this work we present the NMR structure of the HR2 domain (residues 1141-1193) from SARS-CoV (termed S2-HR2) in the presence of the co-solvent trifluoroethanol. We find that in the absence of HR1, S2-HR2 forms a coiled coil symmetric trimer with a complex molecular mass of 18 kDa. The S2-HR2 structure, which is the first example of the prefusion form of coronavirus envelope, supports the current model of viral membrane fusion and gives insight into the design of structure-based antagonists of SARS. © 2006 by The American Society for Biochemistry and Molecular Biology, Inc.","author":[{"dropping-particle":"","family":"Hakansson-McReynolds","given":"Susanna","non-dropping-particle":"","parse-names":false,"suffix":""},{"dropping-particle":"","family":"Jiang","given":"Shaokai","non-dropping-particle":"","parse-names":false,"suffix":""},{"dropping-particle":"","family":"Rong","given":"Lijun","non-dropping-particle":"","parse-names":false,"suffix":""},{"dropping-particle":"","family":"Caffrey","given":"Michael","non-dropping-particle":"","parse-names":false,"suffix":""}],"container-title":"Journal of Biological Chemistry","id":"ITEM-1","issue":"17","issued":{"date-parts":[["2006","4","28"]]},"page":"11965-11971","publisher":"J Biol Chem","title":"Solution structure of the severe acute respiratory syndrome-coronavirus heptad repeat 2 domain in the prefusion state","type":"article-journal","volume":"281"},"uris":["http://www.mendeley.com/documents/?uuid=ed5148d5-6e0e-3699-b8e7-cfbc2712cfc9"]}],"mendeley":{"formattedCitation":"&lt;sup&gt;56&lt;/sup&gt;","plainTextFormattedCitation":"56","previouslyFormattedCitation":"&lt;sup&gt;56&lt;/sup&gt;"},"properties":{"noteIndex":0},"schema":"https://github.com/citation-style-language/schema/raw/master/csl-citation.json"}</w:instrText>
      </w:r>
      <w:r w:rsidR="009675A0" w:rsidRPr="006B3D43">
        <w:rPr>
          <w:rFonts w:ascii="Arial" w:hAnsi="Arial" w:cs="Arial"/>
          <w:sz w:val="24"/>
          <w:szCs w:val="24"/>
        </w:rPr>
        <w:fldChar w:fldCharType="separate"/>
      </w:r>
      <w:r w:rsidR="007774B6" w:rsidRPr="007774B6">
        <w:rPr>
          <w:rFonts w:ascii="Arial" w:hAnsi="Arial" w:cs="Arial"/>
          <w:noProof/>
          <w:sz w:val="24"/>
          <w:szCs w:val="24"/>
          <w:vertAlign w:val="superscript"/>
        </w:rPr>
        <w:t>56</w:t>
      </w:r>
      <w:r w:rsidR="009675A0" w:rsidRPr="006B3D43">
        <w:rPr>
          <w:rFonts w:ascii="Arial" w:hAnsi="Arial" w:cs="Arial"/>
          <w:sz w:val="24"/>
          <w:szCs w:val="24"/>
        </w:rPr>
        <w:fldChar w:fldCharType="end"/>
      </w:r>
      <w:r w:rsidR="009675A0" w:rsidRPr="006B3D43">
        <w:rPr>
          <w:rFonts w:ascii="Arial" w:hAnsi="Arial" w:cs="Arial"/>
          <w:sz w:val="24"/>
          <w:szCs w:val="24"/>
        </w:rPr>
        <w:t xml:space="preserve"> </w:t>
      </w:r>
      <w:r w:rsidR="001C1DEF" w:rsidRPr="006B3D43">
        <w:rPr>
          <w:rFonts w:ascii="Arial" w:hAnsi="Arial" w:cs="Arial"/>
          <w:sz w:val="24"/>
          <w:szCs w:val="24"/>
        </w:rPr>
        <w:t>and HIV-1 gp-41 TM domai</w:t>
      </w:r>
      <w:r w:rsidR="00E71885" w:rsidRPr="006B3D43">
        <w:rPr>
          <w:rFonts w:ascii="Arial" w:hAnsi="Arial" w:cs="Arial"/>
          <w:sz w:val="24"/>
          <w:szCs w:val="24"/>
        </w:rPr>
        <w:t>n (PDB: 5JYN)</w:t>
      </w:r>
      <w:r w:rsidR="002C75C9">
        <w:rPr>
          <w:rFonts w:ascii="Arial" w:hAnsi="Arial" w:cs="Arial"/>
          <w:sz w:val="24"/>
          <w:szCs w:val="24"/>
        </w:rPr>
        <w:t xml:space="preserve"> </w:t>
      </w:r>
      <w:r w:rsidR="009675A0" w:rsidRPr="006B3D43">
        <w:rPr>
          <w:rFonts w:ascii="Arial" w:hAnsi="Arial" w:cs="Arial"/>
          <w:sz w:val="24"/>
          <w:szCs w:val="24"/>
        </w:rPr>
        <w:fldChar w:fldCharType="begin" w:fldLock="1"/>
      </w:r>
      <w:r w:rsidR="007774B6">
        <w:rPr>
          <w:rFonts w:ascii="Arial" w:hAnsi="Arial" w:cs="Arial"/>
          <w:sz w:val="24"/>
          <w:szCs w:val="24"/>
        </w:rPr>
        <w:instrText>ADDIN CSL_CITATION {"citationItems":[{"id":"ITEM-1","itemData":{"DOI":"10.1126/science.aaf7066","ISSN":"10959203","PMID":"27338706","abstract":"HIV-1 envelope spike (Env) is a type I membrane protein that mediates viral entry. We used nuclear magnetic resonance to determine an atomic structure of the transmembrane (TM) domain of HIV-1 Env reconstituted in bicelles that mimic a lipid bilayer.The TM forms a well-ordered trimer that protects a conserved membrane-embedded arginine. An aminoterminal coiled-coil and a carboxyl-terminal hydrophilic core stabilize the trimer. Individual mutations of conserved residues did not disrupt the TM trimer and minimally affected membrane fusion and infectivity. Major changes in the hydrophilic core, however, altered the antibody sensitivity of Env.These results show how a TM domain anchors, stabilizes, and modulates a viral envelope spike and suggest that its influence on Env conformation is an important consideration for HIV-1 immunogen design.","author":[{"dropping-particle":"","family":"Dev","given":"Jyoti","non-dropping-particle":"","parse-names":false,"suffix":""},{"dropping-particle":"","family":"Park","given":"Donghyun","non-dropping-particle":"","parse-names":false,"suffix":""},{"dropping-particle":"","family":"Fu","given":"Qingshan","non-dropping-particle":"","parse-names":false,"suffix":""},{"dropping-particle":"","family":"Chen","given":"Jia","non-dropping-particle":"","parse-names":false,"suffix":""},{"dropping-particle":"","family":"Ha","given":"Heather Jiwon","non-dropping-particle":"","parse-names":false,"suffix":""},{"dropping-particle":"","family":"Ghantous","given":"Fadi","non-dropping-particle":"","parse-names":false,"suffix":""},{"dropping-particle":"","family":"Herrmann","given":"Tobias","non-dropping-particle":"","parse-names":false,"suffix":""},{"dropping-particle":"","family":"Chang","given":"Weiting","non-dropping-particle":"","parse-names":false,"suffix":""},{"dropping-particle":"","family":"Liu","given":"Zhijun","non-dropping-particle":"","parse-names":false,"suffix":""},{"dropping-particle":"","family":"Frey","given":"Gary","non-dropping-particle":"","parse-names":false,"suffix":""},{"dropping-particle":"","family":"Seaman","given":"Michael S.","non-dropping-particle":"","parse-names":false,"suffix":""},{"dropping-particle":"","family":"Chen","given":"Bing","non-dropping-particle":"","parse-names":false,"suffix":""},{"dropping-particle":"","family":"Chou","given":"James J.","non-dropping-particle":"","parse-names":false,"suffix":""}],"container-title":"Science","id":"ITEM-1","issue":"6295","issued":{"date-parts":[["2016","7","8"]]},"page":"172-175","publisher":"American Association for the Advancement of Science","title":"Structural basis for membrane anchoring of HIV-1 envelope spike","type":"article-journal","volume":"353"},"uris":["http://www.mendeley.com/documents/?uuid=273b891f-667a-3f01-a5d6-34a6b1f5729a"]}],"mendeley":{"formattedCitation":"&lt;sup&gt;57&lt;/sup&gt;","plainTextFormattedCitation":"57","previouslyFormattedCitation":"&lt;sup&gt;57&lt;/sup&gt;"},"properties":{"noteIndex":0},"schema":"https://github.com/citation-style-language/schema/raw/master/csl-citation.json"}</w:instrText>
      </w:r>
      <w:r w:rsidR="009675A0" w:rsidRPr="006B3D43">
        <w:rPr>
          <w:rFonts w:ascii="Arial" w:hAnsi="Arial" w:cs="Arial"/>
          <w:sz w:val="24"/>
          <w:szCs w:val="24"/>
        </w:rPr>
        <w:fldChar w:fldCharType="separate"/>
      </w:r>
      <w:r w:rsidR="007774B6" w:rsidRPr="007774B6">
        <w:rPr>
          <w:rFonts w:ascii="Arial" w:hAnsi="Arial" w:cs="Arial"/>
          <w:noProof/>
          <w:sz w:val="24"/>
          <w:szCs w:val="24"/>
          <w:vertAlign w:val="superscript"/>
        </w:rPr>
        <w:t>57</w:t>
      </w:r>
      <w:r w:rsidR="009675A0" w:rsidRPr="006B3D43">
        <w:rPr>
          <w:rFonts w:ascii="Arial" w:hAnsi="Arial" w:cs="Arial"/>
          <w:sz w:val="24"/>
          <w:szCs w:val="24"/>
        </w:rPr>
        <w:fldChar w:fldCharType="end"/>
      </w:r>
      <w:r w:rsidR="001C1DEF" w:rsidRPr="006B3D43">
        <w:rPr>
          <w:rFonts w:ascii="Arial" w:hAnsi="Arial" w:cs="Arial"/>
          <w:sz w:val="24"/>
          <w:szCs w:val="24"/>
        </w:rPr>
        <w:t xml:space="preserve">, a </w:t>
      </w:r>
      <w:r w:rsidR="00934A6B" w:rsidRPr="006B3D43">
        <w:rPr>
          <w:rFonts w:ascii="Arial" w:hAnsi="Arial" w:cs="Arial"/>
          <w:sz w:val="24"/>
          <w:szCs w:val="24"/>
        </w:rPr>
        <w:t>complete</w:t>
      </w:r>
      <w:r w:rsidR="001C1DEF" w:rsidRPr="006B3D43">
        <w:rPr>
          <w:rFonts w:ascii="Arial" w:hAnsi="Arial" w:cs="Arial"/>
          <w:sz w:val="24"/>
          <w:szCs w:val="24"/>
        </w:rPr>
        <w:t xml:space="preserve"> model of the S protein was generated</w:t>
      </w:r>
      <w:r w:rsidR="002071A8" w:rsidRPr="006B3D43">
        <w:rPr>
          <w:rFonts w:ascii="Arial" w:hAnsi="Arial" w:cs="Arial"/>
          <w:sz w:val="24"/>
          <w:szCs w:val="24"/>
        </w:rPr>
        <w:t xml:space="preserve"> (</w:t>
      </w:r>
      <w:r w:rsidR="0000049B" w:rsidRPr="006B3D43">
        <w:rPr>
          <w:rFonts w:ascii="Arial" w:hAnsi="Arial" w:cs="Arial"/>
          <w:sz w:val="24"/>
          <w:szCs w:val="24"/>
        </w:rPr>
        <w:t>d</w:t>
      </w:r>
      <w:r w:rsidR="002071A8" w:rsidRPr="006B3D43">
        <w:rPr>
          <w:rFonts w:ascii="Arial" w:hAnsi="Arial" w:cs="Arial"/>
          <w:sz w:val="24"/>
          <w:szCs w:val="24"/>
        </w:rPr>
        <w:t>etails in Method</w:t>
      </w:r>
      <w:r w:rsidR="00B42828">
        <w:rPr>
          <w:rFonts w:ascii="Arial" w:hAnsi="Arial" w:cs="Arial"/>
          <w:sz w:val="24"/>
          <w:szCs w:val="24"/>
        </w:rPr>
        <w:t>s</w:t>
      </w:r>
      <w:r w:rsidR="002071A8" w:rsidRPr="006B3D43">
        <w:rPr>
          <w:rFonts w:ascii="Arial" w:hAnsi="Arial" w:cs="Arial"/>
          <w:sz w:val="24"/>
          <w:szCs w:val="24"/>
        </w:rPr>
        <w:t xml:space="preserve"> section)</w:t>
      </w:r>
      <w:r w:rsidR="001C1DEF" w:rsidRPr="006B3D43">
        <w:rPr>
          <w:rFonts w:ascii="Arial" w:hAnsi="Arial" w:cs="Arial"/>
          <w:sz w:val="24"/>
          <w:szCs w:val="24"/>
        </w:rPr>
        <w:t>. Th</w:t>
      </w:r>
      <w:r w:rsidR="00CC2966" w:rsidRPr="006B3D43">
        <w:rPr>
          <w:rFonts w:ascii="Arial" w:hAnsi="Arial" w:cs="Arial"/>
          <w:sz w:val="24"/>
          <w:szCs w:val="24"/>
        </w:rPr>
        <w:t>is</w:t>
      </w:r>
      <w:r w:rsidR="001C1DEF" w:rsidRPr="006B3D43">
        <w:rPr>
          <w:rFonts w:ascii="Arial" w:hAnsi="Arial" w:cs="Arial"/>
          <w:sz w:val="24"/>
          <w:szCs w:val="24"/>
        </w:rPr>
        <w:t xml:space="preserve"> model </w:t>
      </w:r>
      <w:r w:rsidRPr="006B3D43">
        <w:rPr>
          <w:rFonts w:ascii="Arial" w:hAnsi="Arial" w:cs="Arial"/>
          <w:sz w:val="24"/>
          <w:szCs w:val="24"/>
        </w:rPr>
        <w:t xml:space="preserve">includes glycosylation sites which are often not resolved as they are present on variable loops or </w:t>
      </w:r>
      <w:r w:rsidR="00B42828">
        <w:rPr>
          <w:rFonts w:ascii="Arial" w:hAnsi="Arial" w:cs="Arial"/>
          <w:sz w:val="24"/>
          <w:szCs w:val="24"/>
        </w:rPr>
        <w:t xml:space="preserve">along </w:t>
      </w:r>
      <w:r w:rsidRPr="006B3D43">
        <w:rPr>
          <w:rFonts w:ascii="Arial" w:hAnsi="Arial" w:cs="Arial"/>
          <w:sz w:val="24"/>
          <w:szCs w:val="24"/>
        </w:rPr>
        <w:t>the flexible stem region of the S protein. This model demonstrated the spread of different glycan processing states across the S protein</w:t>
      </w:r>
      <w:r w:rsidR="00360F3E" w:rsidRPr="006B3D43">
        <w:rPr>
          <w:rFonts w:ascii="Arial" w:hAnsi="Arial" w:cs="Arial"/>
          <w:sz w:val="24"/>
          <w:szCs w:val="24"/>
        </w:rPr>
        <w:t xml:space="preserve"> (</w:t>
      </w:r>
      <w:r w:rsidR="00360F3E" w:rsidRPr="006B3D43">
        <w:rPr>
          <w:rFonts w:ascii="Arial" w:hAnsi="Arial" w:cs="Arial"/>
          <w:b/>
          <w:bCs/>
          <w:sz w:val="24"/>
          <w:szCs w:val="24"/>
        </w:rPr>
        <w:t>Figure 1C</w:t>
      </w:r>
      <w:r w:rsidR="00360F3E" w:rsidRPr="006B3D43">
        <w:rPr>
          <w:rFonts w:ascii="Arial" w:hAnsi="Arial" w:cs="Arial"/>
          <w:sz w:val="24"/>
          <w:szCs w:val="24"/>
        </w:rPr>
        <w:t>)</w:t>
      </w:r>
      <w:r w:rsidRPr="006B3D43">
        <w:rPr>
          <w:rFonts w:ascii="Arial" w:hAnsi="Arial" w:cs="Arial"/>
          <w:sz w:val="24"/>
          <w:szCs w:val="24"/>
        </w:rPr>
        <w:t>. As with other published models of spike glycosylation</w:t>
      </w:r>
      <w:r w:rsidR="00166FC9" w:rsidRPr="006B3D43">
        <w:rPr>
          <w:rFonts w:ascii="Arial" w:hAnsi="Arial" w:cs="Arial"/>
          <w:sz w:val="24"/>
          <w:szCs w:val="24"/>
        </w:rPr>
        <w:t>,</w:t>
      </w:r>
      <w:r w:rsidRPr="006B3D43">
        <w:rPr>
          <w:rFonts w:ascii="Arial" w:hAnsi="Arial" w:cs="Arial"/>
          <w:sz w:val="24"/>
          <w:szCs w:val="24"/>
        </w:rPr>
        <w:t xml:space="preserve"> the N234 site is extensively buried within the protein surface proximal to the RBD and rationalizes the conserved presentation of oligomannose-type glycans on recombinant and viral-derived material as the glycan processing enzymes </w:t>
      </w:r>
      <w:r w:rsidR="008D02CF">
        <w:rPr>
          <w:rFonts w:ascii="Arial" w:hAnsi="Arial" w:cs="Arial"/>
          <w:sz w:val="24"/>
          <w:szCs w:val="24"/>
        </w:rPr>
        <w:t>are unable to completely process these sites</w:t>
      </w:r>
      <w:r w:rsidRPr="006B3D43">
        <w:rPr>
          <w:rFonts w:ascii="Arial" w:hAnsi="Arial" w:cs="Arial"/>
          <w:sz w:val="24"/>
          <w:szCs w:val="24"/>
        </w:rPr>
        <w:t xml:space="preserve">. Glycan sites located on variable loops and on the exposed stem of the S protein are much more processed as these sites are more exposed. </w:t>
      </w:r>
    </w:p>
    <w:p w14:paraId="195B50A2" w14:textId="77777777" w:rsidR="007A5564" w:rsidRPr="006B3D43" w:rsidRDefault="007A5564" w:rsidP="006B3D43">
      <w:pPr>
        <w:spacing w:line="360" w:lineRule="auto"/>
        <w:jc w:val="both"/>
        <w:rPr>
          <w:rFonts w:ascii="Arial" w:hAnsi="Arial" w:cs="Arial"/>
          <w:b/>
          <w:bCs/>
          <w:sz w:val="24"/>
          <w:szCs w:val="24"/>
        </w:rPr>
      </w:pPr>
      <w:r w:rsidRPr="006B3D43">
        <w:rPr>
          <w:rFonts w:ascii="Arial" w:hAnsi="Arial" w:cs="Arial"/>
          <w:b/>
          <w:bCs/>
          <w:sz w:val="24"/>
          <w:szCs w:val="24"/>
        </w:rPr>
        <w:t>Divergent glycan processing at sites presenting complex-type glycans.</w:t>
      </w:r>
    </w:p>
    <w:p w14:paraId="5F3118EB" w14:textId="20D77B45" w:rsidR="007A5564" w:rsidRPr="006B3D43" w:rsidRDefault="007A5564" w:rsidP="006B3D43">
      <w:pPr>
        <w:spacing w:line="360" w:lineRule="auto"/>
        <w:jc w:val="both"/>
        <w:rPr>
          <w:rFonts w:ascii="Arial" w:hAnsi="Arial" w:cs="Arial"/>
          <w:sz w:val="24"/>
          <w:szCs w:val="24"/>
        </w:rPr>
      </w:pPr>
      <w:r w:rsidRPr="006B3D43">
        <w:rPr>
          <w:rFonts w:ascii="Arial" w:hAnsi="Arial" w:cs="Arial"/>
          <w:sz w:val="24"/>
          <w:szCs w:val="24"/>
        </w:rPr>
        <w:t>Whilst glycan under-processing can provide information pertaining to the quaternary structure of the glycoprotein</w:t>
      </w:r>
      <w:r w:rsidR="00771E10" w:rsidRPr="006B3D43">
        <w:rPr>
          <w:rFonts w:ascii="Arial" w:hAnsi="Arial" w:cs="Arial"/>
          <w:sz w:val="24"/>
          <w:szCs w:val="24"/>
        </w:rPr>
        <w:t>,</w:t>
      </w:r>
      <w:r w:rsidRPr="006B3D43">
        <w:rPr>
          <w:rFonts w:ascii="Arial" w:hAnsi="Arial" w:cs="Arial"/>
          <w:sz w:val="24"/>
          <w:szCs w:val="24"/>
        </w:rPr>
        <w:t xml:space="preserve"> the majority of glycans across the S protein are able to be processed beyond these glycoforms. Glycan sites not under the same structural pressures</w:t>
      </w:r>
      <w:r w:rsidR="008923AD">
        <w:rPr>
          <w:rFonts w:ascii="Arial" w:hAnsi="Arial" w:cs="Arial"/>
          <w:sz w:val="24"/>
          <w:szCs w:val="24"/>
        </w:rPr>
        <w:t>,</w:t>
      </w:r>
      <w:r w:rsidRPr="006B3D43">
        <w:rPr>
          <w:rFonts w:ascii="Arial" w:hAnsi="Arial" w:cs="Arial"/>
          <w:sz w:val="24"/>
          <w:szCs w:val="24"/>
        </w:rPr>
        <w:t xml:space="preserve"> </w:t>
      </w:r>
      <w:r w:rsidR="008923AD">
        <w:rPr>
          <w:rFonts w:ascii="Arial" w:hAnsi="Arial" w:cs="Arial"/>
          <w:sz w:val="24"/>
          <w:szCs w:val="24"/>
        </w:rPr>
        <w:t xml:space="preserve">such </w:t>
      </w:r>
      <w:r w:rsidR="00902434">
        <w:rPr>
          <w:rFonts w:ascii="Arial" w:hAnsi="Arial" w:cs="Arial"/>
          <w:sz w:val="24"/>
          <w:szCs w:val="24"/>
        </w:rPr>
        <w:t xml:space="preserve">as </w:t>
      </w:r>
      <w:r w:rsidRPr="006B3D43">
        <w:rPr>
          <w:rFonts w:ascii="Arial" w:hAnsi="Arial" w:cs="Arial"/>
          <w:sz w:val="24"/>
          <w:szCs w:val="24"/>
        </w:rPr>
        <w:t xml:space="preserve">at restricted sites </w:t>
      </w:r>
      <w:r w:rsidR="008923AD">
        <w:rPr>
          <w:rFonts w:ascii="Arial" w:hAnsi="Arial" w:cs="Arial"/>
          <w:sz w:val="24"/>
          <w:szCs w:val="24"/>
        </w:rPr>
        <w:t>like</w:t>
      </w:r>
      <w:r w:rsidRPr="006B3D43">
        <w:rPr>
          <w:rFonts w:ascii="Arial" w:hAnsi="Arial" w:cs="Arial"/>
          <w:sz w:val="24"/>
          <w:szCs w:val="24"/>
        </w:rPr>
        <w:t xml:space="preserve"> N234</w:t>
      </w:r>
      <w:r w:rsidR="008923AD">
        <w:rPr>
          <w:rFonts w:ascii="Arial" w:hAnsi="Arial" w:cs="Arial"/>
          <w:sz w:val="24"/>
          <w:szCs w:val="24"/>
        </w:rPr>
        <w:t>,</w:t>
      </w:r>
      <w:r w:rsidRPr="006B3D43">
        <w:rPr>
          <w:rFonts w:ascii="Arial" w:hAnsi="Arial" w:cs="Arial"/>
          <w:sz w:val="24"/>
          <w:szCs w:val="24"/>
        </w:rPr>
        <w:t xml:space="preserve"> will be processed in an analogous manner as those presented on the majority of host glycoproteins. By comparing the </w:t>
      </w:r>
      <w:r w:rsidRPr="006B3D43">
        <w:rPr>
          <w:rFonts w:ascii="Arial" w:hAnsi="Arial" w:cs="Arial"/>
          <w:sz w:val="24"/>
          <w:szCs w:val="24"/>
        </w:rPr>
        <w:lastRenderedPageBreak/>
        <w:t xml:space="preserve">site-specific glycan compositions at example </w:t>
      </w:r>
      <w:r w:rsidR="00771E10" w:rsidRPr="006B3D43">
        <w:rPr>
          <w:rFonts w:ascii="Arial" w:hAnsi="Arial" w:cs="Arial"/>
          <w:sz w:val="24"/>
          <w:szCs w:val="24"/>
        </w:rPr>
        <w:t>sites,</w:t>
      </w:r>
      <w:r w:rsidRPr="006B3D43">
        <w:rPr>
          <w:rFonts w:ascii="Arial" w:hAnsi="Arial" w:cs="Arial"/>
          <w:sz w:val="24"/>
          <w:szCs w:val="24"/>
        </w:rPr>
        <w:t xml:space="preserve"> we sought to understand the variability in glycan elaboration across multiple preparations of S protein</w:t>
      </w:r>
      <w:r w:rsidR="00902434">
        <w:rPr>
          <w:rFonts w:ascii="Arial" w:hAnsi="Arial" w:cs="Arial"/>
          <w:sz w:val="24"/>
          <w:szCs w:val="24"/>
        </w:rPr>
        <w:t>.</w:t>
      </w:r>
      <w:r w:rsidR="00902434" w:rsidRPr="006B3D43">
        <w:rPr>
          <w:rFonts w:ascii="Arial" w:hAnsi="Arial" w:cs="Arial"/>
          <w:sz w:val="24"/>
          <w:szCs w:val="24"/>
        </w:rPr>
        <w:t xml:space="preserve"> </w:t>
      </w:r>
      <w:r w:rsidR="00902434">
        <w:rPr>
          <w:rFonts w:ascii="Arial" w:hAnsi="Arial" w:cs="Arial"/>
          <w:sz w:val="24"/>
          <w:szCs w:val="24"/>
        </w:rPr>
        <w:t>F</w:t>
      </w:r>
      <w:r w:rsidR="00902434" w:rsidRPr="006B3D43">
        <w:rPr>
          <w:rFonts w:ascii="Arial" w:hAnsi="Arial" w:cs="Arial"/>
          <w:sz w:val="24"/>
          <w:szCs w:val="24"/>
        </w:rPr>
        <w:t xml:space="preserve">or </w:t>
      </w:r>
      <w:r w:rsidR="00A32E51" w:rsidRPr="006B3D43">
        <w:rPr>
          <w:rFonts w:ascii="Arial" w:hAnsi="Arial" w:cs="Arial"/>
          <w:sz w:val="24"/>
          <w:szCs w:val="24"/>
        </w:rPr>
        <w:t xml:space="preserve">this analysis we compared the recombinant protein glycosylation data </w:t>
      </w:r>
      <w:r w:rsidR="00B116A2">
        <w:rPr>
          <w:rFonts w:ascii="Arial" w:hAnsi="Arial" w:cs="Arial"/>
          <w:sz w:val="24"/>
          <w:szCs w:val="24"/>
        </w:rPr>
        <w:t>presented</w:t>
      </w:r>
      <w:r w:rsidR="00B116A2" w:rsidRPr="006B3D43">
        <w:rPr>
          <w:rFonts w:ascii="Arial" w:hAnsi="Arial" w:cs="Arial"/>
          <w:sz w:val="24"/>
          <w:szCs w:val="24"/>
        </w:rPr>
        <w:t xml:space="preserve"> </w:t>
      </w:r>
      <w:r w:rsidR="00A32E51" w:rsidRPr="006B3D43">
        <w:rPr>
          <w:rFonts w:ascii="Arial" w:hAnsi="Arial" w:cs="Arial"/>
          <w:sz w:val="24"/>
          <w:szCs w:val="24"/>
        </w:rPr>
        <w:t xml:space="preserve">in this study (Amsterdam, Harvard, </w:t>
      </w:r>
      <w:r w:rsidR="00CE7733">
        <w:rPr>
          <w:rFonts w:ascii="Arial" w:hAnsi="Arial" w:cs="Arial"/>
          <w:sz w:val="24"/>
          <w:szCs w:val="24"/>
        </w:rPr>
        <w:t>Swiss</w:t>
      </w:r>
      <w:r w:rsidR="00A32E51" w:rsidRPr="006B3D43">
        <w:rPr>
          <w:rFonts w:ascii="Arial" w:hAnsi="Arial" w:cs="Arial"/>
          <w:sz w:val="24"/>
          <w:szCs w:val="24"/>
        </w:rPr>
        <w:t xml:space="preserve"> and Oxford) with viral-derived S protein previously reported, but analyzed using </w:t>
      </w:r>
      <w:r w:rsidR="00DD7DA2" w:rsidRPr="006B3D43">
        <w:rPr>
          <w:rFonts w:ascii="Arial" w:hAnsi="Arial" w:cs="Arial"/>
          <w:sz w:val="24"/>
          <w:szCs w:val="24"/>
        </w:rPr>
        <w:t>the same search parameters as for the recombinant proteins</w:t>
      </w:r>
      <w:r w:rsidRPr="006B3D43">
        <w:rPr>
          <w:rFonts w:ascii="Arial" w:hAnsi="Arial" w:cs="Arial"/>
          <w:sz w:val="24"/>
          <w:szCs w:val="24"/>
        </w:rPr>
        <w:t>. To aid comparison</w:t>
      </w:r>
      <w:r w:rsidR="00153A88" w:rsidRPr="006B3D43">
        <w:rPr>
          <w:rFonts w:ascii="Arial" w:hAnsi="Arial" w:cs="Arial"/>
          <w:sz w:val="24"/>
          <w:szCs w:val="24"/>
        </w:rPr>
        <w:t>,</w:t>
      </w:r>
      <w:r w:rsidRPr="006B3D43">
        <w:rPr>
          <w:rFonts w:ascii="Arial" w:hAnsi="Arial" w:cs="Arial"/>
          <w:sz w:val="24"/>
          <w:szCs w:val="24"/>
        </w:rPr>
        <w:t xml:space="preserve"> we selected one site which presented high levels of under-processed oligomannose-type glycans (N234), one that presented a mixture of processing states (N1074)</w:t>
      </w:r>
      <w:r w:rsidR="00153A88" w:rsidRPr="006B3D43">
        <w:rPr>
          <w:rFonts w:ascii="Arial" w:hAnsi="Arial" w:cs="Arial"/>
          <w:sz w:val="24"/>
          <w:szCs w:val="24"/>
        </w:rPr>
        <w:t>,</w:t>
      </w:r>
      <w:r w:rsidRPr="006B3D43">
        <w:rPr>
          <w:rFonts w:ascii="Arial" w:hAnsi="Arial" w:cs="Arial"/>
          <w:sz w:val="24"/>
          <w:szCs w:val="24"/>
        </w:rPr>
        <w:t xml:space="preserve"> and a site that was populated by complex-type glycans (N282) (</w:t>
      </w:r>
      <w:r w:rsidRPr="006B3D43">
        <w:rPr>
          <w:rFonts w:ascii="Arial" w:hAnsi="Arial" w:cs="Arial"/>
          <w:b/>
          <w:bCs/>
          <w:sz w:val="24"/>
          <w:szCs w:val="24"/>
        </w:rPr>
        <w:t>Figure 2</w:t>
      </w:r>
      <w:r w:rsidRPr="00C71D29">
        <w:rPr>
          <w:rFonts w:ascii="Arial" w:hAnsi="Arial" w:cs="Arial"/>
          <w:sz w:val="24"/>
          <w:szCs w:val="24"/>
        </w:rPr>
        <w:t>)</w:t>
      </w:r>
      <w:r w:rsidRPr="006B3D43">
        <w:rPr>
          <w:rFonts w:ascii="Arial" w:hAnsi="Arial" w:cs="Arial"/>
          <w:sz w:val="24"/>
          <w:szCs w:val="24"/>
        </w:rPr>
        <w:t xml:space="preserve">. Comparing the site-specific glycosylation of N234 demonstrated the conservation of oligomannose-type glycan processing. On 4 of the 5 samples presented in </w:t>
      </w:r>
      <w:r w:rsidRPr="006B3D43">
        <w:rPr>
          <w:rFonts w:ascii="Arial" w:hAnsi="Arial" w:cs="Arial"/>
          <w:b/>
          <w:bCs/>
          <w:sz w:val="24"/>
          <w:szCs w:val="24"/>
        </w:rPr>
        <w:t>Figure 2</w:t>
      </w:r>
      <w:r w:rsidRPr="006B3D43">
        <w:rPr>
          <w:rFonts w:ascii="Arial" w:hAnsi="Arial" w:cs="Arial"/>
          <w:sz w:val="24"/>
          <w:szCs w:val="24"/>
        </w:rPr>
        <w:t xml:space="preserve"> the most abundant glycan detected was Man</w:t>
      </w:r>
      <w:r w:rsidRPr="006B3D43">
        <w:rPr>
          <w:rFonts w:ascii="Arial" w:hAnsi="Arial" w:cs="Arial"/>
          <w:sz w:val="24"/>
          <w:szCs w:val="24"/>
          <w:vertAlign w:val="subscript"/>
        </w:rPr>
        <w:t>8</w:t>
      </w:r>
      <w:r w:rsidRPr="006B3D43">
        <w:rPr>
          <w:rFonts w:ascii="Arial" w:hAnsi="Arial" w:cs="Arial"/>
          <w:sz w:val="24"/>
          <w:szCs w:val="24"/>
        </w:rPr>
        <w:t>GlcNAc</w:t>
      </w:r>
      <w:r w:rsidRPr="006B3D43">
        <w:rPr>
          <w:rFonts w:ascii="Arial" w:hAnsi="Arial" w:cs="Arial"/>
          <w:sz w:val="24"/>
          <w:szCs w:val="24"/>
          <w:vertAlign w:val="subscript"/>
        </w:rPr>
        <w:t>2</w:t>
      </w:r>
      <w:r w:rsidRPr="006B3D43">
        <w:rPr>
          <w:rFonts w:ascii="Arial" w:hAnsi="Arial" w:cs="Arial"/>
          <w:sz w:val="24"/>
          <w:szCs w:val="24"/>
        </w:rPr>
        <w:t xml:space="preserve">, and on the Amsterdam </w:t>
      </w:r>
      <w:r w:rsidR="00C43EEC">
        <w:rPr>
          <w:rFonts w:ascii="Arial" w:hAnsi="Arial" w:cs="Arial"/>
          <w:sz w:val="24"/>
          <w:szCs w:val="24"/>
        </w:rPr>
        <w:t>S protein</w:t>
      </w:r>
      <w:r w:rsidR="00C43EEC" w:rsidRPr="006B3D43">
        <w:rPr>
          <w:rFonts w:ascii="Arial" w:hAnsi="Arial" w:cs="Arial"/>
          <w:sz w:val="24"/>
          <w:szCs w:val="24"/>
        </w:rPr>
        <w:t xml:space="preserve"> </w:t>
      </w:r>
      <w:r w:rsidRPr="006B3D43">
        <w:rPr>
          <w:rFonts w:ascii="Arial" w:hAnsi="Arial" w:cs="Arial"/>
          <w:sz w:val="24"/>
          <w:szCs w:val="24"/>
        </w:rPr>
        <w:t>Man</w:t>
      </w:r>
      <w:r w:rsidRPr="006B3D43">
        <w:rPr>
          <w:rFonts w:ascii="Arial" w:hAnsi="Arial" w:cs="Arial"/>
          <w:sz w:val="24"/>
          <w:szCs w:val="24"/>
          <w:vertAlign w:val="subscript"/>
        </w:rPr>
        <w:t>9</w:t>
      </w:r>
      <w:r w:rsidRPr="006B3D43">
        <w:rPr>
          <w:rFonts w:ascii="Arial" w:hAnsi="Arial" w:cs="Arial"/>
          <w:sz w:val="24"/>
          <w:szCs w:val="24"/>
        </w:rPr>
        <w:t>GlcNAc</w:t>
      </w:r>
      <w:r w:rsidRPr="006B3D43">
        <w:rPr>
          <w:rFonts w:ascii="Arial" w:hAnsi="Arial" w:cs="Arial"/>
          <w:sz w:val="24"/>
          <w:szCs w:val="24"/>
          <w:vertAlign w:val="subscript"/>
        </w:rPr>
        <w:t xml:space="preserve">2 </w:t>
      </w:r>
      <w:r w:rsidRPr="006B3D43">
        <w:rPr>
          <w:rFonts w:ascii="Arial" w:hAnsi="Arial" w:cs="Arial"/>
          <w:sz w:val="24"/>
          <w:szCs w:val="24"/>
        </w:rPr>
        <w:t xml:space="preserve">predominated, which is marginally less processed. </w:t>
      </w:r>
      <w:r w:rsidR="00C43EEC">
        <w:rPr>
          <w:rFonts w:ascii="Arial" w:hAnsi="Arial" w:cs="Arial"/>
          <w:sz w:val="24"/>
          <w:szCs w:val="24"/>
        </w:rPr>
        <w:t xml:space="preserve"> The Harvard and Swiss</w:t>
      </w:r>
      <w:r w:rsidR="00C43EEC" w:rsidRPr="006B3D43">
        <w:rPr>
          <w:rFonts w:ascii="Arial" w:hAnsi="Arial" w:cs="Arial"/>
          <w:sz w:val="24"/>
          <w:szCs w:val="24"/>
        </w:rPr>
        <w:t xml:space="preserve"> </w:t>
      </w:r>
      <w:r w:rsidRPr="006B3D43">
        <w:rPr>
          <w:rFonts w:ascii="Arial" w:hAnsi="Arial" w:cs="Arial"/>
          <w:sz w:val="24"/>
          <w:szCs w:val="24"/>
        </w:rPr>
        <w:t>samples displayed elevated glycan processing at N234, but these glycans were only ~20% abundant and were still the least processed site</w:t>
      </w:r>
      <w:r w:rsidR="008923AD">
        <w:rPr>
          <w:rFonts w:ascii="Arial" w:hAnsi="Arial" w:cs="Arial"/>
          <w:sz w:val="24"/>
          <w:szCs w:val="24"/>
        </w:rPr>
        <w:t>s</w:t>
      </w:r>
      <w:r w:rsidRPr="006B3D43">
        <w:rPr>
          <w:rFonts w:ascii="Arial" w:hAnsi="Arial" w:cs="Arial"/>
          <w:sz w:val="24"/>
          <w:szCs w:val="24"/>
        </w:rPr>
        <w:t xml:space="preserve"> on these samples (</w:t>
      </w:r>
      <w:r w:rsidRPr="006B3D43">
        <w:rPr>
          <w:rFonts w:ascii="Arial" w:hAnsi="Arial" w:cs="Arial"/>
          <w:b/>
          <w:bCs/>
          <w:sz w:val="24"/>
          <w:szCs w:val="24"/>
        </w:rPr>
        <w:t>Figure 2</w:t>
      </w:r>
      <w:r w:rsidRPr="002E1FAC">
        <w:rPr>
          <w:rFonts w:ascii="Arial" w:hAnsi="Arial" w:cs="Arial"/>
          <w:sz w:val="24"/>
          <w:szCs w:val="24"/>
        </w:rPr>
        <w:t xml:space="preserve"> and</w:t>
      </w:r>
      <w:r w:rsidRPr="006B3D43">
        <w:rPr>
          <w:rFonts w:ascii="Arial" w:hAnsi="Arial" w:cs="Arial"/>
          <w:b/>
          <w:bCs/>
          <w:sz w:val="24"/>
          <w:szCs w:val="24"/>
        </w:rPr>
        <w:t xml:space="preserve"> </w:t>
      </w:r>
      <w:r w:rsidR="00F30EED">
        <w:rPr>
          <w:rFonts w:ascii="Arial" w:hAnsi="Arial" w:cs="Arial"/>
          <w:b/>
          <w:bCs/>
          <w:sz w:val="24"/>
          <w:szCs w:val="24"/>
        </w:rPr>
        <w:t>Table S1</w:t>
      </w:r>
      <w:r w:rsidRPr="006B3D43">
        <w:rPr>
          <w:rFonts w:ascii="Arial" w:hAnsi="Arial" w:cs="Arial"/>
          <w:sz w:val="24"/>
          <w:szCs w:val="24"/>
        </w:rPr>
        <w:t xml:space="preserve">). </w:t>
      </w:r>
    </w:p>
    <w:p w14:paraId="7995D900" w14:textId="2BA5929F" w:rsidR="007A5564" w:rsidRPr="006B3D43" w:rsidRDefault="00B566E3" w:rsidP="006B3D43">
      <w:pPr>
        <w:spacing w:line="360" w:lineRule="auto"/>
        <w:jc w:val="both"/>
        <w:rPr>
          <w:rFonts w:ascii="Arial" w:hAnsi="Arial" w:cs="Arial"/>
          <w:sz w:val="28"/>
          <w:szCs w:val="28"/>
        </w:rPr>
      </w:pPr>
      <w:r>
        <w:rPr>
          <w:noProof/>
        </w:rPr>
        <w:drawing>
          <wp:inline distT="0" distB="0" distL="0" distR="0" wp14:anchorId="7A822C20" wp14:editId="4036B716">
            <wp:extent cx="5731510" cy="308419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084195"/>
                    </a:xfrm>
                    <a:prstGeom prst="rect">
                      <a:avLst/>
                    </a:prstGeom>
                    <a:noFill/>
                    <a:ln>
                      <a:noFill/>
                    </a:ln>
                  </pic:spPr>
                </pic:pic>
              </a:graphicData>
            </a:graphic>
          </wp:inline>
        </w:drawing>
      </w:r>
    </w:p>
    <w:p w14:paraId="04B2BB0E" w14:textId="06EAADC2" w:rsidR="007A5564" w:rsidRPr="006B3D43" w:rsidRDefault="007A5564" w:rsidP="006B3D43">
      <w:pPr>
        <w:jc w:val="both"/>
        <w:rPr>
          <w:rFonts w:ascii="Arial" w:hAnsi="Arial" w:cs="Arial"/>
          <w:sz w:val="24"/>
          <w:szCs w:val="24"/>
        </w:rPr>
      </w:pPr>
      <w:r w:rsidRPr="006B3D43">
        <w:rPr>
          <w:rFonts w:ascii="Arial" w:hAnsi="Arial" w:cs="Arial"/>
          <w:b/>
          <w:bCs/>
          <w:sz w:val="24"/>
          <w:szCs w:val="24"/>
        </w:rPr>
        <w:t xml:space="preserve">Figure 2: Detailed composition comparison between sites with differential processing states. </w:t>
      </w:r>
      <w:r w:rsidRPr="006B3D43">
        <w:rPr>
          <w:rFonts w:ascii="Arial" w:hAnsi="Arial" w:cs="Arial"/>
          <w:sz w:val="24"/>
          <w:szCs w:val="24"/>
        </w:rPr>
        <w:t xml:space="preserve">Glycan compositions at N234, N1074 and N282. For all samples </w:t>
      </w:r>
      <w:r w:rsidR="00771E10" w:rsidRPr="006B3D43">
        <w:rPr>
          <w:rFonts w:ascii="Arial" w:hAnsi="Arial" w:cs="Arial"/>
          <w:sz w:val="24"/>
          <w:szCs w:val="24"/>
        </w:rPr>
        <w:t>analyzed,</w:t>
      </w:r>
      <w:r w:rsidRPr="006B3D43">
        <w:rPr>
          <w:rFonts w:ascii="Arial" w:hAnsi="Arial" w:cs="Arial"/>
          <w:sz w:val="24"/>
          <w:szCs w:val="24"/>
        </w:rPr>
        <w:t xml:space="preserve"> glycans were categorized and colored according to the detected compositions. Oligomannose-type </w:t>
      </w:r>
      <w:r w:rsidR="003A491B" w:rsidRPr="006B3D43">
        <w:rPr>
          <w:rFonts w:ascii="Arial" w:hAnsi="Arial" w:cs="Arial"/>
          <w:sz w:val="24"/>
          <w:szCs w:val="24"/>
        </w:rPr>
        <w:t>glyca</w:t>
      </w:r>
      <w:r w:rsidR="003A491B">
        <w:rPr>
          <w:rFonts w:ascii="Arial" w:hAnsi="Arial" w:cs="Arial"/>
          <w:sz w:val="24"/>
          <w:szCs w:val="24"/>
        </w:rPr>
        <w:t>ns</w:t>
      </w:r>
      <w:r w:rsidR="003A491B" w:rsidRPr="006B3D43">
        <w:rPr>
          <w:rFonts w:ascii="Arial" w:hAnsi="Arial" w:cs="Arial"/>
          <w:sz w:val="24"/>
          <w:szCs w:val="24"/>
        </w:rPr>
        <w:t xml:space="preserve"> </w:t>
      </w:r>
      <w:r w:rsidRPr="006B3D43">
        <w:rPr>
          <w:rFonts w:ascii="Arial" w:hAnsi="Arial" w:cs="Arial"/>
          <w:sz w:val="24"/>
          <w:szCs w:val="24"/>
        </w:rPr>
        <w:t xml:space="preserve">(M9-M4) were colored green. Hybrid-type glycans, those containing </w:t>
      </w:r>
      <w:r w:rsidR="006738DE" w:rsidRPr="006B3D43">
        <w:rPr>
          <w:rFonts w:ascii="Arial" w:hAnsi="Arial" w:cs="Arial"/>
          <w:sz w:val="24"/>
          <w:szCs w:val="24"/>
        </w:rPr>
        <w:t>3</w:t>
      </w:r>
      <w:r w:rsidRPr="006B3D43">
        <w:rPr>
          <w:rFonts w:ascii="Arial" w:hAnsi="Arial" w:cs="Arial"/>
          <w:sz w:val="24"/>
          <w:szCs w:val="24"/>
        </w:rPr>
        <w:t xml:space="preserve"> HexNAc and at least 5 hexose</w:t>
      </w:r>
      <w:r w:rsidR="00AE3196" w:rsidRPr="006B3D43">
        <w:rPr>
          <w:rFonts w:ascii="Arial" w:hAnsi="Arial" w:cs="Arial"/>
          <w:sz w:val="24"/>
          <w:szCs w:val="24"/>
        </w:rPr>
        <w:t>s</w:t>
      </w:r>
      <w:r w:rsidRPr="006B3D43">
        <w:rPr>
          <w:rFonts w:ascii="Arial" w:hAnsi="Arial" w:cs="Arial"/>
          <w:sz w:val="24"/>
          <w:szCs w:val="24"/>
        </w:rPr>
        <w:t>, were colored as for complex-type glycans since one arm can be processed in a similar manner. Complex-type glycans were categorized according to the number of HexNAc residues detected and the presence or absence of fucose.</w:t>
      </w:r>
      <w:r w:rsidR="00E27704">
        <w:rPr>
          <w:rFonts w:ascii="Arial" w:hAnsi="Arial" w:cs="Arial"/>
          <w:sz w:val="24"/>
          <w:szCs w:val="24"/>
        </w:rPr>
        <w:t xml:space="preserve"> Core glycans represent any detected </w:t>
      </w:r>
      <w:r w:rsidR="00E27704">
        <w:rPr>
          <w:rFonts w:ascii="Arial" w:hAnsi="Arial" w:cs="Arial"/>
          <w:sz w:val="24"/>
          <w:szCs w:val="24"/>
        </w:rPr>
        <w:lastRenderedPageBreak/>
        <w:t>composition smaller than HexNAc</w:t>
      </w:r>
      <w:r w:rsidR="00E27704">
        <w:rPr>
          <w:rFonts w:ascii="Arial" w:hAnsi="Arial" w:cs="Arial"/>
          <w:sz w:val="24"/>
          <w:szCs w:val="24"/>
          <w:vertAlign w:val="subscript"/>
        </w:rPr>
        <w:t>2</w:t>
      </w:r>
      <w:r w:rsidR="00E27704">
        <w:rPr>
          <w:rFonts w:ascii="Arial" w:hAnsi="Arial" w:cs="Arial"/>
          <w:sz w:val="24"/>
          <w:szCs w:val="24"/>
        </w:rPr>
        <w:t>Hex</w:t>
      </w:r>
      <w:r w:rsidR="00E27704">
        <w:rPr>
          <w:rFonts w:ascii="Arial" w:hAnsi="Arial" w:cs="Arial"/>
          <w:sz w:val="24"/>
          <w:szCs w:val="24"/>
          <w:vertAlign w:val="subscript"/>
        </w:rPr>
        <w:t>3</w:t>
      </w:r>
      <w:r w:rsidR="00E27704">
        <w:rPr>
          <w:rFonts w:ascii="Arial" w:hAnsi="Arial" w:cs="Arial"/>
          <w:sz w:val="24"/>
          <w:szCs w:val="24"/>
        </w:rPr>
        <w:t>.</w:t>
      </w:r>
      <w:r w:rsidRPr="006B3D43">
        <w:rPr>
          <w:rFonts w:ascii="Arial" w:hAnsi="Arial" w:cs="Arial"/>
          <w:sz w:val="24"/>
          <w:szCs w:val="24"/>
        </w:rPr>
        <w:t xml:space="preserve"> For hybrid and complex-type glycans bars are colored to represent the terminal processing present. Blue represents agalactosylated, yellow is galactosylated (containing at least one galactose) and purple is sialylated (containing at least one sialic acid). The proportion of unoccupied PNGS is colored grey. </w:t>
      </w:r>
    </w:p>
    <w:p w14:paraId="57BECAD9" w14:textId="77777777" w:rsidR="007A5564" w:rsidRPr="006B3D43" w:rsidRDefault="007A5564" w:rsidP="006B3D43">
      <w:pPr>
        <w:spacing w:line="360" w:lineRule="auto"/>
        <w:jc w:val="both"/>
        <w:rPr>
          <w:rFonts w:ascii="Arial" w:hAnsi="Arial" w:cs="Arial"/>
          <w:sz w:val="24"/>
          <w:szCs w:val="24"/>
        </w:rPr>
      </w:pPr>
    </w:p>
    <w:p w14:paraId="4D78BA9A" w14:textId="7CFAB675" w:rsidR="007A5564" w:rsidRPr="006B3D43" w:rsidRDefault="007A5564" w:rsidP="006B3D43">
      <w:pPr>
        <w:spacing w:line="360" w:lineRule="auto"/>
        <w:jc w:val="both"/>
        <w:rPr>
          <w:rFonts w:ascii="Arial" w:hAnsi="Arial" w:cs="Arial"/>
          <w:sz w:val="24"/>
          <w:szCs w:val="24"/>
        </w:rPr>
      </w:pPr>
      <w:r w:rsidRPr="006B3D43">
        <w:rPr>
          <w:rFonts w:ascii="Arial" w:hAnsi="Arial" w:cs="Arial"/>
          <w:sz w:val="24"/>
          <w:szCs w:val="24"/>
        </w:rPr>
        <w:tab/>
        <w:t>The N1074 site presented a diverse mixture of oligomannose-, hybrid-, and complex-type glycans across all samples analyzed. The abundance of oligomannose-type glycans was more variable at this site with the total oligomannose-type glycan content varying from 11% to 35% (</w:t>
      </w:r>
      <w:r w:rsidRPr="006B3D43">
        <w:rPr>
          <w:rFonts w:ascii="Arial" w:hAnsi="Arial" w:cs="Arial"/>
          <w:b/>
          <w:bCs/>
          <w:sz w:val="24"/>
          <w:szCs w:val="24"/>
        </w:rPr>
        <w:t>Figure 2</w:t>
      </w:r>
      <w:r w:rsidRPr="006B3D43">
        <w:rPr>
          <w:rFonts w:ascii="Arial" w:hAnsi="Arial" w:cs="Arial"/>
          <w:sz w:val="24"/>
          <w:szCs w:val="24"/>
        </w:rPr>
        <w:t>). The predominant composition at N1074 varied from sample to sample</w:t>
      </w:r>
      <w:r w:rsidR="00153A88" w:rsidRPr="006B3D43">
        <w:rPr>
          <w:rFonts w:ascii="Arial" w:hAnsi="Arial" w:cs="Arial"/>
          <w:sz w:val="24"/>
          <w:szCs w:val="24"/>
        </w:rPr>
        <w:t xml:space="preserve">: </w:t>
      </w:r>
      <w:r w:rsidRPr="006B3D43">
        <w:rPr>
          <w:rFonts w:ascii="Arial" w:hAnsi="Arial" w:cs="Arial"/>
          <w:sz w:val="24"/>
          <w:szCs w:val="24"/>
        </w:rPr>
        <w:t>for the Amsterdam recombinant preparation and the viral derived S protein</w:t>
      </w:r>
      <w:r w:rsidR="00153A88" w:rsidRPr="006B3D43">
        <w:rPr>
          <w:rFonts w:ascii="Arial" w:hAnsi="Arial" w:cs="Arial"/>
          <w:sz w:val="24"/>
          <w:szCs w:val="24"/>
        </w:rPr>
        <w:t>,</w:t>
      </w:r>
      <w:r w:rsidRPr="006B3D43">
        <w:rPr>
          <w:rFonts w:ascii="Arial" w:hAnsi="Arial" w:cs="Arial"/>
          <w:sz w:val="24"/>
          <w:szCs w:val="24"/>
        </w:rPr>
        <w:t xml:space="preserve"> an oligomannose-type glycan was the most abundant glycan at N1074</w:t>
      </w:r>
      <w:r w:rsidR="00153A88" w:rsidRPr="006B3D43">
        <w:rPr>
          <w:rFonts w:ascii="Arial" w:hAnsi="Arial" w:cs="Arial"/>
          <w:sz w:val="24"/>
          <w:szCs w:val="24"/>
        </w:rPr>
        <w:t>;</w:t>
      </w:r>
      <w:r w:rsidRPr="006B3D43">
        <w:rPr>
          <w:rFonts w:ascii="Arial" w:hAnsi="Arial" w:cs="Arial"/>
          <w:sz w:val="24"/>
          <w:szCs w:val="24"/>
        </w:rPr>
        <w:t xml:space="preserve"> however, for the other samples a fully processed glycan was more abundant. For all samples analyzed</w:t>
      </w:r>
      <w:r w:rsidR="00153A88" w:rsidRPr="006B3D43">
        <w:rPr>
          <w:rFonts w:ascii="Arial" w:hAnsi="Arial" w:cs="Arial"/>
          <w:sz w:val="24"/>
          <w:szCs w:val="24"/>
        </w:rPr>
        <w:t>,</w:t>
      </w:r>
      <w:r w:rsidRPr="006B3D43">
        <w:rPr>
          <w:rFonts w:ascii="Arial" w:hAnsi="Arial" w:cs="Arial"/>
          <w:sz w:val="24"/>
          <w:szCs w:val="24"/>
        </w:rPr>
        <w:t xml:space="preserve"> N1074 presented diverse glycan processing states. The elaboration of complex-type glycans with different monosaccharides can influence the function of the glycoprotein to which they are attached, for example</w:t>
      </w:r>
      <w:r w:rsidR="00954E48" w:rsidRPr="006B3D43">
        <w:rPr>
          <w:rFonts w:ascii="Arial" w:hAnsi="Arial" w:cs="Arial"/>
          <w:sz w:val="24"/>
          <w:szCs w:val="24"/>
        </w:rPr>
        <w:t>,</w:t>
      </w:r>
      <w:r w:rsidRPr="006B3D43">
        <w:rPr>
          <w:rFonts w:ascii="Arial" w:hAnsi="Arial" w:cs="Arial"/>
          <w:sz w:val="24"/>
          <w:szCs w:val="24"/>
        </w:rPr>
        <w:t xml:space="preserve"> sialylation can extend the half-life of a glycoprotein in the body</w:t>
      </w:r>
      <w:r w:rsidR="002C75C9">
        <w:rPr>
          <w:rFonts w:ascii="Arial" w:hAnsi="Arial" w:cs="Arial"/>
          <w:sz w:val="24"/>
          <w:szCs w:val="24"/>
        </w:rPr>
        <w:t xml:space="preserve"> </w:t>
      </w:r>
      <w:r w:rsidR="009675A0" w:rsidRPr="006B3D43">
        <w:rPr>
          <w:rFonts w:ascii="Arial" w:hAnsi="Arial" w:cs="Arial"/>
          <w:sz w:val="24"/>
          <w:szCs w:val="24"/>
        </w:rPr>
        <w:fldChar w:fldCharType="begin" w:fldLock="1"/>
      </w:r>
      <w:r w:rsidR="007774B6">
        <w:rPr>
          <w:rFonts w:ascii="Arial" w:hAnsi="Arial" w:cs="Arial"/>
          <w:sz w:val="24"/>
          <w:szCs w:val="24"/>
        </w:rPr>
        <w:instrText>ADDIN CSL_CITATION {"citationItems":[{"id":"ITEM-1","itemData":{"DOI":"10.1016/j.ejpb.2019.03.018","ISSN":"18733441","PMID":"30905778","abstract":"N-glycosylation is a common post-translational modification of biopharmaceutical products. Certain types of N-glycans have been shown to influence important properties of monoclonal antibody products including pharmacokinetics and effector functions. Complex biopharmaceuticals e.g. Fc fusion proteins may contain several N- and O-glycosylation sites. Domain specific characterization of two Fc fusion proteins showed an Fc N-glycosylation pattern comparable to IgG molecules. The receptor N-glycosylation was found to contain some larger and more complex N-glycans compared to the Fc part. Analyses of samples from non-clinical studies of the two studied fusion proteins indicate that their N-glycans impact pharmacokinetic properties. Interestingly, besides the type of N-glycan this influence on the pharmacokinetics depends also on the glycosylation site and thus the accessibility on the protein. The same type of N-glycan can influence the clearance of fusion proteins when located at the receptor part, but not if located at the Fc part. In this study, it is shown that N-glycans with terminal galactose or N-acetylglucosamine residues have a negative impact on serum half-life when located at the receptor part. Terminal sialylation of galactose residues prevents this faster clearance even when only one sialic acid is present. O-acetylation, a modification of sialic acids does not impact pharmacokinetics. Thus, type and accessibility of N-glycan moieties of fusion proteins both play an important role in pharmacokinetics. Finally, detailed site specific analysis is critical in the development of biopharmaceuticals.","author":[{"dropping-particle":"","family":"Higel","given":"Fabian","non-dropping-particle":"","parse-names":false,"suffix":""},{"dropping-particle":"","family":"Sandl","given":"Theresa","non-dropping-particle":"","parse-names":false,"suffix":""},{"dropping-particle":"","family":"Kao","given":"Chi Ya","non-dropping-particle":"","parse-names":false,"suffix":""},{"dropping-particle":"","family":"Pechinger","given":"Nicole","non-dropping-particle":"","parse-names":false,"suffix":""},{"dropping-particle":"","family":"Sörgel","given":"Fritz","non-dropping-particle":"","parse-names":false,"suffix":""},{"dropping-particle":"","family":"Friess","given":"Wolfgang","non-dropping-particle":"","parse-names":false,"suffix":""},{"dropping-particle":"","family":"Wolschin","given":"Florian","non-dropping-particle":"","parse-names":false,"suffix":""},{"dropping-particle":"","family":"Seidl","given":"Andreas","non-dropping-particle":"","parse-names":false,"suffix":""}],"container-title":"European Journal of Pharmaceutics and Biopharmaceutics","id":"ITEM-1","issued":{"date-parts":[["2019"]]},"page":"123-131","title":"N-glycans of complex glycosylated biopharmaceuticals and their impact on protein clearance","type":"article-journal","volume":"139"},"uris":["http://www.mendeley.com/documents/?uuid=f82d4bd5-92e9-431e-ad03-b47ae12617e8"]}],"mendeley":{"formattedCitation":"&lt;sup&gt;82&lt;/sup&gt;","plainTextFormattedCitation":"82","previouslyFormattedCitation":"&lt;sup&gt;82&lt;/sup&gt;"},"properties":{"noteIndex":0},"schema":"https://github.com/citation-style-language/schema/raw/master/csl-citation.json"}</w:instrText>
      </w:r>
      <w:r w:rsidR="009675A0" w:rsidRPr="006B3D43">
        <w:rPr>
          <w:rFonts w:ascii="Arial" w:hAnsi="Arial" w:cs="Arial"/>
          <w:sz w:val="24"/>
          <w:szCs w:val="24"/>
        </w:rPr>
        <w:fldChar w:fldCharType="separate"/>
      </w:r>
      <w:r w:rsidR="007774B6" w:rsidRPr="007774B6">
        <w:rPr>
          <w:rFonts w:ascii="Arial" w:hAnsi="Arial" w:cs="Arial"/>
          <w:noProof/>
          <w:sz w:val="24"/>
          <w:szCs w:val="24"/>
          <w:vertAlign w:val="superscript"/>
        </w:rPr>
        <w:t>82</w:t>
      </w:r>
      <w:r w:rsidR="009675A0" w:rsidRPr="006B3D43">
        <w:rPr>
          <w:rFonts w:ascii="Arial" w:hAnsi="Arial" w:cs="Arial"/>
          <w:sz w:val="24"/>
          <w:szCs w:val="24"/>
        </w:rPr>
        <w:fldChar w:fldCharType="end"/>
      </w:r>
      <w:r w:rsidR="009675A0" w:rsidRPr="006B3D43">
        <w:rPr>
          <w:rFonts w:ascii="Arial" w:hAnsi="Arial" w:cs="Arial"/>
          <w:sz w:val="24"/>
          <w:szCs w:val="24"/>
        </w:rPr>
        <w:t xml:space="preserve">. </w:t>
      </w:r>
      <w:r w:rsidRPr="006B3D43">
        <w:rPr>
          <w:rFonts w:ascii="Arial" w:hAnsi="Arial" w:cs="Arial"/>
          <w:sz w:val="24"/>
          <w:szCs w:val="24"/>
        </w:rPr>
        <w:t>As they progress through the Golgi</w:t>
      </w:r>
      <w:r w:rsidR="0025422E">
        <w:rPr>
          <w:rFonts w:ascii="Arial" w:hAnsi="Arial" w:cs="Arial"/>
          <w:sz w:val="24"/>
          <w:szCs w:val="24"/>
        </w:rPr>
        <w:t xml:space="preserve"> apparatus</w:t>
      </w:r>
      <w:r w:rsidR="00153A88" w:rsidRPr="006B3D43">
        <w:rPr>
          <w:rFonts w:ascii="Arial" w:hAnsi="Arial" w:cs="Arial"/>
          <w:sz w:val="24"/>
          <w:szCs w:val="24"/>
        </w:rPr>
        <w:t>,</w:t>
      </w:r>
      <w:r w:rsidRPr="006B3D43">
        <w:rPr>
          <w:rFonts w:ascii="Arial" w:hAnsi="Arial" w:cs="Arial"/>
          <w:sz w:val="24"/>
          <w:szCs w:val="24"/>
        </w:rPr>
        <w:t xml:space="preserve"> glycans can be elaborated by the addition of fucose, galactose and sialic acid. The abundance of these monosaccharides is influenced by the cell from which they are produced</w:t>
      </w:r>
      <w:r w:rsidR="008D02CF">
        <w:rPr>
          <w:rFonts w:ascii="Arial" w:hAnsi="Arial" w:cs="Arial"/>
          <w:sz w:val="24"/>
          <w:szCs w:val="24"/>
        </w:rPr>
        <w:t xml:space="preserve"> and by the culture conditions</w:t>
      </w:r>
      <w:r w:rsidR="008F39B0">
        <w:rPr>
          <w:rFonts w:ascii="Arial" w:hAnsi="Arial" w:cs="Arial"/>
          <w:sz w:val="24"/>
          <w:szCs w:val="24"/>
        </w:rPr>
        <w:t xml:space="preserve"> </w:t>
      </w:r>
      <w:r w:rsidR="00C71D29">
        <w:rPr>
          <w:rFonts w:ascii="Arial" w:hAnsi="Arial" w:cs="Arial"/>
          <w:sz w:val="24"/>
          <w:szCs w:val="24"/>
        </w:rPr>
        <w:t xml:space="preserve">or </w:t>
      </w:r>
      <w:r w:rsidR="008D02CF">
        <w:rPr>
          <w:rFonts w:ascii="Arial" w:hAnsi="Arial" w:cs="Arial"/>
          <w:sz w:val="24"/>
          <w:szCs w:val="24"/>
        </w:rPr>
        <w:t>media compositions under which recombinant proteins are manufactured</w:t>
      </w:r>
      <w:r w:rsidRPr="006B3D43">
        <w:rPr>
          <w:rFonts w:ascii="Arial" w:hAnsi="Arial" w:cs="Arial"/>
          <w:sz w:val="24"/>
          <w:szCs w:val="24"/>
        </w:rPr>
        <w:t>. Typically, glycoproteins produced from HEK293F and CHO cells present complex-type glycans with high levels of fucosylation and galactosylation but lower levels of sialylation</w:t>
      </w:r>
      <w:r w:rsidR="00E61F00">
        <w:rPr>
          <w:rFonts w:ascii="Arial" w:hAnsi="Arial" w:cs="Arial"/>
          <w:sz w:val="24"/>
          <w:szCs w:val="24"/>
        </w:rPr>
        <w:t xml:space="preserve"> </w:t>
      </w:r>
      <w:r w:rsidR="00E61F00">
        <w:rPr>
          <w:rFonts w:ascii="Arial" w:hAnsi="Arial" w:cs="Arial"/>
          <w:sz w:val="24"/>
          <w:szCs w:val="24"/>
        </w:rPr>
        <w:fldChar w:fldCharType="begin" w:fldLock="1"/>
      </w:r>
      <w:r w:rsidR="009E22F0">
        <w:rPr>
          <w:rFonts w:ascii="Arial" w:hAnsi="Arial" w:cs="Arial"/>
          <w:sz w:val="24"/>
          <w:szCs w:val="24"/>
        </w:rPr>
        <w:instrText>ADDIN CSL_CITATION {"citationItems":[{"id":"ITEM-1","itemData":{"DOI":"10.1080/07388551.2017.1416577","ISSN":"15497801","PMID":"29262720","abstract":"Protein glycosylation is post-translational modification (PTM) which is important for pharmacokinetics and immunogenicity of recombinant glycoprotein therapeutics. As a result of variations in monosaccharide composition, glycosidic linkages and glycan branching, glycosylation introduces considerable complexity and heterogeneity to therapeutics. The host cell line used to produce the glycoprotein has a strong influence on the glycosylation because different host systems may express varying repertoire of glycosylation enzymes and transporters that contributes to specificity and heterogeneity in glycosylation profiles. In this review, we discuss the types of host cell lines currently used for recombinant therapeutic production, their glycosylation potential and the resultant impact on glycoprotein properties. In addition, we compare the reported glycosylation profiles of four recombinant glycoproteins: immunoglobulin G (IgG), coagulation factor VII (FVII), erythropoietin (EPO) and alpha-1 antitrypsin (A1AT) produced in different mammalian cells to establish the influence of mammalian host cell lines on glycosylation.","author":[{"dropping-particle":"","family":"Goh","given":"Justin Bryan","non-dropping-particle":"","parse-names":false,"suffix":""},{"dropping-particle":"","family":"Ng","given":"Say Kong","non-dropping-particle":"","parse-names":false,"suffix":""}],"container-title":"Critical Reviews in Biotechnology","id":"ITEM-1","issue":"6","issued":{"date-parts":[["2018"]]},"page":"851-867","title":"Impact of host cell line choice on glycan profile","type":"article","volume":"38"},"uris":["http://www.mendeley.com/documents/?uuid=e40126c1-d525-3967-a753-6138554033b9"]},{"id":"ITEM-2","itemData":{"DOI":"10.3109/07388551.2015.1084266","ISSN":"15497801","PMID":"26383226","abstract":"Biotherapeutic proteins represent a mainstay of treatment for a multitude of conditions, for example, autoimmune disorders, hematologic disorders, hormonal dysregulation, cancers, infectious diseases and genetic disorders. The technologies behind their production have changed substantially since biotherapeutic proteins were first approved in the 1980s. Although most biotherapeutic proteins developed to date have been produced using the mammalian Chinese hamster ovary and murine myeloma (NS0, Sp2/0) cell lines, there has been a recent shift toward the use of human cell lines. One of the most important advantages of using human cell lines for protein production is the greater likelihood that the resulting recombinant protein will bear post-translational modifications (PTMs) that are consistent with those seen on endogenous human proteins. Although other mammalian cell lines can produce PTMs similar to human cells, they also produce non-human PTMs, such as galactose-α1,3-galactose and N-glycolylneuraminic acid, which are potentially immunogenic. In addition, human cell lines are grown easily in a serum-free suspension culture, reproduce rapidly and have efficient protein production. A possible disadvantage of using human cell lines is the potential for human-specific viral contamination, although this risk can be mitigated with multiple viral inactivation or clearance steps. In addition, while human cell lines are currently widely used for biopharmaceutical research, vaccine production and production of some licensed protein therapeutics, there is a relative paucity of clinical experience with human cell lines because they have only recently begun to be used for the manufacture of proteins (compared with other types of cell lines). With additional research investment, human cell lines may be further optimized for routine commercial production of a broader range of biotherapeutic proteins.","author":[{"dropping-particle":"","family":"Dumont","given":"Jennifer","non-dropping-particle":"","parse-names":false,"suffix":""},{"dropping-particle":"","family":"Euwart","given":"Don","non-dropping-particle":"","parse-names":false,"suffix":""},{"dropping-particle":"","family":"Mei","given":"Baisong","non-dropping-particle":"","parse-names":false,"suffix":""},{"dropping-particle":"","family":"Estes","given":"Scott","non-dropping-particle":"","parse-names":false,"suffix":""},{"dropping-particle":"","family":"Kshirsagar","given":"Rashmi","non-dropping-particle":"","parse-names":false,"suffix":""}],"container-title":"Critical Reviews in Biotechnology","id":"ITEM-2","issue":"6","issued":{"date-parts":[["2016","11","1"]]},"page":"1110-1122","title":"Human cell lines for biopharmaceutical manufacturing: history, status, and future perspectives","type":"article","volume":"36"},"uris":["http://www.mendeley.com/documents/?uuid=16908bcf-b4c8-3d88-bf57-2996d0b36820"]}],"mendeley":{"formattedCitation":"&lt;sup&gt;83,84&lt;/sup&gt;","plainTextFormattedCitation":"83,84","previouslyFormattedCitation":"&lt;sup&gt;83,84&lt;/sup&gt;"},"properties":{"noteIndex":0},"schema":"https://github.com/citation-style-language/schema/raw/master/csl-citation.json"}</w:instrText>
      </w:r>
      <w:r w:rsidR="00E61F00">
        <w:rPr>
          <w:rFonts w:ascii="Arial" w:hAnsi="Arial" w:cs="Arial"/>
          <w:sz w:val="24"/>
          <w:szCs w:val="24"/>
        </w:rPr>
        <w:fldChar w:fldCharType="separate"/>
      </w:r>
      <w:r w:rsidR="007774B6" w:rsidRPr="007774B6">
        <w:rPr>
          <w:rFonts w:ascii="Arial" w:hAnsi="Arial" w:cs="Arial"/>
          <w:noProof/>
          <w:sz w:val="24"/>
          <w:szCs w:val="24"/>
          <w:vertAlign w:val="superscript"/>
        </w:rPr>
        <w:t>83,84</w:t>
      </w:r>
      <w:r w:rsidR="00E61F00">
        <w:rPr>
          <w:rFonts w:ascii="Arial" w:hAnsi="Arial" w:cs="Arial"/>
          <w:sz w:val="24"/>
          <w:szCs w:val="24"/>
        </w:rPr>
        <w:fldChar w:fldCharType="end"/>
      </w:r>
      <w:r w:rsidRPr="006B3D43">
        <w:rPr>
          <w:rFonts w:ascii="Arial" w:hAnsi="Arial" w:cs="Arial"/>
          <w:sz w:val="24"/>
          <w:szCs w:val="24"/>
        </w:rPr>
        <w:t>. The processing of N1074 and N282 demonstrates this with the majority of complex-type glycans bearing at least one fucose on all recombinant S preparations. Likewise, the majority of glycans are galactosylated, although populations of glycans are present which lack any elaboration beyond N-acetylglucosamine branching. Hybrid-type glycans, where one arm of the glycan is processed and elaborated as for complex-type glycans and one remains under</w:t>
      </w:r>
      <w:r w:rsidR="008D02CF">
        <w:rPr>
          <w:rFonts w:ascii="Arial" w:hAnsi="Arial" w:cs="Arial"/>
          <w:sz w:val="24"/>
          <w:szCs w:val="24"/>
        </w:rPr>
        <w:t>-</w:t>
      </w:r>
      <w:r w:rsidRPr="006B3D43">
        <w:rPr>
          <w:rFonts w:ascii="Arial" w:hAnsi="Arial" w:cs="Arial"/>
          <w:sz w:val="24"/>
          <w:szCs w:val="24"/>
        </w:rPr>
        <w:t xml:space="preserve">processed, are present in lower abundances across N1074 in recombinant preparations. These </w:t>
      </w:r>
      <w:r w:rsidR="008F39B0">
        <w:rPr>
          <w:rFonts w:ascii="Arial" w:hAnsi="Arial" w:cs="Arial"/>
          <w:sz w:val="24"/>
          <w:szCs w:val="24"/>
        </w:rPr>
        <w:t xml:space="preserve">hybrid-type </w:t>
      </w:r>
      <w:r w:rsidRPr="006B3D43">
        <w:rPr>
          <w:rFonts w:ascii="Arial" w:hAnsi="Arial" w:cs="Arial"/>
          <w:sz w:val="24"/>
          <w:szCs w:val="24"/>
        </w:rPr>
        <w:t xml:space="preserve">glycans are also </w:t>
      </w:r>
      <w:r w:rsidR="008F39B0">
        <w:rPr>
          <w:rFonts w:ascii="Arial" w:hAnsi="Arial" w:cs="Arial"/>
          <w:sz w:val="24"/>
          <w:szCs w:val="24"/>
        </w:rPr>
        <w:t>generally of low abundance</w:t>
      </w:r>
      <w:r w:rsidR="008F39B0" w:rsidRPr="006B3D43">
        <w:rPr>
          <w:rFonts w:ascii="Arial" w:hAnsi="Arial" w:cs="Arial"/>
          <w:sz w:val="24"/>
          <w:szCs w:val="24"/>
        </w:rPr>
        <w:t xml:space="preserve"> </w:t>
      </w:r>
      <w:r w:rsidRPr="006B3D43">
        <w:rPr>
          <w:rFonts w:ascii="Arial" w:hAnsi="Arial" w:cs="Arial"/>
          <w:sz w:val="24"/>
          <w:szCs w:val="24"/>
        </w:rPr>
        <w:t>on mammalian glycoproteins</w:t>
      </w:r>
      <w:r w:rsidR="00B05BA8">
        <w:rPr>
          <w:rFonts w:ascii="Arial" w:hAnsi="Arial" w:cs="Arial"/>
          <w:sz w:val="24"/>
          <w:szCs w:val="24"/>
        </w:rPr>
        <w:t xml:space="preserve"> </w:t>
      </w:r>
      <w:r w:rsidR="00B05BA8">
        <w:rPr>
          <w:rFonts w:ascii="Arial" w:hAnsi="Arial" w:cs="Arial"/>
          <w:sz w:val="24"/>
          <w:szCs w:val="24"/>
        </w:rPr>
        <w:fldChar w:fldCharType="begin" w:fldLock="1"/>
      </w:r>
      <w:r w:rsidR="007774B6">
        <w:rPr>
          <w:rFonts w:ascii="Arial" w:hAnsi="Arial" w:cs="Arial"/>
          <w:sz w:val="24"/>
          <w:szCs w:val="24"/>
        </w:rPr>
        <w:instrText>ADDIN CSL_CITATION {"citationItems":[{"id":"ITEM-1","itemData":{"DOI":"10.1002/1873-3468.13598","ISSN":"18733468","PMID":"31509238","abstract":"N-glycome analysis in total plasma or serum yields information about the levels and glycosylation patterns of major plasma glycoproteins, including immunoglobulins, acute-phase proteins, and apolipoproteins. Until recently, glycomic studies in disease settings largely suffered from small cohort sizes, poor analytical resolution, and poor comparability of results owing to the diversity of analytical techniques. Here, we report on recent advances in high-throughput mass spectrometry glycomics technology that enabled elucidation of N-glycome signatures in the plasma of patients with type 2 diabetes, inflammatory bowel disease, or colorectal cancer. Use of this technology revealed both commonalities and differences among disease fingerprints. Moreover, we summarize findings on glycomic signatures associated with age, sex, and body mass index. High-throughput, high-resolution glycomics technologies, together with robust data analysis workflows, will advance clinical translation.","author":[{"dropping-particle":"","family":"Dotz","given":"Viktoria","non-dropping-particle":"","parse-names":false,"suffix":""},{"dropping-particle":"","family":"Wuhrer","given":"Manfred","non-dropping-particle":"","parse-names":false,"suffix":""}],"container-title":"FEBS Letters","id":"ITEM-1","issue":"21","issued":{"date-parts":[["2019","11","1"]]},"page":"2966-2976","publisher":"Wiley Blackwell","title":"N-glycome signatures in human plasma: associations with physiology and major diseases","type":"article","volume":"593"},"uris":["http://www.mendeley.com/documents/?uuid=93a41702-1cee-3fe4-8f50-08108a04399d"]}],"mendeley":{"formattedCitation":"&lt;sup&gt;85&lt;/sup&gt;","plainTextFormattedCitation":"85","previouslyFormattedCitation":"&lt;sup&gt;85&lt;/sup&gt;"},"properties":{"noteIndex":0},"schema":"https://github.com/citation-style-language/schema/raw/master/csl-citation.json"}</w:instrText>
      </w:r>
      <w:r w:rsidR="00B05BA8">
        <w:rPr>
          <w:rFonts w:ascii="Arial" w:hAnsi="Arial" w:cs="Arial"/>
          <w:sz w:val="24"/>
          <w:szCs w:val="24"/>
        </w:rPr>
        <w:fldChar w:fldCharType="separate"/>
      </w:r>
      <w:r w:rsidR="007774B6" w:rsidRPr="007774B6">
        <w:rPr>
          <w:rFonts w:ascii="Arial" w:hAnsi="Arial" w:cs="Arial"/>
          <w:noProof/>
          <w:sz w:val="24"/>
          <w:szCs w:val="24"/>
          <w:vertAlign w:val="superscript"/>
        </w:rPr>
        <w:t>85</w:t>
      </w:r>
      <w:r w:rsidR="00B05BA8">
        <w:rPr>
          <w:rFonts w:ascii="Arial" w:hAnsi="Arial" w:cs="Arial"/>
          <w:sz w:val="24"/>
          <w:szCs w:val="24"/>
        </w:rPr>
        <w:fldChar w:fldCharType="end"/>
      </w:r>
      <w:r w:rsidR="00B05BA8">
        <w:rPr>
          <w:rFonts w:ascii="Arial" w:hAnsi="Arial" w:cs="Arial"/>
          <w:sz w:val="24"/>
          <w:szCs w:val="24"/>
        </w:rPr>
        <w:t>.</w:t>
      </w:r>
    </w:p>
    <w:p w14:paraId="2B9B82A2" w14:textId="45AAF00B" w:rsidR="007A5564" w:rsidRPr="006B3D43" w:rsidRDefault="007A5564" w:rsidP="006B3D43">
      <w:pPr>
        <w:spacing w:line="360" w:lineRule="auto"/>
        <w:ind w:firstLine="720"/>
        <w:jc w:val="both"/>
        <w:rPr>
          <w:rFonts w:ascii="Arial" w:hAnsi="Arial" w:cs="Arial"/>
          <w:sz w:val="24"/>
          <w:szCs w:val="24"/>
        </w:rPr>
      </w:pPr>
      <w:r w:rsidRPr="006B3D43">
        <w:rPr>
          <w:rFonts w:ascii="Arial" w:hAnsi="Arial" w:cs="Arial"/>
          <w:sz w:val="24"/>
          <w:szCs w:val="24"/>
        </w:rPr>
        <w:t>Whilst the complex- and hybrid-type glycan compositions are variable</w:t>
      </w:r>
      <w:r w:rsidR="00153A88" w:rsidRPr="006B3D43">
        <w:rPr>
          <w:rFonts w:ascii="Arial" w:hAnsi="Arial" w:cs="Arial"/>
          <w:sz w:val="24"/>
          <w:szCs w:val="24"/>
        </w:rPr>
        <w:t>,</w:t>
      </w:r>
      <w:r w:rsidRPr="006B3D43">
        <w:rPr>
          <w:rFonts w:ascii="Arial" w:hAnsi="Arial" w:cs="Arial"/>
          <w:sz w:val="24"/>
          <w:szCs w:val="24"/>
        </w:rPr>
        <w:t xml:space="preserve"> there are some visible trends when comparing glycan processing between recombinant and viral-derived S protein. The starkest difference is the lack of sialic acid residues across </w:t>
      </w:r>
      <w:r w:rsidRPr="006B3D43">
        <w:rPr>
          <w:rFonts w:ascii="Arial" w:hAnsi="Arial" w:cs="Arial"/>
          <w:sz w:val="24"/>
          <w:szCs w:val="24"/>
        </w:rPr>
        <w:lastRenderedPageBreak/>
        <w:t>not only N1074 and N282 but across all PNGS of viral derived material (</w:t>
      </w:r>
      <w:r w:rsidRPr="006B3D43">
        <w:rPr>
          <w:rFonts w:ascii="Arial" w:hAnsi="Arial" w:cs="Arial"/>
          <w:b/>
          <w:bCs/>
          <w:sz w:val="24"/>
          <w:szCs w:val="24"/>
        </w:rPr>
        <w:t xml:space="preserve">Figure 2, </w:t>
      </w:r>
      <w:r w:rsidR="00F30EED">
        <w:rPr>
          <w:rFonts w:ascii="Arial" w:hAnsi="Arial" w:cs="Arial"/>
          <w:b/>
          <w:bCs/>
          <w:sz w:val="24"/>
          <w:szCs w:val="24"/>
        </w:rPr>
        <w:t>Table S1</w:t>
      </w:r>
      <w:r w:rsidRPr="006B3D43">
        <w:rPr>
          <w:rFonts w:ascii="Arial" w:hAnsi="Arial" w:cs="Arial"/>
          <w:sz w:val="24"/>
          <w:szCs w:val="24"/>
        </w:rPr>
        <w:t>). Upon averaging all the recombinant</w:t>
      </w:r>
      <w:r w:rsidR="005528E7">
        <w:rPr>
          <w:rFonts w:ascii="Arial" w:hAnsi="Arial" w:cs="Arial"/>
          <w:sz w:val="24"/>
          <w:szCs w:val="24"/>
        </w:rPr>
        <w:t>ly</w:t>
      </w:r>
      <w:r w:rsidRPr="006B3D43">
        <w:rPr>
          <w:rFonts w:ascii="Arial" w:hAnsi="Arial" w:cs="Arial"/>
          <w:sz w:val="24"/>
          <w:szCs w:val="24"/>
        </w:rPr>
        <w:t xml:space="preserve"> produced S protein and comparing to viral derived S protein there is a 21 percentage-point decrease in sialylation (</w:t>
      </w:r>
      <w:r w:rsidR="00F30EED">
        <w:rPr>
          <w:rFonts w:ascii="Arial" w:hAnsi="Arial" w:cs="Arial"/>
          <w:b/>
          <w:bCs/>
          <w:sz w:val="24"/>
          <w:szCs w:val="24"/>
        </w:rPr>
        <w:t>Table S2</w:t>
      </w:r>
      <w:r w:rsidRPr="006B3D43">
        <w:rPr>
          <w:rFonts w:ascii="Arial" w:hAnsi="Arial" w:cs="Arial"/>
          <w:sz w:val="24"/>
          <w:szCs w:val="24"/>
        </w:rPr>
        <w:t>). The fucosylation of viral derived material is also lower across both N1074 and N282 and this trend is again mirrored across all sites, with viral derived S protein possessing a 16 percentage-point decrease in fucosylation (</w:t>
      </w:r>
      <w:r w:rsidR="00F30EED">
        <w:rPr>
          <w:rFonts w:ascii="Arial" w:hAnsi="Arial" w:cs="Arial"/>
          <w:b/>
          <w:bCs/>
          <w:sz w:val="24"/>
          <w:szCs w:val="24"/>
        </w:rPr>
        <w:t>Table S2</w:t>
      </w:r>
      <w:r w:rsidRPr="006B3D43">
        <w:rPr>
          <w:rFonts w:ascii="Arial" w:hAnsi="Arial" w:cs="Arial"/>
          <w:sz w:val="24"/>
          <w:szCs w:val="24"/>
        </w:rPr>
        <w:t>). The final difference is in glycan branching. The number of processed glycan antenna can be inferred from the detected number of N-</w:t>
      </w:r>
      <w:proofErr w:type="spellStart"/>
      <w:r w:rsidRPr="006B3D43">
        <w:rPr>
          <w:rFonts w:ascii="Arial" w:hAnsi="Arial" w:cs="Arial"/>
          <w:sz w:val="24"/>
          <w:szCs w:val="24"/>
        </w:rPr>
        <w:t>Acetyl</w:t>
      </w:r>
      <w:r w:rsidR="009675A0" w:rsidRPr="006B3D43">
        <w:rPr>
          <w:rFonts w:ascii="Arial" w:hAnsi="Arial" w:cs="Arial"/>
          <w:sz w:val="24"/>
          <w:szCs w:val="24"/>
        </w:rPr>
        <w:t>h</w:t>
      </w:r>
      <w:r w:rsidRPr="006B3D43">
        <w:rPr>
          <w:rFonts w:ascii="Arial" w:hAnsi="Arial" w:cs="Arial"/>
          <w:sz w:val="24"/>
          <w:szCs w:val="24"/>
        </w:rPr>
        <w:t>exosamine</w:t>
      </w:r>
      <w:proofErr w:type="spellEnd"/>
      <w:r w:rsidRPr="006B3D43">
        <w:rPr>
          <w:rFonts w:ascii="Arial" w:hAnsi="Arial" w:cs="Arial"/>
          <w:sz w:val="24"/>
          <w:szCs w:val="24"/>
        </w:rPr>
        <w:t xml:space="preserve"> (</w:t>
      </w:r>
      <w:proofErr w:type="spellStart"/>
      <w:r w:rsidRPr="006B3D43">
        <w:rPr>
          <w:rFonts w:ascii="Arial" w:hAnsi="Arial" w:cs="Arial"/>
          <w:sz w:val="24"/>
          <w:szCs w:val="24"/>
        </w:rPr>
        <w:t>HexNAc</w:t>
      </w:r>
      <w:proofErr w:type="spellEnd"/>
      <w:r w:rsidRPr="006B3D43">
        <w:rPr>
          <w:rFonts w:ascii="Arial" w:hAnsi="Arial" w:cs="Arial"/>
          <w:sz w:val="24"/>
          <w:szCs w:val="24"/>
        </w:rPr>
        <w:t xml:space="preserve">) residues determined by LC-MS. The more HexNAc present on a glycan composition the more branched that glycan tends to be, for example </w:t>
      </w:r>
      <w:proofErr w:type="gramStart"/>
      <w:r w:rsidRPr="006B3D43">
        <w:rPr>
          <w:rFonts w:ascii="Arial" w:hAnsi="Arial" w:cs="Arial"/>
          <w:sz w:val="24"/>
          <w:szCs w:val="24"/>
        </w:rPr>
        <w:t>HexNAc(</w:t>
      </w:r>
      <w:proofErr w:type="gramEnd"/>
      <w:r w:rsidRPr="006B3D43">
        <w:rPr>
          <w:rFonts w:ascii="Arial" w:hAnsi="Arial" w:cs="Arial"/>
          <w:sz w:val="24"/>
          <w:szCs w:val="24"/>
        </w:rPr>
        <w:t>6) can correspond to a tetra-antennary glycan whereas HexNAc(4) is biantennary. As glycan processing is heterogeneous</w:t>
      </w:r>
      <w:r w:rsidR="002240D2" w:rsidRPr="006B3D43">
        <w:rPr>
          <w:rFonts w:ascii="Arial" w:hAnsi="Arial" w:cs="Arial"/>
          <w:sz w:val="24"/>
          <w:szCs w:val="24"/>
        </w:rPr>
        <w:t>,</w:t>
      </w:r>
      <w:r w:rsidRPr="006B3D43">
        <w:rPr>
          <w:rFonts w:ascii="Arial" w:hAnsi="Arial" w:cs="Arial"/>
          <w:sz w:val="24"/>
          <w:szCs w:val="24"/>
        </w:rPr>
        <w:t xml:space="preserve"> this change is more subtle, however the complex-type glycans of N1074 and N282 are less branched</w:t>
      </w:r>
      <w:r w:rsidR="00CE7733">
        <w:rPr>
          <w:rFonts w:ascii="Arial" w:hAnsi="Arial" w:cs="Arial"/>
          <w:sz w:val="24"/>
          <w:szCs w:val="24"/>
        </w:rPr>
        <w:t xml:space="preserve"> on viral S protein</w:t>
      </w:r>
      <w:r w:rsidRPr="006B3D43">
        <w:rPr>
          <w:rFonts w:ascii="Arial" w:hAnsi="Arial" w:cs="Arial"/>
          <w:sz w:val="24"/>
          <w:szCs w:val="24"/>
        </w:rPr>
        <w:t xml:space="preserve"> compared to the recombinant S proteins, with a ~30 percentage point decrease in abundance of </w:t>
      </w:r>
      <w:proofErr w:type="spellStart"/>
      <w:proofErr w:type="gramStart"/>
      <w:r w:rsidRPr="006B3D43">
        <w:rPr>
          <w:rFonts w:ascii="Arial" w:hAnsi="Arial" w:cs="Arial"/>
          <w:sz w:val="24"/>
          <w:szCs w:val="24"/>
        </w:rPr>
        <w:t>HexNac</w:t>
      </w:r>
      <w:proofErr w:type="spellEnd"/>
      <w:r w:rsidRPr="006B3D43">
        <w:rPr>
          <w:rFonts w:ascii="Arial" w:hAnsi="Arial" w:cs="Arial"/>
          <w:sz w:val="24"/>
          <w:szCs w:val="24"/>
        </w:rPr>
        <w:t>(</w:t>
      </w:r>
      <w:proofErr w:type="gramEnd"/>
      <w:r w:rsidRPr="006B3D43">
        <w:rPr>
          <w:rFonts w:ascii="Arial" w:hAnsi="Arial" w:cs="Arial"/>
          <w:sz w:val="24"/>
          <w:szCs w:val="24"/>
        </w:rPr>
        <w:t xml:space="preserve">5) and </w:t>
      </w:r>
      <w:proofErr w:type="spellStart"/>
      <w:r w:rsidRPr="006B3D43">
        <w:rPr>
          <w:rFonts w:ascii="Arial" w:hAnsi="Arial" w:cs="Arial"/>
          <w:sz w:val="24"/>
          <w:szCs w:val="24"/>
        </w:rPr>
        <w:t>HexNAc</w:t>
      </w:r>
      <w:proofErr w:type="spellEnd"/>
      <w:r w:rsidRPr="006B3D43">
        <w:rPr>
          <w:rFonts w:ascii="Arial" w:hAnsi="Arial" w:cs="Arial"/>
          <w:sz w:val="24"/>
          <w:szCs w:val="24"/>
        </w:rPr>
        <w:t>(6) corresponding to tri- and tetra-antennary glycans (</w:t>
      </w:r>
      <w:r w:rsidRPr="006B3D43">
        <w:rPr>
          <w:rFonts w:ascii="Arial" w:hAnsi="Arial" w:cs="Arial"/>
          <w:b/>
          <w:bCs/>
          <w:sz w:val="24"/>
          <w:szCs w:val="24"/>
        </w:rPr>
        <w:t>Figure 2</w:t>
      </w:r>
      <w:r w:rsidRPr="006B3D43">
        <w:rPr>
          <w:rFonts w:ascii="Arial" w:hAnsi="Arial" w:cs="Arial"/>
          <w:sz w:val="24"/>
          <w:szCs w:val="24"/>
        </w:rPr>
        <w:t>). These changes are also apparent on other processed sites such as N165 and N1158 (</w:t>
      </w:r>
      <w:r w:rsidR="00F30EED">
        <w:rPr>
          <w:rFonts w:ascii="Arial" w:hAnsi="Arial" w:cs="Arial"/>
          <w:b/>
          <w:bCs/>
          <w:sz w:val="24"/>
          <w:szCs w:val="24"/>
        </w:rPr>
        <w:t>Table S2</w:t>
      </w:r>
      <w:r w:rsidRPr="006B3D43">
        <w:rPr>
          <w:rFonts w:ascii="Arial" w:hAnsi="Arial" w:cs="Arial"/>
          <w:sz w:val="24"/>
          <w:szCs w:val="24"/>
        </w:rPr>
        <w:t xml:space="preserve">). </w:t>
      </w:r>
    </w:p>
    <w:p w14:paraId="07EF4EC8" w14:textId="38CFA07A" w:rsidR="007A5564" w:rsidRPr="006B3D43" w:rsidRDefault="007A5564" w:rsidP="006B3D43">
      <w:pPr>
        <w:spacing w:line="360" w:lineRule="auto"/>
        <w:ind w:firstLine="720"/>
        <w:jc w:val="both"/>
        <w:rPr>
          <w:rFonts w:ascii="Arial" w:hAnsi="Arial" w:cs="Arial"/>
          <w:sz w:val="24"/>
          <w:szCs w:val="24"/>
        </w:rPr>
      </w:pPr>
      <w:r w:rsidRPr="006B3D43">
        <w:rPr>
          <w:rFonts w:ascii="Arial" w:hAnsi="Arial" w:cs="Arial"/>
          <w:sz w:val="24"/>
          <w:szCs w:val="24"/>
        </w:rPr>
        <w:t xml:space="preserve">These changes contrast </w:t>
      </w:r>
      <w:r w:rsidR="00AC6F74">
        <w:rPr>
          <w:rFonts w:ascii="Arial" w:hAnsi="Arial" w:cs="Arial"/>
          <w:sz w:val="24"/>
          <w:szCs w:val="24"/>
        </w:rPr>
        <w:t xml:space="preserve">with </w:t>
      </w:r>
      <w:r w:rsidRPr="006B3D43">
        <w:rPr>
          <w:rFonts w:ascii="Arial" w:hAnsi="Arial" w:cs="Arial"/>
          <w:sz w:val="24"/>
          <w:szCs w:val="24"/>
        </w:rPr>
        <w:t>similar analyses comparing viral derived Env and soluble recombinant variants. For HIV-1 Env</w:t>
      </w:r>
      <w:r w:rsidR="00626736" w:rsidRPr="006B3D43">
        <w:rPr>
          <w:rFonts w:ascii="Arial" w:hAnsi="Arial" w:cs="Arial"/>
          <w:sz w:val="24"/>
          <w:szCs w:val="24"/>
        </w:rPr>
        <w:t>,</w:t>
      </w:r>
      <w:r w:rsidRPr="006B3D43">
        <w:rPr>
          <w:rFonts w:ascii="Arial" w:hAnsi="Arial" w:cs="Arial"/>
          <w:sz w:val="24"/>
          <w:szCs w:val="24"/>
        </w:rPr>
        <w:t xml:space="preserve"> an increase in glycan branching and sialylation is observed across sites presenting complex-type glycans</w:t>
      </w:r>
      <w:r w:rsidR="008923AD">
        <w:rPr>
          <w:rFonts w:ascii="Arial" w:hAnsi="Arial" w:cs="Arial"/>
          <w:sz w:val="24"/>
          <w:szCs w:val="24"/>
        </w:rPr>
        <w:t xml:space="preserve"> </w:t>
      </w:r>
      <w:r w:rsidR="009675A0" w:rsidRPr="006B3D43">
        <w:rPr>
          <w:rFonts w:ascii="Arial" w:hAnsi="Arial" w:cs="Arial"/>
          <w:sz w:val="24"/>
          <w:szCs w:val="24"/>
        </w:rPr>
        <w:fldChar w:fldCharType="begin" w:fldLock="1"/>
      </w:r>
      <w:r w:rsidR="007774B6">
        <w:rPr>
          <w:rFonts w:ascii="Arial" w:hAnsi="Arial" w:cs="Arial"/>
          <w:sz w:val="24"/>
          <w:szCs w:val="24"/>
        </w:rPr>
        <w:instrText>ADDIN CSL_CITATION {"citationItems":[{"id":"ITEM-1","itemData":{"DOI":"10.1016/j.celrep.2018.07.080","ISSN":"22111247","PMID":"30134158","abstract":"Many broadly neutralizing antibodies (bnAbs) against HIV-1 recognize and/or penetrate the glycan shield on native, virion-associated envelope glycoprotein (Env) spikes. The same bnAbs also bind to recombinant, soluble trimeric immunogens based on the SOSIP design. While SOSIP trimers are close structural and antigenic mimics of virion Env, the extent to which their glycan structures resemble ones on infectious viruses is undefined. Here, we compare the overall glycosylation of gp120 and gp41 subunits from BG505 (clade A) virions produced in a lymphoid cell line with those from recombinant BG505 SOSIP trimers, including CHO-derived clinical grade material. We also performed detailed site-specific analyses of gp120. Glycans relevant to key bnAb epitopes are generally similar on the recombinant SOSIP and virion-derived Env proteins, although the latter do contain hotspots of elevated glycan processing. Knowledge of native versus recombinant Env glycosylation will guide vaccine design and manufacturing programs. Struwe et al. present site-specific analyses of N-glycosylation sites on HIV-1 envelope glycoproteins from an infectious virus and a recombinant trimer mimic. The structural and antigenic details of the glycan shield will be valuable for designing next-generation immunogens and understanding virus neutralization by broadly active antibodies.","author":[{"dropping-particle":"","family":"Struwe","given":"Weston B.","non-dropping-particle":"","parse-names":false,"suffix":""},{"dropping-particle":"","family":"Chertova","given":"Elena","non-dropping-particle":"","parse-names":false,"suffix":""},{"dropping-particle":"","family":"Allen","given":"Joel D.","non-dropping-particle":"","parse-names":false,"suffix":""},{"dropping-particle":"","family":"Seabright","given":"Gemma E.","non-dropping-particle":"","parse-names":false,"suffix":""},{"dropping-particle":"","family":"Watanabe","given":"Yasunori","non-dropping-particle":"","parse-names":false,"suffix":""},{"dropping-particle":"","family":"Harvey","given":"David J.","non-dropping-particle":"","parse-names":false,"suffix":""},{"dropping-particle":"","family":"Medina-Ramirez","given":"Max","non-dropping-particle":"","parse-names":false,"suffix":""},{"dropping-particle":"","family":"Roser","given":"James D.","non-dropping-particle":"","parse-names":false,"suffix":""},{"dropping-particle":"","family":"Smith","given":"Rodman","non-dropping-particle":"","parse-names":false,"suffix":""},{"dropping-particle":"","family":"Westcott","given":"David","non-dropping-particle":"","parse-names":false,"suffix":""},{"dropping-particle":"","family":"Keele","given":"Brandon F.","non-dropping-particle":"","parse-names":false,"suffix":""},{"dropping-particle":"","family":"Bess","given":"Julian W.","non-dropping-particle":"","parse-names":false,"suffix":""},{"dropping-particle":"","family":"Sanders","given":"Rogier W.","non-dropping-particle":"","parse-names":false,"suffix":""},{"dropping-particle":"","family":"Lifson","given":"Jeffrey D.","non-dropping-particle":"","parse-names":false,"suffix":""},{"dropping-particle":"","family":"Moore","given":"John P.","non-dropping-particle":"","parse-names":false,"suffix":""},{"dropping-particle":"","family":"Crispin","given":"Max","non-dropping-particle":"","parse-names":false,"suffix":""}],"container-title":"Cell Reports","id":"ITEM-1","issue":"8","issued":{"date-parts":[["2018"]]},"page":"1958-1966.e5","title":"Site-Specific Glycosylation of Virion-Derived HIV-1 Env Is Mimicked by a Soluble Trimeric Immunogen","type":"article-journal","volume":"24"},"uris":["http://www.mendeley.com/documents/?uuid=907c5109-2cca-4be5-8d6c-f970097eec95"]}],"mendeley":{"formattedCitation":"&lt;sup&gt;86&lt;/sup&gt;","plainTextFormattedCitation":"86","previouslyFormattedCitation":"&lt;sup&gt;86&lt;/sup&gt;"},"properties":{"noteIndex":0},"schema":"https://github.com/citation-style-language/schema/raw/master/csl-citation.json"}</w:instrText>
      </w:r>
      <w:r w:rsidR="009675A0" w:rsidRPr="006B3D43">
        <w:rPr>
          <w:rFonts w:ascii="Arial" w:hAnsi="Arial" w:cs="Arial"/>
          <w:sz w:val="24"/>
          <w:szCs w:val="24"/>
        </w:rPr>
        <w:fldChar w:fldCharType="separate"/>
      </w:r>
      <w:r w:rsidR="007774B6" w:rsidRPr="007774B6">
        <w:rPr>
          <w:rFonts w:ascii="Arial" w:hAnsi="Arial" w:cs="Arial"/>
          <w:noProof/>
          <w:sz w:val="24"/>
          <w:szCs w:val="24"/>
          <w:vertAlign w:val="superscript"/>
        </w:rPr>
        <w:t>86</w:t>
      </w:r>
      <w:r w:rsidR="009675A0" w:rsidRPr="006B3D43">
        <w:rPr>
          <w:rFonts w:ascii="Arial" w:hAnsi="Arial" w:cs="Arial"/>
          <w:sz w:val="24"/>
          <w:szCs w:val="24"/>
        </w:rPr>
        <w:fldChar w:fldCharType="end"/>
      </w:r>
      <w:r w:rsidR="009675A0" w:rsidRPr="006B3D43">
        <w:rPr>
          <w:rFonts w:ascii="Arial" w:hAnsi="Arial" w:cs="Arial"/>
          <w:sz w:val="24"/>
          <w:szCs w:val="24"/>
        </w:rPr>
        <w:t>.</w:t>
      </w:r>
      <w:r w:rsidR="008F39B0">
        <w:rPr>
          <w:rFonts w:ascii="Arial" w:hAnsi="Arial" w:cs="Arial"/>
          <w:sz w:val="24"/>
          <w:szCs w:val="24"/>
        </w:rPr>
        <w:t xml:space="preserve"> </w:t>
      </w:r>
      <w:r w:rsidRPr="006B3D43">
        <w:rPr>
          <w:rFonts w:ascii="Arial" w:hAnsi="Arial" w:cs="Arial"/>
          <w:sz w:val="24"/>
          <w:szCs w:val="24"/>
        </w:rPr>
        <w:t>These changes were also present on recombinant full length Env</w:t>
      </w:r>
      <w:r w:rsidR="008923AD">
        <w:rPr>
          <w:rFonts w:ascii="Arial" w:hAnsi="Arial" w:cs="Arial"/>
          <w:sz w:val="24"/>
          <w:szCs w:val="24"/>
        </w:rPr>
        <w:t xml:space="preserve"> </w:t>
      </w:r>
      <w:r w:rsidR="009675A0" w:rsidRPr="006B3D43">
        <w:rPr>
          <w:rFonts w:ascii="Arial" w:hAnsi="Arial" w:cs="Arial"/>
          <w:sz w:val="24"/>
          <w:szCs w:val="24"/>
        </w:rPr>
        <w:fldChar w:fldCharType="begin" w:fldLock="1"/>
      </w:r>
      <w:r w:rsidR="009E22F0">
        <w:rPr>
          <w:rFonts w:ascii="Arial" w:hAnsi="Arial" w:cs="Arial"/>
          <w:sz w:val="24"/>
          <w:szCs w:val="24"/>
        </w:rPr>
        <w:instrText>ADDIN CSL_CITATION {"citationItems":[{"id":"ITEM-1","itemData":{"DOI":"10.1371/journal.ppat.1007920","ISSN":"1553-7374","PMID":"31306470","abstract":"The HIV-1 envelope glycoprotein (Env) trimer is located on the surface of the virus and is the target of broadly neutralizing antibodies (bNAbs). Recombinant native-like soluble Env trimer mimetics, such as SOSIP trimers, have taken a central role in HIV-1 vaccine research aimed at inducing bNAbs. We therefore performed a direct and thorough comparison of a full-length unmodified Env trimer containing the transmembrane domain and the cytoplasmic tail, with the sequence matched soluble SOSIP trimer, both based on an early Env sequence (AMC011) from an HIV+ individual that developed bNAbs. The structures of the full-length AMC011 trimer bound to either bNAb PGT145 or PGT151 were very similar to the structures of SOSIP trimers. Antigenically, the full-length and SOSIP trimers were comparable, but in contrast to the full-length trimer, the SOSIP trimer did not bind at all to non-neutralizing antibodies, most likely as a consequence of the intrinsic stabilization of the SOSIP trimer. Furthermore, the glycan composition of full-length and SOSIP trimers was similar overall, but the SOSIP trimer possessed slightly less complex and less extensively processed glycans, which may relate to the intrinsic stabilization as well as the absence of the membrane tether. These data provide insights into how to best use and improve membrane-associated full-length and soluble SOSIP HIV-1 Env trimers as immunogens.","author":[{"dropping-particle":"","family":"Torrents de la Peña","given":"Alba","non-dropping-particle":"","parse-names":false,"suffix":""},{"dropping-particle":"","family":"Rantalainen","given":"Kimmo","non-dropping-particle":"","parse-names":false,"suffix":""},{"dropping-particle":"","family":"Cottrell","given":"Christopher A.","non-dropping-particle":"","parse-names":false,"suffix":""},{"dropping-particle":"","family":"Allen","given":"Joel D.","non-dropping-particle":"","parse-names":false,"suffix":""},{"dropping-particle":"","family":"Gils","given":"Marit J.","non-dropping-particle":"van","parse-names":false,"suffix":""},{"dropping-particle":"","family":"Torres","given":"Jonathan L.","non-dropping-particle":"","parse-names":false,"suffix":""},{"dropping-particle":"","family":"Crispin","given":"Max","non-dropping-particle":"","parse-names":false,"suffix":""},{"dropping-particle":"","family":"Sanders","given":"Rogier W.","non-dropping-particle":"","parse-names":false,"suffix":""},{"dropping-particle":"","family":"Ward","given":"Andrew B.","non-dropping-particle":"","parse-names":false,"suffix":""}],"container-title":"PLOS Pathogens","editor":[{"dropping-particle":"","family":"Trkola","given":"Alexandra","non-dropping-particle":"","parse-names":false,"suffix":""}],"id":"ITEM-1","issue":"7","issued":{"date-parts":[["2019","7","15"]]},"page":"e1007920","title":"Similarities and differences between native HIV-1 envelope glycoprotein trimers and stabilized soluble trimer mimetics","type":"article-journal","volume":"15"},"uris":["http://www.mendeley.com/documents/?uuid=aae5b40b-4136-4a19-b809-b2e533853309"]}],"mendeley":{"formattedCitation":"&lt;sup&gt;87&lt;/sup&gt;","plainTextFormattedCitation":"87","previouslyFormattedCitation":"&lt;sup&gt;87&lt;/sup&gt;"},"properties":{"noteIndex":0},"schema":"https://github.com/citation-style-language/schema/raw/master/csl-citation.json"}</w:instrText>
      </w:r>
      <w:r w:rsidR="009675A0" w:rsidRPr="006B3D43">
        <w:rPr>
          <w:rFonts w:ascii="Arial" w:hAnsi="Arial" w:cs="Arial"/>
          <w:sz w:val="24"/>
          <w:szCs w:val="24"/>
        </w:rPr>
        <w:fldChar w:fldCharType="separate"/>
      </w:r>
      <w:r w:rsidR="007774B6" w:rsidRPr="007774B6">
        <w:rPr>
          <w:rFonts w:ascii="Arial" w:hAnsi="Arial" w:cs="Arial"/>
          <w:noProof/>
          <w:sz w:val="24"/>
          <w:szCs w:val="24"/>
          <w:vertAlign w:val="superscript"/>
        </w:rPr>
        <w:t>87</w:t>
      </w:r>
      <w:r w:rsidR="009675A0" w:rsidRPr="006B3D43">
        <w:rPr>
          <w:rFonts w:ascii="Arial" w:hAnsi="Arial" w:cs="Arial"/>
          <w:sz w:val="24"/>
          <w:szCs w:val="24"/>
        </w:rPr>
        <w:fldChar w:fldCharType="end"/>
      </w:r>
      <w:r w:rsidRPr="006B3D43">
        <w:rPr>
          <w:rFonts w:ascii="Arial" w:hAnsi="Arial" w:cs="Arial"/>
          <w:sz w:val="24"/>
          <w:szCs w:val="24"/>
        </w:rPr>
        <w:t xml:space="preserve">. </w:t>
      </w:r>
      <w:r w:rsidR="00EE4B54" w:rsidRPr="006B3D43">
        <w:rPr>
          <w:rFonts w:ascii="Arial" w:hAnsi="Arial" w:cs="Arial"/>
          <w:sz w:val="24"/>
          <w:szCs w:val="24"/>
        </w:rPr>
        <w:t>Several factors</w:t>
      </w:r>
      <w:r w:rsidRPr="006B3D43">
        <w:rPr>
          <w:rFonts w:ascii="Arial" w:hAnsi="Arial" w:cs="Arial"/>
          <w:sz w:val="24"/>
          <w:szCs w:val="24"/>
        </w:rPr>
        <w:t xml:space="preserve"> could be influencing these changes. The first is that the membrane tether afforded to the viral Env brings the glycans into close proximity to the glycan processing enzymes and the second is that the producer cell had greater expression levels of the glycosyltransferase enzymes involved in glycan processing. The SARS-CoV-2 S protein in a viral context is likely under similar constrain</w:t>
      </w:r>
      <w:r w:rsidR="00DD69B5" w:rsidRPr="006B3D43">
        <w:rPr>
          <w:rFonts w:ascii="Arial" w:hAnsi="Arial" w:cs="Arial"/>
          <w:sz w:val="24"/>
          <w:szCs w:val="24"/>
        </w:rPr>
        <w:t>t</w:t>
      </w:r>
      <w:r w:rsidRPr="006B3D43">
        <w:rPr>
          <w:rFonts w:ascii="Arial" w:hAnsi="Arial" w:cs="Arial"/>
          <w:sz w:val="24"/>
          <w:szCs w:val="24"/>
        </w:rPr>
        <w:t>s</w:t>
      </w:r>
      <w:r w:rsidR="00DD69B5" w:rsidRPr="006B3D43">
        <w:rPr>
          <w:rFonts w:ascii="Arial" w:hAnsi="Arial" w:cs="Arial"/>
          <w:sz w:val="24"/>
          <w:szCs w:val="24"/>
        </w:rPr>
        <w:t xml:space="preserve"> </w:t>
      </w:r>
      <w:r w:rsidRPr="006B3D43">
        <w:rPr>
          <w:rFonts w:ascii="Arial" w:hAnsi="Arial" w:cs="Arial"/>
          <w:sz w:val="24"/>
          <w:szCs w:val="24"/>
        </w:rPr>
        <w:t>however</w:t>
      </w:r>
      <w:r w:rsidR="00D503EF" w:rsidRPr="006B3D43">
        <w:rPr>
          <w:rFonts w:ascii="Arial" w:hAnsi="Arial" w:cs="Arial"/>
          <w:sz w:val="24"/>
          <w:szCs w:val="24"/>
        </w:rPr>
        <w:t>,</w:t>
      </w:r>
      <w:r w:rsidRPr="006B3D43">
        <w:rPr>
          <w:rFonts w:ascii="Arial" w:hAnsi="Arial" w:cs="Arial"/>
          <w:sz w:val="24"/>
          <w:szCs w:val="24"/>
        </w:rPr>
        <w:t xml:space="preserve"> the glycan processing is distinct.  One factor which could be important is the early budding of the SARS-CoV-2 virion into the ER/Golgi intermediate complex (ERGIC) which may distance the spike protein from glycosyltransferases present in the trans-Golgi compared to Env</w:t>
      </w:r>
      <w:r w:rsidR="00153A88" w:rsidRPr="006B3D43">
        <w:rPr>
          <w:rFonts w:ascii="Arial" w:hAnsi="Arial" w:cs="Arial"/>
          <w:sz w:val="24"/>
          <w:szCs w:val="24"/>
        </w:rPr>
        <w:t>,</w:t>
      </w:r>
      <w:r w:rsidRPr="006B3D43">
        <w:rPr>
          <w:rFonts w:ascii="Arial" w:hAnsi="Arial" w:cs="Arial"/>
          <w:sz w:val="24"/>
          <w:szCs w:val="24"/>
        </w:rPr>
        <w:t xml:space="preserve"> which remains attached to the membrane</w:t>
      </w:r>
      <w:r w:rsidR="00153A88" w:rsidRPr="006B3D43">
        <w:rPr>
          <w:rFonts w:ascii="Arial" w:hAnsi="Arial" w:cs="Arial"/>
          <w:sz w:val="24"/>
          <w:szCs w:val="24"/>
        </w:rPr>
        <w:t>,</w:t>
      </w:r>
      <w:r w:rsidRPr="006B3D43">
        <w:rPr>
          <w:rFonts w:ascii="Arial" w:hAnsi="Arial" w:cs="Arial"/>
          <w:sz w:val="24"/>
          <w:szCs w:val="24"/>
        </w:rPr>
        <w:t xml:space="preserve"> proximal to glycosyltransferases</w:t>
      </w:r>
      <w:r w:rsidR="002C75C9">
        <w:rPr>
          <w:rFonts w:ascii="Arial" w:hAnsi="Arial" w:cs="Arial"/>
          <w:sz w:val="24"/>
          <w:szCs w:val="24"/>
        </w:rPr>
        <w:t xml:space="preserve"> </w:t>
      </w:r>
      <w:r w:rsidR="00220E75" w:rsidRPr="006B3D43">
        <w:rPr>
          <w:rFonts w:ascii="Arial" w:hAnsi="Arial" w:cs="Arial"/>
          <w:sz w:val="24"/>
          <w:szCs w:val="24"/>
        </w:rPr>
        <w:fldChar w:fldCharType="begin" w:fldLock="1"/>
      </w:r>
      <w:r w:rsidR="007774B6">
        <w:rPr>
          <w:rFonts w:ascii="Arial" w:hAnsi="Arial" w:cs="Arial"/>
          <w:sz w:val="24"/>
          <w:szCs w:val="24"/>
        </w:rPr>
        <w:instrText>ADDIN CSL_CITATION {"citationItems":[{"id":"ITEM-1","itemData":{"DOI":"10.1074/jbc.ra120.016175","ISSN":"00219258","abstract":"The severe acute respiratory syndrome coronavirus 2 (SARS-CoV-2), a β-coronavirus, is the causative agent of the COVID-19 pandemic. Like for other coronaviruses, its particles are composed of four structural proteins: Spike (S), Envelope (E), Membrane (M) and Nucleoprotein (N) proteins. The involvement of each of these proteins and their interactions are critical for assembly and production of β-coronavirus particles. Here, we sought to characterize the interplay of SARS-CoV-2 structural proteins during the viral assembly process. By combining biochemical and imaging assays in infected vs. transfected cells, we show that E and M regulate intracellular trafficking of S as well as its intracellular processing. Indeed, the imaging data reveal that S is re-localized at endoplasmic reticulum (ER)-Golgi intermediate compartment (ERGIC) or Golgi compartments upon co-expression of E or M, as observed in SARS-CoV-2-infected cells, which prevents syncytia formation. We show that a C-terminal retrieval motif in the cytoplasmic tail of S is required for its M-mediated retention in the ERGIC, whereas E induces S retention by modulating the cell secretory pathway. We also highlight that E and M induce a specific maturation of N-glycosylation of S, independently of the regulation of its localization, with a profile that is observed both in infected cells and in purified viral particles. Finally, we show that E, M and N are required for optimal production of virus- like-particles. Altogether, these results highlight how E and M proteins may influence the properties of S proteins and promote the assembly of SARS-CoV-2 viral particles.","author":[{"dropping-particle":"","family":"Boson","given":"Bertrand","non-dropping-particle":"","parse-names":false,"suffix":""},{"dropping-particle":"","family":"Legros","given":"Vincent","non-dropping-particle":"","parse-names":false,"suffix":""},{"dropping-particle":"","family":"Zhou","given":"Bingjie","non-dropping-particle":"","parse-names":false,"suffix":""},{"dropping-particle":"","family":"Siret","given":"Eglantine","non-dropping-particle":"","parse-names":false,"suffix":""},{"dropping-particle":"","family":"Mathieu","given":"Cyrille","non-dropping-particle":"","parse-names":false,"suffix":""},{"dropping-particle":"","family":"Cosset","given":"François-Loïc","non-dropping-particle":"","parse-names":false,"suffix":""},{"dropping-particle":"","family":"Lavillette","given":"Dimitri","non-dropping-particle":"","parse-names":false,"suffix":""},{"dropping-particle":"","family":"Denolly","given":"Solène","non-dropping-particle":"","parse-names":false,"suffix":""}],"container-title":"Journal of Biological Chemistry","id":"ITEM-1","issued":{"date-parts":[["2021"]]},"page":"100111","title":"The SARS-CoV-2 envelope and membrane proteins modulate maturation and retention of the spike protein, allowing assembly of virus-like particles","type":"article-journal","volume":"296"},"uris":["http://www.mendeley.com/documents/?uuid=7ab83ce5-0b30-4ccf-8e54-07255073d267"]}],"mendeley":{"formattedCitation":"&lt;sup&gt;88&lt;/sup&gt;","plainTextFormattedCitation":"88","previouslyFormattedCitation":"&lt;sup&gt;88&lt;/sup&gt;"},"properties":{"noteIndex":0},"schema":"https://github.com/citation-style-language/schema/raw/master/csl-citation.json"}</w:instrText>
      </w:r>
      <w:r w:rsidR="00220E75" w:rsidRPr="006B3D43">
        <w:rPr>
          <w:rFonts w:ascii="Arial" w:hAnsi="Arial" w:cs="Arial"/>
          <w:sz w:val="24"/>
          <w:szCs w:val="24"/>
        </w:rPr>
        <w:fldChar w:fldCharType="separate"/>
      </w:r>
      <w:r w:rsidR="007774B6" w:rsidRPr="007774B6">
        <w:rPr>
          <w:rFonts w:ascii="Arial" w:hAnsi="Arial" w:cs="Arial"/>
          <w:noProof/>
          <w:sz w:val="24"/>
          <w:szCs w:val="24"/>
          <w:vertAlign w:val="superscript"/>
        </w:rPr>
        <w:t>88</w:t>
      </w:r>
      <w:r w:rsidR="00220E75" w:rsidRPr="006B3D43">
        <w:rPr>
          <w:rFonts w:ascii="Arial" w:hAnsi="Arial" w:cs="Arial"/>
          <w:sz w:val="24"/>
          <w:szCs w:val="24"/>
        </w:rPr>
        <w:fldChar w:fldCharType="end"/>
      </w:r>
      <w:r w:rsidRPr="006B3D43">
        <w:rPr>
          <w:rFonts w:ascii="Arial" w:hAnsi="Arial" w:cs="Arial"/>
          <w:sz w:val="24"/>
          <w:szCs w:val="24"/>
        </w:rPr>
        <w:t xml:space="preserve">. </w:t>
      </w:r>
      <w:bookmarkStart w:id="4" w:name="_Hlk73014745"/>
      <w:r w:rsidRPr="006B3D43">
        <w:rPr>
          <w:rFonts w:ascii="Arial" w:hAnsi="Arial" w:cs="Arial"/>
          <w:sz w:val="24"/>
          <w:szCs w:val="24"/>
        </w:rPr>
        <w:t>The choice</w:t>
      </w:r>
      <w:r w:rsidR="008D02CF">
        <w:rPr>
          <w:rFonts w:ascii="Arial" w:hAnsi="Arial" w:cs="Arial"/>
          <w:sz w:val="24"/>
          <w:szCs w:val="24"/>
        </w:rPr>
        <w:t xml:space="preserve"> of producer cell and culture condition of the virus,</w:t>
      </w:r>
      <w:r w:rsidRPr="006B3D43">
        <w:rPr>
          <w:rFonts w:ascii="Arial" w:hAnsi="Arial" w:cs="Arial"/>
          <w:sz w:val="24"/>
          <w:szCs w:val="24"/>
        </w:rPr>
        <w:t xml:space="preserve"> in this case Vero cells</w:t>
      </w:r>
      <w:r w:rsidR="008D02CF">
        <w:rPr>
          <w:rFonts w:ascii="Arial" w:hAnsi="Arial" w:cs="Arial"/>
          <w:sz w:val="24"/>
          <w:szCs w:val="24"/>
        </w:rPr>
        <w:t>,</w:t>
      </w:r>
      <w:r w:rsidR="00E27704">
        <w:rPr>
          <w:rFonts w:ascii="Arial" w:hAnsi="Arial" w:cs="Arial"/>
          <w:sz w:val="24"/>
          <w:szCs w:val="24"/>
        </w:rPr>
        <w:t xml:space="preserve"> which are derived from </w:t>
      </w:r>
      <w:r w:rsidR="007F7C29">
        <w:rPr>
          <w:rFonts w:ascii="Arial" w:hAnsi="Arial" w:cs="Arial"/>
          <w:sz w:val="24"/>
          <w:szCs w:val="24"/>
        </w:rPr>
        <w:t xml:space="preserve">the kidney cells of </w:t>
      </w:r>
      <w:r w:rsidR="007F7C29" w:rsidRPr="00C71D29">
        <w:rPr>
          <w:rFonts w:ascii="Arial" w:hAnsi="Arial" w:cs="Arial"/>
          <w:i/>
          <w:iCs/>
          <w:sz w:val="24"/>
          <w:szCs w:val="24"/>
        </w:rPr>
        <w:t>Cercopithecus aethiops</w:t>
      </w:r>
      <w:r w:rsidR="007F7C29">
        <w:rPr>
          <w:rFonts w:ascii="Arial" w:hAnsi="Arial" w:cs="Arial"/>
          <w:i/>
          <w:iCs/>
          <w:sz w:val="24"/>
          <w:szCs w:val="24"/>
        </w:rPr>
        <w:t xml:space="preserve"> </w:t>
      </w:r>
      <w:r w:rsidR="007F7C29">
        <w:rPr>
          <w:rFonts w:ascii="Arial" w:hAnsi="Arial" w:cs="Arial"/>
          <w:sz w:val="24"/>
          <w:szCs w:val="24"/>
        </w:rPr>
        <w:t>(</w:t>
      </w:r>
      <w:r w:rsidR="001E2034">
        <w:rPr>
          <w:rFonts w:ascii="Arial" w:hAnsi="Arial" w:cs="Arial"/>
          <w:sz w:val="24"/>
          <w:szCs w:val="24"/>
        </w:rPr>
        <w:t xml:space="preserve">African green </w:t>
      </w:r>
      <w:r w:rsidR="007F7C29">
        <w:rPr>
          <w:rFonts w:ascii="Arial" w:hAnsi="Arial" w:cs="Arial"/>
          <w:sz w:val="24"/>
          <w:szCs w:val="24"/>
        </w:rPr>
        <w:t>monkey)</w:t>
      </w:r>
      <w:r w:rsidRPr="006B3D43">
        <w:rPr>
          <w:rFonts w:ascii="Arial" w:hAnsi="Arial" w:cs="Arial"/>
          <w:sz w:val="24"/>
          <w:szCs w:val="24"/>
        </w:rPr>
        <w:t>, may also influenc</w:t>
      </w:r>
      <w:r w:rsidR="00E26604">
        <w:rPr>
          <w:rFonts w:ascii="Arial" w:hAnsi="Arial" w:cs="Arial"/>
          <w:sz w:val="24"/>
          <w:szCs w:val="24"/>
        </w:rPr>
        <w:t>e</w:t>
      </w:r>
      <w:r w:rsidRPr="006B3D43">
        <w:rPr>
          <w:rFonts w:ascii="Arial" w:hAnsi="Arial" w:cs="Arial"/>
          <w:sz w:val="24"/>
          <w:szCs w:val="24"/>
        </w:rPr>
        <w:t xml:space="preserve"> the glycan processing as the </w:t>
      </w:r>
      <w:r w:rsidRPr="006B3D43">
        <w:rPr>
          <w:rFonts w:ascii="Arial" w:hAnsi="Arial" w:cs="Arial"/>
          <w:sz w:val="24"/>
          <w:szCs w:val="24"/>
        </w:rPr>
        <w:lastRenderedPageBreak/>
        <w:t>expression levels of glycosyltransferase enzymes may account for the diminished attachment of sialic acid and fucose observed on viral S protein compared to recombinant S protein.</w:t>
      </w:r>
      <w:r w:rsidR="00584E27">
        <w:rPr>
          <w:rFonts w:ascii="Arial" w:hAnsi="Arial" w:cs="Arial"/>
          <w:sz w:val="24"/>
          <w:szCs w:val="24"/>
        </w:rPr>
        <w:t xml:space="preserve"> Previous studies have highlighted the low abundance of sialic acid </w:t>
      </w:r>
      <w:proofErr w:type="spellStart"/>
      <w:r w:rsidR="00584E27">
        <w:rPr>
          <w:rFonts w:ascii="Arial" w:hAnsi="Arial" w:cs="Arial"/>
          <w:sz w:val="24"/>
          <w:szCs w:val="24"/>
        </w:rPr>
        <w:t>moieities</w:t>
      </w:r>
      <w:proofErr w:type="spellEnd"/>
      <w:r w:rsidR="00584E27">
        <w:rPr>
          <w:rFonts w:ascii="Arial" w:hAnsi="Arial" w:cs="Arial"/>
          <w:sz w:val="24"/>
          <w:szCs w:val="24"/>
        </w:rPr>
        <w:t xml:space="preserve"> on Vero cells</w:t>
      </w:r>
      <w:r w:rsidR="008923AD">
        <w:rPr>
          <w:rFonts w:ascii="Arial" w:hAnsi="Arial" w:cs="Arial"/>
          <w:sz w:val="24"/>
          <w:szCs w:val="24"/>
        </w:rPr>
        <w:t xml:space="preserve"> </w:t>
      </w:r>
      <w:r w:rsidR="008923AD">
        <w:rPr>
          <w:rFonts w:ascii="Arial" w:hAnsi="Arial" w:cs="Arial"/>
          <w:sz w:val="24"/>
          <w:szCs w:val="24"/>
        </w:rPr>
        <w:fldChar w:fldCharType="begin" w:fldLock="1"/>
      </w:r>
      <w:r w:rsidR="008923AD">
        <w:rPr>
          <w:rFonts w:ascii="Arial" w:hAnsi="Arial" w:cs="Arial"/>
          <w:sz w:val="24"/>
          <w:szCs w:val="24"/>
        </w:rPr>
        <w:instrText>ADDIN CSL_CITATION {"citationItems":[{"id":"ITEM-1","itemData":{"DOI":"10.4149/av_2011_02_147","ISSN":"0001723X","PMID":"21692563","abstract":"Human influenza viruses are major concern as the leading cause of global pandemics. In infecting cells, they preferentially bind to sialyloligosaccharides containing terminal N-acetyl sialic acid linked to galactose by an α-2,6-linkage (NeuAcα2,6Gal). The amount of NeuAcα2,6Gal in Vero cells, which are predominantly used for production of influenza vaccines over the past 30 years, may not be as high as that in epithelial cells of human respiratory tract, what leads to the suboptimal virus growth in Vero cells. In this study, we stably transfected Vero cells with cDNA of human α-2,6-sialyltransferase (SIAT1), an enzyme catalyzing α-2,6-sialylation of galactose on glycoproteins. Overexpression of SIAT1 in the transfected Vero cells (Vero-SIAT1 cells) was confirmed by Western blot analysis and immunofluorescence microscopy. Vero-SIAT1 cells expressed 7 times higher amounts of NeuAcalpha;α2,6Gal, but 3 times lower amounts of NeuAcα2,3Gal as compared to parental Vero cells. Furthermore, the influenza viruses A (H1N1 and H3N2) and B grew in Vero-SIAT1 cells to the higher titers than in Vero cells. Taken together, these results imply that Vero-SIAT1 cells are useful not only for the propagation of human influenza viruses, but also for the preparation of influenza vaccines.","author":[{"dropping-particle":"","family":"Li","given":"N.","non-dropping-particle":"","parse-names":false,"suffix":""},{"dropping-particle":"","family":"Qi","given":"Y.","non-dropping-particle":"","parse-names":false,"suffix":""},{"dropping-particle":"","family":"Zhang","given":"F. Y.","non-dropping-particle":"","parse-names":false,"suffix":""},{"dropping-particle":"","family":"Yu","given":"X. H.","non-dropping-particle":"","parse-names":false,"suffix":""},{"dropping-particle":"","family":"Wu","given":"Y. G.","non-dropping-particle":"","parse-names":false,"suffix":""},{"dropping-particle":"","family":"Chen","given":"Y.","non-dropping-particle":"","parse-names":false,"suffix":""},{"dropping-particle":"","family":"Jiang","given":"C. L.","non-dropping-particle":"","parse-names":false,"suffix":""},{"dropping-particle":"","family":"Kong","given":"W.","non-dropping-particle":"","parse-names":false,"suffix":""}],"container-title":"Acta Virologica","id":"ITEM-1","issue":"2","issued":{"date-parts":[["2011"]]},"page":"147-153","publisher":"Acta Virol","title":"Overexpression of α-2,6-sialyltransferase stimulates propagation of human influenza viruses in Vero cells","type":"article-journal","volume":"55"},"uris":["http://www.mendeley.com/documents/?uuid=b85afdd1-93be-4959-a660-a11c84bd63ce"]}],"mendeley":{"formattedCitation":"&lt;sup&gt;89&lt;/sup&gt;","plainTextFormattedCitation":"89","previouslyFormattedCitation":"&lt;sup&gt;89&lt;/sup&gt;"},"properties":{"noteIndex":0},"schema":"https://github.com/citation-style-language/schema/raw/master/csl-citation.json"}</w:instrText>
      </w:r>
      <w:r w:rsidR="008923AD">
        <w:rPr>
          <w:rFonts w:ascii="Arial" w:hAnsi="Arial" w:cs="Arial"/>
          <w:sz w:val="24"/>
          <w:szCs w:val="24"/>
        </w:rPr>
        <w:fldChar w:fldCharType="separate"/>
      </w:r>
      <w:r w:rsidR="008923AD" w:rsidRPr="008923AD">
        <w:rPr>
          <w:rFonts w:ascii="Arial" w:hAnsi="Arial" w:cs="Arial"/>
          <w:noProof/>
          <w:sz w:val="24"/>
          <w:szCs w:val="24"/>
          <w:vertAlign w:val="superscript"/>
        </w:rPr>
        <w:t>89</w:t>
      </w:r>
      <w:r w:rsidR="008923AD">
        <w:rPr>
          <w:rFonts w:ascii="Arial" w:hAnsi="Arial" w:cs="Arial"/>
          <w:sz w:val="24"/>
          <w:szCs w:val="24"/>
        </w:rPr>
        <w:fldChar w:fldCharType="end"/>
      </w:r>
      <w:r w:rsidR="00584E27">
        <w:rPr>
          <w:rFonts w:ascii="Arial" w:hAnsi="Arial" w:cs="Arial"/>
          <w:sz w:val="24"/>
          <w:szCs w:val="24"/>
        </w:rPr>
        <w:t>, however these changes could also occur due to the culture conditions used for viral production.</w:t>
      </w:r>
      <w:r w:rsidRPr="006B3D43">
        <w:rPr>
          <w:rFonts w:ascii="Arial" w:hAnsi="Arial" w:cs="Arial"/>
          <w:sz w:val="24"/>
          <w:szCs w:val="24"/>
        </w:rPr>
        <w:t xml:space="preserve"> </w:t>
      </w:r>
      <w:bookmarkEnd w:id="4"/>
      <w:r w:rsidRPr="006B3D43">
        <w:rPr>
          <w:rFonts w:ascii="Arial" w:hAnsi="Arial" w:cs="Arial"/>
          <w:sz w:val="24"/>
          <w:szCs w:val="24"/>
        </w:rPr>
        <w:t xml:space="preserve">As these changes in glycosylation likely </w:t>
      </w:r>
      <w:r w:rsidR="007F7C29">
        <w:rPr>
          <w:rFonts w:ascii="Arial" w:hAnsi="Arial" w:cs="Arial"/>
          <w:sz w:val="24"/>
          <w:szCs w:val="24"/>
        </w:rPr>
        <w:t xml:space="preserve">are </w:t>
      </w:r>
      <w:r w:rsidRPr="006B3D43">
        <w:rPr>
          <w:rFonts w:ascii="Arial" w:hAnsi="Arial" w:cs="Arial"/>
          <w:sz w:val="24"/>
          <w:szCs w:val="24"/>
        </w:rPr>
        <w:t>not impact</w:t>
      </w:r>
      <w:r w:rsidR="007F7C29">
        <w:rPr>
          <w:rFonts w:ascii="Arial" w:hAnsi="Arial" w:cs="Arial"/>
          <w:sz w:val="24"/>
          <w:szCs w:val="24"/>
        </w:rPr>
        <w:t>ing</w:t>
      </w:r>
      <w:r w:rsidRPr="006B3D43">
        <w:rPr>
          <w:rFonts w:ascii="Arial" w:hAnsi="Arial" w:cs="Arial"/>
          <w:sz w:val="24"/>
          <w:szCs w:val="24"/>
        </w:rPr>
        <w:t xml:space="preserve"> the immunogenicity of the viral spike mimetics, as evidenced by </w:t>
      </w:r>
      <w:proofErr w:type="gramStart"/>
      <w:r w:rsidR="00DD69B5" w:rsidRPr="006B3D43">
        <w:rPr>
          <w:rFonts w:ascii="Arial" w:hAnsi="Arial" w:cs="Arial"/>
          <w:sz w:val="24"/>
          <w:szCs w:val="24"/>
        </w:rPr>
        <w:t xml:space="preserve">the </w:t>
      </w:r>
      <w:r w:rsidRPr="006B3D43">
        <w:rPr>
          <w:rFonts w:ascii="Arial" w:hAnsi="Arial" w:cs="Arial"/>
          <w:sz w:val="24"/>
          <w:szCs w:val="24"/>
        </w:rPr>
        <w:t xml:space="preserve"> high</w:t>
      </w:r>
      <w:proofErr w:type="gramEnd"/>
      <w:r w:rsidRPr="006B3D43">
        <w:rPr>
          <w:rFonts w:ascii="Arial" w:hAnsi="Arial" w:cs="Arial"/>
          <w:sz w:val="24"/>
          <w:szCs w:val="24"/>
        </w:rPr>
        <w:t xml:space="preserve"> efficacy of several vaccine</w:t>
      </w:r>
      <w:r w:rsidR="008D0913">
        <w:rPr>
          <w:rFonts w:ascii="Arial" w:hAnsi="Arial" w:cs="Arial"/>
          <w:sz w:val="24"/>
          <w:szCs w:val="24"/>
        </w:rPr>
        <w:t>s</w:t>
      </w:r>
      <w:r w:rsidRPr="006B3D43">
        <w:rPr>
          <w:rFonts w:ascii="Arial" w:hAnsi="Arial" w:cs="Arial"/>
          <w:sz w:val="24"/>
          <w:szCs w:val="24"/>
        </w:rPr>
        <w:t xml:space="preserve">, these observations </w:t>
      </w:r>
      <w:r w:rsidR="007F7C29">
        <w:rPr>
          <w:rFonts w:ascii="Arial" w:hAnsi="Arial" w:cs="Arial"/>
          <w:sz w:val="24"/>
          <w:szCs w:val="24"/>
        </w:rPr>
        <w:t>still remain</w:t>
      </w:r>
      <w:r w:rsidR="007F7C29" w:rsidRPr="006B3D43">
        <w:rPr>
          <w:rFonts w:ascii="Arial" w:hAnsi="Arial" w:cs="Arial"/>
          <w:sz w:val="24"/>
          <w:szCs w:val="24"/>
        </w:rPr>
        <w:t xml:space="preserve"> </w:t>
      </w:r>
      <w:r w:rsidRPr="006B3D43">
        <w:rPr>
          <w:rFonts w:ascii="Arial" w:hAnsi="Arial" w:cs="Arial"/>
          <w:sz w:val="24"/>
          <w:szCs w:val="24"/>
        </w:rPr>
        <w:t>important when considering how the virus may be interacting with the immune system via lectin interactions</w:t>
      </w:r>
      <w:r w:rsidR="00E26604">
        <w:rPr>
          <w:rFonts w:ascii="Arial" w:hAnsi="Arial" w:cs="Arial"/>
          <w:sz w:val="24"/>
          <w:szCs w:val="24"/>
        </w:rPr>
        <w:t>,</w:t>
      </w:r>
      <w:r w:rsidRPr="006B3D43">
        <w:rPr>
          <w:rFonts w:ascii="Arial" w:hAnsi="Arial" w:cs="Arial"/>
          <w:sz w:val="24"/>
          <w:szCs w:val="24"/>
        </w:rPr>
        <w:t xml:space="preserve"> </w:t>
      </w:r>
      <w:r w:rsidR="00E26604">
        <w:rPr>
          <w:rFonts w:ascii="Arial" w:hAnsi="Arial" w:cs="Arial"/>
          <w:sz w:val="24"/>
          <w:szCs w:val="24"/>
        </w:rPr>
        <w:t>and</w:t>
      </w:r>
      <w:r w:rsidR="00E26604" w:rsidRPr="006B3D43">
        <w:rPr>
          <w:rFonts w:ascii="Arial" w:hAnsi="Arial" w:cs="Arial"/>
          <w:sz w:val="24"/>
          <w:szCs w:val="24"/>
        </w:rPr>
        <w:t xml:space="preserve"> </w:t>
      </w:r>
      <w:r w:rsidR="00E26604">
        <w:rPr>
          <w:rFonts w:ascii="Arial" w:hAnsi="Arial" w:cs="Arial"/>
          <w:sz w:val="24"/>
          <w:szCs w:val="24"/>
        </w:rPr>
        <w:t xml:space="preserve">may </w:t>
      </w:r>
      <w:r w:rsidRPr="006B3D43">
        <w:rPr>
          <w:rFonts w:ascii="Arial" w:hAnsi="Arial" w:cs="Arial"/>
          <w:sz w:val="24"/>
          <w:szCs w:val="24"/>
        </w:rPr>
        <w:t>be informative when considering antigenic tests and purifications using glycan binding reagents.</w:t>
      </w:r>
      <w:r w:rsidR="00617AB6">
        <w:rPr>
          <w:rFonts w:ascii="Arial" w:hAnsi="Arial" w:cs="Arial"/>
          <w:sz w:val="24"/>
          <w:szCs w:val="24"/>
        </w:rPr>
        <w:t xml:space="preserve"> </w:t>
      </w:r>
      <w:r w:rsidR="005006B5">
        <w:rPr>
          <w:rFonts w:ascii="Arial" w:hAnsi="Arial" w:cs="Arial"/>
          <w:sz w:val="24"/>
          <w:szCs w:val="24"/>
        </w:rPr>
        <w:t xml:space="preserve">Despite the observed differences, we note that the site-specific glycosylation </w:t>
      </w:r>
      <w:r w:rsidR="00874ABD">
        <w:rPr>
          <w:rFonts w:ascii="Arial" w:hAnsi="Arial" w:cs="Arial"/>
          <w:sz w:val="24"/>
          <w:szCs w:val="24"/>
        </w:rPr>
        <w:t>of the viral-derived material outlined here is</w:t>
      </w:r>
      <w:r w:rsidR="00E66E4A">
        <w:rPr>
          <w:rFonts w:ascii="Arial" w:hAnsi="Arial" w:cs="Arial"/>
          <w:sz w:val="24"/>
          <w:szCs w:val="24"/>
        </w:rPr>
        <w:t xml:space="preserve"> consistent</w:t>
      </w:r>
      <w:r w:rsidR="00B36CEF">
        <w:rPr>
          <w:rFonts w:ascii="Arial" w:hAnsi="Arial" w:cs="Arial"/>
          <w:sz w:val="24"/>
          <w:szCs w:val="24"/>
        </w:rPr>
        <w:t xml:space="preserve"> with </w:t>
      </w:r>
      <w:r w:rsidR="00316E5F">
        <w:rPr>
          <w:rFonts w:ascii="Arial" w:hAnsi="Arial" w:cs="Arial"/>
          <w:sz w:val="24"/>
          <w:szCs w:val="24"/>
        </w:rPr>
        <w:t>previously reported glycan analysis from viral derived S protein produced in</w:t>
      </w:r>
      <w:r w:rsidR="00ED58B4">
        <w:rPr>
          <w:rFonts w:ascii="Arial" w:hAnsi="Arial" w:cs="Arial"/>
          <w:sz w:val="24"/>
          <w:szCs w:val="24"/>
        </w:rPr>
        <w:t xml:space="preserve"> </w:t>
      </w:r>
      <w:r w:rsidR="00ED58B4" w:rsidRPr="00ED58B4">
        <w:rPr>
          <w:rFonts w:ascii="Arial" w:hAnsi="Arial" w:cs="Arial"/>
          <w:sz w:val="24"/>
          <w:szCs w:val="24"/>
        </w:rPr>
        <w:t>Calu-3 lung epithelial cells</w:t>
      </w:r>
      <w:r w:rsidR="00ED58B4">
        <w:rPr>
          <w:rFonts w:ascii="Arial" w:hAnsi="Arial" w:cs="Arial"/>
          <w:sz w:val="24"/>
          <w:szCs w:val="24"/>
        </w:rPr>
        <w:t xml:space="preserve"> </w:t>
      </w:r>
      <w:r w:rsidR="00ED58B4">
        <w:rPr>
          <w:rFonts w:ascii="Arial" w:hAnsi="Arial" w:cs="Arial"/>
          <w:sz w:val="24"/>
          <w:szCs w:val="24"/>
        </w:rPr>
        <w:fldChar w:fldCharType="begin" w:fldLock="1"/>
      </w:r>
      <w:r w:rsidR="00C20977">
        <w:rPr>
          <w:rFonts w:ascii="Arial" w:hAnsi="Arial" w:cs="Arial"/>
          <w:sz w:val="24"/>
          <w:szCs w:val="24"/>
        </w:rPr>
        <w:instrText>ADDIN CSL_CITATION {"citationItems":[{"id":"ITEM-1","itemData":{"DOI":"10.1021/acscentsci.1c00058","ISSN":"2374-7943","abstract":"Severe acute respiratory syndrome coronavirus 2 is the causative pathogen of the COVID-19 pandemic which as of March 29, 2021, has claimed 2 »776 »175 lives worldwide. Vaccine development efforts focus on the viral trimeric spike glycoprotein as the main target of the humoral immune response. Viral spikes carry glycans that facilitate immune evasion by shielding specific protein epitopes from antibody neutralization, and antigen efficacy is influenced by spike glycoprotein production in vivo. Therefore, immunogen integrity is important for glycoprotein-based vaccine candidates. Here, we show how site-specific glycosylation differs between virus-derived spikes, wild-type, non-stabilized spikes expressed from a plasmid with a CMV promoter and tPA signal sequence, and commonly used recombinant, engineered spike glycoproteins. Furthermore, we show that their distinctive cellular secretion pathways result in different protein glycosylation and secretion patterns, including shedding of spike monomeric subunits for the non-stabilized wild-type spike tested, which may have implications for the resulting immune response and vaccine design.","author":[{"dropping-particle":"","family":"Brun","given":"Juliane","non-dropping-particle":"","parse-names":false,"suffix":""},{"dropping-particle":"","family":"Vasiljevic","given":"Snežana","non-dropping-particle":"","parse-names":false,"suffix":""},{"dropping-particle":"","family":"Gangadharan","given":"Bevin","non-dropping-particle":"","parse-names":false,"suffix":""},{"dropping-particle":"","family":"Hensen","given":"Mario","non-dropping-particle":"","parse-names":false,"suffix":""},{"dropping-particle":"","family":"Chandran","given":"Anu","non-dropping-particle":"V.","parse-names":false,"suffix":""},{"dropping-particle":"","family":"Hill","given":"Michelle L.","non-dropping-particle":"","parse-names":false,"suffix":""},{"dropping-particle":"","family":"Kiappes","given":"J.L.","non-dropping-particle":"","parse-names":false,"suffix":""},{"dropping-particle":"","family":"Dwek","given":"Raymond A.","non-dropping-particle":"","parse-names":false,"suffix":""},{"dropping-particle":"","family":"Alonzi","given":"Dominic S.","non-dropping-particle":"","parse-names":false,"suffix":""},{"dropping-particle":"","family":"Struwe","given":"Weston B.","non-dropping-particle":"","parse-names":false,"suffix":""},{"dropping-particle":"","family":"Zitzmann","given":"Nicole","non-dropping-particle":"","parse-names":false,"suffix":""}],"container-title":"ACS Central Science","id":"ITEM-1","issue":"4","issued":{"date-parts":[["2021","4","28"]]},"page":"586-593","publisher":"American Chemical Society","title":"Assessing Antigen Structural Integrity through Glycosylation Analysis of the SARS-CoV-2 Viral Spike","type":"article-journal","volume":"7"},"uris":["http://www.mendeley.com/documents/?uuid=9cbc9a16-22a7-39dd-b125-9af24f1a49b9"]}],"mendeley":{"formattedCitation":"&lt;sup&gt;90&lt;/sup&gt;","plainTextFormattedCitation":"90","previouslyFormattedCitation":"&lt;sup&gt;90&lt;/sup&gt;"},"properties":{"noteIndex":0},"schema":"https://github.com/citation-style-language/schema/raw/master/csl-citation.json"}</w:instrText>
      </w:r>
      <w:r w:rsidR="00ED58B4">
        <w:rPr>
          <w:rFonts w:ascii="Arial" w:hAnsi="Arial" w:cs="Arial"/>
          <w:sz w:val="24"/>
          <w:szCs w:val="24"/>
        </w:rPr>
        <w:fldChar w:fldCharType="separate"/>
      </w:r>
      <w:r w:rsidR="00ED58B4" w:rsidRPr="00ED58B4">
        <w:rPr>
          <w:rFonts w:ascii="Arial" w:hAnsi="Arial" w:cs="Arial"/>
          <w:noProof/>
          <w:sz w:val="24"/>
          <w:szCs w:val="24"/>
          <w:vertAlign w:val="superscript"/>
        </w:rPr>
        <w:t>90</w:t>
      </w:r>
      <w:r w:rsidR="00ED58B4">
        <w:rPr>
          <w:rFonts w:ascii="Arial" w:hAnsi="Arial" w:cs="Arial"/>
          <w:sz w:val="24"/>
          <w:szCs w:val="24"/>
        </w:rPr>
        <w:fldChar w:fldCharType="end"/>
      </w:r>
      <w:r w:rsidR="00ED58B4">
        <w:rPr>
          <w:rFonts w:ascii="Arial" w:hAnsi="Arial" w:cs="Arial"/>
          <w:sz w:val="24"/>
          <w:szCs w:val="24"/>
        </w:rPr>
        <w:t>.</w:t>
      </w:r>
    </w:p>
    <w:p w14:paraId="02ADFE8A" w14:textId="77777777" w:rsidR="007A5564" w:rsidRPr="006B3D43" w:rsidRDefault="007A5564" w:rsidP="006B3D43">
      <w:pPr>
        <w:spacing w:line="360" w:lineRule="auto"/>
        <w:jc w:val="both"/>
        <w:rPr>
          <w:rFonts w:ascii="Arial" w:hAnsi="Arial" w:cs="Arial"/>
          <w:b/>
          <w:bCs/>
          <w:sz w:val="24"/>
          <w:szCs w:val="24"/>
        </w:rPr>
      </w:pPr>
      <w:r w:rsidRPr="006B3D43">
        <w:rPr>
          <w:rFonts w:ascii="Arial" w:hAnsi="Arial" w:cs="Arial"/>
          <w:b/>
          <w:bCs/>
          <w:sz w:val="24"/>
          <w:szCs w:val="24"/>
        </w:rPr>
        <w:t>The expression of monomeric RBD constructs impacts glycan processing</w:t>
      </w:r>
    </w:p>
    <w:p w14:paraId="7EEB451A" w14:textId="01B1A032" w:rsidR="00CE4C3B" w:rsidRDefault="008D02CF" w:rsidP="006B3D43">
      <w:pPr>
        <w:spacing w:line="360" w:lineRule="auto"/>
        <w:jc w:val="both"/>
        <w:rPr>
          <w:rFonts w:ascii="Arial" w:hAnsi="Arial" w:cs="Arial"/>
          <w:sz w:val="24"/>
          <w:szCs w:val="24"/>
        </w:rPr>
      </w:pPr>
      <w:r>
        <w:rPr>
          <w:rFonts w:ascii="Arial" w:hAnsi="Arial" w:cs="Arial"/>
          <w:sz w:val="24"/>
          <w:szCs w:val="24"/>
        </w:rPr>
        <w:t>Our</w:t>
      </w:r>
      <w:r w:rsidR="007A5564" w:rsidRPr="006B3D43">
        <w:rPr>
          <w:rFonts w:ascii="Arial" w:hAnsi="Arial" w:cs="Arial"/>
          <w:sz w:val="24"/>
          <w:szCs w:val="24"/>
        </w:rPr>
        <w:t xml:space="preserve"> analysis demonstrates that </w:t>
      </w:r>
      <w:r>
        <w:rPr>
          <w:rFonts w:ascii="Arial" w:hAnsi="Arial" w:cs="Arial"/>
          <w:sz w:val="24"/>
          <w:szCs w:val="24"/>
        </w:rPr>
        <w:t xml:space="preserve">S protein </w:t>
      </w:r>
      <w:r w:rsidR="007A5564" w:rsidRPr="006B3D43">
        <w:rPr>
          <w:rFonts w:ascii="Arial" w:hAnsi="Arial" w:cs="Arial"/>
          <w:sz w:val="24"/>
          <w:szCs w:val="24"/>
        </w:rPr>
        <w:t xml:space="preserve">glycosylation is influenced by quaternary protein architecture, </w:t>
      </w:r>
      <w:r w:rsidR="00210E7A">
        <w:rPr>
          <w:rFonts w:ascii="Arial" w:hAnsi="Arial" w:cs="Arial"/>
          <w:sz w:val="24"/>
          <w:szCs w:val="24"/>
        </w:rPr>
        <w:t xml:space="preserve">and other </w:t>
      </w:r>
      <w:r w:rsidR="00CE7733">
        <w:rPr>
          <w:rFonts w:ascii="Arial" w:hAnsi="Arial" w:cs="Arial"/>
          <w:sz w:val="24"/>
          <w:szCs w:val="24"/>
        </w:rPr>
        <w:t>factors</w:t>
      </w:r>
      <w:r w:rsidR="00210E7A">
        <w:rPr>
          <w:rFonts w:ascii="Arial" w:hAnsi="Arial" w:cs="Arial"/>
          <w:sz w:val="24"/>
          <w:szCs w:val="24"/>
        </w:rPr>
        <w:t>.</w:t>
      </w:r>
      <w:r w:rsidR="007A5564" w:rsidRPr="006B3D43">
        <w:rPr>
          <w:rFonts w:ascii="Arial" w:hAnsi="Arial" w:cs="Arial"/>
          <w:sz w:val="24"/>
          <w:szCs w:val="24"/>
        </w:rPr>
        <w:t xml:space="preserve"> </w:t>
      </w:r>
      <w:r w:rsidR="00210E7A">
        <w:rPr>
          <w:rFonts w:ascii="Arial" w:hAnsi="Arial" w:cs="Arial"/>
          <w:sz w:val="24"/>
          <w:szCs w:val="24"/>
        </w:rPr>
        <w:t>W</w:t>
      </w:r>
      <w:r w:rsidR="007A5564" w:rsidRPr="006B3D43">
        <w:rPr>
          <w:rFonts w:ascii="Arial" w:hAnsi="Arial" w:cs="Arial"/>
          <w:sz w:val="24"/>
          <w:szCs w:val="24"/>
        </w:rPr>
        <w:t>e next sought to compare the glycosylation of soluble recombinant monomeric RBD with that of recombinant and viral derived trimeric S protein. We expressed and purified recombinant RBD and compared the site-specific glycosylation of the two glycan sites located in the RBD, N331 and N343, with those observed on recombinant S protein and viral derived S protein reported previously</w:t>
      </w:r>
      <w:r w:rsidR="002C75C9">
        <w:rPr>
          <w:rFonts w:ascii="Arial" w:hAnsi="Arial" w:cs="Arial"/>
          <w:sz w:val="24"/>
          <w:szCs w:val="24"/>
        </w:rPr>
        <w:t xml:space="preserve"> </w:t>
      </w:r>
      <w:r w:rsidR="00220E75" w:rsidRPr="006B3D43">
        <w:rPr>
          <w:rFonts w:ascii="Arial" w:hAnsi="Arial" w:cs="Arial"/>
          <w:sz w:val="24"/>
          <w:szCs w:val="24"/>
        </w:rPr>
        <w:fldChar w:fldCharType="begin" w:fldLock="1"/>
      </w:r>
      <w:r w:rsidR="007774B6">
        <w:rPr>
          <w:rFonts w:ascii="Arial" w:hAnsi="Arial" w:cs="Arial"/>
          <w:sz w:val="24"/>
          <w:szCs w:val="24"/>
        </w:rPr>
        <w:instrText xml:space="preserve">ADDIN CSL_CITATION {"citationItems":[{"id":"ITEM-1","itemData":{"DOI":"10.1126/science.abb9983","ISSN":"10959203","PMID":"32366695","abstract":"The emergence of the betacoronavirus, severe acute respiratory syndrome coronavirus 2 (SARS-CoV-2), the causative agent of coronavirus 2019 (COVID-19), represents a considerable threat to global human health. Vaccine development is focused on the principal target of the humoral immune response, the spike (S) glycoprotein, which mediates cell entry and membrane fusion. The SARS-CoV-2 S gene encodes 22 N-linked glycan sequons per protomer, which likely play a role in protein folding and immune evasion. Here, using a site-specific mass spectrometric approach, we reveal the glycan structures on a recombinant SARS-CoV-2 S immunogen. This analysis enables mapping of the glycan-processing states across the trimeric viral spike. We show how SARS-CoV-2 S glycans differ from typical host glycan processing, which may have implications in viral pathobiology and vaccine design.","author":[{"dropping-particle":"","family":"Watanabe","given":"Yasunori","non-dropping-particle":"","parse-names":false,"suffix":""},{"dropping-particle":"","family":"Allen","given":"Joel D.","non-dropping-particle":"","parse-names":false,"suffix":""},{"dropping-particle":"","family":"Wrapp","given":"Daniel","non-dropping-particle":"","parse-names":false,"suffix":""},{"dropping-particle":"","family":"McLellan","given":"Jason S.","non-dropping-particle":"","parse-names":false,"suffix":""},{"dropping-particle":"","family":"Crispin","given":"Max","non-dropping-particle":"","parse-names":false,"suffix":""}],"container-title":"Science","id":"ITEM-1","issue":"6501","issued":{"date-parts":[["2020"]]},"page":"330-333","title":"Site-specific glycan analysis of the SARS-CoV-2 spike","type":"article-journal","volume":"369"},"uris":["http://www.mendeley.com/documents/?uuid=80900bf0-6c44-4584-b433-aefacbb87aed"]},{"id":"ITEM-2","itemData":{"DOI":"10.1016/j.cell.2020.09.018","ISSN":"10974172","PMID":"32979942","abstract":"SARS-CoV-2 is an enveloped virus responsible for the COVID-19 pandemic. Despite recent advances in the structural elucidation of SARS-CoV-2 proteins, the detailed architecture of the intact virus remains to be unveiled. Here we report the molecular assembly of the authentic SARS-CoV-2 virus using cryoelectron tomography (cryo-ET) and subtomogram averaging (STA). Native structures of the S proteins in pre- and postfusion conformations were determined to average resolutions of 8.7–11 Å. Compositions of the N-linked glycans from the native spikes were analyzed by mass spectrometry, which revealed overall processing states of the native glycans highly similar to that of the recombinant glycoprotein glycans. The native conformation of the ribonucleoproteins (RNPs) and their higher-order assemblies were revealed. Overall, these characterizations revealed the architecture of the SARS-CoV-2 virus in exceptional detail and shed light on how the virus packs its </w:instrText>
      </w:r>
      <w:r w:rsidR="007774B6">
        <w:rPr>
          <w:rFonts w:ascii="Cambria Math" w:hAnsi="Cambria Math" w:cs="Cambria Math"/>
          <w:sz w:val="24"/>
          <w:szCs w:val="24"/>
        </w:rPr>
        <w:instrText>∼</w:instrText>
      </w:r>
      <w:r w:rsidR="007774B6">
        <w:rPr>
          <w:rFonts w:ascii="Arial" w:hAnsi="Arial" w:cs="Arial"/>
          <w:sz w:val="24"/>
          <w:szCs w:val="24"/>
        </w:rPr>
        <w:instrText xml:space="preserve">30-kb-long single-segmented RNA in the </w:instrText>
      </w:r>
      <w:r w:rsidR="007774B6">
        <w:rPr>
          <w:rFonts w:ascii="Cambria Math" w:hAnsi="Cambria Math" w:cs="Cambria Math"/>
          <w:sz w:val="24"/>
          <w:szCs w:val="24"/>
        </w:rPr>
        <w:instrText>∼</w:instrText>
      </w:r>
      <w:r w:rsidR="007774B6">
        <w:rPr>
          <w:rFonts w:ascii="Arial" w:hAnsi="Arial" w:cs="Arial"/>
          <w:sz w:val="24"/>
          <w:szCs w:val="24"/>
        </w:rPr>
        <w:instrText>80-nm-diameter lumen.","author":[{"dropping-particle":"","family":"Yao","given":"Hangping","non-dropping-particle":"","parse-names":false,"suffix":""},{"dropping-particle":"","family":"Song","given":"Yutong","non-dropping-particle":"","parse-names":false,"suffix":""},{"dropping-particle":"","family":"Chen","given":"Yong","non-dropping-particle":"","parse-names":false,"suffix":""},{"dropping-particle":"","family":"Wu","given":"Nanping","non-dropping-particle":"","parse-names":false,"suffix":""},{"dropping-particle":"","family":"Xu","given":"Jialu","non-dropping-particle":"","parse-names":false,"suffix":""},{"dropping-particle":"","family":"Sun","given":"Chujie","non-dropping-particle":"","parse-names":false,"suffix":""},{"dropping-particle":"","family":"Zhang","given":"Jiaxing","non-dropping-particle":"","parse-names":false,"suffix":""},{"dropping-particle":"","family":"Weng","given":"Tianhao","non-dropping-particle":"","parse-names":false,"suffix":""},{"dropping-particle":"","family":"Zhang","given":"Zheyuan","non-dropping-particle":"","parse-names":false,"suffix":""},{"dropping-particle":"","family":"Wu","given":"Zhigang","non-dropping-particle":"","parse-names":false,"suffix":""},{"dropping-particle":"","family":"Cheng","given":"Linfang","non-dropping-particle":"","parse-names":false,"suffix":""},{"dropping-particle":"","family":"Shi","given":"Danrong","non-dropping-particle":"","parse-names":false,"suffix":""},{"dropping-particle":"","family":"Lu","given":"Xiangyun","non-dropping-particle":"","parse-names":false,"suffix":""},{"dropping-particle":"","family":"Lei","given":"Jianlin","non-dropping-particle":"","parse-names":false,"suffix":""},{"dropping-particle":"","family":"Crispin","given":"Max","non-dropping-particle":"","parse-names":false,"suffix":""},{"dropping-particle":"","family":"Shi","given":"Yigong","non-dropping-particle":"","parse-names":false,"suffix":""},{"dropping-particle":"","family":"Li","given":"Lanjuan","non-dropping-particle":"","parse-names":false,"suffix":""},{"dropping-particle":"","family":"Li","given":"Sai","non-dropping-particle":"","parse-names":false,"suffix":""}],"container-title":"Cell","id":"ITEM-2","issue":"3","issued":{"date-parts":[["2020","10","29"]]},"page":"730-738.e13","publisher":"Cell Press","title":"Molecular Architecture of the SARS-CoV-2 Virus","type":"article-journal","volume":"183"},"uris":["http://www.mendeley.com/documents/?uuid=4662bd08-c13c-3a08-a219-3bcb464b7393"]}],"mendeley":{"formattedCitation":"&lt;sup&gt;7,32&lt;/sup&gt;","plainTextFormattedCitation":"7,32","previouslyFormattedCitation":"&lt;sup&gt;7,32&lt;/sup&gt;"},"properties":{"noteIndex":0},"schema":"https://github.com/citation-style-language/schema/raw/master/csl-citation.json"}</w:instrText>
      </w:r>
      <w:r w:rsidR="00220E75" w:rsidRPr="006B3D43">
        <w:rPr>
          <w:rFonts w:ascii="Arial" w:hAnsi="Arial" w:cs="Arial"/>
          <w:sz w:val="24"/>
          <w:szCs w:val="24"/>
        </w:rPr>
        <w:fldChar w:fldCharType="separate"/>
      </w:r>
      <w:r w:rsidR="007774B6" w:rsidRPr="007774B6">
        <w:rPr>
          <w:rFonts w:ascii="Arial" w:hAnsi="Arial" w:cs="Arial"/>
          <w:noProof/>
          <w:sz w:val="24"/>
          <w:szCs w:val="24"/>
          <w:vertAlign w:val="superscript"/>
        </w:rPr>
        <w:t>7,32</w:t>
      </w:r>
      <w:r w:rsidR="00220E75" w:rsidRPr="006B3D43">
        <w:rPr>
          <w:rFonts w:ascii="Arial" w:hAnsi="Arial" w:cs="Arial"/>
          <w:sz w:val="24"/>
          <w:szCs w:val="24"/>
        </w:rPr>
        <w:fldChar w:fldCharType="end"/>
      </w:r>
      <w:r w:rsidR="007A5564" w:rsidRPr="006B3D43">
        <w:rPr>
          <w:rFonts w:ascii="Arial" w:hAnsi="Arial" w:cs="Arial"/>
          <w:sz w:val="24"/>
          <w:szCs w:val="24"/>
        </w:rPr>
        <w:t>. Overall</w:t>
      </w:r>
      <w:r w:rsidR="00153A88" w:rsidRPr="006B3D43">
        <w:rPr>
          <w:rFonts w:ascii="Arial" w:hAnsi="Arial" w:cs="Arial"/>
          <w:sz w:val="24"/>
          <w:szCs w:val="24"/>
        </w:rPr>
        <w:t>,</w:t>
      </w:r>
      <w:r w:rsidR="007A5564" w:rsidRPr="006B3D43">
        <w:rPr>
          <w:rFonts w:ascii="Arial" w:hAnsi="Arial" w:cs="Arial"/>
          <w:sz w:val="24"/>
          <w:szCs w:val="24"/>
        </w:rPr>
        <w:t xml:space="preserve"> the N331 and N343 </w:t>
      </w:r>
      <w:r w:rsidR="00153A88" w:rsidRPr="006B3D43">
        <w:rPr>
          <w:rFonts w:ascii="Arial" w:hAnsi="Arial" w:cs="Arial"/>
          <w:sz w:val="24"/>
          <w:szCs w:val="24"/>
        </w:rPr>
        <w:t xml:space="preserve">glycans </w:t>
      </w:r>
      <w:r w:rsidR="007A5564" w:rsidRPr="006B3D43">
        <w:rPr>
          <w:rFonts w:ascii="Arial" w:hAnsi="Arial" w:cs="Arial"/>
          <w:sz w:val="24"/>
          <w:szCs w:val="24"/>
        </w:rPr>
        <w:t>across all expression formats were highly processed, with little to no oligomannose-type glycans detected (</w:t>
      </w:r>
      <w:r w:rsidR="007A5564" w:rsidRPr="006B3D43">
        <w:rPr>
          <w:rFonts w:ascii="Arial" w:hAnsi="Arial" w:cs="Arial"/>
          <w:b/>
          <w:bCs/>
          <w:sz w:val="24"/>
          <w:szCs w:val="24"/>
        </w:rPr>
        <w:t>Figure 3</w:t>
      </w:r>
      <w:r w:rsidR="00522C55" w:rsidRPr="006B3D43">
        <w:rPr>
          <w:rFonts w:ascii="Arial" w:hAnsi="Arial" w:cs="Arial"/>
          <w:b/>
          <w:bCs/>
          <w:sz w:val="24"/>
          <w:szCs w:val="24"/>
        </w:rPr>
        <w:t xml:space="preserve">A </w:t>
      </w:r>
      <w:r w:rsidR="00522C55" w:rsidRPr="002E1FAC">
        <w:rPr>
          <w:rFonts w:ascii="Arial" w:hAnsi="Arial" w:cs="Arial"/>
          <w:sz w:val="24"/>
          <w:szCs w:val="24"/>
        </w:rPr>
        <w:t>and</w:t>
      </w:r>
      <w:r w:rsidR="00522C55" w:rsidRPr="006B3D43">
        <w:rPr>
          <w:rFonts w:ascii="Arial" w:hAnsi="Arial" w:cs="Arial"/>
          <w:b/>
          <w:bCs/>
          <w:sz w:val="24"/>
          <w:szCs w:val="24"/>
        </w:rPr>
        <w:t xml:space="preserve"> B</w:t>
      </w:r>
      <w:r w:rsidR="00DC70F7">
        <w:rPr>
          <w:rFonts w:ascii="Arial" w:hAnsi="Arial" w:cs="Arial"/>
          <w:b/>
          <w:bCs/>
          <w:sz w:val="24"/>
          <w:szCs w:val="24"/>
        </w:rPr>
        <w:t>;</w:t>
      </w:r>
      <w:r w:rsidR="007A5564" w:rsidRPr="006B3D43">
        <w:rPr>
          <w:rFonts w:ascii="Arial" w:hAnsi="Arial" w:cs="Arial"/>
          <w:b/>
          <w:bCs/>
          <w:sz w:val="24"/>
          <w:szCs w:val="24"/>
        </w:rPr>
        <w:t xml:space="preserve"> </w:t>
      </w:r>
      <w:r w:rsidR="007A5564" w:rsidRPr="002E1FAC">
        <w:rPr>
          <w:rFonts w:ascii="Arial" w:hAnsi="Arial" w:cs="Arial"/>
          <w:sz w:val="24"/>
          <w:szCs w:val="24"/>
        </w:rPr>
        <w:t>and</w:t>
      </w:r>
      <w:r w:rsidR="007A5564" w:rsidRPr="006B3D43">
        <w:rPr>
          <w:rFonts w:ascii="Arial" w:hAnsi="Arial" w:cs="Arial"/>
          <w:b/>
          <w:bCs/>
          <w:sz w:val="24"/>
          <w:szCs w:val="24"/>
        </w:rPr>
        <w:t xml:space="preserve"> </w:t>
      </w:r>
      <w:r w:rsidR="00F30EED">
        <w:rPr>
          <w:rFonts w:ascii="Arial" w:hAnsi="Arial" w:cs="Arial"/>
          <w:b/>
          <w:bCs/>
          <w:sz w:val="24"/>
          <w:szCs w:val="24"/>
        </w:rPr>
        <w:t>Table S3</w:t>
      </w:r>
      <w:r w:rsidR="007A5564" w:rsidRPr="006B3D43">
        <w:rPr>
          <w:rFonts w:ascii="Arial" w:hAnsi="Arial" w:cs="Arial"/>
          <w:sz w:val="24"/>
          <w:szCs w:val="24"/>
        </w:rPr>
        <w:t>). For the RBD sites presented on viral derived S protein</w:t>
      </w:r>
      <w:r w:rsidR="00B42828">
        <w:rPr>
          <w:rFonts w:ascii="Arial" w:hAnsi="Arial" w:cs="Arial"/>
          <w:sz w:val="24"/>
          <w:szCs w:val="24"/>
        </w:rPr>
        <w:t>,</w:t>
      </w:r>
      <w:r w:rsidR="007A5564" w:rsidRPr="006B3D43">
        <w:rPr>
          <w:rFonts w:ascii="Arial" w:hAnsi="Arial" w:cs="Arial"/>
          <w:sz w:val="24"/>
          <w:szCs w:val="24"/>
        </w:rPr>
        <w:t xml:space="preserve"> the complex-type glycans observed were similar to those observed at N282 with most of the PNGS occupied by bi- and tri-antennary glycans (</w:t>
      </w:r>
      <w:proofErr w:type="gramStart"/>
      <w:r w:rsidR="007A5564" w:rsidRPr="006B3D43">
        <w:rPr>
          <w:rFonts w:ascii="Arial" w:hAnsi="Arial" w:cs="Arial"/>
          <w:sz w:val="24"/>
          <w:szCs w:val="24"/>
        </w:rPr>
        <w:t>HexNAc(</w:t>
      </w:r>
      <w:proofErr w:type="gramEnd"/>
      <w:r w:rsidR="007A5564" w:rsidRPr="006B3D43">
        <w:rPr>
          <w:rFonts w:ascii="Arial" w:hAnsi="Arial" w:cs="Arial"/>
          <w:sz w:val="24"/>
          <w:szCs w:val="24"/>
        </w:rPr>
        <w:t>4) and HexNAc(5))</w:t>
      </w:r>
      <w:r w:rsidR="00522C55" w:rsidRPr="006B3D43">
        <w:rPr>
          <w:rFonts w:ascii="Arial" w:hAnsi="Arial" w:cs="Arial"/>
          <w:sz w:val="24"/>
          <w:szCs w:val="24"/>
        </w:rPr>
        <w:t xml:space="preserve"> (</w:t>
      </w:r>
      <w:r w:rsidR="00522C55" w:rsidRPr="006B3D43">
        <w:rPr>
          <w:rFonts w:ascii="Arial" w:hAnsi="Arial" w:cs="Arial"/>
          <w:b/>
          <w:bCs/>
          <w:sz w:val="24"/>
          <w:szCs w:val="24"/>
        </w:rPr>
        <w:t>Figure 3A</w:t>
      </w:r>
      <w:r w:rsidR="00522C55" w:rsidRPr="006B3D43">
        <w:rPr>
          <w:rFonts w:ascii="Arial" w:hAnsi="Arial" w:cs="Arial"/>
          <w:sz w:val="24"/>
          <w:szCs w:val="24"/>
        </w:rPr>
        <w:t>)</w:t>
      </w:r>
      <w:r w:rsidR="007A5564" w:rsidRPr="006B3D43">
        <w:rPr>
          <w:rFonts w:ascii="Arial" w:hAnsi="Arial" w:cs="Arial"/>
          <w:sz w:val="24"/>
          <w:szCs w:val="24"/>
        </w:rPr>
        <w:t>. The majority of these glycans were fucosylated, however</w:t>
      </w:r>
      <w:r w:rsidR="001E596A" w:rsidRPr="006B3D43">
        <w:rPr>
          <w:rFonts w:ascii="Arial" w:hAnsi="Arial" w:cs="Arial"/>
          <w:sz w:val="24"/>
          <w:szCs w:val="24"/>
        </w:rPr>
        <w:t>,</w:t>
      </w:r>
      <w:r w:rsidR="007A5564" w:rsidRPr="006B3D43">
        <w:rPr>
          <w:rFonts w:ascii="Arial" w:hAnsi="Arial" w:cs="Arial"/>
          <w:sz w:val="24"/>
          <w:szCs w:val="24"/>
        </w:rPr>
        <w:t xml:space="preserve"> a large proportion of the complex type-glycans on viral derived S lacked fucosylation (24% N331 and 20% N343). As with other sites on the viral derived S protein</w:t>
      </w:r>
      <w:r w:rsidR="00B42828">
        <w:rPr>
          <w:rFonts w:ascii="Arial" w:hAnsi="Arial" w:cs="Arial"/>
          <w:sz w:val="24"/>
          <w:szCs w:val="24"/>
        </w:rPr>
        <w:t>,</w:t>
      </w:r>
      <w:r w:rsidR="007A5564" w:rsidRPr="006B3D43">
        <w:rPr>
          <w:rFonts w:ascii="Arial" w:hAnsi="Arial" w:cs="Arial"/>
          <w:sz w:val="24"/>
          <w:szCs w:val="24"/>
        </w:rPr>
        <w:t xml:space="preserve"> minimal levels of sialylation were observed and the majority of glycans possessed at least 1 galactose residue. </w:t>
      </w:r>
    </w:p>
    <w:p w14:paraId="6BF6E8BD" w14:textId="1CC754A4" w:rsidR="00B92154" w:rsidRPr="006B3D43" w:rsidRDefault="00B566E3" w:rsidP="006B3D43">
      <w:pPr>
        <w:spacing w:line="360" w:lineRule="auto"/>
        <w:jc w:val="both"/>
        <w:rPr>
          <w:rFonts w:ascii="Arial" w:hAnsi="Arial" w:cs="Arial"/>
          <w:sz w:val="24"/>
          <w:szCs w:val="24"/>
        </w:rPr>
      </w:pPr>
      <w:r>
        <w:rPr>
          <w:noProof/>
        </w:rPr>
        <w:lastRenderedPageBreak/>
        <w:drawing>
          <wp:inline distT="0" distB="0" distL="0" distR="0" wp14:anchorId="1C8C93A8" wp14:editId="339EF86E">
            <wp:extent cx="5731510" cy="481774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817745"/>
                    </a:xfrm>
                    <a:prstGeom prst="rect">
                      <a:avLst/>
                    </a:prstGeom>
                    <a:noFill/>
                    <a:ln>
                      <a:noFill/>
                    </a:ln>
                  </pic:spPr>
                </pic:pic>
              </a:graphicData>
            </a:graphic>
          </wp:inline>
        </w:drawing>
      </w:r>
    </w:p>
    <w:p w14:paraId="7C3178D1" w14:textId="0DC07DA1" w:rsidR="007A5564" w:rsidRDefault="007A5564" w:rsidP="006B3D43">
      <w:pPr>
        <w:spacing w:line="240" w:lineRule="auto"/>
        <w:jc w:val="both"/>
        <w:rPr>
          <w:rFonts w:ascii="Arial" w:hAnsi="Arial" w:cs="Arial"/>
          <w:sz w:val="24"/>
          <w:szCs w:val="24"/>
        </w:rPr>
      </w:pPr>
      <w:r w:rsidRPr="006B3D43">
        <w:rPr>
          <w:rFonts w:ascii="Arial" w:hAnsi="Arial" w:cs="Arial"/>
          <w:b/>
          <w:bCs/>
          <w:sz w:val="24"/>
          <w:szCs w:val="24"/>
        </w:rPr>
        <w:t>Figure 3: Comparative analysis of the glycosylation of the two PNGS on the RBD for viral derived S protein, recombinant S protein and monomeric RBD.</w:t>
      </w:r>
      <w:r w:rsidR="00B84C96" w:rsidRPr="006B3D43">
        <w:rPr>
          <w:rFonts w:ascii="Arial" w:hAnsi="Arial" w:cs="Arial"/>
          <w:b/>
          <w:bCs/>
          <w:sz w:val="24"/>
          <w:szCs w:val="24"/>
        </w:rPr>
        <w:t xml:space="preserve"> (A)</w:t>
      </w:r>
      <w:r w:rsidR="00B84C96" w:rsidRPr="006B3D43">
        <w:rPr>
          <w:rFonts w:ascii="Arial" w:hAnsi="Arial" w:cs="Arial"/>
          <w:sz w:val="24"/>
          <w:szCs w:val="24"/>
        </w:rPr>
        <w:t xml:space="preserve"> Detailed site-specific glycan compositions of the two sites located in the RBD of SARS-CoV-2. Recombinant S protein data is reproduced from Chawla et al.</w:t>
      </w:r>
      <w:r w:rsidR="00C71D29">
        <w:rPr>
          <w:rFonts w:ascii="Arial" w:hAnsi="Arial" w:cs="Arial"/>
          <w:sz w:val="24"/>
          <w:szCs w:val="24"/>
        </w:rPr>
        <w:t xml:space="preserve"> (unpublished)</w:t>
      </w:r>
      <w:r w:rsidR="00B84C96" w:rsidRPr="006B3D43">
        <w:rPr>
          <w:rFonts w:ascii="Arial" w:hAnsi="Arial" w:cs="Arial"/>
          <w:sz w:val="24"/>
          <w:szCs w:val="24"/>
        </w:rPr>
        <w:t xml:space="preserve"> and data for the viral S protein RBD sites was obtained from Yao et al.</w:t>
      </w:r>
      <w:r w:rsidR="002C75C9">
        <w:rPr>
          <w:rFonts w:ascii="Arial" w:hAnsi="Arial" w:cs="Arial"/>
          <w:sz w:val="24"/>
          <w:szCs w:val="24"/>
        </w:rPr>
        <w:t xml:space="preserve"> </w:t>
      </w:r>
      <w:r w:rsidR="003712D5" w:rsidRPr="006B3D43">
        <w:rPr>
          <w:rFonts w:ascii="Arial" w:hAnsi="Arial" w:cs="Arial"/>
          <w:sz w:val="24"/>
          <w:szCs w:val="24"/>
        </w:rPr>
        <w:fldChar w:fldCharType="begin" w:fldLock="1"/>
      </w:r>
      <w:r w:rsidR="007774B6">
        <w:rPr>
          <w:rFonts w:ascii="Arial" w:hAnsi="Arial" w:cs="Arial"/>
          <w:sz w:val="24"/>
          <w:szCs w:val="24"/>
        </w:rPr>
        <w:instrText xml:space="preserve">ADDIN CSL_CITATION {"citationItems":[{"id":"ITEM-1","itemData":{"DOI":"10.1016/j.cell.2020.09.018","ISSN":"10974172","PMID":"32979942","abstract":"SARS-CoV-2 is an enveloped virus responsible for the COVID-19 pandemic. Despite recent advances in the structural elucidation of SARS-CoV-2 proteins, the detailed architecture of the intact virus remains to be unveiled. Here we report the molecular assembly of the authentic SARS-CoV-2 virus using cryoelectron tomography (cryo-ET) and subtomogram averaging (STA). Native structures of the S proteins in pre- and postfusion conformations were determined to average resolutions of 8.7–11 Å. Compositions of the N-linked glycans from the native spikes were analyzed by mass spectrometry, which revealed overall processing states of the native glycans highly similar to that of the recombinant glycoprotein glycans. The native conformation of the ribonucleoproteins (RNPs) and their higher-order assemblies were revealed. Overall, these characterizations revealed the architecture of the SARS-CoV-2 virus in exceptional detail and shed light on how the virus packs its </w:instrText>
      </w:r>
      <w:r w:rsidR="007774B6">
        <w:rPr>
          <w:rFonts w:ascii="Cambria Math" w:hAnsi="Cambria Math" w:cs="Cambria Math"/>
          <w:sz w:val="24"/>
          <w:szCs w:val="24"/>
        </w:rPr>
        <w:instrText>∼</w:instrText>
      </w:r>
      <w:r w:rsidR="007774B6">
        <w:rPr>
          <w:rFonts w:ascii="Arial" w:hAnsi="Arial" w:cs="Arial"/>
          <w:sz w:val="24"/>
          <w:szCs w:val="24"/>
        </w:rPr>
        <w:instrText xml:space="preserve">30-kb-long single-segmented RNA in the </w:instrText>
      </w:r>
      <w:r w:rsidR="007774B6">
        <w:rPr>
          <w:rFonts w:ascii="Cambria Math" w:hAnsi="Cambria Math" w:cs="Cambria Math"/>
          <w:sz w:val="24"/>
          <w:szCs w:val="24"/>
        </w:rPr>
        <w:instrText>∼</w:instrText>
      </w:r>
      <w:r w:rsidR="007774B6">
        <w:rPr>
          <w:rFonts w:ascii="Arial" w:hAnsi="Arial" w:cs="Arial"/>
          <w:sz w:val="24"/>
          <w:szCs w:val="24"/>
        </w:rPr>
        <w:instrText>80-nm-diameter lumen.","author":[{"dropping-particle":"","family":"Yao","given":"Hangping","non-dropping-particle":"","parse-names":false,"suffix":""},{"dropping-particle":"","family":"Song","given":"Yutong","non-dropping-particle":"","parse-names":false,"suffix":""},{"dropping-particle":"","family":"Chen","given":"Yong","non-dropping-particle":"","parse-names":false,"suffix":""},{"dropping-particle":"","family":"Wu","given":"Nanping","non-dropping-particle":"","parse-names":false,"suffix":""},{"dropping-particle":"","family":"Xu","given":"Jialu","non-dropping-particle":"","parse-names":false,"suffix":""},{"dropping-particle":"","family":"Sun","given":"Chujie","non-dropping-particle":"","parse-names":false,"suffix":""},{"dropping-particle":"","family":"Zhang","given":"Jiaxing","non-dropping-particle":"","parse-names":false,"suffix":""},{"dropping-particle":"","family":"Weng","given":"Tianhao","non-dropping-particle":"","parse-names":false,"suffix":""},{"dropping-particle":"","family":"Zhang","given":"Zheyuan","non-dropping-particle":"","parse-names":false,"suffix":""},{"dropping-particle":"","family":"Wu","given":"Zhigang","non-dropping-particle":"","parse-names":false,"suffix":""},{"dropping-particle":"","family":"Cheng","given":"Linfang","non-dropping-particle":"","parse-names":false,"suffix":""},{"dropping-particle":"","family":"Shi","given":"Danrong","non-dropping-particle":"","parse-names":false,"suffix":""},{"dropping-particle":"","family":"Lu","given":"Xiangyun","non-dropping-particle":"","parse-names":false,"suffix":""},{"dropping-particle":"","family":"Lei","given":"Jianlin","non-dropping-particle":"","parse-names":false,"suffix":""},{"dropping-particle":"","family":"Crispin","given":"Max","non-dropping-particle":"","parse-names":false,"suffix":""},{"dropping-particle":"","family":"Shi","given":"Yigong","non-dropping-particle":"","parse-names":false,"suffix":""},{"dropping-particle":"","family":"Li","given":"Lanjuan","non-dropping-particle":"","parse-names":false,"suffix":""},{"dropping-particle":"","family":"Li","given":"Sai","non-dropping-particle":"","parse-names":false,"suffix":""}],"container-title":"Cell","id":"ITEM-1","issue":"3","issued":{"date-parts":[["2020","10","29"]]},"page":"730-738.e13","publisher":"Cell Press","title":"Molecular Architecture of the SARS-CoV-2 Virus","type":"article-journal","volume":"183"},"uris":["http://www.mendeley.com/documents/?uuid=4662bd08-c13c-3a08-a219-3bcb464b7393"]}],"mendeley":{"formattedCitation":"&lt;sup&gt;32&lt;/sup&gt;","plainTextFormattedCitation":"32","previouslyFormattedCitation":"&lt;sup&gt;32&lt;/sup&gt;"},"properties":{"noteIndex":0},"schema":"https://github.com/citation-style-language/schema/raw/master/csl-citation.json"}</w:instrText>
      </w:r>
      <w:r w:rsidR="003712D5" w:rsidRPr="006B3D43">
        <w:rPr>
          <w:rFonts w:ascii="Arial" w:hAnsi="Arial" w:cs="Arial"/>
          <w:sz w:val="24"/>
          <w:szCs w:val="24"/>
        </w:rPr>
        <w:fldChar w:fldCharType="separate"/>
      </w:r>
      <w:r w:rsidR="007774B6" w:rsidRPr="007774B6">
        <w:rPr>
          <w:rFonts w:ascii="Arial" w:hAnsi="Arial" w:cs="Arial"/>
          <w:noProof/>
          <w:sz w:val="24"/>
          <w:szCs w:val="24"/>
          <w:vertAlign w:val="superscript"/>
        </w:rPr>
        <w:t>32</w:t>
      </w:r>
      <w:r w:rsidR="003712D5" w:rsidRPr="006B3D43">
        <w:rPr>
          <w:rFonts w:ascii="Arial" w:hAnsi="Arial" w:cs="Arial"/>
          <w:sz w:val="24"/>
          <w:szCs w:val="24"/>
        </w:rPr>
        <w:fldChar w:fldCharType="end"/>
      </w:r>
      <w:r w:rsidR="003712D5" w:rsidRPr="006B3D43">
        <w:rPr>
          <w:rFonts w:ascii="Arial" w:hAnsi="Arial" w:cs="Arial"/>
          <w:sz w:val="24"/>
          <w:szCs w:val="24"/>
        </w:rPr>
        <w:t xml:space="preserve">. Site-specific glycan data is presented as outlined in Figure 2. </w:t>
      </w:r>
      <w:r w:rsidR="003712D5" w:rsidRPr="006B3D43">
        <w:rPr>
          <w:rFonts w:ascii="Arial" w:hAnsi="Arial" w:cs="Arial"/>
          <w:b/>
          <w:bCs/>
          <w:sz w:val="24"/>
          <w:szCs w:val="24"/>
        </w:rPr>
        <w:t xml:space="preserve">(B) </w:t>
      </w:r>
      <w:r w:rsidR="003712D5" w:rsidRPr="006B3D43">
        <w:rPr>
          <w:rFonts w:ascii="Arial" w:hAnsi="Arial" w:cs="Arial"/>
          <w:sz w:val="24"/>
          <w:szCs w:val="24"/>
        </w:rPr>
        <w:t xml:space="preserve">Site-specific compositions for N-glycan sites located in the RBD of MERS-CoV when expressed as part of a soluble recombinant S </w:t>
      </w:r>
      <w:proofErr w:type="gramStart"/>
      <w:r w:rsidR="003712D5" w:rsidRPr="006B3D43">
        <w:rPr>
          <w:rFonts w:ascii="Arial" w:hAnsi="Arial" w:cs="Arial"/>
          <w:sz w:val="24"/>
          <w:szCs w:val="24"/>
        </w:rPr>
        <w:t>protein</w:t>
      </w:r>
      <w:r w:rsidR="00205EF5">
        <w:rPr>
          <w:rFonts w:ascii="Arial" w:hAnsi="Arial" w:cs="Arial"/>
          <w:sz w:val="24"/>
          <w:szCs w:val="24"/>
        </w:rPr>
        <w:t xml:space="preserve">  </w:t>
      </w:r>
      <w:r w:rsidR="003712D5" w:rsidRPr="006B3D43">
        <w:rPr>
          <w:rFonts w:ascii="Arial" w:hAnsi="Arial" w:cs="Arial"/>
          <w:sz w:val="24"/>
          <w:szCs w:val="24"/>
        </w:rPr>
        <w:t>compared</w:t>
      </w:r>
      <w:proofErr w:type="gramEnd"/>
      <w:r w:rsidR="003712D5" w:rsidRPr="006B3D43">
        <w:rPr>
          <w:rFonts w:ascii="Arial" w:hAnsi="Arial" w:cs="Arial"/>
          <w:sz w:val="24"/>
          <w:szCs w:val="24"/>
        </w:rPr>
        <w:t xml:space="preserve"> to RBD-only.</w:t>
      </w:r>
      <w:r w:rsidR="001A44D9">
        <w:rPr>
          <w:rFonts w:ascii="Arial" w:hAnsi="Arial" w:cs="Arial"/>
          <w:sz w:val="24"/>
          <w:szCs w:val="24"/>
        </w:rPr>
        <w:t xml:space="preserve"> Data for the MERS-CoV S protein were obtained from a previous study </w:t>
      </w:r>
      <w:r w:rsidR="001A44D9">
        <w:rPr>
          <w:rFonts w:ascii="Arial" w:hAnsi="Arial" w:cs="Arial"/>
          <w:sz w:val="24"/>
          <w:szCs w:val="24"/>
        </w:rPr>
        <w:fldChar w:fldCharType="begin" w:fldLock="1"/>
      </w:r>
      <w:r w:rsidR="009E22F0">
        <w:rPr>
          <w:rFonts w:ascii="Arial" w:hAnsi="Arial" w:cs="Arial"/>
          <w:sz w:val="24"/>
          <w:szCs w:val="24"/>
        </w:rPr>
        <w:instrText>ADDIN CSL_CITATION {"citationItems":[{"id":"ITEM-1","itemData":{"DOI":"10.1038/s41467-020-16567-0","ISSN":"2041-1723","PMID":"32461612","abstract":"Severe acute respiratory syndrome (SARS) and Middle East respiratory syndrome (MERS) coronaviruses (CoVs) are zoonotic pathogens with high fatality rates and pandemic potential. Vaccine development focuses on the principal target of the neutralizing humoral immune response, the spike (S) glycoprotein. Coronavirus S proteins are extensively glycosylated, encoding around 66–87 N-linked glycosylation sites per trimeric spike. Here, we reveal a specific area of high glycan density on MERS S that results in the formation of oligomannose-type glycan clusters, which were absent on SARS and HKU1 CoVs. We provide a comparison of the global glycan density of coronavirus spikes with other viral proteins including HIV-1 envelope, Lassa virus glycoprotein complex, and influenza hemagglutinin, where glycosylation plays a known role in shielding immunogenic epitopes. Overall, our data reveal how organisation of glycosylation across class I viral fusion proteins influence not only individual glycan compositions but also the immunological pressure across the protein surface.","author":[{"dropping-particle":"","family":"Watanabe","given":"Yasunori","non-dropping-particle":"","parse-names":false,"suffix":""},{"dropping-particle":"","family":"Berndsen","given":"Zachary T.","non-dropping-particle":"","parse-names":false,"suffix":""},{"dropping-particle":"","family":"Raghwani","given":"Jayna","non-dropping-particle":"","parse-names":false,"suffix":""},{"dropping-particle":"","family":"Seabright","given":"Gemma E.","non-dropping-particle":"","parse-names":false,"suffix":""},{"dropping-particle":"","family":"Allen","given":"Joel D.","non-dropping-particle":"","parse-names":false,"suffix":""},{"dropping-particle":"","family":"Pybus","given":"Oliver G.","non-dropping-particle":"","parse-names":false,"suffix":""},{"dropping-particle":"","family":"McLellan","given":"Jason S.","non-dropping-particle":"","parse-names":false,"suffix":""},{"dropping-particle":"","family":"Wilson","given":"Ian A.","non-dropping-particle":"","parse-names":false,"suffix":""},{"dropping-particle":"","family":"Bowden","given":"Thomas A.","non-dropping-particle":"","parse-names":false,"suffix":""},{"dropping-particle":"","family":"Ward","given":"Andrew B.","non-dropping-particle":"","parse-names":false,"suffix":""},{"dropping-particle":"","family":"Crispin","given":"Max","non-dropping-particle":"","parse-names":false,"suffix":""}],"container-title":"Nature Communications","id":"ITEM-1","issue":"1","issued":{"date-parts":[["2020","12","27"]]},"page":"2688","title":"Vulnerabilities in coronavirus glycan shields despite extensive glycosylation","type":"article-journal","volume":"11"},"uris":["http://www.mendeley.com/documents/?uuid=62b5697a-14ff-4854-ad3e-7fa80182924c"]}],"mendeley":{"formattedCitation":"&lt;sup&gt;51&lt;/sup&gt;","plainTextFormattedCitation":"51","previouslyFormattedCitation":"&lt;sup&gt;51&lt;/sup&gt;"},"properties":{"noteIndex":0},"schema":"https://github.com/citation-style-language/schema/raw/master/csl-citation.json"}</w:instrText>
      </w:r>
      <w:r w:rsidR="001A44D9">
        <w:rPr>
          <w:rFonts w:ascii="Arial" w:hAnsi="Arial" w:cs="Arial"/>
          <w:sz w:val="24"/>
          <w:szCs w:val="24"/>
        </w:rPr>
        <w:fldChar w:fldCharType="separate"/>
      </w:r>
      <w:r w:rsidR="007774B6" w:rsidRPr="007774B6">
        <w:rPr>
          <w:rFonts w:ascii="Arial" w:hAnsi="Arial" w:cs="Arial"/>
          <w:noProof/>
          <w:sz w:val="24"/>
          <w:szCs w:val="24"/>
          <w:vertAlign w:val="superscript"/>
        </w:rPr>
        <w:t>51</w:t>
      </w:r>
      <w:r w:rsidR="001A44D9">
        <w:rPr>
          <w:rFonts w:ascii="Arial" w:hAnsi="Arial" w:cs="Arial"/>
          <w:sz w:val="24"/>
          <w:szCs w:val="24"/>
        </w:rPr>
        <w:fldChar w:fldCharType="end"/>
      </w:r>
      <w:r w:rsidR="001A44D9">
        <w:rPr>
          <w:rFonts w:ascii="Arial" w:hAnsi="Arial" w:cs="Arial"/>
          <w:sz w:val="24"/>
          <w:szCs w:val="24"/>
        </w:rPr>
        <w:t>.</w:t>
      </w:r>
      <w:r w:rsidR="003712D5" w:rsidRPr="006B3D43">
        <w:rPr>
          <w:rFonts w:ascii="Arial" w:hAnsi="Arial" w:cs="Arial"/>
          <w:sz w:val="24"/>
          <w:szCs w:val="24"/>
        </w:rPr>
        <w:t xml:space="preserve"> </w:t>
      </w:r>
      <w:r w:rsidR="004C1F00" w:rsidRPr="006B3D43">
        <w:rPr>
          <w:rFonts w:ascii="Arial" w:hAnsi="Arial" w:cs="Arial"/>
          <w:sz w:val="24"/>
          <w:szCs w:val="24"/>
        </w:rPr>
        <w:t>Site-specific glycan data is presented as outlined in Figure 2.</w:t>
      </w:r>
    </w:p>
    <w:p w14:paraId="41670345" w14:textId="77777777" w:rsidR="00B92154" w:rsidRPr="006B3D43" w:rsidRDefault="00B92154" w:rsidP="006B3D43">
      <w:pPr>
        <w:spacing w:line="240" w:lineRule="auto"/>
        <w:jc w:val="both"/>
        <w:rPr>
          <w:rFonts w:ascii="Arial" w:hAnsi="Arial" w:cs="Arial"/>
          <w:sz w:val="24"/>
          <w:szCs w:val="24"/>
        </w:rPr>
      </w:pPr>
    </w:p>
    <w:p w14:paraId="10F4E38A" w14:textId="11260277" w:rsidR="007A5564" w:rsidRPr="006B3D43" w:rsidRDefault="007A5564" w:rsidP="006B3D43">
      <w:pPr>
        <w:spacing w:line="360" w:lineRule="auto"/>
        <w:jc w:val="both"/>
        <w:rPr>
          <w:rFonts w:ascii="Arial" w:hAnsi="Arial" w:cs="Arial"/>
          <w:sz w:val="24"/>
          <w:szCs w:val="24"/>
        </w:rPr>
      </w:pPr>
      <w:r w:rsidRPr="006B3D43">
        <w:rPr>
          <w:rFonts w:ascii="Arial" w:hAnsi="Arial" w:cs="Arial"/>
          <w:sz w:val="24"/>
          <w:szCs w:val="24"/>
        </w:rPr>
        <w:tab/>
      </w:r>
      <w:r w:rsidR="007F7C29">
        <w:rPr>
          <w:rFonts w:ascii="Arial" w:hAnsi="Arial" w:cs="Arial"/>
          <w:sz w:val="24"/>
          <w:szCs w:val="24"/>
        </w:rPr>
        <w:t>In</w:t>
      </w:r>
      <w:r w:rsidR="007F7C29" w:rsidRPr="006B3D43">
        <w:rPr>
          <w:rFonts w:ascii="Arial" w:hAnsi="Arial" w:cs="Arial"/>
          <w:sz w:val="24"/>
          <w:szCs w:val="24"/>
        </w:rPr>
        <w:t xml:space="preserve"> </w:t>
      </w:r>
      <w:r w:rsidRPr="006B3D43">
        <w:rPr>
          <w:rFonts w:ascii="Arial" w:hAnsi="Arial" w:cs="Arial"/>
          <w:sz w:val="24"/>
          <w:szCs w:val="24"/>
        </w:rPr>
        <w:t>comparison</w:t>
      </w:r>
      <w:r w:rsidR="00AF00B3" w:rsidRPr="006B3D43">
        <w:rPr>
          <w:rFonts w:ascii="Arial" w:hAnsi="Arial" w:cs="Arial"/>
          <w:sz w:val="24"/>
          <w:szCs w:val="24"/>
        </w:rPr>
        <w:t>,</w:t>
      </w:r>
      <w:r w:rsidRPr="006B3D43">
        <w:rPr>
          <w:rFonts w:ascii="Arial" w:hAnsi="Arial" w:cs="Arial"/>
          <w:sz w:val="24"/>
          <w:szCs w:val="24"/>
        </w:rPr>
        <w:t xml:space="preserve"> the two RBD sites of recombinant soluble S protein are highly fucosylated, with close to 100% of the glycans at N331 and N343 containing at least one fucose</w:t>
      </w:r>
      <w:r w:rsidR="00177D8F" w:rsidRPr="006B3D43">
        <w:rPr>
          <w:rFonts w:ascii="Arial" w:hAnsi="Arial" w:cs="Arial"/>
          <w:sz w:val="24"/>
          <w:szCs w:val="24"/>
        </w:rPr>
        <w:t xml:space="preserve"> (</w:t>
      </w:r>
      <w:r w:rsidR="00177D8F" w:rsidRPr="006B3D43">
        <w:rPr>
          <w:rFonts w:ascii="Arial" w:hAnsi="Arial" w:cs="Arial"/>
          <w:b/>
          <w:bCs/>
          <w:sz w:val="24"/>
          <w:szCs w:val="24"/>
        </w:rPr>
        <w:t>Figure 3B</w:t>
      </w:r>
      <w:r w:rsidR="00177D8F" w:rsidRPr="006B3D43">
        <w:rPr>
          <w:rFonts w:ascii="Arial" w:hAnsi="Arial" w:cs="Arial"/>
          <w:sz w:val="24"/>
          <w:szCs w:val="24"/>
        </w:rPr>
        <w:t>)</w:t>
      </w:r>
      <w:r w:rsidRPr="006B3D43">
        <w:rPr>
          <w:rFonts w:ascii="Arial" w:hAnsi="Arial" w:cs="Arial"/>
          <w:sz w:val="24"/>
          <w:szCs w:val="24"/>
        </w:rPr>
        <w:t xml:space="preserve">. As with the viral-derived S protein the majority of the glycans are bi- and tri-antennary complex-type glycans. The recombinant S protein RBD sites are also more sialylated </w:t>
      </w:r>
      <w:r w:rsidR="000D521C" w:rsidRPr="006B3D43">
        <w:rPr>
          <w:rFonts w:ascii="Arial" w:hAnsi="Arial" w:cs="Arial"/>
          <w:sz w:val="24"/>
          <w:szCs w:val="24"/>
        </w:rPr>
        <w:t>than</w:t>
      </w:r>
      <w:r w:rsidRPr="006B3D43">
        <w:rPr>
          <w:rFonts w:ascii="Arial" w:hAnsi="Arial" w:cs="Arial"/>
          <w:sz w:val="24"/>
          <w:szCs w:val="24"/>
        </w:rPr>
        <w:t xml:space="preserve"> </w:t>
      </w:r>
      <w:r w:rsidR="00CE7733">
        <w:rPr>
          <w:rFonts w:ascii="Arial" w:hAnsi="Arial" w:cs="Arial"/>
          <w:sz w:val="24"/>
          <w:szCs w:val="24"/>
        </w:rPr>
        <w:t>N331 and N343 on viral-derived S protein</w:t>
      </w:r>
      <w:r w:rsidRPr="006B3D43">
        <w:rPr>
          <w:rFonts w:ascii="Arial" w:hAnsi="Arial" w:cs="Arial"/>
          <w:sz w:val="24"/>
          <w:szCs w:val="24"/>
        </w:rPr>
        <w:t>, with 28% of N331 glycans containing at least one sialic acid and 60% of those on N343 (</w:t>
      </w:r>
      <w:r w:rsidR="00F30EED">
        <w:rPr>
          <w:rFonts w:ascii="Arial" w:hAnsi="Arial" w:cs="Arial"/>
          <w:b/>
          <w:bCs/>
          <w:sz w:val="24"/>
          <w:szCs w:val="24"/>
        </w:rPr>
        <w:t xml:space="preserve">Table </w:t>
      </w:r>
      <w:r w:rsidR="00F30EED">
        <w:rPr>
          <w:rFonts w:ascii="Arial" w:hAnsi="Arial" w:cs="Arial"/>
          <w:b/>
          <w:bCs/>
          <w:sz w:val="24"/>
          <w:szCs w:val="24"/>
        </w:rPr>
        <w:lastRenderedPageBreak/>
        <w:t>S3</w:t>
      </w:r>
      <w:r w:rsidRPr="006B3D43">
        <w:rPr>
          <w:rFonts w:ascii="Arial" w:hAnsi="Arial" w:cs="Arial"/>
          <w:sz w:val="24"/>
          <w:szCs w:val="24"/>
        </w:rPr>
        <w:t>). Interestingly</w:t>
      </w:r>
      <w:r w:rsidR="00AF00B3" w:rsidRPr="006B3D43">
        <w:rPr>
          <w:rFonts w:ascii="Arial" w:hAnsi="Arial" w:cs="Arial"/>
          <w:sz w:val="24"/>
          <w:szCs w:val="24"/>
        </w:rPr>
        <w:t>,</w:t>
      </w:r>
      <w:r w:rsidRPr="006B3D43">
        <w:rPr>
          <w:rFonts w:ascii="Arial" w:hAnsi="Arial" w:cs="Arial"/>
          <w:sz w:val="24"/>
          <w:szCs w:val="24"/>
        </w:rPr>
        <w:t xml:space="preserve"> when RBD is expressed as a monomer there are additional subtle changes compared to viral derived and recombinant S protein. The most prominent change is in the glycan branching</w:t>
      </w:r>
      <w:r w:rsidR="00AF00B3" w:rsidRPr="006B3D43">
        <w:rPr>
          <w:rFonts w:ascii="Arial" w:hAnsi="Arial" w:cs="Arial"/>
          <w:sz w:val="24"/>
          <w:szCs w:val="24"/>
        </w:rPr>
        <w:t xml:space="preserve">; </w:t>
      </w:r>
      <w:r w:rsidRPr="006B3D43">
        <w:rPr>
          <w:rFonts w:ascii="Arial" w:hAnsi="Arial" w:cs="Arial"/>
          <w:sz w:val="24"/>
          <w:szCs w:val="24"/>
        </w:rPr>
        <w:t>whereas recombinant and viral derived RBD glycan sites possess low quantities of tetra-antennary glycans</w:t>
      </w:r>
      <w:r w:rsidR="00D3670E">
        <w:rPr>
          <w:rFonts w:ascii="Arial" w:hAnsi="Arial" w:cs="Arial"/>
          <w:sz w:val="24"/>
          <w:szCs w:val="24"/>
        </w:rPr>
        <w:t>,</w:t>
      </w:r>
      <w:r w:rsidRPr="006B3D43">
        <w:rPr>
          <w:rFonts w:ascii="Arial" w:hAnsi="Arial" w:cs="Arial"/>
          <w:sz w:val="24"/>
          <w:szCs w:val="24"/>
        </w:rPr>
        <w:t xml:space="preserve"> approximately one third of the glycans at N331 and one fifth of the glycans at N343 consist of these larger branched structures (</w:t>
      </w:r>
      <w:r w:rsidRPr="006B3D43">
        <w:rPr>
          <w:rFonts w:ascii="Arial" w:hAnsi="Arial" w:cs="Arial"/>
          <w:b/>
          <w:bCs/>
          <w:sz w:val="24"/>
          <w:szCs w:val="24"/>
        </w:rPr>
        <w:t>Figure 3</w:t>
      </w:r>
      <w:r w:rsidRPr="006B3D43">
        <w:rPr>
          <w:rFonts w:ascii="Arial" w:hAnsi="Arial" w:cs="Arial"/>
          <w:sz w:val="24"/>
          <w:szCs w:val="24"/>
        </w:rPr>
        <w:t xml:space="preserve">). When compared to recombinant S protein the monomeric RBD sites also possess low levels of biantennary glycans. Despite these changes both recombinant trimeric S protein and monomeric RBD sites have high levels of fucosylation. These results suggest that complex-type glycans are under differential control hierarchies where certain forms of glycan processing could be influenced by the structural presentation of glycan sites. The attachment of fucose, galactose and sialic acid for these RBD sites </w:t>
      </w:r>
      <w:r w:rsidR="00E969DD" w:rsidRPr="006B3D43">
        <w:rPr>
          <w:rFonts w:ascii="Arial" w:hAnsi="Arial" w:cs="Arial"/>
          <w:sz w:val="24"/>
          <w:szCs w:val="24"/>
        </w:rPr>
        <w:t>appea</w:t>
      </w:r>
      <w:r w:rsidR="00E969DD">
        <w:rPr>
          <w:rFonts w:ascii="Arial" w:hAnsi="Arial" w:cs="Arial"/>
          <w:sz w:val="24"/>
          <w:szCs w:val="24"/>
        </w:rPr>
        <w:t>rs</w:t>
      </w:r>
      <w:r w:rsidR="00E969DD" w:rsidRPr="006B3D43">
        <w:rPr>
          <w:rFonts w:ascii="Arial" w:hAnsi="Arial" w:cs="Arial"/>
          <w:sz w:val="24"/>
          <w:szCs w:val="24"/>
        </w:rPr>
        <w:t xml:space="preserve"> </w:t>
      </w:r>
      <w:r w:rsidRPr="006B3D43">
        <w:rPr>
          <w:rFonts w:ascii="Arial" w:hAnsi="Arial" w:cs="Arial"/>
          <w:sz w:val="24"/>
          <w:szCs w:val="24"/>
        </w:rPr>
        <w:t>to be controlled by more global phenomena</w:t>
      </w:r>
      <w:r w:rsidR="007F7C29">
        <w:rPr>
          <w:rFonts w:ascii="Arial" w:hAnsi="Arial" w:cs="Arial"/>
          <w:sz w:val="24"/>
          <w:szCs w:val="24"/>
        </w:rPr>
        <w:t>,</w:t>
      </w:r>
      <w:r w:rsidRPr="006B3D43">
        <w:rPr>
          <w:rFonts w:ascii="Arial" w:hAnsi="Arial" w:cs="Arial"/>
          <w:sz w:val="24"/>
          <w:szCs w:val="24"/>
        </w:rPr>
        <w:t xml:space="preserve"> such as the producer cell</w:t>
      </w:r>
      <w:r w:rsidR="007F7C29">
        <w:rPr>
          <w:rFonts w:ascii="Arial" w:hAnsi="Arial" w:cs="Arial"/>
          <w:sz w:val="24"/>
          <w:szCs w:val="24"/>
        </w:rPr>
        <w:t>,</w:t>
      </w:r>
      <w:r w:rsidRPr="006B3D43">
        <w:rPr>
          <w:rFonts w:ascii="Arial" w:hAnsi="Arial" w:cs="Arial"/>
          <w:sz w:val="24"/>
          <w:szCs w:val="24"/>
        </w:rPr>
        <w:t xml:space="preserve"> as the attachment of these monosaccharides is similar when comparing monomeric RBD and trimeric recombinant S protein</w:t>
      </w:r>
      <w:r w:rsidR="007F7C29">
        <w:rPr>
          <w:rFonts w:ascii="Arial" w:hAnsi="Arial" w:cs="Arial"/>
          <w:sz w:val="24"/>
          <w:szCs w:val="24"/>
        </w:rPr>
        <w:t xml:space="preserve"> which were produced in identical cell lines</w:t>
      </w:r>
      <w:r w:rsidRPr="006B3D43">
        <w:rPr>
          <w:rFonts w:ascii="Arial" w:hAnsi="Arial" w:cs="Arial"/>
          <w:sz w:val="24"/>
          <w:szCs w:val="24"/>
        </w:rPr>
        <w:t>. The branching of the RBD sites on monomeric RBD is greater than that of trimeric S protein, both viral and recombinant, and suggests that the quaternary structure of the glycoprotein may have a small role on the elaboration of complex-type glycans of the RBD.  These results are similar to previous analyses that have compared trimeric S protein with monomeric S1</w:t>
      </w:r>
      <w:r w:rsidR="002C75C9">
        <w:rPr>
          <w:rFonts w:ascii="Arial" w:hAnsi="Arial" w:cs="Arial"/>
          <w:sz w:val="24"/>
          <w:szCs w:val="24"/>
        </w:rPr>
        <w:t xml:space="preserve"> </w:t>
      </w:r>
      <w:r w:rsidR="00F062CA" w:rsidRPr="006B3D43">
        <w:rPr>
          <w:rFonts w:ascii="Arial" w:hAnsi="Arial" w:cs="Arial"/>
          <w:sz w:val="24"/>
          <w:szCs w:val="24"/>
        </w:rPr>
        <w:fldChar w:fldCharType="begin" w:fldLock="1"/>
      </w:r>
      <w:r w:rsidR="007774B6">
        <w:rPr>
          <w:rFonts w:ascii="Arial" w:hAnsi="Arial" w:cs="Arial"/>
          <w:sz w:val="24"/>
          <w:szCs w:val="24"/>
        </w:rPr>
        <w:instrText>ADDIN CSL_CITATION {"citationItems":[{"id":"ITEM-1","itemData":{"DOI":"10.1021/acs.analchem.0c03301","ISSN":"15206882","abstract":"Severe acute respiratory syndrome coronavirus 2 (SARS-CoV-2) has led to a global pandemic of coronavirus disease 2019 (COVID-19). The spike protein expressed on the surface of this virus is highly glycosylated and plays an essential role during the process of infection. We conducted a comprehensive mass spectrometric analysis of the N-glycosylation profiles of the SARS-CoV-2 spike proteins using signature ions-triggered electron-transfer/higher-energy collision dissociation (EThcD) mass spectrometry. The patterns of N-glycosylation within the recombinant ectodomain and S1 subunit of the SARS-CoV-2 spike protein were characterized using this approach. Significant variations were observed in the distribution of glycan types as well as the specific individual glycans on the modification sites of the ectodomain and subunit proteins. The relative abundance of sialylated glycans in the S1 subunit compared to the full-length protein could indicate differences in the global structure and function of these two species. In addition, we compared N-glycan profiles of the recombinant spike proteins produced from different expression systems, including human embryonic kidney (HEK 293) cells and Spodoptera frugiperda (SF9) insect cells. These results provide useful information for the study of the interactions of SARS-CoV-2 viral proteins and for the development of effective vaccines and therapeutics.","author":[{"dropping-particle":"","family":"Wang","given":"Dongxia","non-dropping-particle":"","parse-names":false,"suffix":""},{"dropping-particle":"","family":"Baudys","given":"Jakub","non-dropping-particle":"","parse-names":false,"suffix":""},{"dropping-particle":"","family":"Bundy","given":"Jonathan L.","non-dropping-particle":"","parse-names":false,"suffix":""},{"dropping-particle":"","family":"Solano","given":"Maria","non-dropping-particle":"","parse-names":false,"suffix":""},{"dropping-particle":"","family":"Keppel","given":"Theodore","non-dropping-particle":"","parse-names":false,"suffix":""},{"dropping-particle":"","family":"Barr","given":"John R.","non-dropping-particle":"","parse-names":false,"suffix":""}],"container-title":"Analytical Chemistry","id":"ITEM-1","issue":"21","issued":{"date-parts":[["2020","11","3"]]},"page":"14730-14739","publisher":"American Chemical Society","title":"Comprehensive Analysis of the Glycan Complement of SARS-CoV-2 Spike Proteins Using Signature Ions-Triggered Electron-Transfer/Higher-Energy Collisional Dissociation (EThcD) Mass Spectrometry","type":"article-journal","volume":"92"},"uris":["http://www.mendeley.com/documents/?uuid=cb3a22eb-0ebf-351d-b28e-77d478245320","http://www.mendeley.com/documents/?uuid=86ef6584-97e0-456c-8a36-b883992e042b"]}],"mendeley":{"formattedCitation":"&lt;sup&gt;38&lt;/sup&gt;","plainTextFormattedCitation":"38","previouslyFormattedCitation":"&lt;sup&gt;38&lt;/sup&gt;"},"properties":{"noteIndex":0},"schema":"https://github.com/citation-style-language/schema/raw/master/csl-citation.json"}</w:instrText>
      </w:r>
      <w:r w:rsidR="00F062CA" w:rsidRPr="006B3D43">
        <w:rPr>
          <w:rFonts w:ascii="Arial" w:hAnsi="Arial" w:cs="Arial"/>
          <w:sz w:val="24"/>
          <w:szCs w:val="24"/>
        </w:rPr>
        <w:fldChar w:fldCharType="separate"/>
      </w:r>
      <w:r w:rsidR="007774B6" w:rsidRPr="007774B6">
        <w:rPr>
          <w:rFonts w:ascii="Arial" w:hAnsi="Arial" w:cs="Arial"/>
          <w:noProof/>
          <w:sz w:val="24"/>
          <w:szCs w:val="24"/>
          <w:vertAlign w:val="superscript"/>
        </w:rPr>
        <w:t>38</w:t>
      </w:r>
      <w:r w:rsidR="00F062CA" w:rsidRPr="006B3D43">
        <w:rPr>
          <w:rFonts w:ascii="Arial" w:hAnsi="Arial" w:cs="Arial"/>
          <w:sz w:val="24"/>
          <w:szCs w:val="24"/>
        </w:rPr>
        <w:fldChar w:fldCharType="end"/>
      </w:r>
      <w:r w:rsidRPr="006B3D43">
        <w:rPr>
          <w:rFonts w:ascii="Arial" w:hAnsi="Arial" w:cs="Arial"/>
          <w:sz w:val="24"/>
          <w:szCs w:val="24"/>
        </w:rPr>
        <w:t>.</w:t>
      </w:r>
    </w:p>
    <w:p w14:paraId="07D1BE40" w14:textId="56232CA1" w:rsidR="0030013C" w:rsidRPr="006B3D43" w:rsidRDefault="00177D8F" w:rsidP="00FD00FE">
      <w:pPr>
        <w:spacing w:line="360" w:lineRule="auto"/>
        <w:ind w:firstLine="720"/>
        <w:jc w:val="both"/>
        <w:rPr>
          <w:rFonts w:ascii="Arial" w:hAnsi="Arial" w:cs="Arial"/>
          <w:sz w:val="24"/>
          <w:szCs w:val="24"/>
        </w:rPr>
      </w:pPr>
      <w:r w:rsidRPr="006B3D43">
        <w:rPr>
          <w:rFonts w:ascii="Arial" w:hAnsi="Arial" w:cs="Arial"/>
          <w:sz w:val="24"/>
          <w:szCs w:val="24"/>
        </w:rPr>
        <w:t xml:space="preserve">To </w:t>
      </w:r>
      <w:r w:rsidR="00EA5165" w:rsidRPr="006B3D43">
        <w:rPr>
          <w:rFonts w:ascii="Arial" w:hAnsi="Arial" w:cs="Arial"/>
          <w:sz w:val="24"/>
          <w:szCs w:val="24"/>
        </w:rPr>
        <w:t>further explore differences in glycosylation of RBD PNGS</w:t>
      </w:r>
      <w:r w:rsidR="00B42828">
        <w:rPr>
          <w:rFonts w:ascii="Arial" w:hAnsi="Arial" w:cs="Arial"/>
          <w:sz w:val="24"/>
          <w:szCs w:val="24"/>
        </w:rPr>
        <w:t>,</w:t>
      </w:r>
      <w:r w:rsidR="00EA5165" w:rsidRPr="006B3D43">
        <w:rPr>
          <w:rFonts w:ascii="Arial" w:hAnsi="Arial" w:cs="Arial"/>
          <w:sz w:val="24"/>
          <w:szCs w:val="24"/>
        </w:rPr>
        <w:t xml:space="preserve"> we performed a similar comparative analysis on MERS-CoV. The site-specific glycan analysis of recombinant MERS-CoV</w:t>
      </w:r>
      <w:r w:rsidR="00185832">
        <w:rPr>
          <w:rFonts w:ascii="Arial" w:hAnsi="Arial" w:cs="Arial"/>
          <w:sz w:val="24"/>
          <w:szCs w:val="24"/>
        </w:rPr>
        <w:t xml:space="preserve"> S protein</w:t>
      </w:r>
      <w:r w:rsidR="00EA5165" w:rsidRPr="006B3D43">
        <w:rPr>
          <w:rFonts w:ascii="Arial" w:hAnsi="Arial" w:cs="Arial"/>
          <w:sz w:val="24"/>
          <w:szCs w:val="24"/>
        </w:rPr>
        <w:t xml:space="preserve"> has been reported previously</w:t>
      </w:r>
      <w:r w:rsidR="002C75C9">
        <w:rPr>
          <w:rFonts w:ascii="Arial" w:hAnsi="Arial" w:cs="Arial"/>
          <w:sz w:val="24"/>
          <w:szCs w:val="24"/>
        </w:rPr>
        <w:t xml:space="preserve"> </w:t>
      </w:r>
      <w:r w:rsidR="00930E7C" w:rsidRPr="006B3D43">
        <w:rPr>
          <w:rFonts w:ascii="Arial" w:hAnsi="Arial" w:cs="Arial"/>
          <w:sz w:val="24"/>
          <w:szCs w:val="24"/>
        </w:rPr>
        <w:fldChar w:fldCharType="begin" w:fldLock="1"/>
      </w:r>
      <w:r w:rsidR="009E22F0">
        <w:rPr>
          <w:rFonts w:ascii="Arial" w:hAnsi="Arial" w:cs="Arial"/>
          <w:sz w:val="24"/>
          <w:szCs w:val="24"/>
        </w:rPr>
        <w:instrText>ADDIN CSL_CITATION {"citationItems":[{"id":"ITEM-1","itemData":{"DOI":"10.1038/s41467-020-16567-0","ISSN":"2041-1723","PMID":"32461612","abstract":"Severe acute respiratory syndrome (SARS) and Middle East respiratory syndrome (MERS) coronaviruses (CoVs) are zoonotic pathogens with high fatality rates and pandemic potential. Vaccine development focuses on the principal target of the neutralizing humoral immune response, the spike (S) glycoprotein. Coronavirus S proteins are extensively glycosylated, encoding around 66–87 N-linked glycosylation sites per trimeric spike. Here, we reveal a specific area of high glycan density on MERS S that results in the formation of oligomannose-type glycan clusters, which were absent on SARS and HKU1 CoVs. We provide a comparison of the global glycan density of coronavirus spikes with other viral proteins including HIV-1 envelope, Lassa virus glycoprotein complex, and influenza hemagglutinin, where glycosylation plays a known role in shielding immunogenic epitopes. Overall, our data reveal how organisation of glycosylation across class I viral fusion proteins influence not only individual glycan compositions but also the immunological pressure across the protein surface.","author":[{"dropping-particle":"","family":"Watanabe","given":"Yasunori","non-dropping-particle":"","parse-names":false,"suffix":""},{"dropping-particle":"","family":"Berndsen","given":"Zachary T.","non-dropping-particle":"","parse-names":false,"suffix":""},{"dropping-particle":"","family":"Raghwani","given":"Jayna","non-dropping-particle":"","parse-names":false,"suffix":""},{"dropping-particle":"","family":"Seabright","given":"Gemma E.","non-dropping-particle":"","parse-names":false,"suffix":""},{"dropping-particle":"","family":"Allen","given":"Joel D.","non-dropping-particle":"","parse-names":false,"suffix":""},{"dropping-particle":"","family":"Pybus","given":"Oliver G.","non-dropping-particle":"","parse-names":false,"suffix":""},{"dropping-particle":"","family":"McLellan","given":"Jason S.","non-dropping-particle":"","parse-names":false,"suffix":""},{"dropping-particle":"","family":"Wilson","given":"Ian A.","non-dropping-particle":"","parse-names":false,"suffix":""},{"dropping-particle":"","family":"Bowden","given":"Thomas A.","non-dropping-particle":"","parse-names":false,"suffix":""},{"dropping-particle":"","family":"Ward","given":"Andrew B.","non-dropping-particle":"","parse-names":false,"suffix":""},{"dropping-particle":"","family":"Crispin","given":"Max","non-dropping-particle":"","parse-names":false,"suffix":""}],"container-title":"Nature Communications","id":"ITEM-1","issue":"1","issued":{"date-parts":[["2020","12","27"]]},"page":"2688","title":"Vulnerabilities in coronavirus glycan shields despite extensive glycosylation","type":"article-journal","volume":"11"},"uris":["http://www.mendeley.com/documents/?uuid=62b5697a-14ff-4854-ad3e-7fa80182924c"]}],"mendeley":{"formattedCitation":"&lt;sup&gt;51&lt;/sup&gt;","plainTextFormattedCitation":"51","previouslyFormattedCitation":"&lt;sup&gt;51&lt;/sup&gt;"},"properties":{"noteIndex":0},"schema":"https://github.com/citation-style-language/schema/raw/master/csl-citation.json"}</w:instrText>
      </w:r>
      <w:r w:rsidR="00930E7C" w:rsidRPr="006B3D43">
        <w:rPr>
          <w:rFonts w:ascii="Arial" w:hAnsi="Arial" w:cs="Arial"/>
          <w:sz w:val="24"/>
          <w:szCs w:val="24"/>
        </w:rPr>
        <w:fldChar w:fldCharType="separate"/>
      </w:r>
      <w:r w:rsidR="007774B6" w:rsidRPr="007774B6">
        <w:rPr>
          <w:rFonts w:ascii="Arial" w:hAnsi="Arial" w:cs="Arial"/>
          <w:noProof/>
          <w:sz w:val="24"/>
          <w:szCs w:val="24"/>
          <w:vertAlign w:val="superscript"/>
        </w:rPr>
        <w:t>51</w:t>
      </w:r>
      <w:r w:rsidR="00930E7C" w:rsidRPr="006B3D43">
        <w:rPr>
          <w:rFonts w:ascii="Arial" w:hAnsi="Arial" w:cs="Arial"/>
          <w:sz w:val="24"/>
          <w:szCs w:val="24"/>
        </w:rPr>
        <w:fldChar w:fldCharType="end"/>
      </w:r>
      <w:r w:rsidR="00EA5165" w:rsidRPr="006B3D43">
        <w:rPr>
          <w:rFonts w:ascii="Arial" w:hAnsi="Arial" w:cs="Arial"/>
          <w:sz w:val="24"/>
          <w:szCs w:val="24"/>
        </w:rPr>
        <w:t>. For the comparative analysis of trimeric recombinant protein and RBD</w:t>
      </w:r>
      <w:r w:rsidR="00B42828">
        <w:rPr>
          <w:rFonts w:ascii="Arial" w:hAnsi="Arial" w:cs="Arial"/>
          <w:sz w:val="24"/>
          <w:szCs w:val="24"/>
        </w:rPr>
        <w:t>,</w:t>
      </w:r>
      <w:r w:rsidR="00EA5165" w:rsidRPr="006B3D43">
        <w:rPr>
          <w:rFonts w:ascii="Arial" w:hAnsi="Arial" w:cs="Arial"/>
          <w:sz w:val="24"/>
          <w:szCs w:val="24"/>
        </w:rPr>
        <w:t xml:space="preserve"> the MS files obtained in the previous study were searched using an identical version of the analysis software using the same glycan libraries as for the analysis displayed in </w:t>
      </w:r>
      <w:r w:rsidR="00EA5165" w:rsidRPr="00FD00FE">
        <w:rPr>
          <w:rFonts w:ascii="Arial" w:hAnsi="Arial" w:cs="Arial"/>
          <w:b/>
          <w:bCs/>
          <w:sz w:val="24"/>
          <w:szCs w:val="24"/>
        </w:rPr>
        <w:t>Figure 1 and 2</w:t>
      </w:r>
      <w:r w:rsidR="00EA5165" w:rsidRPr="006B3D43">
        <w:rPr>
          <w:rFonts w:ascii="Arial" w:hAnsi="Arial" w:cs="Arial"/>
          <w:sz w:val="24"/>
          <w:szCs w:val="24"/>
        </w:rPr>
        <w:t xml:space="preserve">. </w:t>
      </w:r>
      <w:r w:rsidR="00D939FD" w:rsidRPr="006B3D43">
        <w:rPr>
          <w:rFonts w:ascii="Arial" w:hAnsi="Arial" w:cs="Arial"/>
          <w:sz w:val="24"/>
          <w:szCs w:val="24"/>
        </w:rPr>
        <w:t>This analysis revealed differences at the glycan sites present on MERS RBD when expressed monomerically compared to recombinant trimeric soluble S protein. One of the sites, N487, is similar between the two platforms, presenting glycoforms typical of sites populated</w:t>
      </w:r>
      <w:r w:rsidR="00F062CA" w:rsidRPr="006B3D43">
        <w:rPr>
          <w:rFonts w:ascii="Arial" w:hAnsi="Arial" w:cs="Arial"/>
          <w:sz w:val="24"/>
          <w:szCs w:val="24"/>
        </w:rPr>
        <w:t xml:space="preserve"> by complex-type glycans (</w:t>
      </w:r>
      <w:r w:rsidR="00F062CA" w:rsidRPr="006B3D43">
        <w:rPr>
          <w:rFonts w:ascii="Arial" w:hAnsi="Arial" w:cs="Arial"/>
          <w:b/>
          <w:bCs/>
          <w:sz w:val="24"/>
          <w:szCs w:val="24"/>
        </w:rPr>
        <w:t>Figure 3B</w:t>
      </w:r>
      <w:r w:rsidR="00F062CA" w:rsidRPr="006B3D43">
        <w:rPr>
          <w:rFonts w:ascii="Arial" w:hAnsi="Arial" w:cs="Arial"/>
          <w:sz w:val="24"/>
          <w:szCs w:val="24"/>
        </w:rPr>
        <w:t>).  In contrast N410 is occupied by exclusively oligomannose-type glycans when present on recombinant</w:t>
      </w:r>
      <w:r w:rsidR="00F41E65">
        <w:rPr>
          <w:rFonts w:ascii="Arial" w:hAnsi="Arial" w:cs="Arial"/>
          <w:sz w:val="24"/>
          <w:szCs w:val="24"/>
        </w:rPr>
        <w:t xml:space="preserve"> trimeric</w:t>
      </w:r>
      <w:r w:rsidR="00F062CA" w:rsidRPr="006B3D43">
        <w:rPr>
          <w:rFonts w:ascii="Arial" w:hAnsi="Arial" w:cs="Arial"/>
          <w:sz w:val="24"/>
          <w:szCs w:val="24"/>
        </w:rPr>
        <w:t xml:space="preserve"> S protein. When monomeric MERS RBD is expressed the processing of the N410 site is markedly increased, with complex-type glycans predominating the glycan profile, although a subpopulation of oligomannose-type glycans remain (</w:t>
      </w:r>
      <w:r w:rsidR="00F062CA" w:rsidRPr="006B3D43">
        <w:rPr>
          <w:rFonts w:ascii="Arial" w:hAnsi="Arial" w:cs="Arial"/>
          <w:b/>
          <w:bCs/>
          <w:sz w:val="24"/>
          <w:szCs w:val="24"/>
        </w:rPr>
        <w:t>Figure 3B</w:t>
      </w:r>
      <w:r w:rsidR="00F062CA" w:rsidRPr="006B3D43">
        <w:rPr>
          <w:rFonts w:ascii="Arial" w:hAnsi="Arial" w:cs="Arial"/>
          <w:sz w:val="24"/>
          <w:szCs w:val="24"/>
        </w:rPr>
        <w:t xml:space="preserve">). </w:t>
      </w:r>
      <w:r w:rsidR="00F062CA" w:rsidRPr="006B3D43">
        <w:rPr>
          <w:rFonts w:ascii="Arial" w:hAnsi="Arial" w:cs="Arial"/>
          <w:sz w:val="24"/>
          <w:szCs w:val="24"/>
        </w:rPr>
        <w:lastRenderedPageBreak/>
        <w:t>Modelling the N410 glycan onto published structures of MERS S protein reveals that the N410 glycan is protected from processing by mannosidase enzymes such as ER α</w:t>
      </w:r>
      <w:r w:rsidR="008D0913">
        <w:rPr>
          <w:rFonts w:ascii="Arial" w:hAnsi="Arial" w:cs="Arial"/>
          <w:sz w:val="24"/>
          <w:szCs w:val="24"/>
        </w:rPr>
        <w:t>-</w:t>
      </w:r>
      <w:r w:rsidR="00F062CA" w:rsidRPr="006B3D43">
        <w:rPr>
          <w:rFonts w:ascii="Arial" w:hAnsi="Arial" w:cs="Arial"/>
          <w:sz w:val="24"/>
          <w:szCs w:val="24"/>
        </w:rPr>
        <w:t xml:space="preserve">mannosidase I when buried within the trimer, </w:t>
      </w:r>
      <w:r w:rsidR="0028033D">
        <w:rPr>
          <w:rFonts w:ascii="Arial" w:hAnsi="Arial" w:cs="Arial"/>
          <w:sz w:val="24"/>
          <w:szCs w:val="24"/>
        </w:rPr>
        <w:t>but</w:t>
      </w:r>
      <w:r w:rsidR="0028033D" w:rsidRPr="006B3D43">
        <w:rPr>
          <w:rFonts w:ascii="Arial" w:hAnsi="Arial" w:cs="Arial"/>
          <w:sz w:val="24"/>
          <w:szCs w:val="24"/>
        </w:rPr>
        <w:t xml:space="preserve"> </w:t>
      </w:r>
      <w:r w:rsidR="00F062CA" w:rsidRPr="006B3D43">
        <w:rPr>
          <w:rFonts w:ascii="Arial" w:hAnsi="Arial" w:cs="Arial"/>
          <w:sz w:val="24"/>
          <w:szCs w:val="24"/>
        </w:rPr>
        <w:t xml:space="preserve">when presented on monomeric RBD </w:t>
      </w:r>
      <w:r w:rsidR="0028033D">
        <w:rPr>
          <w:rFonts w:ascii="Arial" w:hAnsi="Arial" w:cs="Arial"/>
          <w:sz w:val="24"/>
          <w:szCs w:val="24"/>
        </w:rPr>
        <w:t xml:space="preserve">it </w:t>
      </w:r>
      <w:r w:rsidR="00F062CA" w:rsidRPr="006B3D43">
        <w:rPr>
          <w:rFonts w:ascii="Arial" w:hAnsi="Arial" w:cs="Arial"/>
          <w:sz w:val="24"/>
          <w:szCs w:val="24"/>
        </w:rPr>
        <w:t>is readily accessible to glycan processing (</w:t>
      </w:r>
      <w:r w:rsidR="00F30EED">
        <w:rPr>
          <w:rFonts w:ascii="Arial" w:hAnsi="Arial" w:cs="Arial"/>
          <w:b/>
          <w:bCs/>
          <w:sz w:val="24"/>
          <w:szCs w:val="24"/>
        </w:rPr>
        <w:t>Figure S2</w:t>
      </w:r>
      <w:r w:rsidR="00F062CA" w:rsidRPr="006B3D43">
        <w:rPr>
          <w:rFonts w:ascii="Arial" w:hAnsi="Arial" w:cs="Arial"/>
          <w:sz w:val="24"/>
          <w:szCs w:val="24"/>
        </w:rPr>
        <w:t xml:space="preserve">). </w:t>
      </w:r>
      <w:r w:rsidR="00B84C96" w:rsidRPr="006B3D43">
        <w:rPr>
          <w:rFonts w:ascii="Arial" w:hAnsi="Arial" w:cs="Arial"/>
          <w:sz w:val="24"/>
          <w:szCs w:val="24"/>
        </w:rPr>
        <w:t>These observations further highlight how the quaternary structure of a glycoprotein is a key determinant of the glycan processing state and demonstrates how glycan sites can provide information about protein folding and quaternary structure.</w:t>
      </w:r>
    </w:p>
    <w:p w14:paraId="1DC9D11E" w14:textId="6AEBC347" w:rsidR="007A5564" w:rsidRPr="006B3D43" w:rsidRDefault="007A5564" w:rsidP="006B3D43">
      <w:pPr>
        <w:spacing w:line="360" w:lineRule="auto"/>
        <w:jc w:val="both"/>
        <w:rPr>
          <w:rFonts w:ascii="Arial" w:hAnsi="Arial" w:cs="Arial"/>
          <w:b/>
          <w:bCs/>
          <w:sz w:val="24"/>
          <w:szCs w:val="24"/>
        </w:rPr>
      </w:pPr>
      <w:r w:rsidRPr="006B3D43">
        <w:rPr>
          <w:rFonts w:ascii="Arial" w:hAnsi="Arial" w:cs="Arial"/>
          <w:b/>
          <w:bCs/>
          <w:sz w:val="24"/>
          <w:szCs w:val="24"/>
        </w:rPr>
        <w:t>Molecular dynamics simulations reveal the relationship between accessibility and glycan processing.</w:t>
      </w:r>
    </w:p>
    <w:p w14:paraId="62683746" w14:textId="022D697F" w:rsidR="007A5564" w:rsidRPr="006B3D43" w:rsidRDefault="007A5564" w:rsidP="006B3D43">
      <w:pPr>
        <w:spacing w:line="360" w:lineRule="auto"/>
        <w:jc w:val="both"/>
        <w:rPr>
          <w:rFonts w:ascii="Arial" w:hAnsi="Arial" w:cs="Arial"/>
          <w:sz w:val="24"/>
          <w:szCs w:val="24"/>
        </w:rPr>
      </w:pPr>
      <w:r w:rsidRPr="006B3D43">
        <w:rPr>
          <w:rFonts w:ascii="Arial" w:hAnsi="Arial" w:cs="Arial"/>
          <w:sz w:val="24"/>
          <w:szCs w:val="24"/>
        </w:rPr>
        <w:t xml:space="preserve">Using site-specific glycan analysis, it is possible to infer the structural restraints placed on particular PNGS by the quaternary structure of the protein. </w:t>
      </w:r>
      <w:r w:rsidR="00193B51" w:rsidRPr="006B3D43">
        <w:rPr>
          <w:rFonts w:ascii="Arial" w:hAnsi="Arial" w:cs="Arial"/>
          <w:sz w:val="24"/>
          <w:szCs w:val="24"/>
        </w:rPr>
        <w:t>MD simulations</w:t>
      </w:r>
      <w:r w:rsidRPr="006B3D43">
        <w:rPr>
          <w:rFonts w:ascii="Arial" w:hAnsi="Arial" w:cs="Arial"/>
          <w:sz w:val="24"/>
          <w:szCs w:val="24"/>
        </w:rPr>
        <w:t xml:space="preserve"> </w:t>
      </w:r>
      <w:r w:rsidR="00301456" w:rsidRPr="006B3D43">
        <w:rPr>
          <w:rFonts w:ascii="Arial" w:hAnsi="Arial" w:cs="Arial"/>
          <w:sz w:val="24"/>
          <w:szCs w:val="24"/>
        </w:rPr>
        <w:t xml:space="preserve">can help </w:t>
      </w:r>
      <w:r w:rsidRPr="006B3D43">
        <w:rPr>
          <w:rFonts w:ascii="Arial" w:hAnsi="Arial" w:cs="Arial"/>
          <w:sz w:val="24"/>
          <w:szCs w:val="24"/>
        </w:rPr>
        <w:t xml:space="preserve">to understand how the protein flexibility can influence glycan processing. The recombinant proteins </w:t>
      </w:r>
      <w:proofErr w:type="spellStart"/>
      <w:r w:rsidRPr="006B3D43">
        <w:rPr>
          <w:rFonts w:ascii="Arial" w:hAnsi="Arial" w:cs="Arial"/>
          <w:sz w:val="24"/>
          <w:szCs w:val="24"/>
        </w:rPr>
        <w:t>analysed</w:t>
      </w:r>
      <w:proofErr w:type="spellEnd"/>
      <w:r w:rsidRPr="006B3D43">
        <w:rPr>
          <w:rFonts w:ascii="Arial" w:hAnsi="Arial" w:cs="Arial"/>
          <w:sz w:val="24"/>
          <w:szCs w:val="24"/>
        </w:rPr>
        <w:t xml:space="preserve"> in this study all use proline substitutions to stabilize the pre-fusion S protein conformation. Structural analyses of S protein containing these proline substitutions </w:t>
      </w:r>
      <w:r w:rsidR="001E0B31" w:rsidRPr="006B3D43">
        <w:rPr>
          <w:rFonts w:ascii="Arial" w:hAnsi="Arial" w:cs="Arial"/>
          <w:sz w:val="24"/>
          <w:szCs w:val="24"/>
        </w:rPr>
        <w:t xml:space="preserve">have </w:t>
      </w:r>
      <w:r w:rsidRPr="006B3D43">
        <w:rPr>
          <w:rFonts w:ascii="Arial" w:hAnsi="Arial" w:cs="Arial"/>
          <w:sz w:val="24"/>
          <w:szCs w:val="24"/>
        </w:rPr>
        <w:t>shown that one of the three subunits frequently display</w:t>
      </w:r>
      <w:r w:rsidR="00193B51" w:rsidRPr="006B3D43">
        <w:rPr>
          <w:rFonts w:ascii="Arial" w:hAnsi="Arial" w:cs="Arial"/>
          <w:sz w:val="24"/>
          <w:szCs w:val="24"/>
        </w:rPr>
        <w:t>s</w:t>
      </w:r>
      <w:r w:rsidRPr="006B3D43">
        <w:rPr>
          <w:rFonts w:ascii="Arial" w:hAnsi="Arial" w:cs="Arial"/>
          <w:sz w:val="24"/>
          <w:szCs w:val="24"/>
        </w:rPr>
        <w:t xml:space="preserve"> its RBD in an up</w:t>
      </w:r>
      <w:r w:rsidR="005528E7">
        <w:rPr>
          <w:rFonts w:ascii="Arial" w:hAnsi="Arial" w:cs="Arial"/>
          <w:sz w:val="24"/>
          <w:szCs w:val="24"/>
        </w:rPr>
        <w:t xml:space="preserve"> conformation</w:t>
      </w:r>
      <w:r w:rsidR="002C75C9">
        <w:rPr>
          <w:rFonts w:ascii="Arial" w:hAnsi="Arial" w:cs="Arial"/>
          <w:sz w:val="24"/>
          <w:szCs w:val="24"/>
        </w:rPr>
        <w:t xml:space="preserve"> </w:t>
      </w:r>
      <w:r w:rsidR="00642066" w:rsidRPr="006B3D43">
        <w:rPr>
          <w:rFonts w:ascii="Arial" w:hAnsi="Arial" w:cs="Arial"/>
          <w:sz w:val="24"/>
          <w:szCs w:val="24"/>
        </w:rPr>
        <w:fldChar w:fldCharType="begin" w:fldLock="1"/>
      </w:r>
      <w:r w:rsidR="007774B6">
        <w:rPr>
          <w:rFonts w:ascii="Arial" w:hAnsi="Arial" w:cs="Arial"/>
          <w:sz w:val="24"/>
          <w:szCs w:val="24"/>
        </w:rPr>
        <w:instrText>ADDIN CSL_CITATION {"citationItems":[{"id":"ITEM-1","itemData":{"DOI":"10.1126/science.abb2507","ISSN":"10959203","PMID":"32075877","abstract":"The outbreak of a novel coronavirus (2019-nCoV) represents a pandemic threat that has been declared a public health emergency of international concern. The CoV spike (S) glycoprotein is a key target for vaccines, therapeutic antibodies, and diagnostics. To facilitate medical countermeasure development, we determined a 3.5-angstrom-resolution cryo-electron microscopy structure of the 2019-nCoV S trimer in the prefusion conformation. The predominant state of the trimer has one of the three receptor-binding domains (RBDs) rotated up in a receptor-accessible conformation. We also provide biophysical and structural evidence that the 2019-nCoV S protein binds angiotensin-converting enzyme 2 (ACE2) with higher affinity than does severe acute respiratory syndrome (SARS)-CoV S. Additionally, we tested several published SARS-CoV RBD-specific monoclonal antibodies and found that they do not have appreciable binding to 2019-nCoV S, suggesting that antibody cross-reactivity may be limited between the two RBDs. The structure of 2019-nCoV S should enable the rapid development and evaluation of medical countermeasures to address the ongoing public health crisis.","author":[{"dropping-particle":"","family":"Wrapp","given":"Daniel","non-dropping-particle":"","parse-names":false,"suffix":""},{"dropping-particle":"","family":"Wang","given":"Nianshuang","non-dropping-particle":"","parse-names":false,"suffix":""},{"dropping-particle":"","family":"Corbett","given":"Kizzmekia S.","non-dropping-particle":"","parse-names":false,"suffix":""},{"dropping-particle":"","family":"Goldsmith","given":"Jory A.","non-dropping-particle":"","parse-names":false,"suffix":""},{"dropping-particle":"","family":"Hsieh","given":"Ching Lin","non-dropping-particle":"","parse-names":false,"suffix":""},{"dropping-particle":"","family":"Abiona","given":"Olubukola","non-dropping-particle":"","parse-names":false,"suffix":""},{"dropping-particle":"","family":"Graham","given":"Barney S.","non-dropping-particle":"","parse-names":false,"suffix":""},{"dropping-particle":"","family":"McLellan","given":"Jason S.","non-dropping-particle":"","parse-names":false,"suffix":""}],"container-title":"Science","id":"ITEM-1","issue":"6483","issued":{"date-parts":[["2020"]]},"page":"1260-1263","title":"Cryo-EM structure of the 2019-nCoV spike in the prefusion conformation","type":"article-journal","volume":"367"},"uris":["http://www.mendeley.com/documents/?uuid=f7160f7d-2d82-4a0a-b66f-1211c4e35985"]}],"mendeley":{"formattedCitation":"&lt;sup&gt;28&lt;/sup&gt;","plainTextFormattedCitation":"28","previouslyFormattedCitation":"&lt;sup&gt;28&lt;/sup&gt;"},"properties":{"noteIndex":0},"schema":"https://github.com/citation-style-language/schema/raw/master/csl-citation.json"}</w:instrText>
      </w:r>
      <w:r w:rsidR="00642066" w:rsidRPr="006B3D43">
        <w:rPr>
          <w:rFonts w:ascii="Arial" w:hAnsi="Arial" w:cs="Arial"/>
          <w:sz w:val="24"/>
          <w:szCs w:val="24"/>
        </w:rPr>
        <w:fldChar w:fldCharType="separate"/>
      </w:r>
      <w:r w:rsidR="007774B6" w:rsidRPr="007774B6">
        <w:rPr>
          <w:rFonts w:ascii="Arial" w:hAnsi="Arial" w:cs="Arial"/>
          <w:noProof/>
          <w:sz w:val="24"/>
          <w:szCs w:val="24"/>
          <w:vertAlign w:val="superscript"/>
        </w:rPr>
        <w:t>28</w:t>
      </w:r>
      <w:r w:rsidR="00642066" w:rsidRPr="006B3D43">
        <w:rPr>
          <w:rFonts w:ascii="Arial" w:hAnsi="Arial" w:cs="Arial"/>
          <w:sz w:val="24"/>
          <w:szCs w:val="24"/>
        </w:rPr>
        <w:fldChar w:fldCharType="end"/>
      </w:r>
      <w:r w:rsidR="00642066" w:rsidRPr="006B3D43">
        <w:rPr>
          <w:rFonts w:ascii="Arial" w:hAnsi="Arial" w:cs="Arial"/>
          <w:sz w:val="24"/>
          <w:szCs w:val="24"/>
        </w:rPr>
        <w:t>.</w:t>
      </w:r>
      <w:r w:rsidRPr="006B3D43">
        <w:rPr>
          <w:rFonts w:ascii="Arial" w:hAnsi="Arial" w:cs="Arial"/>
          <w:sz w:val="24"/>
          <w:szCs w:val="24"/>
        </w:rPr>
        <w:t xml:space="preserve"> By performing simulations using models containing one RBD up</w:t>
      </w:r>
      <w:r w:rsidR="008C5AB0" w:rsidRPr="006B3D43">
        <w:rPr>
          <w:rFonts w:ascii="Arial" w:hAnsi="Arial" w:cs="Arial"/>
          <w:sz w:val="24"/>
          <w:szCs w:val="24"/>
        </w:rPr>
        <w:t>,</w:t>
      </w:r>
      <w:r w:rsidRPr="006B3D43">
        <w:rPr>
          <w:rFonts w:ascii="Arial" w:hAnsi="Arial" w:cs="Arial"/>
          <w:sz w:val="24"/>
          <w:szCs w:val="24"/>
        </w:rPr>
        <w:t xml:space="preserve"> it is possible to investigate how differential RBD presentation can impact site-specific glycosylation.</w:t>
      </w:r>
    </w:p>
    <w:p w14:paraId="7234E640" w14:textId="07FD9B1A" w:rsidR="00123B02" w:rsidRDefault="00193B51" w:rsidP="006B3D43">
      <w:pPr>
        <w:spacing w:line="360" w:lineRule="auto"/>
        <w:jc w:val="both"/>
        <w:rPr>
          <w:rFonts w:ascii="Arial" w:hAnsi="Arial" w:cs="Arial"/>
          <w:sz w:val="24"/>
          <w:szCs w:val="24"/>
        </w:rPr>
      </w:pPr>
      <w:r w:rsidRPr="006B3D43">
        <w:rPr>
          <w:rFonts w:ascii="Arial" w:hAnsi="Arial" w:cs="Arial"/>
          <w:sz w:val="24"/>
          <w:szCs w:val="24"/>
        </w:rPr>
        <w:tab/>
        <w:t>To this end, we performed 200 ns MD simulation</w:t>
      </w:r>
      <w:r w:rsidR="00B42828">
        <w:rPr>
          <w:rFonts w:ascii="Arial" w:hAnsi="Arial" w:cs="Arial"/>
          <w:sz w:val="24"/>
          <w:szCs w:val="24"/>
        </w:rPr>
        <w:t>s</w:t>
      </w:r>
      <w:r w:rsidRPr="006B3D43">
        <w:rPr>
          <w:rFonts w:ascii="Arial" w:hAnsi="Arial" w:cs="Arial"/>
          <w:sz w:val="24"/>
          <w:szCs w:val="24"/>
        </w:rPr>
        <w:t xml:space="preserve"> of </w:t>
      </w:r>
      <w:r w:rsidR="00123B02" w:rsidRPr="006B3D43">
        <w:rPr>
          <w:rFonts w:ascii="Arial" w:hAnsi="Arial" w:cs="Arial"/>
          <w:sz w:val="24"/>
          <w:szCs w:val="24"/>
        </w:rPr>
        <w:t xml:space="preserve">fully glycosylated </w:t>
      </w:r>
      <w:r w:rsidR="00A64B7F">
        <w:rPr>
          <w:rFonts w:ascii="Arial" w:hAnsi="Arial" w:cs="Arial"/>
          <w:sz w:val="24"/>
          <w:szCs w:val="24"/>
        </w:rPr>
        <w:t xml:space="preserve">trimeric </w:t>
      </w:r>
      <w:r w:rsidRPr="006B3D43">
        <w:rPr>
          <w:rFonts w:ascii="Arial" w:hAnsi="Arial" w:cs="Arial"/>
          <w:sz w:val="24"/>
          <w:szCs w:val="24"/>
        </w:rPr>
        <w:t>S protein embedded within a</w:t>
      </w:r>
      <w:r w:rsidR="00123B02" w:rsidRPr="006B3D43">
        <w:rPr>
          <w:rFonts w:ascii="Arial" w:hAnsi="Arial" w:cs="Arial"/>
          <w:sz w:val="24"/>
          <w:szCs w:val="24"/>
        </w:rPr>
        <w:t>n</w:t>
      </w:r>
      <w:r w:rsidRPr="006B3D43">
        <w:rPr>
          <w:rFonts w:ascii="Arial" w:hAnsi="Arial" w:cs="Arial"/>
          <w:sz w:val="24"/>
          <w:szCs w:val="24"/>
        </w:rPr>
        <w:t xml:space="preserve"> ERGIC membrane</w:t>
      </w:r>
      <w:r w:rsidR="00123B02" w:rsidRPr="006B3D43">
        <w:rPr>
          <w:rFonts w:ascii="Arial" w:hAnsi="Arial" w:cs="Arial"/>
          <w:sz w:val="24"/>
          <w:szCs w:val="24"/>
        </w:rPr>
        <w:t xml:space="preserve"> model</w:t>
      </w:r>
      <w:r w:rsidR="002071A8" w:rsidRPr="006B3D43">
        <w:rPr>
          <w:rFonts w:ascii="Arial" w:hAnsi="Arial" w:cs="Arial"/>
          <w:sz w:val="24"/>
          <w:szCs w:val="24"/>
        </w:rPr>
        <w:t xml:space="preserve"> (</w:t>
      </w:r>
      <w:r w:rsidR="00DE3E61" w:rsidRPr="006B3D43">
        <w:rPr>
          <w:rFonts w:ascii="Arial" w:hAnsi="Arial" w:cs="Arial"/>
          <w:sz w:val="24"/>
          <w:szCs w:val="24"/>
        </w:rPr>
        <w:t>d</w:t>
      </w:r>
      <w:r w:rsidR="002071A8" w:rsidRPr="006B3D43">
        <w:rPr>
          <w:rFonts w:ascii="Arial" w:hAnsi="Arial" w:cs="Arial"/>
          <w:sz w:val="24"/>
          <w:szCs w:val="24"/>
        </w:rPr>
        <w:t xml:space="preserve">etails in </w:t>
      </w:r>
      <w:r w:rsidR="006A3CB4" w:rsidRPr="00453216">
        <w:rPr>
          <w:rFonts w:ascii="Arial" w:hAnsi="Arial" w:cs="Arial"/>
          <w:b/>
          <w:bCs/>
          <w:sz w:val="24"/>
          <w:szCs w:val="24"/>
        </w:rPr>
        <w:t>Materials and Methods</w:t>
      </w:r>
      <w:r w:rsidR="002071A8" w:rsidRPr="006B3D43">
        <w:rPr>
          <w:rFonts w:ascii="Arial" w:hAnsi="Arial" w:cs="Arial"/>
          <w:sz w:val="24"/>
          <w:szCs w:val="24"/>
        </w:rPr>
        <w:t>)</w:t>
      </w:r>
      <w:r w:rsidRPr="006B3D43">
        <w:rPr>
          <w:rFonts w:ascii="Arial" w:hAnsi="Arial" w:cs="Arial"/>
          <w:sz w:val="24"/>
          <w:szCs w:val="24"/>
        </w:rPr>
        <w:t xml:space="preserve">. </w:t>
      </w:r>
      <w:r w:rsidR="00F41E65">
        <w:rPr>
          <w:rFonts w:ascii="Arial" w:hAnsi="Arial" w:cs="Arial"/>
          <w:sz w:val="24"/>
          <w:szCs w:val="24"/>
        </w:rPr>
        <w:t xml:space="preserve">The </w:t>
      </w:r>
      <w:r w:rsidR="00123B02" w:rsidRPr="006B3D43">
        <w:rPr>
          <w:rFonts w:ascii="Arial" w:hAnsi="Arial" w:cs="Arial"/>
          <w:sz w:val="24"/>
          <w:szCs w:val="24"/>
        </w:rPr>
        <w:t>M</w:t>
      </w:r>
      <w:r w:rsidR="006A3CB4">
        <w:rPr>
          <w:rFonts w:ascii="Arial" w:hAnsi="Arial" w:cs="Arial"/>
          <w:sz w:val="24"/>
          <w:szCs w:val="24"/>
        </w:rPr>
        <w:t>an</w:t>
      </w:r>
      <w:r w:rsidR="00123B02" w:rsidRPr="00C71D29">
        <w:rPr>
          <w:rFonts w:ascii="Arial" w:hAnsi="Arial" w:cs="Arial"/>
          <w:sz w:val="24"/>
          <w:szCs w:val="24"/>
          <w:vertAlign w:val="subscript"/>
        </w:rPr>
        <w:t>9</w:t>
      </w:r>
      <w:r w:rsidR="006A3CB4">
        <w:rPr>
          <w:rFonts w:ascii="Arial" w:hAnsi="Arial" w:cs="Arial"/>
          <w:sz w:val="24"/>
          <w:szCs w:val="24"/>
        </w:rPr>
        <w:t>GlcNAc</w:t>
      </w:r>
      <w:r w:rsidR="006A3CB4" w:rsidRPr="00C71D29">
        <w:rPr>
          <w:rFonts w:ascii="Arial" w:hAnsi="Arial" w:cs="Arial"/>
          <w:sz w:val="24"/>
          <w:szCs w:val="24"/>
          <w:vertAlign w:val="subscript"/>
        </w:rPr>
        <w:t>2</w:t>
      </w:r>
      <w:r w:rsidR="00123B02" w:rsidRPr="006B3D43">
        <w:rPr>
          <w:rFonts w:ascii="Arial" w:hAnsi="Arial" w:cs="Arial"/>
          <w:sz w:val="24"/>
          <w:szCs w:val="24"/>
        </w:rPr>
        <w:t xml:space="preserve"> glycan</w:t>
      </w:r>
      <w:r w:rsidR="006A3CB4">
        <w:rPr>
          <w:rFonts w:ascii="Arial" w:hAnsi="Arial" w:cs="Arial"/>
          <w:sz w:val="24"/>
          <w:szCs w:val="24"/>
        </w:rPr>
        <w:t xml:space="preserve"> (Man-9)</w:t>
      </w:r>
      <w:r w:rsidR="00123B02" w:rsidRPr="006B3D43">
        <w:rPr>
          <w:rFonts w:ascii="Arial" w:hAnsi="Arial" w:cs="Arial"/>
          <w:sz w:val="24"/>
          <w:szCs w:val="24"/>
        </w:rPr>
        <w:t>, which represents the primary substrate for glycan processing enzymes, was added to each PNGS to understand the effect of protein and glycan dynamics on glycan processing. Glycan accessibility to enzymes was then elucidated by calculating the accessible surface area (ASA). To ensure the correct size of probe was used for ASA calculation, we first looked at the structure of mannosidases and glycosyltransferases bound to its substrate</w:t>
      </w:r>
      <w:r w:rsidR="00FE7107" w:rsidRPr="006B3D43">
        <w:rPr>
          <w:rFonts w:ascii="Arial" w:hAnsi="Arial" w:cs="Arial"/>
          <w:sz w:val="24"/>
          <w:szCs w:val="24"/>
        </w:rPr>
        <w:t xml:space="preserve"> or substrate analogue</w:t>
      </w:r>
      <w:r w:rsidR="00642066" w:rsidRPr="006B3D43">
        <w:rPr>
          <w:rFonts w:ascii="Arial" w:hAnsi="Arial" w:cs="Arial"/>
          <w:sz w:val="24"/>
          <w:szCs w:val="24"/>
        </w:rPr>
        <w:t xml:space="preserve"> </w:t>
      </w:r>
      <w:r w:rsidR="00642066" w:rsidRPr="006B3D43">
        <w:rPr>
          <w:rFonts w:ascii="Arial" w:hAnsi="Arial" w:cs="Arial"/>
          <w:sz w:val="24"/>
          <w:szCs w:val="24"/>
        </w:rPr>
        <w:fldChar w:fldCharType="begin" w:fldLock="1"/>
      </w:r>
      <w:r w:rsidR="00C20977">
        <w:rPr>
          <w:rFonts w:ascii="Arial" w:hAnsi="Arial" w:cs="Arial"/>
          <w:sz w:val="24"/>
          <w:szCs w:val="24"/>
        </w:rPr>
        <w:instrText>ADDIN CSL_CITATION {"citationItems":[{"id":"ITEM-1","itemData":{"DOI":"10.1073/pnas.1611213113","ISSN":"10916490","PMID":"27856750","abstract":"Maturation of Asn-linked oligosaccharides in the eukaryotic secretory pathway requires the trimming of nascent glycan chains to remove all glucose and several mannose residues before extension into complex-type structures on the cell surface and secreted glycoproteins. Multiple glycoside hydrolase family 47 (GH47) α-mannosidases, including endoplasmic reticulum (ER) α-mannosidase I (ERManI) and Golgi α-mannosidase IA (GMIA), are responsible for cleavage of terminal α1,2-linked mannose residues to produce uniquely trimmed oligomannose isomers that are necessary for ER glycoprotein quality control and glycan maturation. ERManI and GMIA have similar catalytic domain structures, but each enzyme cleaves distinct residues from tribranched oligomannose glycan substrates. The structural basis for branch-specific cleavage by ERManI and GMIA was explored by replacing an essential enzyme-bound Ca2+ ion with a lanthanum (La3+) ion. This ion swap led to enzyme inactivation while retaining high-affinity substrate interactions. Cocrystallization of La3+-bound enzymes with Man9GlcNAc2 substrate analogs revealed enzyme-substrate complexes with distinct modes of glycan branch insertion into the respective enzyme active-site clefts. Both enzymes had glycan interactions that extended across the entire glycan structure, but each enzyme engaged a different glycan branch and used different sets of glycan interactions. Additional mutagenesis and time-course studies of glycan cleavage probed the structural basis of enzyme specificity. The results provide insights into the enzyme catalytic mechanisms and reveal structural snapshots of the sequential glycan cleavage events. The data also indicate that full steric access to glycan substrates determines the efficiency of mannose-trimming reactions that control the conversion to complex-type structures in mammalian cells.","author":[{"dropping-particle":"","family":"Xiang","given":"Yong","non-dropping-particle":"","parse-names":false,"suffix":""},{"dropping-particle":"","family":"Karaveg","given":"Khanita","non-dropping-particle":"","parse-names":false,"suffix":""},{"dropping-particle":"","family":"Moremen","given":"Kelley W.","non-dropping-particle":"","parse-names":false,"suffix":""}],"container-title":"Proceedings of the National Academy of Sciences of the United States of America","id":"ITEM-1","issue":"49","issued":{"date-parts":[["2016"]]},"page":"E7890-E7899","title":"Substrate recognition and catalysis by GH47 α-mannosidases involved in Asn-linked glycan maturation in the mammalian secretory pathway","type":"article-journal","volume":"113"},"uris":["http://www.mendeley.com/documents/?uuid=699485f1-5f95-4c16-b864-d18230060f56"]},{"id":"ITEM-2","itemData":{"DOI":"10.1016/j.jmb.2006.04.058","ISSN":"00222836","PMID":"16769084","abstract":"The Golgi-resident glycosyltransferase, UDP-N-acetyl-d-glucosamine:α-3-d-mannoside β-1,2-N-acetylglucosaminyltransferase I (GnT I), initiates the conversion of high-mannose oligosaccharides to complex and hybrid structures in the biosynthesis of N-linked glycans. Reported here are the X-ray crystal structures of GnT I in complex with UDP-CH2-GlcNAc (a non-hydrolyzable C-glycosidic phosphonate), UDP-2-deoxy-2-fluoro-glucose, UDP-glucose and UDP. Collectively, these structures provide evidence for the importance of the GlcNAc moiety and its N-acetyl group in donor substrate binding, as well as insight into the role played by the flexible 318-330 loop in substrate binding and product release. In addition, the UDP-CH2-GlcNAc complex reveals a well-defined glycerol molecule poised for nucleophilic attack on the C1 atom of the donor substrate analogue. The position and orientation of this glycerol molecule have allowed us to model the binding of the Manα1,3Manβ1 moiety of the acceptor substrate and, based on the model, to suggest a rationalization for the main determinants of GnT I acceptor specificity. © 2006.","author":[{"dropping-particle":"","family":"Gordon","given":"Roni D.","non-dropping-particle":"","parse-names":false,"suffix":""},{"dropping-particle":"","family":"Sivarajah","given":"Prashanth","non-dropping-particle":"","parse-names":false,"suffix":""},{"dropping-particle":"","family":"Satkunarajah","given":"Malathy","non-dropping-particle":"","parse-names":false,"suffix":""},{"dropping-particle":"","family":"Ma","given":"Dengbo","non-dropping-particle":"","parse-names":false,"suffix":""},{"dropping-particle":"","family":"Tarling","given":"Chris A.","non-dropping-particle":"","parse-names":false,"suffix":""},{"dropping-particle":"","family":"Vizitiu","given":"Dragos","non-dropping-particle":"","parse-names":false,"suffix":""},{"dropping-particle":"","family":"Withers","given":"Stephen G.","non-dropping-particle":"","parse-names":false,"suffix":""},{"dropping-particle":"","family":"Rini","given":"James M.","non-dropping-particle":"","parse-names":false,"suffix":""}],"container-title":"Journal of Molecular Biology","id":"ITEM-2","issue":"1","issued":{"date-parts":[["2006"]]},"page":"67-79","title":"X-ray Crystal Structures of Rabbit N-acetylglucosaminyltransferase I (GnT I) in Complex with Donor Substrate Analogues","type":"article-journal","volume":"360"},"uris":["http://www.mendeley.com/documents/?uuid=f02eb62b-970f-4809-b9d6-d0fbf7f950d7"]}],"mendeley":{"formattedCitation":"&lt;sup&gt;91,92&lt;/sup&gt;","plainTextFormattedCitation":"91,92","previouslyFormattedCitation":"&lt;sup&gt;91,92&lt;/sup&gt;"},"properties":{"noteIndex":0},"schema":"https://github.com/citation-style-language/schema/raw/master/csl-citation.json"}</w:instrText>
      </w:r>
      <w:r w:rsidR="00642066" w:rsidRPr="006B3D43">
        <w:rPr>
          <w:rFonts w:ascii="Arial" w:hAnsi="Arial" w:cs="Arial"/>
          <w:sz w:val="24"/>
          <w:szCs w:val="24"/>
        </w:rPr>
        <w:fldChar w:fldCharType="separate"/>
      </w:r>
      <w:r w:rsidR="00ED58B4" w:rsidRPr="00ED58B4">
        <w:rPr>
          <w:rFonts w:ascii="Arial" w:hAnsi="Arial" w:cs="Arial"/>
          <w:noProof/>
          <w:sz w:val="24"/>
          <w:szCs w:val="24"/>
          <w:vertAlign w:val="superscript"/>
        </w:rPr>
        <w:t>91,92</w:t>
      </w:r>
      <w:r w:rsidR="00642066" w:rsidRPr="006B3D43">
        <w:rPr>
          <w:rFonts w:ascii="Arial" w:hAnsi="Arial" w:cs="Arial"/>
          <w:sz w:val="24"/>
          <w:szCs w:val="24"/>
        </w:rPr>
        <w:fldChar w:fldCharType="end"/>
      </w:r>
      <w:r w:rsidR="00642066" w:rsidRPr="006B3D43">
        <w:rPr>
          <w:rFonts w:ascii="Arial" w:hAnsi="Arial" w:cs="Arial"/>
          <w:sz w:val="24"/>
          <w:szCs w:val="24"/>
        </w:rPr>
        <w:t xml:space="preserve">. </w:t>
      </w:r>
      <w:r w:rsidR="00FE7107" w:rsidRPr="006B3D43">
        <w:rPr>
          <w:rFonts w:ascii="Arial" w:hAnsi="Arial" w:cs="Arial"/>
          <w:sz w:val="24"/>
          <w:szCs w:val="24"/>
        </w:rPr>
        <w:t xml:space="preserve">By measuring the distance between the substrate binding site and the outer surface of the enzymes, we found a probe with 1.25-1.5 nm radius would best approximate the </w:t>
      </w:r>
      <w:r w:rsidR="00662AE6" w:rsidRPr="006B3D43">
        <w:rPr>
          <w:rFonts w:ascii="Arial" w:hAnsi="Arial" w:cs="Arial"/>
          <w:sz w:val="24"/>
          <w:szCs w:val="24"/>
        </w:rPr>
        <w:t xml:space="preserve">size of the </w:t>
      </w:r>
      <w:r w:rsidR="00FE7107" w:rsidRPr="006B3D43">
        <w:rPr>
          <w:rFonts w:ascii="Arial" w:hAnsi="Arial" w:cs="Arial"/>
          <w:sz w:val="24"/>
          <w:szCs w:val="24"/>
        </w:rPr>
        <w:t>enzymes (</w:t>
      </w:r>
      <w:r w:rsidR="00F30EED">
        <w:rPr>
          <w:rFonts w:ascii="Arial" w:hAnsi="Arial" w:cs="Arial"/>
          <w:b/>
          <w:bCs/>
          <w:sz w:val="24"/>
          <w:szCs w:val="24"/>
        </w:rPr>
        <w:t>Figure S3</w:t>
      </w:r>
      <w:r w:rsidR="00FE7107" w:rsidRPr="006B3D43">
        <w:rPr>
          <w:rFonts w:ascii="Arial" w:hAnsi="Arial" w:cs="Arial"/>
          <w:sz w:val="24"/>
          <w:szCs w:val="24"/>
        </w:rPr>
        <w:t xml:space="preserve">). </w:t>
      </w:r>
      <w:r w:rsidR="00E71885" w:rsidRPr="006B3D43">
        <w:rPr>
          <w:rFonts w:ascii="Arial" w:hAnsi="Arial" w:cs="Arial"/>
          <w:sz w:val="24"/>
          <w:szCs w:val="24"/>
        </w:rPr>
        <w:t xml:space="preserve">We measured ASA values for chain A of the S protein using probes of 1.25 and 1.5 nm radii and found they both gave very similar results. </w:t>
      </w:r>
      <w:r w:rsidR="00662AE6" w:rsidRPr="006B3D43">
        <w:rPr>
          <w:rFonts w:ascii="Arial" w:hAnsi="Arial" w:cs="Arial"/>
          <w:sz w:val="24"/>
          <w:szCs w:val="24"/>
        </w:rPr>
        <w:t xml:space="preserve">Plotting accessible points of a 1.5 nm probe around individual glycans also indicated that a 1.5 nm radius would be required for the </w:t>
      </w:r>
      <w:r w:rsidR="00D266BD" w:rsidRPr="006B3D43">
        <w:rPr>
          <w:rFonts w:ascii="Arial" w:hAnsi="Arial" w:cs="Arial"/>
          <w:sz w:val="24"/>
          <w:szCs w:val="24"/>
        </w:rPr>
        <w:t>M</w:t>
      </w:r>
      <w:r w:rsidR="006A3CB4">
        <w:rPr>
          <w:rFonts w:ascii="Arial" w:hAnsi="Arial" w:cs="Arial"/>
          <w:sz w:val="24"/>
          <w:szCs w:val="24"/>
        </w:rPr>
        <w:t>an-</w:t>
      </w:r>
      <w:r w:rsidR="00D266BD" w:rsidRPr="006B3D43">
        <w:rPr>
          <w:rFonts w:ascii="Arial" w:hAnsi="Arial" w:cs="Arial"/>
          <w:sz w:val="24"/>
          <w:szCs w:val="24"/>
        </w:rPr>
        <w:t xml:space="preserve">9 </w:t>
      </w:r>
      <w:r w:rsidR="00662AE6" w:rsidRPr="006B3D43">
        <w:rPr>
          <w:rFonts w:ascii="Arial" w:hAnsi="Arial" w:cs="Arial"/>
          <w:sz w:val="24"/>
          <w:szCs w:val="24"/>
        </w:rPr>
        <w:t xml:space="preserve">glycan to be </w:t>
      </w:r>
      <w:r w:rsidR="00662AE6" w:rsidRPr="006B3D43">
        <w:rPr>
          <w:rFonts w:ascii="Arial" w:hAnsi="Arial" w:cs="Arial"/>
          <w:sz w:val="24"/>
          <w:szCs w:val="24"/>
        </w:rPr>
        <w:lastRenderedPageBreak/>
        <w:t>accessed by mannosidases and glycosyltransferases. We therefore used a 1.5 nm probe to measure ASA of each M</w:t>
      </w:r>
      <w:r w:rsidR="006A3CB4">
        <w:rPr>
          <w:rFonts w:ascii="Arial" w:hAnsi="Arial" w:cs="Arial"/>
          <w:sz w:val="24"/>
          <w:szCs w:val="24"/>
        </w:rPr>
        <w:t>an-</w:t>
      </w:r>
      <w:r w:rsidR="00662AE6" w:rsidRPr="006B3D43">
        <w:rPr>
          <w:rFonts w:ascii="Arial" w:hAnsi="Arial" w:cs="Arial"/>
          <w:sz w:val="24"/>
          <w:szCs w:val="24"/>
        </w:rPr>
        <w:t>9 glycan on the S protein model during the MD simulation.</w:t>
      </w:r>
    </w:p>
    <w:p w14:paraId="1515EB40" w14:textId="4AC827B7" w:rsidR="008D0913" w:rsidRPr="006B3D43" w:rsidRDefault="008D0913" w:rsidP="008D0913">
      <w:pPr>
        <w:spacing w:line="360" w:lineRule="auto"/>
        <w:ind w:firstLine="720"/>
        <w:jc w:val="both"/>
        <w:rPr>
          <w:rFonts w:ascii="Arial" w:hAnsi="Arial" w:cs="Arial"/>
          <w:sz w:val="24"/>
          <w:szCs w:val="24"/>
        </w:rPr>
      </w:pPr>
      <w:r w:rsidRPr="006B3D43">
        <w:rPr>
          <w:rFonts w:ascii="Arial" w:hAnsi="Arial" w:cs="Arial"/>
          <w:sz w:val="24"/>
          <w:szCs w:val="24"/>
        </w:rPr>
        <w:t>Comparing the ASA of each glycan across each protomer reveals a diverse range of accessibility (</w:t>
      </w:r>
      <w:r w:rsidRPr="006B3D43">
        <w:rPr>
          <w:rFonts w:ascii="Arial" w:hAnsi="Arial" w:cs="Arial"/>
          <w:b/>
          <w:bCs/>
          <w:sz w:val="24"/>
          <w:szCs w:val="24"/>
        </w:rPr>
        <w:t>Figure 4A</w:t>
      </w:r>
      <w:r>
        <w:rPr>
          <w:rFonts w:ascii="Arial" w:hAnsi="Arial" w:cs="Arial"/>
          <w:b/>
          <w:bCs/>
          <w:sz w:val="24"/>
          <w:szCs w:val="24"/>
        </w:rPr>
        <w:t xml:space="preserve"> and B</w:t>
      </w:r>
      <w:r w:rsidRPr="006B3D43">
        <w:rPr>
          <w:rFonts w:ascii="Arial" w:hAnsi="Arial" w:cs="Arial"/>
          <w:sz w:val="24"/>
          <w:szCs w:val="24"/>
        </w:rPr>
        <w:t>). Certain sites such as N234</w:t>
      </w:r>
      <w:r>
        <w:rPr>
          <w:rFonts w:ascii="Arial" w:hAnsi="Arial" w:cs="Arial"/>
          <w:sz w:val="24"/>
          <w:szCs w:val="24"/>
        </w:rPr>
        <w:t>,</w:t>
      </w:r>
      <w:r w:rsidRPr="006B3D43">
        <w:rPr>
          <w:rFonts w:ascii="Arial" w:hAnsi="Arial" w:cs="Arial"/>
          <w:sz w:val="24"/>
          <w:szCs w:val="24"/>
        </w:rPr>
        <w:t xml:space="preserve"> were determined to possess low ASA values (</w:t>
      </w:r>
      <w:r>
        <w:rPr>
          <w:rFonts w:ascii="Arial" w:hAnsi="Arial" w:cs="Arial"/>
          <w:b/>
          <w:bCs/>
          <w:sz w:val="24"/>
          <w:szCs w:val="24"/>
        </w:rPr>
        <w:t>Figure S4A</w:t>
      </w:r>
      <w:r w:rsidRPr="006B3D43">
        <w:rPr>
          <w:rFonts w:ascii="Arial" w:hAnsi="Arial" w:cs="Arial"/>
          <w:sz w:val="24"/>
          <w:szCs w:val="24"/>
        </w:rPr>
        <w:t xml:space="preserve">), indicating that this site is extremely buried, correlating with observations that </w:t>
      </w:r>
      <w:r>
        <w:rPr>
          <w:rFonts w:ascii="Arial" w:hAnsi="Arial" w:cs="Arial"/>
          <w:sz w:val="24"/>
          <w:szCs w:val="24"/>
        </w:rPr>
        <w:t>N234</w:t>
      </w:r>
      <w:r w:rsidRPr="006B3D43">
        <w:rPr>
          <w:rFonts w:ascii="Arial" w:hAnsi="Arial" w:cs="Arial"/>
          <w:sz w:val="24"/>
          <w:szCs w:val="24"/>
        </w:rPr>
        <w:t xml:space="preserve"> is the least processed on all recombinant and viral derived S protein. Conversely, the most exposed site across all three chains is N74</w:t>
      </w:r>
      <w:r>
        <w:rPr>
          <w:rFonts w:ascii="Arial" w:hAnsi="Arial" w:cs="Arial"/>
          <w:sz w:val="24"/>
          <w:szCs w:val="24"/>
        </w:rPr>
        <w:t xml:space="preserve"> (</w:t>
      </w:r>
      <w:r>
        <w:rPr>
          <w:rFonts w:ascii="Arial" w:hAnsi="Arial" w:cs="Arial"/>
          <w:b/>
          <w:bCs/>
          <w:sz w:val="24"/>
          <w:szCs w:val="24"/>
        </w:rPr>
        <w:t>Figure S4B</w:t>
      </w:r>
      <w:r>
        <w:rPr>
          <w:rFonts w:ascii="Arial" w:hAnsi="Arial" w:cs="Arial"/>
          <w:sz w:val="24"/>
          <w:szCs w:val="24"/>
        </w:rPr>
        <w:t>)</w:t>
      </w:r>
      <w:r w:rsidRPr="006B3D43">
        <w:rPr>
          <w:rFonts w:ascii="Arial" w:hAnsi="Arial" w:cs="Arial"/>
          <w:sz w:val="24"/>
          <w:szCs w:val="24"/>
        </w:rPr>
        <w:t>. This glycan is highly processed when analyzed by LC-MS. Interestingly</w:t>
      </w:r>
      <w:r>
        <w:rPr>
          <w:rFonts w:ascii="Arial" w:hAnsi="Arial" w:cs="Arial"/>
          <w:sz w:val="24"/>
          <w:szCs w:val="24"/>
        </w:rPr>
        <w:t>,</w:t>
      </w:r>
      <w:r w:rsidRPr="006B3D43">
        <w:rPr>
          <w:rFonts w:ascii="Arial" w:hAnsi="Arial" w:cs="Arial"/>
          <w:sz w:val="24"/>
          <w:szCs w:val="24"/>
        </w:rPr>
        <w:t xml:space="preserve"> previous analyses have shown that N74 possesses sulfated glycans</w:t>
      </w:r>
      <w:r>
        <w:rPr>
          <w:rFonts w:ascii="Arial" w:hAnsi="Arial" w:cs="Arial"/>
          <w:sz w:val="24"/>
          <w:szCs w:val="24"/>
        </w:rPr>
        <w:t xml:space="preserve"> </w:t>
      </w:r>
      <w:r w:rsidRPr="006B3D43">
        <w:rPr>
          <w:rFonts w:ascii="Arial" w:hAnsi="Arial" w:cs="Arial"/>
          <w:sz w:val="24"/>
          <w:szCs w:val="24"/>
        </w:rPr>
        <w:fldChar w:fldCharType="begin" w:fldLock="1"/>
      </w:r>
      <w:r>
        <w:rPr>
          <w:rFonts w:ascii="Arial" w:hAnsi="Arial" w:cs="Arial"/>
          <w:sz w:val="24"/>
          <w:szCs w:val="24"/>
        </w:rPr>
        <w:instrText>ADDIN CSL_CITATION {"citationItems":[{"id":"ITEM-1","itemData":{"DOI":"10.1016/j.chom.2020.08.004","ISSN":"19346069","PMID":"32841605","abstract":"The SARS-CoV-2 betacoronavirus uses its highly glycosylated trimeric Spike protein to bind to the cell surface receptor angiotensin converting enzyme 2 (ACE2) glycoprotein and facilitate host cell entry. We utilized glycomics-informed glycoproteomics to characterize site-specific microheterogeneity of glycosylation for a recombinant trimer Spike mimetic immunogen and for a soluble version of human ACE2. We combined this information with bioinformatics analyses of natural variants and with existing 3D structures of both glycoproteins to generate molecular dynamics simulations of each glycoprotein both alone and interacting with one another. Our results highlight roles for glycans in sterically masking polypeptide epitopes and directly modulating Spike-ACE2 interactions. Furthermore, our results illustrate the impact of viral evolution and divergence on Spike glycosylation, as well as the influence of natural variants on ACE2 receptor glycosylation. Taken together, these data can facilitate immunogen design to achieve antibody neutralization and inform therapeutic strategies to inhibit viral infection.","author":[{"dropping-particle":"","family":"Zhao","given":"Peng","non-dropping-particle":"","parse-names":false,"suffix":""},{"dropping-particle":"","family":"Praissman","given":"Jeremy L.","non-dropping-particle":"","parse-names":false,"suffix":""},{"dropping-particle":"","family":"Grant","given":"Oliver C.","non-dropping-particle":"","parse-names":false,"suffix":""},{"dropping-particle":"","family":"Cai","given":"Yongfei","non-dropping-particle":"","parse-names":false,"suffix":""},{"dropping-particle":"","family":"Xiao","given":"Tianshu","non-dropping-particle":"","parse-names":false,"suffix":""},{"dropping-particle":"","family":"Rosenbalm","given":"Katelyn E.","non-dropping-particle":"","parse-names":false,"suffix":""},{"dropping-particle":"","family":"Aoki","given":"Kazuhiro","non-dropping-particle":"","parse-names":false,"suffix":""},{"dropping-particle":"","family":"Kellman","given":"Benjamin P.","non-dropping-particle":"","parse-names":false,"suffix":""},{"dropping-particle":"","family":"Bridger","given":"Robert","non-dropping-particle":"","parse-names":false,"suffix":""},{"dropping-particle":"","family":"Barouch","given":"Dan H.","non-dropping-particle":"","parse-names":false,"suffix":""},{"dropping-particle":"","family":"Brindley","given":"Melinda A.","non-dropping-particle":"","parse-names":false,"suffix":""},{"dropping-particle":"","family":"Lewis","given":"Nathan E.","non-dropping-particle":"","parse-names":false,"suffix":""},{"dropping-particle":"","family":"Tiemeyer","given":"Michael","non-dropping-particle":"","parse-names":false,"suffix":""},{"dropping-particle":"","family":"Chen","given":"Bing","non-dropping-particle":"","parse-names":false,"suffix":""},{"dropping-particle":"","family":"Woods","given":"Robert J.","non-dropping-particle":"","parse-names":false,"suffix":""},{"dropping-particle":"","family":"Wells","given":"Lance","non-dropping-particle":"","parse-names":false,"suffix":""}],"container-title":"Cell Host and Microbe","id":"ITEM-1","issue":"4","issued":{"date-parts":[["2020","10","7"]]},"page":"586-601.e6","publisher":"Cell Press","title":"Virus-Receptor Interactions of Glycosylated SARS-CoV-2 Spike and Human ACE2 Receptor","type":"article-journal","volume":"28"},"uris":["http://www.mendeley.com/documents/?uuid=7dbbbbb9-67b0-3c73-9fb0-9bdec9b9ae3b"]}],"mendeley":{"formattedCitation":"&lt;sup&gt;15&lt;/sup&gt;","plainTextFormattedCitation":"15","previouslyFormattedCitation":"&lt;sup&gt;15&lt;/sup&gt;"},"properties":{"noteIndex":0},"schema":"https://github.com/citation-style-language/schema/raw/master/csl-citation.json"}</w:instrText>
      </w:r>
      <w:r w:rsidRPr="006B3D43">
        <w:rPr>
          <w:rFonts w:ascii="Arial" w:hAnsi="Arial" w:cs="Arial"/>
          <w:sz w:val="24"/>
          <w:szCs w:val="24"/>
        </w:rPr>
        <w:fldChar w:fldCharType="separate"/>
      </w:r>
      <w:r w:rsidRPr="008737C8">
        <w:rPr>
          <w:rFonts w:ascii="Arial" w:hAnsi="Arial" w:cs="Arial"/>
          <w:noProof/>
          <w:sz w:val="24"/>
          <w:szCs w:val="24"/>
          <w:vertAlign w:val="superscript"/>
        </w:rPr>
        <w:t>15</w:t>
      </w:r>
      <w:r w:rsidRPr="006B3D43">
        <w:rPr>
          <w:rFonts w:ascii="Arial" w:hAnsi="Arial" w:cs="Arial"/>
          <w:sz w:val="24"/>
          <w:szCs w:val="24"/>
        </w:rPr>
        <w:fldChar w:fldCharType="end"/>
      </w:r>
      <w:r w:rsidRPr="006B3D43">
        <w:rPr>
          <w:rFonts w:ascii="Arial" w:hAnsi="Arial" w:cs="Arial"/>
          <w:sz w:val="24"/>
          <w:szCs w:val="24"/>
        </w:rPr>
        <w:t>. We have included sulfated compositions in our glycan library to search the MS data and observe that N74 contains multiple sulfated glycan compositions on all samples produced in HEK293 cells (</w:t>
      </w:r>
      <w:r>
        <w:rPr>
          <w:rFonts w:ascii="Arial" w:hAnsi="Arial" w:cs="Arial"/>
          <w:b/>
          <w:bCs/>
          <w:sz w:val="24"/>
          <w:szCs w:val="24"/>
        </w:rPr>
        <w:t>Table S1</w:t>
      </w:r>
      <w:r w:rsidRPr="00C71D29">
        <w:rPr>
          <w:rFonts w:ascii="Arial" w:hAnsi="Arial" w:cs="Arial"/>
          <w:sz w:val="24"/>
          <w:szCs w:val="24"/>
        </w:rPr>
        <w:t>)</w:t>
      </w:r>
      <w:r w:rsidRPr="006B3D43">
        <w:rPr>
          <w:rFonts w:ascii="Arial" w:hAnsi="Arial" w:cs="Arial"/>
          <w:sz w:val="24"/>
          <w:szCs w:val="24"/>
        </w:rPr>
        <w:t xml:space="preserve">. The higher accessibility of this site may explain why sulfated glycans are observed at higher abundances at this site, but not others. Some glycans show a distinctly bimodal accessibility pattern, wherein </w:t>
      </w:r>
      <w:r>
        <w:rPr>
          <w:rFonts w:ascii="Arial" w:hAnsi="Arial" w:cs="Arial"/>
          <w:sz w:val="24"/>
          <w:szCs w:val="24"/>
        </w:rPr>
        <w:t>high and low ASA values were observed along the trajectory</w:t>
      </w:r>
      <w:r w:rsidRPr="006B3D43" w:rsidDel="009378B3">
        <w:rPr>
          <w:rFonts w:ascii="Arial" w:hAnsi="Arial" w:cs="Arial"/>
          <w:sz w:val="24"/>
          <w:szCs w:val="24"/>
        </w:rPr>
        <w:t xml:space="preserve"> </w:t>
      </w:r>
      <w:r w:rsidRPr="006B3D43">
        <w:rPr>
          <w:rFonts w:ascii="Arial" w:hAnsi="Arial" w:cs="Arial"/>
          <w:sz w:val="24"/>
          <w:szCs w:val="24"/>
        </w:rPr>
        <w:t>(</w:t>
      </w:r>
      <w:r>
        <w:rPr>
          <w:rFonts w:ascii="Arial" w:hAnsi="Arial" w:cs="Arial"/>
          <w:b/>
          <w:bCs/>
          <w:sz w:val="24"/>
          <w:szCs w:val="24"/>
        </w:rPr>
        <w:t>Figure S5</w:t>
      </w:r>
      <w:r w:rsidRPr="006B3D43">
        <w:rPr>
          <w:rFonts w:ascii="Arial" w:hAnsi="Arial" w:cs="Arial"/>
          <w:sz w:val="24"/>
          <w:szCs w:val="24"/>
        </w:rPr>
        <w:t xml:space="preserve">). For example, </w:t>
      </w:r>
      <w:r>
        <w:rPr>
          <w:rFonts w:ascii="Arial" w:hAnsi="Arial" w:cs="Arial"/>
          <w:sz w:val="24"/>
          <w:szCs w:val="24"/>
        </w:rPr>
        <w:t>two</w:t>
      </w:r>
      <w:r w:rsidRPr="006B3D43">
        <w:rPr>
          <w:rFonts w:ascii="Arial" w:hAnsi="Arial" w:cs="Arial"/>
          <w:sz w:val="24"/>
          <w:szCs w:val="24"/>
        </w:rPr>
        <w:t xml:space="preserve"> of the N122 glycans </w:t>
      </w:r>
      <w:r>
        <w:rPr>
          <w:rFonts w:ascii="Arial" w:hAnsi="Arial" w:cs="Arial"/>
          <w:sz w:val="24"/>
          <w:szCs w:val="24"/>
        </w:rPr>
        <w:t>were</w:t>
      </w:r>
      <w:r w:rsidRPr="006B3D43">
        <w:rPr>
          <w:rFonts w:ascii="Arial" w:hAnsi="Arial" w:cs="Arial"/>
          <w:sz w:val="24"/>
          <w:szCs w:val="24"/>
        </w:rPr>
        <w:t xml:space="preserve"> buried within a crevice between the N-terminal domain of one chain and the RBD of an adjacent chain</w:t>
      </w:r>
      <w:r>
        <w:rPr>
          <w:rFonts w:ascii="Arial" w:hAnsi="Arial" w:cs="Arial"/>
          <w:sz w:val="24"/>
          <w:szCs w:val="24"/>
        </w:rPr>
        <w:t xml:space="preserve"> during a portion of the simulation</w:t>
      </w:r>
      <w:r w:rsidRPr="006B3D43">
        <w:rPr>
          <w:rFonts w:ascii="Arial" w:hAnsi="Arial" w:cs="Arial"/>
          <w:sz w:val="24"/>
          <w:szCs w:val="24"/>
        </w:rPr>
        <w:t xml:space="preserve">. Similarly, one of the N603 glycans inserted into a large inter-protomeric groove near the S1/S2 cleavage site. This observation correlates with LC-MS data from both recombinant and viral derived S protein, showing that these two sites are populated by approximately half </w:t>
      </w:r>
      <w:proofErr w:type="spellStart"/>
      <w:r w:rsidRPr="006B3D43">
        <w:rPr>
          <w:rFonts w:ascii="Arial" w:hAnsi="Arial" w:cs="Arial"/>
          <w:sz w:val="24"/>
          <w:szCs w:val="24"/>
        </w:rPr>
        <w:t>oligomannose</w:t>
      </w:r>
      <w:proofErr w:type="spellEnd"/>
      <w:r w:rsidRPr="006B3D43">
        <w:rPr>
          <w:rFonts w:ascii="Arial" w:hAnsi="Arial" w:cs="Arial"/>
          <w:sz w:val="24"/>
          <w:szCs w:val="24"/>
        </w:rPr>
        <w:t>/hybrid and half complex glycans, potentially due to the ability of these glycans to be either buried or exposed on the protein surface. The glycan on N165 also showed bimodal ASA values. However, this is due to the RBD up configuration, which allows N165 glycan to insert into the gap between the RBD and the N-terminal domain, which was not accessible in the RBD down configuration. N165, along with N234 glycans, have been shown to modulate the RBD's conformational dynamics by maintaining the up configuration necessary for ACE2 recognition</w:t>
      </w:r>
      <w:r>
        <w:rPr>
          <w:rFonts w:ascii="Arial" w:hAnsi="Arial" w:cs="Arial"/>
          <w:sz w:val="24"/>
          <w:szCs w:val="24"/>
        </w:rPr>
        <w:t xml:space="preserve"> </w:t>
      </w:r>
      <w:r w:rsidRPr="006B3D43">
        <w:rPr>
          <w:rFonts w:ascii="Arial" w:hAnsi="Arial" w:cs="Arial"/>
          <w:sz w:val="24"/>
          <w:szCs w:val="24"/>
        </w:rPr>
        <w:fldChar w:fldCharType="begin" w:fldLock="1"/>
      </w:r>
      <w:r>
        <w:rPr>
          <w:rFonts w:ascii="Arial" w:hAnsi="Arial" w:cs="Arial"/>
          <w:sz w:val="24"/>
          <w:szCs w:val="24"/>
        </w:rPr>
        <w:instrText>ADDIN CSL_CITATION {"citationItems":[{"id":"ITEM-1","itemData":{"DOI":"10.1021/acscentsci.0c01056","ISSN":"23747951","abstract":"The ongoing COVID-19 pandemic caused by severe acute respiratory syndrome coronavirus 2 (SARS-CoV-2) has resulted in more than 28,000,000 infections and 900,000 deaths worldwide to date. Antibody development efforts mainly revolve around the extensively glycosylated SARS-CoV-2 spike (S) protein, which mediates host cell entry by binding to the angiotensin-converting enzyme 2 (ACE2). Similar to many other viral fusion proteins, the SARS-CoV-2 spike utilizes a glycan shield to thwart the host immune response. Here, we built a full-length model of the glycosylated SARS-CoV-2 S protein, both in the open and closed states, augmenting the available structural and biological data. Multiple microsecond-long, all-atom molecular dynamics simulations were used to provide an atomistic perspective on the roles of glycans and on the protein structure and dynamics. We reveal an essential structural role of N-glycans at sites N165 and N234 in modulating the conformational dynamics of the spike's receptor binding domain (RBD), which is responsible for ACE2 recognition. This finding is corroborated by biolayer interferometry experiments, which show that deletion of these glycans through N165A and N234A mutations significantly reduces binding to ACE2 as a result of the RBD conformational shift toward the “down” state. Additionally, end-to-end accessibility analyses outline a complete overview of the vulnerabilities of the glycan shield of the SARS-CoV-2 S protein, which may be exploited in the therapeutic efforts targeting this molecular machine. Overall, this work presents hitherto unseen functional and structural insights into the SARS-CoV-2 S protein and its glycan coat, providing a strategy to control the conformational plasticity of the RBD that could be harnessed for vaccine development.","author":[{"dropping-particle":"","family":"Casalino","given":"Lorenzo","non-dropping-particle":"","parse-names":false,"suffix":""},{"dropping-particle":"","family":"Gaieb","given":"Zied","non-dropping-particle":"","parse-names":false,"suffix":""},{"dropping-particle":"","family":"Goldsmith","given":"Jory A.","non-dropping-particle":"","parse-names":false,"suffix":""},{"dropping-particle":"","family":"Hjorth","given":"Christy K.","non-dropping-particle":"","parse-names":false,"suffix":""},{"dropping-particle":"","family":"Dommer","given":"Abigail C.","non-dropping-particle":"","parse-names":false,"suffix":""},{"dropping-particle":"","family":"Harbison","given":"Aoife M.","non-dropping-particle":"","parse-names":false,"suffix":""},{"dropping-particle":"","family":"Fogarty","given":"Carl A.","non-dropping-particle":"","parse-names":false,"suffix":""},{"dropping-particle":"","family":"Barros","given":"Emilia P.","non-dropping-particle":"","parse-names":false,"suffix":""},{"dropping-particle":"","family":"Taylor","given":"Bryn C.","non-dropping-particle":"","parse-names":false,"suffix":""},{"dropping-particle":"","family":"Mclellan","given":"Jason S.","non-dropping-particle":"","parse-names":false,"suffix":""},{"dropping-particle":"","family":"Fadda","given":"Elisa","non-dropping-particle":"","parse-names":false,"suffix":""},{"dropping-particle":"","family":"Amaro","given":"Rommie E.","non-dropping-particle":"","parse-names":false,"suffix":""}],"container-title":"ACS Central Science","id":"ITEM-1","issue":"10","issued":{"date-parts":[["2020","10","28"]]},"page":"1722-1734","publisher":"American Chemical Society","title":"Beyond shielding: The roles of glycans in the SARS-CoV-2 spike protein","type":"article-journal","volume":"6"},"uris":["http://www.mendeley.com/documents/?uuid=6bd2407c-82b5-3f0d-8499-c4e83897aa16"]}],"mendeley":{"formattedCitation":"&lt;sup&gt;31&lt;/sup&gt;","plainTextFormattedCitation":"31","previouslyFormattedCitation":"&lt;sup&gt;31&lt;/sup&gt;"},"properties":{"noteIndex":0},"schema":"https://github.com/citation-style-language/schema/raw/master/csl-citation.json"}</w:instrText>
      </w:r>
      <w:r w:rsidRPr="006B3D43">
        <w:rPr>
          <w:rFonts w:ascii="Arial" w:hAnsi="Arial" w:cs="Arial"/>
          <w:sz w:val="24"/>
          <w:szCs w:val="24"/>
        </w:rPr>
        <w:fldChar w:fldCharType="separate"/>
      </w:r>
      <w:r w:rsidRPr="007774B6">
        <w:rPr>
          <w:rFonts w:ascii="Arial" w:hAnsi="Arial" w:cs="Arial"/>
          <w:noProof/>
          <w:sz w:val="24"/>
          <w:szCs w:val="24"/>
          <w:vertAlign w:val="superscript"/>
        </w:rPr>
        <w:t>31</w:t>
      </w:r>
      <w:r w:rsidRPr="006B3D43">
        <w:rPr>
          <w:rFonts w:ascii="Arial" w:hAnsi="Arial" w:cs="Arial"/>
          <w:sz w:val="24"/>
          <w:szCs w:val="24"/>
        </w:rPr>
        <w:fldChar w:fldCharType="end"/>
      </w:r>
      <w:r w:rsidRPr="006B3D43">
        <w:rPr>
          <w:rFonts w:ascii="Arial" w:hAnsi="Arial" w:cs="Arial"/>
          <w:sz w:val="24"/>
          <w:szCs w:val="24"/>
        </w:rPr>
        <w:t>.</w:t>
      </w:r>
    </w:p>
    <w:p w14:paraId="0C257C15" w14:textId="77777777" w:rsidR="008D0913" w:rsidRDefault="008D0913" w:rsidP="006B3D43">
      <w:pPr>
        <w:spacing w:line="360" w:lineRule="auto"/>
        <w:jc w:val="both"/>
        <w:rPr>
          <w:rFonts w:ascii="Arial" w:hAnsi="Arial" w:cs="Arial"/>
          <w:sz w:val="24"/>
          <w:szCs w:val="24"/>
        </w:rPr>
      </w:pPr>
    </w:p>
    <w:p w14:paraId="1436F60B" w14:textId="77777777" w:rsidR="008D0913" w:rsidRPr="006B3D43" w:rsidRDefault="008D0913" w:rsidP="006B3D43">
      <w:pPr>
        <w:spacing w:line="360" w:lineRule="auto"/>
        <w:jc w:val="both"/>
        <w:rPr>
          <w:rFonts w:ascii="Arial" w:hAnsi="Arial" w:cs="Arial"/>
          <w:sz w:val="24"/>
          <w:szCs w:val="24"/>
        </w:rPr>
      </w:pPr>
    </w:p>
    <w:p w14:paraId="75AAC415" w14:textId="77777777" w:rsidR="0021213D" w:rsidRDefault="0021213D" w:rsidP="00C71D29">
      <w:pPr>
        <w:spacing w:line="240" w:lineRule="auto"/>
        <w:jc w:val="both"/>
        <w:rPr>
          <w:rFonts w:ascii="Arial" w:hAnsi="Arial" w:cs="Arial"/>
          <w:b/>
          <w:bCs/>
          <w:sz w:val="24"/>
          <w:szCs w:val="24"/>
        </w:rPr>
      </w:pPr>
    </w:p>
    <w:p w14:paraId="07CB2B92" w14:textId="18532309" w:rsidR="008D0913" w:rsidRDefault="008D0913" w:rsidP="00C71D29">
      <w:pPr>
        <w:spacing w:line="240" w:lineRule="auto"/>
        <w:jc w:val="both"/>
        <w:rPr>
          <w:rFonts w:ascii="Arial" w:hAnsi="Arial" w:cs="Arial"/>
          <w:b/>
          <w:bCs/>
          <w:sz w:val="24"/>
          <w:szCs w:val="24"/>
        </w:rPr>
      </w:pPr>
      <w:r w:rsidRPr="0021213D">
        <w:rPr>
          <w:rFonts w:ascii="Arial" w:hAnsi="Arial" w:cs="Arial"/>
          <w:noProof/>
          <w:sz w:val="24"/>
          <w:szCs w:val="24"/>
        </w:rPr>
        <w:lastRenderedPageBreak/>
        <w:drawing>
          <wp:anchor distT="0" distB="0" distL="114300" distR="114300" simplePos="0" relativeHeight="251659264" behindDoc="0" locked="0" layoutInCell="1" allowOverlap="1" wp14:anchorId="4873BD14" wp14:editId="1B297392">
            <wp:simplePos x="0" y="0"/>
            <wp:positionH relativeFrom="margin">
              <wp:posOffset>0</wp:posOffset>
            </wp:positionH>
            <wp:positionV relativeFrom="paragraph">
              <wp:posOffset>273050</wp:posOffset>
            </wp:positionV>
            <wp:extent cx="5731510" cy="5709920"/>
            <wp:effectExtent l="0" t="0" r="2540" b="508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5709920"/>
                    </a:xfrm>
                    <a:prstGeom prst="rect">
                      <a:avLst/>
                    </a:prstGeom>
                    <a:noFill/>
                    <a:ln>
                      <a:noFill/>
                    </a:ln>
                  </pic:spPr>
                </pic:pic>
              </a:graphicData>
            </a:graphic>
          </wp:anchor>
        </w:drawing>
      </w:r>
    </w:p>
    <w:p w14:paraId="1C185D5A" w14:textId="7BA86F85" w:rsidR="00CC43FC" w:rsidRPr="006B3D43" w:rsidRDefault="007A5564" w:rsidP="00C71D29">
      <w:pPr>
        <w:spacing w:line="240" w:lineRule="auto"/>
        <w:jc w:val="both"/>
        <w:rPr>
          <w:rFonts w:ascii="Arial" w:hAnsi="Arial" w:cs="Arial"/>
          <w:sz w:val="24"/>
          <w:szCs w:val="24"/>
        </w:rPr>
      </w:pPr>
      <w:r w:rsidRPr="006B3D43">
        <w:rPr>
          <w:rFonts w:ascii="Arial" w:hAnsi="Arial" w:cs="Arial"/>
          <w:b/>
          <w:bCs/>
          <w:sz w:val="24"/>
          <w:szCs w:val="24"/>
        </w:rPr>
        <w:t xml:space="preserve">Figure 4: Accessible surface area </w:t>
      </w:r>
      <w:r w:rsidR="00DE3E61" w:rsidRPr="006B3D43">
        <w:rPr>
          <w:rFonts w:ascii="Arial" w:hAnsi="Arial" w:cs="Arial"/>
          <w:b/>
          <w:bCs/>
          <w:sz w:val="24"/>
          <w:szCs w:val="24"/>
        </w:rPr>
        <w:t xml:space="preserve">(ASA) </w:t>
      </w:r>
      <w:r w:rsidRPr="006B3D43">
        <w:rPr>
          <w:rFonts w:ascii="Arial" w:hAnsi="Arial" w:cs="Arial"/>
          <w:b/>
          <w:bCs/>
          <w:sz w:val="24"/>
          <w:szCs w:val="24"/>
        </w:rPr>
        <w:t xml:space="preserve">of </w:t>
      </w:r>
      <w:r w:rsidR="001E2034" w:rsidRPr="00C71D29">
        <w:rPr>
          <w:rFonts w:ascii="Arial" w:hAnsi="Arial" w:cs="Arial"/>
          <w:b/>
          <w:bCs/>
          <w:sz w:val="24"/>
          <w:szCs w:val="24"/>
        </w:rPr>
        <w:t>oligomannose-type</w:t>
      </w:r>
      <w:r w:rsidR="001E2034" w:rsidRPr="006B3D43">
        <w:rPr>
          <w:rFonts w:ascii="Arial" w:hAnsi="Arial" w:cs="Arial"/>
          <w:sz w:val="24"/>
          <w:szCs w:val="24"/>
        </w:rPr>
        <w:t xml:space="preserve"> </w:t>
      </w:r>
      <w:r w:rsidRPr="006B3D43">
        <w:rPr>
          <w:rFonts w:ascii="Arial" w:hAnsi="Arial" w:cs="Arial"/>
          <w:b/>
          <w:bCs/>
          <w:sz w:val="24"/>
          <w:szCs w:val="24"/>
        </w:rPr>
        <w:t>glycans from MD simulations</w:t>
      </w:r>
      <w:r w:rsidRPr="006B3D43">
        <w:rPr>
          <w:rFonts w:ascii="Arial" w:hAnsi="Arial" w:cs="Arial"/>
          <w:sz w:val="24"/>
          <w:szCs w:val="24"/>
        </w:rPr>
        <w:t xml:space="preserve">. </w:t>
      </w:r>
      <w:r w:rsidRPr="00C71D29">
        <w:rPr>
          <w:rFonts w:ascii="Arial" w:hAnsi="Arial" w:cs="Arial"/>
          <w:b/>
          <w:bCs/>
          <w:sz w:val="24"/>
          <w:szCs w:val="24"/>
        </w:rPr>
        <w:t>(A)</w:t>
      </w:r>
      <w:r w:rsidRPr="006B3D43">
        <w:rPr>
          <w:rFonts w:ascii="Arial" w:hAnsi="Arial" w:cs="Arial"/>
          <w:sz w:val="24"/>
          <w:szCs w:val="24"/>
        </w:rPr>
        <w:t xml:space="preserve"> The ASA value</w:t>
      </w:r>
      <w:r w:rsidR="005B7DFE" w:rsidRPr="006B3D43">
        <w:rPr>
          <w:rFonts w:ascii="Arial" w:hAnsi="Arial" w:cs="Arial"/>
          <w:sz w:val="24"/>
          <w:szCs w:val="24"/>
        </w:rPr>
        <w:t>s were</w:t>
      </w:r>
      <w:r w:rsidRPr="006B3D43">
        <w:rPr>
          <w:rFonts w:ascii="Arial" w:hAnsi="Arial" w:cs="Arial"/>
          <w:sz w:val="24"/>
          <w:szCs w:val="24"/>
        </w:rPr>
        <w:t xml:space="preserve"> calculated for each </w:t>
      </w:r>
      <w:r w:rsidR="001E2034" w:rsidRPr="006B3D43">
        <w:rPr>
          <w:rFonts w:ascii="Arial" w:hAnsi="Arial" w:cs="Arial"/>
          <w:sz w:val="24"/>
          <w:szCs w:val="24"/>
        </w:rPr>
        <w:t xml:space="preserve">oligomannose-type </w:t>
      </w:r>
      <w:r w:rsidRPr="006B3D43">
        <w:rPr>
          <w:rFonts w:ascii="Arial" w:hAnsi="Arial" w:cs="Arial"/>
          <w:sz w:val="24"/>
          <w:szCs w:val="24"/>
        </w:rPr>
        <w:t xml:space="preserve">(M9) glycan for all three </w:t>
      </w:r>
      <w:r w:rsidR="00840C76" w:rsidRPr="006B3D43">
        <w:rPr>
          <w:rFonts w:ascii="Arial" w:hAnsi="Arial" w:cs="Arial"/>
          <w:sz w:val="24"/>
          <w:szCs w:val="24"/>
        </w:rPr>
        <w:t>S protein chains</w:t>
      </w:r>
      <w:r w:rsidRPr="006B3D43">
        <w:rPr>
          <w:rFonts w:ascii="Arial" w:hAnsi="Arial" w:cs="Arial"/>
          <w:sz w:val="24"/>
          <w:szCs w:val="24"/>
        </w:rPr>
        <w:t>.</w:t>
      </w:r>
      <w:r w:rsidR="00AD37EE">
        <w:rPr>
          <w:rFonts w:ascii="Arial" w:hAnsi="Arial" w:cs="Arial"/>
          <w:sz w:val="24"/>
          <w:szCs w:val="24"/>
        </w:rPr>
        <w:t xml:space="preserve"> In this model</w:t>
      </w:r>
      <w:r w:rsidR="00A64B7F">
        <w:rPr>
          <w:rFonts w:ascii="Arial" w:hAnsi="Arial" w:cs="Arial"/>
          <w:sz w:val="24"/>
          <w:szCs w:val="24"/>
        </w:rPr>
        <w:t>,</w:t>
      </w:r>
      <w:r w:rsidR="00AD37EE">
        <w:rPr>
          <w:rFonts w:ascii="Arial" w:hAnsi="Arial" w:cs="Arial"/>
          <w:sz w:val="24"/>
          <w:szCs w:val="24"/>
        </w:rPr>
        <w:t xml:space="preserve"> chain A is modelled in the RBD “up” conformation.</w:t>
      </w:r>
      <w:r w:rsidRPr="006B3D43">
        <w:rPr>
          <w:rFonts w:ascii="Arial" w:hAnsi="Arial" w:cs="Arial"/>
          <w:sz w:val="24"/>
          <w:szCs w:val="24"/>
        </w:rPr>
        <w:t xml:space="preserve"> The last 50 ns of the simulation was used for calculation and error bars indicate standard deviation along the trajectory. The probe size used was 1.5 nm. </w:t>
      </w:r>
      <w:r w:rsidR="00220E75" w:rsidRPr="006B3D43">
        <w:rPr>
          <w:rFonts w:ascii="Arial" w:hAnsi="Arial" w:cs="Arial"/>
          <w:sz w:val="24"/>
          <w:szCs w:val="24"/>
        </w:rPr>
        <w:t xml:space="preserve">The green color bars represent the oligomannose content of respective sites, </w:t>
      </w:r>
      <w:r w:rsidR="00CC43FC" w:rsidRPr="006B3D43">
        <w:rPr>
          <w:rFonts w:ascii="Arial" w:hAnsi="Arial" w:cs="Arial"/>
          <w:sz w:val="24"/>
          <w:szCs w:val="24"/>
        </w:rPr>
        <w:t xml:space="preserve">calculated as the average oligomannose-type glycan content of the recombinant S proteins analyzed in this manuscript (Amsterdam, Harvard, </w:t>
      </w:r>
      <w:r w:rsidR="00C71B70">
        <w:rPr>
          <w:rFonts w:ascii="Arial" w:hAnsi="Arial" w:cs="Arial"/>
          <w:sz w:val="24"/>
          <w:szCs w:val="24"/>
        </w:rPr>
        <w:t>Swiss</w:t>
      </w:r>
      <w:r w:rsidR="00CC43FC" w:rsidRPr="006B3D43">
        <w:rPr>
          <w:rFonts w:ascii="Arial" w:hAnsi="Arial" w:cs="Arial"/>
          <w:sz w:val="24"/>
          <w:szCs w:val="24"/>
        </w:rPr>
        <w:t xml:space="preserve"> and Oxford</w:t>
      </w:r>
      <w:r w:rsidR="00C71B70">
        <w:rPr>
          <w:rFonts w:ascii="Arial" w:hAnsi="Arial" w:cs="Arial"/>
          <w:sz w:val="24"/>
          <w:szCs w:val="24"/>
        </w:rPr>
        <w:t xml:space="preserve"> S proteins</w:t>
      </w:r>
      <w:r w:rsidR="00CC43FC" w:rsidRPr="006B3D43">
        <w:rPr>
          <w:rFonts w:ascii="Arial" w:hAnsi="Arial" w:cs="Arial"/>
          <w:sz w:val="24"/>
          <w:szCs w:val="24"/>
        </w:rPr>
        <w:t>)</w:t>
      </w:r>
      <w:r w:rsidR="00A64B7F">
        <w:rPr>
          <w:rFonts w:ascii="Arial" w:hAnsi="Arial" w:cs="Arial"/>
          <w:sz w:val="24"/>
          <w:szCs w:val="24"/>
        </w:rPr>
        <w:t>.</w:t>
      </w:r>
      <w:r w:rsidR="00CC43FC" w:rsidRPr="006B3D43">
        <w:rPr>
          <w:rFonts w:ascii="Arial" w:hAnsi="Arial" w:cs="Arial"/>
          <w:sz w:val="24"/>
          <w:szCs w:val="24"/>
        </w:rPr>
        <w:t xml:space="preserve"> </w:t>
      </w:r>
      <w:r w:rsidRPr="00C71D29">
        <w:rPr>
          <w:rFonts w:ascii="Arial" w:hAnsi="Arial" w:cs="Arial"/>
          <w:b/>
          <w:bCs/>
          <w:sz w:val="24"/>
          <w:szCs w:val="24"/>
        </w:rPr>
        <w:t>(B)</w:t>
      </w:r>
      <w:r w:rsidRPr="006B3D43">
        <w:rPr>
          <w:rFonts w:ascii="Arial" w:hAnsi="Arial" w:cs="Arial"/>
          <w:sz w:val="24"/>
          <w:szCs w:val="24"/>
        </w:rPr>
        <w:t xml:space="preserve"> The structure of the S protein (grey) with glycans </w:t>
      </w:r>
      <w:proofErr w:type="spellStart"/>
      <w:r w:rsidRPr="006B3D43">
        <w:rPr>
          <w:rFonts w:ascii="Arial" w:hAnsi="Arial" w:cs="Arial"/>
          <w:sz w:val="24"/>
          <w:szCs w:val="24"/>
        </w:rPr>
        <w:t>coloured</w:t>
      </w:r>
      <w:proofErr w:type="spellEnd"/>
      <w:r w:rsidRPr="006B3D43">
        <w:rPr>
          <w:rFonts w:ascii="Arial" w:hAnsi="Arial" w:cs="Arial"/>
          <w:sz w:val="24"/>
          <w:szCs w:val="24"/>
        </w:rPr>
        <w:t xml:space="preserve"> based on their ASA values shown in surface representation.</w:t>
      </w:r>
      <w:r w:rsidR="00CC43FC" w:rsidRPr="006B3D43">
        <w:rPr>
          <w:rFonts w:ascii="Arial" w:hAnsi="Arial" w:cs="Arial"/>
          <w:sz w:val="24"/>
          <w:szCs w:val="24"/>
        </w:rPr>
        <w:t xml:space="preserve"> </w:t>
      </w:r>
      <w:r w:rsidR="00CC43FC" w:rsidRPr="00C71D29">
        <w:rPr>
          <w:rFonts w:ascii="Arial" w:hAnsi="Arial" w:cs="Arial"/>
          <w:b/>
          <w:bCs/>
          <w:sz w:val="24"/>
          <w:szCs w:val="24"/>
        </w:rPr>
        <w:t>(C)</w:t>
      </w:r>
      <w:r w:rsidR="00CC43FC" w:rsidRPr="006B3D43">
        <w:rPr>
          <w:rFonts w:ascii="Arial" w:hAnsi="Arial" w:cs="Arial"/>
          <w:sz w:val="24"/>
          <w:szCs w:val="24"/>
        </w:rPr>
        <w:t xml:space="preserve"> Graphs comparing glycan processing to calculated ASA values</w:t>
      </w:r>
      <w:r w:rsidR="00D1176E" w:rsidRPr="006B3D43">
        <w:rPr>
          <w:rFonts w:ascii="Arial" w:hAnsi="Arial" w:cs="Arial"/>
          <w:sz w:val="24"/>
          <w:szCs w:val="24"/>
        </w:rPr>
        <w:t>, averaged for chains A, B and C,</w:t>
      </w:r>
      <w:r w:rsidR="00CC43FC" w:rsidRPr="006B3D43">
        <w:rPr>
          <w:rFonts w:ascii="Arial" w:hAnsi="Arial" w:cs="Arial"/>
          <w:sz w:val="24"/>
          <w:szCs w:val="24"/>
        </w:rPr>
        <w:t xml:space="preserve"> for the recombinant protein average for the oligomannose-type glycan content, proportion of glycans containing at least one sialic acid and the proportion of glycans containing at least one fucose. The reported r values represent the Spearman’s rank correlation coefficient. </w:t>
      </w:r>
      <w:r w:rsidR="00CC43FC" w:rsidRPr="00C71D29">
        <w:rPr>
          <w:rFonts w:ascii="Arial" w:hAnsi="Arial" w:cs="Arial"/>
          <w:b/>
          <w:bCs/>
          <w:sz w:val="24"/>
          <w:szCs w:val="24"/>
        </w:rPr>
        <w:t>(D)</w:t>
      </w:r>
      <w:r w:rsidR="00CC43FC" w:rsidRPr="006B3D43">
        <w:rPr>
          <w:rFonts w:ascii="Arial" w:hAnsi="Arial" w:cs="Arial"/>
          <w:sz w:val="24"/>
          <w:szCs w:val="24"/>
        </w:rPr>
        <w:t xml:space="preserve"> The oligomannose-type glycan content v</w:t>
      </w:r>
      <w:r w:rsidR="00B42828">
        <w:rPr>
          <w:rFonts w:ascii="Arial" w:hAnsi="Arial" w:cs="Arial"/>
          <w:sz w:val="24"/>
          <w:szCs w:val="24"/>
        </w:rPr>
        <w:t>ersu</w:t>
      </w:r>
      <w:r w:rsidR="00CC43FC" w:rsidRPr="006B3D43">
        <w:rPr>
          <w:rFonts w:ascii="Arial" w:hAnsi="Arial" w:cs="Arial"/>
          <w:sz w:val="24"/>
          <w:szCs w:val="24"/>
        </w:rPr>
        <w:t xml:space="preserve">s ASA for viral derived SARS-CoV-2 S protein presented as in </w:t>
      </w:r>
      <w:r w:rsidR="006A3CB4">
        <w:rPr>
          <w:rFonts w:ascii="Arial" w:hAnsi="Arial" w:cs="Arial"/>
          <w:sz w:val="24"/>
          <w:szCs w:val="24"/>
        </w:rPr>
        <w:t>P</w:t>
      </w:r>
      <w:r w:rsidR="00CC43FC" w:rsidRPr="006B3D43">
        <w:rPr>
          <w:rFonts w:ascii="Arial" w:hAnsi="Arial" w:cs="Arial"/>
          <w:sz w:val="24"/>
          <w:szCs w:val="24"/>
        </w:rPr>
        <w:t>anel C.</w:t>
      </w:r>
    </w:p>
    <w:p w14:paraId="5978E008" w14:textId="2F219299" w:rsidR="007A5564" w:rsidRPr="006B3D43" w:rsidRDefault="007A5564" w:rsidP="006B3D43">
      <w:pPr>
        <w:spacing w:line="360" w:lineRule="auto"/>
        <w:jc w:val="both"/>
        <w:rPr>
          <w:rFonts w:ascii="Arial" w:hAnsi="Arial" w:cs="Arial"/>
          <w:sz w:val="24"/>
          <w:szCs w:val="24"/>
        </w:rPr>
      </w:pPr>
      <w:r w:rsidRPr="006B3D43">
        <w:rPr>
          <w:rFonts w:ascii="Arial" w:hAnsi="Arial" w:cs="Arial"/>
          <w:sz w:val="24"/>
          <w:szCs w:val="24"/>
        </w:rPr>
        <w:lastRenderedPageBreak/>
        <w:tab/>
        <w:t xml:space="preserve">To understand the relationship between oligomannose-type glycan presentation and the accessible surface area of each glycan site we used the average oligomannose-type glycan content of each site as determined in </w:t>
      </w:r>
      <w:r w:rsidRPr="00FD00FE">
        <w:rPr>
          <w:rFonts w:ascii="Arial" w:hAnsi="Arial" w:cs="Arial"/>
          <w:b/>
          <w:bCs/>
          <w:sz w:val="24"/>
          <w:szCs w:val="24"/>
        </w:rPr>
        <w:t>Figure 1</w:t>
      </w:r>
      <w:r w:rsidRPr="006B3D43">
        <w:rPr>
          <w:rFonts w:ascii="Arial" w:hAnsi="Arial" w:cs="Arial"/>
          <w:sz w:val="24"/>
          <w:szCs w:val="24"/>
        </w:rPr>
        <w:t>, for both the recombinant and viral derived material, and compared it to the average ASA values for chains A, B and C, as LC-MS cannot distinguish which glycan came from which chain</w:t>
      </w:r>
      <w:r w:rsidR="00FD5705" w:rsidRPr="006B3D43">
        <w:rPr>
          <w:rFonts w:ascii="Arial" w:hAnsi="Arial" w:cs="Arial"/>
          <w:sz w:val="24"/>
          <w:szCs w:val="24"/>
        </w:rPr>
        <w:t xml:space="preserve"> (</w:t>
      </w:r>
      <w:r w:rsidR="00FA44CA" w:rsidRPr="006B3D43">
        <w:rPr>
          <w:rFonts w:ascii="Arial" w:hAnsi="Arial" w:cs="Arial"/>
          <w:b/>
          <w:bCs/>
          <w:sz w:val="24"/>
          <w:szCs w:val="24"/>
        </w:rPr>
        <w:t xml:space="preserve">Figure 4C </w:t>
      </w:r>
      <w:r w:rsidR="00FA44CA" w:rsidRPr="002E1FAC">
        <w:rPr>
          <w:rFonts w:ascii="Arial" w:hAnsi="Arial" w:cs="Arial"/>
          <w:sz w:val="24"/>
          <w:szCs w:val="24"/>
        </w:rPr>
        <w:t>and</w:t>
      </w:r>
      <w:r w:rsidR="00FA44CA" w:rsidRPr="006B3D43">
        <w:rPr>
          <w:rFonts w:ascii="Arial" w:hAnsi="Arial" w:cs="Arial"/>
          <w:b/>
          <w:bCs/>
          <w:sz w:val="24"/>
          <w:szCs w:val="24"/>
        </w:rPr>
        <w:t xml:space="preserve"> D</w:t>
      </w:r>
      <w:r w:rsidR="00FD5705" w:rsidRPr="006B3D43">
        <w:rPr>
          <w:rFonts w:ascii="Arial" w:hAnsi="Arial" w:cs="Arial"/>
          <w:sz w:val="24"/>
          <w:szCs w:val="24"/>
        </w:rPr>
        <w:t>)</w:t>
      </w:r>
      <w:r w:rsidRPr="006B3D43">
        <w:rPr>
          <w:rFonts w:ascii="Arial" w:hAnsi="Arial" w:cs="Arial"/>
          <w:sz w:val="24"/>
          <w:szCs w:val="24"/>
        </w:rPr>
        <w:t>. For both recombinant and viral derived S protein</w:t>
      </w:r>
      <w:r w:rsidR="000E445F" w:rsidRPr="006B3D43">
        <w:rPr>
          <w:rFonts w:ascii="Arial" w:hAnsi="Arial" w:cs="Arial"/>
          <w:sz w:val="24"/>
          <w:szCs w:val="24"/>
        </w:rPr>
        <w:t>,</w:t>
      </w:r>
      <w:r w:rsidRPr="006B3D43">
        <w:rPr>
          <w:rFonts w:ascii="Arial" w:hAnsi="Arial" w:cs="Arial"/>
          <w:sz w:val="24"/>
          <w:szCs w:val="24"/>
        </w:rPr>
        <w:t xml:space="preserve"> there was a negative correlation between ASA and oligomannose content (Spearman’s correlation coefficient -0.53 for recombinant and -0.48 for viral derived). This demonstrates the link between glycan processing and quaternary architecture</w:t>
      </w:r>
      <w:r w:rsidR="00E76570" w:rsidRPr="006B3D43">
        <w:rPr>
          <w:rFonts w:ascii="Arial" w:hAnsi="Arial" w:cs="Arial"/>
          <w:sz w:val="24"/>
          <w:szCs w:val="24"/>
        </w:rPr>
        <w:t>,</w:t>
      </w:r>
      <w:r w:rsidRPr="006B3D43">
        <w:rPr>
          <w:rFonts w:ascii="Arial" w:hAnsi="Arial" w:cs="Arial"/>
          <w:sz w:val="24"/>
          <w:szCs w:val="24"/>
        </w:rPr>
        <w:t xml:space="preserve"> as sites which are less accessible to the glycan processing enzymes present higher populations of immaturely processed oligomannose-type glycans. </w:t>
      </w:r>
      <w:r w:rsidR="00AF6EBF">
        <w:rPr>
          <w:rFonts w:ascii="Arial" w:hAnsi="Arial" w:cs="Arial"/>
          <w:sz w:val="24"/>
          <w:szCs w:val="24"/>
        </w:rPr>
        <w:t>Conversely</w:t>
      </w:r>
      <w:r w:rsidR="00A64B7F">
        <w:rPr>
          <w:rFonts w:ascii="Arial" w:hAnsi="Arial" w:cs="Arial"/>
          <w:sz w:val="24"/>
          <w:szCs w:val="24"/>
        </w:rPr>
        <w:t>,</w:t>
      </w:r>
      <w:r w:rsidR="00AF6EBF">
        <w:rPr>
          <w:rFonts w:ascii="Arial" w:hAnsi="Arial" w:cs="Arial"/>
          <w:sz w:val="24"/>
          <w:szCs w:val="24"/>
        </w:rPr>
        <w:t xml:space="preserve"> the processing of complex-type glycans such as the addition of sialic acid correlated with the </w:t>
      </w:r>
      <w:proofErr w:type="spellStart"/>
      <w:r w:rsidR="00AF6EBF">
        <w:rPr>
          <w:rFonts w:ascii="Arial" w:hAnsi="Arial" w:cs="Arial"/>
          <w:sz w:val="24"/>
          <w:szCs w:val="24"/>
        </w:rPr>
        <w:t>accessbile</w:t>
      </w:r>
      <w:proofErr w:type="spellEnd"/>
      <w:r w:rsidR="00AF6EBF">
        <w:rPr>
          <w:rFonts w:ascii="Arial" w:hAnsi="Arial" w:cs="Arial"/>
          <w:sz w:val="24"/>
          <w:szCs w:val="24"/>
        </w:rPr>
        <w:t xml:space="preserve"> surface area at a site-specific level (r</w:t>
      </w:r>
      <w:r w:rsidR="006A3CB4">
        <w:rPr>
          <w:rFonts w:ascii="Arial" w:hAnsi="Arial" w:cs="Arial"/>
          <w:sz w:val="24"/>
          <w:szCs w:val="24"/>
        </w:rPr>
        <w:t xml:space="preserve"> </w:t>
      </w:r>
      <w:r w:rsidR="00AF6EBF">
        <w:rPr>
          <w:rFonts w:ascii="Arial" w:hAnsi="Arial" w:cs="Arial"/>
          <w:sz w:val="24"/>
          <w:szCs w:val="24"/>
        </w:rPr>
        <w:t>=</w:t>
      </w:r>
      <w:r w:rsidR="006A3CB4">
        <w:rPr>
          <w:rFonts w:ascii="Arial" w:hAnsi="Arial" w:cs="Arial"/>
          <w:sz w:val="24"/>
          <w:szCs w:val="24"/>
        </w:rPr>
        <w:t xml:space="preserve"> </w:t>
      </w:r>
      <w:r w:rsidR="00AF6EBF">
        <w:rPr>
          <w:rFonts w:ascii="Arial" w:hAnsi="Arial" w:cs="Arial"/>
          <w:sz w:val="24"/>
          <w:szCs w:val="24"/>
        </w:rPr>
        <w:t>0.55) and also fucosylation, albeit to a lesser extent (r</w:t>
      </w:r>
      <w:r w:rsidR="006A3CB4">
        <w:rPr>
          <w:rFonts w:ascii="Arial" w:hAnsi="Arial" w:cs="Arial"/>
          <w:sz w:val="24"/>
          <w:szCs w:val="24"/>
        </w:rPr>
        <w:t xml:space="preserve"> </w:t>
      </w:r>
      <w:r w:rsidR="00AF6EBF">
        <w:rPr>
          <w:rFonts w:ascii="Arial" w:hAnsi="Arial" w:cs="Arial"/>
          <w:sz w:val="24"/>
          <w:szCs w:val="24"/>
        </w:rPr>
        <w:t>=</w:t>
      </w:r>
      <w:r w:rsidR="006A3CB4">
        <w:rPr>
          <w:rFonts w:ascii="Arial" w:hAnsi="Arial" w:cs="Arial"/>
          <w:sz w:val="24"/>
          <w:szCs w:val="24"/>
        </w:rPr>
        <w:t xml:space="preserve"> </w:t>
      </w:r>
      <w:r w:rsidR="00AF6EBF">
        <w:rPr>
          <w:rFonts w:ascii="Arial" w:hAnsi="Arial" w:cs="Arial"/>
          <w:sz w:val="24"/>
          <w:szCs w:val="24"/>
        </w:rPr>
        <w:t xml:space="preserve">0.19). </w:t>
      </w:r>
      <w:r w:rsidR="005816AE">
        <w:rPr>
          <w:rFonts w:ascii="Arial" w:hAnsi="Arial" w:cs="Arial"/>
          <w:sz w:val="24"/>
          <w:szCs w:val="24"/>
        </w:rPr>
        <w:t xml:space="preserve">Whilst there is an observed correlation between oligomannose-type glycans and ASA, the nanosecond time scale captured during MD simulations is shorter compared to the overall time taken for glycan processing in the ER and Golgi </w:t>
      </w:r>
      <w:r w:rsidR="006A3CB4">
        <w:rPr>
          <w:rFonts w:ascii="Arial" w:hAnsi="Arial" w:cs="Arial"/>
          <w:sz w:val="24"/>
          <w:szCs w:val="24"/>
        </w:rPr>
        <w:t xml:space="preserve">apparatus </w:t>
      </w:r>
      <w:r w:rsidR="005816AE">
        <w:rPr>
          <w:rFonts w:ascii="Arial" w:hAnsi="Arial" w:cs="Arial"/>
          <w:sz w:val="24"/>
          <w:szCs w:val="24"/>
        </w:rPr>
        <w:t xml:space="preserve">to occur, </w:t>
      </w:r>
      <w:r w:rsidR="00516D59">
        <w:rPr>
          <w:rFonts w:ascii="Arial" w:hAnsi="Arial" w:cs="Arial"/>
          <w:sz w:val="24"/>
          <w:szCs w:val="24"/>
        </w:rPr>
        <w:t xml:space="preserve">and </w:t>
      </w:r>
      <w:r w:rsidR="005816AE">
        <w:rPr>
          <w:rFonts w:ascii="Arial" w:hAnsi="Arial" w:cs="Arial"/>
          <w:sz w:val="24"/>
          <w:szCs w:val="24"/>
        </w:rPr>
        <w:t xml:space="preserve">therefore the S protein will be able to sample more conformations not resolved </w:t>
      </w:r>
      <w:r w:rsidR="00516D59">
        <w:rPr>
          <w:rFonts w:ascii="Arial" w:hAnsi="Arial" w:cs="Arial"/>
          <w:sz w:val="24"/>
          <w:szCs w:val="24"/>
        </w:rPr>
        <w:t xml:space="preserve">during </w:t>
      </w:r>
      <w:r w:rsidR="005816AE">
        <w:rPr>
          <w:rFonts w:ascii="Arial" w:hAnsi="Arial" w:cs="Arial"/>
          <w:sz w:val="24"/>
          <w:szCs w:val="24"/>
        </w:rPr>
        <w:t>simulation.</w:t>
      </w:r>
    </w:p>
    <w:p w14:paraId="050A2F53" w14:textId="4BD9F342" w:rsidR="009623CA" w:rsidRPr="006B3D43" w:rsidRDefault="009623CA" w:rsidP="006B3D43">
      <w:pPr>
        <w:spacing w:line="360" w:lineRule="auto"/>
        <w:jc w:val="both"/>
        <w:rPr>
          <w:rFonts w:ascii="Arial" w:hAnsi="Arial" w:cs="Arial"/>
          <w:sz w:val="24"/>
          <w:szCs w:val="24"/>
        </w:rPr>
      </w:pPr>
      <w:r w:rsidRPr="006B3D43">
        <w:rPr>
          <w:rFonts w:ascii="Arial" w:hAnsi="Arial" w:cs="Arial"/>
          <w:sz w:val="24"/>
          <w:szCs w:val="24"/>
        </w:rPr>
        <w:tab/>
        <w:t xml:space="preserve">Finally, </w:t>
      </w:r>
      <w:r w:rsidR="00306462" w:rsidRPr="006B3D43">
        <w:rPr>
          <w:rFonts w:ascii="Arial" w:hAnsi="Arial" w:cs="Arial"/>
          <w:sz w:val="24"/>
          <w:szCs w:val="24"/>
        </w:rPr>
        <w:t xml:space="preserve">to determine the potential effect of glycan clustering on enzyme accessibility and subsequent glycan processing, we calculated the number of contacts made by </w:t>
      </w:r>
      <w:r w:rsidR="00B42828">
        <w:rPr>
          <w:rFonts w:ascii="Arial" w:hAnsi="Arial" w:cs="Arial"/>
          <w:sz w:val="24"/>
          <w:szCs w:val="24"/>
        </w:rPr>
        <w:t xml:space="preserve">each </w:t>
      </w:r>
      <w:r w:rsidR="00306462" w:rsidRPr="006B3D43">
        <w:rPr>
          <w:rFonts w:ascii="Arial" w:hAnsi="Arial" w:cs="Arial"/>
          <w:sz w:val="24"/>
          <w:szCs w:val="24"/>
        </w:rPr>
        <w:t xml:space="preserve">glycan </w:t>
      </w:r>
      <w:r w:rsidR="00B42828">
        <w:rPr>
          <w:rFonts w:ascii="Arial" w:hAnsi="Arial" w:cs="Arial"/>
          <w:sz w:val="24"/>
          <w:szCs w:val="24"/>
        </w:rPr>
        <w:t>at a given site</w:t>
      </w:r>
      <w:r w:rsidR="00306462" w:rsidRPr="006B3D43">
        <w:rPr>
          <w:rFonts w:ascii="Arial" w:hAnsi="Arial" w:cs="Arial"/>
          <w:sz w:val="24"/>
          <w:szCs w:val="24"/>
        </w:rPr>
        <w:t xml:space="preserve"> with its surrounding glycans during the simulation (</w:t>
      </w:r>
      <w:r w:rsidR="00F30EED">
        <w:rPr>
          <w:rFonts w:ascii="Arial" w:hAnsi="Arial" w:cs="Arial"/>
          <w:b/>
          <w:bCs/>
          <w:sz w:val="24"/>
          <w:szCs w:val="24"/>
        </w:rPr>
        <w:t>Figure S6</w:t>
      </w:r>
      <w:r w:rsidR="00306462" w:rsidRPr="006B3D43">
        <w:rPr>
          <w:rFonts w:ascii="Arial" w:hAnsi="Arial" w:cs="Arial"/>
          <w:sz w:val="24"/>
          <w:szCs w:val="24"/>
        </w:rPr>
        <w:t>). Interesting</w:t>
      </w:r>
      <w:r w:rsidR="00FD5705" w:rsidRPr="006B3D43">
        <w:rPr>
          <w:rFonts w:ascii="Arial" w:hAnsi="Arial" w:cs="Arial"/>
          <w:sz w:val="24"/>
          <w:szCs w:val="24"/>
        </w:rPr>
        <w:t>ly</w:t>
      </w:r>
      <w:r w:rsidR="00306462" w:rsidRPr="006B3D43">
        <w:rPr>
          <w:rFonts w:ascii="Arial" w:hAnsi="Arial" w:cs="Arial"/>
          <w:sz w:val="24"/>
          <w:szCs w:val="24"/>
        </w:rPr>
        <w:t xml:space="preserve">, in all three chains, the sites on </w:t>
      </w:r>
      <w:r w:rsidR="00FA68E8" w:rsidRPr="006B3D43">
        <w:rPr>
          <w:rFonts w:ascii="Arial" w:hAnsi="Arial" w:cs="Arial"/>
          <w:sz w:val="24"/>
          <w:szCs w:val="24"/>
        </w:rPr>
        <w:t xml:space="preserve">the </w:t>
      </w:r>
      <w:r w:rsidR="00306462" w:rsidRPr="006B3D43">
        <w:rPr>
          <w:rFonts w:ascii="Arial" w:hAnsi="Arial" w:cs="Arial"/>
          <w:sz w:val="24"/>
          <w:szCs w:val="24"/>
        </w:rPr>
        <w:t xml:space="preserve">S2 subunit show </w:t>
      </w:r>
      <w:r w:rsidR="000149B8" w:rsidRPr="006B3D43">
        <w:rPr>
          <w:rFonts w:ascii="Arial" w:hAnsi="Arial" w:cs="Arial"/>
          <w:sz w:val="24"/>
          <w:szCs w:val="24"/>
        </w:rPr>
        <w:t xml:space="preserve">a </w:t>
      </w:r>
      <w:r w:rsidR="00306462" w:rsidRPr="006B3D43">
        <w:rPr>
          <w:rFonts w:ascii="Arial" w:hAnsi="Arial" w:cs="Arial"/>
          <w:sz w:val="24"/>
          <w:szCs w:val="24"/>
        </w:rPr>
        <w:t>higher</w:t>
      </w:r>
      <w:r w:rsidR="000149B8" w:rsidRPr="006B3D43">
        <w:rPr>
          <w:rFonts w:ascii="Arial" w:hAnsi="Arial" w:cs="Arial"/>
          <w:sz w:val="24"/>
          <w:szCs w:val="24"/>
        </w:rPr>
        <w:t xml:space="preserve"> number of</w:t>
      </w:r>
      <w:r w:rsidR="00306462" w:rsidRPr="006B3D43">
        <w:rPr>
          <w:rFonts w:ascii="Arial" w:hAnsi="Arial" w:cs="Arial"/>
          <w:sz w:val="24"/>
          <w:szCs w:val="24"/>
        </w:rPr>
        <w:t xml:space="preserve"> glycan-glycan contac</w:t>
      </w:r>
      <w:r w:rsidR="007C4227" w:rsidRPr="006B3D43">
        <w:rPr>
          <w:rFonts w:ascii="Arial" w:hAnsi="Arial" w:cs="Arial"/>
          <w:sz w:val="24"/>
          <w:szCs w:val="24"/>
        </w:rPr>
        <w:t>ts</w:t>
      </w:r>
      <w:r w:rsidR="00306462" w:rsidRPr="006B3D43">
        <w:rPr>
          <w:rFonts w:ascii="Arial" w:hAnsi="Arial" w:cs="Arial"/>
          <w:sz w:val="24"/>
          <w:szCs w:val="24"/>
        </w:rPr>
        <w:t xml:space="preserve">, suggesting that they are most likely to form </w:t>
      </w:r>
      <w:r w:rsidR="00615A5F" w:rsidRPr="006B3D43">
        <w:rPr>
          <w:rFonts w:ascii="Arial" w:hAnsi="Arial" w:cs="Arial"/>
          <w:sz w:val="24"/>
          <w:szCs w:val="24"/>
        </w:rPr>
        <w:t xml:space="preserve">local </w:t>
      </w:r>
      <w:r w:rsidR="00306462" w:rsidRPr="006B3D43">
        <w:rPr>
          <w:rFonts w:ascii="Arial" w:hAnsi="Arial" w:cs="Arial"/>
          <w:sz w:val="24"/>
          <w:szCs w:val="24"/>
        </w:rPr>
        <w:t xml:space="preserve">clusters. </w:t>
      </w:r>
      <w:r w:rsidR="007C4227" w:rsidRPr="006B3D43">
        <w:rPr>
          <w:rFonts w:ascii="Arial" w:hAnsi="Arial" w:cs="Arial"/>
          <w:sz w:val="24"/>
          <w:szCs w:val="24"/>
        </w:rPr>
        <w:t>An</w:t>
      </w:r>
      <w:r w:rsidR="00FA68E8" w:rsidRPr="006B3D43">
        <w:rPr>
          <w:rFonts w:ascii="Arial" w:hAnsi="Arial" w:cs="Arial"/>
          <w:sz w:val="24"/>
          <w:szCs w:val="24"/>
        </w:rPr>
        <w:t xml:space="preserve"> o</w:t>
      </w:r>
      <w:r w:rsidR="00306462" w:rsidRPr="006B3D43">
        <w:rPr>
          <w:rFonts w:ascii="Arial" w:hAnsi="Arial" w:cs="Arial"/>
          <w:sz w:val="24"/>
          <w:szCs w:val="24"/>
        </w:rPr>
        <w:t xml:space="preserve">verlay of </w:t>
      </w:r>
      <w:r w:rsidR="007C4227" w:rsidRPr="006B3D43">
        <w:rPr>
          <w:rFonts w:ascii="Arial" w:hAnsi="Arial" w:cs="Arial"/>
          <w:sz w:val="24"/>
          <w:szCs w:val="24"/>
        </w:rPr>
        <w:t xml:space="preserve">consecutive simulation </w:t>
      </w:r>
      <w:r w:rsidR="00306462" w:rsidRPr="006B3D43">
        <w:rPr>
          <w:rFonts w:ascii="Arial" w:hAnsi="Arial" w:cs="Arial"/>
          <w:sz w:val="24"/>
          <w:szCs w:val="24"/>
        </w:rPr>
        <w:t>snapshots of</w:t>
      </w:r>
      <w:r w:rsidR="00C56355" w:rsidRPr="006B3D43">
        <w:rPr>
          <w:rFonts w:ascii="Arial" w:hAnsi="Arial" w:cs="Arial"/>
          <w:sz w:val="24"/>
          <w:szCs w:val="24"/>
        </w:rPr>
        <w:t xml:space="preserve"> </w:t>
      </w:r>
      <w:r w:rsidR="00306462" w:rsidRPr="006B3D43">
        <w:rPr>
          <w:rFonts w:ascii="Arial" w:hAnsi="Arial" w:cs="Arial"/>
          <w:sz w:val="24"/>
          <w:szCs w:val="24"/>
        </w:rPr>
        <w:t>glycan</w:t>
      </w:r>
      <w:r w:rsidR="00425B38" w:rsidRPr="006B3D43">
        <w:rPr>
          <w:rFonts w:ascii="Arial" w:hAnsi="Arial" w:cs="Arial"/>
          <w:sz w:val="24"/>
          <w:szCs w:val="24"/>
        </w:rPr>
        <w:t>s</w:t>
      </w:r>
      <w:r w:rsidR="00306462" w:rsidRPr="006B3D43">
        <w:rPr>
          <w:rFonts w:ascii="Arial" w:hAnsi="Arial" w:cs="Arial"/>
          <w:sz w:val="24"/>
          <w:szCs w:val="24"/>
        </w:rPr>
        <w:t xml:space="preserve"> also clearly show</w:t>
      </w:r>
      <w:r w:rsidR="00181F0F" w:rsidRPr="006B3D43">
        <w:rPr>
          <w:rFonts w:ascii="Arial" w:hAnsi="Arial" w:cs="Arial"/>
          <w:sz w:val="24"/>
          <w:szCs w:val="24"/>
        </w:rPr>
        <w:t>s</w:t>
      </w:r>
      <w:r w:rsidR="00306462" w:rsidRPr="006B3D43">
        <w:rPr>
          <w:rFonts w:ascii="Arial" w:hAnsi="Arial" w:cs="Arial"/>
          <w:sz w:val="24"/>
          <w:szCs w:val="24"/>
        </w:rPr>
        <w:t xml:space="preserve"> that the S2 region is more densely packed with glycans compared to S1 and HR2 domains. </w:t>
      </w:r>
      <w:r w:rsidR="00181F0F" w:rsidRPr="006B3D43">
        <w:rPr>
          <w:rFonts w:ascii="Arial" w:hAnsi="Arial" w:cs="Arial"/>
          <w:sz w:val="24"/>
          <w:szCs w:val="24"/>
        </w:rPr>
        <w:t xml:space="preserve">This </w:t>
      </w:r>
      <w:r w:rsidR="00AC2ECE" w:rsidRPr="006B3D43">
        <w:rPr>
          <w:rFonts w:ascii="Arial" w:hAnsi="Arial" w:cs="Arial"/>
          <w:sz w:val="24"/>
          <w:szCs w:val="24"/>
        </w:rPr>
        <w:t>agrees</w:t>
      </w:r>
      <w:r w:rsidR="00181F0F" w:rsidRPr="006B3D43">
        <w:rPr>
          <w:rFonts w:ascii="Arial" w:hAnsi="Arial" w:cs="Arial"/>
          <w:sz w:val="24"/>
          <w:szCs w:val="24"/>
        </w:rPr>
        <w:t xml:space="preserve"> with the LC-MS data showing that the sites on the S2 subunit, </w:t>
      </w:r>
      <w:r w:rsidR="005F5B45" w:rsidRPr="006B3D43">
        <w:rPr>
          <w:rFonts w:ascii="Arial" w:hAnsi="Arial" w:cs="Arial"/>
          <w:sz w:val="24"/>
          <w:szCs w:val="24"/>
        </w:rPr>
        <w:t>specifically</w:t>
      </w:r>
      <w:r w:rsidR="00181F0F" w:rsidRPr="006B3D43">
        <w:rPr>
          <w:rFonts w:ascii="Arial" w:hAnsi="Arial" w:cs="Arial"/>
          <w:sz w:val="24"/>
          <w:szCs w:val="24"/>
        </w:rPr>
        <w:t xml:space="preserve"> N709, N717 and N801, </w:t>
      </w:r>
      <w:r w:rsidR="00E41C72" w:rsidRPr="006B3D43">
        <w:rPr>
          <w:rFonts w:ascii="Arial" w:hAnsi="Arial" w:cs="Arial"/>
          <w:sz w:val="24"/>
          <w:szCs w:val="24"/>
        </w:rPr>
        <w:t>have a high degree of unprocessed</w:t>
      </w:r>
      <w:r w:rsidR="00562CE3" w:rsidRPr="006B3D43">
        <w:rPr>
          <w:rFonts w:ascii="Arial" w:hAnsi="Arial" w:cs="Arial"/>
          <w:sz w:val="24"/>
          <w:szCs w:val="24"/>
        </w:rPr>
        <w:t xml:space="preserve"> oligomannose-type</w:t>
      </w:r>
      <w:r w:rsidR="00E41C72" w:rsidRPr="006B3D43">
        <w:rPr>
          <w:rFonts w:ascii="Arial" w:hAnsi="Arial" w:cs="Arial"/>
          <w:sz w:val="24"/>
          <w:szCs w:val="24"/>
        </w:rPr>
        <w:t xml:space="preserve"> glycans. </w:t>
      </w:r>
      <w:r w:rsidR="00360F3E" w:rsidRPr="006B3D43">
        <w:rPr>
          <w:rFonts w:ascii="Arial" w:hAnsi="Arial" w:cs="Arial"/>
          <w:sz w:val="24"/>
          <w:szCs w:val="24"/>
        </w:rPr>
        <w:t>The high density of glycan-glycan contacts within the mannose glycan patch has previously been implicated in reduced processivity by glycan processing enzymes in HIV</w:t>
      </w:r>
      <w:r w:rsidR="00352483" w:rsidRPr="006B3D43">
        <w:rPr>
          <w:rFonts w:ascii="Arial" w:hAnsi="Arial" w:cs="Arial"/>
          <w:sz w:val="24"/>
          <w:szCs w:val="24"/>
        </w:rPr>
        <w:t>-1</w:t>
      </w:r>
      <w:r w:rsidR="00360F3E" w:rsidRPr="006B3D43">
        <w:rPr>
          <w:rFonts w:ascii="Arial" w:hAnsi="Arial" w:cs="Arial"/>
          <w:sz w:val="24"/>
          <w:szCs w:val="24"/>
        </w:rPr>
        <w:t xml:space="preserve"> gp</w:t>
      </w:r>
      <w:r w:rsidR="003723D2" w:rsidRPr="006B3D43">
        <w:rPr>
          <w:rFonts w:ascii="Arial" w:hAnsi="Arial" w:cs="Arial"/>
          <w:sz w:val="24"/>
          <w:szCs w:val="24"/>
        </w:rPr>
        <w:t>1</w:t>
      </w:r>
      <w:r w:rsidR="00360F3E" w:rsidRPr="006B3D43">
        <w:rPr>
          <w:rFonts w:ascii="Arial" w:hAnsi="Arial" w:cs="Arial"/>
          <w:sz w:val="24"/>
          <w:szCs w:val="24"/>
        </w:rPr>
        <w:t>2</w:t>
      </w:r>
      <w:r w:rsidR="003723D2" w:rsidRPr="006B3D43">
        <w:rPr>
          <w:rFonts w:ascii="Arial" w:hAnsi="Arial" w:cs="Arial"/>
          <w:sz w:val="24"/>
          <w:szCs w:val="24"/>
        </w:rPr>
        <w:t>0</w:t>
      </w:r>
      <w:r w:rsidR="002C75C9">
        <w:rPr>
          <w:rFonts w:ascii="Arial" w:hAnsi="Arial" w:cs="Arial"/>
          <w:sz w:val="24"/>
          <w:szCs w:val="24"/>
        </w:rPr>
        <w:t xml:space="preserve"> </w:t>
      </w:r>
      <w:r w:rsidR="00BC1287" w:rsidRPr="006B3D43">
        <w:rPr>
          <w:rFonts w:ascii="Arial" w:hAnsi="Arial" w:cs="Arial"/>
          <w:sz w:val="24"/>
          <w:szCs w:val="24"/>
        </w:rPr>
        <w:fldChar w:fldCharType="begin" w:fldLock="1"/>
      </w:r>
      <w:r w:rsidR="00C20977">
        <w:rPr>
          <w:rFonts w:ascii="Arial" w:hAnsi="Arial" w:cs="Arial"/>
          <w:sz w:val="24"/>
          <w:szCs w:val="24"/>
        </w:rPr>
        <w:instrText>ADDIN CSL_CITATION {"citationItems":[{"id":"ITEM-1","itemData":{"DOI":"10.1038/ncomms8479","ISSN":"2041-1723","PMID":"26105115","abstract":"The envelope spike of HIV-1 employs a 'glycan shield' to protect itself from antibody-mediated neutralization. Paradoxically, however, potent broadly neutralizing antibodies (bnAbs) that target this shield have been isolated. The unusually high glycan density on the gp120 subunit limits processing during biosynthesis, leaving a region of under-processed oligomannose-type structures, which is a primary target of these bnAbs. Here we investigate the contribution of individual glycosylation sites in the formation of this so-called intrinsic mannose patch. Deletion of individual sites has a limited effect on the overall size of the intrinsic mannose patch but leads to changes in the processing of neighbouring glycans. These structural changes are largely tolerated by a panel of glycan-dependent bnAbs targeting these regions, indicating a degree of plasticity in their recognition. These results support the intrinsic mannose patch as a stable target for vaccine design.","author":[{"dropping-particle":"","family":"Pritchard","given":"Laura K.","non-dropping-particle":"","parse-names":false,"suffix":""},{"dropping-particle":"","family":"Spencer","given":"Daniel I.R.","non-dropping-particle":"","parse-names":false,"suffix":""},{"dropping-particle":"","family":"Royle","given":"Louise","non-dropping-particle":"","parse-names":false,"suffix":""},{"dropping-particle":"","family":"Bonomelli","given":"Camille","non-dropping-particle":"","parse-names":false,"suffix":""},{"dropping-particle":"","family":"Seabright","given":"Gemma E.","non-dropping-particle":"","parse-names":false,"suffix":""},{"dropping-particle":"","family":"Behrens","given":"Anna-Janina","non-dropping-particle":"","parse-names":false,"suffix":""},{"dropping-particle":"","family":"Kulp","given":"Daniel W.","non-dropping-particle":"","parse-names":false,"suffix":""},{"dropping-particle":"","family":"Menis","given":"Sergey","non-dropping-particle":"","parse-names":false,"suffix":""},{"dropping-particle":"","family":"Krumm","given":"Stefanie A.","non-dropping-particle":"","parse-names":false,"suffix":""},{"dropping-particle":"","family":"Dunlop","given":"D. Cameron","non-dropping-particle":"","parse-names":false,"suffix":""},{"dropping-particle":"","family":"Crispin","given":"Daniel J.","non-dropping-particle":"","parse-names":false,"suffix":""},{"dropping-particle":"","family":"Bowden","given":"Thomas A.","non-dropping-particle":"","parse-names":false,"suffix":""},{"dropping-particle":"","family":"Scanlan","given":"Christopher N.","non-dropping-particle":"","parse-names":false,"suffix":""},{"dropping-particle":"","family":"Ward","given":"Andrew B.","non-dropping-particle":"","parse-names":false,"suffix":""},{"dropping-particle":"","family":"Schief","given":"William R.","non-dropping-particle":"","parse-names":false,"suffix":""},{"dropping-particle":"","family":"Doores","given":"Katie J.","non-dropping-particle":"","parse-names":false,"suffix":""},{"dropping-particle":"","family":"Crispin","given":"Max","non-dropping-particle":"","parse-names":false,"suffix":""}],"container-title":"Nature Communications","id":"ITEM-1","issue":"1","issued":{"date-parts":[["2015","11","24"]]},"page":"7479","title":"Glycan clustering stabilizes the mannose patch of HIV-1 and preserves vulnerability to broadly neutralizing antibodies","type":"article-journal","volume":"6"},"uris":["http://www.mendeley.com/documents/?uuid=6b04f625-5a45-44ac-ba59-f622276f25f7"]}],"mendeley":{"formattedCitation":"&lt;sup&gt;93&lt;/sup&gt;","plainTextFormattedCitation":"93","previouslyFormattedCitation":"&lt;sup&gt;93&lt;/sup&gt;"},"properties":{"noteIndex":0},"schema":"https://github.com/citation-style-language/schema/raw/master/csl-citation.json"}</w:instrText>
      </w:r>
      <w:r w:rsidR="00BC1287" w:rsidRPr="006B3D43">
        <w:rPr>
          <w:rFonts w:ascii="Arial" w:hAnsi="Arial" w:cs="Arial"/>
          <w:sz w:val="24"/>
          <w:szCs w:val="24"/>
        </w:rPr>
        <w:fldChar w:fldCharType="separate"/>
      </w:r>
      <w:r w:rsidR="00ED58B4" w:rsidRPr="00ED58B4">
        <w:rPr>
          <w:rFonts w:ascii="Arial" w:hAnsi="Arial" w:cs="Arial"/>
          <w:noProof/>
          <w:sz w:val="24"/>
          <w:szCs w:val="24"/>
          <w:vertAlign w:val="superscript"/>
        </w:rPr>
        <w:t>93</w:t>
      </w:r>
      <w:r w:rsidR="00BC1287" w:rsidRPr="006B3D43">
        <w:rPr>
          <w:rFonts w:ascii="Arial" w:hAnsi="Arial" w:cs="Arial"/>
          <w:sz w:val="24"/>
          <w:szCs w:val="24"/>
        </w:rPr>
        <w:fldChar w:fldCharType="end"/>
      </w:r>
      <w:r w:rsidR="00BC1287" w:rsidRPr="006B3D43">
        <w:rPr>
          <w:rFonts w:ascii="Arial" w:hAnsi="Arial" w:cs="Arial"/>
          <w:sz w:val="24"/>
          <w:szCs w:val="24"/>
        </w:rPr>
        <w:t>,</w:t>
      </w:r>
      <w:r w:rsidR="00352483" w:rsidRPr="006B3D43">
        <w:rPr>
          <w:rFonts w:ascii="Arial" w:hAnsi="Arial" w:cs="Arial"/>
          <w:sz w:val="24"/>
          <w:szCs w:val="24"/>
        </w:rPr>
        <w:t xml:space="preserve"> and a similar mechanism might explain increased oligomannose content at S2 sites of SARS-CoV-2. A recent study showed that</w:t>
      </w:r>
      <w:r w:rsidR="005816AE">
        <w:rPr>
          <w:rFonts w:ascii="Arial" w:hAnsi="Arial" w:cs="Arial"/>
          <w:sz w:val="24"/>
          <w:szCs w:val="24"/>
        </w:rPr>
        <w:t xml:space="preserve"> </w:t>
      </w:r>
      <w:r w:rsidR="00FF7185">
        <w:rPr>
          <w:rFonts w:ascii="Arial" w:hAnsi="Arial" w:cs="Arial"/>
          <w:sz w:val="24"/>
          <w:szCs w:val="24"/>
        </w:rPr>
        <w:t xml:space="preserve">glycan binding Fab dimerized antibodies recognize </w:t>
      </w:r>
      <w:proofErr w:type="spellStart"/>
      <w:r w:rsidR="00FF7185">
        <w:rPr>
          <w:rFonts w:ascii="Arial" w:hAnsi="Arial" w:cs="Arial"/>
          <w:sz w:val="24"/>
          <w:szCs w:val="24"/>
        </w:rPr>
        <w:t>underprocseed</w:t>
      </w:r>
      <w:proofErr w:type="spellEnd"/>
      <w:r w:rsidR="00FF7185">
        <w:rPr>
          <w:rFonts w:ascii="Arial" w:hAnsi="Arial" w:cs="Arial"/>
          <w:sz w:val="24"/>
          <w:szCs w:val="24"/>
        </w:rPr>
        <w:t xml:space="preserve"> </w:t>
      </w:r>
      <w:proofErr w:type="spellStart"/>
      <w:r w:rsidR="00FF7185">
        <w:rPr>
          <w:rFonts w:ascii="Arial" w:hAnsi="Arial" w:cs="Arial"/>
          <w:sz w:val="24"/>
          <w:szCs w:val="24"/>
        </w:rPr>
        <w:t>oligomannose</w:t>
      </w:r>
      <w:proofErr w:type="spellEnd"/>
      <w:r w:rsidR="00FF7185">
        <w:rPr>
          <w:rFonts w:ascii="Arial" w:hAnsi="Arial" w:cs="Arial"/>
          <w:sz w:val="24"/>
          <w:szCs w:val="24"/>
        </w:rPr>
        <w:t>-type glycans on SARS-CoV-2</w:t>
      </w:r>
      <w:r w:rsidR="00352483" w:rsidRPr="006B3D43">
        <w:rPr>
          <w:rFonts w:ascii="Arial" w:hAnsi="Arial" w:cs="Arial"/>
          <w:sz w:val="24"/>
          <w:szCs w:val="24"/>
        </w:rPr>
        <w:t xml:space="preserve"> via a common epitope around N709 </w:t>
      </w:r>
      <w:r w:rsidR="000149B8" w:rsidRPr="006B3D43">
        <w:rPr>
          <w:rFonts w:ascii="Arial" w:hAnsi="Arial" w:cs="Arial"/>
          <w:sz w:val="24"/>
          <w:szCs w:val="24"/>
        </w:rPr>
        <w:t>on the</w:t>
      </w:r>
      <w:r w:rsidR="000C20E9" w:rsidRPr="006B3D43">
        <w:rPr>
          <w:rFonts w:ascii="Arial" w:hAnsi="Arial" w:cs="Arial"/>
          <w:sz w:val="24"/>
          <w:szCs w:val="24"/>
        </w:rPr>
        <w:t xml:space="preserve"> S2 subunit</w:t>
      </w:r>
      <w:r w:rsidR="002C75C9">
        <w:rPr>
          <w:rFonts w:ascii="Arial" w:hAnsi="Arial" w:cs="Arial"/>
          <w:sz w:val="24"/>
          <w:szCs w:val="24"/>
        </w:rPr>
        <w:t xml:space="preserve"> </w:t>
      </w:r>
      <w:r w:rsidR="00BC1287" w:rsidRPr="006B3D43">
        <w:rPr>
          <w:rFonts w:ascii="Arial" w:hAnsi="Arial" w:cs="Arial"/>
          <w:sz w:val="24"/>
          <w:szCs w:val="24"/>
        </w:rPr>
        <w:fldChar w:fldCharType="begin" w:fldLock="1"/>
      </w:r>
      <w:r w:rsidR="00C20977">
        <w:rPr>
          <w:rFonts w:ascii="Arial" w:hAnsi="Arial" w:cs="Arial"/>
          <w:sz w:val="24"/>
          <w:szCs w:val="24"/>
        </w:rPr>
        <w:instrText>ADDIN CSL_CITATION {"citationItems":[{"id":"ITEM-1","itemData":{"DOI":"10.1016/j.cell.2021.04.042","ISSN":"00928674","abstract":"Natural antibodies (Abs) can target host glycans on the surface of pathogens. We studied the evolution of glycan-reactive B cells of rhesus macaques and humans using glycosylated HIV-1 envelope (Env) as a model antigen. 2G12 is a broadly neutralizing Ab (bnAb) that targets a conserved glycan patch on Env of geographically diverse HIV-1 strains using a unique heavy-chain (VH) domain-swapped architecture that results in fragment antigen-binding (Fab) dimerization. Here, we describe HIV-1 Env Fab-dimerized glycan (FDG)-reactive bnAbs without VH-swapped domains from simian-human immunodeficiency virus (SHIV)-infected macaques. FDG Abs also recognized cell-surface glycans on diverse pathogens, including yeast and severe acute respiratory syndrome coronavirus 2 (SARS-CoV-2) spike. FDG precursors were expanded by glycan-bearing immunogens in macaques and were abundant in HIV-1-naive humans. Moreover, FDG precursors were predominately mutated IgM+IgD+CD27+, thus suggesting that they originated from a pool of antigen-experienced IgM+ or marginal zone B cells.","author":[{"dropping-particle":"","family":"Williams","given":"Wilton B.","non-dropping-particle":"","parse-names":false,"suffix":""},{"dropping-particle":"","family":"Meyerhoff","given":"R. Ryan","non-dropping-particle":"","parse-names":false,"suffix":""},{"dropping-particle":"","family":"Edwards","given":"R.J.","non-dropping-particle":"","parse-names":false,"suffix":""},{"dropping-particle":"","family":"Li","given":"Hui","non-dropping-particle":"","parse-names":false,"suffix":""},{"dropping-particle":"","family":"Manne","given":"Kartik","non-dropping-particle":"","parse-names":false,"suffix":""},{"dropping-particle":"","family":"Nicely","given":"Nathan I.","non-dropping-particle":"","parse-names":false,"suffix":""},{"dropping-particle":"","family":"Henderson","given":"Rory","non-dropping-particle":"","parse-names":false,"suffix":""},{"dropping-particle":"","family":"Zhou","given":"Ye","non-dropping-particle":"","parse-names":false,"suffix":""},{"dropping-particle":"","family":"Janowska","given":"Katarzyna","non-dropping-particle":"","parse-names":false,"suffix":""},{"dropping-particle":"","family":"Mansouri","given":"Katayoun","non-dropping-particle":"","parse-names":false,"suffix":""},{"dropping-particle":"","family":"Gobeil","given":"Sophie","non-dropping-particle":"","parse-names":false,"suffix":""},{"dropping-particle":"","family":"Evangelous","given":"Tyler","non-dropping-particle":"","parse-names":false,"suffix":""},{"dropping-particle":"","family":"Hora","given":"Bhavna","non-dropping-particle":"","parse-names":false,"suffix":""},{"dropping-particle":"","family":"Berry","given":"Madison","non-dropping-particle":"","parse-names":false,"suffix":""},{"dropping-particle":"","family":"Abuahmad","given":"A. Yousef","non-dropping-particle":"","parse-names":false,"suffix":""},{"dropping-particle":"","family":"Sprenz","given":"Jordan","non-dropping-particle":"","parse-names":false,"suffix":""},{"dropping-particle":"","family":"Deyton","given":"Margaret","non-dropping-particle":"","parse-names":false,"suffix":""},{"dropping-particle":"","family":"Stalls","given":"Victoria","non-dropping-particle":"","parse-names":false,"suffix":""},{"dropping-particle":"","family":"Kopp","given":"Megan","non-dropping-particle":"","parse-names":false,"suffix":""},{"dropping-particle":"","family":"Hsu","given":"Allen L.","non-dropping-particle":"","parse-names":false,"suffix":""},{"dropping-particle":"","family":"Borgnia","given":"Mario J.","non-dropping-particle":"","parse-names":false,"suffix":""},{"dropping-particle":"","family":"Stewart-Jones","given":"Guillaume","non-dropping-particle":"","parse-names":false,"suffix":""},{"dropping-particle":"","family":"Lee","given":"Matthew S.","non-dropping-particle":"","parse-names":false,"suffix":""},{"dropping-particle":"","family":"Bronkema","given":"Naomi","non-dropping-particle":"","parse-names":false,"suffix":""},{"dropping-particle":"","family":"Moody","given":"M. Anthony","non-dropping-particle":"","parse-names":false,"suffix":""},{"dropping-particle":"","family":"Wiehe","given":"Kevin","non-dropping-particle":"","parse-names":false,"suffix":""},{"dropping-particle":"","family":"Bradley","given":"Todd","non-dropping-particle":"","parse-names":false,"suffix":""},{"dropping-particle":"","family":"Munir Alam","given":"S.","non-dropping-particle":"","parse-names":false,"suffix":""},{"dropping-particle":"","family":"Parks","given":"Robert J.","non-dropping-particle":"","parse-names":false,"suffix":""},{"dropping-particle":"","family":"Foulger","given":"Andrew","non-dropping-particle":"","parse-names":false,"suffix":""},{"dropping-particle":"","family":"Oguin","given":"Thomas","non-dropping-particle":"","parse-names":false,"suffix":""},{"dropping-particle":"","family":"Santra","given":"Sampa","non-dropping-particle":"","parse-names":false,"suffix":""},{"dropping-particle":"","family":"Perfect","given":"John","non-dropping-particle":"","parse-names":false,"suffix":""},{"dropping-particle":"","family":"Francica","given":"Joseph R.","non-dropping-particle":"","parse-names":false,"suffix":""},{"dropping-particle":"","family":"Lynn","given":"Geoffrey M.","non-dropping-particle":"","parse-names":false,"suffix":""},{"dropping-particle":"","family":"Aussedat","given":"Baptiste","non-dropping-particle":"","parse-names":false,"suffix":""},{"dropping-particle":"","family":"Walkowicz","given":"William E.","non-dropping-particle":"","parse-names":false,"suffix":""},{"dropping-particle":"","family":"Laga","given":"Richard","non-dropping-particle":"","parse-names":false,"suffix":""},{"dropping-particle":"","family":"Kelsoe","given":"Garnett","non-dropping-particle":"","parse-names":false,"suffix":""},{"dropping-particle":"","family":"Saunders","given":"Kevin O.","non-dropping-particle":"","parse-names":false,"suffix":""},{"dropping-particle":"","family":"Fera","given":"Daniela","non-dropping-particle":"","parse-names":false,"suffix":""},{"dropping-particle":"","family":"Kwong","given":"Peter D.","non-dropping-particle":"","parse-names":false,"suffix":""},{"dropping-particle":"","family":"Seder","given":"Robert A.","non-dropping-particle":"","parse-names":false,"suffix":""},{"dropping-particle":"","family":"Bartesaghi","given":"Alberto","non-dropping-particle":"","parse-names":false,"suffix":""},{"dropping-particle":"","family":"Shaw","given":"George M.","non-dropping-particle":"","parse-names":false,"suffix":""},{"dropping-particle":"","family":"Acharya","given":"Priyamvada","non-dropping-particle":"","parse-names":false,"suffix":""},{"dropping-particle":"","family":"Haynes","given":"Barton F.","non-dropping-particle":"","parse-names":false,"suffix":""}],"container-title":"Cell","id":"ITEM-1","issued":{"date-parts":[["2021","5"]]},"publisher":"Elsevier","title":"Fab-dimerized glycan-reactive antibodies are a structural category of natural antibodies","type":"article-journal"},"uris":["http://www.mendeley.com/documents/?uuid=020222ac-1c23-39c5-b0ae-d99a7368597c"]}],"mendeley":{"formattedCitation":"&lt;sup&gt;94&lt;/sup&gt;","plainTextFormattedCitation":"94","previouslyFormattedCitation":"&lt;sup&gt;94&lt;/sup&gt;"},"properties":{"noteIndex":0},"schema":"https://github.com/citation-style-language/schema/raw/master/csl-citation.json"}</w:instrText>
      </w:r>
      <w:r w:rsidR="00BC1287" w:rsidRPr="006B3D43">
        <w:rPr>
          <w:rFonts w:ascii="Arial" w:hAnsi="Arial" w:cs="Arial"/>
          <w:sz w:val="24"/>
          <w:szCs w:val="24"/>
        </w:rPr>
        <w:fldChar w:fldCharType="separate"/>
      </w:r>
      <w:r w:rsidR="00ED58B4" w:rsidRPr="00ED58B4">
        <w:rPr>
          <w:rFonts w:ascii="Arial" w:hAnsi="Arial" w:cs="Arial"/>
          <w:noProof/>
          <w:sz w:val="24"/>
          <w:szCs w:val="24"/>
          <w:vertAlign w:val="superscript"/>
        </w:rPr>
        <w:t>94</w:t>
      </w:r>
      <w:r w:rsidR="00BC1287" w:rsidRPr="006B3D43">
        <w:rPr>
          <w:rFonts w:ascii="Arial" w:hAnsi="Arial" w:cs="Arial"/>
          <w:sz w:val="24"/>
          <w:szCs w:val="24"/>
        </w:rPr>
        <w:fldChar w:fldCharType="end"/>
      </w:r>
      <w:r w:rsidR="000C20E9" w:rsidRPr="006B3D43">
        <w:rPr>
          <w:rFonts w:ascii="Arial" w:hAnsi="Arial" w:cs="Arial"/>
          <w:sz w:val="24"/>
          <w:szCs w:val="24"/>
        </w:rPr>
        <w:t xml:space="preserve">, </w:t>
      </w:r>
      <w:r w:rsidR="000C20E9" w:rsidRPr="006B3D43">
        <w:rPr>
          <w:rFonts w:ascii="Arial" w:hAnsi="Arial" w:cs="Arial"/>
          <w:sz w:val="24"/>
          <w:szCs w:val="24"/>
        </w:rPr>
        <w:lastRenderedPageBreak/>
        <w:t>further suggesting the formation of a local glycan cluster.</w:t>
      </w:r>
      <w:r w:rsidR="00352483" w:rsidRPr="006B3D43">
        <w:rPr>
          <w:rFonts w:ascii="Arial" w:hAnsi="Arial" w:cs="Arial"/>
          <w:sz w:val="24"/>
          <w:szCs w:val="24"/>
        </w:rPr>
        <w:t xml:space="preserve"> </w:t>
      </w:r>
      <w:r w:rsidR="00193E3B" w:rsidRPr="006B3D43">
        <w:rPr>
          <w:rFonts w:ascii="Arial" w:hAnsi="Arial" w:cs="Arial"/>
          <w:sz w:val="24"/>
          <w:szCs w:val="24"/>
        </w:rPr>
        <w:t>Collectively</w:t>
      </w:r>
      <w:r w:rsidR="0036768F" w:rsidRPr="006B3D43">
        <w:rPr>
          <w:rFonts w:ascii="Arial" w:hAnsi="Arial" w:cs="Arial"/>
          <w:sz w:val="24"/>
          <w:szCs w:val="24"/>
        </w:rPr>
        <w:t xml:space="preserve">, our MD simulation </w:t>
      </w:r>
      <w:r w:rsidR="00117ED3" w:rsidRPr="006B3D43">
        <w:rPr>
          <w:rFonts w:ascii="Arial" w:hAnsi="Arial" w:cs="Arial"/>
          <w:sz w:val="24"/>
          <w:szCs w:val="24"/>
        </w:rPr>
        <w:t xml:space="preserve">sampling </w:t>
      </w:r>
      <w:r w:rsidR="0036768F" w:rsidRPr="006B3D43">
        <w:rPr>
          <w:rFonts w:ascii="Arial" w:hAnsi="Arial" w:cs="Arial"/>
          <w:sz w:val="24"/>
          <w:szCs w:val="24"/>
        </w:rPr>
        <w:t>show</w:t>
      </w:r>
      <w:r w:rsidR="00934E00" w:rsidRPr="006B3D43">
        <w:rPr>
          <w:rFonts w:ascii="Arial" w:hAnsi="Arial" w:cs="Arial"/>
          <w:sz w:val="24"/>
          <w:szCs w:val="24"/>
        </w:rPr>
        <w:t xml:space="preserve">s </w:t>
      </w:r>
      <w:r w:rsidR="0036768F" w:rsidRPr="006B3D43">
        <w:rPr>
          <w:rFonts w:ascii="Arial" w:hAnsi="Arial" w:cs="Arial"/>
          <w:sz w:val="24"/>
          <w:szCs w:val="24"/>
        </w:rPr>
        <w:t>that glycan accessibility to host enzymes</w:t>
      </w:r>
      <w:r w:rsidR="003C79D1" w:rsidRPr="006B3D43">
        <w:rPr>
          <w:rFonts w:ascii="Arial" w:hAnsi="Arial" w:cs="Arial"/>
          <w:sz w:val="24"/>
          <w:szCs w:val="24"/>
        </w:rPr>
        <w:t>, which is affect</w:t>
      </w:r>
      <w:r w:rsidR="00934E00" w:rsidRPr="006B3D43">
        <w:rPr>
          <w:rFonts w:ascii="Arial" w:hAnsi="Arial" w:cs="Arial"/>
          <w:sz w:val="24"/>
          <w:szCs w:val="24"/>
        </w:rPr>
        <w:t>ed</w:t>
      </w:r>
      <w:r w:rsidR="003C79D1" w:rsidRPr="006B3D43">
        <w:rPr>
          <w:rFonts w:ascii="Arial" w:hAnsi="Arial" w:cs="Arial"/>
          <w:sz w:val="24"/>
          <w:szCs w:val="24"/>
        </w:rPr>
        <w:t xml:space="preserve"> by protein quaternary structure and local glycan density, is an important determinant of glycan processing.</w:t>
      </w:r>
      <w:r w:rsidR="004A250B" w:rsidRPr="006B3D43">
        <w:rPr>
          <w:rFonts w:ascii="Arial" w:hAnsi="Arial" w:cs="Arial"/>
          <w:sz w:val="24"/>
          <w:szCs w:val="24"/>
        </w:rPr>
        <w:t xml:space="preserve"> </w:t>
      </w:r>
    </w:p>
    <w:p w14:paraId="10C4B885" w14:textId="77777777" w:rsidR="00B55FC5" w:rsidRPr="006B3D43" w:rsidRDefault="00B55FC5" w:rsidP="006B3D43">
      <w:pPr>
        <w:spacing w:line="360" w:lineRule="auto"/>
        <w:jc w:val="both"/>
        <w:rPr>
          <w:rFonts w:ascii="Arial" w:hAnsi="Arial" w:cs="Arial"/>
          <w:sz w:val="24"/>
          <w:szCs w:val="24"/>
        </w:rPr>
      </w:pPr>
    </w:p>
    <w:p w14:paraId="0D3789E5" w14:textId="77777777" w:rsidR="007A5564" w:rsidRPr="006B3D43" w:rsidRDefault="007A5564" w:rsidP="006B3D43">
      <w:pPr>
        <w:spacing w:line="360" w:lineRule="auto"/>
        <w:jc w:val="both"/>
        <w:rPr>
          <w:rFonts w:ascii="Arial" w:hAnsi="Arial" w:cs="Arial"/>
          <w:b/>
          <w:bCs/>
          <w:sz w:val="24"/>
          <w:szCs w:val="24"/>
        </w:rPr>
      </w:pPr>
      <w:r w:rsidRPr="006B3D43">
        <w:rPr>
          <w:rFonts w:ascii="Arial" w:hAnsi="Arial" w:cs="Arial"/>
          <w:b/>
          <w:bCs/>
          <w:sz w:val="24"/>
          <w:szCs w:val="24"/>
        </w:rPr>
        <w:t>Perspectives</w:t>
      </w:r>
    </w:p>
    <w:p w14:paraId="26B1DAC1" w14:textId="035613CE" w:rsidR="007A5564" w:rsidRPr="006B3D43" w:rsidRDefault="007A5564" w:rsidP="006B3D43">
      <w:pPr>
        <w:spacing w:line="360" w:lineRule="auto"/>
        <w:jc w:val="both"/>
        <w:rPr>
          <w:rFonts w:ascii="Arial" w:hAnsi="Arial" w:cs="Arial"/>
          <w:sz w:val="24"/>
          <w:szCs w:val="24"/>
        </w:rPr>
      </w:pPr>
      <w:r w:rsidRPr="006B3D43">
        <w:rPr>
          <w:rFonts w:ascii="Arial" w:hAnsi="Arial" w:cs="Arial"/>
          <w:sz w:val="24"/>
          <w:szCs w:val="24"/>
        </w:rPr>
        <w:t>The global impact of COVID</w:t>
      </w:r>
      <w:r w:rsidR="006A3CB4">
        <w:rPr>
          <w:rFonts w:ascii="Arial" w:hAnsi="Arial" w:cs="Arial"/>
          <w:sz w:val="24"/>
          <w:szCs w:val="24"/>
        </w:rPr>
        <w:t>-</w:t>
      </w:r>
      <w:r w:rsidRPr="006B3D43">
        <w:rPr>
          <w:rFonts w:ascii="Arial" w:hAnsi="Arial" w:cs="Arial"/>
          <w:sz w:val="24"/>
          <w:szCs w:val="24"/>
        </w:rPr>
        <w:t xml:space="preserve">19 has resulted in laboratories across the </w:t>
      </w:r>
      <w:r w:rsidR="006A3CB4">
        <w:rPr>
          <w:rFonts w:ascii="Arial" w:hAnsi="Arial" w:cs="Arial"/>
          <w:sz w:val="24"/>
          <w:szCs w:val="24"/>
        </w:rPr>
        <w:t>globe</w:t>
      </w:r>
      <w:r w:rsidRPr="006B3D43">
        <w:rPr>
          <w:rFonts w:ascii="Arial" w:hAnsi="Arial" w:cs="Arial"/>
          <w:sz w:val="24"/>
          <w:szCs w:val="24"/>
        </w:rPr>
        <w:t xml:space="preserve"> producing recombinant spike protein for </w:t>
      </w:r>
      <w:r w:rsidR="005816AE">
        <w:rPr>
          <w:rFonts w:ascii="Arial" w:hAnsi="Arial" w:cs="Arial"/>
          <w:sz w:val="24"/>
          <w:szCs w:val="24"/>
        </w:rPr>
        <w:t>vaccine</w:t>
      </w:r>
      <w:r w:rsidR="005816AE" w:rsidRPr="006B3D43">
        <w:rPr>
          <w:rFonts w:ascii="Arial" w:hAnsi="Arial" w:cs="Arial"/>
          <w:sz w:val="24"/>
          <w:szCs w:val="24"/>
        </w:rPr>
        <w:t xml:space="preserve"> </w:t>
      </w:r>
      <w:r w:rsidRPr="006B3D43">
        <w:rPr>
          <w:rFonts w:ascii="Arial" w:hAnsi="Arial" w:cs="Arial"/>
          <w:sz w:val="24"/>
          <w:szCs w:val="24"/>
        </w:rPr>
        <w:t>design, antigenic testing and structural characterization. Whilst the site of glycan attachment is encoded by the viral genome</w:t>
      </w:r>
      <w:r w:rsidR="008574DE" w:rsidRPr="006B3D43">
        <w:rPr>
          <w:rFonts w:ascii="Arial" w:hAnsi="Arial" w:cs="Arial"/>
          <w:sz w:val="24"/>
          <w:szCs w:val="24"/>
        </w:rPr>
        <w:t>,</w:t>
      </w:r>
      <w:r w:rsidRPr="006B3D43">
        <w:rPr>
          <w:rFonts w:ascii="Arial" w:hAnsi="Arial" w:cs="Arial"/>
          <w:sz w:val="24"/>
          <w:szCs w:val="24"/>
        </w:rPr>
        <w:t xml:space="preserve"> the processing of the attached glycans can also be influenced by a wide range of exogenous phenomena</w:t>
      </w:r>
      <w:r w:rsidR="00210E7A">
        <w:rPr>
          <w:rFonts w:ascii="Arial" w:hAnsi="Arial" w:cs="Arial"/>
          <w:sz w:val="24"/>
          <w:szCs w:val="24"/>
        </w:rPr>
        <w:t xml:space="preserve">, including recombinant host systems and processes for production in cell culture. </w:t>
      </w:r>
      <w:r w:rsidR="006A3CB4">
        <w:rPr>
          <w:rFonts w:ascii="Arial" w:hAnsi="Arial" w:cs="Arial"/>
          <w:sz w:val="24"/>
          <w:szCs w:val="24"/>
        </w:rPr>
        <w:t>Using immediately</w:t>
      </w:r>
      <w:r w:rsidR="00210E7A">
        <w:rPr>
          <w:rFonts w:ascii="Arial" w:hAnsi="Arial" w:cs="Arial"/>
          <w:sz w:val="24"/>
          <w:szCs w:val="24"/>
        </w:rPr>
        <w:t xml:space="preserve"> available materials, </w:t>
      </w:r>
      <w:r w:rsidR="006A3CB4">
        <w:rPr>
          <w:rFonts w:ascii="Arial" w:hAnsi="Arial" w:cs="Arial"/>
          <w:sz w:val="24"/>
          <w:szCs w:val="24"/>
        </w:rPr>
        <w:t>we have</w:t>
      </w:r>
      <w:r w:rsidR="00210E7A">
        <w:rPr>
          <w:rFonts w:ascii="Arial" w:hAnsi="Arial" w:cs="Arial"/>
          <w:sz w:val="24"/>
          <w:szCs w:val="24"/>
        </w:rPr>
        <w:t xml:space="preserve"> compare</w:t>
      </w:r>
      <w:r w:rsidR="006A3CB4">
        <w:rPr>
          <w:rFonts w:ascii="Arial" w:hAnsi="Arial" w:cs="Arial"/>
          <w:sz w:val="24"/>
          <w:szCs w:val="24"/>
        </w:rPr>
        <w:t>d</w:t>
      </w:r>
      <w:r w:rsidR="00210E7A">
        <w:rPr>
          <w:rFonts w:ascii="Arial" w:hAnsi="Arial" w:cs="Arial"/>
          <w:sz w:val="24"/>
          <w:szCs w:val="24"/>
        </w:rPr>
        <w:t xml:space="preserve"> the glycosylation of Vero-produced virus preparations for Spike proteins with those of HEK-293 and CHO-derived recombinant Spike proteins. We are aware that these preparations are likely to be different from Spike proteins as produced in a diversity of cells in infected patients. However,</w:t>
      </w:r>
      <w:r w:rsidRPr="006B3D43">
        <w:rPr>
          <w:rFonts w:ascii="Arial" w:hAnsi="Arial" w:cs="Arial"/>
          <w:sz w:val="24"/>
          <w:szCs w:val="24"/>
        </w:rPr>
        <w:t xml:space="preserve"> </w:t>
      </w:r>
      <w:r w:rsidR="00210E7A">
        <w:rPr>
          <w:rFonts w:ascii="Arial" w:hAnsi="Arial" w:cs="Arial"/>
          <w:sz w:val="24"/>
          <w:szCs w:val="24"/>
        </w:rPr>
        <w:t>h</w:t>
      </w:r>
      <w:r w:rsidRPr="006B3D43">
        <w:rPr>
          <w:rFonts w:ascii="Arial" w:hAnsi="Arial" w:cs="Arial"/>
          <w:sz w:val="24"/>
          <w:szCs w:val="24"/>
        </w:rPr>
        <w:t xml:space="preserve">ere we show that </w:t>
      </w:r>
      <w:r w:rsidR="00E96F66">
        <w:rPr>
          <w:rFonts w:ascii="Arial" w:hAnsi="Arial" w:cs="Arial"/>
          <w:sz w:val="24"/>
          <w:szCs w:val="24"/>
        </w:rPr>
        <w:t>when a</w:t>
      </w:r>
      <w:r w:rsidR="00210E7A" w:rsidRPr="006B3D43">
        <w:rPr>
          <w:rFonts w:ascii="Arial" w:hAnsi="Arial" w:cs="Arial"/>
          <w:sz w:val="24"/>
          <w:szCs w:val="24"/>
        </w:rPr>
        <w:t xml:space="preserve"> </w:t>
      </w:r>
      <w:r w:rsidRPr="006B3D43">
        <w:rPr>
          <w:rFonts w:ascii="Arial" w:hAnsi="Arial" w:cs="Arial"/>
          <w:sz w:val="24"/>
          <w:szCs w:val="24"/>
        </w:rPr>
        <w:t>glycan</w:t>
      </w:r>
      <w:r w:rsidR="00E96F66">
        <w:rPr>
          <w:rFonts w:ascii="Arial" w:hAnsi="Arial" w:cs="Arial"/>
          <w:sz w:val="24"/>
          <w:szCs w:val="24"/>
        </w:rPr>
        <w:t xml:space="preserve"> </w:t>
      </w:r>
      <w:r w:rsidRPr="006B3D43">
        <w:rPr>
          <w:rFonts w:ascii="Arial" w:hAnsi="Arial" w:cs="Arial"/>
          <w:sz w:val="24"/>
          <w:szCs w:val="24"/>
        </w:rPr>
        <w:t>s</w:t>
      </w:r>
      <w:r w:rsidR="00E96F66">
        <w:rPr>
          <w:rFonts w:ascii="Arial" w:hAnsi="Arial" w:cs="Arial"/>
          <w:sz w:val="24"/>
          <w:szCs w:val="24"/>
        </w:rPr>
        <w:t>ite is</w:t>
      </w:r>
      <w:r w:rsidRPr="006B3D43">
        <w:rPr>
          <w:rFonts w:ascii="Arial" w:hAnsi="Arial" w:cs="Arial"/>
          <w:sz w:val="24"/>
          <w:szCs w:val="24"/>
        </w:rPr>
        <w:t xml:space="preserve"> located in regions of the SARS-CoV-2 S protein which are not readily accessible</w:t>
      </w:r>
      <w:r w:rsidR="00E96F66">
        <w:rPr>
          <w:rFonts w:ascii="Arial" w:hAnsi="Arial" w:cs="Arial"/>
          <w:sz w:val="24"/>
          <w:szCs w:val="24"/>
        </w:rPr>
        <w:t xml:space="preserve"> the glycan site</w:t>
      </w:r>
      <w:r w:rsidRPr="006B3D43">
        <w:rPr>
          <w:rFonts w:ascii="Arial" w:hAnsi="Arial" w:cs="Arial"/>
          <w:sz w:val="24"/>
          <w:szCs w:val="24"/>
        </w:rPr>
        <w:t xml:space="preserve"> </w:t>
      </w:r>
      <w:r w:rsidR="00E96F66">
        <w:rPr>
          <w:rFonts w:ascii="Arial" w:hAnsi="Arial" w:cs="Arial"/>
          <w:sz w:val="24"/>
          <w:szCs w:val="24"/>
        </w:rPr>
        <w:t>will possess</w:t>
      </w:r>
      <w:r w:rsidRPr="006B3D43">
        <w:rPr>
          <w:rFonts w:ascii="Arial" w:hAnsi="Arial" w:cs="Arial"/>
          <w:sz w:val="24"/>
          <w:szCs w:val="24"/>
        </w:rPr>
        <w:t xml:space="preserve"> </w:t>
      </w:r>
      <w:r w:rsidR="00E96F66">
        <w:rPr>
          <w:rFonts w:ascii="Arial" w:hAnsi="Arial" w:cs="Arial"/>
          <w:sz w:val="24"/>
          <w:szCs w:val="24"/>
        </w:rPr>
        <w:t>high levels of</w:t>
      </w:r>
      <w:r w:rsidRPr="006B3D43">
        <w:rPr>
          <w:rFonts w:ascii="Arial" w:hAnsi="Arial" w:cs="Arial"/>
          <w:sz w:val="24"/>
          <w:szCs w:val="24"/>
        </w:rPr>
        <w:t xml:space="preserve"> under-processed oligomannose-type glycans</w:t>
      </w:r>
      <w:r w:rsidR="00E96F66">
        <w:rPr>
          <w:rFonts w:ascii="Arial" w:hAnsi="Arial" w:cs="Arial"/>
          <w:sz w:val="24"/>
          <w:szCs w:val="24"/>
        </w:rPr>
        <w:t>,</w:t>
      </w:r>
      <w:r w:rsidR="00210E7A">
        <w:rPr>
          <w:rFonts w:ascii="Arial" w:hAnsi="Arial" w:cs="Arial"/>
          <w:sz w:val="24"/>
          <w:szCs w:val="24"/>
        </w:rPr>
        <w:t xml:space="preserve"> a phenomenon that will likely be of a general nature</w:t>
      </w:r>
      <w:r w:rsidRPr="006B3D43">
        <w:rPr>
          <w:rFonts w:ascii="Arial" w:hAnsi="Arial" w:cs="Arial"/>
          <w:sz w:val="24"/>
          <w:szCs w:val="24"/>
        </w:rPr>
        <w:t xml:space="preserve">. </w:t>
      </w:r>
      <w:r w:rsidR="00210E7A">
        <w:rPr>
          <w:rFonts w:ascii="Arial" w:hAnsi="Arial" w:cs="Arial"/>
          <w:sz w:val="24"/>
          <w:szCs w:val="24"/>
        </w:rPr>
        <w:t>This conclusion is derived from the observation that the under-processing of glycans is found in</w:t>
      </w:r>
      <w:r w:rsidR="00210E7A" w:rsidRPr="006B3D43" w:rsidDel="00210E7A">
        <w:rPr>
          <w:rFonts w:ascii="Arial" w:hAnsi="Arial" w:cs="Arial"/>
          <w:sz w:val="24"/>
          <w:szCs w:val="24"/>
        </w:rPr>
        <w:t xml:space="preserve"> </w:t>
      </w:r>
      <w:r w:rsidRPr="006B3D43">
        <w:rPr>
          <w:rFonts w:ascii="Arial" w:hAnsi="Arial" w:cs="Arial"/>
          <w:sz w:val="24"/>
          <w:szCs w:val="24"/>
        </w:rPr>
        <w:t xml:space="preserve">protein preparations from a range of institutions across the globe and are also present on </w:t>
      </w:r>
      <w:r w:rsidR="00210E7A">
        <w:rPr>
          <w:rFonts w:ascii="Arial" w:hAnsi="Arial" w:cs="Arial"/>
          <w:sz w:val="24"/>
          <w:szCs w:val="24"/>
        </w:rPr>
        <w:t xml:space="preserve">Vero cell derived </w:t>
      </w:r>
      <w:r w:rsidRPr="006B3D43">
        <w:rPr>
          <w:rFonts w:ascii="Arial" w:hAnsi="Arial" w:cs="Arial"/>
          <w:sz w:val="24"/>
          <w:szCs w:val="24"/>
        </w:rPr>
        <w:t xml:space="preserve">S protein derived from infectious SARS-CoV-2. Whilst the presence of oligomannose-type glycans are rare on the majority of host glycoproteins their abundance on SARS-CoV-2 is lower than that of other viral glycoproteins and means that the glycan shield density of this virus is low when compared to HIV-1 Env and Lassa GPC. </w:t>
      </w:r>
      <w:r w:rsidR="00210E7A">
        <w:rPr>
          <w:rFonts w:ascii="Arial" w:hAnsi="Arial" w:cs="Arial"/>
          <w:sz w:val="24"/>
          <w:szCs w:val="24"/>
        </w:rPr>
        <w:t xml:space="preserve">This is likely to mean that the immunodominant protein epitopes remain exposed. The processing equivalence between recombinant and viral derived S protein indicates that recombinant S protein glycosylation for vaccinations will likely mimic those </w:t>
      </w:r>
      <w:proofErr w:type="spellStart"/>
      <w:r w:rsidR="00210E7A">
        <w:rPr>
          <w:rFonts w:ascii="Arial" w:hAnsi="Arial" w:cs="Arial"/>
          <w:sz w:val="24"/>
          <w:szCs w:val="24"/>
        </w:rPr>
        <w:t>occuring</w:t>
      </w:r>
      <w:proofErr w:type="spellEnd"/>
      <w:r w:rsidR="00210E7A">
        <w:rPr>
          <w:rFonts w:ascii="Arial" w:hAnsi="Arial" w:cs="Arial"/>
          <w:sz w:val="24"/>
          <w:szCs w:val="24"/>
        </w:rPr>
        <w:t xml:space="preserve"> in human infections and will remain antigenically comparable</w:t>
      </w:r>
      <w:r w:rsidRPr="006B3D43">
        <w:rPr>
          <w:rFonts w:ascii="Arial" w:hAnsi="Arial" w:cs="Arial"/>
          <w:sz w:val="24"/>
          <w:szCs w:val="24"/>
        </w:rPr>
        <w:t xml:space="preserve">. By </w:t>
      </w:r>
      <w:proofErr w:type="spellStart"/>
      <w:r w:rsidR="00210E7A">
        <w:rPr>
          <w:rFonts w:ascii="Arial" w:hAnsi="Arial" w:cs="Arial"/>
          <w:sz w:val="24"/>
          <w:szCs w:val="24"/>
        </w:rPr>
        <w:t>analysing</w:t>
      </w:r>
      <w:proofErr w:type="spellEnd"/>
      <w:r w:rsidR="00210E7A" w:rsidRPr="006B3D43">
        <w:rPr>
          <w:rFonts w:ascii="Arial" w:hAnsi="Arial" w:cs="Arial"/>
          <w:sz w:val="24"/>
          <w:szCs w:val="24"/>
        </w:rPr>
        <w:t xml:space="preserve"> </w:t>
      </w:r>
      <w:r w:rsidRPr="006B3D43">
        <w:rPr>
          <w:rFonts w:ascii="Arial" w:hAnsi="Arial" w:cs="Arial"/>
          <w:sz w:val="24"/>
          <w:szCs w:val="24"/>
        </w:rPr>
        <w:t>complex-type glycan processing across multiple samples</w:t>
      </w:r>
      <w:r w:rsidR="00B42828">
        <w:rPr>
          <w:rFonts w:ascii="Arial" w:hAnsi="Arial" w:cs="Arial"/>
          <w:sz w:val="24"/>
          <w:szCs w:val="24"/>
        </w:rPr>
        <w:t>,</w:t>
      </w:r>
      <w:r w:rsidRPr="006B3D43">
        <w:rPr>
          <w:rFonts w:ascii="Arial" w:hAnsi="Arial" w:cs="Arial"/>
          <w:sz w:val="24"/>
          <w:szCs w:val="24"/>
        </w:rPr>
        <w:t xml:space="preserve"> we demonstrate that this glycosylation is driven more by other </w:t>
      </w:r>
      <w:r w:rsidR="005816AE">
        <w:rPr>
          <w:rFonts w:ascii="Arial" w:hAnsi="Arial" w:cs="Arial"/>
          <w:sz w:val="24"/>
          <w:szCs w:val="24"/>
        </w:rPr>
        <w:t>parameters including the producer cell and culturing con</w:t>
      </w:r>
      <w:r w:rsidR="00F41E65">
        <w:rPr>
          <w:rFonts w:ascii="Arial" w:hAnsi="Arial" w:cs="Arial"/>
          <w:sz w:val="24"/>
          <w:szCs w:val="24"/>
        </w:rPr>
        <w:t>d</w:t>
      </w:r>
      <w:r w:rsidR="005816AE">
        <w:rPr>
          <w:rFonts w:ascii="Arial" w:hAnsi="Arial" w:cs="Arial"/>
          <w:sz w:val="24"/>
          <w:szCs w:val="24"/>
        </w:rPr>
        <w:t>itions. One observed exception to this was that the</w:t>
      </w:r>
      <w:r w:rsidRPr="006B3D43">
        <w:rPr>
          <w:rFonts w:ascii="Arial" w:hAnsi="Arial" w:cs="Arial"/>
          <w:sz w:val="24"/>
          <w:szCs w:val="24"/>
        </w:rPr>
        <w:t xml:space="preserve"> expression of </w:t>
      </w:r>
      <w:r w:rsidRPr="006B3D43">
        <w:rPr>
          <w:rFonts w:ascii="Arial" w:hAnsi="Arial" w:cs="Arial"/>
          <w:sz w:val="24"/>
          <w:szCs w:val="24"/>
        </w:rPr>
        <w:lastRenderedPageBreak/>
        <w:t>monomeric RBD</w:t>
      </w:r>
      <w:r w:rsidR="005816AE">
        <w:rPr>
          <w:rFonts w:ascii="Arial" w:hAnsi="Arial" w:cs="Arial"/>
          <w:sz w:val="24"/>
          <w:szCs w:val="24"/>
        </w:rPr>
        <w:t xml:space="preserve"> as opposed to trimeric S protein</w:t>
      </w:r>
      <w:r w:rsidRPr="006B3D43">
        <w:rPr>
          <w:rFonts w:ascii="Arial" w:hAnsi="Arial" w:cs="Arial"/>
          <w:sz w:val="24"/>
          <w:szCs w:val="24"/>
        </w:rPr>
        <w:t xml:space="preserve"> does </w:t>
      </w:r>
      <w:r w:rsidR="005816AE">
        <w:rPr>
          <w:rFonts w:ascii="Arial" w:hAnsi="Arial" w:cs="Arial"/>
          <w:sz w:val="24"/>
          <w:szCs w:val="24"/>
        </w:rPr>
        <w:t>increase</w:t>
      </w:r>
      <w:r w:rsidRPr="006B3D43">
        <w:rPr>
          <w:rFonts w:ascii="Arial" w:hAnsi="Arial" w:cs="Arial"/>
          <w:sz w:val="24"/>
          <w:szCs w:val="24"/>
        </w:rPr>
        <w:t xml:space="preserve"> glycan branching</w:t>
      </w:r>
      <w:r w:rsidR="005816AE">
        <w:rPr>
          <w:rFonts w:ascii="Arial" w:hAnsi="Arial" w:cs="Arial"/>
          <w:sz w:val="24"/>
          <w:szCs w:val="24"/>
        </w:rPr>
        <w:t xml:space="preserve"> on the two glycan sites located on SARS-CoV-2 RBD</w:t>
      </w:r>
      <w:r w:rsidR="005A30D6">
        <w:rPr>
          <w:rFonts w:ascii="Arial" w:hAnsi="Arial" w:cs="Arial"/>
          <w:sz w:val="24"/>
          <w:szCs w:val="24"/>
        </w:rPr>
        <w:t>.</w:t>
      </w:r>
      <w:r w:rsidR="005A30D6" w:rsidRPr="006B3D43">
        <w:rPr>
          <w:rFonts w:ascii="Arial" w:hAnsi="Arial" w:cs="Arial"/>
          <w:sz w:val="24"/>
          <w:szCs w:val="24"/>
        </w:rPr>
        <w:t xml:space="preserve"> </w:t>
      </w:r>
      <w:r w:rsidR="005A30D6">
        <w:rPr>
          <w:rFonts w:ascii="Arial" w:hAnsi="Arial" w:cs="Arial"/>
          <w:sz w:val="24"/>
          <w:szCs w:val="24"/>
        </w:rPr>
        <w:t>This suggests</w:t>
      </w:r>
      <w:r w:rsidRPr="006B3D43">
        <w:rPr>
          <w:rFonts w:ascii="Arial" w:hAnsi="Arial" w:cs="Arial"/>
          <w:sz w:val="24"/>
          <w:szCs w:val="24"/>
        </w:rPr>
        <w:t xml:space="preserve"> that</w:t>
      </w:r>
      <w:r w:rsidR="005A30D6">
        <w:rPr>
          <w:rFonts w:ascii="Arial" w:hAnsi="Arial" w:cs="Arial"/>
          <w:sz w:val="24"/>
          <w:szCs w:val="24"/>
        </w:rPr>
        <w:t xml:space="preserve"> the</w:t>
      </w:r>
      <w:r w:rsidRPr="006B3D43">
        <w:rPr>
          <w:rFonts w:ascii="Arial" w:hAnsi="Arial" w:cs="Arial"/>
          <w:sz w:val="24"/>
          <w:szCs w:val="24"/>
        </w:rPr>
        <w:t xml:space="preserve"> glycan processing</w:t>
      </w:r>
      <w:r w:rsidR="005A30D6">
        <w:rPr>
          <w:rFonts w:ascii="Arial" w:hAnsi="Arial" w:cs="Arial"/>
          <w:sz w:val="24"/>
          <w:szCs w:val="24"/>
        </w:rPr>
        <w:t xml:space="preserve"> of complex-type glycans, in addition to</w:t>
      </w:r>
      <w:r w:rsidRPr="006B3D43">
        <w:rPr>
          <w:rFonts w:ascii="Arial" w:hAnsi="Arial" w:cs="Arial"/>
          <w:sz w:val="24"/>
          <w:szCs w:val="24"/>
        </w:rPr>
        <w:t xml:space="preserve"> oligomannose-type glycans</w:t>
      </w:r>
      <w:r w:rsidR="005A30D6">
        <w:rPr>
          <w:rFonts w:ascii="Arial" w:hAnsi="Arial" w:cs="Arial"/>
          <w:sz w:val="24"/>
          <w:szCs w:val="24"/>
        </w:rPr>
        <w:t>,</w:t>
      </w:r>
      <w:r w:rsidRPr="006B3D43">
        <w:rPr>
          <w:rFonts w:ascii="Arial" w:hAnsi="Arial" w:cs="Arial"/>
          <w:sz w:val="24"/>
          <w:szCs w:val="24"/>
        </w:rPr>
        <w:t xml:space="preserve"> </w:t>
      </w:r>
      <w:r w:rsidR="005A30D6">
        <w:rPr>
          <w:rFonts w:ascii="Arial" w:hAnsi="Arial" w:cs="Arial"/>
          <w:sz w:val="24"/>
          <w:szCs w:val="24"/>
        </w:rPr>
        <w:t>may</w:t>
      </w:r>
      <w:r w:rsidR="005A30D6" w:rsidRPr="006B3D43">
        <w:rPr>
          <w:rFonts w:ascii="Arial" w:hAnsi="Arial" w:cs="Arial"/>
          <w:sz w:val="24"/>
          <w:szCs w:val="24"/>
        </w:rPr>
        <w:t xml:space="preserve"> </w:t>
      </w:r>
      <w:r w:rsidRPr="006B3D43">
        <w:rPr>
          <w:rFonts w:ascii="Arial" w:hAnsi="Arial" w:cs="Arial"/>
          <w:sz w:val="24"/>
          <w:szCs w:val="24"/>
        </w:rPr>
        <w:t xml:space="preserve">also </w:t>
      </w:r>
      <w:r w:rsidR="00497EC2">
        <w:rPr>
          <w:rFonts w:ascii="Arial" w:hAnsi="Arial" w:cs="Arial"/>
          <w:sz w:val="24"/>
          <w:szCs w:val="24"/>
        </w:rPr>
        <w:t xml:space="preserve">be </w:t>
      </w:r>
      <w:r w:rsidRPr="006B3D43">
        <w:rPr>
          <w:rFonts w:ascii="Arial" w:hAnsi="Arial" w:cs="Arial"/>
          <w:sz w:val="24"/>
          <w:szCs w:val="24"/>
        </w:rPr>
        <w:t>under structural constraints, albeit to a much lesser extent. Overall</w:t>
      </w:r>
      <w:r w:rsidR="00391B83" w:rsidRPr="006B3D43">
        <w:rPr>
          <w:rFonts w:ascii="Arial" w:hAnsi="Arial" w:cs="Arial"/>
          <w:sz w:val="24"/>
          <w:szCs w:val="24"/>
        </w:rPr>
        <w:t>,</w:t>
      </w:r>
      <w:r w:rsidRPr="006B3D43">
        <w:rPr>
          <w:rFonts w:ascii="Arial" w:hAnsi="Arial" w:cs="Arial"/>
          <w:sz w:val="24"/>
          <w:szCs w:val="24"/>
        </w:rPr>
        <w:t xml:space="preserve"> these results demonstrate that whilst </w:t>
      </w:r>
      <w:r w:rsidR="005A30D6">
        <w:rPr>
          <w:rFonts w:ascii="Arial" w:hAnsi="Arial" w:cs="Arial"/>
          <w:sz w:val="24"/>
          <w:szCs w:val="24"/>
        </w:rPr>
        <w:t xml:space="preserve">N-linked </w:t>
      </w:r>
      <w:r w:rsidRPr="006B3D43">
        <w:rPr>
          <w:rFonts w:ascii="Arial" w:hAnsi="Arial" w:cs="Arial"/>
          <w:sz w:val="24"/>
          <w:szCs w:val="24"/>
        </w:rPr>
        <w:t xml:space="preserve">glycosylation </w:t>
      </w:r>
      <w:r w:rsidR="005A30D6">
        <w:rPr>
          <w:rFonts w:ascii="Arial" w:hAnsi="Arial" w:cs="Arial"/>
          <w:sz w:val="24"/>
          <w:szCs w:val="24"/>
        </w:rPr>
        <w:t>is highly diverse at certain regions of the S protein</w:t>
      </w:r>
      <w:r w:rsidRPr="006B3D43">
        <w:rPr>
          <w:rFonts w:ascii="Arial" w:hAnsi="Arial" w:cs="Arial"/>
          <w:sz w:val="24"/>
          <w:szCs w:val="24"/>
        </w:rPr>
        <w:t>, there is a broad consensus of glycan processing</w:t>
      </w:r>
      <w:r w:rsidR="005A30D6">
        <w:rPr>
          <w:rFonts w:ascii="Arial" w:hAnsi="Arial" w:cs="Arial"/>
          <w:sz w:val="24"/>
          <w:szCs w:val="24"/>
        </w:rPr>
        <w:t xml:space="preserve"> with regards to oligomannose-type glycans</w:t>
      </w:r>
      <w:r w:rsidRPr="006B3D43">
        <w:rPr>
          <w:rFonts w:ascii="Arial" w:hAnsi="Arial" w:cs="Arial"/>
          <w:sz w:val="24"/>
          <w:szCs w:val="24"/>
        </w:rPr>
        <w:t xml:space="preserve"> between virus and immunogen S protein</w:t>
      </w:r>
      <w:r w:rsidR="00391B83" w:rsidRPr="006B3D43">
        <w:rPr>
          <w:rFonts w:ascii="Arial" w:hAnsi="Arial" w:cs="Arial"/>
          <w:sz w:val="24"/>
          <w:szCs w:val="24"/>
        </w:rPr>
        <w:t>. This is something which</w:t>
      </w:r>
      <w:r w:rsidRPr="006B3D43">
        <w:rPr>
          <w:rFonts w:ascii="Arial" w:hAnsi="Arial" w:cs="Arial"/>
          <w:sz w:val="24"/>
          <w:szCs w:val="24"/>
        </w:rPr>
        <w:t xml:space="preserve"> cannot be taken for granted</w:t>
      </w:r>
      <w:r w:rsidR="00391B83" w:rsidRPr="006B3D43">
        <w:rPr>
          <w:rFonts w:ascii="Arial" w:hAnsi="Arial" w:cs="Arial"/>
          <w:sz w:val="24"/>
          <w:szCs w:val="24"/>
        </w:rPr>
        <w:t>,</w:t>
      </w:r>
      <w:r w:rsidRPr="006B3D43">
        <w:rPr>
          <w:rFonts w:ascii="Arial" w:hAnsi="Arial" w:cs="Arial"/>
          <w:sz w:val="24"/>
          <w:szCs w:val="24"/>
        </w:rPr>
        <w:t xml:space="preserve"> as when comparing recombinant and viral derived</w:t>
      </w:r>
      <w:r w:rsidR="000C07D6">
        <w:rPr>
          <w:rFonts w:ascii="Arial" w:hAnsi="Arial" w:cs="Arial"/>
          <w:sz w:val="24"/>
          <w:szCs w:val="24"/>
        </w:rPr>
        <w:t xml:space="preserve"> HIV-1</w:t>
      </w:r>
      <w:r w:rsidRPr="006B3D43">
        <w:rPr>
          <w:rFonts w:ascii="Arial" w:hAnsi="Arial" w:cs="Arial"/>
          <w:sz w:val="24"/>
          <w:szCs w:val="24"/>
        </w:rPr>
        <w:t xml:space="preserve"> Env</w:t>
      </w:r>
      <w:r w:rsidR="00391B83" w:rsidRPr="006B3D43">
        <w:rPr>
          <w:rFonts w:ascii="Arial" w:hAnsi="Arial" w:cs="Arial"/>
          <w:sz w:val="24"/>
          <w:szCs w:val="24"/>
        </w:rPr>
        <w:t>,</w:t>
      </w:r>
      <w:r w:rsidRPr="006B3D43">
        <w:rPr>
          <w:rFonts w:ascii="Arial" w:hAnsi="Arial" w:cs="Arial"/>
          <w:sz w:val="24"/>
          <w:szCs w:val="24"/>
        </w:rPr>
        <w:t xml:space="preserve"> the reduced glycan occupancy of immunogens can induce an immune response that is incapable of neutralizing the virus. The reproducibility of S protein glycosylation from many different sources is of significant benefit for immunogen design, serology testing and drug discovery and will mean that the glycans of SARS-CoV-2 </w:t>
      </w:r>
      <w:r w:rsidR="00391B83" w:rsidRPr="006B3D43">
        <w:rPr>
          <w:rFonts w:ascii="Arial" w:hAnsi="Arial" w:cs="Arial"/>
          <w:sz w:val="24"/>
          <w:szCs w:val="24"/>
        </w:rPr>
        <w:t>are unlikely to</w:t>
      </w:r>
      <w:r w:rsidRPr="006B3D43">
        <w:rPr>
          <w:rFonts w:ascii="Arial" w:hAnsi="Arial" w:cs="Arial"/>
          <w:sz w:val="24"/>
          <w:szCs w:val="24"/>
        </w:rPr>
        <w:t xml:space="preserve"> provide a barrier to combatting the COVID</w:t>
      </w:r>
      <w:r w:rsidR="006A3CB4">
        <w:rPr>
          <w:rFonts w:ascii="Arial" w:hAnsi="Arial" w:cs="Arial"/>
          <w:sz w:val="24"/>
          <w:szCs w:val="24"/>
        </w:rPr>
        <w:t>-</w:t>
      </w:r>
      <w:r w:rsidRPr="006B3D43">
        <w:rPr>
          <w:rFonts w:ascii="Arial" w:hAnsi="Arial" w:cs="Arial"/>
          <w:sz w:val="24"/>
          <w:szCs w:val="24"/>
        </w:rPr>
        <w:t>19 pandemic.</w:t>
      </w:r>
    </w:p>
    <w:p w14:paraId="3D39E8AD" w14:textId="4A990074" w:rsidR="00CB197C" w:rsidRPr="006B3D43" w:rsidRDefault="00CB197C" w:rsidP="006B3D43">
      <w:pPr>
        <w:jc w:val="both"/>
        <w:rPr>
          <w:rFonts w:ascii="Arial" w:hAnsi="Arial" w:cs="Arial"/>
          <w:sz w:val="28"/>
          <w:szCs w:val="28"/>
        </w:rPr>
      </w:pPr>
    </w:p>
    <w:p w14:paraId="70A42A29" w14:textId="77777777" w:rsidR="00CB197C" w:rsidRPr="006B3D43" w:rsidRDefault="00CB197C" w:rsidP="006B3D43">
      <w:pPr>
        <w:jc w:val="both"/>
        <w:rPr>
          <w:rFonts w:ascii="Arial" w:hAnsi="Arial" w:cs="Arial"/>
          <w:sz w:val="28"/>
          <w:szCs w:val="28"/>
        </w:rPr>
      </w:pPr>
    </w:p>
    <w:p w14:paraId="2343B46A" w14:textId="77777777" w:rsidR="00CB197C" w:rsidRPr="006B3D43" w:rsidRDefault="00CB197C" w:rsidP="006B3D43">
      <w:pPr>
        <w:jc w:val="both"/>
        <w:rPr>
          <w:rFonts w:ascii="Arial" w:hAnsi="Arial" w:cs="Arial"/>
          <w:sz w:val="28"/>
          <w:szCs w:val="28"/>
        </w:rPr>
      </w:pPr>
    </w:p>
    <w:p w14:paraId="5B8CA72C" w14:textId="6B0F6B51" w:rsidR="003420B8" w:rsidRPr="006B3D43" w:rsidRDefault="0003459C" w:rsidP="006B3D43">
      <w:pPr>
        <w:spacing w:line="360" w:lineRule="auto"/>
        <w:jc w:val="both"/>
        <w:rPr>
          <w:rFonts w:ascii="Arial" w:hAnsi="Arial" w:cs="Arial"/>
          <w:sz w:val="24"/>
          <w:szCs w:val="24"/>
        </w:rPr>
      </w:pPr>
      <w:r w:rsidRPr="006B3D43">
        <w:rPr>
          <w:rFonts w:ascii="Arial" w:hAnsi="Arial" w:cs="Arial"/>
          <w:noProof/>
        </w:rPr>
        <w:t xml:space="preserve"> </w:t>
      </w:r>
    </w:p>
    <w:p w14:paraId="5E418092" w14:textId="77777777" w:rsidR="005A30D6" w:rsidRDefault="005A30D6">
      <w:pPr>
        <w:rPr>
          <w:rFonts w:ascii="Arial" w:hAnsi="Arial" w:cs="Arial"/>
          <w:b/>
          <w:bCs/>
          <w:sz w:val="24"/>
          <w:szCs w:val="24"/>
        </w:rPr>
      </w:pPr>
      <w:r>
        <w:rPr>
          <w:rFonts w:ascii="Arial" w:hAnsi="Arial" w:cs="Arial"/>
          <w:b/>
          <w:bCs/>
          <w:sz w:val="24"/>
          <w:szCs w:val="24"/>
        </w:rPr>
        <w:br w:type="page"/>
      </w:r>
    </w:p>
    <w:p w14:paraId="3DF62CF9" w14:textId="0AE9E987" w:rsidR="003420B8" w:rsidRDefault="004862AE" w:rsidP="006B3D43">
      <w:pPr>
        <w:spacing w:line="360" w:lineRule="auto"/>
        <w:contextualSpacing/>
        <w:jc w:val="both"/>
        <w:rPr>
          <w:rFonts w:ascii="Arial" w:hAnsi="Arial" w:cs="Arial"/>
          <w:b/>
          <w:bCs/>
          <w:sz w:val="24"/>
          <w:szCs w:val="24"/>
        </w:rPr>
      </w:pPr>
      <w:r w:rsidRPr="006B3D43">
        <w:rPr>
          <w:rFonts w:ascii="Arial" w:hAnsi="Arial" w:cs="Arial"/>
          <w:b/>
          <w:bCs/>
          <w:sz w:val="24"/>
          <w:szCs w:val="24"/>
        </w:rPr>
        <w:lastRenderedPageBreak/>
        <w:t xml:space="preserve">Acknowledgements: </w:t>
      </w:r>
    </w:p>
    <w:p w14:paraId="31018206" w14:textId="20E51AD7" w:rsidR="00D30C31" w:rsidRDefault="00210E7A" w:rsidP="00D30C31">
      <w:pPr>
        <w:spacing w:line="360" w:lineRule="auto"/>
        <w:contextualSpacing/>
        <w:jc w:val="both"/>
        <w:rPr>
          <w:rFonts w:ascii="Arial" w:hAnsi="Arial" w:cs="Arial"/>
          <w:sz w:val="24"/>
          <w:szCs w:val="24"/>
        </w:rPr>
      </w:pPr>
      <w:r>
        <w:rPr>
          <w:rFonts w:ascii="Arial" w:hAnsi="Arial" w:cs="Arial"/>
          <w:sz w:val="24"/>
          <w:szCs w:val="24"/>
        </w:rPr>
        <w:t xml:space="preserve">The authors thank </w:t>
      </w:r>
      <w:r w:rsidR="005666CE">
        <w:rPr>
          <w:rFonts w:ascii="Arial" w:hAnsi="Arial" w:cs="Arial"/>
          <w:sz w:val="24"/>
          <w:szCs w:val="24"/>
        </w:rPr>
        <w:t xml:space="preserve">Jason McLellan and Daniel </w:t>
      </w:r>
      <w:proofErr w:type="spellStart"/>
      <w:r w:rsidR="005666CE">
        <w:rPr>
          <w:rFonts w:ascii="Arial" w:hAnsi="Arial" w:cs="Arial"/>
          <w:sz w:val="24"/>
          <w:szCs w:val="24"/>
        </w:rPr>
        <w:t>Wrapp</w:t>
      </w:r>
      <w:proofErr w:type="spellEnd"/>
      <w:r w:rsidR="005666CE">
        <w:rPr>
          <w:rFonts w:ascii="Arial" w:hAnsi="Arial" w:cs="Arial"/>
          <w:sz w:val="24"/>
          <w:szCs w:val="24"/>
        </w:rPr>
        <w:t xml:space="preserve"> for providing material for analysis of the Southampton/Texas S protein and </w:t>
      </w:r>
      <w:r>
        <w:rPr>
          <w:rFonts w:ascii="Arial" w:hAnsi="Arial" w:cs="Arial"/>
          <w:sz w:val="24"/>
          <w:szCs w:val="24"/>
        </w:rPr>
        <w:t>Florian Wurm (Prof. emeritus, EPFL, Lausanne, Switzerland) for critical reading and editing the final manuscript</w:t>
      </w:r>
      <w:r w:rsidR="00D30C31">
        <w:rPr>
          <w:rFonts w:ascii="Arial" w:hAnsi="Arial" w:cs="Arial"/>
          <w:b/>
          <w:bCs/>
          <w:sz w:val="24"/>
          <w:szCs w:val="24"/>
        </w:rPr>
        <w:t xml:space="preserve">. </w:t>
      </w:r>
      <w:r w:rsidR="00744D87" w:rsidRPr="00FD2B1A">
        <w:rPr>
          <w:rFonts w:ascii="Arial" w:hAnsi="Arial" w:cs="Arial"/>
          <w:sz w:val="24"/>
          <w:szCs w:val="24"/>
        </w:rPr>
        <w:t xml:space="preserve">This </w:t>
      </w:r>
      <w:r w:rsidR="00744D87">
        <w:rPr>
          <w:rFonts w:ascii="Arial" w:hAnsi="Arial" w:cs="Arial"/>
        </w:rPr>
        <w:t>w</w:t>
      </w:r>
      <w:r w:rsidR="00744D87" w:rsidRPr="00FD2B1A">
        <w:rPr>
          <w:rFonts w:ascii="Arial" w:hAnsi="Arial" w:cs="Arial"/>
          <w:sz w:val="24"/>
          <w:szCs w:val="24"/>
        </w:rPr>
        <w:t xml:space="preserve">ork </w:t>
      </w:r>
      <w:r w:rsidR="00744D87">
        <w:rPr>
          <w:rFonts w:ascii="Arial" w:hAnsi="Arial" w:cs="Arial"/>
        </w:rPr>
        <w:t>was</w:t>
      </w:r>
      <w:r w:rsidR="00744D87" w:rsidRPr="00FD2B1A">
        <w:rPr>
          <w:rFonts w:ascii="Arial" w:hAnsi="Arial" w:cs="Arial"/>
          <w:sz w:val="24"/>
          <w:szCs w:val="24"/>
        </w:rPr>
        <w:t xml:space="preserve"> supported by</w:t>
      </w:r>
      <w:r w:rsidR="00381E0D">
        <w:rPr>
          <w:rFonts w:ascii="Arial" w:hAnsi="Arial" w:cs="Arial"/>
          <w:sz w:val="24"/>
          <w:szCs w:val="24"/>
        </w:rPr>
        <w:t xml:space="preserve">: </w:t>
      </w:r>
      <w:r w:rsidR="00D30C31" w:rsidRPr="00D30C31">
        <w:rPr>
          <w:rFonts w:ascii="Arial" w:hAnsi="Arial" w:cs="Arial"/>
          <w:sz w:val="24"/>
          <w:szCs w:val="24"/>
        </w:rPr>
        <w:t>the International AIDS Vaccine Initiative (IAVI) through grant INV-008352/OPP1153692 funded by the Bill and Melinda Gates Foundation</w:t>
      </w:r>
      <w:r w:rsidR="0025422E">
        <w:rPr>
          <w:rFonts w:ascii="Arial" w:hAnsi="Arial" w:cs="Arial"/>
          <w:sz w:val="24"/>
          <w:szCs w:val="24"/>
        </w:rPr>
        <w:t xml:space="preserve"> (M.C)</w:t>
      </w:r>
      <w:r w:rsidR="008D0913">
        <w:rPr>
          <w:rFonts w:ascii="Arial" w:hAnsi="Arial" w:cs="Arial"/>
          <w:sz w:val="24"/>
          <w:szCs w:val="24"/>
        </w:rPr>
        <w:t xml:space="preserve">, the </w:t>
      </w:r>
      <w:r w:rsidR="008D0913" w:rsidRPr="008D0913">
        <w:rPr>
          <w:rFonts w:ascii="Arial" w:hAnsi="Arial" w:cs="Arial"/>
          <w:sz w:val="24"/>
          <w:szCs w:val="24"/>
        </w:rPr>
        <w:t>Bright Future Trust</w:t>
      </w:r>
      <w:r w:rsidR="008D0913">
        <w:rPr>
          <w:rFonts w:ascii="Arial" w:hAnsi="Arial" w:cs="Arial"/>
          <w:sz w:val="24"/>
          <w:szCs w:val="24"/>
        </w:rPr>
        <w:t xml:space="preserve"> (M.C.),</w:t>
      </w:r>
      <w:r w:rsidR="00D30C31" w:rsidRPr="00D30C31">
        <w:rPr>
          <w:rFonts w:ascii="Arial" w:hAnsi="Arial" w:cs="Arial"/>
          <w:sz w:val="24"/>
          <w:szCs w:val="24"/>
        </w:rPr>
        <w:t xml:space="preserve"> the University of Southampton Coronavirus Response Fund</w:t>
      </w:r>
      <w:r w:rsidR="00A8799D">
        <w:rPr>
          <w:rFonts w:ascii="Arial" w:hAnsi="Arial" w:cs="Arial"/>
          <w:sz w:val="24"/>
          <w:szCs w:val="24"/>
        </w:rPr>
        <w:t xml:space="preserve"> (M.C.)</w:t>
      </w:r>
      <w:r w:rsidR="00381E0D">
        <w:rPr>
          <w:rFonts w:ascii="Arial" w:hAnsi="Arial" w:cs="Arial"/>
          <w:sz w:val="24"/>
          <w:szCs w:val="24"/>
        </w:rPr>
        <w:t xml:space="preserve">; </w:t>
      </w:r>
      <w:r w:rsidR="00036EBD">
        <w:rPr>
          <w:rFonts w:ascii="Arial" w:hAnsi="Arial" w:cs="Arial"/>
          <w:sz w:val="24"/>
          <w:szCs w:val="24"/>
        </w:rPr>
        <w:t xml:space="preserve">PJB </w:t>
      </w:r>
      <w:r w:rsidR="006F77C6">
        <w:rPr>
          <w:rFonts w:ascii="Arial" w:hAnsi="Arial" w:cs="Arial"/>
          <w:sz w:val="24"/>
          <w:szCs w:val="24"/>
        </w:rPr>
        <w:t>is</w:t>
      </w:r>
      <w:r w:rsidR="006F77C6" w:rsidRPr="006F77C6">
        <w:rPr>
          <w:rFonts w:ascii="Arial" w:hAnsi="Arial" w:cs="Arial"/>
          <w:sz w:val="24"/>
          <w:szCs w:val="24"/>
        </w:rPr>
        <w:t xml:space="preserve"> supported by BII of A*STAR. Simulations were performed</w:t>
      </w:r>
      <w:r w:rsidR="00036EBD">
        <w:rPr>
          <w:rFonts w:ascii="Arial" w:hAnsi="Arial" w:cs="Arial"/>
          <w:sz w:val="24"/>
          <w:szCs w:val="24"/>
        </w:rPr>
        <w:t xml:space="preserve"> </w:t>
      </w:r>
      <w:r w:rsidR="006F77C6" w:rsidRPr="006F77C6">
        <w:rPr>
          <w:rFonts w:ascii="Arial" w:hAnsi="Arial" w:cs="Arial"/>
          <w:sz w:val="24"/>
          <w:szCs w:val="24"/>
        </w:rPr>
        <w:t xml:space="preserve">on the </w:t>
      </w:r>
      <w:proofErr w:type="spellStart"/>
      <w:r w:rsidR="006F77C6" w:rsidRPr="006F77C6">
        <w:rPr>
          <w:rFonts w:ascii="Arial" w:hAnsi="Arial" w:cs="Arial"/>
          <w:sz w:val="24"/>
          <w:szCs w:val="24"/>
        </w:rPr>
        <w:t>petascale</w:t>
      </w:r>
      <w:proofErr w:type="spellEnd"/>
      <w:r w:rsidR="006F77C6" w:rsidRPr="006F77C6">
        <w:rPr>
          <w:rFonts w:ascii="Arial" w:hAnsi="Arial" w:cs="Arial"/>
          <w:sz w:val="24"/>
          <w:szCs w:val="24"/>
        </w:rPr>
        <w:t xml:space="preserve"> computer cluster ASPIRE-1 at the National Supercomputing Centre</w:t>
      </w:r>
      <w:r w:rsidR="00036EBD">
        <w:rPr>
          <w:rFonts w:ascii="Arial" w:hAnsi="Arial" w:cs="Arial"/>
          <w:sz w:val="24"/>
          <w:szCs w:val="24"/>
        </w:rPr>
        <w:t xml:space="preserve"> </w:t>
      </w:r>
      <w:r w:rsidR="006F77C6" w:rsidRPr="006F77C6">
        <w:rPr>
          <w:rFonts w:ascii="Arial" w:hAnsi="Arial" w:cs="Arial"/>
          <w:sz w:val="24"/>
          <w:szCs w:val="24"/>
        </w:rPr>
        <w:t>of Singapore (NSCC) and the A*STAR Computational Resource Centre (A*CRC)</w:t>
      </w:r>
      <w:r w:rsidR="00381E0D">
        <w:rPr>
          <w:rFonts w:ascii="Arial" w:hAnsi="Arial" w:cs="Arial"/>
          <w:sz w:val="24"/>
          <w:szCs w:val="24"/>
        </w:rPr>
        <w:t xml:space="preserve">; the </w:t>
      </w:r>
      <w:r w:rsidR="00744D87" w:rsidRPr="00FD2B1A">
        <w:rPr>
          <w:rFonts w:ascii="Arial" w:hAnsi="Arial" w:cs="Arial"/>
          <w:sz w:val="24"/>
          <w:szCs w:val="24"/>
        </w:rPr>
        <w:t>National Institutes of Health grant P01 AI110657</w:t>
      </w:r>
      <w:r w:rsidR="00744D87">
        <w:rPr>
          <w:rFonts w:ascii="Arial" w:hAnsi="Arial" w:cs="Arial"/>
        </w:rPr>
        <w:t xml:space="preserve"> (RWS)</w:t>
      </w:r>
      <w:r w:rsidR="00744D87" w:rsidRPr="00FD2B1A">
        <w:rPr>
          <w:rFonts w:ascii="Arial" w:hAnsi="Arial" w:cs="Arial"/>
          <w:sz w:val="24"/>
          <w:szCs w:val="24"/>
        </w:rPr>
        <w:t>, Bill and Melinda Gates Foundation grants</w:t>
      </w:r>
      <w:r w:rsidR="00744D87">
        <w:rPr>
          <w:rFonts w:ascii="Arial" w:hAnsi="Arial" w:cs="Arial"/>
        </w:rPr>
        <w:t xml:space="preserve"> OPP1132237 and INV-002022 (RWS), </w:t>
      </w:r>
      <w:r w:rsidR="00744D87" w:rsidRPr="00FD2B1A">
        <w:rPr>
          <w:rFonts w:ascii="Arial" w:hAnsi="Arial" w:cs="Arial"/>
          <w:sz w:val="24"/>
          <w:szCs w:val="24"/>
        </w:rPr>
        <w:t>Vici grant from the Netherlands Organization for Scientific Research (NWO)</w:t>
      </w:r>
      <w:r w:rsidR="00744D87">
        <w:rPr>
          <w:rFonts w:ascii="Arial" w:hAnsi="Arial" w:cs="Arial"/>
        </w:rPr>
        <w:t xml:space="preserve"> (RWS)</w:t>
      </w:r>
      <w:r w:rsidR="00381E0D">
        <w:rPr>
          <w:rFonts w:ascii="Arial" w:hAnsi="Arial" w:cs="Arial"/>
          <w:sz w:val="24"/>
          <w:szCs w:val="24"/>
        </w:rPr>
        <w:t xml:space="preserve">; and </w:t>
      </w:r>
      <w:r w:rsidR="006D41B4" w:rsidRPr="00F41E65">
        <w:rPr>
          <w:rFonts w:ascii="Arial" w:hAnsi="Arial" w:cs="Arial"/>
          <w:sz w:val="24"/>
          <w:szCs w:val="24"/>
        </w:rPr>
        <w:t>the Bill and Melinda Gates Foundation (OPP 1170236 to D.R.B.)</w:t>
      </w:r>
      <w:r w:rsidR="00381E0D">
        <w:rPr>
          <w:rFonts w:ascii="Arial" w:hAnsi="Arial" w:cs="Arial"/>
          <w:sz w:val="24"/>
          <w:szCs w:val="24"/>
        </w:rPr>
        <w:t xml:space="preserve">; </w:t>
      </w:r>
      <w:r w:rsidR="00D30C31" w:rsidRPr="00D30C31">
        <w:rPr>
          <w:rFonts w:ascii="Arial" w:hAnsi="Arial" w:cs="Arial"/>
          <w:sz w:val="24"/>
          <w:szCs w:val="24"/>
        </w:rPr>
        <w:t>NIH grants AI147884 (B.C.), AI147884-01A1S1 (B.C), AI141002 (B.C.), AI127193 (B.C.), a COVID19 Award by Massachusetts Consortium on Pathogen Readiness (</w:t>
      </w:r>
      <w:proofErr w:type="spellStart"/>
      <w:r w:rsidR="00D30C31" w:rsidRPr="00D30C31">
        <w:rPr>
          <w:rFonts w:ascii="Arial" w:hAnsi="Arial" w:cs="Arial"/>
          <w:sz w:val="24"/>
          <w:szCs w:val="24"/>
        </w:rPr>
        <w:t>MassCPR</w:t>
      </w:r>
      <w:proofErr w:type="spellEnd"/>
      <w:r w:rsidR="00D30C31" w:rsidRPr="00D30C31">
        <w:rPr>
          <w:rFonts w:ascii="Arial" w:hAnsi="Arial" w:cs="Arial"/>
          <w:sz w:val="24"/>
          <w:szCs w:val="24"/>
        </w:rPr>
        <w:t>; B.C.), as well as a Fast grant by Emergent Ventures (B.C.)</w:t>
      </w:r>
      <w:r w:rsidR="00381E0D">
        <w:rPr>
          <w:rFonts w:ascii="Arial" w:hAnsi="Arial" w:cs="Arial"/>
          <w:sz w:val="24"/>
          <w:szCs w:val="24"/>
        </w:rPr>
        <w:t xml:space="preserve">; and the </w:t>
      </w:r>
      <w:r w:rsidR="005A7101" w:rsidRPr="005A7101">
        <w:rPr>
          <w:rFonts w:ascii="Arial" w:hAnsi="Arial" w:cs="Arial"/>
          <w:sz w:val="24"/>
          <w:szCs w:val="24"/>
        </w:rPr>
        <w:t>Chinese Academy of Medical Sciences (CAMS) Innovation Fund for Medical Science (CIFMS), China (grant number: 2018-I2M-2-002) to</w:t>
      </w:r>
      <w:r w:rsidR="00DC70F7">
        <w:rPr>
          <w:rFonts w:ascii="Arial" w:hAnsi="Arial" w:cs="Arial"/>
          <w:sz w:val="24"/>
          <w:szCs w:val="24"/>
        </w:rPr>
        <w:t xml:space="preserve"> </w:t>
      </w:r>
      <w:r w:rsidR="005A7101" w:rsidRPr="005A7101">
        <w:rPr>
          <w:rFonts w:ascii="Arial" w:hAnsi="Arial" w:cs="Arial"/>
          <w:sz w:val="24"/>
          <w:szCs w:val="24"/>
        </w:rPr>
        <w:t>D.I.S.</w:t>
      </w:r>
      <w:r w:rsidR="00DC70F7">
        <w:rPr>
          <w:rFonts w:ascii="Arial" w:hAnsi="Arial" w:cs="Arial"/>
          <w:sz w:val="24"/>
          <w:szCs w:val="24"/>
        </w:rPr>
        <w:t>;</w:t>
      </w:r>
      <w:r w:rsidR="005A7101" w:rsidRPr="005A7101">
        <w:rPr>
          <w:rFonts w:ascii="Arial" w:hAnsi="Arial" w:cs="Arial"/>
          <w:sz w:val="24"/>
          <w:szCs w:val="24"/>
        </w:rPr>
        <w:t xml:space="preserve"> H.M.E.D. was supported by the Wellcome Trust (101122/Z/13/Z); and D.I.S. by the UK Medical Research Council (MR/N00065X/1).  </w:t>
      </w:r>
    </w:p>
    <w:p w14:paraId="2A82195B" w14:textId="5C1385C2" w:rsidR="002E3F66" w:rsidRDefault="002E3F66" w:rsidP="00D30C31">
      <w:pPr>
        <w:spacing w:line="360" w:lineRule="auto"/>
        <w:contextualSpacing/>
        <w:jc w:val="both"/>
        <w:rPr>
          <w:rFonts w:ascii="Arial" w:hAnsi="Arial" w:cs="Arial"/>
          <w:sz w:val="24"/>
          <w:szCs w:val="24"/>
        </w:rPr>
      </w:pPr>
    </w:p>
    <w:p w14:paraId="73FF4B2D" w14:textId="6C81275E" w:rsidR="002E3F66" w:rsidRDefault="002E3F66" w:rsidP="00D30C31">
      <w:pPr>
        <w:spacing w:line="360" w:lineRule="auto"/>
        <w:contextualSpacing/>
        <w:jc w:val="both"/>
        <w:rPr>
          <w:rFonts w:ascii="Arial" w:hAnsi="Arial" w:cs="Arial"/>
          <w:sz w:val="24"/>
          <w:szCs w:val="24"/>
        </w:rPr>
      </w:pPr>
      <w:r w:rsidRPr="002E3F66">
        <w:rPr>
          <w:rFonts w:ascii="Arial" w:hAnsi="Arial" w:cs="Arial"/>
          <w:b/>
          <w:bCs/>
          <w:sz w:val="24"/>
          <w:szCs w:val="24"/>
        </w:rPr>
        <w:t>Accession ID</w:t>
      </w:r>
      <w:r>
        <w:rPr>
          <w:rFonts w:ascii="Arial" w:hAnsi="Arial" w:cs="Arial"/>
          <w:sz w:val="24"/>
          <w:szCs w:val="24"/>
        </w:rPr>
        <w:t>:</w:t>
      </w:r>
    </w:p>
    <w:p w14:paraId="0B58382B" w14:textId="6CD34BB9" w:rsidR="002E3F66" w:rsidRDefault="002E3F66" w:rsidP="00D30C31">
      <w:pPr>
        <w:spacing w:line="360" w:lineRule="auto"/>
        <w:contextualSpacing/>
        <w:jc w:val="both"/>
        <w:rPr>
          <w:rFonts w:ascii="Arial" w:hAnsi="Arial" w:cs="Arial"/>
          <w:sz w:val="24"/>
          <w:szCs w:val="24"/>
        </w:rPr>
      </w:pPr>
      <w:r w:rsidRPr="002E3F66">
        <w:rPr>
          <w:rFonts w:ascii="Arial" w:hAnsi="Arial" w:cs="Arial"/>
          <w:sz w:val="24"/>
          <w:szCs w:val="24"/>
        </w:rPr>
        <w:t>Spike glycoprotein</w:t>
      </w:r>
      <w:r>
        <w:rPr>
          <w:rFonts w:ascii="Arial" w:hAnsi="Arial" w:cs="Arial"/>
          <w:sz w:val="24"/>
          <w:szCs w:val="24"/>
        </w:rPr>
        <w:t xml:space="preserve">: </w:t>
      </w:r>
      <w:proofErr w:type="spellStart"/>
      <w:r w:rsidRPr="002E3F66">
        <w:rPr>
          <w:rFonts w:ascii="Arial" w:hAnsi="Arial" w:cs="Arial"/>
          <w:sz w:val="24"/>
          <w:szCs w:val="24"/>
        </w:rPr>
        <w:t>UniProtKB</w:t>
      </w:r>
      <w:proofErr w:type="spellEnd"/>
      <w:r w:rsidRPr="002E3F66">
        <w:rPr>
          <w:rFonts w:ascii="Arial" w:hAnsi="Arial" w:cs="Arial"/>
          <w:sz w:val="24"/>
          <w:szCs w:val="24"/>
        </w:rPr>
        <w:t xml:space="preserve"> - P0DTC2 (SPIKE_SARS2)</w:t>
      </w:r>
    </w:p>
    <w:p w14:paraId="0B922A79" w14:textId="60C79607" w:rsidR="005504FB" w:rsidRDefault="002E3F66" w:rsidP="00D30C31">
      <w:pPr>
        <w:spacing w:line="360" w:lineRule="auto"/>
        <w:contextualSpacing/>
        <w:jc w:val="both"/>
        <w:rPr>
          <w:rFonts w:ascii="Arial" w:hAnsi="Arial" w:cs="Arial"/>
          <w:sz w:val="24"/>
          <w:szCs w:val="24"/>
        </w:rPr>
      </w:pPr>
      <w:r>
        <w:rPr>
          <w:rFonts w:ascii="Arial" w:hAnsi="Arial" w:cs="Arial"/>
          <w:sz w:val="24"/>
          <w:szCs w:val="24"/>
        </w:rPr>
        <w:t xml:space="preserve">MERS </w:t>
      </w:r>
      <w:proofErr w:type="spellStart"/>
      <w:r>
        <w:rPr>
          <w:rFonts w:ascii="Arial" w:hAnsi="Arial" w:cs="Arial"/>
          <w:sz w:val="24"/>
          <w:szCs w:val="24"/>
        </w:rPr>
        <w:t>CoV</w:t>
      </w:r>
      <w:proofErr w:type="spellEnd"/>
      <w:r>
        <w:rPr>
          <w:rFonts w:ascii="Arial" w:hAnsi="Arial" w:cs="Arial"/>
          <w:sz w:val="24"/>
          <w:szCs w:val="24"/>
        </w:rPr>
        <w:t xml:space="preserve"> Spike glycoprotein: </w:t>
      </w:r>
      <w:proofErr w:type="spellStart"/>
      <w:r w:rsidRPr="002E3F66">
        <w:rPr>
          <w:rFonts w:ascii="Arial" w:hAnsi="Arial" w:cs="Arial"/>
          <w:sz w:val="24"/>
          <w:szCs w:val="24"/>
        </w:rPr>
        <w:t>UniProtKB</w:t>
      </w:r>
      <w:proofErr w:type="spellEnd"/>
      <w:r w:rsidRPr="002E3F66">
        <w:rPr>
          <w:rFonts w:ascii="Arial" w:hAnsi="Arial" w:cs="Arial"/>
          <w:sz w:val="24"/>
          <w:szCs w:val="24"/>
        </w:rPr>
        <w:t xml:space="preserve"> - R9UQ53 (R9UQ53_MERS)</w:t>
      </w:r>
    </w:p>
    <w:p w14:paraId="63D371DE" w14:textId="44A00031" w:rsidR="002E3F66" w:rsidRDefault="002E3F66" w:rsidP="00D30C31">
      <w:pPr>
        <w:spacing w:line="360" w:lineRule="auto"/>
        <w:contextualSpacing/>
        <w:jc w:val="both"/>
        <w:rPr>
          <w:rFonts w:ascii="Arial" w:hAnsi="Arial" w:cs="Arial"/>
          <w:sz w:val="24"/>
          <w:szCs w:val="24"/>
        </w:rPr>
      </w:pPr>
      <w:r>
        <w:rPr>
          <w:rFonts w:ascii="Arial" w:hAnsi="Arial" w:cs="Arial"/>
          <w:sz w:val="24"/>
          <w:szCs w:val="24"/>
        </w:rPr>
        <w:t xml:space="preserve">Raw file accession: </w:t>
      </w:r>
      <w:r w:rsidRPr="002E3F66">
        <w:rPr>
          <w:rFonts w:ascii="Arial" w:hAnsi="Arial" w:cs="Arial"/>
          <w:sz w:val="24"/>
          <w:szCs w:val="24"/>
        </w:rPr>
        <w:t>MassIVE MSV000087308</w:t>
      </w:r>
    </w:p>
    <w:p w14:paraId="758A96C9" w14:textId="77777777" w:rsidR="002E3F66" w:rsidRPr="00D30C31" w:rsidRDefault="002E3F66" w:rsidP="00D30C31">
      <w:pPr>
        <w:spacing w:line="360" w:lineRule="auto"/>
        <w:contextualSpacing/>
        <w:jc w:val="both"/>
        <w:rPr>
          <w:rFonts w:ascii="Arial" w:hAnsi="Arial" w:cs="Arial"/>
          <w:sz w:val="24"/>
          <w:szCs w:val="24"/>
        </w:rPr>
      </w:pPr>
    </w:p>
    <w:p w14:paraId="349DFF00" w14:textId="77777777" w:rsidR="005504FB" w:rsidRDefault="005504FB" w:rsidP="005504FB">
      <w:pPr>
        <w:spacing w:line="360" w:lineRule="auto"/>
        <w:jc w:val="both"/>
        <w:rPr>
          <w:rFonts w:ascii="Arial" w:hAnsi="Arial" w:cs="Arial"/>
          <w:b/>
          <w:bCs/>
          <w:sz w:val="24"/>
          <w:szCs w:val="24"/>
        </w:rPr>
      </w:pPr>
      <w:r w:rsidRPr="005504FB">
        <w:rPr>
          <w:rFonts w:ascii="Arial" w:hAnsi="Arial" w:cs="Arial"/>
          <w:b/>
          <w:bCs/>
          <w:sz w:val="24"/>
          <w:szCs w:val="24"/>
        </w:rPr>
        <w:t>Conflict of interest:</w:t>
      </w:r>
      <w:r>
        <w:rPr>
          <w:rFonts w:ascii="Arial" w:hAnsi="Arial" w:cs="Arial"/>
          <w:sz w:val="24"/>
          <w:szCs w:val="24"/>
        </w:rPr>
        <w:t xml:space="preserve"> </w:t>
      </w:r>
      <w:proofErr w:type="spellStart"/>
      <w:r>
        <w:rPr>
          <w:rFonts w:ascii="Arial" w:hAnsi="Arial" w:cs="Arial"/>
          <w:sz w:val="24"/>
          <w:szCs w:val="24"/>
        </w:rPr>
        <w:t>ExcellGene</w:t>
      </w:r>
      <w:proofErr w:type="spellEnd"/>
      <w:r>
        <w:rPr>
          <w:rFonts w:ascii="Arial" w:hAnsi="Arial" w:cs="Arial"/>
          <w:sz w:val="24"/>
          <w:szCs w:val="24"/>
        </w:rPr>
        <w:t xml:space="preserve"> sells purified trimeric Spike protein preparations from CHO cells to commercial companies for internal research and for use in diagnostic applications.  </w:t>
      </w:r>
    </w:p>
    <w:p w14:paraId="7D539D06" w14:textId="5EFFBD12" w:rsidR="00D30C31" w:rsidRPr="00D30C31" w:rsidRDefault="00D30C31" w:rsidP="00D30C31">
      <w:pPr>
        <w:spacing w:line="360" w:lineRule="auto"/>
        <w:contextualSpacing/>
        <w:jc w:val="both"/>
        <w:rPr>
          <w:rFonts w:ascii="Arial" w:hAnsi="Arial" w:cs="Arial"/>
          <w:sz w:val="24"/>
          <w:szCs w:val="24"/>
        </w:rPr>
      </w:pPr>
    </w:p>
    <w:p w14:paraId="1A4469BE" w14:textId="0A56BDCA" w:rsidR="004862AE" w:rsidRDefault="004862AE" w:rsidP="006B3D43">
      <w:pPr>
        <w:spacing w:line="360" w:lineRule="auto"/>
        <w:contextualSpacing/>
        <w:jc w:val="both"/>
        <w:rPr>
          <w:rFonts w:ascii="Arial" w:hAnsi="Arial" w:cs="Arial"/>
          <w:b/>
          <w:bCs/>
          <w:sz w:val="24"/>
          <w:szCs w:val="24"/>
        </w:rPr>
      </w:pPr>
      <w:r w:rsidRPr="006B3D43">
        <w:rPr>
          <w:rFonts w:ascii="Arial" w:hAnsi="Arial" w:cs="Arial"/>
          <w:b/>
          <w:bCs/>
          <w:sz w:val="24"/>
          <w:szCs w:val="24"/>
        </w:rPr>
        <w:t>Author contributions:</w:t>
      </w:r>
    </w:p>
    <w:p w14:paraId="59293EA6" w14:textId="735C941F" w:rsidR="006F77C6" w:rsidRPr="006F77C6" w:rsidRDefault="006F77C6" w:rsidP="006B3D43">
      <w:pPr>
        <w:spacing w:line="360" w:lineRule="auto"/>
        <w:contextualSpacing/>
        <w:jc w:val="both"/>
        <w:rPr>
          <w:rFonts w:ascii="Arial" w:hAnsi="Arial" w:cs="Arial"/>
          <w:sz w:val="24"/>
          <w:szCs w:val="24"/>
        </w:rPr>
      </w:pPr>
      <w:r w:rsidRPr="006F77C6">
        <w:rPr>
          <w:rFonts w:ascii="Arial" w:hAnsi="Arial" w:cs="Arial"/>
          <w:sz w:val="24"/>
          <w:szCs w:val="24"/>
        </w:rPr>
        <w:t>J.D.A, Y.W. and H.C. performed site-specific analysis, J.D.A, F.S., H.C., P.</w:t>
      </w:r>
      <w:r w:rsidR="00FB6889">
        <w:rPr>
          <w:rFonts w:ascii="Arial" w:hAnsi="Arial" w:cs="Arial"/>
          <w:sz w:val="24"/>
          <w:szCs w:val="24"/>
        </w:rPr>
        <w:t>J.</w:t>
      </w:r>
      <w:r w:rsidRPr="006F77C6">
        <w:rPr>
          <w:rFonts w:ascii="Arial" w:hAnsi="Arial" w:cs="Arial"/>
          <w:sz w:val="24"/>
          <w:szCs w:val="24"/>
        </w:rPr>
        <w:t xml:space="preserve">B., and M.C. wrote and edited the manuscript. </w:t>
      </w:r>
      <w:r>
        <w:rPr>
          <w:rFonts w:ascii="Arial" w:hAnsi="Arial" w:cs="Arial"/>
          <w:sz w:val="24"/>
          <w:szCs w:val="24"/>
        </w:rPr>
        <w:t>F.S., L.Z., A.T.S., M.F. and P.</w:t>
      </w:r>
      <w:r w:rsidR="00FB6889">
        <w:rPr>
          <w:rFonts w:ascii="Arial" w:hAnsi="Arial" w:cs="Arial"/>
          <w:sz w:val="24"/>
          <w:szCs w:val="24"/>
        </w:rPr>
        <w:t>J.</w:t>
      </w:r>
      <w:r>
        <w:rPr>
          <w:rFonts w:ascii="Arial" w:hAnsi="Arial" w:cs="Arial"/>
          <w:sz w:val="24"/>
          <w:szCs w:val="24"/>
        </w:rPr>
        <w:t xml:space="preserve">B. performed </w:t>
      </w:r>
      <w:r>
        <w:rPr>
          <w:rFonts w:ascii="Arial" w:hAnsi="Arial" w:cs="Arial"/>
          <w:sz w:val="24"/>
          <w:szCs w:val="24"/>
        </w:rPr>
        <w:lastRenderedPageBreak/>
        <w:t>MD simulations</w:t>
      </w:r>
      <w:r w:rsidR="00F42CBA">
        <w:rPr>
          <w:rFonts w:ascii="Arial" w:hAnsi="Arial" w:cs="Arial"/>
          <w:sz w:val="24"/>
          <w:szCs w:val="24"/>
        </w:rPr>
        <w:t xml:space="preserve"> </w:t>
      </w:r>
      <w:r>
        <w:rPr>
          <w:rFonts w:ascii="Arial" w:hAnsi="Arial" w:cs="Arial"/>
          <w:sz w:val="24"/>
          <w:szCs w:val="24"/>
        </w:rPr>
        <w:t>W.H., S.C., G.S., P.Y., R.A. and D.R.B. provided monomeric RBD proteins.</w:t>
      </w:r>
      <w:r w:rsidR="00F42CBA">
        <w:rPr>
          <w:rFonts w:ascii="Arial" w:hAnsi="Arial" w:cs="Arial"/>
          <w:sz w:val="24"/>
          <w:szCs w:val="24"/>
        </w:rPr>
        <w:t xml:space="preserve"> </w:t>
      </w:r>
      <w:r>
        <w:rPr>
          <w:rFonts w:ascii="Arial" w:hAnsi="Arial" w:cs="Arial"/>
          <w:sz w:val="24"/>
          <w:szCs w:val="24"/>
        </w:rPr>
        <w:t>P.</w:t>
      </w:r>
      <w:r w:rsidR="00451746">
        <w:rPr>
          <w:rFonts w:ascii="Arial" w:hAnsi="Arial" w:cs="Arial"/>
          <w:sz w:val="24"/>
          <w:szCs w:val="24"/>
        </w:rPr>
        <w:t>J.M.</w:t>
      </w:r>
      <w:r>
        <w:rPr>
          <w:rFonts w:ascii="Arial" w:hAnsi="Arial" w:cs="Arial"/>
          <w:sz w:val="24"/>
          <w:szCs w:val="24"/>
        </w:rPr>
        <w:t>B., Y.C., H.M.E.D, T.M., J.K., P.P., M.J.W, B.C., D.I.S, and R.W.S provided recombinant S protein. Y.S. and S.L. produced and collected LC-MS data for viral derived S protein.</w:t>
      </w:r>
      <w:r w:rsidR="00F42CBA">
        <w:rPr>
          <w:rFonts w:ascii="Arial" w:hAnsi="Arial" w:cs="Arial"/>
          <w:sz w:val="24"/>
          <w:szCs w:val="24"/>
        </w:rPr>
        <w:t xml:space="preserve"> </w:t>
      </w:r>
      <w:r>
        <w:rPr>
          <w:rFonts w:ascii="Arial" w:hAnsi="Arial" w:cs="Arial"/>
          <w:sz w:val="24"/>
          <w:szCs w:val="24"/>
        </w:rPr>
        <w:t>All authors edited and reviewed the manuscript prior to submission.</w:t>
      </w:r>
    </w:p>
    <w:p w14:paraId="2828107E" w14:textId="77777777" w:rsidR="003420B8" w:rsidRPr="006B3D43" w:rsidRDefault="003420B8" w:rsidP="006F77C6">
      <w:pPr>
        <w:spacing w:line="360" w:lineRule="auto"/>
        <w:contextualSpacing/>
        <w:jc w:val="both"/>
        <w:rPr>
          <w:rFonts w:ascii="Arial" w:hAnsi="Arial" w:cs="Arial"/>
          <w:sz w:val="24"/>
          <w:szCs w:val="24"/>
        </w:rPr>
      </w:pPr>
    </w:p>
    <w:p w14:paraId="3E479A5E" w14:textId="77777777" w:rsidR="00584E27" w:rsidRDefault="00584E27">
      <w:pPr>
        <w:rPr>
          <w:rFonts w:ascii="Arial" w:hAnsi="Arial" w:cs="Arial"/>
          <w:b/>
          <w:bCs/>
          <w:sz w:val="24"/>
          <w:szCs w:val="24"/>
        </w:rPr>
      </w:pPr>
      <w:r>
        <w:rPr>
          <w:rFonts w:ascii="Arial" w:hAnsi="Arial" w:cs="Arial"/>
          <w:b/>
          <w:bCs/>
        </w:rPr>
        <w:t>Supporting information</w:t>
      </w:r>
      <w:r w:rsidRPr="00584E27">
        <w:rPr>
          <w:rFonts w:ascii="Arial" w:hAnsi="Arial" w:cs="Arial"/>
          <w:b/>
          <w:bCs/>
          <w:sz w:val="24"/>
          <w:szCs w:val="24"/>
        </w:rPr>
        <w:t xml:space="preserve"> </w:t>
      </w:r>
    </w:p>
    <w:p w14:paraId="270F4091" w14:textId="77777777" w:rsidR="00584E27" w:rsidRPr="00584E27" w:rsidRDefault="00584E27" w:rsidP="00EE1000">
      <w:pPr>
        <w:pStyle w:val="ListParagraph"/>
        <w:numPr>
          <w:ilvl w:val="0"/>
          <w:numId w:val="6"/>
        </w:numPr>
        <w:rPr>
          <w:rFonts w:ascii="Arial" w:hAnsi="Arial" w:cs="Arial"/>
        </w:rPr>
      </w:pPr>
      <w:r w:rsidRPr="00EE1000">
        <w:rPr>
          <w:rFonts w:ascii="Arial" w:hAnsi="Arial" w:cs="Arial"/>
          <w:sz w:val="24"/>
          <w:szCs w:val="24"/>
        </w:rPr>
        <w:t>Table S1: Average recombinant and viral-derived S protein site-specific glycan compositions averaged</w:t>
      </w:r>
      <w:r w:rsidRPr="00EE1000" w:rsidDel="00584E27">
        <w:rPr>
          <w:rFonts w:ascii="Arial" w:hAnsi="Arial" w:cs="Arial"/>
        </w:rPr>
        <w:t xml:space="preserve"> </w:t>
      </w:r>
    </w:p>
    <w:p w14:paraId="70C41F9C" w14:textId="77777777" w:rsidR="00584E27" w:rsidRPr="00584E27" w:rsidRDefault="00584E27" w:rsidP="00EE1000">
      <w:pPr>
        <w:pStyle w:val="ListParagraph"/>
        <w:numPr>
          <w:ilvl w:val="0"/>
          <w:numId w:val="6"/>
        </w:numPr>
        <w:rPr>
          <w:rFonts w:ascii="Arial" w:hAnsi="Arial" w:cs="Arial"/>
        </w:rPr>
      </w:pPr>
      <w:r w:rsidRPr="00EE1000">
        <w:rPr>
          <w:rFonts w:ascii="Arial" w:hAnsi="Arial" w:cs="Arial"/>
          <w:sz w:val="24"/>
          <w:szCs w:val="24"/>
        </w:rPr>
        <w:t>Table S2: Percentage point change in glycosylation on viral-derived S protein compared to recombinant S protein</w:t>
      </w:r>
      <w:r w:rsidRPr="00EE1000" w:rsidDel="00584E27">
        <w:rPr>
          <w:rFonts w:ascii="Arial" w:hAnsi="Arial" w:cs="Arial"/>
        </w:rPr>
        <w:t xml:space="preserve"> </w:t>
      </w:r>
    </w:p>
    <w:p w14:paraId="38ED303A" w14:textId="77777777" w:rsidR="00584E27" w:rsidRPr="00EE1000" w:rsidRDefault="00584E27" w:rsidP="00EE1000">
      <w:pPr>
        <w:pStyle w:val="ListParagraph"/>
        <w:numPr>
          <w:ilvl w:val="0"/>
          <w:numId w:val="6"/>
        </w:numPr>
        <w:rPr>
          <w:rFonts w:ascii="Arial" w:hAnsi="Arial" w:cs="Arial"/>
          <w:sz w:val="24"/>
          <w:szCs w:val="24"/>
        </w:rPr>
      </w:pPr>
      <w:r w:rsidRPr="00EE1000">
        <w:rPr>
          <w:rFonts w:ascii="Arial" w:hAnsi="Arial" w:cs="Arial"/>
          <w:sz w:val="24"/>
          <w:szCs w:val="24"/>
        </w:rPr>
        <w:t>Table S3: Site-specific glycan compositions of the two RBD sites, N331 and N343</w:t>
      </w:r>
    </w:p>
    <w:p w14:paraId="090C0768" w14:textId="77777777" w:rsidR="00584E27" w:rsidRPr="00EE1000" w:rsidRDefault="00584E27" w:rsidP="00EE1000">
      <w:pPr>
        <w:pStyle w:val="ListParagraph"/>
        <w:numPr>
          <w:ilvl w:val="0"/>
          <w:numId w:val="6"/>
        </w:numPr>
        <w:tabs>
          <w:tab w:val="left" w:pos="5867"/>
        </w:tabs>
        <w:jc w:val="both"/>
        <w:rPr>
          <w:rFonts w:ascii="Arial" w:hAnsi="Arial" w:cs="Arial"/>
          <w:sz w:val="24"/>
          <w:szCs w:val="24"/>
        </w:rPr>
      </w:pPr>
      <w:r w:rsidRPr="00EE1000">
        <w:rPr>
          <w:rFonts w:ascii="Arial" w:hAnsi="Arial" w:cs="Arial"/>
          <w:sz w:val="24"/>
          <w:szCs w:val="24"/>
        </w:rPr>
        <w:t xml:space="preserve">Figure S1: BLAST alignment of recombinant S proteins. </w:t>
      </w:r>
    </w:p>
    <w:p w14:paraId="07F04B77" w14:textId="77777777" w:rsidR="00584E27" w:rsidRPr="00EE1000" w:rsidRDefault="00584E27" w:rsidP="00EE1000">
      <w:pPr>
        <w:pStyle w:val="ListParagraph"/>
        <w:numPr>
          <w:ilvl w:val="0"/>
          <w:numId w:val="6"/>
        </w:numPr>
        <w:tabs>
          <w:tab w:val="left" w:pos="5867"/>
        </w:tabs>
        <w:jc w:val="both"/>
        <w:rPr>
          <w:rFonts w:ascii="Arial" w:hAnsi="Arial" w:cs="Arial"/>
          <w:sz w:val="24"/>
          <w:szCs w:val="24"/>
        </w:rPr>
      </w:pPr>
      <w:r w:rsidRPr="00EE1000">
        <w:rPr>
          <w:rFonts w:ascii="Arial" w:hAnsi="Arial" w:cs="Arial"/>
          <w:sz w:val="24"/>
          <w:szCs w:val="24"/>
        </w:rPr>
        <w:t xml:space="preserve">Figure S2: Model demonstrating the differential accessibility of the N410 glycan for glycan processing enzymes between trimeric MERS S protein and monomeric MERS RBD. </w:t>
      </w:r>
    </w:p>
    <w:p w14:paraId="1C23D545" w14:textId="77777777" w:rsidR="00584E27" w:rsidRPr="00EE1000" w:rsidRDefault="00584E27" w:rsidP="00EE1000">
      <w:pPr>
        <w:pStyle w:val="ListParagraph"/>
        <w:numPr>
          <w:ilvl w:val="0"/>
          <w:numId w:val="6"/>
        </w:numPr>
        <w:tabs>
          <w:tab w:val="left" w:pos="5867"/>
        </w:tabs>
        <w:jc w:val="both"/>
        <w:rPr>
          <w:rFonts w:ascii="Arial" w:hAnsi="Arial" w:cs="Arial"/>
          <w:sz w:val="24"/>
          <w:szCs w:val="24"/>
        </w:rPr>
      </w:pPr>
      <w:r w:rsidRPr="00EE1000">
        <w:rPr>
          <w:rFonts w:ascii="Arial" w:hAnsi="Arial" w:cs="Arial"/>
          <w:sz w:val="24"/>
          <w:szCs w:val="24"/>
        </w:rPr>
        <w:t xml:space="preserve">Figure S3: Validation of probe size for accessible surface area (ASA) measurement. </w:t>
      </w:r>
    </w:p>
    <w:p w14:paraId="7ED19226" w14:textId="77777777" w:rsidR="00584E27" w:rsidRPr="00584E27" w:rsidRDefault="00584E27" w:rsidP="00EE1000">
      <w:pPr>
        <w:pStyle w:val="ListParagraph"/>
        <w:numPr>
          <w:ilvl w:val="0"/>
          <w:numId w:val="6"/>
        </w:numPr>
        <w:tabs>
          <w:tab w:val="left" w:pos="5867"/>
        </w:tabs>
        <w:jc w:val="both"/>
        <w:rPr>
          <w:rFonts w:ascii="Arial" w:hAnsi="Arial" w:cs="Arial"/>
          <w:sz w:val="24"/>
          <w:szCs w:val="24"/>
          <w:lang w:val="en-GB"/>
        </w:rPr>
      </w:pPr>
      <w:r w:rsidRPr="00EE1000">
        <w:rPr>
          <w:rFonts w:ascii="Arial" w:hAnsi="Arial" w:cs="Arial"/>
          <w:sz w:val="24"/>
          <w:szCs w:val="24"/>
          <w:lang w:val="en-GB"/>
        </w:rPr>
        <w:t xml:space="preserve">Figure S4: Examples of glycans either buried or exposed in all three chains. </w:t>
      </w:r>
    </w:p>
    <w:p w14:paraId="3C0F4442" w14:textId="77777777" w:rsidR="00584E27" w:rsidRPr="00EE1000" w:rsidRDefault="00584E27" w:rsidP="00EE1000">
      <w:pPr>
        <w:pStyle w:val="ListParagraph"/>
        <w:numPr>
          <w:ilvl w:val="0"/>
          <w:numId w:val="6"/>
        </w:numPr>
        <w:tabs>
          <w:tab w:val="left" w:pos="5867"/>
        </w:tabs>
        <w:jc w:val="both"/>
        <w:rPr>
          <w:rFonts w:ascii="Arial" w:hAnsi="Arial" w:cs="Arial"/>
          <w:sz w:val="24"/>
          <w:szCs w:val="24"/>
          <w:lang w:val="en-GB"/>
        </w:rPr>
      </w:pPr>
      <w:r w:rsidRPr="00EE1000">
        <w:rPr>
          <w:rFonts w:ascii="Arial" w:hAnsi="Arial" w:cs="Arial"/>
          <w:sz w:val="24"/>
          <w:szCs w:val="24"/>
          <w:lang w:val="en-GB"/>
        </w:rPr>
        <w:t>Figure S5: Examples of glycans with bimodal accessibility properties.</w:t>
      </w:r>
    </w:p>
    <w:p w14:paraId="22949F56" w14:textId="470E5D2D" w:rsidR="0060745D" w:rsidRPr="00EE1000" w:rsidRDefault="00584E27" w:rsidP="00EE1000">
      <w:pPr>
        <w:pStyle w:val="ListParagraph"/>
        <w:numPr>
          <w:ilvl w:val="0"/>
          <w:numId w:val="6"/>
        </w:numPr>
        <w:tabs>
          <w:tab w:val="left" w:pos="5867"/>
        </w:tabs>
        <w:jc w:val="both"/>
        <w:rPr>
          <w:rFonts w:ascii="Arial" w:hAnsi="Arial" w:cs="Arial"/>
          <w:b/>
          <w:bCs/>
        </w:rPr>
      </w:pPr>
      <w:r w:rsidRPr="00EE1000">
        <w:rPr>
          <w:rFonts w:ascii="Arial" w:hAnsi="Arial" w:cs="Arial"/>
          <w:sz w:val="24"/>
          <w:szCs w:val="24"/>
        </w:rPr>
        <w:t xml:space="preserve">Figure S6: Glycan-glycan contacts from MD simulation. </w:t>
      </w:r>
    </w:p>
    <w:p w14:paraId="546E3196" w14:textId="77777777" w:rsidR="00363059" w:rsidRPr="006B3D43" w:rsidRDefault="00363059" w:rsidP="006B3D43">
      <w:pPr>
        <w:spacing w:line="360" w:lineRule="auto"/>
        <w:jc w:val="both"/>
        <w:rPr>
          <w:rFonts w:ascii="Arial" w:hAnsi="Arial" w:cs="Arial"/>
        </w:rPr>
      </w:pPr>
    </w:p>
    <w:p w14:paraId="32C193EC" w14:textId="77777777" w:rsidR="00E1325C" w:rsidRDefault="00E1325C" w:rsidP="00EE1000">
      <w:pPr>
        <w:spacing w:line="360" w:lineRule="auto"/>
        <w:ind w:firstLine="720"/>
        <w:jc w:val="both"/>
        <w:rPr>
          <w:rFonts w:ascii="Arial" w:hAnsi="Arial" w:cs="Arial"/>
          <w:b/>
          <w:bCs/>
        </w:rPr>
      </w:pPr>
    </w:p>
    <w:p w14:paraId="43F7C942" w14:textId="0082BE0C" w:rsidR="004862AE" w:rsidRPr="006B3D43" w:rsidRDefault="004862AE" w:rsidP="006B3D43">
      <w:pPr>
        <w:spacing w:line="360" w:lineRule="auto"/>
        <w:jc w:val="both"/>
        <w:rPr>
          <w:rFonts w:ascii="Arial" w:hAnsi="Arial" w:cs="Arial"/>
          <w:b/>
          <w:bCs/>
        </w:rPr>
      </w:pPr>
      <w:r w:rsidRPr="006B3D43">
        <w:rPr>
          <w:rFonts w:ascii="Arial" w:hAnsi="Arial" w:cs="Arial"/>
          <w:b/>
          <w:bCs/>
        </w:rPr>
        <w:t>References</w:t>
      </w:r>
    </w:p>
    <w:p w14:paraId="4D9DA608" w14:textId="2F0ADC8E" w:rsidR="0088562C" w:rsidRPr="0088562C" w:rsidRDefault="00784FD2" w:rsidP="0088562C">
      <w:pPr>
        <w:widowControl w:val="0"/>
        <w:autoSpaceDE w:val="0"/>
        <w:autoSpaceDN w:val="0"/>
        <w:adjustRightInd w:val="0"/>
        <w:spacing w:line="360" w:lineRule="auto"/>
        <w:rPr>
          <w:rFonts w:ascii="Arial" w:hAnsi="Arial" w:cs="Arial"/>
          <w:noProof/>
          <w:szCs w:val="24"/>
        </w:rPr>
      </w:pPr>
      <w:r w:rsidRPr="006B3D43">
        <w:rPr>
          <w:rFonts w:ascii="Arial" w:hAnsi="Arial" w:cs="Arial"/>
          <w:b/>
          <w:bCs/>
        </w:rPr>
        <w:fldChar w:fldCharType="begin" w:fldLock="1"/>
      </w:r>
      <w:r w:rsidRPr="006B3D43">
        <w:rPr>
          <w:rFonts w:ascii="Arial" w:hAnsi="Arial" w:cs="Arial"/>
          <w:b/>
          <w:bCs/>
        </w:rPr>
        <w:instrText xml:space="preserve">ADDIN Mendeley Bibliography CSL_BIBLIOGRAPHY </w:instrText>
      </w:r>
      <w:r w:rsidRPr="006B3D43">
        <w:rPr>
          <w:rFonts w:ascii="Arial" w:hAnsi="Arial" w:cs="Arial"/>
          <w:b/>
          <w:bCs/>
        </w:rPr>
        <w:fldChar w:fldCharType="separate"/>
      </w:r>
      <w:r w:rsidR="0088562C" w:rsidRPr="0088562C">
        <w:rPr>
          <w:rFonts w:ascii="Arial" w:hAnsi="Arial" w:cs="Arial"/>
          <w:noProof/>
          <w:szCs w:val="24"/>
        </w:rPr>
        <w:t xml:space="preserve">(1) Brouwer, P. J. M., Caniels, T. G., van der Straten, K., Snitselaar, J. L., Aldon, Y., Bangaru, S., Torres, J. L., Okba, N. M. A., Claireaux, M., Kerster, G., Bentlage, A. E. H., van Haaren, M. M., Guerra, D., Burger, J. A., Schermer, E. E., Verheul, K. D., van der Velde, N., van der Kooi, A., van Schooten, J., van Breemen, M. J., Bijl, T. P. L., Sliepen, K., Aartse, A., Derking, R., Bontjer, I., Kootstra, N. A., Joost Wiersinga, W., Vidarsson, G., Haagmans, B. L., Ward, A. B., de Bree, G. J., Sanders, R. W., and van Gils, M. J. (2020) Potent neutralizing antibodies from COVID-19 patients define multiple targets of vulnerability. </w:t>
      </w:r>
      <w:r w:rsidR="0088562C" w:rsidRPr="0088562C">
        <w:rPr>
          <w:rFonts w:ascii="Arial" w:hAnsi="Arial" w:cs="Arial"/>
          <w:i/>
          <w:iCs/>
          <w:noProof/>
          <w:szCs w:val="24"/>
        </w:rPr>
        <w:t>Science</w:t>
      </w:r>
      <w:r w:rsidR="0088562C" w:rsidRPr="0088562C">
        <w:rPr>
          <w:rFonts w:ascii="Arial" w:hAnsi="Arial" w:cs="Arial"/>
          <w:noProof/>
          <w:szCs w:val="24"/>
        </w:rPr>
        <w:t xml:space="preserve"> </w:t>
      </w:r>
      <w:r w:rsidR="0088562C" w:rsidRPr="0088562C">
        <w:rPr>
          <w:rFonts w:ascii="Arial" w:hAnsi="Arial" w:cs="Arial"/>
          <w:i/>
          <w:iCs/>
          <w:noProof/>
          <w:szCs w:val="24"/>
        </w:rPr>
        <w:t>369</w:t>
      </w:r>
      <w:r w:rsidR="0088562C" w:rsidRPr="0088562C">
        <w:rPr>
          <w:rFonts w:ascii="Arial" w:hAnsi="Arial" w:cs="Arial"/>
          <w:noProof/>
          <w:szCs w:val="24"/>
        </w:rPr>
        <w:t>, 643–650.</w:t>
      </w:r>
    </w:p>
    <w:p w14:paraId="33F77007"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(2) Pinto, D., Park, Y. J., Beltramello, M., Walls, A. C., Tortorici, M. A., Bianchi, S., Jaconi, S., Culap, K., Zatta, F., De Marco, A., Peter, A., Guarino, B., Spreafico, R., Cameroni, E., Case, J. B., Chen, R. E., Havenar-Daughton, C., Snell, G., Telenti, A., Virgin, H. W., Lanzavecchia, A., Diamond, M. S., Fink, K., Veesler, D., and Corti, D. (2020) Cross-</w:t>
      </w:r>
      <w:r w:rsidRPr="0088562C">
        <w:rPr>
          <w:rFonts w:ascii="Arial" w:hAnsi="Arial" w:cs="Arial"/>
          <w:noProof/>
          <w:szCs w:val="24"/>
        </w:rPr>
        <w:lastRenderedPageBreak/>
        <w:t xml:space="preserve">neutralization of SARS-CoV-2 by a human monoclonal SARS-CoV antibody. </w:t>
      </w:r>
      <w:r w:rsidRPr="0088562C">
        <w:rPr>
          <w:rFonts w:ascii="Arial" w:hAnsi="Arial" w:cs="Arial"/>
          <w:i/>
          <w:iCs/>
          <w:noProof/>
          <w:szCs w:val="24"/>
        </w:rPr>
        <w:t>Nature</w:t>
      </w:r>
      <w:r w:rsidRPr="0088562C">
        <w:rPr>
          <w:rFonts w:ascii="Arial" w:hAnsi="Arial" w:cs="Arial"/>
          <w:noProof/>
          <w:szCs w:val="24"/>
        </w:rPr>
        <w:t xml:space="preserve"> </w:t>
      </w:r>
      <w:r w:rsidRPr="0088562C">
        <w:rPr>
          <w:rFonts w:ascii="Arial" w:hAnsi="Arial" w:cs="Arial"/>
          <w:i/>
          <w:iCs/>
          <w:noProof/>
          <w:szCs w:val="24"/>
        </w:rPr>
        <w:t>583</w:t>
      </w:r>
      <w:r w:rsidRPr="0088562C">
        <w:rPr>
          <w:rFonts w:ascii="Arial" w:hAnsi="Arial" w:cs="Arial"/>
          <w:noProof/>
          <w:szCs w:val="24"/>
        </w:rPr>
        <w:t>, 290–295.</w:t>
      </w:r>
    </w:p>
    <w:p w14:paraId="36917E55"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(3) Liu, L., Wang, P., Nair, M. S., Yu, J., Rapp, M., Wang, Q., Luo, Y., Chan, J. F. W., Sahi, V., Figueroa, A., Guo, X. V., Cerutti, G., Bimela, J., Gorman, J., Zhou, T., Chen, Z., Yuen, K. Y., Kwong, P. D., Sodroski, J. G., Yin, M. T., Sheng, Z., Huang, Y., Shapiro, L., and Ho, D. D. (2020) Potent neutralizing antibodies against multiple epitopes on SARS-CoV-2 spike. </w:t>
      </w:r>
      <w:r w:rsidRPr="0088562C">
        <w:rPr>
          <w:rFonts w:ascii="Arial" w:hAnsi="Arial" w:cs="Arial"/>
          <w:i/>
          <w:iCs/>
          <w:noProof/>
          <w:szCs w:val="24"/>
        </w:rPr>
        <w:t>Nature</w:t>
      </w:r>
      <w:r w:rsidRPr="0088562C">
        <w:rPr>
          <w:rFonts w:ascii="Arial" w:hAnsi="Arial" w:cs="Arial"/>
          <w:noProof/>
          <w:szCs w:val="24"/>
        </w:rPr>
        <w:t xml:space="preserve"> </w:t>
      </w:r>
      <w:r w:rsidRPr="0088562C">
        <w:rPr>
          <w:rFonts w:ascii="Arial" w:hAnsi="Arial" w:cs="Arial"/>
          <w:i/>
          <w:iCs/>
          <w:noProof/>
          <w:szCs w:val="24"/>
        </w:rPr>
        <w:t>584</w:t>
      </w:r>
      <w:r w:rsidRPr="0088562C">
        <w:rPr>
          <w:rFonts w:ascii="Arial" w:hAnsi="Arial" w:cs="Arial"/>
          <w:noProof/>
          <w:szCs w:val="24"/>
        </w:rPr>
        <w:t>, 450–456.</w:t>
      </w:r>
    </w:p>
    <w:p w14:paraId="06A848CA"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(4) Polack, F. P., Thomas, S. J., Kitchin, N., Absalon, J., Gurtman, A., Lockhart, S., Perez, J. L., Pérez Marc, G., Moreira, E. D., Zerbini, C., Bailey, R., Swanson, K. A., Roychoudhury, S., Koury, K., Li, P., Kalina, W. V., Cooper, D., Frenck, R. W., Hammitt, L. L., Türeci, Ö., Nell, H., Schaefer, A., Ünal, S., Tresnan, D. B., Mather, S., Dormitzer, P. R., Şahin, U., Jansen, K. U., and Gruber, W. C. (2020) Safety and Efficacy of the BNT162b2 mRNA Covid-19 Vaccine. </w:t>
      </w:r>
      <w:r w:rsidRPr="0088562C">
        <w:rPr>
          <w:rFonts w:ascii="Arial" w:hAnsi="Arial" w:cs="Arial"/>
          <w:i/>
          <w:iCs/>
          <w:noProof/>
          <w:szCs w:val="24"/>
        </w:rPr>
        <w:t>N. Engl. J. Med.</w:t>
      </w:r>
      <w:r w:rsidRPr="0088562C">
        <w:rPr>
          <w:rFonts w:ascii="Arial" w:hAnsi="Arial" w:cs="Arial"/>
          <w:noProof/>
          <w:szCs w:val="24"/>
        </w:rPr>
        <w:t xml:space="preserve"> </w:t>
      </w:r>
      <w:r w:rsidRPr="0088562C">
        <w:rPr>
          <w:rFonts w:ascii="Arial" w:hAnsi="Arial" w:cs="Arial"/>
          <w:i/>
          <w:iCs/>
          <w:noProof/>
          <w:szCs w:val="24"/>
        </w:rPr>
        <w:t>383</w:t>
      </w:r>
      <w:r w:rsidRPr="0088562C">
        <w:rPr>
          <w:rFonts w:ascii="Arial" w:hAnsi="Arial" w:cs="Arial"/>
          <w:noProof/>
          <w:szCs w:val="24"/>
        </w:rPr>
        <w:t>, 2603–2615.</w:t>
      </w:r>
    </w:p>
    <w:p w14:paraId="00FD32EC"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(5) Baden, L. R., El Sahly, H. M., Essink, B., Kotloff, K., Frey, S., Novak, R., Diemert, D., Spector, S. A., Rouphael, N., Creech, C. B., McGettigan, J., Khetan, S., Segall, N., Solis, J., Brosz, A., Fierro, C., Schwartz, H., Neuzil, K., Corey, L., Gilbert, P., Janes, H., Follmann, D., Marovich, M., Mascola, J., Polakowski, L., Ledgerwood, J., Graham, B. S., Bennett, H., Pajon, R., Knightly, C., Leav, B., Deng, W., Zhou, H., Han, S., Ivarsson, M., Miller, J., and Zaks, T. (2021) Efficacy and Safety of the mRNA-1273 SARS-CoV-2 Vaccine. </w:t>
      </w:r>
      <w:r w:rsidRPr="0088562C">
        <w:rPr>
          <w:rFonts w:ascii="Arial" w:hAnsi="Arial" w:cs="Arial"/>
          <w:i/>
          <w:iCs/>
          <w:noProof/>
          <w:szCs w:val="24"/>
        </w:rPr>
        <w:t>N. Engl. J. Med.</w:t>
      </w:r>
      <w:r w:rsidRPr="0088562C">
        <w:rPr>
          <w:rFonts w:ascii="Arial" w:hAnsi="Arial" w:cs="Arial"/>
          <w:noProof/>
          <w:szCs w:val="24"/>
        </w:rPr>
        <w:t xml:space="preserve"> </w:t>
      </w:r>
      <w:r w:rsidRPr="0088562C">
        <w:rPr>
          <w:rFonts w:ascii="Arial" w:hAnsi="Arial" w:cs="Arial"/>
          <w:i/>
          <w:iCs/>
          <w:noProof/>
          <w:szCs w:val="24"/>
        </w:rPr>
        <w:t>384</w:t>
      </w:r>
      <w:r w:rsidRPr="0088562C">
        <w:rPr>
          <w:rFonts w:ascii="Arial" w:hAnsi="Arial" w:cs="Arial"/>
          <w:noProof/>
          <w:szCs w:val="24"/>
        </w:rPr>
        <w:t>, 403–416.</w:t>
      </w:r>
    </w:p>
    <w:p w14:paraId="0C972A6E"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(6) Ramasamy, M. N., Minassian, A. M., Ewer, K. J., Flaxman, A. L., Folegatti, P. M., Owens, D. R., Voysey, M., Aley, P. K., Angus, B., Babbage, G., Belij-Rammerstorfer, S., Berry, L., Bibi, S., Bittaye, M., Cathie, K., Chappell, H., Charlton, S., Cicconi, P., Clutterbuck, E. A., Colin-Jones, R., Dold, C., Emary, K. R. W., Fedosyuk, S., Fuskova, M., Gbesemete, D., Green, C., Hallis, B., Hou, M. M., Jenkin, D., Joe, C. C. D., Kelly, E. J., Kerridge, S., Lawrie, A. M., Lelliott, A., Lwin, M. N., Makinson, R., Marchevsky, N. G., Mujadidi, Y., Munro, A. P. S., Pacurar, M., Plested, E., Rand, J., Rawlinson, T., Rhead, S., Robinson, H., Ritchie, A. J., Ross-Russell, A. L., Saich, S., Singh, N., Smith, C. C., Snape, M. D., Song, R., Tarrant, R., Themistocleous, Y., Thomas, K. M., Villafana, T. L., Warren, S. C., Watson, M. E. E., Douglas, A. D., Hill, A. V. S., Lambe, T., Gilbert, S. C., Faust, S. N., Pollard, A. J., Aboagye, J., Adams, K., Ali, A., Allen, E. R., Allen, L., Allison, J. L., Andritsou, F., Anslow, R., Arbe-Barnes, E. H., Baker, M., Baker, N., Baker, P., Baleanu, I., Barker, D., Barnes, E., Barrett, J. R., Barrett, K., Bates, L., Batten, A., Beadon, K., Beckley, R., Bellamy, D., Berg, A., Bermejo, L., Berrie, E., Beveridge, A., Bewley, K., Bijker, E. M., Birch, G., Blackwell, L., Bletchly, H., Blundell, C. L., Blundell, S. R., Bolam, E., Boland, E., Bormans, D., Borthwick, </w:t>
      </w:r>
      <w:r w:rsidRPr="0088562C">
        <w:rPr>
          <w:rFonts w:ascii="Arial" w:hAnsi="Arial" w:cs="Arial"/>
          <w:noProof/>
          <w:szCs w:val="24"/>
        </w:rPr>
        <w:lastRenderedPageBreak/>
        <w:t xml:space="preserve">N., Boukas, K., Bower, T., Bowring, F., Boyd, A., Brenner, T., Brown, P., Brown-O’Sullivan, C., Bruce, S., Brunt, E., Burbage, J., Burgoyne, J., Buttigieg, K. R., Byard, N., Cabera Puig, I., Camara, S., Cao, M., Cappuccini, F., Carr, M., Carroll, M. W., Cashen, P., Cavey, A., Chadwick, J., Challis, R., Chapman, D., Charles, D., Chelysheva, I., Cho, J. S., Cifuentes, L., Clark, E., Collins, S., Conlon, C. P., Coombes, N. S., Cooper, R., Cooper, C., Crocker, W. E. M., Crosbie, S., Cullen, D., Cunningham, C., Cuthbertson, F., Datoo, B. E., Dando, L., Datoo, M. S., Datta, C., Davies, H., Davies, S., Davis, E. J., Davis, J., Dearlove, D., Demissie, T., Di Marco, S., Di Maso, C., DiTirro, D., Docksey, C., Dong, T., Donnellan, F. R., Douglas, N., Downing, C., Drake, J., Drake-Brockman, R., Drury, R. E., Dunachie, S. J., Edwards, C. J., Edwards, N. J., El Muhanna, O., Elias, S. C., Elliott, R. S., Elmore, M. J., English, M. R., Felle, S., Feng, S., Ferreira Da Silva, C., Field, S., Fisher, R., Fixmer, C., Ford, K. J., Fowler, J., Francis, E., Frater, J., Furze, J., Galian-Rubio, P., Galloway, C., Garlant, H., Gavrila, M., Gibbons, F., Gibbons, K., Gilbride, C., Gill, H., Godwin, K., Gordon-Quayle, K., Gorini, G., Goulston, L., Grabau, C., Gracie, L., Graham, N., Greenwood, N., Griffiths, O., Gupta, G., Hamilton, E., Hanumunthadu, B., Harris, S. A., Harris, T., Harrison, D., Hart, T. C., Hartnell, B., Haskell, L., Hawkins, S., Henry, J. A., Hermosin Herrera, M., Hill, D., Hill, J., Hodges, G., Hodgson, S. H. C., Horton, K. L., Howe, E., Howell, N., Howes, J., Huang, B., Humphreys, J., Humphries, H. E., Iveson, P., Jackson, F., Jackson, S., Jauregui, S., Jeffers, H., Jones, B., Jones, C. E., Jones, E., Jones, K., Joshi, A., Kailath, R., Keen, J., Kelly, D. M., Kelly, S., Kelly, D., Kerr, D., Khan, L., Khozoee, B., Killen, A., Kinch, J., King, L. D. W., King, T. B., Kingham, L., Klenerman, P., Knight, J. C., Knott, D., Koleva, S., Lang, G., Larkworthy, C. W., Larwood, J. P. J., Law, R., Lee, A., Lee, K. Y. N., Lees, E. A., Leung, S., Li, Y., Lias, A. M., Linder, A., Lipworth, S., Liu, S., Liu, X., Lloyd, S., Loew, L., Lopez Ramon, R., Madhavan, M., Mainwaring, D. O., Mallett, G., Mansatta, K., Marinou, S., Marius, P., Marlow, E., Marriott, P., Marshall, J. L., Martin, J., Masters, S., McEwan, J., McGlashan, J. L., McInroy, L., McRobert, N., Megson, C., Mentzer, A. J., Mirtorabi, N., Mitton, C., Moore, M., Moran, M., Morey, E., Morgans, R., Morris, S. J., Morrison, H. M., Morshead, G., Morter, R., Moya, N. A., Mukhopadhyay, E., Muller, J., Munro, C., Murphy, S., Mweu, P., Noé, A., Nugent, F. L., O’Brien, K., O’Connor, D., Oguti, B., Olchawski, V., Oliveira, C., O’Reilly, P. J., Osborne, P., Owen, L., Owino, N., Papageorgiou, P., Parracho, H., Parsons, K., Patel, B., Patrick-Smith, M., Peng, Y., Penn, E. J., Peralta-Alvarez, M. P., Perring, J., Petropoulos, C., Phillips, D. J., Pipini, D., Pollard, S., Poulton, I., Pratt, D., Presland, L., Proud, P. C., Provstgaard-Morys, S., Pueschel, S., Pulido, D., Rabara, R., Radia, K., Rajapaska, D., Ramos Lopez, F., Ratcliffe, H., Rayhan, S., Rees, B., Reyes Pabon, E., Roberts, H., Robertson, I., Roche, S., Rollier, C. S., Romani, R., Rose, Z., Rudiansyah, I., Sabheha, S., Salvador, S., Sanders, H., Sanders, K., Satti, I., Sayce, C., Schmid, A. B., Schofield, E., Screaton, G., Sedik, C., Seddiqi, S., Segireddy, R. R., Selby, B., Shaik, I., Sharpe, H. R., </w:t>
      </w:r>
      <w:r w:rsidRPr="0088562C">
        <w:rPr>
          <w:rFonts w:ascii="Arial" w:hAnsi="Arial" w:cs="Arial"/>
          <w:noProof/>
          <w:szCs w:val="24"/>
        </w:rPr>
        <w:lastRenderedPageBreak/>
        <w:t xml:space="preserve">Shaw, R., Shea, A., Silk, S., Silva-Reyes, L., Skelly, D. T., Smith, D. J., Smith, D. C., Smith, N., Spencer, A. J., Spoors, L., Stafford, E., Stamford, I., Stockdale, L., Stockley, D., Stockwell, L. V., Stokes, M., Strickland, L. H., Stuart, A., Sulaiman, S., Summerton, E., Swash, Z., Szigeti, A., Tahiri-Alaoui, A., Tanner, R., Taylor, I., Taylor, K., Taylor, U., te Water Naude, R., Themistocleous, A., Thomas, M., Thomas, T. M., Thompson, A., Thompson, K., Thornton-Jones, V., Tinh, L., Tomic, A., Tonks, S., Towner, J., Tran, N., Tree, J. A., Truby, A., Turner, C., Turner, R., Ulaszewska, M., Varughese, R., Verbart, D., Verheul, M. K., Vichos, I., Walker, L., Wand, M. E., Watkins, B., Welch, J., West, A. J., White, C., White, R., Williams, P., Woodyer, M., Worth, A. T., Wright, D., Wrin, T., Yao, X. L., Zbarcea, D. A., and Zizi, D. (2020) Safety and immunogenicity of ChAdOx1 nCoV-19 vaccine administered in a prime-boost regimen in young and old adults (COV002): a single-blind, randomised, controlled, phase 2/3 trial. </w:t>
      </w:r>
      <w:r w:rsidRPr="0088562C">
        <w:rPr>
          <w:rFonts w:ascii="Arial" w:hAnsi="Arial" w:cs="Arial"/>
          <w:i/>
          <w:iCs/>
          <w:noProof/>
          <w:szCs w:val="24"/>
        </w:rPr>
        <w:t>Lancet</w:t>
      </w:r>
      <w:r w:rsidRPr="0088562C">
        <w:rPr>
          <w:rFonts w:ascii="Arial" w:hAnsi="Arial" w:cs="Arial"/>
          <w:noProof/>
          <w:szCs w:val="24"/>
        </w:rPr>
        <w:t xml:space="preserve"> </w:t>
      </w:r>
      <w:r w:rsidRPr="0088562C">
        <w:rPr>
          <w:rFonts w:ascii="Arial" w:hAnsi="Arial" w:cs="Arial"/>
          <w:i/>
          <w:iCs/>
          <w:noProof/>
          <w:szCs w:val="24"/>
        </w:rPr>
        <w:t>396</w:t>
      </w:r>
      <w:r w:rsidRPr="0088562C">
        <w:rPr>
          <w:rFonts w:ascii="Arial" w:hAnsi="Arial" w:cs="Arial"/>
          <w:noProof/>
          <w:szCs w:val="24"/>
        </w:rPr>
        <w:t>, 1979–1993.</w:t>
      </w:r>
    </w:p>
    <w:p w14:paraId="1E437543"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(7) Watanabe, Y., Allen, J. D., Wrapp, D., McLellan, J. S., and Crispin, M. (2020) Site-specific glycan analysis of the SARS-CoV-2 spike. </w:t>
      </w:r>
      <w:r w:rsidRPr="0088562C">
        <w:rPr>
          <w:rFonts w:ascii="Arial" w:hAnsi="Arial" w:cs="Arial"/>
          <w:i/>
          <w:iCs/>
          <w:noProof/>
          <w:szCs w:val="24"/>
        </w:rPr>
        <w:t>Science</w:t>
      </w:r>
      <w:r w:rsidRPr="0088562C">
        <w:rPr>
          <w:rFonts w:ascii="Arial" w:hAnsi="Arial" w:cs="Arial"/>
          <w:noProof/>
          <w:szCs w:val="24"/>
        </w:rPr>
        <w:t xml:space="preserve"> </w:t>
      </w:r>
      <w:r w:rsidRPr="0088562C">
        <w:rPr>
          <w:rFonts w:ascii="Arial" w:hAnsi="Arial" w:cs="Arial"/>
          <w:i/>
          <w:iCs/>
          <w:noProof/>
          <w:szCs w:val="24"/>
        </w:rPr>
        <w:t>369</w:t>
      </w:r>
      <w:r w:rsidRPr="0088562C">
        <w:rPr>
          <w:rFonts w:ascii="Arial" w:hAnsi="Arial" w:cs="Arial"/>
          <w:noProof/>
          <w:szCs w:val="24"/>
        </w:rPr>
        <w:t>, 330–333.</w:t>
      </w:r>
    </w:p>
    <w:p w14:paraId="1CF64C45"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(8) Chen, W. H., Du, L., Chag, S. M., Ma, C., Tricoche, N., Tao, X., Seid, C. A., Hudspeth, E. M., Lustigman, S., Tseng, C. T. K., Bottazzi, M. E., Hotez, P. J., Zhan, B., and Jiang, S. (2014) Yeast-expressed recombinant protein of the receptor-binding domain in SARS-CoV spike protein with deglycosylated forms as a SARS vaccine candidate. </w:t>
      </w:r>
      <w:r w:rsidRPr="0088562C">
        <w:rPr>
          <w:rFonts w:ascii="Arial" w:hAnsi="Arial" w:cs="Arial"/>
          <w:i/>
          <w:iCs/>
          <w:noProof/>
          <w:szCs w:val="24"/>
        </w:rPr>
        <w:t>Hum. Vaccines Immunother.</w:t>
      </w:r>
      <w:r w:rsidRPr="0088562C">
        <w:rPr>
          <w:rFonts w:ascii="Arial" w:hAnsi="Arial" w:cs="Arial"/>
          <w:noProof/>
          <w:szCs w:val="24"/>
        </w:rPr>
        <w:t xml:space="preserve"> </w:t>
      </w:r>
      <w:r w:rsidRPr="0088562C">
        <w:rPr>
          <w:rFonts w:ascii="Arial" w:hAnsi="Arial" w:cs="Arial"/>
          <w:i/>
          <w:iCs/>
          <w:noProof/>
          <w:szCs w:val="24"/>
        </w:rPr>
        <w:t>10</w:t>
      </w:r>
      <w:r w:rsidRPr="0088562C">
        <w:rPr>
          <w:rFonts w:ascii="Arial" w:hAnsi="Arial" w:cs="Arial"/>
          <w:noProof/>
          <w:szCs w:val="24"/>
        </w:rPr>
        <w:t>, 648–658.</w:t>
      </w:r>
    </w:p>
    <w:p w14:paraId="2FD8A263"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(9) Kumar, S., Maurya, V. K., Prasad, A. K., Bhatt, M. L. B., and Saxena, S. K. (2020) Structural, glycosylation and antigenic variation between 2019 novel coronavirus (2019-nCoV) and SARS coronavirus (SARS-CoV). </w:t>
      </w:r>
      <w:r w:rsidRPr="0088562C">
        <w:rPr>
          <w:rFonts w:ascii="Arial" w:hAnsi="Arial" w:cs="Arial"/>
          <w:i/>
          <w:iCs/>
          <w:noProof/>
          <w:szCs w:val="24"/>
        </w:rPr>
        <w:t>VirusDisease</w:t>
      </w:r>
      <w:r w:rsidRPr="0088562C">
        <w:rPr>
          <w:rFonts w:ascii="Arial" w:hAnsi="Arial" w:cs="Arial"/>
          <w:noProof/>
          <w:szCs w:val="24"/>
        </w:rPr>
        <w:t xml:space="preserve"> </w:t>
      </w:r>
      <w:r w:rsidRPr="0088562C">
        <w:rPr>
          <w:rFonts w:ascii="Arial" w:hAnsi="Arial" w:cs="Arial"/>
          <w:i/>
          <w:iCs/>
          <w:noProof/>
          <w:szCs w:val="24"/>
        </w:rPr>
        <w:t>31</w:t>
      </w:r>
      <w:r w:rsidRPr="0088562C">
        <w:rPr>
          <w:rFonts w:ascii="Arial" w:hAnsi="Arial" w:cs="Arial"/>
          <w:noProof/>
          <w:szCs w:val="24"/>
        </w:rPr>
        <w:t>, 13–21.</w:t>
      </w:r>
    </w:p>
    <w:p w14:paraId="24DA6B59"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(10) Tokatlian, T., Read, B. J., Jones, C. A., Kulp, D. W., Menis, S., Chang, J. Y. H., Steichen, J. M., Kumari, S., Allen, J. D., Dane, E. L., Liguori, A., Sangesland, M., Lingwood, D., Crispin, M., Schief, W. R., and Irvine, D. J. (2019) Innate immune recognition of glycans targets HIV nanoparticle immunogens to germinal centers. </w:t>
      </w:r>
      <w:r w:rsidRPr="0088562C">
        <w:rPr>
          <w:rFonts w:ascii="Arial" w:hAnsi="Arial" w:cs="Arial"/>
          <w:i/>
          <w:iCs/>
          <w:noProof/>
          <w:szCs w:val="24"/>
        </w:rPr>
        <w:t>Science</w:t>
      </w:r>
      <w:r w:rsidRPr="0088562C">
        <w:rPr>
          <w:rFonts w:ascii="Arial" w:hAnsi="Arial" w:cs="Arial"/>
          <w:noProof/>
          <w:szCs w:val="24"/>
        </w:rPr>
        <w:t xml:space="preserve"> </w:t>
      </w:r>
      <w:r w:rsidRPr="0088562C">
        <w:rPr>
          <w:rFonts w:ascii="Arial" w:hAnsi="Arial" w:cs="Arial"/>
          <w:i/>
          <w:iCs/>
          <w:noProof/>
          <w:szCs w:val="24"/>
        </w:rPr>
        <w:t>363</w:t>
      </w:r>
      <w:r w:rsidRPr="0088562C">
        <w:rPr>
          <w:rFonts w:ascii="Arial" w:hAnsi="Arial" w:cs="Arial"/>
          <w:noProof/>
          <w:szCs w:val="24"/>
        </w:rPr>
        <w:t>, 649–654.</w:t>
      </w:r>
    </w:p>
    <w:p w14:paraId="6A54FA14"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(11) Carbone, F. R., and Gleeson, P. A. (1997) Carbohydrates and antigen recognition by T cells. </w:t>
      </w:r>
      <w:r w:rsidRPr="0088562C">
        <w:rPr>
          <w:rFonts w:ascii="Arial" w:hAnsi="Arial" w:cs="Arial"/>
          <w:i/>
          <w:iCs/>
          <w:noProof/>
          <w:szCs w:val="24"/>
        </w:rPr>
        <w:t>Glycobiology</w:t>
      </w:r>
      <w:r w:rsidRPr="0088562C">
        <w:rPr>
          <w:rFonts w:ascii="Arial" w:hAnsi="Arial" w:cs="Arial"/>
          <w:noProof/>
          <w:szCs w:val="24"/>
        </w:rPr>
        <w:t>.</w:t>
      </w:r>
    </w:p>
    <w:p w14:paraId="590AB10F"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(12) Chu, H., Hu, B., Huang, X., Chai, Y., Wang, Y., Shuai, H., Yang, D., Hou, Y., Zhang, X., Yuen, T. T.-T., Cai, J.-P., Zhang, A. J., Zhou, J., Yuan, S., To, K. K.-W., Chan, I. H.-Y., Sit, K.-Y., Foo, D. C.-C., Wong, I. Y.-H., Ng, A. T.-L., Cheung, T. T., Law, S. Y.-K., Au, W.-K., Kok, K.-H., Chan, J. F.-W., and Yuen, K.-Y. (2020) Host and viral determinants for efficient SARS-CoV-2 infection of the human lung. </w:t>
      </w:r>
      <w:r w:rsidRPr="0088562C">
        <w:rPr>
          <w:rFonts w:ascii="Arial" w:hAnsi="Arial" w:cs="Arial"/>
          <w:i/>
          <w:iCs/>
          <w:noProof/>
          <w:szCs w:val="24"/>
        </w:rPr>
        <w:t>Nat. Commun.</w:t>
      </w:r>
      <w:r w:rsidRPr="0088562C">
        <w:rPr>
          <w:rFonts w:ascii="Arial" w:hAnsi="Arial" w:cs="Arial"/>
          <w:noProof/>
          <w:szCs w:val="24"/>
        </w:rPr>
        <w:t xml:space="preserve"> </w:t>
      </w:r>
      <w:r w:rsidRPr="0088562C">
        <w:rPr>
          <w:rFonts w:ascii="Arial" w:hAnsi="Arial" w:cs="Arial"/>
          <w:i/>
          <w:iCs/>
          <w:noProof/>
          <w:szCs w:val="24"/>
        </w:rPr>
        <w:t>12</w:t>
      </w:r>
      <w:r w:rsidRPr="0088562C">
        <w:rPr>
          <w:rFonts w:ascii="Arial" w:hAnsi="Arial" w:cs="Arial"/>
          <w:noProof/>
          <w:szCs w:val="24"/>
        </w:rPr>
        <w:t>, 134.</w:t>
      </w:r>
    </w:p>
    <w:p w14:paraId="0A37823D"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(13) Yang, Q., Hughes, T. A., Kelkar, A., Yu, X., Cheng, K., Park, S. J., Huang, W. C., Lovell, </w:t>
      </w:r>
      <w:r w:rsidRPr="0088562C">
        <w:rPr>
          <w:rFonts w:ascii="Arial" w:hAnsi="Arial" w:cs="Arial"/>
          <w:noProof/>
          <w:szCs w:val="24"/>
        </w:rPr>
        <w:lastRenderedPageBreak/>
        <w:t xml:space="preserve">J. F., and Neelamegham, S. (2020) Inhibition of SARS-CoV-2 viral entry upon blocking N-and O-glycan elaboration. </w:t>
      </w:r>
      <w:r w:rsidRPr="0088562C">
        <w:rPr>
          <w:rFonts w:ascii="Arial" w:hAnsi="Arial" w:cs="Arial"/>
          <w:i/>
          <w:iCs/>
          <w:noProof/>
          <w:szCs w:val="24"/>
        </w:rPr>
        <w:t>Elife</w:t>
      </w:r>
      <w:r w:rsidRPr="0088562C">
        <w:rPr>
          <w:rFonts w:ascii="Arial" w:hAnsi="Arial" w:cs="Arial"/>
          <w:noProof/>
          <w:szCs w:val="24"/>
        </w:rPr>
        <w:t xml:space="preserve"> </w:t>
      </w:r>
      <w:r w:rsidRPr="0088562C">
        <w:rPr>
          <w:rFonts w:ascii="Arial" w:hAnsi="Arial" w:cs="Arial"/>
          <w:i/>
          <w:iCs/>
          <w:noProof/>
          <w:szCs w:val="24"/>
        </w:rPr>
        <w:t>9</w:t>
      </w:r>
      <w:r w:rsidRPr="0088562C">
        <w:rPr>
          <w:rFonts w:ascii="Arial" w:hAnsi="Arial" w:cs="Arial"/>
          <w:noProof/>
          <w:szCs w:val="24"/>
        </w:rPr>
        <w:t>, 1–44.</w:t>
      </w:r>
    </w:p>
    <w:p w14:paraId="0E8C2652"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(14) Allen, J. D., Watanabe, Y., Chawla, H., Newby, M. L., and Crispin, M. (2021) Subtle Influence of ACE2 Glycan Processing on SARS-CoV-2 Recognition. </w:t>
      </w:r>
      <w:r w:rsidRPr="0088562C">
        <w:rPr>
          <w:rFonts w:ascii="Arial" w:hAnsi="Arial" w:cs="Arial"/>
          <w:i/>
          <w:iCs/>
          <w:noProof/>
          <w:szCs w:val="24"/>
        </w:rPr>
        <w:t>J. Mol. Biol.</w:t>
      </w:r>
      <w:r w:rsidRPr="0088562C">
        <w:rPr>
          <w:rFonts w:ascii="Arial" w:hAnsi="Arial" w:cs="Arial"/>
          <w:noProof/>
          <w:szCs w:val="24"/>
        </w:rPr>
        <w:t xml:space="preserve"> </w:t>
      </w:r>
      <w:r w:rsidRPr="0088562C">
        <w:rPr>
          <w:rFonts w:ascii="Arial" w:hAnsi="Arial" w:cs="Arial"/>
          <w:i/>
          <w:iCs/>
          <w:noProof/>
          <w:szCs w:val="24"/>
        </w:rPr>
        <w:t>433</w:t>
      </w:r>
      <w:r w:rsidRPr="0088562C">
        <w:rPr>
          <w:rFonts w:ascii="Arial" w:hAnsi="Arial" w:cs="Arial"/>
          <w:noProof/>
          <w:szCs w:val="24"/>
        </w:rPr>
        <w:t>, 166762.</w:t>
      </w:r>
    </w:p>
    <w:p w14:paraId="31A6C832"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(15) Zhao, P., Praissman, J. L., Grant, O. C., Cai, Y., Xiao, T., Rosenbalm, K. E., Aoki, K., Kellman, B. P., Bridger, R., Barouch, D. H., Brindley, M. A., Lewis, N. E., Tiemeyer, M., Chen, B., Woods, R. J., and Wells, L. (2020) Virus-Receptor Interactions of Glycosylated SARS-CoV-2 Spike and Human ACE2 Receptor. </w:t>
      </w:r>
      <w:r w:rsidRPr="0088562C">
        <w:rPr>
          <w:rFonts w:ascii="Arial" w:hAnsi="Arial" w:cs="Arial"/>
          <w:i/>
          <w:iCs/>
          <w:noProof/>
          <w:szCs w:val="24"/>
        </w:rPr>
        <w:t>Cell Host Microbe</w:t>
      </w:r>
      <w:r w:rsidRPr="0088562C">
        <w:rPr>
          <w:rFonts w:ascii="Arial" w:hAnsi="Arial" w:cs="Arial"/>
          <w:noProof/>
          <w:szCs w:val="24"/>
        </w:rPr>
        <w:t xml:space="preserve"> </w:t>
      </w:r>
      <w:r w:rsidRPr="0088562C">
        <w:rPr>
          <w:rFonts w:ascii="Arial" w:hAnsi="Arial" w:cs="Arial"/>
          <w:i/>
          <w:iCs/>
          <w:noProof/>
          <w:szCs w:val="24"/>
        </w:rPr>
        <w:t>28</w:t>
      </w:r>
      <w:r w:rsidRPr="0088562C">
        <w:rPr>
          <w:rFonts w:ascii="Arial" w:hAnsi="Arial" w:cs="Arial"/>
          <w:noProof/>
          <w:szCs w:val="24"/>
        </w:rPr>
        <w:t>, 586-601.e6.</w:t>
      </w:r>
    </w:p>
    <w:p w14:paraId="665AE6AD"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(16) Xu, C., and Ng, D. T. W. (2015) Glycosylation-directed quality control of protein folding. </w:t>
      </w:r>
      <w:r w:rsidRPr="0088562C">
        <w:rPr>
          <w:rFonts w:ascii="Arial" w:hAnsi="Arial" w:cs="Arial"/>
          <w:i/>
          <w:iCs/>
          <w:noProof/>
          <w:szCs w:val="24"/>
        </w:rPr>
        <w:t>Nat. Rev. Mol. Cell Biol.</w:t>
      </w:r>
    </w:p>
    <w:p w14:paraId="485063BF"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(17) Pritchard, L. K., Harvey, D. J., Bonomelli, C., Crispin, M., and Doores, K. J. (2015) Cell- and Protein-Directed Glycosylation of Native Cleaved HIV-1 Envelope. </w:t>
      </w:r>
      <w:r w:rsidRPr="0088562C">
        <w:rPr>
          <w:rFonts w:ascii="Arial" w:hAnsi="Arial" w:cs="Arial"/>
          <w:i/>
          <w:iCs/>
          <w:noProof/>
          <w:szCs w:val="24"/>
        </w:rPr>
        <w:t>J. Virol.</w:t>
      </w:r>
      <w:r w:rsidRPr="0088562C">
        <w:rPr>
          <w:rFonts w:ascii="Arial" w:hAnsi="Arial" w:cs="Arial"/>
          <w:noProof/>
          <w:szCs w:val="24"/>
        </w:rPr>
        <w:t xml:space="preserve"> </w:t>
      </w:r>
      <w:r w:rsidRPr="0088562C">
        <w:rPr>
          <w:rFonts w:ascii="Arial" w:hAnsi="Arial" w:cs="Arial"/>
          <w:i/>
          <w:iCs/>
          <w:noProof/>
          <w:szCs w:val="24"/>
        </w:rPr>
        <w:t>89</w:t>
      </w:r>
      <w:r w:rsidRPr="0088562C">
        <w:rPr>
          <w:rFonts w:ascii="Arial" w:hAnsi="Arial" w:cs="Arial"/>
          <w:noProof/>
          <w:szCs w:val="24"/>
        </w:rPr>
        <w:t>, 8932–8944.</w:t>
      </w:r>
    </w:p>
    <w:p w14:paraId="4F0F7B9D"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(18) Behrens, A. J., and Crispin, M. (2017) Structural principles controlling HIV envelope glycosylation. </w:t>
      </w:r>
      <w:r w:rsidRPr="0088562C">
        <w:rPr>
          <w:rFonts w:ascii="Arial" w:hAnsi="Arial" w:cs="Arial"/>
          <w:i/>
          <w:iCs/>
          <w:noProof/>
          <w:szCs w:val="24"/>
        </w:rPr>
        <w:t>Curr. Opin. Struct. Biol.</w:t>
      </w:r>
    </w:p>
    <w:p w14:paraId="20061F16"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(19) Watanabe, Y., Raghwani, J., Allen, J. D., Seabright, G. E., Li, S., Moser, F., Huiskonen, J. T., Strecker, T., Bowden, T. A., and Crispin, M. (2018) Structure of the Lassa virus glycan shield provides a model for immunological resistance. </w:t>
      </w:r>
      <w:r w:rsidRPr="0088562C">
        <w:rPr>
          <w:rFonts w:ascii="Arial" w:hAnsi="Arial" w:cs="Arial"/>
          <w:i/>
          <w:iCs/>
          <w:noProof/>
          <w:szCs w:val="24"/>
        </w:rPr>
        <w:t>Proc. Natl. Acad. Sci. U. S. A.</w:t>
      </w:r>
      <w:r w:rsidRPr="0088562C">
        <w:rPr>
          <w:rFonts w:ascii="Arial" w:hAnsi="Arial" w:cs="Arial"/>
          <w:noProof/>
          <w:szCs w:val="24"/>
        </w:rPr>
        <w:t xml:space="preserve"> </w:t>
      </w:r>
      <w:r w:rsidRPr="0088562C">
        <w:rPr>
          <w:rFonts w:ascii="Arial" w:hAnsi="Arial" w:cs="Arial"/>
          <w:i/>
          <w:iCs/>
          <w:noProof/>
          <w:szCs w:val="24"/>
        </w:rPr>
        <w:t>115</w:t>
      </w:r>
      <w:r w:rsidRPr="0088562C">
        <w:rPr>
          <w:rFonts w:ascii="Arial" w:hAnsi="Arial" w:cs="Arial"/>
          <w:noProof/>
          <w:szCs w:val="24"/>
        </w:rPr>
        <w:t>, 7320–7325.</w:t>
      </w:r>
    </w:p>
    <w:p w14:paraId="25E35BCC"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(20) McKay, P. F., Hu, K., Blakney, A. K., Samnuan, K., Brown, J. C., Penn, R., Zhou, J., Bouton, C. R., Rogers, P., Polra, K., Lin, P. J. C., Barbosa, C., Tam, Y. K., Barclay, W. S., and Shattock, R. J. (2020) Self-amplifying RNA SARS-CoV-2 lipid nanoparticle vaccine candidate induces high neutralizing antibody titers in mice. </w:t>
      </w:r>
      <w:r w:rsidRPr="0088562C">
        <w:rPr>
          <w:rFonts w:ascii="Arial" w:hAnsi="Arial" w:cs="Arial"/>
          <w:i/>
          <w:iCs/>
          <w:noProof/>
          <w:szCs w:val="24"/>
        </w:rPr>
        <w:t>Nat. Commun.</w:t>
      </w:r>
      <w:r w:rsidRPr="0088562C">
        <w:rPr>
          <w:rFonts w:ascii="Arial" w:hAnsi="Arial" w:cs="Arial"/>
          <w:noProof/>
          <w:szCs w:val="24"/>
        </w:rPr>
        <w:t xml:space="preserve"> </w:t>
      </w:r>
      <w:r w:rsidRPr="0088562C">
        <w:rPr>
          <w:rFonts w:ascii="Arial" w:hAnsi="Arial" w:cs="Arial"/>
          <w:i/>
          <w:iCs/>
          <w:noProof/>
          <w:szCs w:val="24"/>
        </w:rPr>
        <w:t>11</w:t>
      </w:r>
      <w:r w:rsidRPr="0088562C">
        <w:rPr>
          <w:rFonts w:ascii="Arial" w:hAnsi="Arial" w:cs="Arial"/>
          <w:noProof/>
          <w:szCs w:val="24"/>
        </w:rPr>
        <w:t>, 1–7.</w:t>
      </w:r>
    </w:p>
    <w:p w14:paraId="1E455B8E"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(21) Bos, R., Rutten, L., van der Lubbe, J. E. M., Bakkers, M. J. G., Hardenberg, G., Wegmann, F., Zuijdgeest, D., de Wilde, A. H., Koornneef, A., Verwilligen, A., van Manen, D., Kwaks, T., Vogels, R., Dalebout, T. J., Myeni, S. K., Kikkert, M., Snijder, E. J., Li, Z., Barouch, D. H., Vellinga, J., Langedijk, J. P. M., Zahn, R. C., Custers, J., and Schuitemaker, H. (2020) Ad26 vector-based COVID-19 vaccine encoding a prefusion-stabilized SARS-CoV-2 Spike immunogen induces potent humoral and cellular immune responses. </w:t>
      </w:r>
      <w:r w:rsidRPr="0088562C">
        <w:rPr>
          <w:rFonts w:ascii="Arial" w:hAnsi="Arial" w:cs="Arial"/>
          <w:i/>
          <w:iCs/>
          <w:noProof/>
          <w:szCs w:val="24"/>
        </w:rPr>
        <w:t>npj Vaccines</w:t>
      </w:r>
      <w:r w:rsidRPr="0088562C">
        <w:rPr>
          <w:rFonts w:ascii="Arial" w:hAnsi="Arial" w:cs="Arial"/>
          <w:noProof/>
          <w:szCs w:val="24"/>
        </w:rPr>
        <w:t xml:space="preserve"> </w:t>
      </w:r>
      <w:r w:rsidRPr="0088562C">
        <w:rPr>
          <w:rFonts w:ascii="Arial" w:hAnsi="Arial" w:cs="Arial"/>
          <w:i/>
          <w:iCs/>
          <w:noProof/>
          <w:szCs w:val="24"/>
        </w:rPr>
        <w:t>5</w:t>
      </w:r>
      <w:r w:rsidRPr="0088562C">
        <w:rPr>
          <w:rFonts w:ascii="Arial" w:hAnsi="Arial" w:cs="Arial"/>
          <w:noProof/>
          <w:szCs w:val="24"/>
        </w:rPr>
        <w:t>.</w:t>
      </w:r>
    </w:p>
    <w:p w14:paraId="65D62422"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(22) Jackson, L. A., Anderson, E. J., Rouphael, N. G., Roberts, P. C., Makhene, M., Coler, R. N., McCullough, M. P., Chappell, J. D., Denison, M. R., Stevens, L. J., Pruijssers, A. J., </w:t>
      </w:r>
      <w:r w:rsidRPr="0088562C">
        <w:rPr>
          <w:rFonts w:ascii="Arial" w:hAnsi="Arial" w:cs="Arial"/>
          <w:noProof/>
          <w:szCs w:val="24"/>
        </w:rPr>
        <w:lastRenderedPageBreak/>
        <w:t xml:space="preserve">McDermott, A., Flach, B., Doria-Rose, N. A., Corbett, K. S., Morabito, K. M., O’Dell, S., Schmidt, S. D., Swanson, P. A., Padilla, M., Mascola, J. R., Neuzil, K. M., Bennett, H., Sun, W., Peters, E., Makowski, M., Albert, J., Cross, K., Buchanan, W., Pikaart-Tautges, R., Ledgerwood, J. E., Graham, B. S., and Beigel, J. H. (2020) An mRNA Vaccine against SARS-CoV-2 — Preliminary Report. </w:t>
      </w:r>
      <w:r w:rsidRPr="0088562C">
        <w:rPr>
          <w:rFonts w:ascii="Arial" w:hAnsi="Arial" w:cs="Arial"/>
          <w:i/>
          <w:iCs/>
          <w:noProof/>
          <w:szCs w:val="24"/>
        </w:rPr>
        <w:t>N. Engl. J. Med.</w:t>
      </w:r>
      <w:r w:rsidRPr="0088562C">
        <w:rPr>
          <w:rFonts w:ascii="Arial" w:hAnsi="Arial" w:cs="Arial"/>
          <w:noProof/>
          <w:szCs w:val="24"/>
        </w:rPr>
        <w:t xml:space="preserve"> </w:t>
      </w:r>
      <w:r w:rsidRPr="0088562C">
        <w:rPr>
          <w:rFonts w:ascii="Arial" w:hAnsi="Arial" w:cs="Arial"/>
          <w:i/>
          <w:iCs/>
          <w:noProof/>
          <w:szCs w:val="24"/>
        </w:rPr>
        <w:t>383</w:t>
      </w:r>
      <w:r w:rsidRPr="0088562C">
        <w:rPr>
          <w:rFonts w:ascii="Arial" w:hAnsi="Arial" w:cs="Arial"/>
          <w:noProof/>
          <w:szCs w:val="24"/>
        </w:rPr>
        <w:t>, 1920–1931.</w:t>
      </w:r>
    </w:p>
    <w:p w14:paraId="63352C7A"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(23) Corbett, K. S., Edwards, D. K., Leist, S. R., Abiona, O. M., Boyoglu-Barnum, S., Gillespie, R. A., Himansu, S., Schäfer, A., Ziwawo, C. T., DiPiazza, A. T., Dinnon, K. H., Elbashir, S. M., Shaw, C. A., Woods, A., Fritch, E. J., Martinez, D. R., Bock, K. W., Minai, M., Nagata, B. M., Hutchinson, G. B., Wu, K., Henry, C., Bahl, K., Garcia-Dominguez, D., Ma, L. Z., Renzi, I., Kong, W. P., Schmidt, S. D., Wang, L., Zhang, Y., Phung, E., Chang, L. A., Loomis, R. J., Altaras, N. E., Narayanan, E., Metkar, M., Presnyak, V., Liu, C., Louder, M. K., Shi, W., Leung, K., Yang, E. S., West, A., Gully, K. L., Stevens, L. J., Wang, N., Wrapp, D., Doria-Rose, N. A., Stewart-Jones, G., Bennett, H., Alvarado, G. S., Nason, M. C., Ruckwardt, T. J., McLellan, J. S., Denison, M. R., Chappell, J. D., Moore, I. N., Morabito, K. M., Mascola, J. R., Baric, R. S., Carfi, A., and Graham, B. S. (2020) SARS-CoV-2 mRNA vaccine design enabled by prototype pathogen preparedness. </w:t>
      </w:r>
      <w:r w:rsidRPr="0088562C">
        <w:rPr>
          <w:rFonts w:ascii="Arial" w:hAnsi="Arial" w:cs="Arial"/>
          <w:i/>
          <w:iCs/>
          <w:noProof/>
          <w:szCs w:val="24"/>
        </w:rPr>
        <w:t>Nature</w:t>
      </w:r>
      <w:r w:rsidRPr="0088562C">
        <w:rPr>
          <w:rFonts w:ascii="Arial" w:hAnsi="Arial" w:cs="Arial"/>
          <w:noProof/>
          <w:szCs w:val="24"/>
        </w:rPr>
        <w:t xml:space="preserve"> </w:t>
      </w:r>
      <w:r w:rsidRPr="0088562C">
        <w:rPr>
          <w:rFonts w:ascii="Arial" w:hAnsi="Arial" w:cs="Arial"/>
          <w:i/>
          <w:iCs/>
          <w:noProof/>
          <w:szCs w:val="24"/>
        </w:rPr>
        <w:t>586</w:t>
      </w:r>
      <w:r w:rsidRPr="0088562C">
        <w:rPr>
          <w:rFonts w:ascii="Arial" w:hAnsi="Arial" w:cs="Arial"/>
          <w:noProof/>
          <w:szCs w:val="24"/>
        </w:rPr>
        <w:t>, 567–571.</w:t>
      </w:r>
    </w:p>
    <w:p w14:paraId="09F83564"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(24) Walls, A. C., Park, Y. J., Tortorici, M. A., Wall, A., McGuire, A. T., and Veesler, D. (2020) Structure, Function, and Antigenicity of the SARS-CoV-2 Spike Glycoprotein. </w:t>
      </w:r>
      <w:r w:rsidRPr="0088562C">
        <w:rPr>
          <w:rFonts w:ascii="Arial" w:hAnsi="Arial" w:cs="Arial"/>
          <w:i/>
          <w:iCs/>
          <w:noProof/>
          <w:szCs w:val="24"/>
        </w:rPr>
        <w:t>Cell</w:t>
      </w:r>
      <w:r w:rsidRPr="0088562C">
        <w:rPr>
          <w:rFonts w:ascii="Arial" w:hAnsi="Arial" w:cs="Arial"/>
          <w:noProof/>
          <w:szCs w:val="24"/>
        </w:rPr>
        <w:t xml:space="preserve"> </w:t>
      </w:r>
      <w:r w:rsidRPr="0088562C">
        <w:rPr>
          <w:rFonts w:ascii="Arial" w:hAnsi="Arial" w:cs="Arial"/>
          <w:i/>
          <w:iCs/>
          <w:noProof/>
          <w:szCs w:val="24"/>
        </w:rPr>
        <w:t>181</w:t>
      </w:r>
      <w:r w:rsidRPr="0088562C">
        <w:rPr>
          <w:rFonts w:ascii="Arial" w:hAnsi="Arial" w:cs="Arial"/>
          <w:noProof/>
          <w:szCs w:val="24"/>
        </w:rPr>
        <w:t>, 281-292.e6.</w:t>
      </w:r>
    </w:p>
    <w:p w14:paraId="1224F47A"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(25) Sternberg, A., and Naujokat, C. (2020) Structural features of coronavirus SARS-CoV-2 spike protein: Targets for vaccination. </w:t>
      </w:r>
      <w:r w:rsidRPr="0088562C">
        <w:rPr>
          <w:rFonts w:ascii="Arial" w:hAnsi="Arial" w:cs="Arial"/>
          <w:i/>
          <w:iCs/>
          <w:noProof/>
          <w:szCs w:val="24"/>
        </w:rPr>
        <w:t>Life Sci.</w:t>
      </w:r>
      <w:r w:rsidRPr="0088562C">
        <w:rPr>
          <w:rFonts w:ascii="Arial" w:hAnsi="Arial" w:cs="Arial"/>
          <w:noProof/>
          <w:szCs w:val="24"/>
        </w:rPr>
        <w:t xml:space="preserve"> </w:t>
      </w:r>
      <w:r w:rsidRPr="0088562C">
        <w:rPr>
          <w:rFonts w:ascii="Arial" w:hAnsi="Arial" w:cs="Arial"/>
          <w:i/>
          <w:iCs/>
          <w:noProof/>
          <w:szCs w:val="24"/>
        </w:rPr>
        <w:t>257</w:t>
      </w:r>
      <w:r w:rsidRPr="0088562C">
        <w:rPr>
          <w:rFonts w:ascii="Arial" w:hAnsi="Arial" w:cs="Arial"/>
          <w:noProof/>
          <w:szCs w:val="24"/>
        </w:rPr>
        <w:t>, 118056.</w:t>
      </w:r>
    </w:p>
    <w:p w14:paraId="2EC3BA2C"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(26) Hsieh, C. L., Goldsmith, J. A., Schaub, J. M., DiVenere, A. M., Kuo, H. C., Javanmardi, K., Le, K. C., Wrapp, D., Lee, A. G., Liu, Y., Chou, C. W., Byrne, P. O., Hjorth, C. K., Johnson, N. V., Ludes-Meyers, J., Nguyen, A. W., Park, J., Wang, N., Amengor, D., Lavinder, J. J., Ippolito, G. C., Maynard, J. A., Finkelstein, I. J., and McLellan, J. S. (2020) Structure-based design of prefusion-stabilized SARS-CoV-2 spikes. </w:t>
      </w:r>
      <w:r w:rsidRPr="0088562C">
        <w:rPr>
          <w:rFonts w:ascii="Arial" w:hAnsi="Arial" w:cs="Arial"/>
          <w:i/>
          <w:iCs/>
          <w:noProof/>
          <w:szCs w:val="24"/>
        </w:rPr>
        <w:t>Science</w:t>
      </w:r>
      <w:r w:rsidRPr="0088562C">
        <w:rPr>
          <w:rFonts w:ascii="Arial" w:hAnsi="Arial" w:cs="Arial"/>
          <w:noProof/>
          <w:szCs w:val="24"/>
        </w:rPr>
        <w:t xml:space="preserve"> </w:t>
      </w:r>
      <w:r w:rsidRPr="0088562C">
        <w:rPr>
          <w:rFonts w:ascii="Arial" w:hAnsi="Arial" w:cs="Arial"/>
          <w:i/>
          <w:iCs/>
          <w:noProof/>
          <w:szCs w:val="24"/>
        </w:rPr>
        <w:t>369</w:t>
      </w:r>
      <w:r w:rsidRPr="0088562C">
        <w:rPr>
          <w:rFonts w:ascii="Arial" w:hAnsi="Arial" w:cs="Arial"/>
          <w:noProof/>
          <w:szCs w:val="24"/>
        </w:rPr>
        <w:t>, 1501–1505.</w:t>
      </w:r>
    </w:p>
    <w:p w14:paraId="25C9F943"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(27) Gao, Q., Bao, L., Mao, H., Wang, L., Xu, K., Yang, M., Li, Y., Zhu, L., Wang, N., Lv, Z., Gao, H., Ge, X., Kan, B., Hu, Y., Liu, J., Cai, F., Jiang, D., Yin, Y., Qin, C., Li, J., Gong, X., Lou, X., Shi, W., Wu, D., Zhang, H., Zhu, L., Deng, W., Li, Y., Lu, J., Li, C., Wang, X., Yin, W., Zhang, Y., and Qin, C. (2020) Development of an inactivated vaccine candidate for SARS-CoV-2. </w:t>
      </w:r>
      <w:r w:rsidRPr="0088562C">
        <w:rPr>
          <w:rFonts w:ascii="Arial" w:hAnsi="Arial" w:cs="Arial"/>
          <w:i/>
          <w:iCs/>
          <w:noProof/>
          <w:szCs w:val="24"/>
        </w:rPr>
        <w:t>Science</w:t>
      </w:r>
      <w:r w:rsidRPr="0088562C">
        <w:rPr>
          <w:rFonts w:ascii="Arial" w:hAnsi="Arial" w:cs="Arial"/>
          <w:noProof/>
          <w:szCs w:val="24"/>
        </w:rPr>
        <w:t xml:space="preserve"> </w:t>
      </w:r>
      <w:r w:rsidRPr="0088562C">
        <w:rPr>
          <w:rFonts w:ascii="Arial" w:hAnsi="Arial" w:cs="Arial"/>
          <w:i/>
          <w:iCs/>
          <w:noProof/>
          <w:szCs w:val="24"/>
        </w:rPr>
        <w:t>369</w:t>
      </w:r>
      <w:r w:rsidRPr="0088562C">
        <w:rPr>
          <w:rFonts w:ascii="Arial" w:hAnsi="Arial" w:cs="Arial"/>
          <w:noProof/>
          <w:szCs w:val="24"/>
        </w:rPr>
        <w:t>, 77–81.</w:t>
      </w:r>
    </w:p>
    <w:p w14:paraId="506C398F"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(28) Wrapp, D., Wang, N., Corbett, K. S., Goldsmith, J. A., Hsieh, C. L., Abiona, O., Graham, B. S., and McLellan, J. S. (2020) Cryo-EM structure of the 2019-nCoV spike in the prefusion </w:t>
      </w:r>
      <w:r w:rsidRPr="0088562C">
        <w:rPr>
          <w:rFonts w:ascii="Arial" w:hAnsi="Arial" w:cs="Arial"/>
          <w:noProof/>
          <w:szCs w:val="24"/>
        </w:rPr>
        <w:lastRenderedPageBreak/>
        <w:t xml:space="preserve">conformation. </w:t>
      </w:r>
      <w:r w:rsidRPr="0088562C">
        <w:rPr>
          <w:rFonts w:ascii="Arial" w:hAnsi="Arial" w:cs="Arial"/>
          <w:i/>
          <w:iCs/>
          <w:noProof/>
          <w:szCs w:val="24"/>
        </w:rPr>
        <w:t>Science</w:t>
      </w:r>
      <w:r w:rsidRPr="0088562C">
        <w:rPr>
          <w:rFonts w:ascii="Arial" w:hAnsi="Arial" w:cs="Arial"/>
          <w:noProof/>
          <w:szCs w:val="24"/>
        </w:rPr>
        <w:t xml:space="preserve"> </w:t>
      </w:r>
      <w:r w:rsidRPr="0088562C">
        <w:rPr>
          <w:rFonts w:ascii="Arial" w:hAnsi="Arial" w:cs="Arial"/>
          <w:i/>
          <w:iCs/>
          <w:noProof/>
          <w:szCs w:val="24"/>
        </w:rPr>
        <w:t>367</w:t>
      </w:r>
      <w:r w:rsidRPr="0088562C">
        <w:rPr>
          <w:rFonts w:ascii="Arial" w:hAnsi="Arial" w:cs="Arial"/>
          <w:noProof/>
          <w:szCs w:val="24"/>
        </w:rPr>
        <w:t>, 1260–1263.</w:t>
      </w:r>
    </w:p>
    <w:p w14:paraId="62E901F5"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(29) Butler, M., and Spearman, M. (2014) The choice of mammalian cell host and possibilities for glycosylation engineering. </w:t>
      </w:r>
      <w:r w:rsidRPr="0088562C">
        <w:rPr>
          <w:rFonts w:ascii="Arial" w:hAnsi="Arial" w:cs="Arial"/>
          <w:i/>
          <w:iCs/>
          <w:noProof/>
          <w:szCs w:val="24"/>
        </w:rPr>
        <w:t>Curr. Opin. Biotechnol.</w:t>
      </w:r>
    </w:p>
    <w:p w14:paraId="1FFCFA22"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(30) Butler, M. (2006) Optimisation of the cellular metabolism of glycosylation for recombinant proteins produced by mammalian cell systems. </w:t>
      </w:r>
      <w:r w:rsidRPr="0088562C">
        <w:rPr>
          <w:rFonts w:ascii="Arial" w:hAnsi="Arial" w:cs="Arial"/>
          <w:i/>
          <w:iCs/>
          <w:noProof/>
          <w:szCs w:val="24"/>
        </w:rPr>
        <w:t>Cytotechnology</w:t>
      </w:r>
      <w:r w:rsidRPr="0088562C">
        <w:rPr>
          <w:rFonts w:ascii="Arial" w:hAnsi="Arial" w:cs="Arial"/>
          <w:noProof/>
          <w:szCs w:val="24"/>
        </w:rPr>
        <w:t>.</w:t>
      </w:r>
    </w:p>
    <w:p w14:paraId="4714B3EE"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(31) Casalino, L., Gaieb, Z., Goldsmith, J. A., Hjorth, C. K., Dommer, A. C., Harbison, A. M., Fogarty, C. A., Barros, E. P., Taylor, B. C., Mclellan, J. S., Fadda, E., and Amaro, R. E. (2020) Beyond shielding: The roles of glycans in the SARS-CoV-2 spike protein. </w:t>
      </w:r>
      <w:r w:rsidRPr="0088562C">
        <w:rPr>
          <w:rFonts w:ascii="Arial" w:hAnsi="Arial" w:cs="Arial"/>
          <w:i/>
          <w:iCs/>
          <w:noProof/>
          <w:szCs w:val="24"/>
        </w:rPr>
        <w:t>ACS Cent. Sci.</w:t>
      </w:r>
      <w:r w:rsidRPr="0088562C">
        <w:rPr>
          <w:rFonts w:ascii="Arial" w:hAnsi="Arial" w:cs="Arial"/>
          <w:noProof/>
          <w:szCs w:val="24"/>
        </w:rPr>
        <w:t xml:space="preserve"> </w:t>
      </w:r>
      <w:r w:rsidRPr="0088562C">
        <w:rPr>
          <w:rFonts w:ascii="Arial" w:hAnsi="Arial" w:cs="Arial"/>
          <w:i/>
          <w:iCs/>
          <w:noProof/>
          <w:szCs w:val="24"/>
        </w:rPr>
        <w:t>6</w:t>
      </w:r>
      <w:r w:rsidRPr="0088562C">
        <w:rPr>
          <w:rFonts w:ascii="Arial" w:hAnsi="Arial" w:cs="Arial"/>
          <w:noProof/>
          <w:szCs w:val="24"/>
        </w:rPr>
        <w:t>, 1722–1734.</w:t>
      </w:r>
    </w:p>
    <w:p w14:paraId="0047998A"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(32) Yao, H., Song, Y., Chen, Y., Wu, N., Xu, J., Sun, C., Zhang, J., Weng, T., Zhang, Z., Wu, Z., Cheng, L., Shi, D., Lu, X., Lei, J., Crispin, M., Shi, Y., Li, L., and Li, S. (2020) Molecular Architecture of the SARS-CoV-2 Virus. </w:t>
      </w:r>
      <w:r w:rsidRPr="0088562C">
        <w:rPr>
          <w:rFonts w:ascii="Arial" w:hAnsi="Arial" w:cs="Arial"/>
          <w:i/>
          <w:iCs/>
          <w:noProof/>
          <w:szCs w:val="24"/>
        </w:rPr>
        <w:t>Cell</w:t>
      </w:r>
      <w:r w:rsidRPr="0088562C">
        <w:rPr>
          <w:rFonts w:ascii="Arial" w:hAnsi="Arial" w:cs="Arial"/>
          <w:noProof/>
          <w:szCs w:val="24"/>
        </w:rPr>
        <w:t xml:space="preserve"> </w:t>
      </w:r>
      <w:r w:rsidRPr="0088562C">
        <w:rPr>
          <w:rFonts w:ascii="Arial" w:hAnsi="Arial" w:cs="Arial"/>
          <w:i/>
          <w:iCs/>
          <w:noProof/>
          <w:szCs w:val="24"/>
        </w:rPr>
        <w:t>183</w:t>
      </w:r>
      <w:r w:rsidRPr="0088562C">
        <w:rPr>
          <w:rFonts w:ascii="Arial" w:hAnsi="Arial" w:cs="Arial"/>
          <w:noProof/>
          <w:szCs w:val="24"/>
        </w:rPr>
        <w:t>, 730-738.e13.</w:t>
      </w:r>
    </w:p>
    <w:p w14:paraId="55DA0212"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(33) Behrens, A. J., Struwe, W. B., and Crispin, M. (2017) Glycosylation profiling to evaluate glycoprotein immunogens against HIV-1. </w:t>
      </w:r>
      <w:r w:rsidRPr="0088562C">
        <w:rPr>
          <w:rFonts w:ascii="Arial" w:hAnsi="Arial" w:cs="Arial"/>
          <w:i/>
          <w:iCs/>
          <w:noProof/>
          <w:szCs w:val="24"/>
        </w:rPr>
        <w:t>Expert Rev. Proteomics</w:t>
      </w:r>
      <w:r w:rsidRPr="0088562C">
        <w:rPr>
          <w:rFonts w:ascii="Arial" w:hAnsi="Arial" w:cs="Arial"/>
          <w:noProof/>
          <w:szCs w:val="24"/>
        </w:rPr>
        <w:t>.</w:t>
      </w:r>
    </w:p>
    <w:p w14:paraId="278E5C8F"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(34) Watanabe, Y., Bowden, T. A., Wilson, I. A., and Crispin, M. (2019) Exploitation of glycosylation in enveloped virus pathobiology. </w:t>
      </w:r>
      <w:r w:rsidRPr="0088562C">
        <w:rPr>
          <w:rFonts w:ascii="Arial" w:hAnsi="Arial" w:cs="Arial"/>
          <w:i/>
          <w:iCs/>
          <w:noProof/>
          <w:szCs w:val="24"/>
        </w:rPr>
        <w:t>Biochim. Biophys. Acta - Gen. Subj.</w:t>
      </w:r>
    </w:p>
    <w:p w14:paraId="1B81B105"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(35) Behrens, A. J., Vasiljevic, S., Pritchard, L. K., Harvey, D. J., Andev, R. S., Krumm, S. A., Struwe, W. B., Cupo, A., Kumar, A., Zitzmann, N., Seabright, G. E., Kramer, H. B., Spencer, D. I. R., Royle, L., Lee, J. H., Klasse, P. J., Burton, D. R., Wilson, I. A., Ward, A. B., Sanders, R. W., Moore, J. P., Doores, K. J., and Crispin, M. (2016) Composition and Antigenic Effects of Individual Glycan Sites of a Trimeric HIV-1 Envelope Glycoprotein. </w:t>
      </w:r>
      <w:r w:rsidRPr="0088562C">
        <w:rPr>
          <w:rFonts w:ascii="Arial" w:hAnsi="Arial" w:cs="Arial"/>
          <w:i/>
          <w:iCs/>
          <w:noProof/>
          <w:szCs w:val="24"/>
        </w:rPr>
        <w:t>Cell Rep.</w:t>
      </w:r>
      <w:r w:rsidRPr="0088562C">
        <w:rPr>
          <w:rFonts w:ascii="Arial" w:hAnsi="Arial" w:cs="Arial"/>
          <w:noProof/>
          <w:szCs w:val="24"/>
        </w:rPr>
        <w:t xml:space="preserve"> </w:t>
      </w:r>
      <w:r w:rsidRPr="0088562C">
        <w:rPr>
          <w:rFonts w:ascii="Arial" w:hAnsi="Arial" w:cs="Arial"/>
          <w:i/>
          <w:iCs/>
          <w:noProof/>
          <w:szCs w:val="24"/>
        </w:rPr>
        <w:t>14</w:t>
      </w:r>
      <w:r w:rsidRPr="0088562C">
        <w:rPr>
          <w:rFonts w:ascii="Arial" w:hAnsi="Arial" w:cs="Arial"/>
          <w:noProof/>
          <w:szCs w:val="24"/>
        </w:rPr>
        <w:t>, 2695–2706.</w:t>
      </w:r>
    </w:p>
    <w:p w14:paraId="5970C2D7"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(36) Cipollo, J. F., and Parsons, L. M. (2020) Glycomics and glycoproteomics of viruses: Mass spectrometry applications and insights toward structure–function relationships. </w:t>
      </w:r>
      <w:r w:rsidRPr="0088562C">
        <w:rPr>
          <w:rFonts w:ascii="Arial" w:hAnsi="Arial" w:cs="Arial"/>
          <w:i/>
          <w:iCs/>
          <w:noProof/>
          <w:szCs w:val="24"/>
        </w:rPr>
        <w:t>Mass Spectrom. Rev.</w:t>
      </w:r>
      <w:r w:rsidRPr="0088562C">
        <w:rPr>
          <w:rFonts w:ascii="Arial" w:hAnsi="Arial" w:cs="Arial"/>
          <w:noProof/>
          <w:szCs w:val="24"/>
        </w:rPr>
        <w:t xml:space="preserve"> </w:t>
      </w:r>
      <w:r w:rsidRPr="0088562C">
        <w:rPr>
          <w:rFonts w:ascii="Arial" w:hAnsi="Arial" w:cs="Arial"/>
          <w:i/>
          <w:iCs/>
          <w:noProof/>
          <w:szCs w:val="24"/>
        </w:rPr>
        <w:t>39</w:t>
      </w:r>
      <w:r w:rsidRPr="0088562C">
        <w:rPr>
          <w:rFonts w:ascii="Arial" w:hAnsi="Arial" w:cs="Arial"/>
          <w:noProof/>
          <w:szCs w:val="24"/>
        </w:rPr>
        <w:t>, 371–409.</w:t>
      </w:r>
    </w:p>
    <w:p w14:paraId="55EF8A85"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(37) Bagdonaite, I., and Wandall, H. H. (2018, July 1) Global aspects of viral glycosylation. </w:t>
      </w:r>
      <w:r w:rsidRPr="0088562C">
        <w:rPr>
          <w:rFonts w:ascii="Arial" w:hAnsi="Arial" w:cs="Arial"/>
          <w:i/>
          <w:iCs/>
          <w:noProof/>
          <w:szCs w:val="24"/>
        </w:rPr>
        <w:t>Glycobiology</w:t>
      </w:r>
      <w:r w:rsidRPr="0088562C">
        <w:rPr>
          <w:rFonts w:ascii="Arial" w:hAnsi="Arial" w:cs="Arial"/>
          <w:noProof/>
          <w:szCs w:val="24"/>
        </w:rPr>
        <w:t>. Oxford University Press.</w:t>
      </w:r>
    </w:p>
    <w:p w14:paraId="61A1F70B"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(38) Wang, D., Baudys, J., Bundy, J. L., Solano, M., Keppel, T., and Barr, J. R. (2020) Comprehensive Analysis of the Glycan Complement of SARS-CoV-2 Spike Proteins Using Signature Ions-Triggered Electron-Transfer/Higher-Energy Collisional Dissociation (EThcD) Mass Spectrometry. </w:t>
      </w:r>
      <w:r w:rsidRPr="0088562C">
        <w:rPr>
          <w:rFonts w:ascii="Arial" w:hAnsi="Arial" w:cs="Arial"/>
          <w:i/>
          <w:iCs/>
          <w:noProof/>
          <w:szCs w:val="24"/>
        </w:rPr>
        <w:t>Anal. Chem.</w:t>
      </w:r>
      <w:r w:rsidRPr="0088562C">
        <w:rPr>
          <w:rFonts w:ascii="Arial" w:hAnsi="Arial" w:cs="Arial"/>
          <w:noProof/>
          <w:szCs w:val="24"/>
        </w:rPr>
        <w:t xml:space="preserve"> </w:t>
      </w:r>
      <w:r w:rsidRPr="0088562C">
        <w:rPr>
          <w:rFonts w:ascii="Arial" w:hAnsi="Arial" w:cs="Arial"/>
          <w:i/>
          <w:iCs/>
          <w:noProof/>
          <w:szCs w:val="24"/>
        </w:rPr>
        <w:t>92</w:t>
      </w:r>
      <w:r w:rsidRPr="0088562C">
        <w:rPr>
          <w:rFonts w:ascii="Arial" w:hAnsi="Arial" w:cs="Arial"/>
          <w:noProof/>
          <w:szCs w:val="24"/>
        </w:rPr>
        <w:t>, 14730–14739.</w:t>
      </w:r>
    </w:p>
    <w:p w14:paraId="1D8F3BF6"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(39) Bangaru, S., Ozorowski, G., Turner, H. L., Antanasijevic, A., Huang, D., Wang, X., </w:t>
      </w:r>
      <w:r w:rsidRPr="0088562C">
        <w:rPr>
          <w:rFonts w:ascii="Arial" w:hAnsi="Arial" w:cs="Arial"/>
          <w:noProof/>
          <w:szCs w:val="24"/>
        </w:rPr>
        <w:lastRenderedPageBreak/>
        <w:t xml:space="preserve">Torres, J. L., Diedrich, J. K., Tian, J. H., Portnoff, A. D., Patel, N., Massare, M. J., Yates, J. R., Nemazee, D., Paulson, J. C., Glenn, G., Smith, G., and Ward, A. B. (2020) Structural analysis of full-length SARS-CoV-2 spike protein from an advanced vaccine candidate. </w:t>
      </w:r>
      <w:r w:rsidRPr="0088562C">
        <w:rPr>
          <w:rFonts w:ascii="Arial" w:hAnsi="Arial" w:cs="Arial"/>
          <w:i/>
          <w:iCs/>
          <w:noProof/>
          <w:szCs w:val="24"/>
        </w:rPr>
        <w:t>Science</w:t>
      </w:r>
      <w:r w:rsidRPr="0088562C">
        <w:rPr>
          <w:rFonts w:ascii="Arial" w:hAnsi="Arial" w:cs="Arial"/>
          <w:noProof/>
          <w:szCs w:val="24"/>
        </w:rPr>
        <w:t xml:space="preserve"> </w:t>
      </w:r>
      <w:r w:rsidRPr="0088562C">
        <w:rPr>
          <w:rFonts w:ascii="Arial" w:hAnsi="Arial" w:cs="Arial"/>
          <w:i/>
          <w:iCs/>
          <w:noProof/>
          <w:szCs w:val="24"/>
        </w:rPr>
        <w:t>370</w:t>
      </w:r>
      <w:r w:rsidRPr="0088562C">
        <w:rPr>
          <w:rFonts w:ascii="Arial" w:hAnsi="Arial" w:cs="Arial"/>
          <w:noProof/>
          <w:szCs w:val="24"/>
        </w:rPr>
        <w:t>, 1089–1094.</w:t>
      </w:r>
    </w:p>
    <w:p w14:paraId="1AFC137A"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(40) Watanabe, Y., Mendonça, L., Allen, E. R., Howe, A., Lee, M., Allen, J. D., Chawla, H., Pulido, D., Donnellan, F., Davies, H., Ulaszewska, M., Belij-Rammerstorfer, S., Morris, S., Krebs, A. S., Dejnirattisai, W., Mongkolsapaya, J., Supasa, P., Screaton, G. R., Green, C. M., Lambe, T., Zhang, P., Gilbert, S. C., and Crispin, M. (2021) Native-like SARS-CoV-2 Spike Glycoprotein Expressed by ChAdOx1 nCoV-19/AZD1222 Vaccine. </w:t>
      </w:r>
      <w:r w:rsidRPr="0088562C">
        <w:rPr>
          <w:rFonts w:ascii="Arial" w:hAnsi="Arial" w:cs="Arial"/>
          <w:i/>
          <w:iCs/>
          <w:noProof/>
          <w:szCs w:val="24"/>
        </w:rPr>
        <w:t>ACS Cent. Sci.</w:t>
      </w:r>
      <w:r w:rsidRPr="0088562C">
        <w:rPr>
          <w:rFonts w:ascii="Arial" w:hAnsi="Arial" w:cs="Arial"/>
          <w:noProof/>
          <w:szCs w:val="24"/>
        </w:rPr>
        <w:t xml:space="preserve"> </w:t>
      </w:r>
      <w:r w:rsidRPr="0088562C">
        <w:rPr>
          <w:rFonts w:ascii="Arial" w:hAnsi="Arial" w:cs="Arial"/>
          <w:i/>
          <w:iCs/>
          <w:noProof/>
          <w:szCs w:val="24"/>
        </w:rPr>
        <w:t>7</w:t>
      </w:r>
      <w:r w:rsidRPr="0088562C">
        <w:rPr>
          <w:rFonts w:ascii="Arial" w:hAnsi="Arial" w:cs="Arial"/>
          <w:noProof/>
          <w:szCs w:val="24"/>
        </w:rPr>
        <w:t>, 594–602.</w:t>
      </w:r>
    </w:p>
    <w:p w14:paraId="5383F142"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(41) Gstöttner, C., Zhang, T., Resemann, A., Ruben, S., Pengelley, S., Suckau, D., Welsink, T., Wuhrer, M., and Domínguez-Vega, E. (2021) Structural and Functional Characterization of SARS-CoV-2 RBD Domains Produced in Mammalian Cells. </w:t>
      </w:r>
      <w:r w:rsidRPr="0088562C">
        <w:rPr>
          <w:rFonts w:ascii="Arial" w:hAnsi="Arial" w:cs="Arial"/>
          <w:i/>
          <w:iCs/>
          <w:noProof/>
          <w:szCs w:val="24"/>
        </w:rPr>
        <w:t>Anal. Chem.</w:t>
      </w:r>
      <w:r w:rsidRPr="0088562C">
        <w:rPr>
          <w:rFonts w:ascii="Arial" w:hAnsi="Arial" w:cs="Arial"/>
          <w:noProof/>
          <w:szCs w:val="24"/>
        </w:rPr>
        <w:t xml:space="preserve"> </w:t>
      </w:r>
      <w:r w:rsidRPr="0088562C">
        <w:rPr>
          <w:rFonts w:ascii="Arial" w:hAnsi="Arial" w:cs="Arial"/>
          <w:i/>
          <w:iCs/>
          <w:noProof/>
          <w:szCs w:val="24"/>
        </w:rPr>
        <w:t>93</w:t>
      </w:r>
      <w:r w:rsidRPr="0088562C">
        <w:rPr>
          <w:rFonts w:ascii="Arial" w:hAnsi="Arial" w:cs="Arial"/>
          <w:noProof/>
          <w:szCs w:val="24"/>
        </w:rPr>
        <w:t>, 6839–6847.</w:t>
      </w:r>
    </w:p>
    <w:p w14:paraId="07CB44D3"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(42) Antonopoulos, A., Broome, S., Sharov, V., Ziegenfuss, C., Easton, R. L., Panico, M., Dell, A., Morris, H. R., and Haslam, S. M. (2021) Site-specific characterization of SARS-CoV-2 spike glycoprotein receptor-binding domain. </w:t>
      </w:r>
      <w:r w:rsidRPr="0088562C">
        <w:rPr>
          <w:rFonts w:ascii="Arial" w:hAnsi="Arial" w:cs="Arial"/>
          <w:i/>
          <w:iCs/>
          <w:noProof/>
          <w:szCs w:val="24"/>
        </w:rPr>
        <w:t>Glycobiology</w:t>
      </w:r>
      <w:r w:rsidRPr="0088562C">
        <w:rPr>
          <w:rFonts w:ascii="Arial" w:hAnsi="Arial" w:cs="Arial"/>
          <w:noProof/>
          <w:szCs w:val="24"/>
        </w:rPr>
        <w:t xml:space="preserve"> </w:t>
      </w:r>
      <w:r w:rsidRPr="0088562C">
        <w:rPr>
          <w:rFonts w:ascii="Arial" w:hAnsi="Arial" w:cs="Arial"/>
          <w:i/>
          <w:iCs/>
          <w:noProof/>
          <w:szCs w:val="24"/>
        </w:rPr>
        <w:t>31</w:t>
      </w:r>
      <w:r w:rsidRPr="0088562C">
        <w:rPr>
          <w:rFonts w:ascii="Arial" w:hAnsi="Arial" w:cs="Arial"/>
          <w:noProof/>
          <w:szCs w:val="24"/>
        </w:rPr>
        <w:t>, 181–187.</w:t>
      </w:r>
    </w:p>
    <w:p w14:paraId="1C1C0FF2"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(43) Morley, G. L., Taylor, S., Jossi, S., Perez-Toledo, M., Faustini, S. E., Marcial-Juarez, E., Shields, A. M., Goodall, M., Allen, J. D., Watanabe, Y., Newby, M. L., Crispin, M., Drayson, M. T., Cunningham, A. F., Richter, A. G., and O’Shea, M. K. (2020) Sensitive detection of SARS-CoV-2-Specific antibodies in dried blood spot samples. </w:t>
      </w:r>
      <w:r w:rsidRPr="0088562C">
        <w:rPr>
          <w:rFonts w:ascii="Arial" w:hAnsi="Arial" w:cs="Arial"/>
          <w:i/>
          <w:iCs/>
          <w:noProof/>
          <w:szCs w:val="24"/>
        </w:rPr>
        <w:t>Emerg. Infect. Dis.</w:t>
      </w:r>
      <w:r w:rsidRPr="0088562C">
        <w:rPr>
          <w:rFonts w:ascii="Arial" w:hAnsi="Arial" w:cs="Arial"/>
          <w:noProof/>
          <w:szCs w:val="24"/>
        </w:rPr>
        <w:t xml:space="preserve"> </w:t>
      </w:r>
      <w:r w:rsidRPr="0088562C">
        <w:rPr>
          <w:rFonts w:ascii="Arial" w:hAnsi="Arial" w:cs="Arial"/>
          <w:i/>
          <w:iCs/>
          <w:noProof/>
          <w:szCs w:val="24"/>
        </w:rPr>
        <w:t>26</w:t>
      </w:r>
      <w:r w:rsidRPr="0088562C">
        <w:rPr>
          <w:rFonts w:ascii="Arial" w:hAnsi="Arial" w:cs="Arial"/>
          <w:noProof/>
          <w:szCs w:val="24"/>
        </w:rPr>
        <w:t>, 2970–2973.</w:t>
      </w:r>
    </w:p>
    <w:p w14:paraId="7B9C80B7"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(44) Faustini, S. E., Jossi, S. E., Perez</w:t>
      </w:r>
      <w:r w:rsidRPr="0088562C">
        <w:rPr>
          <w:rFonts w:ascii="Cambria Math" w:hAnsi="Cambria Math" w:cs="Cambria Math"/>
          <w:noProof/>
          <w:szCs w:val="24"/>
        </w:rPr>
        <w:t>‐</w:t>
      </w:r>
      <w:r w:rsidRPr="0088562C">
        <w:rPr>
          <w:rFonts w:ascii="Arial" w:hAnsi="Arial" w:cs="Arial"/>
          <w:noProof/>
          <w:szCs w:val="24"/>
        </w:rPr>
        <w:t>Toledo, M., Shields, A. M., Allen, J. D., Watanabe, Y., Newby, M. L., Cook, A., Willcox, C. R., Salim, M., Goodall, M., Heaney, J. L., Marcial</w:t>
      </w:r>
      <w:r w:rsidRPr="0088562C">
        <w:rPr>
          <w:rFonts w:ascii="Cambria Math" w:hAnsi="Cambria Math" w:cs="Cambria Math"/>
          <w:noProof/>
          <w:szCs w:val="24"/>
        </w:rPr>
        <w:t>‐</w:t>
      </w:r>
      <w:r w:rsidRPr="0088562C">
        <w:rPr>
          <w:rFonts w:ascii="Arial" w:hAnsi="Arial" w:cs="Arial"/>
          <w:noProof/>
          <w:szCs w:val="24"/>
        </w:rPr>
        <w:t>Juarez, E., Morley, G. L., Torlinska, B., Wraith, D. C., Veenith, T. V., Harding, S., Jolles, S., Ponsford, M. J., Plant, T., Huissoon, A., O’Shea, M. K., Willcox, B. E., Drayson, M. T., Crispin, M., Cunningham, A. F., and Richter, A. G. (2021) Development of a high sensitivity ELISA detecting IgG, A &amp; M antibodies to the SARS</w:t>
      </w:r>
      <w:r w:rsidRPr="0088562C">
        <w:rPr>
          <w:rFonts w:ascii="Cambria Math" w:hAnsi="Cambria Math" w:cs="Cambria Math"/>
          <w:noProof/>
          <w:szCs w:val="24"/>
        </w:rPr>
        <w:t>‐</w:t>
      </w:r>
      <w:r w:rsidRPr="0088562C">
        <w:rPr>
          <w:rFonts w:ascii="Arial" w:hAnsi="Arial" w:cs="Arial"/>
          <w:noProof/>
          <w:szCs w:val="24"/>
        </w:rPr>
        <w:t>CoV</w:t>
      </w:r>
      <w:r w:rsidRPr="0088562C">
        <w:rPr>
          <w:rFonts w:ascii="Cambria Math" w:hAnsi="Cambria Math" w:cs="Cambria Math"/>
          <w:noProof/>
          <w:szCs w:val="24"/>
        </w:rPr>
        <w:t>‐</w:t>
      </w:r>
      <w:r w:rsidRPr="0088562C">
        <w:rPr>
          <w:rFonts w:ascii="Arial" w:hAnsi="Arial" w:cs="Arial"/>
          <w:noProof/>
          <w:szCs w:val="24"/>
        </w:rPr>
        <w:t xml:space="preserve">2 spike glycoprotein in serum and saliva. </w:t>
      </w:r>
      <w:r w:rsidRPr="0088562C">
        <w:rPr>
          <w:rFonts w:ascii="Arial" w:hAnsi="Arial" w:cs="Arial"/>
          <w:i/>
          <w:iCs/>
          <w:noProof/>
          <w:szCs w:val="24"/>
        </w:rPr>
        <w:t>Immunology</w:t>
      </w:r>
      <w:r w:rsidRPr="0088562C">
        <w:rPr>
          <w:rFonts w:ascii="Arial" w:hAnsi="Arial" w:cs="Arial"/>
          <w:noProof/>
          <w:szCs w:val="24"/>
        </w:rPr>
        <w:t xml:space="preserve"> </w:t>
      </w:r>
      <w:r w:rsidRPr="0088562C">
        <w:rPr>
          <w:rFonts w:ascii="Arial" w:hAnsi="Arial" w:cs="Arial"/>
          <w:i/>
          <w:iCs/>
          <w:noProof/>
          <w:szCs w:val="24"/>
        </w:rPr>
        <w:t>00</w:t>
      </w:r>
      <w:r w:rsidRPr="0088562C">
        <w:rPr>
          <w:rFonts w:ascii="Arial" w:hAnsi="Arial" w:cs="Arial"/>
          <w:noProof/>
          <w:szCs w:val="24"/>
        </w:rPr>
        <w:t>, 1–13.</w:t>
      </w:r>
    </w:p>
    <w:p w14:paraId="3E02E976"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(45) Cook, A. M., Faustini, S. E., Williams, L. J., Cunningham, A. F., Drayson, M. T., Shields, A. M., Kay, D., Taylor, L., Plant, T., Huissoon, A., Wallis, G., Beck, S., Jossi, S. E., Perez-Toledo, M., Newby, M. L., Allen, J. D., Crispin, M., Harding, S., and Richter, A. G. (2021) Validation of a combined ELISA to detect IgG, IgA and IgM antibody responses to SARS-CoV-2 in mild or moderate non-hospitalised patients. </w:t>
      </w:r>
      <w:r w:rsidRPr="0088562C">
        <w:rPr>
          <w:rFonts w:ascii="Arial" w:hAnsi="Arial" w:cs="Arial"/>
          <w:i/>
          <w:iCs/>
          <w:noProof/>
          <w:szCs w:val="24"/>
        </w:rPr>
        <w:t>J. Immunol. Methods</w:t>
      </w:r>
      <w:r w:rsidRPr="0088562C">
        <w:rPr>
          <w:rFonts w:ascii="Arial" w:hAnsi="Arial" w:cs="Arial"/>
          <w:noProof/>
          <w:szCs w:val="24"/>
        </w:rPr>
        <w:t xml:space="preserve"> </w:t>
      </w:r>
      <w:r w:rsidRPr="0088562C">
        <w:rPr>
          <w:rFonts w:ascii="Arial" w:hAnsi="Arial" w:cs="Arial"/>
          <w:i/>
          <w:iCs/>
          <w:noProof/>
          <w:szCs w:val="24"/>
        </w:rPr>
        <w:t>494</w:t>
      </w:r>
      <w:r w:rsidRPr="0088562C">
        <w:rPr>
          <w:rFonts w:ascii="Arial" w:hAnsi="Arial" w:cs="Arial"/>
          <w:noProof/>
          <w:szCs w:val="24"/>
        </w:rPr>
        <w:t>, 113046.</w:t>
      </w:r>
    </w:p>
    <w:p w14:paraId="10C32CCF"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(46) Shields, A., Faustini, S. E., Perez-Toledo, M., Jossi, S., Aldera, E., Allen, J. D., Al-Taei, </w:t>
      </w:r>
      <w:r w:rsidRPr="0088562C">
        <w:rPr>
          <w:rFonts w:ascii="Arial" w:hAnsi="Arial" w:cs="Arial"/>
          <w:noProof/>
          <w:szCs w:val="24"/>
        </w:rPr>
        <w:lastRenderedPageBreak/>
        <w:t xml:space="preserve">S., Backhouse, C., Bosworth, A., Dunbar, L. A., Ebanks, D., Emmanuel, B., Garvey, M., Gray, J., Kidd, I. M., McGinnell, G., McLoughlin, D. E., Morley, G., O’Neill, J., Papakonstantinou, D., Pickles, O., Poxon, C., Richter, M., Walker, E. M., Wanigasooriya, K., Watanabe, Y., Whalley, C., Zielinska, A. E., Crispin, M., Wraith, D. C., Beggs, A. D., Cunningham, A. F., Drayson, M. T., and Richter, A. G. (2020) SARS-CoV-2 seroprevalence and asymptomatic viral carriage in healthcare workers: A cross-sectional study. </w:t>
      </w:r>
      <w:r w:rsidRPr="0088562C">
        <w:rPr>
          <w:rFonts w:ascii="Arial" w:hAnsi="Arial" w:cs="Arial"/>
          <w:i/>
          <w:iCs/>
          <w:noProof/>
          <w:szCs w:val="24"/>
        </w:rPr>
        <w:t>Thorax</w:t>
      </w:r>
      <w:r w:rsidRPr="0088562C">
        <w:rPr>
          <w:rFonts w:ascii="Arial" w:hAnsi="Arial" w:cs="Arial"/>
          <w:noProof/>
          <w:szCs w:val="24"/>
        </w:rPr>
        <w:t xml:space="preserve"> </w:t>
      </w:r>
      <w:r w:rsidRPr="0088562C">
        <w:rPr>
          <w:rFonts w:ascii="Arial" w:hAnsi="Arial" w:cs="Arial"/>
          <w:i/>
          <w:iCs/>
          <w:noProof/>
          <w:szCs w:val="24"/>
        </w:rPr>
        <w:t>75</w:t>
      </w:r>
      <w:r w:rsidRPr="0088562C">
        <w:rPr>
          <w:rFonts w:ascii="Arial" w:hAnsi="Arial" w:cs="Arial"/>
          <w:noProof/>
          <w:szCs w:val="24"/>
        </w:rPr>
        <w:t>, 1089–1094.</w:t>
      </w:r>
    </w:p>
    <w:p w14:paraId="2A9ACBFB"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(47) Behrens, A.-J., Harvey, D. J., Milne, E., Cupo, A., Kumar, A., Zitzmann, N., Struwe, W. B., Moore, J. P., and Crispin, M. (2017) Molecular Architecture of the Cleavage-Dependent Mannose Patch on a Soluble HIV-1 Envelope Glycoprotein Trimer. </w:t>
      </w:r>
      <w:r w:rsidRPr="0088562C">
        <w:rPr>
          <w:rFonts w:ascii="Arial" w:hAnsi="Arial" w:cs="Arial"/>
          <w:i/>
          <w:iCs/>
          <w:noProof/>
          <w:szCs w:val="24"/>
        </w:rPr>
        <w:t>J. Virol.</w:t>
      </w:r>
      <w:r w:rsidRPr="0088562C">
        <w:rPr>
          <w:rFonts w:ascii="Arial" w:hAnsi="Arial" w:cs="Arial"/>
          <w:noProof/>
          <w:szCs w:val="24"/>
        </w:rPr>
        <w:t xml:space="preserve"> </w:t>
      </w:r>
      <w:r w:rsidRPr="0088562C">
        <w:rPr>
          <w:rFonts w:ascii="Arial" w:hAnsi="Arial" w:cs="Arial"/>
          <w:i/>
          <w:iCs/>
          <w:noProof/>
          <w:szCs w:val="24"/>
        </w:rPr>
        <w:t>91</w:t>
      </w:r>
      <w:r w:rsidRPr="0088562C">
        <w:rPr>
          <w:rFonts w:ascii="Arial" w:hAnsi="Arial" w:cs="Arial"/>
          <w:noProof/>
          <w:szCs w:val="24"/>
        </w:rPr>
        <w:t>, e01894-16.</w:t>
      </w:r>
    </w:p>
    <w:p w14:paraId="0F901A4D"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(48) Tai, W., He, L., Zhang, X., Pu, J., Voronin, D., Jiang, S., Zhou, Y., and Du, L. (2020) Characterization of the receptor-binding domain (RBD) of 2019 novel coronavirus: implication for development of RBD protein as a viral attachment inhibitor and vaccine. </w:t>
      </w:r>
      <w:r w:rsidRPr="0088562C">
        <w:rPr>
          <w:rFonts w:ascii="Arial" w:hAnsi="Arial" w:cs="Arial"/>
          <w:i/>
          <w:iCs/>
          <w:noProof/>
          <w:szCs w:val="24"/>
        </w:rPr>
        <w:t>Cell. Mol. Immunol.</w:t>
      </w:r>
      <w:r w:rsidRPr="0088562C">
        <w:rPr>
          <w:rFonts w:ascii="Arial" w:hAnsi="Arial" w:cs="Arial"/>
          <w:noProof/>
          <w:szCs w:val="24"/>
        </w:rPr>
        <w:t xml:space="preserve"> </w:t>
      </w:r>
      <w:r w:rsidRPr="0088562C">
        <w:rPr>
          <w:rFonts w:ascii="Arial" w:hAnsi="Arial" w:cs="Arial"/>
          <w:i/>
          <w:iCs/>
          <w:noProof/>
          <w:szCs w:val="24"/>
        </w:rPr>
        <w:t>17</w:t>
      </w:r>
      <w:r w:rsidRPr="0088562C">
        <w:rPr>
          <w:rFonts w:ascii="Arial" w:hAnsi="Arial" w:cs="Arial"/>
          <w:noProof/>
          <w:szCs w:val="24"/>
        </w:rPr>
        <w:t>, 613–620.</w:t>
      </w:r>
    </w:p>
    <w:p w14:paraId="264DC5B4"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(49) Stadlbauer, D., Amanat, F., Chromikova, V., Jiang, K., Strohmeier, S., Arunkumar, G. A., Tan, J., Bhavsar, D., Capuano, C., Kirkpatrick, E., Meade, P., Brito, R. N., Teo, C., McMahon, M., Simon, V., and Krammer, F. (2020) SARS-CoV-2 Seroconversion in Humans: A Detailed Protocol for a Serological Assay, Antigen Production, and Test Setup. </w:t>
      </w:r>
      <w:r w:rsidRPr="0088562C">
        <w:rPr>
          <w:rFonts w:ascii="Arial" w:hAnsi="Arial" w:cs="Arial"/>
          <w:i/>
          <w:iCs/>
          <w:noProof/>
          <w:szCs w:val="24"/>
        </w:rPr>
        <w:t>Curr. Protoc. Microbiol.</w:t>
      </w:r>
      <w:r w:rsidRPr="0088562C">
        <w:rPr>
          <w:rFonts w:ascii="Arial" w:hAnsi="Arial" w:cs="Arial"/>
          <w:noProof/>
          <w:szCs w:val="24"/>
        </w:rPr>
        <w:t xml:space="preserve"> </w:t>
      </w:r>
      <w:r w:rsidRPr="0088562C">
        <w:rPr>
          <w:rFonts w:ascii="Arial" w:hAnsi="Arial" w:cs="Arial"/>
          <w:i/>
          <w:iCs/>
          <w:noProof/>
          <w:szCs w:val="24"/>
        </w:rPr>
        <w:t>57</w:t>
      </w:r>
      <w:r w:rsidRPr="0088562C">
        <w:rPr>
          <w:rFonts w:ascii="Arial" w:hAnsi="Arial" w:cs="Arial"/>
          <w:noProof/>
          <w:szCs w:val="24"/>
        </w:rPr>
        <w:t>.</w:t>
      </w:r>
    </w:p>
    <w:p w14:paraId="10A65A0B"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(50) Pallesen, J., Wang, N., Corbett, K. S., Wrapp, D., Kirchdoerfer, R. N., Turner, H. L., Cottrell, C. A., Becker, M. M., Wang, L., Shi, W., Kong, W. P., Andres, E. L., Kettenbach, A. N., Denison, M. R., Chappell, J. D., Graham, B. S., Ward, A. B., and McLellan, J. S. (2017) Immunogenicity and structures of a rationally designed prefusion MERS-CoV spike antigen. </w:t>
      </w:r>
      <w:r w:rsidRPr="0088562C">
        <w:rPr>
          <w:rFonts w:ascii="Arial" w:hAnsi="Arial" w:cs="Arial"/>
          <w:i/>
          <w:iCs/>
          <w:noProof/>
          <w:szCs w:val="24"/>
        </w:rPr>
        <w:t>Proc. Natl. Acad. Sci. U. S. A.</w:t>
      </w:r>
      <w:r w:rsidRPr="0088562C">
        <w:rPr>
          <w:rFonts w:ascii="Arial" w:hAnsi="Arial" w:cs="Arial"/>
          <w:noProof/>
          <w:szCs w:val="24"/>
        </w:rPr>
        <w:t xml:space="preserve"> </w:t>
      </w:r>
      <w:r w:rsidRPr="0088562C">
        <w:rPr>
          <w:rFonts w:ascii="Arial" w:hAnsi="Arial" w:cs="Arial"/>
          <w:i/>
          <w:iCs/>
          <w:noProof/>
          <w:szCs w:val="24"/>
        </w:rPr>
        <w:t>114</w:t>
      </w:r>
      <w:r w:rsidRPr="0088562C">
        <w:rPr>
          <w:rFonts w:ascii="Arial" w:hAnsi="Arial" w:cs="Arial"/>
          <w:noProof/>
          <w:szCs w:val="24"/>
        </w:rPr>
        <w:t>, E7348–E7357.</w:t>
      </w:r>
    </w:p>
    <w:p w14:paraId="58D90EB1"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(51) Watanabe, Y., Berndsen, Z. T., Raghwani, J., Seabright, G. E., Allen, J. D., Pybus, O. G., McLellan, J. S., Wilson, I. A., Bowden, T. A., Ward, A. B., and Crispin, M. (2020) Vulnerabilities in coronavirus glycan shields despite extensive glycosylation. </w:t>
      </w:r>
      <w:r w:rsidRPr="0088562C">
        <w:rPr>
          <w:rFonts w:ascii="Arial" w:hAnsi="Arial" w:cs="Arial"/>
          <w:i/>
          <w:iCs/>
          <w:noProof/>
          <w:szCs w:val="24"/>
        </w:rPr>
        <w:t>Nat. Commun.</w:t>
      </w:r>
      <w:r w:rsidRPr="0088562C">
        <w:rPr>
          <w:rFonts w:ascii="Arial" w:hAnsi="Arial" w:cs="Arial"/>
          <w:noProof/>
          <w:szCs w:val="24"/>
        </w:rPr>
        <w:t xml:space="preserve"> </w:t>
      </w:r>
      <w:r w:rsidRPr="0088562C">
        <w:rPr>
          <w:rFonts w:ascii="Arial" w:hAnsi="Arial" w:cs="Arial"/>
          <w:i/>
          <w:iCs/>
          <w:noProof/>
          <w:szCs w:val="24"/>
        </w:rPr>
        <w:t>11</w:t>
      </w:r>
      <w:r w:rsidRPr="0088562C">
        <w:rPr>
          <w:rFonts w:ascii="Arial" w:hAnsi="Arial" w:cs="Arial"/>
          <w:noProof/>
          <w:szCs w:val="24"/>
        </w:rPr>
        <w:t>, 2688.</w:t>
      </w:r>
    </w:p>
    <w:p w14:paraId="1A158D12"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(52) Aricescu, A. R., Lu, W., and Jones, E. Y. (2006) A time- and cost-efficient system for high-level protein production in mammalian cells. </w:t>
      </w:r>
      <w:r w:rsidRPr="0088562C">
        <w:rPr>
          <w:rFonts w:ascii="Arial" w:hAnsi="Arial" w:cs="Arial"/>
          <w:i/>
          <w:iCs/>
          <w:noProof/>
          <w:szCs w:val="24"/>
        </w:rPr>
        <w:t>Acta Crystallogr. Sect. D Biol. Crystallogr.</w:t>
      </w:r>
      <w:r w:rsidRPr="0088562C">
        <w:rPr>
          <w:rFonts w:ascii="Arial" w:hAnsi="Arial" w:cs="Arial"/>
          <w:noProof/>
          <w:szCs w:val="24"/>
        </w:rPr>
        <w:t xml:space="preserve"> </w:t>
      </w:r>
      <w:r w:rsidRPr="0088562C">
        <w:rPr>
          <w:rFonts w:ascii="Arial" w:hAnsi="Arial" w:cs="Arial"/>
          <w:i/>
          <w:iCs/>
          <w:noProof/>
          <w:szCs w:val="24"/>
        </w:rPr>
        <w:t>62</w:t>
      </w:r>
      <w:r w:rsidRPr="0088562C">
        <w:rPr>
          <w:rFonts w:ascii="Arial" w:hAnsi="Arial" w:cs="Arial"/>
          <w:noProof/>
          <w:szCs w:val="24"/>
        </w:rPr>
        <w:t>, 1243–1250.</w:t>
      </w:r>
    </w:p>
    <w:p w14:paraId="47D1AD2D"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(53) Huo, J., Zhao, Y., Ren, J., Zhou, D., Duyvesteyn, H. M. E., Ginn, H. M., Carrique, L., Malinauskas, T., Ruza, R. R., Shah, P. N. M., Tan, T. K., Rijal, P., Coombes, N., Bewley, K. R., Tree, J. A., Radecke, J., Paterson, N. G., Supasa, P., Mongkolsapaya, J., Screaton, G. </w:t>
      </w:r>
      <w:r w:rsidRPr="0088562C">
        <w:rPr>
          <w:rFonts w:ascii="Arial" w:hAnsi="Arial" w:cs="Arial"/>
          <w:noProof/>
          <w:szCs w:val="24"/>
        </w:rPr>
        <w:lastRenderedPageBreak/>
        <w:t xml:space="preserve">R., Carroll, M., Townsend, A., Fry, E. E., Owens, R. J., and Stuart, D. I. (2020) Neutralization of SARS-CoV-2 by Destruction of the Prefusion Spike. </w:t>
      </w:r>
      <w:r w:rsidRPr="0088562C">
        <w:rPr>
          <w:rFonts w:ascii="Arial" w:hAnsi="Arial" w:cs="Arial"/>
          <w:i/>
          <w:iCs/>
          <w:noProof/>
          <w:szCs w:val="24"/>
        </w:rPr>
        <w:t>Cell Host Microbe</w:t>
      </w:r>
      <w:r w:rsidRPr="0088562C">
        <w:rPr>
          <w:rFonts w:ascii="Arial" w:hAnsi="Arial" w:cs="Arial"/>
          <w:noProof/>
          <w:szCs w:val="24"/>
        </w:rPr>
        <w:t xml:space="preserve"> </w:t>
      </w:r>
      <w:r w:rsidRPr="0088562C">
        <w:rPr>
          <w:rFonts w:ascii="Arial" w:hAnsi="Arial" w:cs="Arial"/>
          <w:i/>
          <w:iCs/>
          <w:noProof/>
          <w:szCs w:val="24"/>
        </w:rPr>
        <w:t>28</w:t>
      </w:r>
      <w:r w:rsidRPr="0088562C">
        <w:rPr>
          <w:rFonts w:ascii="Arial" w:hAnsi="Arial" w:cs="Arial"/>
          <w:noProof/>
          <w:szCs w:val="24"/>
        </w:rPr>
        <w:t>, 445-454.e6.</w:t>
      </w:r>
    </w:p>
    <w:p w14:paraId="51ED75AE"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(54) Pino, P., Kint, J., Kiseljak, D., Agnolon, V., Corradin, G., Kajava, A. V., Rovero, P., Dijkman, R., Hartog, G. Den, McLellan, J. S., Byrne, P. O., Wurm, M. J., and Wurm, F. M. (2020) Trimeric SARS-CoV-2 spike proteins produced from CHO cells in bioreactors are high-quality antigens. </w:t>
      </w:r>
      <w:r w:rsidRPr="0088562C">
        <w:rPr>
          <w:rFonts w:ascii="Arial" w:hAnsi="Arial" w:cs="Arial"/>
          <w:i/>
          <w:iCs/>
          <w:noProof/>
          <w:szCs w:val="24"/>
        </w:rPr>
        <w:t>Processes</w:t>
      </w:r>
      <w:r w:rsidRPr="0088562C">
        <w:rPr>
          <w:rFonts w:ascii="Arial" w:hAnsi="Arial" w:cs="Arial"/>
          <w:noProof/>
          <w:szCs w:val="24"/>
        </w:rPr>
        <w:t xml:space="preserve"> </w:t>
      </w:r>
      <w:r w:rsidRPr="0088562C">
        <w:rPr>
          <w:rFonts w:ascii="Arial" w:hAnsi="Arial" w:cs="Arial"/>
          <w:i/>
          <w:iCs/>
          <w:noProof/>
          <w:szCs w:val="24"/>
        </w:rPr>
        <w:t>8</w:t>
      </w:r>
      <w:r w:rsidRPr="0088562C">
        <w:rPr>
          <w:rFonts w:ascii="Arial" w:hAnsi="Arial" w:cs="Arial"/>
          <w:noProof/>
          <w:szCs w:val="24"/>
        </w:rPr>
        <w:t>, 1–11.</w:t>
      </w:r>
    </w:p>
    <w:p w14:paraId="1DC8885A"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(55) Šali, A., and Blundell, T. L. (1993) Comparative protein modelling by satisfaction of spatial restraints. </w:t>
      </w:r>
      <w:r w:rsidRPr="0088562C">
        <w:rPr>
          <w:rFonts w:ascii="Arial" w:hAnsi="Arial" w:cs="Arial"/>
          <w:i/>
          <w:iCs/>
          <w:noProof/>
          <w:szCs w:val="24"/>
        </w:rPr>
        <w:t>J. Mol. Biol.</w:t>
      </w:r>
      <w:r w:rsidRPr="0088562C">
        <w:rPr>
          <w:rFonts w:ascii="Arial" w:hAnsi="Arial" w:cs="Arial"/>
          <w:noProof/>
          <w:szCs w:val="24"/>
        </w:rPr>
        <w:t xml:space="preserve"> </w:t>
      </w:r>
      <w:r w:rsidRPr="0088562C">
        <w:rPr>
          <w:rFonts w:ascii="Arial" w:hAnsi="Arial" w:cs="Arial"/>
          <w:i/>
          <w:iCs/>
          <w:noProof/>
          <w:szCs w:val="24"/>
        </w:rPr>
        <w:t>234</w:t>
      </w:r>
      <w:r w:rsidRPr="0088562C">
        <w:rPr>
          <w:rFonts w:ascii="Arial" w:hAnsi="Arial" w:cs="Arial"/>
          <w:noProof/>
          <w:szCs w:val="24"/>
        </w:rPr>
        <w:t>, 779–815.</w:t>
      </w:r>
    </w:p>
    <w:p w14:paraId="3123AD01"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(56) Hakansson-McReynolds, S., Jiang, S., Rong, L., and Caffrey, M. (2006) Solution structure of the severe acute respiratory syndrome-coronavirus heptad repeat 2 domain in the prefusion state. </w:t>
      </w:r>
      <w:r w:rsidRPr="0088562C">
        <w:rPr>
          <w:rFonts w:ascii="Arial" w:hAnsi="Arial" w:cs="Arial"/>
          <w:i/>
          <w:iCs/>
          <w:noProof/>
          <w:szCs w:val="24"/>
        </w:rPr>
        <w:t>J. Biol. Chem.</w:t>
      </w:r>
      <w:r w:rsidRPr="0088562C">
        <w:rPr>
          <w:rFonts w:ascii="Arial" w:hAnsi="Arial" w:cs="Arial"/>
          <w:noProof/>
          <w:szCs w:val="24"/>
        </w:rPr>
        <w:t xml:space="preserve"> </w:t>
      </w:r>
      <w:r w:rsidRPr="0088562C">
        <w:rPr>
          <w:rFonts w:ascii="Arial" w:hAnsi="Arial" w:cs="Arial"/>
          <w:i/>
          <w:iCs/>
          <w:noProof/>
          <w:szCs w:val="24"/>
        </w:rPr>
        <w:t>281</w:t>
      </w:r>
      <w:r w:rsidRPr="0088562C">
        <w:rPr>
          <w:rFonts w:ascii="Arial" w:hAnsi="Arial" w:cs="Arial"/>
          <w:noProof/>
          <w:szCs w:val="24"/>
        </w:rPr>
        <w:t>, 11965–11971.</w:t>
      </w:r>
    </w:p>
    <w:p w14:paraId="40B0BDB4"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(57) Dev, J., Park, D., Fu, Q., Chen, J., Ha, H. J., Ghantous, F., Herrmann, T., Chang, W., Liu, Z., Frey, G., Seaman, M. S., Chen, B., and Chou, J. J. (2016) Structural basis for membrane anchoring of HIV-1 envelope spike. </w:t>
      </w:r>
      <w:r w:rsidRPr="0088562C">
        <w:rPr>
          <w:rFonts w:ascii="Arial" w:hAnsi="Arial" w:cs="Arial"/>
          <w:i/>
          <w:iCs/>
          <w:noProof/>
          <w:szCs w:val="24"/>
        </w:rPr>
        <w:t>Science</w:t>
      </w:r>
      <w:r w:rsidRPr="0088562C">
        <w:rPr>
          <w:rFonts w:ascii="Arial" w:hAnsi="Arial" w:cs="Arial"/>
          <w:noProof/>
          <w:szCs w:val="24"/>
        </w:rPr>
        <w:t xml:space="preserve"> </w:t>
      </w:r>
      <w:r w:rsidRPr="0088562C">
        <w:rPr>
          <w:rFonts w:ascii="Arial" w:hAnsi="Arial" w:cs="Arial"/>
          <w:i/>
          <w:iCs/>
          <w:noProof/>
          <w:szCs w:val="24"/>
        </w:rPr>
        <w:t>353</w:t>
      </w:r>
      <w:r w:rsidRPr="0088562C">
        <w:rPr>
          <w:rFonts w:ascii="Arial" w:hAnsi="Arial" w:cs="Arial"/>
          <w:noProof/>
          <w:szCs w:val="24"/>
        </w:rPr>
        <w:t>, 172–175.</w:t>
      </w:r>
    </w:p>
    <w:p w14:paraId="576A8106"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(58) Cai, Y., Zhang, J., Xiao, T., Peng, H., Sterling, S. M., Walsh, R. M., Rawson, S., Rits-Volloch, S., and Chen, B. (2020) Distinct conformational states of SARS-CoV-2 spike protein. </w:t>
      </w:r>
      <w:r w:rsidRPr="0088562C">
        <w:rPr>
          <w:rFonts w:ascii="Arial" w:hAnsi="Arial" w:cs="Arial"/>
          <w:i/>
          <w:iCs/>
          <w:noProof/>
          <w:szCs w:val="24"/>
        </w:rPr>
        <w:t>Science</w:t>
      </w:r>
      <w:r w:rsidRPr="0088562C">
        <w:rPr>
          <w:rFonts w:ascii="Arial" w:hAnsi="Arial" w:cs="Arial"/>
          <w:noProof/>
          <w:szCs w:val="24"/>
        </w:rPr>
        <w:t xml:space="preserve"> </w:t>
      </w:r>
      <w:r w:rsidRPr="0088562C">
        <w:rPr>
          <w:rFonts w:ascii="Arial" w:hAnsi="Arial" w:cs="Arial"/>
          <w:i/>
          <w:iCs/>
          <w:noProof/>
          <w:szCs w:val="24"/>
        </w:rPr>
        <w:t>369</w:t>
      </w:r>
      <w:r w:rsidRPr="0088562C">
        <w:rPr>
          <w:rFonts w:ascii="Arial" w:hAnsi="Arial" w:cs="Arial"/>
          <w:noProof/>
          <w:szCs w:val="24"/>
        </w:rPr>
        <w:t>.</w:t>
      </w:r>
    </w:p>
    <w:p w14:paraId="2BE4ACD5"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(59) Eramian, D., Shen, M., Devos, D., Melo, F., Sali, A., and Marti-Renom, M. A. (2006) A composite score for predicting errors in protein structure models. </w:t>
      </w:r>
      <w:r w:rsidRPr="0088562C">
        <w:rPr>
          <w:rFonts w:ascii="Arial" w:hAnsi="Arial" w:cs="Arial"/>
          <w:i/>
          <w:iCs/>
          <w:noProof/>
          <w:szCs w:val="24"/>
        </w:rPr>
        <w:t>Protein Sci.</w:t>
      </w:r>
      <w:r w:rsidRPr="0088562C">
        <w:rPr>
          <w:rFonts w:ascii="Arial" w:hAnsi="Arial" w:cs="Arial"/>
          <w:noProof/>
          <w:szCs w:val="24"/>
        </w:rPr>
        <w:t xml:space="preserve"> </w:t>
      </w:r>
      <w:r w:rsidRPr="0088562C">
        <w:rPr>
          <w:rFonts w:ascii="Arial" w:hAnsi="Arial" w:cs="Arial"/>
          <w:i/>
          <w:iCs/>
          <w:noProof/>
          <w:szCs w:val="24"/>
        </w:rPr>
        <w:t>15</w:t>
      </w:r>
      <w:r w:rsidRPr="0088562C">
        <w:rPr>
          <w:rFonts w:ascii="Arial" w:hAnsi="Arial" w:cs="Arial"/>
          <w:noProof/>
          <w:szCs w:val="24"/>
        </w:rPr>
        <w:t>, 1653–1666.</w:t>
      </w:r>
    </w:p>
    <w:p w14:paraId="7EC71F32"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(60) Ramachandran, G. N., Ramakrishnan, C., and Sasisekharan, V. (1963) Stereochemistry of polypeptide chain configurations. </w:t>
      </w:r>
      <w:r w:rsidRPr="0088562C">
        <w:rPr>
          <w:rFonts w:ascii="Arial" w:hAnsi="Arial" w:cs="Arial"/>
          <w:i/>
          <w:iCs/>
          <w:noProof/>
          <w:szCs w:val="24"/>
        </w:rPr>
        <w:t>J. Mol. Biol.</w:t>
      </w:r>
      <w:r w:rsidRPr="0088562C">
        <w:rPr>
          <w:rFonts w:ascii="Arial" w:hAnsi="Arial" w:cs="Arial"/>
          <w:noProof/>
          <w:szCs w:val="24"/>
        </w:rPr>
        <w:t xml:space="preserve"> J Mol Biol.</w:t>
      </w:r>
    </w:p>
    <w:p w14:paraId="3804CDBB"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(61) Park, S. J., Lee, J., Qi, Y., Kern, N. R., Lee, H. S., Jo, S., Joung, I., Joo, K., Lee, J., and Im, W. (2019) CHARMM-GUI Glycan Modeler for modeling and simulation of carbohydrates and glycoconjugates. </w:t>
      </w:r>
      <w:r w:rsidRPr="0088562C">
        <w:rPr>
          <w:rFonts w:ascii="Arial" w:hAnsi="Arial" w:cs="Arial"/>
          <w:i/>
          <w:iCs/>
          <w:noProof/>
          <w:szCs w:val="24"/>
        </w:rPr>
        <w:t>Glycobiology</w:t>
      </w:r>
      <w:r w:rsidRPr="0088562C">
        <w:rPr>
          <w:rFonts w:ascii="Arial" w:hAnsi="Arial" w:cs="Arial"/>
          <w:noProof/>
          <w:szCs w:val="24"/>
        </w:rPr>
        <w:t xml:space="preserve"> </w:t>
      </w:r>
      <w:r w:rsidRPr="0088562C">
        <w:rPr>
          <w:rFonts w:ascii="Arial" w:hAnsi="Arial" w:cs="Arial"/>
          <w:i/>
          <w:iCs/>
          <w:noProof/>
          <w:szCs w:val="24"/>
        </w:rPr>
        <w:t>29</w:t>
      </w:r>
      <w:r w:rsidRPr="0088562C">
        <w:rPr>
          <w:rFonts w:ascii="Arial" w:hAnsi="Arial" w:cs="Arial"/>
          <w:noProof/>
          <w:szCs w:val="24"/>
        </w:rPr>
        <w:t>, 320–331.</w:t>
      </w:r>
    </w:p>
    <w:p w14:paraId="2B554F7C"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(62) Petit, C. M., Chouljenko, V. N., Iyer, A., Colgrove, R., Farzan, M., Knipe, D. M., and Kousoulas, K. G. (2007) Palmitoylation of the cysteine-rich endodomain of the SARS-coronavirus spike glycoprotein is important for spike-mediated cell fusion. </w:t>
      </w:r>
      <w:r w:rsidRPr="0088562C">
        <w:rPr>
          <w:rFonts w:ascii="Arial" w:hAnsi="Arial" w:cs="Arial"/>
          <w:i/>
          <w:iCs/>
          <w:noProof/>
          <w:szCs w:val="24"/>
        </w:rPr>
        <w:t>Virology</w:t>
      </w:r>
      <w:r w:rsidRPr="0088562C">
        <w:rPr>
          <w:rFonts w:ascii="Arial" w:hAnsi="Arial" w:cs="Arial"/>
          <w:noProof/>
          <w:szCs w:val="24"/>
        </w:rPr>
        <w:t xml:space="preserve"> </w:t>
      </w:r>
      <w:r w:rsidRPr="0088562C">
        <w:rPr>
          <w:rFonts w:ascii="Arial" w:hAnsi="Arial" w:cs="Arial"/>
          <w:i/>
          <w:iCs/>
          <w:noProof/>
          <w:szCs w:val="24"/>
        </w:rPr>
        <w:t>360</w:t>
      </w:r>
      <w:r w:rsidRPr="0088562C">
        <w:rPr>
          <w:rFonts w:ascii="Arial" w:hAnsi="Arial" w:cs="Arial"/>
          <w:noProof/>
          <w:szCs w:val="24"/>
        </w:rPr>
        <w:t>, 264–274.</w:t>
      </w:r>
    </w:p>
    <w:p w14:paraId="02D705A4"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(63) Lee, J., Patel, D. S., Ståhle, J., Park, S. J., Kern, N. R., Kim, S., Lee, J., Cheng, X., Valvano, M. A., Holst, O., Knirel, Y. A., Qi, Y., Jo, S., Klauda, J. B., Widmalm, G., and Im, W. (2019) CHARMM-GUI Membrane Builder for Complex Biological Membrane Simulations with </w:t>
      </w:r>
      <w:r w:rsidRPr="0088562C">
        <w:rPr>
          <w:rFonts w:ascii="Arial" w:hAnsi="Arial" w:cs="Arial"/>
          <w:noProof/>
          <w:szCs w:val="24"/>
        </w:rPr>
        <w:lastRenderedPageBreak/>
        <w:t xml:space="preserve">Glycolipids and Lipoglycans. </w:t>
      </w:r>
      <w:r w:rsidRPr="0088562C">
        <w:rPr>
          <w:rFonts w:ascii="Arial" w:hAnsi="Arial" w:cs="Arial"/>
          <w:i/>
          <w:iCs/>
          <w:noProof/>
          <w:szCs w:val="24"/>
        </w:rPr>
        <w:t>J. Chem. Theory Comput.</w:t>
      </w:r>
      <w:r w:rsidRPr="0088562C">
        <w:rPr>
          <w:rFonts w:ascii="Arial" w:hAnsi="Arial" w:cs="Arial"/>
          <w:noProof/>
          <w:szCs w:val="24"/>
        </w:rPr>
        <w:t xml:space="preserve"> </w:t>
      </w:r>
      <w:r w:rsidRPr="0088562C">
        <w:rPr>
          <w:rFonts w:ascii="Arial" w:hAnsi="Arial" w:cs="Arial"/>
          <w:i/>
          <w:iCs/>
          <w:noProof/>
          <w:szCs w:val="24"/>
        </w:rPr>
        <w:t>15</w:t>
      </w:r>
      <w:r w:rsidRPr="0088562C">
        <w:rPr>
          <w:rFonts w:ascii="Arial" w:hAnsi="Arial" w:cs="Arial"/>
          <w:noProof/>
          <w:szCs w:val="24"/>
        </w:rPr>
        <w:t>, 775–786.</w:t>
      </w:r>
    </w:p>
    <w:p w14:paraId="0E0023E5"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(64) Casares, D., Escribá, P. V., and Rosselló, C. A. (2019) Membrane lipid composition: Effect on membrane and organelle structure, function and compartmentalization and therapeutic avenues. </w:t>
      </w:r>
      <w:r w:rsidRPr="0088562C">
        <w:rPr>
          <w:rFonts w:ascii="Arial" w:hAnsi="Arial" w:cs="Arial"/>
          <w:i/>
          <w:iCs/>
          <w:noProof/>
          <w:szCs w:val="24"/>
        </w:rPr>
        <w:t>Int. J. Mol. Sci.</w:t>
      </w:r>
      <w:r w:rsidRPr="0088562C">
        <w:rPr>
          <w:rFonts w:ascii="Arial" w:hAnsi="Arial" w:cs="Arial"/>
          <w:noProof/>
          <w:szCs w:val="24"/>
        </w:rPr>
        <w:t xml:space="preserve"> </w:t>
      </w:r>
      <w:r w:rsidRPr="0088562C">
        <w:rPr>
          <w:rFonts w:ascii="Arial" w:hAnsi="Arial" w:cs="Arial"/>
          <w:i/>
          <w:iCs/>
          <w:noProof/>
          <w:szCs w:val="24"/>
        </w:rPr>
        <w:t>20</w:t>
      </w:r>
      <w:r w:rsidRPr="0088562C">
        <w:rPr>
          <w:rFonts w:ascii="Arial" w:hAnsi="Arial" w:cs="Arial"/>
          <w:noProof/>
          <w:szCs w:val="24"/>
        </w:rPr>
        <w:t>.</w:t>
      </w:r>
    </w:p>
    <w:p w14:paraId="366DCE54"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(65) Van Meer, G., Voelker, D. R., and Feigenson, G. W. (2008, February) Membrane lipids: Where they are and how they behave. </w:t>
      </w:r>
      <w:r w:rsidRPr="0088562C">
        <w:rPr>
          <w:rFonts w:ascii="Arial" w:hAnsi="Arial" w:cs="Arial"/>
          <w:i/>
          <w:iCs/>
          <w:noProof/>
          <w:szCs w:val="24"/>
        </w:rPr>
        <w:t>Nat. Rev. Mol. Cell Biol.</w:t>
      </w:r>
      <w:r w:rsidRPr="0088562C">
        <w:rPr>
          <w:rFonts w:ascii="Arial" w:hAnsi="Arial" w:cs="Arial"/>
          <w:noProof/>
          <w:szCs w:val="24"/>
        </w:rPr>
        <w:t xml:space="preserve"> Nat Rev Mol Cell Biol.</w:t>
      </w:r>
    </w:p>
    <w:p w14:paraId="2D913798"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(66) Van Meer, G. (1998) Lipids of the Golgi membrane. </w:t>
      </w:r>
      <w:r w:rsidRPr="0088562C">
        <w:rPr>
          <w:rFonts w:ascii="Arial" w:hAnsi="Arial" w:cs="Arial"/>
          <w:i/>
          <w:iCs/>
          <w:noProof/>
          <w:szCs w:val="24"/>
        </w:rPr>
        <w:t>Trends Cell Biol.</w:t>
      </w:r>
      <w:r w:rsidRPr="0088562C">
        <w:rPr>
          <w:rFonts w:ascii="Arial" w:hAnsi="Arial" w:cs="Arial"/>
          <w:noProof/>
          <w:szCs w:val="24"/>
        </w:rPr>
        <w:t xml:space="preserve"> </w:t>
      </w:r>
      <w:r w:rsidRPr="0088562C">
        <w:rPr>
          <w:rFonts w:ascii="Arial" w:hAnsi="Arial" w:cs="Arial"/>
          <w:i/>
          <w:iCs/>
          <w:noProof/>
          <w:szCs w:val="24"/>
        </w:rPr>
        <w:t>8</w:t>
      </w:r>
      <w:r w:rsidRPr="0088562C">
        <w:rPr>
          <w:rFonts w:ascii="Arial" w:hAnsi="Arial" w:cs="Arial"/>
          <w:noProof/>
          <w:szCs w:val="24"/>
        </w:rPr>
        <w:t>, 29–33.</w:t>
      </w:r>
    </w:p>
    <w:p w14:paraId="370E9C35"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(67) Huang, J., and Mackerell, A. D. (2013) CHARMM36 all-atom additive protein force field: Validation based on comparison to NMR data. </w:t>
      </w:r>
      <w:r w:rsidRPr="0088562C">
        <w:rPr>
          <w:rFonts w:ascii="Arial" w:hAnsi="Arial" w:cs="Arial"/>
          <w:i/>
          <w:iCs/>
          <w:noProof/>
          <w:szCs w:val="24"/>
        </w:rPr>
        <w:t>J. Comput. Chem.</w:t>
      </w:r>
      <w:r w:rsidRPr="0088562C">
        <w:rPr>
          <w:rFonts w:ascii="Arial" w:hAnsi="Arial" w:cs="Arial"/>
          <w:noProof/>
          <w:szCs w:val="24"/>
        </w:rPr>
        <w:t xml:space="preserve"> </w:t>
      </w:r>
      <w:r w:rsidRPr="0088562C">
        <w:rPr>
          <w:rFonts w:ascii="Arial" w:hAnsi="Arial" w:cs="Arial"/>
          <w:i/>
          <w:iCs/>
          <w:noProof/>
          <w:szCs w:val="24"/>
        </w:rPr>
        <w:t>34</w:t>
      </w:r>
      <w:r w:rsidRPr="0088562C">
        <w:rPr>
          <w:rFonts w:ascii="Arial" w:hAnsi="Arial" w:cs="Arial"/>
          <w:noProof/>
          <w:szCs w:val="24"/>
        </w:rPr>
        <w:t>, 2135–2145.</w:t>
      </w:r>
    </w:p>
    <w:p w14:paraId="468B7CDD"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(68) Lee, J., Cheng, X., Swails, J. M., Yeom, M. S., Eastman, P. K., Lemkul, J. A., Wei, S., Buckner, J., Jeong, J. C., Qi, Y., Jo, S., Pande, V. S., Case, D. A., Brooks, C. L., MacKerell, A. D., Klauda, J. B., and Im, W. (2016) CHARMM-GUI Input Generator for NAMD, GROMACS, AMBER, OpenMM, and CHARMM/OpenMM Simulations Using the CHARMM36 Additive Force Field. </w:t>
      </w:r>
      <w:r w:rsidRPr="0088562C">
        <w:rPr>
          <w:rFonts w:ascii="Arial" w:hAnsi="Arial" w:cs="Arial"/>
          <w:i/>
          <w:iCs/>
          <w:noProof/>
          <w:szCs w:val="24"/>
        </w:rPr>
        <w:t>J. Chem. Theory Comput.</w:t>
      </w:r>
      <w:r w:rsidRPr="0088562C">
        <w:rPr>
          <w:rFonts w:ascii="Arial" w:hAnsi="Arial" w:cs="Arial"/>
          <w:noProof/>
          <w:szCs w:val="24"/>
        </w:rPr>
        <w:t xml:space="preserve"> </w:t>
      </w:r>
      <w:r w:rsidRPr="0088562C">
        <w:rPr>
          <w:rFonts w:ascii="Arial" w:hAnsi="Arial" w:cs="Arial"/>
          <w:i/>
          <w:iCs/>
          <w:noProof/>
          <w:szCs w:val="24"/>
        </w:rPr>
        <w:t>12</w:t>
      </w:r>
      <w:r w:rsidRPr="0088562C">
        <w:rPr>
          <w:rFonts w:ascii="Arial" w:hAnsi="Arial" w:cs="Arial"/>
          <w:noProof/>
          <w:szCs w:val="24"/>
        </w:rPr>
        <w:t>, 405–413.</w:t>
      </w:r>
    </w:p>
    <w:p w14:paraId="7041FB6E"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(69) Eslami, H., and Müller-Plathe, F. (2007) Molecular dynamics simulation in the grand canonical ensemble. </w:t>
      </w:r>
      <w:r w:rsidRPr="0088562C">
        <w:rPr>
          <w:rFonts w:ascii="Arial" w:hAnsi="Arial" w:cs="Arial"/>
          <w:i/>
          <w:iCs/>
          <w:noProof/>
          <w:szCs w:val="24"/>
        </w:rPr>
        <w:t>J. Comput. Chem.</w:t>
      </w:r>
      <w:r w:rsidRPr="0088562C">
        <w:rPr>
          <w:rFonts w:ascii="Arial" w:hAnsi="Arial" w:cs="Arial"/>
          <w:noProof/>
          <w:szCs w:val="24"/>
        </w:rPr>
        <w:t xml:space="preserve"> </w:t>
      </w:r>
      <w:r w:rsidRPr="0088562C">
        <w:rPr>
          <w:rFonts w:ascii="Arial" w:hAnsi="Arial" w:cs="Arial"/>
          <w:i/>
          <w:iCs/>
          <w:noProof/>
          <w:szCs w:val="24"/>
        </w:rPr>
        <w:t>28</w:t>
      </w:r>
      <w:r w:rsidRPr="0088562C">
        <w:rPr>
          <w:rFonts w:ascii="Arial" w:hAnsi="Arial" w:cs="Arial"/>
          <w:noProof/>
          <w:szCs w:val="24"/>
        </w:rPr>
        <w:t>, 1763–1773.</w:t>
      </w:r>
    </w:p>
    <w:p w14:paraId="2E57A04D"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(70) Hoover, W. G. (1985) Canonical dynamics: Equilibrium phase-space distributions. </w:t>
      </w:r>
      <w:r w:rsidRPr="0088562C">
        <w:rPr>
          <w:rFonts w:ascii="Arial" w:hAnsi="Arial" w:cs="Arial"/>
          <w:i/>
          <w:iCs/>
          <w:noProof/>
          <w:szCs w:val="24"/>
        </w:rPr>
        <w:t>Phys. Rev. A</w:t>
      </w:r>
      <w:r w:rsidRPr="0088562C">
        <w:rPr>
          <w:rFonts w:ascii="Arial" w:hAnsi="Arial" w:cs="Arial"/>
          <w:noProof/>
          <w:szCs w:val="24"/>
        </w:rPr>
        <w:t xml:space="preserve"> </w:t>
      </w:r>
      <w:r w:rsidRPr="0088562C">
        <w:rPr>
          <w:rFonts w:ascii="Arial" w:hAnsi="Arial" w:cs="Arial"/>
          <w:i/>
          <w:iCs/>
          <w:noProof/>
          <w:szCs w:val="24"/>
        </w:rPr>
        <w:t>31</w:t>
      </w:r>
      <w:r w:rsidRPr="0088562C">
        <w:rPr>
          <w:rFonts w:ascii="Arial" w:hAnsi="Arial" w:cs="Arial"/>
          <w:noProof/>
          <w:szCs w:val="24"/>
        </w:rPr>
        <w:t>, 1695–1697.</w:t>
      </w:r>
    </w:p>
    <w:p w14:paraId="72AD6ED4"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(71) Parrinello, M., and Rahman, A. (1981) Polymorphic transitions in single crystals: A new molecular dynamics method. </w:t>
      </w:r>
      <w:r w:rsidRPr="0088562C">
        <w:rPr>
          <w:rFonts w:ascii="Arial" w:hAnsi="Arial" w:cs="Arial"/>
          <w:i/>
          <w:iCs/>
          <w:noProof/>
          <w:szCs w:val="24"/>
        </w:rPr>
        <w:t>J. Appl. Phys.</w:t>
      </w:r>
      <w:r w:rsidRPr="0088562C">
        <w:rPr>
          <w:rFonts w:ascii="Arial" w:hAnsi="Arial" w:cs="Arial"/>
          <w:noProof/>
          <w:szCs w:val="24"/>
        </w:rPr>
        <w:t xml:space="preserve"> </w:t>
      </w:r>
      <w:r w:rsidRPr="0088562C">
        <w:rPr>
          <w:rFonts w:ascii="Arial" w:hAnsi="Arial" w:cs="Arial"/>
          <w:i/>
          <w:iCs/>
          <w:noProof/>
          <w:szCs w:val="24"/>
        </w:rPr>
        <w:t>52</w:t>
      </w:r>
      <w:r w:rsidRPr="0088562C">
        <w:rPr>
          <w:rFonts w:ascii="Arial" w:hAnsi="Arial" w:cs="Arial"/>
          <w:noProof/>
          <w:szCs w:val="24"/>
        </w:rPr>
        <w:t>, 7182–7190.</w:t>
      </w:r>
    </w:p>
    <w:p w14:paraId="0281B873"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(72) Essmann, U., Perera, L., Berkowitz, M. L., Darden, T., Lee, H., and Pedersen, L. G. (1995) A smooth particle mesh Ewald method. </w:t>
      </w:r>
      <w:r w:rsidRPr="0088562C">
        <w:rPr>
          <w:rFonts w:ascii="Arial" w:hAnsi="Arial" w:cs="Arial"/>
          <w:i/>
          <w:iCs/>
          <w:noProof/>
          <w:szCs w:val="24"/>
        </w:rPr>
        <w:t>J. Chem. Phys.</w:t>
      </w:r>
      <w:r w:rsidRPr="0088562C">
        <w:rPr>
          <w:rFonts w:ascii="Arial" w:hAnsi="Arial" w:cs="Arial"/>
          <w:noProof/>
          <w:szCs w:val="24"/>
        </w:rPr>
        <w:t xml:space="preserve"> </w:t>
      </w:r>
      <w:r w:rsidRPr="0088562C">
        <w:rPr>
          <w:rFonts w:ascii="Arial" w:hAnsi="Arial" w:cs="Arial"/>
          <w:i/>
          <w:iCs/>
          <w:noProof/>
          <w:szCs w:val="24"/>
        </w:rPr>
        <w:t>103</w:t>
      </w:r>
      <w:r w:rsidRPr="0088562C">
        <w:rPr>
          <w:rFonts w:ascii="Arial" w:hAnsi="Arial" w:cs="Arial"/>
          <w:noProof/>
          <w:szCs w:val="24"/>
        </w:rPr>
        <w:t>, 8577–8593.</w:t>
      </w:r>
    </w:p>
    <w:p w14:paraId="458DC9F3"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(73) Hess, B., Bekker, H., Berendsen, H. J. C., and Fraaije, J. G. E. M. (1997) LINCS: A Linear Constraint Solver for molecular simulations. </w:t>
      </w:r>
      <w:r w:rsidRPr="0088562C">
        <w:rPr>
          <w:rFonts w:ascii="Arial" w:hAnsi="Arial" w:cs="Arial"/>
          <w:i/>
          <w:iCs/>
          <w:noProof/>
          <w:szCs w:val="24"/>
        </w:rPr>
        <w:t>J. Comput. Chem.</w:t>
      </w:r>
      <w:r w:rsidRPr="0088562C">
        <w:rPr>
          <w:rFonts w:ascii="Arial" w:hAnsi="Arial" w:cs="Arial"/>
          <w:noProof/>
          <w:szCs w:val="24"/>
        </w:rPr>
        <w:t xml:space="preserve"> </w:t>
      </w:r>
      <w:r w:rsidRPr="0088562C">
        <w:rPr>
          <w:rFonts w:ascii="Arial" w:hAnsi="Arial" w:cs="Arial"/>
          <w:i/>
          <w:iCs/>
          <w:noProof/>
          <w:szCs w:val="24"/>
        </w:rPr>
        <w:t>18</w:t>
      </w:r>
      <w:r w:rsidRPr="0088562C">
        <w:rPr>
          <w:rFonts w:ascii="Arial" w:hAnsi="Arial" w:cs="Arial"/>
          <w:noProof/>
          <w:szCs w:val="24"/>
        </w:rPr>
        <w:t>, 1463–1472.</w:t>
      </w:r>
    </w:p>
    <w:p w14:paraId="6B8955A1"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(74) Abraham, M. J., Murtola, T., Schulz, R., Páll, S., Smith, J. C., Hess, B., and Lindah, E. (2015) Gromacs: High performance molecular simulations through multi-level parallelism from laptops to supercomputers. </w:t>
      </w:r>
      <w:r w:rsidRPr="0088562C">
        <w:rPr>
          <w:rFonts w:ascii="Arial" w:hAnsi="Arial" w:cs="Arial"/>
          <w:i/>
          <w:iCs/>
          <w:noProof/>
          <w:szCs w:val="24"/>
        </w:rPr>
        <w:t>SoftwareX</w:t>
      </w:r>
      <w:r w:rsidRPr="0088562C">
        <w:rPr>
          <w:rFonts w:ascii="Arial" w:hAnsi="Arial" w:cs="Arial"/>
          <w:noProof/>
          <w:szCs w:val="24"/>
        </w:rPr>
        <w:t xml:space="preserve"> </w:t>
      </w:r>
      <w:r w:rsidRPr="0088562C">
        <w:rPr>
          <w:rFonts w:ascii="Arial" w:hAnsi="Arial" w:cs="Arial"/>
          <w:i/>
          <w:iCs/>
          <w:noProof/>
          <w:szCs w:val="24"/>
        </w:rPr>
        <w:t>1</w:t>
      </w:r>
      <w:r w:rsidRPr="0088562C">
        <w:rPr>
          <w:rFonts w:ascii="Arial" w:hAnsi="Arial" w:cs="Arial"/>
          <w:noProof/>
          <w:szCs w:val="24"/>
        </w:rPr>
        <w:t>–</w:t>
      </w:r>
      <w:r w:rsidRPr="0088562C">
        <w:rPr>
          <w:rFonts w:ascii="Arial" w:hAnsi="Arial" w:cs="Arial"/>
          <w:i/>
          <w:iCs/>
          <w:noProof/>
          <w:szCs w:val="24"/>
        </w:rPr>
        <w:t>2</w:t>
      </w:r>
      <w:r w:rsidRPr="0088562C">
        <w:rPr>
          <w:rFonts w:ascii="Arial" w:hAnsi="Arial" w:cs="Arial"/>
          <w:noProof/>
          <w:szCs w:val="24"/>
        </w:rPr>
        <w:t>, 19–25.</w:t>
      </w:r>
    </w:p>
    <w:p w14:paraId="0EA6F6FB"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(75) Humphrey, W., Dalke, A., and Schulten, K. (1996) VMD: Visual molecular dynamics. </w:t>
      </w:r>
      <w:r w:rsidRPr="0088562C">
        <w:rPr>
          <w:rFonts w:ascii="Arial" w:hAnsi="Arial" w:cs="Arial"/>
          <w:i/>
          <w:iCs/>
          <w:noProof/>
          <w:szCs w:val="24"/>
        </w:rPr>
        <w:t>J. Mol. Graph.</w:t>
      </w:r>
      <w:r w:rsidRPr="0088562C">
        <w:rPr>
          <w:rFonts w:ascii="Arial" w:hAnsi="Arial" w:cs="Arial"/>
          <w:noProof/>
          <w:szCs w:val="24"/>
        </w:rPr>
        <w:t xml:space="preserve"> </w:t>
      </w:r>
      <w:r w:rsidRPr="0088562C">
        <w:rPr>
          <w:rFonts w:ascii="Arial" w:hAnsi="Arial" w:cs="Arial"/>
          <w:i/>
          <w:iCs/>
          <w:noProof/>
          <w:szCs w:val="24"/>
        </w:rPr>
        <w:t>14</w:t>
      </w:r>
      <w:r w:rsidRPr="0088562C">
        <w:rPr>
          <w:rFonts w:ascii="Arial" w:hAnsi="Arial" w:cs="Arial"/>
          <w:noProof/>
          <w:szCs w:val="24"/>
        </w:rPr>
        <w:t>, 33–38.</w:t>
      </w:r>
    </w:p>
    <w:p w14:paraId="365DA778"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(76) Johari, Y. B., Jaffé, S. R. P., Scarrott, J. M., Johnson, A. O., Mozzanino, T., Pohle, T. H., Maisuria, S., Bhayat</w:t>
      </w:r>
      <w:r w:rsidRPr="0088562C">
        <w:rPr>
          <w:rFonts w:ascii="Cambria Math" w:hAnsi="Cambria Math" w:cs="Cambria Math"/>
          <w:noProof/>
          <w:szCs w:val="24"/>
        </w:rPr>
        <w:t>‐</w:t>
      </w:r>
      <w:r w:rsidRPr="0088562C">
        <w:rPr>
          <w:rFonts w:ascii="Arial" w:hAnsi="Arial" w:cs="Arial"/>
          <w:noProof/>
          <w:szCs w:val="24"/>
        </w:rPr>
        <w:t xml:space="preserve">Cammack, A., Lambiase, G., Brown, A. J., Tee, K. L., Jackson, P. </w:t>
      </w:r>
      <w:r w:rsidRPr="0088562C">
        <w:rPr>
          <w:rFonts w:ascii="Arial" w:hAnsi="Arial" w:cs="Arial"/>
          <w:noProof/>
          <w:szCs w:val="24"/>
        </w:rPr>
        <w:lastRenderedPageBreak/>
        <w:t>J., Wong, T. S., Dickman, M. J., Sargur, R. B., and James, D. C. (2021) Production of trimeric SARS</w:t>
      </w:r>
      <w:r w:rsidRPr="0088562C">
        <w:rPr>
          <w:rFonts w:ascii="Cambria Math" w:hAnsi="Cambria Math" w:cs="Cambria Math"/>
          <w:noProof/>
          <w:szCs w:val="24"/>
        </w:rPr>
        <w:t>‐</w:t>
      </w:r>
      <w:r w:rsidRPr="0088562C">
        <w:rPr>
          <w:rFonts w:ascii="Arial" w:hAnsi="Arial" w:cs="Arial"/>
          <w:noProof/>
          <w:szCs w:val="24"/>
        </w:rPr>
        <w:t>CoV</w:t>
      </w:r>
      <w:r w:rsidRPr="0088562C">
        <w:rPr>
          <w:rFonts w:ascii="Cambria Math" w:hAnsi="Cambria Math" w:cs="Cambria Math"/>
          <w:noProof/>
          <w:szCs w:val="24"/>
        </w:rPr>
        <w:t>‐</w:t>
      </w:r>
      <w:r w:rsidRPr="0088562C">
        <w:rPr>
          <w:rFonts w:ascii="Arial" w:hAnsi="Arial" w:cs="Arial"/>
          <w:noProof/>
          <w:szCs w:val="24"/>
        </w:rPr>
        <w:t>2 spike protein by CHO cells for serological COVID</w:t>
      </w:r>
      <w:r w:rsidRPr="0088562C">
        <w:rPr>
          <w:rFonts w:ascii="Cambria Math" w:hAnsi="Cambria Math" w:cs="Cambria Math"/>
          <w:noProof/>
          <w:szCs w:val="24"/>
        </w:rPr>
        <w:t>‐</w:t>
      </w:r>
      <w:r w:rsidRPr="0088562C">
        <w:rPr>
          <w:rFonts w:ascii="Arial" w:hAnsi="Arial" w:cs="Arial"/>
          <w:noProof/>
          <w:szCs w:val="24"/>
        </w:rPr>
        <w:t xml:space="preserve">19 testing. </w:t>
      </w:r>
      <w:r w:rsidRPr="0088562C">
        <w:rPr>
          <w:rFonts w:ascii="Arial" w:hAnsi="Arial" w:cs="Arial"/>
          <w:i/>
          <w:iCs/>
          <w:noProof/>
          <w:szCs w:val="24"/>
        </w:rPr>
        <w:t>Biotechnol. Bioeng.</w:t>
      </w:r>
      <w:r w:rsidRPr="0088562C">
        <w:rPr>
          <w:rFonts w:ascii="Arial" w:hAnsi="Arial" w:cs="Arial"/>
          <w:noProof/>
          <w:szCs w:val="24"/>
        </w:rPr>
        <w:t xml:space="preserve"> </w:t>
      </w:r>
      <w:r w:rsidRPr="0088562C">
        <w:rPr>
          <w:rFonts w:ascii="Arial" w:hAnsi="Arial" w:cs="Arial"/>
          <w:i/>
          <w:iCs/>
          <w:noProof/>
          <w:szCs w:val="24"/>
        </w:rPr>
        <w:t>118</w:t>
      </w:r>
      <w:r w:rsidRPr="0088562C">
        <w:rPr>
          <w:rFonts w:ascii="Arial" w:hAnsi="Arial" w:cs="Arial"/>
          <w:noProof/>
          <w:szCs w:val="24"/>
        </w:rPr>
        <w:t>, 1013–1021.</w:t>
      </w:r>
    </w:p>
    <w:p w14:paraId="41EE677B"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(77) Cai, Y., Zhang, J., Xiao, T., Peng, H., Sterling, S. M., Walsh, R. M., Rawson, S., Rits-Volloch, S., and Chen, B. (2020) Distinct conformational states of SARS-CoV-2 spike protein. </w:t>
      </w:r>
      <w:r w:rsidRPr="0088562C">
        <w:rPr>
          <w:rFonts w:ascii="Arial" w:hAnsi="Arial" w:cs="Arial"/>
          <w:i/>
          <w:iCs/>
          <w:noProof/>
          <w:szCs w:val="24"/>
        </w:rPr>
        <w:t>Science</w:t>
      </w:r>
      <w:r w:rsidRPr="0088562C">
        <w:rPr>
          <w:rFonts w:ascii="Arial" w:hAnsi="Arial" w:cs="Arial"/>
          <w:noProof/>
          <w:szCs w:val="24"/>
        </w:rPr>
        <w:t xml:space="preserve"> </w:t>
      </w:r>
      <w:r w:rsidRPr="0088562C">
        <w:rPr>
          <w:rFonts w:ascii="Arial" w:hAnsi="Arial" w:cs="Arial"/>
          <w:i/>
          <w:iCs/>
          <w:noProof/>
          <w:szCs w:val="24"/>
        </w:rPr>
        <w:t>369</w:t>
      </w:r>
      <w:r w:rsidRPr="0088562C">
        <w:rPr>
          <w:rFonts w:ascii="Arial" w:hAnsi="Arial" w:cs="Arial"/>
          <w:noProof/>
          <w:szCs w:val="24"/>
        </w:rPr>
        <w:t>, 1586–1592.</w:t>
      </w:r>
    </w:p>
    <w:p w14:paraId="7204BF0F"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(78) Kirchdoerfer, R. N., Cottrell, C. A., Wang, N., Pallesen, J., Yassine, H. M., Turner, H. L., Corbett, K. S., Graham, B. S., McLellan, J. S., and Ward, A. B. (2016) Pre-fusion structure of a human coronavirus spike protein. </w:t>
      </w:r>
      <w:r w:rsidRPr="0088562C">
        <w:rPr>
          <w:rFonts w:ascii="Arial" w:hAnsi="Arial" w:cs="Arial"/>
          <w:i/>
          <w:iCs/>
          <w:noProof/>
          <w:szCs w:val="24"/>
        </w:rPr>
        <w:t>Nature</w:t>
      </w:r>
      <w:r w:rsidRPr="0088562C">
        <w:rPr>
          <w:rFonts w:ascii="Arial" w:hAnsi="Arial" w:cs="Arial"/>
          <w:noProof/>
          <w:szCs w:val="24"/>
        </w:rPr>
        <w:t xml:space="preserve"> </w:t>
      </w:r>
      <w:r w:rsidRPr="0088562C">
        <w:rPr>
          <w:rFonts w:ascii="Arial" w:hAnsi="Arial" w:cs="Arial"/>
          <w:i/>
          <w:iCs/>
          <w:noProof/>
          <w:szCs w:val="24"/>
        </w:rPr>
        <w:t>531</w:t>
      </w:r>
      <w:r w:rsidRPr="0088562C">
        <w:rPr>
          <w:rFonts w:ascii="Arial" w:hAnsi="Arial" w:cs="Arial"/>
          <w:noProof/>
          <w:szCs w:val="24"/>
        </w:rPr>
        <w:t>, 118–121.</w:t>
      </w:r>
    </w:p>
    <w:p w14:paraId="3B229970"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(79) Derking, R., Allen, J. D., Cottrell, C. A., Sliepen, K., Seabright, G. E., Lee, W.-H., Aldon, Y., Rantalainen, K., Antanasijevic, A., Copps, J., Yasmeen, A., Cupo, A., Cruz Portillo, V. M., Poniman, M., Bol, N., van der Woude, P., de Taeye, S. W., van den Kerkhof, T. L. G. M., Klasse, P. J., Ozorowski, G., van Gils, M. J., Moore, J. P., Ward, A. B., Crispin, M., and Sanders, R. W. (2021) Enhancing glycan occupancy of soluble HIV-1 envelope trimers to mimic the native viral spike. </w:t>
      </w:r>
      <w:r w:rsidRPr="0088562C">
        <w:rPr>
          <w:rFonts w:ascii="Arial" w:hAnsi="Arial" w:cs="Arial"/>
          <w:i/>
          <w:iCs/>
          <w:noProof/>
          <w:szCs w:val="24"/>
        </w:rPr>
        <w:t>Cell Rep.</w:t>
      </w:r>
      <w:r w:rsidRPr="0088562C">
        <w:rPr>
          <w:rFonts w:ascii="Arial" w:hAnsi="Arial" w:cs="Arial"/>
          <w:noProof/>
          <w:szCs w:val="24"/>
        </w:rPr>
        <w:t xml:space="preserve"> </w:t>
      </w:r>
      <w:r w:rsidRPr="0088562C">
        <w:rPr>
          <w:rFonts w:ascii="Arial" w:hAnsi="Arial" w:cs="Arial"/>
          <w:i/>
          <w:iCs/>
          <w:noProof/>
          <w:szCs w:val="24"/>
        </w:rPr>
        <w:t>35</w:t>
      </w:r>
      <w:r w:rsidRPr="0088562C">
        <w:rPr>
          <w:rFonts w:ascii="Arial" w:hAnsi="Arial" w:cs="Arial"/>
          <w:noProof/>
          <w:szCs w:val="24"/>
        </w:rPr>
        <w:t>, 108933.</w:t>
      </w:r>
    </w:p>
    <w:p w14:paraId="3965223F"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(80) Cottrell, C. A., van Schooten, J., Bowman, C. A., Yuan, M., Oyen, D., Shin, M., Morpurgo, R., van der Woude, P., van Breemen, M., Torres, J. L., Patel, R., Gross, J., Sewall, L. M., Copps, J., Ozorowski, G., Nogal, B., Sok, D., Rakasz, E. G., Labranche, C., Vigdorovich, V., Christley, S., Carnathan, D. G., Sather, D. N., Montefiori, D., Silvestri, G., Burton, D. R., Moore, J. P., Wilson, I. A., Sanders, R. W., Ward, A. B., and van Gils, M. J. (2020) Mapping the immunogenic landscape of near-native HIV-1 envelope trimers in non-human primates. </w:t>
      </w:r>
      <w:r w:rsidRPr="0088562C">
        <w:rPr>
          <w:rFonts w:ascii="Arial" w:hAnsi="Arial" w:cs="Arial"/>
          <w:i/>
          <w:iCs/>
          <w:noProof/>
          <w:szCs w:val="24"/>
        </w:rPr>
        <w:t>PLoS Pathog.</w:t>
      </w:r>
      <w:r w:rsidRPr="0088562C">
        <w:rPr>
          <w:rFonts w:ascii="Arial" w:hAnsi="Arial" w:cs="Arial"/>
          <w:noProof/>
          <w:szCs w:val="24"/>
        </w:rPr>
        <w:t xml:space="preserve"> </w:t>
      </w:r>
      <w:r w:rsidRPr="0088562C">
        <w:rPr>
          <w:rFonts w:ascii="Arial" w:hAnsi="Arial" w:cs="Arial"/>
          <w:i/>
          <w:iCs/>
          <w:noProof/>
          <w:szCs w:val="24"/>
        </w:rPr>
        <w:t>16</w:t>
      </w:r>
      <w:r w:rsidRPr="0088562C">
        <w:rPr>
          <w:rFonts w:ascii="Arial" w:hAnsi="Arial" w:cs="Arial"/>
          <w:noProof/>
          <w:szCs w:val="24"/>
        </w:rPr>
        <w:t>, e1008753.</w:t>
      </w:r>
    </w:p>
    <w:p w14:paraId="77DFAC71"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(81) Bañó-Polo, M., Baldin, F., Tamborero, S., Marti-Renom, M. A., and Mingarro, I. (2011) N-Glycosylation efficiency is determined by the distance to the C-terminus and the amino acid preceding an Asn-Ser-Thr sequon. </w:t>
      </w:r>
      <w:r w:rsidRPr="0088562C">
        <w:rPr>
          <w:rFonts w:ascii="Arial" w:hAnsi="Arial" w:cs="Arial"/>
          <w:i/>
          <w:iCs/>
          <w:noProof/>
          <w:szCs w:val="24"/>
        </w:rPr>
        <w:t>Protein Sci.</w:t>
      </w:r>
      <w:r w:rsidRPr="0088562C">
        <w:rPr>
          <w:rFonts w:ascii="Arial" w:hAnsi="Arial" w:cs="Arial"/>
          <w:noProof/>
          <w:szCs w:val="24"/>
        </w:rPr>
        <w:t xml:space="preserve"> </w:t>
      </w:r>
      <w:r w:rsidRPr="0088562C">
        <w:rPr>
          <w:rFonts w:ascii="Arial" w:hAnsi="Arial" w:cs="Arial"/>
          <w:i/>
          <w:iCs/>
          <w:noProof/>
          <w:szCs w:val="24"/>
        </w:rPr>
        <w:t>20</w:t>
      </w:r>
      <w:r w:rsidRPr="0088562C">
        <w:rPr>
          <w:rFonts w:ascii="Arial" w:hAnsi="Arial" w:cs="Arial"/>
          <w:noProof/>
          <w:szCs w:val="24"/>
        </w:rPr>
        <w:t>, 179–186.</w:t>
      </w:r>
    </w:p>
    <w:p w14:paraId="5AE757EC"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(82) Higel, F., Sandl, T., Kao, C. Y., Pechinger, N., Sörgel, F., Friess, W., Wolschin, F., and Seidl, A. (2019) N-glycans of complex glycosylated biopharmaceuticals and their impact on protein clearance. </w:t>
      </w:r>
      <w:r w:rsidRPr="0088562C">
        <w:rPr>
          <w:rFonts w:ascii="Arial" w:hAnsi="Arial" w:cs="Arial"/>
          <w:i/>
          <w:iCs/>
          <w:noProof/>
          <w:szCs w:val="24"/>
        </w:rPr>
        <w:t>Eur. J. Pharm. Biopharm.</w:t>
      </w:r>
      <w:r w:rsidRPr="0088562C">
        <w:rPr>
          <w:rFonts w:ascii="Arial" w:hAnsi="Arial" w:cs="Arial"/>
          <w:noProof/>
          <w:szCs w:val="24"/>
        </w:rPr>
        <w:t xml:space="preserve"> </w:t>
      </w:r>
      <w:r w:rsidRPr="0088562C">
        <w:rPr>
          <w:rFonts w:ascii="Arial" w:hAnsi="Arial" w:cs="Arial"/>
          <w:i/>
          <w:iCs/>
          <w:noProof/>
          <w:szCs w:val="24"/>
        </w:rPr>
        <w:t>139</w:t>
      </w:r>
      <w:r w:rsidRPr="0088562C">
        <w:rPr>
          <w:rFonts w:ascii="Arial" w:hAnsi="Arial" w:cs="Arial"/>
          <w:noProof/>
          <w:szCs w:val="24"/>
        </w:rPr>
        <w:t>, 123–131.</w:t>
      </w:r>
    </w:p>
    <w:p w14:paraId="7824CFB9"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(83) Goh, J. B., and Ng, S. K. (2018) Impact of host cell line choice on glycan profile. </w:t>
      </w:r>
      <w:r w:rsidRPr="0088562C">
        <w:rPr>
          <w:rFonts w:ascii="Arial" w:hAnsi="Arial" w:cs="Arial"/>
          <w:i/>
          <w:iCs/>
          <w:noProof/>
          <w:szCs w:val="24"/>
        </w:rPr>
        <w:t>Crit. Rev. Biotechnol.</w:t>
      </w:r>
    </w:p>
    <w:p w14:paraId="3741E7FD"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(84) Dumont, J., Euwart, D., Mei, B., Estes, S., and Kshirsagar, R. (2016, November 1) Human cell lines for biopharmaceutical manufacturing: history, status, and future perspectives. </w:t>
      </w:r>
      <w:r w:rsidRPr="0088562C">
        <w:rPr>
          <w:rFonts w:ascii="Arial" w:hAnsi="Arial" w:cs="Arial"/>
          <w:i/>
          <w:iCs/>
          <w:noProof/>
          <w:szCs w:val="24"/>
        </w:rPr>
        <w:t>Crit. Rev. Biotechnol.</w:t>
      </w:r>
    </w:p>
    <w:p w14:paraId="766DB172"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lastRenderedPageBreak/>
        <w:t xml:space="preserve">(85) Dotz, V., and Wuhrer, M. (2019, November 1) N-glycome signatures in human plasma: associations with physiology and major diseases. </w:t>
      </w:r>
      <w:r w:rsidRPr="0088562C">
        <w:rPr>
          <w:rFonts w:ascii="Arial" w:hAnsi="Arial" w:cs="Arial"/>
          <w:i/>
          <w:iCs/>
          <w:noProof/>
          <w:szCs w:val="24"/>
        </w:rPr>
        <w:t>FEBS Lett.</w:t>
      </w:r>
      <w:r w:rsidRPr="0088562C">
        <w:rPr>
          <w:rFonts w:ascii="Arial" w:hAnsi="Arial" w:cs="Arial"/>
          <w:noProof/>
          <w:szCs w:val="24"/>
        </w:rPr>
        <w:t xml:space="preserve"> Wiley Blackwell.</w:t>
      </w:r>
    </w:p>
    <w:p w14:paraId="693D48C4"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(86) Struwe, W. B., Chertova, E., Allen, J. D., Seabright, G. E., Watanabe, Y., Harvey, D. J., Medina-Ramirez, M., Roser, J. D., Smith, R., Westcott, D., Keele, B. F., Bess, J. W., Sanders, R. W., Lifson, J. D., Moore, J. P., and Crispin, M. (2018) Site-Specific Glycosylation of Virion-Derived HIV-1 Env Is Mimicked by a Soluble Trimeric Immunogen. </w:t>
      </w:r>
      <w:r w:rsidRPr="0088562C">
        <w:rPr>
          <w:rFonts w:ascii="Arial" w:hAnsi="Arial" w:cs="Arial"/>
          <w:i/>
          <w:iCs/>
          <w:noProof/>
          <w:szCs w:val="24"/>
        </w:rPr>
        <w:t>Cell Rep.</w:t>
      </w:r>
      <w:r w:rsidRPr="0088562C">
        <w:rPr>
          <w:rFonts w:ascii="Arial" w:hAnsi="Arial" w:cs="Arial"/>
          <w:noProof/>
          <w:szCs w:val="24"/>
        </w:rPr>
        <w:t xml:space="preserve"> </w:t>
      </w:r>
      <w:r w:rsidRPr="0088562C">
        <w:rPr>
          <w:rFonts w:ascii="Arial" w:hAnsi="Arial" w:cs="Arial"/>
          <w:i/>
          <w:iCs/>
          <w:noProof/>
          <w:szCs w:val="24"/>
        </w:rPr>
        <w:t>24</w:t>
      </w:r>
      <w:r w:rsidRPr="0088562C">
        <w:rPr>
          <w:rFonts w:ascii="Arial" w:hAnsi="Arial" w:cs="Arial"/>
          <w:noProof/>
          <w:szCs w:val="24"/>
        </w:rPr>
        <w:t>, 1958-1966.e5.</w:t>
      </w:r>
    </w:p>
    <w:p w14:paraId="6F1D65D6"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(87) Torrents de la Peña, A., Rantalainen, K., Cottrell, C. A., Allen, J. D., van Gils, M. J., Torres, J. L., Crispin, M., Sanders, R. W., and Ward, A. B. (2019) Similarities and differences between native HIV-1 envelope glycoprotein trimers and stabilized soluble trimer mimetics. </w:t>
      </w:r>
      <w:r w:rsidRPr="0088562C">
        <w:rPr>
          <w:rFonts w:ascii="Arial" w:hAnsi="Arial" w:cs="Arial"/>
          <w:i/>
          <w:iCs/>
          <w:noProof/>
          <w:szCs w:val="24"/>
        </w:rPr>
        <w:t>PLOS Pathog.</w:t>
      </w:r>
      <w:r w:rsidRPr="0088562C">
        <w:rPr>
          <w:rFonts w:ascii="Arial" w:hAnsi="Arial" w:cs="Arial"/>
          <w:noProof/>
          <w:szCs w:val="24"/>
        </w:rPr>
        <w:t xml:space="preserve"> (Trkola, A., Ed.) </w:t>
      </w:r>
      <w:r w:rsidRPr="0088562C">
        <w:rPr>
          <w:rFonts w:ascii="Arial" w:hAnsi="Arial" w:cs="Arial"/>
          <w:i/>
          <w:iCs/>
          <w:noProof/>
          <w:szCs w:val="24"/>
        </w:rPr>
        <w:t>15</w:t>
      </w:r>
      <w:r w:rsidRPr="0088562C">
        <w:rPr>
          <w:rFonts w:ascii="Arial" w:hAnsi="Arial" w:cs="Arial"/>
          <w:noProof/>
          <w:szCs w:val="24"/>
        </w:rPr>
        <w:t>, e1007920.</w:t>
      </w:r>
    </w:p>
    <w:p w14:paraId="55D8AC64"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(88) Boson, B., Legros, V., Zhou, B., Siret, E., Mathieu, C., Cosset, F.-L., Lavillette, D., and Denolly, S. (2021) The SARS-CoV-2 envelope and membrane proteins modulate maturation and retention of the spike protein, allowing assembly of virus-like particles. </w:t>
      </w:r>
      <w:r w:rsidRPr="0088562C">
        <w:rPr>
          <w:rFonts w:ascii="Arial" w:hAnsi="Arial" w:cs="Arial"/>
          <w:i/>
          <w:iCs/>
          <w:noProof/>
          <w:szCs w:val="24"/>
        </w:rPr>
        <w:t>J. Biol. Chem.</w:t>
      </w:r>
      <w:r w:rsidRPr="0088562C">
        <w:rPr>
          <w:rFonts w:ascii="Arial" w:hAnsi="Arial" w:cs="Arial"/>
          <w:noProof/>
          <w:szCs w:val="24"/>
        </w:rPr>
        <w:t xml:space="preserve"> </w:t>
      </w:r>
      <w:r w:rsidRPr="0088562C">
        <w:rPr>
          <w:rFonts w:ascii="Arial" w:hAnsi="Arial" w:cs="Arial"/>
          <w:i/>
          <w:iCs/>
          <w:noProof/>
          <w:szCs w:val="24"/>
        </w:rPr>
        <w:t>296</w:t>
      </w:r>
      <w:r w:rsidRPr="0088562C">
        <w:rPr>
          <w:rFonts w:ascii="Arial" w:hAnsi="Arial" w:cs="Arial"/>
          <w:noProof/>
          <w:szCs w:val="24"/>
        </w:rPr>
        <w:t>, 100111.</w:t>
      </w:r>
    </w:p>
    <w:p w14:paraId="745A56A9"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(89) Li, N., Qi, Y., Zhang, F. Y., Yu, X. H., Wu, Y. G., Chen, Y., Jiang, C. L., and Kong, W. (2011) Overexpression of α-2,6-sialyltransferase stimulates propagation of human influenza viruses in Vero cells. </w:t>
      </w:r>
      <w:r w:rsidRPr="0088562C">
        <w:rPr>
          <w:rFonts w:ascii="Arial" w:hAnsi="Arial" w:cs="Arial"/>
          <w:i/>
          <w:iCs/>
          <w:noProof/>
          <w:szCs w:val="24"/>
        </w:rPr>
        <w:t>Acta Virol.</w:t>
      </w:r>
      <w:r w:rsidRPr="0088562C">
        <w:rPr>
          <w:rFonts w:ascii="Arial" w:hAnsi="Arial" w:cs="Arial"/>
          <w:noProof/>
          <w:szCs w:val="24"/>
        </w:rPr>
        <w:t xml:space="preserve"> </w:t>
      </w:r>
      <w:r w:rsidRPr="0088562C">
        <w:rPr>
          <w:rFonts w:ascii="Arial" w:hAnsi="Arial" w:cs="Arial"/>
          <w:i/>
          <w:iCs/>
          <w:noProof/>
          <w:szCs w:val="24"/>
        </w:rPr>
        <w:t>55</w:t>
      </w:r>
      <w:r w:rsidRPr="0088562C">
        <w:rPr>
          <w:rFonts w:ascii="Arial" w:hAnsi="Arial" w:cs="Arial"/>
          <w:noProof/>
          <w:szCs w:val="24"/>
        </w:rPr>
        <w:t>, 147–153.</w:t>
      </w:r>
    </w:p>
    <w:p w14:paraId="48BB8588"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(90) Brun, J., Vasiljevic, S., Gangadharan, B., Hensen, M., V. Chandran, A., Hill, M. L., Kiappes, J. L., Dwek, R. A., Alonzi, D. S., Struwe, W. B., and Zitzmann, N. (2021) Assessing Antigen Structural Integrity through Glycosylation Analysis of the SARS-CoV-2 Viral Spike. </w:t>
      </w:r>
      <w:r w:rsidRPr="0088562C">
        <w:rPr>
          <w:rFonts w:ascii="Arial" w:hAnsi="Arial" w:cs="Arial"/>
          <w:i/>
          <w:iCs/>
          <w:noProof/>
          <w:szCs w:val="24"/>
        </w:rPr>
        <w:t>ACS Cent. Sci.</w:t>
      </w:r>
      <w:r w:rsidRPr="0088562C">
        <w:rPr>
          <w:rFonts w:ascii="Arial" w:hAnsi="Arial" w:cs="Arial"/>
          <w:noProof/>
          <w:szCs w:val="24"/>
        </w:rPr>
        <w:t xml:space="preserve"> </w:t>
      </w:r>
      <w:r w:rsidRPr="0088562C">
        <w:rPr>
          <w:rFonts w:ascii="Arial" w:hAnsi="Arial" w:cs="Arial"/>
          <w:i/>
          <w:iCs/>
          <w:noProof/>
          <w:szCs w:val="24"/>
        </w:rPr>
        <w:t>7</w:t>
      </w:r>
      <w:r w:rsidRPr="0088562C">
        <w:rPr>
          <w:rFonts w:ascii="Arial" w:hAnsi="Arial" w:cs="Arial"/>
          <w:noProof/>
          <w:szCs w:val="24"/>
        </w:rPr>
        <w:t>, 586–593.</w:t>
      </w:r>
    </w:p>
    <w:p w14:paraId="5CFEA139"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(91) Xiang, Y., Karaveg, K., and Moremen, K. W. (2016) Substrate recognition and catalysis by GH47 α-mannosidases involved in Asn-linked glycan maturation in the mammalian secretory pathway. </w:t>
      </w:r>
      <w:r w:rsidRPr="0088562C">
        <w:rPr>
          <w:rFonts w:ascii="Arial" w:hAnsi="Arial" w:cs="Arial"/>
          <w:i/>
          <w:iCs/>
          <w:noProof/>
          <w:szCs w:val="24"/>
        </w:rPr>
        <w:t>Proc. Natl. Acad. Sci. U. S. A.</w:t>
      </w:r>
      <w:r w:rsidRPr="0088562C">
        <w:rPr>
          <w:rFonts w:ascii="Arial" w:hAnsi="Arial" w:cs="Arial"/>
          <w:noProof/>
          <w:szCs w:val="24"/>
        </w:rPr>
        <w:t xml:space="preserve"> </w:t>
      </w:r>
      <w:r w:rsidRPr="0088562C">
        <w:rPr>
          <w:rFonts w:ascii="Arial" w:hAnsi="Arial" w:cs="Arial"/>
          <w:i/>
          <w:iCs/>
          <w:noProof/>
          <w:szCs w:val="24"/>
        </w:rPr>
        <w:t>113</w:t>
      </w:r>
      <w:r w:rsidRPr="0088562C">
        <w:rPr>
          <w:rFonts w:ascii="Arial" w:hAnsi="Arial" w:cs="Arial"/>
          <w:noProof/>
          <w:szCs w:val="24"/>
        </w:rPr>
        <w:t>, E7890–E7899.</w:t>
      </w:r>
    </w:p>
    <w:p w14:paraId="2F7BFA59"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(92) Gordon, R. D., Sivarajah, P., Satkunarajah, M., Ma, D., Tarling, C. A., Vizitiu, D., Withers, S. G., and Rini, J. M. (2006) X-ray Crystal Structures of Rabbit N-acetylglucosaminyltransferase I (GnT I) in Complex with Donor Substrate Analogues. </w:t>
      </w:r>
      <w:r w:rsidRPr="0088562C">
        <w:rPr>
          <w:rFonts w:ascii="Arial" w:hAnsi="Arial" w:cs="Arial"/>
          <w:i/>
          <w:iCs/>
          <w:noProof/>
          <w:szCs w:val="24"/>
        </w:rPr>
        <w:t>J. Mol. Biol.</w:t>
      </w:r>
      <w:r w:rsidRPr="0088562C">
        <w:rPr>
          <w:rFonts w:ascii="Arial" w:hAnsi="Arial" w:cs="Arial"/>
          <w:noProof/>
          <w:szCs w:val="24"/>
        </w:rPr>
        <w:t xml:space="preserve"> </w:t>
      </w:r>
      <w:r w:rsidRPr="0088562C">
        <w:rPr>
          <w:rFonts w:ascii="Arial" w:hAnsi="Arial" w:cs="Arial"/>
          <w:i/>
          <w:iCs/>
          <w:noProof/>
          <w:szCs w:val="24"/>
        </w:rPr>
        <w:t>360</w:t>
      </w:r>
      <w:r w:rsidRPr="0088562C">
        <w:rPr>
          <w:rFonts w:ascii="Arial" w:hAnsi="Arial" w:cs="Arial"/>
          <w:noProof/>
          <w:szCs w:val="24"/>
        </w:rPr>
        <w:t>, 67–79.</w:t>
      </w:r>
    </w:p>
    <w:p w14:paraId="423FFEB9" w14:textId="77777777" w:rsidR="0088562C" w:rsidRPr="0088562C" w:rsidRDefault="0088562C" w:rsidP="0088562C">
      <w:pPr>
        <w:widowControl w:val="0"/>
        <w:autoSpaceDE w:val="0"/>
        <w:autoSpaceDN w:val="0"/>
        <w:adjustRightInd w:val="0"/>
        <w:spacing w:line="360" w:lineRule="auto"/>
        <w:rPr>
          <w:rFonts w:ascii="Arial" w:hAnsi="Arial" w:cs="Arial"/>
          <w:noProof/>
          <w:szCs w:val="24"/>
        </w:rPr>
      </w:pPr>
      <w:r w:rsidRPr="0088562C">
        <w:rPr>
          <w:rFonts w:ascii="Arial" w:hAnsi="Arial" w:cs="Arial"/>
          <w:noProof/>
          <w:szCs w:val="24"/>
        </w:rPr>
        <w:t xml:space="preserve">(93) Pritchard, L. K., Spencer, D. I. R., Royle, L., Bonomelli, C., Seabright, G. E., Behrens, A.-J., Kulp, D. W., Menis, S., Krumm, S. A., Dunlop, D. C., Crispin, D. J., Bowden, T. A., Scanlan, C. N., Ward, A. B., Schief, W. R., Doores, K. J., and Crispin, M. (2015) Glycan clustering stabilizes the mannose patch of HIV-1 and preserves vulnerability to broadly </w:t>
      </w:r>
      <w:r w:rsidRPr="0088562C">
        <w:rPr>
          <w:rFonts w:ascii="Arial" w:hAnsi="Arial" w:cs="Arial"/>
          <w:noProof/>
          <w:szCs w:val="24"/>
        </w:rPr>
        <w:lastRenderedPageBreak/>
        <w:t xml:space="preserve">neutralizing antibodies. </w:t>
      </w:r>
      <w:r w:rsidRPr="0088562C">
        <w:rPr>
          <w:rFonts w:ascii="Arial" w:hAnsi="Arial" w:cs="Arial"/>
          <w:i/>
          <w:iCs/>
          <w:noProof/>
          <w:szCs w:val="24"/>
        </w:rPr>
        <w:t>Nat. Commun.</w:t>
      </w:r>
      <w:r w:rsidRPr="0088562C">
        <w:rPr>
          <w:rFonts w:ascii="Arial" w:hAnsi="Arial" w:cs="Arial"/>
          <w:noProof/>
          <w:szCs w:val="24"/>
        </w:rPr>
        <w:t xml:space="preserve"> </w:t>
      </w:r>
      <w:r w:rsidRPr="0088562C">
        <w:rPr>
          <w:rFonts w:ascii="Arial" w:hAnsi="Arial" w:cs="Arial"/>
          <w:i/>
          <w:iCs/>
          <w:noProof/>
          <w:szCs w:val="24"/>
        </w:rPr>
        <w:t>6</w:t>
      </w:r>
      <w:r w:rsidRPr="0088562C">
        <w:rPr>
          <w:rFonts w:ascii="Arial" w:hAnsi="Arial" w:cs="Arial"/>
          <w:noProof/>
          <w:szCs w:val="24"/>
        </w:rPr>
        <w:t>, 7479.</w:t>
      </w:r>
    </w:p>
    <w:p w14:paraId="2C1BE99B" w14:textId="77777777" w:rsidR="0088562C" w:rsidRPr="0088562C" w:rsidRDefault="0088562C" w:rsidP="0088562C">
      <w:pPr>
        <w:widowControl w:val="0"/>
        <w:autoSpaceDE w:val="0"/>
        <w:autoSpaceDN w:val="0"/>
        <w:adjustRightInd w:val="0"/>
        <w:spacing w:line="360" w:lineRule="auto"/>
        <w:rPr>
          <w:rFonts w:ascii="Arial" w:hAnsi="Arial" w:cs="Arial"/>
          <w:noProof/>
        </w:rPr>
      </w:pPr>
      <w:r w:rsidRPr="0088562C">
        <w:rPr>
          <w:rFonts w:ascii="Arial" w:hAnsi="Arial" w:cs="Arial"/>
          <w:noProof/>
          <w:szCs w:val="24"/>
        </w:rPr>
        <w:t xml:space="preserve">(94) Williams, W. B., Meyerhoff, R. R., Edwards, R. J., Li, H., Manne, K., Nicely, N. I., Henderson, R., Zhou, Y., Janowska, K., Mansouri, K., Gobeil, S., Evangelous, T., Hora, B., Berry, M., Abuahmad, A. Y., Sprenz, J., Deyton, M., Stalls, V., Kopp, M., Hsu, A. L., Borgnia, M. J., Stewart-Jones, G., Lee, M. S., Bronkema, N., Moody, M. A., Wiehe, K., Bradley, T., Munir Alam, S., Parks, R. J., Foulger, A., Oguin, T., Santra, S., Perfect, J., Francica, J. R., Lynn, G. M., Aussedat, B., Walkowicz, W. E., Laga, R., Kelsoe, G., Saunders, K. O., Fera, D., Kwong, P. D., Seder, R. A., Bartesaghi, A., Shaw, G. M., Acharya, P., and Haynes, B. F. (2021) Fab-dimerized glycan-reactive antibodies are a structural category of natural antibodies. </w:t>
      </w:r>
      <w:r w:rsidRPr="0088562C">
        <w:rPr>
          <w:rFonts w:ascii="Arial" w:hAnsi="Arial" w:cs="Arial"/>
          <w:i/>
          <w:iCs/>
          <w:noProof/>
          <w:szCs w:val="24"/>
        </w:rPr>
        <w:t>Cell</w:t>
      </w:r>
      <w:r w:rsidRPr="0088562C">
        <w:rPr>
          <w:rFonts w:ascii="Arial" w:hAnsi="Arial" w:cs="Arial"/>
          <w:noProof/>
          <w:szCs w:val="24"/>
        </w:rPr>
        <w:t>.</w:t>
      </w:r>
    </w:p>
    <w:p w14:paraId="6A5ECED0" w14:textId="14643B7C" w:rsidR="00784FD2" w:rsidRDefault="00784FD2" w:rsidP="00205EF5">
      <w:pPr>
        <w:widowControl w:val="0"/>
        <w:autoSpaceDE w:val="0"/>
        <w:autoSpaceDN w:val="0"/>
        <w:adjustRightInd w:val="0"/>
        <w:spacing w:line="360" w:lineRule="auto"/>
        <w:ind w:left="640" w:hanging="640"/>
        <w:rPr>
          <w:rFonts w:ascii="Arial" w:hAnsi="Arial" w:cs="Arial"/>
          <w:b/>
          <w:bCs/>
        </w:rPr>
      </w:pPr>
      <w:r w:rsidRPr="006B3D43">
        <w:rPr>
          <w:rFonts w:ascii="Arial" w:hAnsi="Arial" w:cs="Arial"/>
          <w:b/>
          <w:bCs/>
        </w:rPr>
        <w:fldChar w:fldCharType="end"/>
      </w:r>
    </w:p>
    <w:p w14:paraId="644ACA7A" w14:textId="2446A0A2" w:rsidR="0047465D" w:rsidRDefault="0047465D" w:rsidP="00205EF5">
      <w:pPr>
        <w:widowControl w:val="0"/>
        <w:autoSpaceDE w:val="0"/>
        <w:autoSpaceDN w:val="0"/>
        <w:adjustRightInd w:val="0"/>
        <w:spacing w:line="360" w:lineRule="auto"/>
        <w:ind w:left="640" w:hanging="640"/>
        <w:rPr>
          <w:rFonts w:ascii="Arial" w:hAnsi="Arial" w:cs="Arial"/>
          <w:b/>
          <w:bCs/>
        </w:rPr>
      </w:pPr>
    </w:p>
    <w:p w14:paraId="448D396C" w14:textId="78E0C484" w:rsidR="0047465D" w:rsidRDefault="0047465D" w:rsidP="00205EF5">
      <w:pPr>
        <w:widowControl w:val="0"/>
        <w:autoSpaceDE w:val="0"/>
        <w:autoSpaceDN w:val="0"/>
        <w:adjustRightInd w:val="0"/>
        <w:spacing w:line="360" w:lineRule="auto"/>
        <w:ind w:left="640" w:hanging="640"/>
        <w:rPr>
          <w:rFonts w:ascii="Arial" w:hAnsi="Arial" w:cs="Arial"/>
          <w:b/>
          <w:bCs/>
        </w:rPr>
      </w:pPr>
    </w:p>
    <w:p w14:paraId="61DFE573" w14:textId="65726363" w:rsidR="0047465D" w:rsidRDefault="0047465D" w:rsidP="00205EF5">
      <w:pPr>
        <w:widowControl w:val="0"/>
        <w:autoSpaceDE w:val="0"/>
        <w:autoSpaceDN w:val="0"/>
        <w:adjustRightInd w:val="0"/>
        <w:spacing w:line="360" w:lineRule="auto"/>
        <w:ind w:left="640" w:hanging="640"/>
        <w:rPr>
          <w:rFonts w:ascii="Arial" w:hAnsi="Arial" w:cs="Arial"/>
          <w:b/>
          <w:bCs/>
        </w:rPr>
      </w:pPr>
    </w:p>
    <w:p w14:paraId="705BBB68" w14:textId="0A317AF2" w:rsidR="0047465D" w:rsidRDefault="0047465D" w:rsidP="00205EF5">
      <w:pPr>
        <w:widowControl w:val="0"/>
        <w:autoSpaceDE w:val="0"/>
        <w:autoSpaceDN w:val="0"/>
        <w:adjustRightInd w:val="0"/>
        <w:spacing w:line="360" w:lineRule="auto"/>
        <w:ind w:left="640" w:hanging="640"/>
        <w:rPr>
          <w:rFonts w:ascii="Arial" w:hAnsi="Arial" w:cs="Arial"/>
          <w:b/>
          <w:bCs/>
        </w:rPr>
      </w:pPr>
    </w:p>
    <w:p w14:paraId="27465AA0" w14:textId="510F7541" w:rsidR="0047465D" w:rsidRDefault="0047465D" w:rsidP="00205EF5">
      <w:pPr>
        <w:widowControl w:val="0"/>
        <w:autoSpaceDE w:val="0"/>
        <w:autoSpaceDN w:val="0"/>
        <w:adjustRightInd w:val="0"/>
        <w:spacing w:line="360" w:lineRule="auto"/>
        <w:ind w:left="640" w:hanging="640"/>
        <w:rPr>
          <w:rFonts w:ascii="Arial" w:hAnsi="Arial" w:cs="Arial"/>
          <w:b/>
          <w:bCs/>
        </w:rPr>
      </w:pPr>
    </w:p>
    <w:p w14:paraId="5F40B251" w14:textId="1563F03F" w:rsidR="008737C8" w:rsidRDefault="008737C8">
      <w:pPr>
        <w:rPr>
          <w:rFonts w:ascii="Arial" w:hAnsi="Arial" w:cs="Arial"/>
          <w:b/>
          <w:bCs/>
        </w:rPr>
      </w:pPr>
    </w:p>
    <w:sectPr w:rsidR="008737C8">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4F3F36" w14:textId="77777777" w:rsidR="00DC0499" w:rsidRDefault="00DC0499" w:rsidP="006B3D43">
      <w:pPr>
        <w:spacing w:after="0" w:line="240" w:lineRule="auto"/>
      </w:pPr>
      <w:r>
        <w:separator/>
      </w:r>
    </w:p>
  </w:endnote>
  <w:endnote w:type="continuationSeparator" w:id="0">
    <w:p w14:paraId="1E9A0E66" w14:textId="77777777" w:rsidR="00DC0499" w:rsidRDefault="00DC0499" w:rsidP="006B3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3626708"/>
      <w:docPartObj>
        <w:docPartGallery w:val="Page Numbers (Bottom of Page)"/>
        <w:docPartUnique/>
      </w:docPartObj>
    </w:sdtPr>
    <w:sdtEndPr>
      <w:rPr>
        <w:noProof/>
      </w:rPr>
    </w:sdtEndPr>
    <w:sdtContent>
      <w:p w14:paraId="780D7BD9" w14:textId="3860C784" w:rsidR="00F724BD" w:rsidRDefault="00F724BD">
        <w:pPr>
          <w:pStyle w:val="Footer"/>
        </w:pPr>
        <w:r>
          <w:fldChar w:fldCharType="begin"/>
        </w:r>
        <w:r>
          <w:instrText xml:space="preserve"> PAGE   \* MERGEFORMAT </w:instrText>
        </w:r>
        <w:r>
          <w:fldChar w:fldCharType="separate"/>
        </w:r>
        <w:r>
          <w:rPr>
            <w:noProof/>
          </w:rPr>
          <w:t>2</w:t>
        </w:r>
        <w:r>
          <w:rPr>
            <w:noProof/>
          </w:rPr>
          <w:fldChar w:fldCharType="end"/>
        </w:r>
      </w:p>
    </w:sdtContent>
  </w:sdt>
  <w:p w14:paraId="2D458840" w14:textId="77777777" w:rsidR="00F724BD" w:rsidRDefault="00F724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9290B" w14:textId="77777777" w:rsidR="00DC0499" w:rsidRDefault="00DC0499" w:rsidP="006B3D43">
      <w:pPr>
        <w:spacing w:after="0" w:line="240" w:lineRule="auto"/>
      </w:pPr>
      <w:r>
        <w:separator/>
      </w:r>
    </w:p>
  </w:footnote>
  <w:footnote w:type="continuationSeparator" w:id="0">
    <w:p w14:paraId="7FE11DA7" w14:textId="77777777" w:rsidR="00DC0499" w:rsidRDefault="00DC0499" w:rsidP="006B3D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F5254E"/>
    <w:multiLevelType w:val="hybridMultilevel"/>
    <w:tmpl w:val="94680402"/>
    <w:lvl w:ilvl="0" w:tplc="58B809E2">
      <w:start w:val="1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A938D5"/>
    <w:multiLevelType w:val="hybridMultilevel"/>
    <w:tmpl w:val="19A095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BF7D47"/>
    <w:multiLevelType w:val="hybridMultilevel"/>
    <w:tmpl w:val="BDBC6D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6E2BBF"/>
    <w:multiLevelType w:val="hybridMultilevel"/>
    <w:tmpl w:val="F042C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656E11"/>
    <w:multiLevelType w:val="hybridMultilevel"/>
    <w:tmpl w:val="9508F2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6487AA8"/>
    <w:multiLevelType w:val="multilevel"/>
    <w:tmpl w:val="86EEBE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07"/>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Q1MTI3MTEDMYyNlXSUglOLizPz80AKTGoBGO6VWCwAAAA="/>
  </w:docVars>
  <w:rsids>
    <w:rsidRoot w:val="00073D43"/>
    <w:rsid w:val="0000049B"/>
    <w:rsid w:val="00001D37"/>
    <w:rsid w:val="00005790"/>
    <w:rsid w:val="000149B8"/>
    <w:rsid w:val="0002267E"/>
    <w:rsid w:val="00023B92"/>
    <w:rsid w:val="000311B2"/>
    <w:rsid w:val="00033353"/>
    <w:rsid w:val="00033CD9"/>
    <w:rsid w:val="0003459C"/>
    <w:rsid w:val="00036EBD"/>
    <w:rsid w:val="000431CF"/>
    <w:rsid w:val="00054946"/>
    <w:rsid w:val="00073D43"/>
    <w:rsid w:val="00077B76"/>
    <w:rsid w:val="00086A36"/>
    <w:rsid w:val="00092511"/>
    <w:rsid w:val="000B15CB"/>
    <w:rsid w:val="000C07D6"/>
    <w:rsid w:val="000C20E9"/>
    <w:rsid w:val="000C23C6"/>
    <w:rsid w:val="000C4801"/>
    <w:rsid w:val="000C61AE"/>
    <w:rsid w:val="000C6C12"/>
    <w:rsid w:val="000D521C"/>
    <w:rsid w:val="000E445F"/>
    <w:rsid w:val="000E5F83"/>
    <w:rsid w:val="000F01ED"/>
    <w:rsid w:val="000F09EE"/>
    <w:rsid w:val="000F0B11"/>
    <w:rsid w:val="00107DA3"/>
    <w:rsid w:val="00111960"/>
    <w:rsid w:val="0011604D"/>
    <w:rsid w:val="00117ED3"/>
    <w:rsid w:val="00122A8D"/>
    <w:rsid w:val="00123B02"/>
    <w:rsid w:val="001455C2"/>
    <w:rsid w:val="00152C9F"/>
    <w:rsid w:val="00153A88"/>
    <w:rsid w:val="00154013"/>
    <w:rsid w:val="001562F0"/>
    <w:rsid w:val="001578DB"/>
    <w:rsid w:val="00160667"/>
    <w:rsid w:val="00160792"/>
    <w:rsid w:val="0016269F"/>
    <w:rsid w:val="00166FC9"/>
    <w:rsid w:val="0017406D"/>
    <w:rsid w:val="001774BB"/>
    <w:rsid w:val="00177D8F"/>
    <w:rsid w:val="00181F0F"/>
    <w:rsid w:val="00184A21"/>
    <w:rsid w:val="00185832"/>
    <w:rsid w:val="0019210D"/>
    <w:rsid w:val="00193B51"/>
    <w:rsid w:val="00193E3B"/>
    <w:rsid w:val="001A27B7"/>
    <w:rsid w:val="001A2C9F"/>
    <w:rsid w:val="001A44D9"/>
    <w:rsid w:val="001A50B4"/>
    <w:rsid w:val="001B1940"/>
    <w:rsid w:val="001B37DF"/>
    <w:rsid w:val="001C0AC2"/>
    <w:rsid w:val="001C1DEF"/>
    <w:rsid w:val="001C4512"/>
    <w:rsid w:val="001C73E1"/>
    <w:rsid w:val="001E02A1"/>
    <w:rsid w:val="001E0B31"/>
    <w:rsid w:val="001E2034"/>
    <w:rsid w:val="001E596A"/>
    <w:rsid w:val="001E750D"/>
    <w:rsid w:val="001F1DC5"/>
    <w:rsid w:val="001F2FC4"/>
    <w:rsid w:val="001F4CA2"/>
    <w:rsid w:val="001F55C7"/>
    <w:rsid w:val="002033EC"/>
    <w:rsid w:val="00205EF5"/>
    <w:rsid w:val="0020603E"/>
    <w:rsid w:val="002071A8"/>
    <w:rsid w:val="00207838"/>
    <w:rsid w:val="00210615"/>
    <w:rsid w:val="00210E7A"/>
    <w:rsid w:val="0021213D"/>
    <w:rsid w:val="00213681"/>
    <w:rsid w:val="00220E75"/>
    <w:rsid w:val="00223B53"/>
    <w:rsid w:val="002240D2"/>
    <w:rsid w:val="00224C23"/>
    <w:rsid w:val="002275EC"/>
    <w:rsid w:val="002453B5"/>
    <w:rsid w:val="00246BEC"/>
    <w:rsid w:val="0025422E"/>
    <w:rsid w:val="002609EB"/>
    <w:rsid w:val="00265EA3"/>
    <w:rsid w:val="0028033D"/>
    <w:rsid w:val="00280FE2"/>
    <w:rsid w:val="00281224"/>
    <w:rsid w:val="00282EF5"/>
    <w:rsid w:val="00291DC3"/>
    <w:rsid w:val="002949E9"/>
    <w:rsid w:val="002C5BAB"/>
    <w:rsid w:val="002C63DC"/>
    <w:rsid w:val="002C75C9"/>
    <w:rsid w:val="002D5CB9"/>
    <w:rsid w:val="002E1FAC"/>
    <w:rsid w:val="002E3F66"/>
    <w:rsid w:val="002E4E1F"/>
    <w:rsid w:val="002E7769"/>
    <w:rsid w:val="0030013C"/>
    <w:rsid w:val="00301456"/>
    <w:rsid w:val="003023BB"/>
    <w:rsid w:val="00306462"/>
    <w:rsid w:val="00307A17"/>
    <w:rsid w:val="003142F8"/>
    <w:rsid w:val="00316E5F"/>
    <w:rsid w:val="003173DB"/>
    <w:rsid w:val="00325C3C"/>
    <w:rsid w:val="00325F98"/>
    <w:rsid w:val="00331716"/>
    <w:rsid w:val="00331847"/>
    <w:rsid w:val="003329D8"/>
    <w:rsid w:val="00336C42"/>
    <w:rsid w:val="003420B8"/>
    <w:rsid w:val="00342BE5"/>
    <w:rsid w:val="00342CA2"/>
    <w:rsid w:val="00352483"/>
    <w:rsid w:val="0035269D"/>
    <w:rsid w:val="003526C8"/>
    <w:rsid w:val="003560A7"/>
    <w:rsid w:val="00360F3E"/>
    <w:rsid w:val="00363059"/>
    <w:rsid w:val="00367411"/>
    <w:rsid w:val="0036768F"/>
    <w:rsid w:val="00367DFE"/>
    <w:rsid w:val="00370983"/>
    <w:rsid w:val="003712D5"/>
    <w:rsid w:val="003723A4"/>
    <w:rsid w:val="003723D2"/>
    <w:rsid w:val="00381E0D"/>
    <w:rsid w:val="00386A61"/>
    <w:rsid w:val="00391831"/>
    <w:rsid w:val="00391B83"/>
    <w:rsid w:val="00396946"/>
    <w:rsid w:val="003A045C"/>
    <w:rsid w:val="003A281C"/>
    <w:rsid w:val="003A491B"/>
    <w:rsid w:val="003A57DF"/>
    <w:rsid w:val="003B1C2A"/>
    <w:rsid w:val="003B434E"/>
    <w:rsid w:val="003B47FB"/>
    <w:rsid w:val="003C1A33"/>
    <w:rsid w:val="003C325C"/>
    <w:rsid w:val="003C3384"/>
    <w:rsid w:val="003C7331"/>
    <w:rsid w:val="003C79D1"/>
    <w:rsid w:val="003D0EB5"/>
    <w:rsid w:val="003E6D02"/>
    <w:rsid w:val="003F4C00"/>
    <w:rsid w:val="00405DF9"/>
    <w:rsid w:val="00406654"/>
    <w:rsid w:val="004220BE"/>
    <w:rsid w:val="00425B38"/>
    <w:rsid w:val="00425DC8"/>
    <w:rsid w:val="00430F0E"/>
    <w:rsid w:val="004368F7"/>
    <w:rsid w:val="00440ACC"/>
    <w:rsid w:val="004504CD"/>
    <w:rsid w:val="00451746"/>
    <w:rsid w:val="00453216"/>
    <w:rsid w:val="00453E5E"/>
    <w:rsid w:val="00460776"/>
    <w:rsid w:val="0046225F"/>
    <w:rsid w:val="00462CFF"/>
    <w:rsid w:val="00465147"/>
    <w:rsid w:val="00465EF6"/>
    <w:rsid w:val="00473ABE"/>
    <w:rsid w:val="00473EB8"/>
    <w:rsid w:val="0047465D"/>
    <w:rsid w:val="004748E0"/>
    <w:rsid w:val="00476095"/>
    <w:rsid w:val="004862AE"/>
    <w:rsid w:val="00490795"/>
    <w:rsid w:val="00491999"/>
    <w:rsid w:val="00491D3B"/>
    <w:rsid w:val="00497EC2"/>
    <w:rsid w:val="004A250B"/>
    <w:rsid w:val="004A46E8"/>
    <w:rsid w:val="004A65CA"/>
    <w:rsid w:val="004B0D9E"/>
    <w:rsid w:val="004C1F00"/>
    <w:rsid w:val="004C5254"/>
    <w:rsid w:val="004C5522"/>
    <w:rsid w:val="004D175B"/>
    <w:rsid w:val="004D4B4D"/>
    <w:rsid w:val="004D5AD3"/>
    <w:rsid w:val="004E316F"/>
    <w:rsid w:val="004E3CE7"/>
    <w:rsid w:val="004F421B"/>
    <w:rsid w:val="004F4E51"/>
    <w:rsid w:val="00500580"/>
    <w:rsid w:val="0050063A"/>
    <w:rsid w:val="005006B5"/>
    <w:rsid w:val="005032E5"/>
    <w:rsid w:val="00504879"/>
    <w:rsid w:val="00505315"/>
    <w:rsid w:val="0050714E"/>
    <w:rsid w:val="00510FAE"/>
    <w:rsid w:val="00516D59"/>
    <w:rsid w:val="005222CE"/>
    <w:rsid w:val="005224F5"/>
    <w:rsid w:val="00522C55"/>
    <w:rsid w:val="00523AB4"/>
    <w:rsid w:val="005372BE"/>
    <w:rsid w:val="0054372F"/>
    <w:rsid w:val="005504FB"/>
    <w:rsid w:val="005528E7"/>
    <w:rsid w:val="00557DA4"/>
    <w:rsid w:val="005606C3"/>
    <w:rsid w:val="00562CE3"/>
    <w:rsid w:val="00564A3F"/>
    <w:rsid w:val="005666CE"/>
    <w:rsid w:val="005728B6"/>
    <w:rsid w:val="005759BD"/>
    <w:rsid w:val="0057652F"/>
    <w:rsid w:val="0058078C"/>
    <w:rsid w:val="005816AE"/>
    <w:rsid w:val="005837C4"/>
    <w:rsid w:val="00584E27"/>
    <w:rsid w:val="00592BBC"/>
    <w:rsid w:val="00593586"/>
    <w:rsid w:val="00593F20"/>
    <w:rsid w:val="005A30D6"/>
    <w:rsid w:val="005A402E"/>
    <w:rsid w:val="005A7101"/>
    <w:rsid w:val="005B1020"/>
    <w:rsid w:val="005B50AC"/>
    <w:rsid w:val="005B5881"/>
    <w:rsid w:val="005B7B43"/>
    <w:rsid w:val="005B7DFE"/>
    <w:rsid w:val="005C6839"/>
    <w:rsid w:val="005E1178"/>
    <w:rsid w:val="005E4D9B"/>
    <w:rsid w:val="005F5B45"/>
    <w:rsid w:val="0060745D"/>
    <w:rsid w:val="006079EE"/>
    <w:rsid w:val="00612C9C"/>
    <w:rsid w:val="00615A5F"/>
    <w:rsid w:val="00617AB6"/>
    <w:rsid w:val="00621AB3"/>
    <w:rsid w:val="006236F1"/>
    <w:rsid w:val="00624A24"/>
    <w:rsid w:val="00626736"/>
    <w:rsid w:val="00630C38"/>
    <w:rsid w:val="00631BAE"/>
    <w:rsid w:val="00633D9F"/>
    <w:rsid w:val="00635DEA"/>
    <w:rsid w:val="00636B0C"/>
    <w:rsid w:val="00642066"/>
    <w:rsid w:val="00644258"/>
    <w:rsid w:val="00645866"/>
    <w:rsid w:val="00647775"/>
    <w:rsid w:val="0065297D"/>
    <w:rsid w:val="006579E7"/>
    <w:rsid w:val="006579EE"/>
    <w:rsid w:val="00662AE6"/>
    <w:rsid w:val="006637E6"/>
    <w:rsid w:val="00665C8A"/>
    <w:rsid w:val="006716E2"/>
    <w:rsid w:val="006738DE"/>
    <w:rsid w:val="006739D7"/>
    <w:rsid w:val="00675FB4"/>
    <w:rsid w:val="006766D8"/>
    <w:rsid w:val="00680AF9"/>
    <w:rsid w:val="0068295B"/>
    <w:rsid w:val="00684B82"/>
    <w:rsid w:val="006A3CB4"/>
    <w:rsid w:val="006A5E00"/>
    <w:rsid w:val="006A63FC"/>
    <w:rsid w:val="006B3D43"/>
    <w:rsid w:val="006C5CB3"/>
    <w:rsid w:val="006C6180"/>
    <w:rsid w:val="006C7481"/>
    <w:rsid w:val="006D41B4"/>
    <w:rsid w:val="006D53EB"/>
    <w:rsid w:val="006E6D17"/>
    <w:rsid w:val="006F111C"/>
    <w:rsid w:val="006F1875"/>
    <w:rsid w:val="006F2F08"/>
    <w:rsid w:val="006F412F"/>
    <w:rsid w:val="006F77C6"/>
    <w:rsid w:val="0070259F"/>
    <w:rsid w:val="0070492C"/>
    <w:rsid w:val="00722489"/>
    <w:rsid w:val="007405D2"/>
    <w:rsid w:val="0074254C"/>
    <w:rsid w:val="007446EE"/>
    <w:rsid w:val="00744D87"/>
    <w:rsid w:val="00746E28"/>
    <w:rsid w:val="00751849"/>
    <w:rsid w:val="007541F2"/>
    <w:rsid w:val="00762C6C"/>
    <w:rsid w:val="00762D70"/>
    <w:rsid w:val="00771E10"/>
    <w:rsid w:val="00774039"/>
    <w:rsid w:val="007761BB"/>
    <w:rsid w:val="00776486"/>
    <w:rsid w:val="007774B6"/>
    <w:rsid w:val="00784FD2"/>
    <w:rsid w:val="00784FFF"/>
    <w:rsid w:val="007924F9"/>
    <w:rsid w:val="007927C7"/>
    <w:rsid w:val="0079797E"/>
    <w:rsid w:val="007A0BB8"/>
    <w:rsid w:val="007A538B"/>
    <w:rsid w:val="007A5564"/>
    <w:rsid w:val="007A55C5"/>
    <w:rsid w:val="007A7026"/>
    <w:rsid w:val="007B5E1E"/>
    <w:rsid w:val="007C05AE"/>
    <w:rsid w:val="007C39C1"/>
    <w:rsid w:val="007C4227"/>
    <w:rsid w:val="007C60AC"/>
    <w:rsid w:val="007C7EBB"/>
    <w:rsid w:val="007D03B0"/>
    <w:rsid w:val="007D3950"/>
    <w:rsid w:val="007D426D"/>
    <w:rsid w:val="007D438F"/>
    <w:rsid w:val="007E6B92"/>
    <w:rsid w:val="007E7677"/>
    <w:rsid w:val="007E79E3"/>
    <w:rsid w:val="007F2BBB"/>
    <w:rsid w:val="007F636A"/>
    <w:rsid w:val="007F7C29"/>
    <w:rsid w:val="00803CB6"/>
    <w:rsid w:val="0081126D"/>
    <w:rsid w:val="00811488"/>
    <w:rsid w:val="008233E5"/>
    <w:rsid w:val="0083382B"/>
    <w:rsid w:val="00835551"/>
    <w:rsid w:val="00840C76"/>
    <w:rsid w:val="0084392D"/>
    <w:rsid w:val="00847F38"/>
    <w:rsid w:val="008544C9"/>
    <w:rsid w:val="008574DE"/>
    <w:rsid w:val="00861E96"/>
    <w:rsid w:val="008634BA"/>
    <w:rsid w:val="008677F8"/>
    <w:rsid w:val="00870586"/>
    <w:rsid w:val="008737C8"/>
    <w:rsid w:val="00874ABD"/>
    <w:rsid w:val="00880647"/>
    <w:rsid w:val="00880D75"/>
    <w:rsid w:val="00881160"/>
    <w:rsid w:val="0088562C"/>
    <w:rsid w:val="00885C69"/>
    <w:rsid w:val="008860EB"/>
    <w:rsid w:val="008872CC"/>
    <w:rsid w:val="008923AD"/>
    <w:rsid w:val="00892A08"/>
    <w:rsid w:val="008930F3"/>
    <w:rsid w:val="008A03A8"/>
    <w:rsid w:val="008A5A6D"/>
    <w:rsid w:val="008B6DF7"/>
    <w:rsid w:val="008C1884"/>
    <w:rsid w:val="008C5AB0"/>
    <w:rsid w:val="008C7408"/>
    <w:rsid w:val="008D02CF"/>
    <w:rsid w:val="008D0913"/>
    <w:rsid w:val="008D3A3B"/>
    <w:rsid w:val="008D572A"/>
    <w:rsid w:val="008E170C"/>
    <w:rsid w:val="008E3882"/>
    <w:rsid w:val="008F39B0"/>
    <w:rsid w:val="008F61E5"/>
    <w:rsid w:val="00902434"/>
    <w:rsid w:val="00912598"/>
    <w:rsid w:val="0091371D"/>
    <w:rsid w:val="0091782A"/>
    <w:rsid w:val="0092699D"/>
    <w:rsid w:val="00930E7C"/>
    <w:rsid w:val="00933930"/>
    <w:rsid w:val="009342C2"/>
    <w:rsid w:val="00934A6B"/>
    <w:rsid w:val="00934E00"/>
    <w:rsid w:val="00935E47"/>
    <w:rsid w:val="0093660A"/>
    <w:rsid w:val="009378B3"/>
    <w:rsid w:val="00940120"/>
    <w:rsid w:val="00942B08"/>
    <w:rsid w:val="00943E15"/>
    <w:rsid w:val="00947548"/>
    <w:rsid w:val="00947BE6"/>
    <w:rsid w:val="00954E48"/>
    <w:rsid w:val="009623CA"/>
    <w:rsid w:val="009675A0"/>
    <w:rsid w:val="00972267"/>
    <w:rsid w:val="00973526"/>
    <w:rsid w:val="00976235"/>
    <w:rsid w:val="00976A3D"/>
    <w:rsid w:val="009A1F65"/>
    <w:rsid w:val="009B3A3C"/>
    <w:rsid w:val="009B788D"/>
    <w:rsid w:val="009B7B2C"/>
    <w:rsid w:val="009C0FE7"/>
    <w:rsid w:val="009C7FB1"/>
    <w:rsid w:val="009D0B12"/>
    <w:rsid w:val="009D1441"/>
    <w:rsid w:val="009D5598"/>
    <w:rsid w:val="009D67E1"/>
    <w:rsid w:val="009D76DD"/>
    <w:rsid w:val="009E22F0"/>
    <w:rsid w:val="009E3371"/>
    <w:rsid w:val="009E3F2B"/>
    <w:rsid w:val="00A004AB"/>
    <w:rsid w:val="00A0609F"/>
    <w:rsid w:val="00A0779B"/>
    <w:rsid w:val="00A2582D"/>
    <w:rsid w:val="00A32E51"/>
    <w:rsid w:val="00A33A3A"/>
    <w:rsid w:val="00A36C4D"/>
    <w:rsid w:val="00A43268"/>
    <w:rsid w:val="00A51346"/>
    <w:rsid w:val="00A546AF"/>
    <w:rsid w:val="00A64B7F"/>
    <w:rsid w:val="00A7358D"/>
    <w:rsid w:val="00A77F4F"/>
    <w:rsid w:val="00A82F54"/>
    <w:rsid w:val="00A8799D"/>
    <w:rsid w:val="00A87ACB"/>
    <w:rsid w:val="00A94C53"/>
    <w:rsid w:val="00A95F5E"/>
    <w:rsid w:val="00AA02FB"/>
    <w:rsid w:val="00AA453D"/>
    <w:rsid w:val="00AA4860"/>
    <w:rsid w:val="00AA5EE2"/>
    <w:rsid w:val="00AB0833"/>
    <w:rsid w:val="00AB1712"/>
    <w:rsid w:val="00AB1A1D"/>
    <w:rsid w:val="00AC2ECE"/>
    <w:rsid w:val="00AC3196"/>
    <w:rsid w:val="00AC634D"/>
    <w:rsid w:val="00AC6F74"/>
    <w:rsid w:val="00AC79FF"/>
    <w:rsid w:val="00AC7BF3"/>
    <w:rsid w:val="00AD37EE"/>
    <w:rsid w:val="00AE100B"/>
    <w:rsid w:val="00AE3196"/>
    <w:rsid w:val="00AE4253"/>
    <w:rsid w:val="00AF00B3"/>
    <w:rsid w:val="00AF6EBF"/>
    <w:rsid w:val="00AF7363"/>
    <w:rsid w:val="00B0396E"/>
    <w:rsid w:val="00B04577"/>
    <w:rsid w:val="00B05BA8"/>
    <w:rsid w:val="00B10578"/>
    <w:rsid w:val="00B11319"/>
    <w:rsid w:val="00B116A2"/>
    <w:rsid w:val="00B2042E"/>
    <w:rsid w:val="00B25F46"/>
    <w:rsid w:val="00B26F3F"/>
    <w:rsid w:val="00B318C2"/>
    <w:rsid w:val="00B31D68"/>
    <w:rsid w:val="00B341D8"/>
    <w:rsid w:val="00B344BA"/>
    <w:rsid w:val="00B36CEF"/>
    <w:rsid w:val="00B42828"/>
    <w:rsid w:val="00B4407A"/>
    <w:rsid w:val="00B47818"/>
    <w:rsid w:val="00B51562"/>
    <w:rsid w:val="00B531AE"/>
    <w:rsid w:val="00B53657"/>
    <w:rsid w:val="00B55FC5"/>
    <w:rsid w:val="00B566E3"/>
    <w:rsid w:val="00B60B3D"/>
    <w:rsid w:val="00B64A4B"/>
    <w:rsid w:val="00B67947"/>
    <w:rsid w:val="00B81ABA"/>
    <w:rsid w:val="00B822AA"/>
    <w:rsid w:val="00B84C96"/>
    <w:rsid w:val="00B90E37"/>
    <w:rsid w:val="00B92117"/>
    <w:rsid w:val="00B92154"/>
    <w:rsid w:val="00B939D1"/>
    <w:rsid w:val="00B95E2F"/>
    <w:rsid w:val="00BA1A83"/>
    <w:rsid w:val="00BA4615"/>
    <w:rsid w:val="00BA6D04"/>
    <w:rsid w:val="00BB085E"/>
    <w:rsid w:val="00BB283E"/>
    <w:rsid w:val="00BC034E"/>
    <w:rsid w:val="00BC1287"/>
    <w:rsid w:val="00BD3A52"/>
    <w:rsid w:val="00BD47A0"/>
    <w:rsid w:val="00BF318B"/>
    <w:rsid w:val="00C00E47"/>
    <w:rsid w:val="00C104D6"/>
    <w:rsid w:val="00C12BB1"/>
    <w:rsid w:val="00C20977"/>
    <w:rsid w:val="00C2462E"/>
    <w:rsid w:val="00C2576F"/>
    <w:rsid w:val="00C2612B"/>
    <w:rsid w:val="00C43BE4"/>
    <w:rsid w:val="00C43EEC"/>
    <w:rsid w:val="00C5096D"/>
    <w:rsid w:val="00C54AB3"/>
    <w:rsid w:val="00C56355"/>
    <w:rsid w:val="00C6228D"/>
    <w:rsid w:val="00C6734C"/>
    <w:rsid w:val="00C71B70"/>
    <w:rsid w:val="00C71D29"/>
    <w:rsid w:val="00C72156"/>
    <w:rsid w:val="00C7287C"/>
    <w:rsid w:val="00C728B4"/>
    <w:rsid w:val="00C7554C"/>
    <w:rsid w:val="00C8384B"/>
    <w:rsid w:val="00C841F9"/>
    <w:rsid w:val="00C867D2"/>
    <w:rsid w:val="00C979F9"/>
    <w:rsid w:val="00C97E71"/>
    <w:rsid w:val="00CB135D"/>
    <w:rsid w:val="00CB197C"/>
    <w:rsid w:val="00CB53B5"/>
    <w:rsid w:val="00CC073C"/>
    <w:rsid w:val="00CC2966"/>
    <w:rsid w:val="00CC43FC"/>
    <w:rsid w:val="00CC659B"/>
    <w:rsid w:val="00CD1A60"/>
    <w:rsid w:val="00CE0F21"/>
    <w:rsid w:val="00CE4C3B"/>
    <w:rsid w:val="00CE7733"/>
    <w:rsid w:val="00CF173D"/>
    <w:rsid w:val="00CF548E"/>
    <w:rsid w:val="00D01773"/>
    <w:rsid w:val="00D05F0A"/>
    <w:rsid w:val="00D113C2"/>
    <w:rsid w:val="00D1176E"/>
    <w:rsid w:val="00D12BF9"/>
    <w:rsid w:val="00D133B0"/>
    <w:rsid w:val="00D16548"/>
    <w:rsid w:val="00D22C12"/>
    <w:rsid w:val="00D2347C"/>
    <w:rsid w:val="00D24650"/>
    <w:rsid w:val="00D2567D"/>
    <w:rsid w:val="00D258FC"/>
    <w:rsid w:val="00D266BD"/>
    <w:rsid w:val="00D30C31"/>
    <w:rsid w:val="00D3670E"/>
    <w:rsid w:val="00D4473B"/>
    <w:rsid w:val="00D503EF"/>
    <w:rsid w:val="00D50E85"/>
    <w:rsid w:val="00D525AD"/>
    <w:rsid w:val="00D7001A"/>
    <w:rsid w:val="00D7365E"/>
    <w:rsid w:val="00D76DE0"/>
    <w:rsid w:val="00D84372"/>
    <w:rsid w:val="00D8588D"/>
    <w:rsid w:val="00D86512"/>
    <w:rsid w:val="00D906D6"/>
    <w:rsid w:val="00D92230"/>
    <w:rsid w:val="00D939FD"/>
    <w:rsid w:val="00D948E3"/>
    <w:rsid w:val="00D959B9"/>
    <w:rsid w:val="00DB2AB5"/>
    <w:rsid w:val="00DC0499"/>
    <w:rsid w:val="00DC70F7"/>
    <w:rsid w:val="00DC7DCE"/>
    <w:rsid w:val="00DC7EA5"/>
    <w:rsid w:val="00DD1A95"/>
    <w:rsid w:val="00DD33E0"/>
    <w:rsid w:val="00DD5C6F"/>
    <w:rsid w:val="00DD69B5"/>
    <w:rsid w:val="00DD7DA2"/>
    <w:rsid w:val="00DE3E61"/>
    <w:rsid w:val="00DE515A"/>
    <w:rsid w:val="00DE5171"/>
    <w:rsid w:val="00DF0899"/>
    <w:rsid w:val="00DF2C80"/>
    <w:rsid w:val="00E00903"/>
    <w:rsid w:val="00E019CD"/>
    <w:rsid w:val="00E04BB0"/>
    <w:rsid w:val="00E06734"/>
    <w:rsid w:val="00E11CF8"/>
    <w:rsid w:val="00E1325C"/>
    <w:rsid w:val="00E21195"/>
    <w:rsid w:val="00E26604"/>
    <w:rsid w:val="00E27704"/>
    <w:rsid w:val="00E31B7B"/>
    <w:rsid w:val="00E31D0D"/>
    <w:rsid w:val="00E36224"/>
    <w:rsid w:val="00E362BE"/>
    <w:rsid w:val="00E41C72"/>
    <w:rsid w:val="00E46356"/>
    <w:rsid w:val="00E53565"/>
    <w:rsid w:val="00E536CB"/>
    <w:rsid w:val="00E61F00"/>
    <w:rsid w:val="00E6662E"/>
    <w:rsid w:val="00E66E4A"/>
    <w:rsid w:val="00E71885"/>
    <w:rsid w:val="00E73968"/>
    <w:rsid w:val="00E76570"/>
    <w:rsid w:val="00E824FF"/>
    <w:rsid w:val="00E860D7"/>
    <w:rsid w:val="00E875A3"/>
    <w:rsid w:val="00E87F93"/>
    <w:rsid w:val="00E92643"/>
    <w:rsid w:val="00E9492E"/>
    <w:rsid w:val="00E969DD"/>
    <w:rsid w:val="00E96F66"/>
    <w:rsid w:val="00EA1C70"/>
    <w:rsid w:val="00EA2D7A"/>
    <w:rsid w:val="00EA5165"/>
    <w:rsid w:val="00EB4CB9"/>
    <w:rsid w:val="00EC039E"/>
    <w:rsid w:val="00EC41F0"/>
    <w:rsid w:val="00ED2DA3"/>
    <w:rsid w:val="00ED3574"/>
    <w:rsid w:val="00ED58B4"/>
    <w:rsid w:val="00ED641C"/>
    <w:rsid w:val="00EE1000"/>
    <w:rsid w:val="00EE3792"/>
    <w:rsid w:val="00EE383E"/>
    <w:rsid w:val="00EE4B54"/>
    <w:rsid w:val="00EF2E85"/>
    <w:rsid w:val="00EF3696"/>
    <w:rsid w:val="00F042BA"/>
    <w:rsid w:val="00F047E5"/>
    <w:rsid w:val="00F062CA"/>
    <w:rsid w:val="00F079D7"/>
    <w:rsid w:val="00F16B78"/>
    <w:rsid w:val="00F30D23"/>
    <w:rsid w:val="00F30EED"/>
    <w:rsid w:val="00F33B4C"/>
    <w:rsid w:val="00F34312"/>
    <w:rsid w:val="00F37283"/>
    <w:rsid w:val="00F41E65"/>
    <w:rsid w:val="00F4245A"/>
    <w:rsid w:val="00F42CBA"/>
    <w:rsid w:val="00F46702"/>
    <w:rsid w:val="00F470F5"/>
    <w:rsid w:val="00F60C8D"/>
    <w:rsid w:val="00F65D33"/>
    <w:rsid w:val="00F66440"/>
    <w:rsid w:val="00F724BD"/>
    <w:rsid w:val="00F872B5"/>
    <w:rsid w:val="00F93B81"/>
    <w:rsid w:val="00F948E9"/>
    <w:rsid w:val="00FA18C5"/>
    <w:rsid w:val="00FA44CA"/>
    <w:rsid w:val="00FA460C"/>
    <w:rsid w:val="00FA68E8"/>
    <w:rsid w:val="00FB0E5C"/>
    <w:rsid w:val="00FB2231"/>
    <w:rsid w:val="00FB56BA"/>
    <w:rsid w:val="00FB6889"/>
    <w:rsid w:val="00FB6ADD"/>
    <w:rsid w:val="00FB73BE"/>
    <w:rsid w:val="00FC5613"/>
    <w:rsid w:val="00FD00FE"/>
    <w:rsid w:val="00FD101D"/>
    <w:rsid w:val="00FD174F"/>
    <w:rsid w:val="00FD5705"/>
    <w:rsid w:val="00FE368F"/>
    <w:rsid w:val="00FE7107"/>
    <w:rsid w:val="00FF41AF"/>
    <w:rsid w:val="00FF47E1"/>
    <w:rsid w:val="00FF7185"/>
    <w:rsid w:val="00FF76C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0C03D"/>
  <w15:chartTrackingRefBased/>
  <w15:docId w15:val="{ED827A62-81B9-4AF4-99F4-27D5D47E3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link w:val="Heading1Char"/>
    <w:uiPriority w:val="9"/>
    <w:qFormat/>
    <w:rsid w:val="007A5564"/>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semiHidden/>
    <w:unhideWhenUsed/>
    <w:qFormat/>
    <w:rsid w:val="002E3F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D53EB"/>
    <w:rPr>
      <w:sz w:val="16"/>
      <w:szCs w:val="16"/>
    </w:rPr>
  </w:style>
  <w:style w:type="paragraph" w:styleId="CommentText">
    <w:name w:val="annotation text"/>
    <w:basedOn w:val="Normal"/>
    <w:link w:val="CommentTextChar"/>
    <w:uiPriority w:val="99"/>
    <w:semiHidden/>
    <w:unhideWhenUsed/>
    <w:rsid w:val="006D53EB"/>
    <w:pPr>
      <w:spacing w:line="240" w:lineRule="auto"/>
    </w:pPr>
    <w:rPr>
      <w:sz w:val="20"/>
      <w:szCs w:val="20"/>
    </w:rPr>
  </w:style>
  <w:style w:type="character" w:customStyle="1" w:styleId="CommentTextChar">
    <w:name w:val="Comment Text Char"/>
    <w:basedOn w:val="DefaultParagraphFont"/>
    <w:link w:val="CommentText"/>
    <w:uiPriority w:val="99"/>
    <w:semiHidden/>
    <w:rsid w:val="006D53EB"/>
    <w:rPr>
      <w:sz w:val="20"/>
      <w:szCs w:val="20"/>
      <w:lang w:val="en-US"/>
    </w:rPr>
  </w:style>
  <w:style w:type="paragraph" w:styleId="CommentSubject">
    <w:name w:val="annotation subject"/>
    <w:basedOn w:val="CommentText"/>
    <w:next w:val="CommentText"/>
    <w:link w:val="CommentSubjectChar"/>
    <w:uiPriority w:val="99"/>
    <w:semiHidden/>
    <w:unhideWhenUsed/>
    <w:rsid w:val="006D53EB"/>
    <w:rPr>
      <w:b/>
      <w:bCs/>
    </w:rPr>
  </w:style>
  <w:style w:type="character" w:customStyle="1" w:styleId="CommentSubjectChar">
    <w:name w:val="Comment Subject Char"/>
    <w:basedOn w:val="CommentTextChar"/>
    <w:link w:val="CommentSubject"/>
    <w:uiPriority w:val="99"/>
    <w:semiHidden/>
    <w:rsid w:val="006D53EB"/>
    <w:rPr>
      <w:b/>
      <w:bCs/>
      <w:sz w:val="20"/>
      <w:szCs w:val="20"/>
      <w:lang w:val="en-US"/>
    </w:rPr>
  </w:style>
  <w:style w:type="paragraph" w:styleId="BalloonText">
    <w:name w:val="Balloon Text"/>
    <w:basedOn w:val="Normal"/>
    <w:link w:val="BalloonTextChar"/>
    <w:uiPriority w:val="99"/>
    <w:semiHidden/>
    <w:unhideWhenUsed/>
    <w:rsid w:val="006D53E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D53EB"/>
    <w:rPr>
      <w:rFonts w:ascii="Times New Roman" w:hAnsi="Times New Roman" w:cs="Times New Roman"/>
      <w:sz w:val="18"/>
      <w:szCs w:val="18"/>
      <w:lang w:val="en-US"/>
    </w:rPr>
  </w:style>
  <w:style w:type="paragraph" w:styleId="ListParagraph">
    <w:name w:val="List Paragraph"/>
    <w:basedOn w:val="Normal"/>
    <w:uiPriority w:val="34"/>
    <w:qFormat/>
    <w:rsid w:val="00FC5613"/>
    <w:pPr>
      <w:ind w:left="720"/>
      <w:contextualSpacing/>
    </w:pPr>
  </w:style>
  <w:style w:type="character" w:styleId="Hyperlink">
    <w:name w:val="Hyperlink"/>
    <w:basedOn w:val="DefaultParagraphFont"/>
    <w:uiPriority w:val="99"/>
    <w:unhideWhenUsed/>
    <w:rsid w:val="00D113C2"/>
    <w:rPr>
      <w:color w:val="0563C1" w:themeColor="hyperlink"/>
      <w:u w:val="single"/>
    </w:rPr>
  </w:style>
  <w:style w:type="character" w:styleId="UnresolvedMention">
    <w:name w:val="Unresolved Mention"/>
    <w:basedOn w:val="DefaultParagraphFont"/>
    <w:uiPriority w:val="99"/>
    <w:semiHidden/>
    <w:unhideWhenUsed/>
    <w:rsid w:val="00D113C2"/>
    <w:rPr>
      <w:color w:val="605E5C"/>
      <w:shd w:val="clear" w:color="auto" w:fill="E1DFDD"/>
    </w:rPr>
  </w:style>
  <w:style w:type="character" w:styleId="FollowedHyperlink">
    <w:name w:val="FollowedHyperlink"/>
    <w:basedOn w:val="DefaultParagraphFont"/>
    <w:uiPriority w:val="99"/>
    <w:semiHidden/>
    <w:unhideWhenUsed/>
    <w:rsid w:val="00E11CF8"/>
    <w:rPr>
      <w:color w:val="954F72" w:themeColor="followedHyperlink"/>
      <w:u w:val="single"/>
    </w:rPr>
  </w:style>
  <w:style w:type="character" w:customStyle="1" w:styleId="Heading1Char">
    <w:name w:val="Heading 1 Char"/>
    <w:basedOn w:val="DefaultParagraphFont"/>
    <w:link w:val="Heading1"/>
    <w:uiPriority w:val="9"/>
    <w:rsid w:val="007A5564"/>
    <w:rPr>
      <w:rFonts w:ascii="Times New Roman" w:eastAsia="Times New Roman" w:hAnsi="Times New Roman" w:cs="Times New Roman"/>
      <w:b/>
      <w:bCs/>
      <w:kern w:val="36"/>
      <w:sz w:val="48"/>
      <w:szCs w:val="48"/>
      <w:lang w:eastAsia="en-GB"/>
    </w:rPr>
  </w:style>
  <w:style w:type="paragraph" w:styleId="Revision">
    <w:name w:val="Revision"/>
    <w:hidden/>
    <w:uiPriority w:val="99"/>
    <w:semiHidden/>
    <w:rsid w:val="005C6839"/>
    <w:pPr>
      <w:spacing w:after="0" w:line="240" w:lineRule="auto"/>
    </w:pPr>
    <w:rPr>
      <w:lang w:val="en-US"/>
    </w:rPr>
  </w:style>
  <w:style w:type="paragraph" w:styleId="Header">
    <w:name w:val="header"/>
    <w:basedOn w:val="Normal"/>
    <w:link w:val="HeaderChar"/>
    <w:uiPriority w:val="99"/>
    <w:unhideWhenUsed/>
    <w:rsid w:val="006B3D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D43"/>
    <w:rPr>
      <w:lang w:val="en-US"/>
    </w:rPr>
  </w:style>
  <w:style w:type="paragraph" w:styleId="Footer">
    <w:name w:val="footer"/>
    <w:basedOn w:val="Normal"/>
    <w:link w:val="FooterChar"/>
    <w:uiPriority w:val="99"/>
    <w:unhideWhenUsed/>
    <w:rsid w:val="006B3D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D43"/>
    <w:rPr>
      <w:lang w:val="en-US"/>
    </w:rPr>
  </w:style>
  <w:style w:type="paragraph" w:styleId="NormalWeb">
    <w:name w:val="Normal (Web)"/>
    <w:basedOn w:val="Normal"/>
    <w:uiPriority w:val="99"/>
    <w:semiHidden/>
    <w:unhideWhenUsed/>
    <w:rsid w:val="008A03A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x-doi">
    <w:name w:val="dx-doi"/>
    <w:basedOn w:val="Normal"/>
    <w:rsid w:val="00C43EE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Heading2Char">
    <w:name w:val="Heading 2 Char"/>
    <w:basedOn w:val="DefaultParagraphFont"/>
    <w:link w:val="Heading2"/>
    <w:uiPriority w:val="9"/>
    <w:semiHidden/>
    <w:rsid w:val="002E3F66"/>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570017">
      <w:bodyDiv w:val="1"/>
      <w:marLeft w:val="0"/>
      <w:marRight w:val="0"/>
      <w:marTop w:val="0"/>
      <w:marBottom w:val="0"/>
      <w:divBdr>
        <w:top w:val="none" w:sz="0" w:space="0" w:color="auto"/>
        <w:left w:val="none" w:sz="0" w:space="0" w:color="auto"/>
        <w:bottom w:val="none" w:sz="0" w:space="0" w:color="auto"/>
        <w:right w:val="none" w:sz="0" w:space="0" w:color="auto"/>
      </w:divBdr>
    </w:div>
    <w:div w:id="388186877">
      <w:bodyDiv w:val="1"/>
      <w:marLeft w:val="0"/>
      <w:marRight w:val="0"/>
      <w:marTop w:val="0"/>
      <w:marBottom w:val="0"/>
      <w:divBdr>
        <w:top w:val="none" w:sz="0" w:space="0" w:color="auto"/>
        <w:left w:val="none" w:sz="0" w:space="0" w:color="auto"/>
        <w:bottom w:val="none" w:sz="0" w:space="0" w:color="auto"/>
        <w:right w:val="none" w:sz="0" w:space="0" w:color="auto"/>
      </w:divBdr>
    </w:div>
    <w:div w:id="398135300">
      <w:bodyDiv w:val="1"/>
      <w:marLeft w:val="0"/>
      <w:marRight w:val="0"/>
      <w:marTop w:val="0"/>
      <w:marBottom w:val="0"/>
      <w:divBdr>
        <w:top w:val="none" w:sz="0" w:space="0" w:color="auto"/>
        <w:left w:val="none" w:sz="0" w:space="0" w:color="auto"/>
        <w:bottom w:val="none" w:sz="0" w:space="0" w:color="auto"/>
        <w:right w:val="none" w:sz="0" w:space="0" w:color="auto"/>
      </w:divBdr>
    </w:div>
    <w:div w:id="419523196">
      <w:bodyDiv w:val="1"/>
      <w:marLeft w:val="0"/>
      <w:marRight w:val="0"/>
      <w:marTop w:val="0"/>
      <w:marBottom w:val="0"/>
      <w:divBdr>
        <w:top w:val="none" w:sz="0" w:space="0" w:color="auto"/>
        <w:left w:val="none" w:sz="0" w:space="0" w:color="auto"/>
        <w:bottom w:val="none" w:sz="0" w:space="0" w:color="auto"/>
        <w:right w:val="none" w:sz="0" w:space="0" w:color="auto"/>
      </w:divBdr>
    </w:div>
    <w:div w:id="423495942">
      <w:bodyDiv w:val="1"/>
      <w:marLeft w:val="0"/>
      <w:marRight w:val="0"/>
      <w:marTop w:val="0"/>
      <w:marBottom w:val="0"/>
      <w:divBdr>
        <w:top w:val="none" w:sz="0" w:space="0" w:color="auto"/>
        <w:left w:val="none" w:sz="0" w:space="0" w:color="auto"/>
        <w:bottom w:val="none" w:sz="0" w:space="0" w:color="auto"/>
        <w:right w:val="none" w:sz="0" w:space="0" w:color="auto"/>
      </w:divBdr>
    </w:div>
    <w:div w:id="596255437">
      <w:bodyDiv w:val="1"/>
      <w:marLeft w:val="0"/>
      <w:marRight w:val="0"/>
      <w:marTop w:val="0"/>
      <w:marBottom w:val="0"/>
      <w:divBdr>
        <w:top w:val="none" w:sz="0" w:space="0" w:color="auto"/>
        <w:left w:val="none" w:sz="0" w:space="0" w:color="auto"/>
        <w:bottom w:val="none" w:sz="0" w:space="0" w:color="auto"/>
        <w:right w:val="none" w:sz="0" w:space="0" w:color="auto"/>
      </w:divBdr>
    </w:div>
    <w:div w:id="802190552">
      <w:bodyDiv w:val="1"/>
      <w:marLeft w:val="0"/>
      <w:marRight w:val="0"/>
      <w:marTop w:val="0"/>
      <w:marBottom w:val="0"/>
      <w:divBdr>
        <w:top w:val="none" w:sz="0" w:space="0" w:color="auto"/>
        <w:left w:val="none" w:sz="0" w:space="0" w:color="auto"/>
        <w:bottom w:val="none" w:sz="0" w:space="0" w:color="auto"/>
        <w:right w:val="none" w:sz="0" w:space="0" w:color="auto"/>
      </w:divBdr>
    </w:div>
    <w:div w:id="886574854">
      <w:bodyDiv w:val="1"/>
      <w:marLeft w:val="0"/>
      <w:marRight w:val="0"/>
      <w:marTop w:val="0"/>
      <w:marBottom w:val="0"/>
      <w:divBdr>
        <w:top w:val="none" w:sz="0" w:space="0" w:color="auto"/>
        <w:left w:val="none" w:sz="0" w:space="0" w:color="auto"/>
        <w:bottom w:val="none" w:sz="0" w:space="0" w:color="auto"/>
        <w:right w:val="none" w:sz="0" w:space="0" w:color="auto"/>
      </w:divBdr>
    </w:div>
    <w:div w:id="1061634527">
      <w:bodyDiv w:val="1"/>
      <w:marLeft w:val="0"/>
      <w:marRight w:val="0"/>
      <w:marTop w:val="0"/>
      <w:marBottom w:val="0"/>
      <w:divBdr>
        <w:top w:val="none" w:sz="0" w:space="0" w:color="auto"/>
        <w:left w:val="none" w:sz="0" w:space="0" w:color="auto"/>
        <w:bottom w:val="none" w:sz="0" w:space="0" w:color="auto"/>
        <w:right w:val="none" w:sz="0" w:space="0" w:color="auto"/>
      </w:divBdr>
    </w:div>
    <w:div w:id="1161697888">
      <w:bodyDiv w:val="1"/>
      <w:marLeft w:val="0"/>
      <w:marRight w:val="0"/>
      <w:marTop w:val="0"/>
      <w:marBottom w:val="0"/>
      <w:divBdr>
        <w:top w:val="none" w:sz="0" w:space="0" w:color="auto"/>
        <w:left w:val="none" w:sz="0" w:space="0" w:color="auto"/>
        <w:bottom w:val="none" w:sz="0" w:space="0" w:color="auto"/>
        <w:right w:val="none" w:sz="0" w:space="0" w:color="auto"/>
      </w:divBdr>
    </w:div>
    <w:div w:id="1191796809">
      <w:bodyDiv w:val="1"/>
      <w:marLeft w:val="0"/>
      <w:marRight w:val="0"/>
      <w:marTop w:val="0"/>
      <w:marBottom w:val="0"/>
      <w:divBdr>
        <w:top w:val="none" w:sz="0" w:space="0" w:color="auto"/>
        <w:left w:val="none" w:sz="0" w:space="0" w:color="auto"/>
        <w:bottom w:val="none" w:sz="0" w:space="0" w:color="auto"/>
        <w:right w:val="none" w:sz="0" w:space="0" w:color="auto"/>
      </w:divBdr>
    </w:div>
    <w:div w:id="1378969978">
      <w:bodyDiv w:val="1"/>
      <w:marLeft w:val="0"/>
      <w:marRight w:val="0"/>
      <w:marTop w:val="0"/>
      <w:marBottom w:val="0"/>
      <w:divBdr>
        <w:top w:val="none" w:sz="0" w:space="0" w:color="auto"/>
        <w:left w:val="none" w:sz="0" w:space="0" w:color="auto"/>
        <w:bottom w:val="none" w:sz="0" w:space="0" w:color="auto"/>
        <w:right w:val="none" w:sz="0" w:space="0" w:color="auto"/>
      </w:divBdr>
    </w:div>
    <w:div w:id="1426271774">
      <w:bodyDiv w:val="1"/>
      <w:marLeft w:val="0"/>
      <w:marRight w:val="0"/>
      <w:marTop w:val="0"/>
      <w:marBottom w:val="0"/>
      <w:divBdr>
        <w:top w:val="none" w:sz="0" w:space="0" w:color="auto"/>
        <w:left w:val="none" w:sz="0" w:space="0" w:color="auto"/>
        <w:bottom w:val="none" w:sz="0" w:space="0" w:color="auto"/>
        <w:right w:val="none" w:sz="0" w:space="0" w:color="auto"/>
      </w:divBdr>
    </w:div>
    <w:div w:id="1577008267">
      <w:bodyDiv w:val="1"/>
      <w:marLeft w:val="0"/>
      <w:marRight w:val="0"/>
      <w:marTop w:val="0"/>
      <w:marBottom w:val="0"/>
      <w:divBdr>
        <w:top w:val="none" w:sz="0" w:space="0" w:color="auto"/>
        <w:left w:val="none" w:sz="0" w:space="0" w:color="auto"/>
        <w:bottom w:val="none" w:sz="0" w:space="0" w:color="auto"/>
        <w:right w:val="none" w:sz="0" w:space="0" w:color="auto"/>
      </w:divBdr>
    </w:div>
    <w:div w:id="1594051980">
      <w:bodyDiv w:val="1"/>
      <w:marLeft w:val="0"/>
      <w:marRight w:val="0"/>
      <w:marTop w:val="0"/>
      <w:marBottom w:val="0"/>
      <w:divBdr>
        <w:top w:val="none" w:sz="0" w:space="0" w:color="auto"/>
        <w:left w:val="none" w:sz="0" w:space="0" w:color="auto"/>
        <w:bottom w:val="none" w:sz="0" w:space="0" w:color="auto"/>
        <w:right w:val="none" w:sz="0" w:space="0" w:color="auto"/>
      </w:divBdr>
    </w:div>
    <w:div w:id="1732193649">
      <w:bodyDiv w:val="1"/>
      <w:marLeft w:val="0"/>
      <w:marRight w:val="0"/>
      <w:marTop w:val="0"/>
      <w:marBottom w:val="0"/>
      <w:divBdr>
        <w:top w:val="none" w:sz="0" w:space="0" w:color="auto"/>
        <w:left w:val="none" w:sz="0" w:space="0" w:color="auto"/>
        <w:bottom w:val="none" w:sz="0" w:space="0" w:color="auto"/>
        <w:right w:val="none" w:sz="0" w:space="0" w:color="auto"/>
      </w:divBdr>
    </w:div>
    <w:div w:id="1839539325">
      <w:bodyDiv w:val="1"/>
      <w:marLeft w:val="0"/>
      <w:marRight w:val="0"/>
      <w:marTop w:val="0"/>
      <w:marBottom w:val="0"/>
      <w:divBdr>
        <w:top w:val="none" w:sz="0" w:space="0" w:color="auto"/>
        <w:left w:val="none" w:sz="0" w:space="0" w:color="auto"/>
        <w:bottom w:val="none" w:sz="0" w:space="0" w:color="auto"/>
        <w:right w:val="none" w:sz="0" w:space="0" w:color="auto"/>
      </w:divBdr>
    </w:div>
    <w:div w:id="1855683916">
      <w:bodyDiv w:val="1"/>
      <w:marLeft w:val="0"/>
      <w:marRight w:val="0"/>
      <w:marTop w:val="0"/>
      <w:marBottom w:val="0"/>
      <w:divBdr>
        <w:top w:val="none" w:sz="0" w:space="0" w:color="auto"/>
        <w:left w:val="none" w:sz="0" w:space="0" w:color="auto"/>
        <w:bottom w:val="none" w:sz="0" w:space="0" w:color="auto"/>
        <w:right w:val="none" w:sz="0" w:space="0" w:color="auto"/>
      </w:divBdr>
    </w:div>
    <w:div w:id="1965846093">
      <w:bodyDiv w:val="1"/>
      <w:marLeft w:val="0"/>
      <w:marRight w:val="0"/>
      <w:marTop w:val="0"/>
      <w:marBottom w:val="0"/>
      <w:divBdr>
        <w:top w:val="none" w:sz="0" w:space="0" w:color="auto"/>
        <w:left w:val="none" w:sz="0" w:space="0" w:color="auto"/>
        <w:bottom w:val="none" w:sz="0" w:space="0" w:color="auto"/>
        <w:right w:val="none" w:sz="0" w:space="0" w:color="auto"/>
      </w:divBdr>
    </w:div>
    <w:div w:id="1968470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76E681-8AB7-4673-8A7D-5480397D3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43</Pages>
  <Words>96147</Words>
  <Characters>548040</Characters>
  <Application>Microsoft Office Word</Application>
  <DocSecurity>0</DocSecurity>
  <Lines>4567</Lines>
  <Paragraphs>1285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Allen</dc:creator>
  <cp:keywords/>
  <dc:description/>
  <cp:lastModifiedBy>Max Crispin</cp:lastModifiedBy>
  <cp:revision>18</cp:revision>
  <dcterms:created xsi:type="dcterms:W3CDTF">2021-06-15T08:30:00Z</dcterms:created>
  <dcterms:modified xsi:type="dcterms:W3CDTF">2021-06-18T10:44:00Z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ce85f135-fb0b-33f7-a6d8-602043a1e51a</vt:lpwstr>
  </property>
  <property fmtid="{D5CDD505-2E9C-101B-9397-08002B2CF9AE}" pid="4" name="Mendeley Citation Style_1">
    <vt:lpwstr>http://www.zotero.org/styles/biochemistry</vt:lpwstr>
  </property>
  <property fmtid="{D5CDD505-2E9C-101B-9397-08002B2CF9AE}" pid="5" name="Mendeley Recent Style Id 0_1">
    <vt:lpwstr>http://www.zotero.org/styles/biochemical-society-transactions</vt:lpwstr>
  </property>
  <property fmtid="{D5CDD505-2E9C-101B-9397-08002B2CF9AE}" pid="6" name="Mendeley Recent Style Name 0_1">
    <vt:lpwstr>Biochemical Society Transactions</vt:lpwstr>
  </property>
  <property fmtid="{D5CDD505-2E9C-101B-9397-08002B2CF9AE}" pid="7" name="Mendeley Recent Style Id 1_1">
    <vt:lpwstr>http://csl.mendeley.com/styles/479398661/JA-biosoctrans</vt:lpwstr>
  </property>
  <property fmtid="{D5CDD505-2E9C-101B-9397-08002B2CF9AE}" pid="8" name="Mendeley Recent Style Name 1_1">
    <vt:lpwstr>Biochemical Society Transactions - Joel Allen</vt:lpwstr>
  </property>
  <property fmtid="{D5CDD505-2E9C-101B-9397-08002B2CF9AE}" pid="9" name="Mendeley Recent Style Id 2_1">
    <vt:lpwstr>http://www.zotero.org/styles/biochemistry</vt:lpwstr>
  </property>
  <property fmtid="{D5CDD505-2E9C-101B-9397-08002B2CF9AE}" pid="10" name="Mendeley Recent Style Name 2_1">
    <vt:lpwstr>Biochemistry</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http://www.zotero.org/styles/journal-of-molecular-biology</vt:lpwstr>
  </property>
  <property fmtid="{D5CDD505-2E9C-101B-9397-08002B2CF9AE}" pid="18" name="Mendeley Recent Style Name 6_1">
    <vt:lpwstr>Journal of Molecular Biology</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http://www.zotero.org/styles/molecular-and-cellular-probes</vt:lpwstr>
  </property>
  <property fmtid="{D5CDD505-2E9C-101B-9397-08002B2CF9AE}" pid="22" name="Mendeley Recent Style Name 8_1">
    <vt:lpwstr>Molecular and Cellular Probes</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