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A1ADF" w14:textId="3F69BAB8" w:rsidR="00830F07" w:rsidRPr="00B26213" w:rsidRDefault="00830F07" w:rsidP="0031288A">
      <w:pPr>
        <w:pStyle w:val="Heading1"/>
      </w:pPr>
      <w:bookmarkStart w:id="0" w:name="_Hlk65770761"/>
      <w:bookmarkStart w:id="1" w:name="_Hlk62652828"/>
      <w:bookmarkEnd w:id="0"/>
      <w:r>
        <w:t>C</w:t>
      </w:r>
      <w:r w:rsidRPr="005178D7">
        <w:t>amidanlumab tesirine in relapsed/refractory lymphoma</w:t>
      </w:r>
      <w:r>
        <w:t xml:space="preserve">: </w:t>
      </w:r>
      <w:r w:rsidRPr="00B26213">
        <w:t xml:space="preserve">A Phase 1, </w:t>
      </w:r>
      <w:r>
        <w:t xml:space="preserve">multicenter, </w:t>
      </w:r>
      <w:r w:rsidRPr="00B26213">
        <w:t>open-label, dose-escalation, dose-expansion study</w:t>
      </w:r>
    </w:p>
    <w:p w14:paraId="41A5B08F" w14:textId="55A46639" w:rsidR="00830F07" w:rsidRPr="00B11D07" w:rsidRDefault="00830F07" w:rsidP="0031288A">
      <w:pPr>
        <w:spacing w:line="360" w:lineRule="auto"/>
        <w:rPr>
          <w:rFonts w:cs="Arial"/>
        </w:rPr>
      </w:pPr>
      <w:bookmarkStart w:id="2" w:name="_Hlk57286886"/>
      <w:bookmarkEnd w:id="1"/>
      <w:r>
        <w:rPr>
          <w:rFonts w:cs="Arial"/>
        </w:rPr>
        <w:t xml:space="preserve">Prof. </w:t>
      </w:r>
      <w:r w:rsidRPr="00B11D07">
        <w:rPr>
          <w:rFonts w:cs="Arial"/>
        </w:rPr>
        <w:t>Mehdi Hamadani, MD,</w:t>
      </w:r>
      <w:r w:rsidRPr="00B11D07">
        <w:rPr>
          <w:rFonts w:cs="Arial"/>
          <w:vertAlign w:val="superscript"/>
        </w:rPr>
        <w:t>1</w:t>
      </w:r>
      <w:r w:rsidRPr="00B11D07">
        <w:rPr>
          <w:rFonts w:cs="Arial"/>
        </w:rPr>
        <w:t xml:space="preserve"> </w:t>
      </w:r>
      <w:r w:rsidRPr="00D040CF">
        <w:rPr>
          <w:rFonts w:cs="Arial"/>
        </w:rPr>
        <w:t>Graham P.</w:t>
      </w:r>
      <w:r w:rsidRPr="00D040CF">
        <w:rPr>
          <w:rFonts w:cs="Arial"/>
          <w:sz w:val="20"/>
          <w:szCs w:val="20"/>
        </w:rPr>
        <w:t xml:space="preserve"> </w:t>
      </w:r>
      <w:r w:rsidRPr="00D040CF">
        <w:rPr>
          <w:rFonts w:cs="Arial"/>
        </w:rPr>
        <w:t>Collins, MD</w:t>
      </w:r>
      <w:r w:rsidRPr="00B11D07">
        <w:rPr>
          <w:rFonts w:cs="Arial"/>
        </w:rPr>
        <w:t>,</w:t>
      </w:r>
      <w:r w:rsidRPr="00B11D07">
        <w:rPr>
          <w:rFonts w:cs="Arial"/>
          <w:vertAlign w:val="superscript"/>
        </w:rPr>
        <w:t>2</w:t>
      </w:r>
      <w:r w:rsidRPr="00B11D07">
        <w:rPr>
          <w:rFonts w:cs="Arial"/>
        </w:rPr>
        <w:t xml:space="preserve"> </w:t>
      </w:r>
      <w:r w:rsidRPr="00762B0F">
        <w:rPr>
          <w:rFonts w:cs="Arial"/>
        </w:rPr>
        <w:t>Paolo F.</w:t>
      </w:r>
      <w:r w:rsidRPr="00B11D07">
        <w:rPr>
          <w:rFonts w:cs="Arial"/>
          <w:sz w:val="20"/>
          <w:szCs w:val="20"/>
        </w:rPr>
        <w:t xml:space="preserve"> </w:t>
      </w:r>
      <w:r w:rsidRPr="00B11D07">
        <w:rPr>
          <w:rFonts w:cs="Arial"/>
        </w:rPr>
        <w:t>Caimi, MD,</w:t>
      </w:r>
      <w:r w:rsidRPr="00B11D07">
        <w:rPr>
          <w:rFonts w:cs="Arial"/>
          <w:vertAlign w:val="superscript"/>
        </w:rPr>
        <w:t>3</w:t>
      </w:r>
      <w:r w:rsidRPr="00B11D07">
        <w:rPr>
          <w:rFonts w:cs="Arial"/>
        </w:rPr>
        <w:t xml:space="preserve"> </w:t>
      </w:r>
      <w:r>
        <w:rPr>
          <w:rFonts w:cs="Arial"/>
        </w:rPr>
        <w:t xml:space="preserve">Prof. </w:t>
      </w:r>
      <w:r w:rsidRPr="00B11D07">
        <w:rPr>
          <w:rFonts w:cs="Arial"/>
        </w:rPr>
        <w:t xml:space="preserve">Felipe </w:t>
      </w:r>
      <w:bookmarkStart w:id="3" w:name="_Hlk65592125"/>
      <w:r w:rsidRPr="00B11D07">
        <w:rPr>
          <w:rFonts w:cs="Arial"/>
        </w:rPr>
        <w:t>Samaniego</w:t>
      </w:r>
      <w:bookmarkEnd w:id="3"/>
      <w:r w:rsidRPr="00B11D07">
        <w:rPr>
          <w:rFonts w:cs="Arial"/>
        </w:rPr>
        <w:t>, MD,</w:t>
      </w:r>
      <w:r w:rsidRPr="00B11D07">
        <w:rPr>
          <w:rFonts w:cs="Arial"/>
          <w:vertAlign w:val="superscript"/>
        </w:rPr>
        <w:t>4</w:t>
      </w:r>
      <w:r w:rsidRPr="00B11D07">
        <w:rPr>
          <w:rFonts w:cs="Arial"/>
        </w:rPr>
        <w:t xml:space="preserve"> </w:t>
      </w:r>
      <w:r w:rsidRPr="00D040CF">
        <w:rPr>
          <w:rFonts w:cs="Arial"/>
        </w:rPr>
        <w:t>Alexander Spira, MD</w:t>
      </w:r>
      <w:r w:rsidRPr="00B11D07">
        <w:rPr>
          <w:rFonts w:cs="Arial"/>
        </w:rPr>
        <w:t>,</w:t>
      </w:r>
      <w:r w:rsidRPr="00B11D07">
        <w:rPr>
          <w:rFonts w:cs="Arial"/>
          <w:vertAlign w:val="superscript"/>
        </w:rPr>
        <w:t>5</w:t>
      </w:r>
      <w:r w:rsidRPr="00B11D07">
        <w:rPr>
          <w:rFonts w:cs="Arial"/>
        </w:rPr>
        <w:t xml:space="preserve"> </w:t>
      </w:r>
      <w:r>
        <w:rPr>
          <w:rFonts w:cs="Arial"/>
        </w:rPr>
        <w:t xml:space="preserve">Prof. </w:t>
      </w:r>
      <w:r w:rsidRPr="00B11D07">
        <w:rPr>
          <w:rFonts w:cs="Arial"/>
        </w:rPr>
        <w:t>Andrew Davies, PhD,</w:t>
      </w:r>
      <w:r w:rsidRPr="00B11D07">
        <w:rPr>
          <w:rFonts w:cs="Arial"/>
          <w:vertAlign w:val="superscript"/>
        </w:rPr>
        <w:t>6</w:t>
      </w:r>
      <w:r w:rsidRPr="00B11D07">
        <w:rPr>
          <w:rFonts w:cs="Arial"/>
        </w:rPr>
        <w:t xml:space="preserve"> </w:t>
      </w:r>
      <w:r>
        <w:rPr>
          <w:rFonts w:cs="Arial"/>
        </w:rPr>
        <w:t xml:space="preserve">Prof. </w:t>
      </w:r>
      <w:r w:rsidRPr="00D040CF">
        <w:rPr>
          <w:rFonts w:cs="Arial"/>
        </w:rPr>
        <w:t xml:space="preserve">John Radford, MD, </w:t>
      </w:r>
      <w:r w:rsidRPr="00D040CF">
        <w:rPr>
          <w:rFonts w:cs="Arial"/>
          <w:vertAlign w:val="superscript"/>
        </w:rPr>
        <w:t>7</w:t>
      </w:r>
      <w:r w:rsidRPr="00B11D07">
        <w:rPr>
          <w:rFonts w:cs="Arial"/>
        </w:rPr>
        <w:t xml:space="preserve"> Tobias </w:t>
      </w:r>
      <w:proofErr w:type="spellStart"/>
      <w:r w:rsidRPr="00B11D07">
        <w:rPr>
          <w:rFonts w:cs="Arial"/>
        </w:rPr>
        <w:t>Menne</w:t>
      </w:r>
      <w:proofErr w:type="spellEnd"/>
      <w:r w:rsidRPr="00B11D07">
        <w:rPr>
          <w:rFonts w:cs="Arial"/>
        </w:rPr>
        <w:t>, PhD,</w:t>
      </w:r>
      <w:r w:rsidRPr="00B11D07">
        <w:rPr>
          <w:rFonts w:cs="Arial"/>
          <w:vertAlign w:val="superscript"/>
        </w:rPr>
        <w:t xml:space="preserve">8 </w:t>
      </w:r>
      <w:r w:rsidRPr="00104C95">
        <w:rPr>
          <w:rFonts w:cs="Arial"/>
        </w:rPr>
        <w:t>Prof.</w:t>
      </w:r>
      <w:r>
        <w:rPr>
          <w:rFonts w:cs="Arial"/>
          <w:vertAlign w:val="superscript"/>
        </w:rPr>
        <w:t xml:space="preserve"> </w:t>
      </w:r>
      <w:r w:rsidRPr="00B11D07">
        <w:rPr>
          <w:rFonts w:cs="Arial"/>
        </w:rPr>
        <w:t xml:space="preserve">Anand </w:t>
      </w:r>
      <w:bookmarkStart w:id="4" w:name="_Hlk62140166"/>
      <w:r w:rsidRPr="00B11D07">
        <w:rPr>
          <w:rFonts w:cs="Arial"/>
        </w:rPr>
        <w:t>Karnad</w:t>
      </w:r>
      <w:bookmarkEnd w:id="4"/>
      <w:r w:rsidRPr="00B11D07">
        <w:rPr>
          <w:rFonts w:cs="Arial"/>
        </w:rPr>
        <w:t>, MD,</w:t>
      </w:r>
      <w:r w:rsidRPr="00B11D07">
        <w:rPr>
          <w:rFonts w:cs="Arial"/>
          <w:vertAlign w:val="superscript"/>
        </w:rPr>
        <w:t>9</w:t>
      </w:r>
      <w:r w:rsidRPr="00B11D07">
        <w:rPr>
          <w:rFonts w:cs="Arial"/>
        </w:rPr>
        <w:t xml:space="preserve"> Jasmine M</w:t>
      </w:r>
      <w:r>
        <w:rPr>
          <w:rFonts w:cs="Arial"/>
        </w:rPr>
        <w:t>.</w:t>
      </w:r>
      <w:r w:rsidRPr="00B11D07">
        <w:rPr>
          <w:rFonts w:cs="Arial"/>
        </w:rPr>
        <w:t xml:space="preserve"> Zain, MD,</w:t>
      </w:r>
      <w:r w:rsidRPr="00B11D07">
        <w:rPr>
          <w:rFonts w:cs="Arial"/>
          <w:vertAlign w:val="superscript"/>
        </w:rPr>
        <w:t>10</w:t>
      </w:r>
      <w:r w:rsidRPr="00B11D07">
        <w:rPr>
          <w:rFonts w:cs="Arial"/>
        </w:rPr>
        <w:t xml:space="preserve"> </w:t>
      </w:r>
      <w:r>
        <w:rPr>
          <w:rFonts w:cs="Arial"/>
        </w:rPr>
        <w:t xml:space="preserve">Prof. </w:t>
      </w:r>
      <w:r w:rsidRPr="00D040CF">
        <w:rPr>
          <w:rFonts w:cs="Arial"/>
        </w:rPr>
        <w:t>Paul Fields, MD</w:t>
      </w:r>
      <w:r>
        <w:rPr>
          <w:rFonts w:cs="Arial"/>
        </w:rPr>
        <w:t>,</w:t>
      </w:r>
      <w:r w:rsidRPr="00B11D07">
        <w:rPr>
          <w:rFonts w:cs="Arial"/>
          <w:vertAlign w:val="superscript"/>
        </w:rPr>
        <w:t>11</w:t>
      </w:r>
      <w:r w:rsidRPr="00B11D07">
        <w:rPr>
          <w:rFonts w:cs="Arial"/>
        </w:rPr>
        <w:t xml:space="preserve"> </w:t>
      </w:r>
      <w:r>
        <w:rPr>
          <w:rFonts w:cs="Arial"/>
        </w:rPr>
        <w:t>Karin Havenith, PhD,</w:t>
      </w:r>
      <w:r w:rsidRPr="005767B8">
        <w:rPr>
          <w:rFonts w:cs="Arial"/>
          <w:vertAlign w:val="superscript"/>
        </w:rPr>
        <w:t>12</w:t>
      </w:r>
      <w:r>
        <w:rPr>
          <w:rFonts w:cs="Arial"/>
        </w:rPr>
        <w:t xml:space="preserve"> </w:t>
      </w:r>
      <w:r w:rsidRPr="00B11D07">
        <w:rPr>
          <w:rFonts w:cs="Arial"/>
        </w:rPr>
        <w:t>Hans G</w:t>
      </w:r>
      <w:r>
        <w:rPr>
          <w:rFonts w:cs="Arial"/>
        </w:rPr>
        <w:t>.</w:t>
      </w:r>
      <w:r w:rsidRPr="00B11D07">
        <w:rPr>
          <w:rFonts w:cs="Arial"/>
        </w:rPr>
        <w:t xml:space="preserve"> Cruz, PhD,</w:t>
      </w:r>
      <w:r w:rsidRPr="00B11D07">
        <w:rPr>
          <w:rFonts w:cs="Arial"/>
          <w:vertAlign w:val="superscript"/>
        </w:rPr>
        <w:t>1</w:t>
      </w:r>
      <w:r>
        <w:rPr>
          <w:rFonts w:cs="Arial"/>
          <w:vertAlign w:val="superscript"/>
        </w:rPr>
        <w:t>3</w:t>
      </w:r>
      <w:r w:rsidRPr="00B11D07">
        <w:rPr>
          <w:rFonts w:cs="Arial"/>
        </w:rPr>
        <w:t xml:space="preserve"> Shui He, PhD,</w:t>
      </w:r>
      <w:r w:rsidRPr="00B11D07">
        <w:rPr>
          <w:rFonts w:cs="Arial"/>
          <w:vertAlign w:val="superscript"/>
        </w:rPr>
        <w:t>1</w:t>
      </w:r>
      <w:r>
        <w:rPr>
          <w:rFonts w:cs="Arial"/>
          <w:vertAlign w:val="superscript"/>
        </w:rPr>
        <w:t>4</w:t>
      </w:r>
      <w:r w:rsidRPr="00B11D07">
        <w:rPr>
          <w:rFonts w:cs="Arial"/>
        </w:rPr>
        <w:t xml:space="preserve"> Jo</w:t>
      </w:r>
      <w:r>
        <w:rPr>
          <w:rFonts w:cs="Arial"/>
        </w:rPr>
        <w:t>seph</w:t>
      </w:r>
      <w:r w:rsidRPr="00B11D07">
        <w:rPr>
          <w:rFonts w:cs="Arial"/>
        </w:rPr>
        <w:t xml:space="preserve"> Boni, PhD,</w:t>
      </w:r>
      <w:r w:rsidRPr="00B11D07">
        <w:rPr>
          <w:rFonts w:cs="Arial"/>
          <w:vertAlign w:val="superscript"/>
        </w:rPr>
        <w:t>1</w:t>
      </w:r>
      <w:r>
        <w:rPr>
          <w:rFonts w:cs="Arial"/>
          <w:vertAlign w:val="superscript"/>
        </w:rPr>
        <w:t>4</w:t>
      </w:r>
      <w:r w:rsidRPr="00B11D07">
        <w:rPr>
          <w:rFonts w:cs="Arial"/>
          <w:vertAlign w:val="superscript"/>
        </w:rPr>
        <w:t xml:space="preserve"> </w:t>
      </w:r>
      <w:r w:rsidRPr="00D040CF">
        <w:rPr>
          <w:rFonts w:cs="Arial"/>
        </w:rPr>
        <w:t>Jay Feingold, MD</w:t>
      </w:r>
      <w:r>
        <w:rPr>
          <w:rFonts w:cs="Arial"/>
        </w:rPr>
        <w:t>,</w:t>
      </w:r>
      <w:r w:rsidRPr="00B11D07">
        <w:rPr>
          <w:rFonts w:cs="Arial"/>
          <w:vertAlign w:val="superscript"/>
        </w:rPr>
        <w:t>1</w:t>
      </w:r>
      <w:r>
        <w:rPr>
          <w:rFonts w:cs="Arial"/>
          <w:vertAlign w:val="superscript"/>
        </w:rPr>
        <w:t>4</w:t>
      </w:r>
      <w:r w:rsidRPr="00B11D07">
        <w:rPr>
          <w:rFonts w:cs="Arial"/>
        </w:rPr>
        <w:t xml:space="preserve"> Jens Wuerthner, MD,</w:t>
      </w:r>
      <w:r w:rsidRPr="00B11D07">
        <w:rPr>
          <w:rFonts w:cs="Arial"/>
          <w:vertAlign w:val="superscript"/>
        </w:rPr>
        <w:t>1</w:t>
      </w:r>
      <w:r>
        <w:rPr>
          <w:rFonts w:cs="Arial"/>
          <w:vertAlign w:val="superscript"/>
        </w:rPr>
        <w:t>3</w:t>
      </w:r>
      <w:r w:rsidRPr="00B11D07">
        <w:rPr>
          <w:rFonts w:cs="Arial"/>
          <w:vertAlign w:val="superscript"/>
        </w:rPr>
        <w:t xml:space="preserve"> </w:t>
      </w:r>
      <w:r w:rsidRPr="00B11D07">
        <w:rPr>
          <w:rFonts w:cs="Arial"/>
        </w:rPr>
        <w:t>Steven Horwitz, MD</w:t>
      </w:r>
      <w:r w:rsidRPr="00B11D07">
        <w:rPr>
          <w:rFonts w:cs="Arial"/>
          <w:vertAlign w:val="superscript"/>
        </w:rPr>
        <w:t>1</w:t>
      </w:r>
      <w:r>
        <w:rPr>
          <w:rFonts w:cs="Arial"/>
          <w:vertAlign w:val="superscript"/>
        </w:rPr>
        <w:t>5</w:t>
      </w:r>
      <w:r w:rsidRPr="00B11D07">
        <w:rPr>
          <w:rFonts w:cs="Arial"/>
        </w:rPr>
        <w:t> </w:t>
      </w:r>
    </w:p>
    <w:bookmarkEnd w:id="2"/>
    <w:p w14:paraId="0C7325BC" w14:textId="77777777" w:rsidR="00830F07" w:rsidRPr="00B11D07" w:rsidRDefault="00830F07" w:rsidP="0031288A">
      <w:pPr>
        <w:spacing w:line="360" w:lineRule="auto"/>
        <w:rPr>
          <w:rFonts w:cs="Arial"/>
        </w:rPr>
      </w:pPr>
    </w:p>
    <w:p w14:paraId="387B5139" w14:textId="77777777" w:rsidR="00830F07" w:rsidRPr="00C538D7" w:rsidRDefault="00830F07" w:rsidP="0031288A">
      <w:pPr>
        <w:spacing w:line="360" w:lineRule="auto"/>
        <w:rPr>
          <w:rFonts w:eastAsia="Times New Roman" w:cs="Arial"/>
          <w:color w:val="3C4043"/>
          <w:spacing w:val="3"/>
          <w:sz w:val="24"/>
          <w:szCs w:val="24"/>
          <w:lang w:val="en-GB" w:eastAsia="en-GB"/>
        </w:rPr>
      </w:pPr>
      <w:r w:rsidRPr="00B11D07">
        <w:rPr>
          <w:rFonts w:cs="Arial"/>
          <w:vertAlign w:val="superscript"/>
        </w:rPr>
        <w:t>1</w:t>
      </w:r>
      <w:r w:rsidRPr="00B11D07">
        <w:rPr>
          <w:rFonts w:cs="Arial"/>
        </w:rPr>
        <w:t xml:space="preserve">Division of Hematology and Oncology, Medical College of Wisconsin, Milwaukee, WI, USA; </w:t>
      </w:r>
      <w:r w:rsidRPr="00B11D07">
        <w:rPr>
          <w:rFonts w:cs="Arial"/>
          <w:vertAlign w:val="superscript"/>
        </w:rPr>
        <w:t>2</w:t>
      </w:r>
      <w:r w:rsidRPr="006F1A94">
        <w:rPr>
          <w:rFonts w:cs="Arial"/>
        </w:rPr>
        <w:t xml:space="preserve">NIHR Oxford Biomedical Research Centre, Oxford Cancer and </w:t>
      </w:r>
      <w:r w:rsidRPr="00B24050">
        <w:rPr>
          <w:rFonts w:cs="Arial"/>
          <w:lang w:val="en-GB"/>
        </w:rPr>
        <w:t>Haematology</w:t>
      </w:r>
      <w:r w:rsidRPr="006F1A94">
        <w:rPr>
          <w:rFonts w:cs="Arial"/>
        </w:rPr>
        <w:t xml:space="preserve"> Centre, Churchill Hospital</w:t>
      </w:r>
      <w:r w:rsidRPr="00B11D07">
        <w:rPr>
          <w:rFonts w:cs="Arial"/>
        </w:rPr>
        <w:t>, Oxford,</w:t>
      </w:r>
      <w:r w:rsidRPr="006F0697">
        <w:rPr>
          <w:rFonts w:cs="Arial"/>
        </w:rPr>
        <w:t xml:space="preserve"> </w:t>
      </w:r>
      <w:r w:rsidRPr="00B11D07">
        <w:rPr>
          <w:rFonts w:cs="Arial"/>
        </w:rPr>
        <w:t xml:space="preserve">UK; </w:t>
      </w:r>
      <w:r w:rsidRPr="00B11D07">
        <w:rPr>
          <w:rFonts w:cs="Arial"/>
          <w:vertAlign w:val="superscript"/>
        </w:rPr>
        <w:t>3</w:t>
      </w:r>
      <w:r w:rsidRPr="00B11D07">
        <w:rPr>
          <w:rFonts w:cs="Arial"/>
        </w:rPr>
        <w:t>Case Western Reserve University (</w:t>
      </w:r>
      <w:proofErr w:type="spellStart"/>
      <w:r w:rsidRPr="00B11D07">
        <w:rPr>
          <w:rFonts w:cs="Arial"/>
        </w:rPr>
        <w:t>CWRU</w:t>
      </w:r>
      <w:proofErr w:type="spellEnd"/>
      <w:r w:rsidRPr="00B11D07">
        <w:rPr>
          <w:rFonts w:cs="Arial"/>
        </w:rPr>
        <w:t xml:space="preserve">) - University Hospitals Cleveland Medical Center, OH, USA; </w:t>
      </w:r>
      <w:r w:rsidRPr="00B11D07">
        <w:rPr>
          <w:rFonts w:cs="Arial"/>
          <w:vertAlign w:val="superscript"/>
        </w:rPr>
        <w:t>4</w:t>
      </w:r>
      <w:r w:rsidRPr="00B11D07">
        <w:rPr>
          <w:rFonts w:cs="Arial"/>
        </w:rPr>
        <w:t xml:space="preserve">Department of Lymphoma/Myeloma, The University of Texas MD Anderson Cancer Center, Houston, TX, USA; </w:t>
      </w:r>
      <w:r w:rsidRPr="00B11D07">
        <w:rPr>
          <w:rFonts w:cs="Arial"/>
          <w:vertAlign w:val="superscript"/>
        </w:rPr>
        <w:t>5</w:t>
      </w:r>
      <w:r w:rsidRPr="00B11D07">
        <w:rPr>
          <w:rFonts w:cs="Arial"/>
        </w:rPr>
        <w:t>Virginia Cancer Specialists Research Institute, Fairfax, VA, USA</w:t>
      </w:r>
      <w:r>
        <w:rPr>
          <w:rFonts w:cs="Arial"/>
        </w:rPr>
        <w:t>;</w:t>
      </w:r>
      <w:r w:rsidRPr="00800E36">
        <w:t xml:space="preserve"> </w:t>
      </w:r>
      <w:r w:rsidRPr="00800E36">
        <w:rPr>
          <w:rFonts w:cs="Arial"/>
        </w:rPr>
        <w:t>and Johns Hopkins School of Medicine, Baltimore, MD, USA</w:t>
      </w:r>
      <w:r w:rsidRPr="00B11D07">
        <w:rPr>
          <w:rFonts w:cs="Arial"/>
        </w:rPr>
        <w:t xml:space="preserve">; </w:t>
      </w:r>
      <w:r w:rsidRPr="00B11D07">
        <w:rPr>
          <w:rFonts w:cs="Arial"/>
          <w:vertAlign w:val="superscript"/>
        </w:rPr>
        <w:t>6</w:t>
      </w:r>
      <w:r w:rsidRPr="00B11D07">
        <w:rPr>
          <w:rFonts w:cs="Arial"/>
        </w:rPr>
        <w:t>Cancer Research UK</w:t>
      </w:r>
      <w:r w:rsidRPr="00B11D07">
        <w:rPr>
          <w:rFonts w:cs="Arial"/>
          <w:sz w:val="20"/>
        </w:rPr>
        <w:t>/</w:t>
      </w:r>
      <w:proofErr w:type="spellStart"/>
      <w:r w:rsidRPr="008276F6">
        <w:rPr>
          <w:rFonts w:cs="Arial"/>
          <w:szCs w:val="24"/>
        </w:rPr>
        <w:t>NIHR</w:t>
      </w:r>
      <w:proofErr w:type="spellEnd"/>
      <w:r w:rsidRPr="008276F6">
        <w:rPr>
          <w:rFonts w:cs="Arial"/>
          <w:szCs w:val="24"/>
        </w:rPr>
        <w:t xml:space="preserve"> Experimental Cancer Medicines</w:t>
      </w:r>
      <w:r w:rsidRPr="008276F6">
        <w:rPr>
          <w:rFonts w:cs="Arial"/>
          <w:sz w:val="24"/>
          <w:szCs w:val="24"/>
        </w:rPr>
        <w:t xml:space="preserve"> </w:t>
      </w:r>
      <w:r w:rsidRPr="00B11D07">
        <w:rPr>
          <w:rFonts w:cs="Arial"/>
        </w:rPr>
        <w:t xml:space="preserve">Centre, University of Southampton, Southampton, UK; </w:t>
      </w:r>
      <w:r w:rsidRPr="00B11D07">
        <w:rPr>
          <w:rFonts w:cs="Arial"/>
          <w:vertAlign w:val="superscript"/>
        </w:rPr>
        <w:t>7</w:t>
      </w:r>
      <w:r w:rsidRPr="00B11D07">
        <w:rPr>
          <w:rFonts w:cs="Arial"/>
        </w:rPr>
        <w:t xml:space="preserve">University of Manchester and the Christie NHS Foundation Trust, </w:t>
      </w:r>
      <w:proofErr w:type="spellStart"/>
      <w:r w:rsidRPr="00FE75A5">
        <w:rPr>
          <w:rFonts w:cs="Arial"/>
        </w:rPr>
        <w:t>NIHR</w:t>
      </w:r>
      <w:proofErr w:type="spellEnd"/>
      <w:r w:rsidRPr="00FE75A5">
        <w:rPr>
          <w:rFonts w:cs="Arial"/>
        </w:rPr>
        <w:t xml:space="preserve"> Manchester Clinical Research Facility, Manchester Academic Health Science Centre,</w:t>
      </w:r>
      <w:r>
        <w:rPr>
          <w:rFonts w:cs="Arial"/>
        </w:rPr>
        <w:t xml:space="preserve"> </w:t>
      </w:r>
      <w:r w:rsidRPr="00B11D07">
        <w:rPr>
          <w:rFonts w:cs="Arial"/>
        </w:rPr>
        <w:t xml:space="preserve">Manchester, UK; </w:t>
      </w:r>
      <w:r w:rsidRPr="00B11D07">
        <w:rPr>
          <w:rFonts w:cs="Arial"/>
          <w:vertAlign w:val="superscript"/>
        </w:rPr>
        <w:t>8</w:t>
      </w:r>
      <w:r w:rsidRPr="00B11D07">
        <w:rPr>
          <w:rFonts w:cs="Arial"/>
        </w:rPr>
        <w:t xml:space="preserve">The Newcastle upon Tyne Hospitals NHS Foundation Trust, Newcastle, UK; </w:t>
      </w:r>
      <w:r w:rsidRPr="00B11D07">
        <w:rPr>
          <w:rFonts w:cs="Arial"/>
          <w:vertAlign w:val="superscript"/>
        </w:rPr>
        <w:t>9</w:t>
      </w:r>
      <w:r w:rsidRPr="00B11D07">
        <w:rPr>
          <w:rFonts w:cs="Arial"/>
        </w:rPr>
        <w:t>Cancer Therapy and Research Center, The University of Texas Health Science Center, San Antonio, TX</w:t>
      </w:r>
      <w:r>
        <w:rPr>
          <w:rFonts w:cs="Arial"/>
        </w:rPr>
        <w:t>, USA</w:t>
      </w:r>
      <w:r w:rsidRPr="00B11D07">
        <w:rPr>
          <w:rFonts w:cs="Arial"/>
        </w:rPr>
        <w:t xml:space="preserve">; </w:t>
      </w:r>
      <w:r w:rsidRPr="00B11D07">
        <w:rPr>
          <w:rFonts w:cs="Arial"/>
          <w:vertAlign w:val="superscript"/>
        </w:rPr>
        <w:t>10</w:t>
      </w:r>
      <w:r w:rsidRPr="00B11D07">
        <w:rPr>
          <w:rFonts w:cs="Arial"/>
        </w:rPr>
        <w:t xml:space="preserve">Comprehensive Cancer Center, City of Hope Duarte, Duarte, CA, USA; </w:t>
      </w:r>
      <w:r w:rsidRPr="00B11D07">
        <w:rPr>
          <w:rFonts w:cs="Arial"/>
          <w:vertAlign w:val="superscript"/>
        </w:rPr>
        <w:t>11</w:t>
      </w:r>
      <w:r w:rsidRPr="00B11D07">
        <w:rPr>
          <w:rFonts w:cs="Arial"/>
        </w:rPr>
        <w:t xml:space="preserve">Department of </w:t>
      </w:r>
      <w:r w:rsidRPr="008C2F77">
        <w:rPr>
          <w:rFonts w:cs="Arial"/>
          <w:lang w:val="en-GB"/>
        </w:rPr>
        <w:t>Haematology</w:t>
      </w:r>
      <w:r w:rsidRPr="00B11D07">
        <w:rPr>
          <w:rFonts w:cs="Arial"/>
        </w:rPr>
        <w:t xml:space="preserve">, Guy’s and St Thomas’ NHS Foundation Trust, London, UK; </w:t>
      </w:r>
      <w:r w:rsidRPr="00E34538">
        <w:rPr>
          <w:rFonts w:cs="Arial"/>
          <w:vertAlign w:val="superscript"/>
        </w:rPr>
        <w:t>12</w:t>
      </w:r>
      <w:r>
        <w:rPr>
          <w:rFonts w:cs="Arial"/>
        </w:rPr>
        <w:t xml:space="preserve">ADC Therapeutics, </w:t>
      </w:r>
      <w:r w:rsidRPr="00421F96">
        <w:rPr>
          <w:rFonts w:cs="Arial"/>
        </w:rPr>
        <w:t>(UK) Ltd, London, UK</w:t>
      </w:r>
      <w:r>
        <w:rPr>
          <w:rFonts w:cs="Arial"/>
        </w:rPr>
        <w:t xml:space="preserve">; </w:t>
      </w:r>
      <w:r w:rsidRPr="00B11D07">
        <w:rPr>
          <w:rFonts w:cs="Arial"/>
          <w:vertAlign w:val="superscript"/>
        </w:rPr>
        <w:t>1</w:t>
      </w:r>
      <w:r>
        <w:rPr>
          <w:rFonts w:cs="Arial"/>
          <w:vertAlign w:val="superscript"/>
        </w:rPr>
        <w:t>3</w:t>
      </w:r>
      <w:r w:rsidRPr="00B11D07">
        <w:rPr>
          <w:rFonts w:cs="Arial"/>
        </w:rPr>
        <w:t>ADC Therapeutics</w:t>
      </w:r>
      <w:r>
        <w:rPr>
          <w:rFonts w:cs="Arial"/>
        </w:rPr>
        <w:t xml:space="preserve"> SA</w:t>
      </w:r>
      <w:r w:rsidRPr="00B11D07">
        <w:rPr>
          <w:rFonts w:cs="Arial"/>
        </w:rPr>
        <w:t xml:space="preserve">, Epalinges, Switzerland; </w:t>
      </w:r>
      <w:r w:rsidRPr="00B11D07">
        <w:rPr>
          <w:rFonts w:cs="Arial"/>
          <w:vertAlign w:val="superscript"/>
        </w:rPr>
        <w:t>1</w:t>
      </w:r>
      <w:r>
        <w:rPr>
          <w:rFonts w:cs="Arial"/>
          <w:vertAlign w:val="superscript"/>
        </w:rPr>
        <w:t>4</w:t>
      </w:r>
      <w:r w:rsidRPr="00B11D07">
        <w:rPr>
          <w:rFonts w:cs="Arial"/>
        </w:rPr>
        <w:t>ADC Therapeutics</w:t>
      </w:r>
      <w:r>
        <w:rPr>
          <w:rFonts w:cs="Arial"/>
        </w:rPr>
        <w:t xml:space="preserve"> America Inc.</w:t>
      </w:r>
      <w:r w:rsidRPr="00B11D07">
        <w:rPr>
          <w:rFonts w:cs="Arial"/>
        </w:rPr>
        <w:t xml:space="preserve">, Murray Hill, NJ, USA; </w:t>
      </w:r>
      <w:r w:rsidRPr="00B11D07">
        <w:rPr>
          <w:rFonts w:cs="Arial"/>
          <w:vertAlign w:val="superscript"/>
        </w:rPr>
        <w:t>1</w:t>
      </w:r>
      <w:r>
        <w:rPr>
          <w:rFonts w:cs="Arial"/>
          <w:vertAlign w:val="superscript"/>
        </w:rPr>
        <w:t>5</w:t>
      </w:r>
      <w:r w:rsidRPr="00B11D07">
        <w:rPr>
          <w:rFonts w:cs="Arial"/>
        </w:rPr>
        <w:t>Department of Medicine, Memorial Sloan Kettering Cancer Center, New York, NY, USA</w:t>
      </w:r>
    </w:p>
    <w:p w14:paraId="6DE7CCD3" w14:textId="77777777" w:rsidR="00830F07" w:rsidRDefault="00830F07" w:rsidP="0031288A">
      <w:pPr>
        <w:spacing w:line="360" w:lineRule="auto"/>
        <w:rPr>
          <w:rFonts w:cs="Arial"/>
        </w:rPr>
      </w:pPr>
    </w:p>
    <w:p w14:paraId="70A9A1AD" w14:textId="77777777" w:rsidR="00830F07" w:rsidRPr="00471A69" w:rsidRDefault="00830F07" w:rsidP="0031288A">
      <w:pPr>
        <w:spacing w:line="360" w:lineRule="auto"/>
        <w:rPr>
          <w:rFonts w:cs="Arial"/>
        </w:rPr>
      </w:pPr>
      <w:r w:rsidRPr="00D040CF">
        <w:rPr>
          <w:rFonts w:cs="Arial"/>
          <w:b/>
          <w:color w:val="000000" w:themeColor="text1"/>
        </w:rPr>
        <w:t>Corresponding author:</w:t>
      </w:r>
      <w:r w:rsidRPr="00C836E9">
        <w:rPr>
          <w:rFonts w:cs="Arial"/>
          <w:color w:val="000000" w:themeColor="text1"/>
        </w:rPr>
        <w:t xml:space="preserve"> Dr Steven </w:t>
      </w:r>
      <w:r w:rsidRPr="00B11D07">
        <w:rPr>
          <w:rFonts w:cs="Arial"/>
        </w:rPr>
        <w:t>Horwitz,</w:t>
      </w:r>
      <w:r>
        <w:rPr>
          <w:rFonts w:cs="Arial"/>
        </w:rPr>
        <w:t xml:space="preserve"> </w:t>
      </w:r>
      <w:r w:rsidRPr="00B11D07">
        <w:rPr>
          <w:rFonts w:cs="Arial"/>
        </w:rPr>
        <w:t xml:space="preserve">Department of Medicine, Memorial Sloan Kettering Cancer Center, </w:t>
      </w:r>
      <w:r w:rsidRPr="00F341D8">
        <w:rPr>
          <w:rFonts w:cs="Arial"/>
        </w:rPr>
        <w:t>1275 York Avenue</w:t>
      </w:r>
      <w:r>
        <w:rPr>
          <w:rFonts w:cs="Arial"/>
        </w:rPr>
        <w:t xml:space="preserve">, </w:t>
      </w:r>
      <w:r w:rsidRPr="00F341D8">
        <w:rPr>
          <w:rFonts w:cs="Arial"/>
        </w:rPr>
        <w:t>New York, NY 10065</w:t>
      </w:r>
      <w:r>
        <w:rPr>
          <w:rFonts w:cs="Arial"/>
        </w:rPr>
        <w:t>; email:</w:t>
      </w:r>
      <w:r w:rsidRPr="00B11D07">
        <w:rPr>
          <w:rFonts w:cs="Arial"/>
          <w:color w:val="0000FF"/>
        </w:rPr>
        <w:t xml:space="preserve"> </w:t>
      </w:r>
      <w:hyperlink r:id="rId7" w:history="1">
        <w:r w:rsidRPr="0018137A">
          <w:rPr>
            <w:rStyle w:val="Hyperlink"/>
            <w:rFonts w:cs="Arial"/>
          </w:rPr>
          <w:t>horwitzs@MSKCC.ORG</w:t>
        </w:r>
      </w:hyperlink>
      <w:r w:rsidRPr="00C836E9">
        <w:rPr>
          <w:rFonts w:cs="Arial"/>
          <w:color w:val="000000" w:themeColor="text1"/>
        </w:rPr>
        <w:t>; phone: +1</w:t>
      </w:r>
      <w:r w:rsidRPr="00C836E9" w:rsidDel="005B36E2">
        <w:rPr>
          <w:rFonts w:cs="Arial"/>
          <w:color w:val="000000" w:themeColor="text1"/>
        </w:rPr>
        <w:t xml:space="preserve"> </w:t>
      </w:r>
      <w:r w:rsidRPr="00C836E9">
        <w:rPr>
          <w:rFonts w:cs="Arial"/>
          <w:color w:val="000000" w:themeColor="text1"/>
        </w:rPr>
        <w:t>646-608-</w:t>
      </w:r>
      <w:r w:rsidRPr="00471A69">
        <w:rPr>
          <w:rFonts w:cs="Arial"/>
        </w:rPr>
        <w:t>3725</w:t>
      </w:r>
      <w:r w:rsidRPr="00471A69" w:rsidDel="005B36E2">
        <w:rPr>
          <w:rFonts w:cs="Arial"/>
        </w:rPr>
        <w:t xml:space="preserve"> </w:t>
      </w:r>
    </w:p>
    <w:p w14:paraId="36AC60C2" w14:textId="05B88AA0" w:rsidR="00830F07" w:rsidRPr="00C02957" w:rsidRDefault="00830F07" w:rsidP="0031288A">
      <w:pPr>
        <w:spacing w:line="360" w:lineRule="auto"/>
        <w:rPr>
          <w:rFonts w:cs="Arial"/>
        </w:rPr>
      </w:pPr>
      <w:r w:rsidRPr="00B11D07">
        <w:rPr>
          <w:rFonts w:cs="Arial"/>
          <w:b/>
        </w:rPr>
        <w:t xml:space="preserve">Word count: </w:t>
      </w:r>
      <w:r>
        <w:rPr>
          <w:rFonts w:cs="Arial"/>
          <w:b/>
        </w:rPr>
        <w:t>a</w:t>
      </w:r>
      <w:r w:rsidRPr="00B11D07">
        <w:rPr>
          <w:rFonts w:cs="Arial"/>
          <w:b/>
        </w:rPr>
        <w:t>bstract:</w:t>
      </w:r>
      <w:r w:rsidRPr="00B11D07">
        <w:rPr>
          <w:rFonts w:cs="Arial"/>
        </w:rPr>
        <w:t xml:space="preserve"> </w:t>
      </w:r>
      <w:r>
        <w:rPr>
          <w:rFonts w:cs="Arial"/>
        </w:rPr>
        <w:t xml:space="preserve">300; </w:t>
      </w:r>
      <w:r w:rsidRPr="00F6549D">
        <w:rPr>
          <w:rFonts w:cs="Arial"/>
          <w:b/>
          <w:bCs/>
        </w:rPr>
        <w:t>b</w:t>
      </w:r>
      <w:r w:rsidRPr="008B3FE5">
        <w:rPr>
          <w:rFonts w:cs="Arial"/>
          <w:b/>
        </w:rPr>
        <w:t>ody text</w:t>
      </w:r>
      <w:r w:rsidRPr="00C02957">
        <w:rPr>
          <w:rFonts w:cs="Arial"/>
          <w:b/>
        </w:rPr>
        <w:t>:</w:t>
      </w:r>
      <w:r w:rsidRPr="00C02957">
        <w:rPr>
          <w:rFonts w:cs="Arial"/>
        </w:rPr>
        <w:t xml:space="preserve"> </w:t>
      </w:r>
      <w:r>
        <w:rPr>
          <w:rFonts w:cs="Arial"/>
        </w:rPr>
        <w:t>4715</w:t>
      </w:r>
    </w:p>
    <w:p w14:paraId="0E08D682" w14:textId="13AACA82" w:rsidR="00830F07" w:rsidRPr="003848E0" w:rsidRDefault="00830F07" w:rsidP="0031288A">
      <w:pPr>
        <w:spacing w:line="360" w:lineRule="auto"/>
        <w:rPr>
          <w:rFonts w:cs="Arial"/>
        </w:rPr>
      </w:pPr>
      <w:r w:rsidRPr="00B11D07">
        <w:rPr>
          <w:rFonts w:cs="Arial"/>
          <w:b/>
        </w:rPr>
        <w:t>Figure/table count:</w:t>
      </w:r>
      <w:r w:rsidRPr="003848E0">
        <w:rPr>
          <w:rFonts w:cs="Arial"/>
        </w:rPr>
        <w:t xml:space="preserve"> </w:t>
      </w:r>
      <w:r>
        <w:rPr>
          <w:rFonts w:cs="Arial"/>
        </w:rPr>
        <w:t>2</w:t>
      </w:r>
      <w:r w:rsidRPr="003848E0">
        <w:rPr>
          <w:rFonts w:cs="Arial"/>
        </w:rPr>
        <w:t xml:space="preserve"> tables</w:t>
      </w:r>
      <w:r>
        <w:rPr>
          <w:rFonts w:cs="Arial"/>
        </w:rPr>
        <w:t xml:space="preserve"> (separate document)</w:t>
      </w:r>
      <w:r w:rsidRPr="003848E0">
        <w:rPr>
          <w:rFonts w:cs="Arial"/>
        </w:rPr>
        <w:t xml:space="preserve">, </w:t>
      </w:r>
      <w:r>
        <w:rPr>
          <w:rFonts w:cs="Arial"/>
        </w:rPr>
        <w:t>3</w:t>
      </w:r>
      <w:r w:rsidRPr="003848E0">
        <w:rPr>
          <w:rFonts w:cs="Arial"/>
        </w:rPr>
        <w:t xml:space="preserve"> figures</w:t>
      </w:r>
    </w:p>
    <w:p w14:paraId="0419FF83" w14:textId="1E5C4BD2" w:rsidR="00830F07" w:rsidRPr="00B11D07" w:rsidRDefault="00830F07" w:rsidP="0031288A">
      <w:pPr>
        <w:spacing w:line="360" w:lineRule="auto"/>
        <w:rPr>
          <w:rFonts w:cs="Arial"/>
        </w:rPr>
      </w:pPr>
      <w:r w:rsidRPr="003848E0">
        <w:rPr>
          <w:rFonts w:cs="Arial"/>
          <w:b/>
        </w:rPr>
        <w:t xml:space="preserve">Suppl. </w:t>
      </w:r>
      <w:r>
        <w:rPr>
          <w:rFonts w:cs="Arial"/>
          <w:b/>
        </w:rPr>
        <w:t>materials</w:t>
      </w:r>
      <w:r w:rsidRPr="003848E0">
        <w:rPr>
          <w:rFonts w:cs="Arial"/>
          <w:b/>
        </w:rPr>
        <w:t xml:space="preserve">: </w:t>
      </w:r>
      <w:r>
        <w:rPr>
          <w:rFonts w:cs="Arial"/>
          <w:bCs/>
        </w:rPr>
        <w:t>11</w:t>
      </w:r>
      <w:r w:rsidRPr="003848E0">
        <w:rPr>
          <w:rFonts w:cs="Arial"/>
          <w:bCs/>
        </w:rPr>
        <w:t xml:space="preserve"> tables, 4 figures</w:t>
      </w:r>
      <w:r w:rsidRPr="003848E0">
        <w:rPr>
          <w:rFonts w:cs="Arial"/>
          <w:bCs/>
        </w:rPr>
        <w:br/>
      </w:r>
      <w:r w:rsidRPr="003848E0">
        <w:rPr>
          <w:rFonts w:cs="Arial"/>
          <w:b/>
        </w:rPr>
        <w:t>Reference count</w:t>
      </w:r>
      <w:r w:rsidRPr="00271AF7">
        <w:rPr>
          <w:rFonts w:cs="Arial"/>
          <w:b/>
        </w:rPr>
        <w:t>:</w:t>
      </w:r>
      <w:r w:rsidRPr="00271AF7">
        <w:rPr>
          <w:rFonts w:cs="Arial"/>
        </w:rPr>
        <w:t xml:space="preserve"> 3</w:t>
      </w:r>
      <w:r>
        <w:rPr>
          <w:rFonts w:cs="Arial"/>
        </w:rPr>
        <w:t>0</w:t>
      </w:r>
      <w:r w:rsidRPr="00B11D07">
        <w:rPr>
          <w:rFonts w:cs="Arial"/>
        </w:rPr>
        <w:br w:type="page"/>
      </w:r>
    </w:p>
    <w:p w14:paraId="746C0699" w14:textId="77777777" w:rsidR="00830F07" w:rsidRPr="005178D7" w:rsidRDefault="00830F07" w:rsidP="0031288A">
      <w:pPr>
        <w:pStyle w:val="Heading2"/>
      </w:pPr>
      <w:r>
        <w:lastRenderedPageBreak/>
        <w:t>Summary</w:t>
      </w:r>
    </w:p>
    <w:p w14:paraId="6F461CC1" w14:textId="03DA4ACA" w:rsidR="00830F07" w:rsidRPr="00F70693" w:rsidRDefault="00830F07" w:rsidP="0031288A">
      <w:bookmarkStart w:id="5" w:name="_Hlk66797074"/>
      <w:r w:rsidRPr="00785EFD">
        <w:rPr>
          <w:b/>
        </w:rPr>
        <w:t>Background</w:t>
      </w:r>
      <w:r>
        <w:rPr>
          <w:rFonts w:cs="Arial"/>
          <w:b/>
        </w:rPr>
        <w:t>—</w:t>
      </w:r>
      <w:r>
        <w:t xml:space="preserve">Novel approaches are required to improve outcomes in relapsed or refractory (R/R) classical Hodgkin lymphoma (cHL) and non-Hodgkin lymphoma (NHL). </w:t>
      </w:r>
      <w:bookmarkStart w:id="6" w:name="_Hlk53416496"/>
      <w:r>
        <w:t>The study aimed to evaluate c</w:t>
      </w:r>
      <w:r w:rsidRPr="00785EFD">
        <w:t xml:space="preserve">amidanlumab </w:t>
      </w:r>
      <w:r>
        <w:t>tesir</w:t>
      </w:r>
      <w:r w:rsidRPr="004F3F5B">
        <w:t>ine</w:t>
      </w:r>
      <w:r>
        <w:t xml:space="preserve">, an anti-CD25 antibody-drug conjugate, </w:t>
      </w:r>
      <w:bookmarkEnd w:id="6"/>
      <w:r>
        <w:t>in this patient population.</w:t>
      </w:r>
    </w:p>
    <w:p w14:paraId="6FCA1E02" w14:textId="51A1C08A" w:rsidR="00830F07" w:rsidRPr="004E1756" w:rsidRDefault="00830F07" w:rsidP="0031288A">
      <w:r w:rsidRPr="00785EFD">
        <w:rPr>
          <w:b/>
        </w:rPr>
        <w:t>Methods</w:t>
      </w:r>
      <w:r>
        <w:rPr>
          <w:rFonts w:cs="Arial"/>
          <w:b/>
        </w:rPr>
        <w:t>—</w:t>
      </w:r>
      <w:r>
        <w:t xml:space="preserve">This now-complete, Phase 1, </w:t>
      </w:r>
      <w:bookmarkStart w:id="7" w:name="_Hlk63169255"/>
      <w:r>
        <w:t xml:space="preserve">open-label, dose-escalation (Part 1), dose-expansion (Part 2), multicenter </w:t>
      </w:r>
      <w:bookmarkEnd w:id="7"/>
      <w:r>
        <w:t xml:space="preserve">trial was conducted across 12 hospital sites (seven US, five UK). </w:t>
      </w:r>
      <w:r w:rsidRPr="00F4113F">
        <w:t>Adults with performance status 0–2</w:t>
      </w:r>
      <w:r>
        <w:t xml:space="preserve">, </w:t>
      </w:r>
      <w:r w:rsidRPr="00F4113F">
        <w:t>pathologically</w:t>
      </w:r>
      <w:r>
        <w:t>-</w:t>
      </w:r>
      <w:r w:rsidRPr="00F4113F">
        <w:t xml:space="preserve">confirmed R/R </w:t>
      </w:r>
      <w:r>
        <w:t xml:space="preserve">cHL or </w:t>
      </w:r>
      <w:r w:rsidRPr="00F4113F">
        <w:t>NHL</w:t>
      </w:r>
      <w:r>
        <w:t>, and</w:t>
      </w:r>
      <w:r w:rsidRPr="00F4113F">
        <w:t xml:space="preserve"> no suitable established therapy </w:t>
      </w:r>
      <w:r>
        <w:t xml:space="preserve">were </w:t>
      </w:r>
      <w:r w:rsidRPr="00F4113F">
        <w:t>enrolled</w:t>
      </w:r>
      <w:r>
        <w:t>.</w:t>
      </w:r>
      <w:r w:rsidRPr="00F4113F">
        <w:t xml:space="preserve"> </w:t>
      </w:r>
      <w:r>
        <w:t>C</w:t>
      </w:r>
      <w:r w:rsidRPr="0001368D">
        <w:t>amidanlumab tesirine was administered intravenously (3–150 µg/kg) once every 3 weeks</w:t>
      </w:r>
      <w:r>
        <w:t>.</w:t>
      </w:r>
      <w:r w:rsidRPr="0001368D">
        <w:t xml:space="preserve"> </w:t>
      </w:r>
      <w:r>
        <w:t xml:space="preserve">Primary objectives were to assess </w:t>
      </w:r>
      <w:r>
        <w:t>dose-limiting toxicity (</w:t>
      </w:r>
      <w:proofErr w:type="spellStart"/>
      <w:r>
        <w:t>DLT</w:t>
      </w:r>
      <w:proofErr w:type="spellEnd"/>
      <w:r>
        <w:t>), determine maximum-tolerated dose (</w:t>
      </w:r>
      <w:proofErr w:type="spellStart"/>
      <w:r>
        <w:t>MTD</w:t>
      </w:r>
      <w:proofErr w:type="spellEnd"/>
      <w:r>
        <w:t xml:space="preserve">) and recommended expansion dose(s), and assess </w:t>
      </w:r>
      <w:r>
        <w:t>safety</w:t>
      </w:r>
      <w:r>
        <w:t>/tolerability.</w:t>
      </w:r>
      <w:r>
        <w:t xml:space="preserve"> </w:t>
      </w:r>
      <w:r w:rsidRPr="003B4BCC">
        <w:t>Safety was assessed in all</w:t>
      </w:r>
      <w:r>
        <w:t xml:space="preserve"> </w:t>
      </w:r>
      <w:r w:rsidRPr="003B4BCC">
        <w:t xml:space="preserve">treated </w:t>
      </w:r>
      <w:r>
        <w:t>patients</w:t>
      </w:r>
      <w:r w:rsidRPr="003B4BCC">
        <w:t>; efficacy in treated patients with ≥1 valid baseline and post-baseline disease assessment or disease progression</w:t>
      </w:r>
      <w:r>
        <w:t>/death</w:t>
      </w:r>
      <w:r w:rsidRPr="003B4BCC">
        <w:t xml:space="preserve"> after first </w:t>
      </w:r>
      <w:r>
        <w:t>study-drug dose.</w:t>
      </w:r>
      <w:r w:rsidR="00CF57F6">
        <w:t xml:space="preserve"> </w:t>
      </w:r>
      <w:r w:rsidRPr="00BF7EDC">
        <w:rPr>
          <w:rFonts w:cs="Arial"/>
        </w:rPr>
        <w:t>This trial was registered at ClinicalTrials.gov</w:t>
      </w:r>
      <w:r>
        <w:rPr>
          <w:rFonts w:cs="Arial"/>
        </w:rPr>
        <w:t xml:space="preserve"> (</w:t>
      </w:r>
      <w:r w:rsidRPr="00BF7EDC">
        <w:rPr>
          <w:rFonts w:cs="Arial"/>
        </w:rPr>
        <w:t>NCT02432235</w:t>
      </w:r>
      <w:r>
        <w:rPr>
          <w:rFonts w:cs="Arial"/>
        </w:rPr>
        <w:t>)</w:t>
      </w:r>
      <w:r w:rsidRPr="00BF7EDC">
        <w:rPr>
          <w:rFonts w:cs="Arial"/>
        </w:rPr>
        <w:t>.</w:t>
      </w:r>
      <w:r>
        <w:t xml:space="preserve"> </w:t>
      </w:r>
    </w:p>
    <w:p w14:paraId="37EE2358" w14:textId="68CCC953" w:rsidR="00830F07" w:rsidRPr="00D935D8" w:rsidRDefault="00830F07" w:rsidP="0031288A">
      <w:r>
        <w:rPr>
          <w:b/>
        </w:rPr>
        <w:t>Findings</w:t>
      </w:r>
      <w:r>
        <w:rPr>
          <w:rFonts w:cs="Arial"/>
          <w:b/>
        </w:rPr>
        <w:t>—</w:t>
      </w:r>
      <w:r>
        <w:t>During Oct 5, 2015–Jun 30, 2019, 133 patients enrolled: cHL, n=77; NHL, n=56.</w:t>
      </w:r>
      <w:r w:rsidRPr="00D935D8">
        <w:t xml:space="preserve"> </w:t>
      </w:r>
      <w:r>
        <w:t xml:space="preserve">Median (IQR) follow-up was </w:t>
      </w:r>
      <w:r w:rsidRPr="00B30F73">
        <w:t xml:space="preserve">9·15 months </w:t>
      </w:r>
      <w:r w:rsidRPr="00166061">
        <w:t>(4·17</w:t>
      </w:r>
      <w:r w:rsidRPr="00BD73B8">
        <w:t>–14·3</w:t>
      </w:r>
      <w:r w:rsidRPr="004071AB">
        <w:t>2).</w:t>
      </w:r>
      <w:r>
        <w:t xml:space="preserve"> Eight </w:t>
      </w:r>
      <w:proofErr w:type="spellStart"/>
      <w:r>
        <w:t>DLTs</w:t>
      </w:r>
      <w:proofErr w:type="spellEnd"/>
      <w:r>
        <w:t xml:space="preserve"> were reported in 5/86</w:t>
      </w:r>
      <w:r w:rsidRPr="00C33FF4">
        <w:t xml:space="preserve"> (5·8%) patient</w:t>
      </w:r>
      <w:r>
        <w:t xml:space="preserve">s; the </w:t>
      </w:r>
      <w:proofErr w:type="spellStart"/>
      <w:r>
        <w:t>MTD</w:t>
      </w:r>
      <w:proofErr w:type="spellEnd"/>
      <w:r>
        <w:t xml:space="preserve"> was not reached. Dose-expansion was based on available data. G</w:t>
      </w:r>
      <w:r w:rsidRPr="00EE2598">
        <w:rPr>
          <w:rFonts w:cs="Arial"/>
        </w:rPr>
        <w:t xml:space="preserve">rade ≥3 </w:t>
      </w:r>
      <w:r>
        <w:t>treatment-emergent AEs (TEAEs) (</w:t>
      </w:r>
      <w:r w:rsidRPr="00EE2598">
        <w:rPr>
          <w:rFonts w:cs="Arial"/>
        </w:rPr>
        <w:t>≥10%</w:t>
      </w:r>
      <w:r>
        <w:rPr>
          <w:rFonts w:cs="Arial"/>
        </w:rPr>
        <w:t xml:space="preserve"> of</w:t>
      </w:r>
      <w:r w:rsidRPr="00EE2598">
        <w:rPr>
          <w:rFonts w:cs="Arial"/>
        </w:rPr>
        <w:t xml:space="preserve"> </w:t>
      </w:r>
      <w:r>
        <w:rPr>
          <w:rFonts w:cs="Arial"/>
        </w:rPr>
        <w:t>133 patients)</w:t>
      </w:r>
      <w:r>
        <w:t xml:space="preserve"> included </w:t>
      </w:r>
      <w:r w:rsidRPr="00EB7553">
        <w:rPr>
          <w:rFonts w:cs="Arial"/>
        </w:rPr>
        <w:t>gamma-glutamyltransferase</w:t>
      </w:r>
      <w:r w:rsidRPr="00EE2598">
        <w:rPr>
          <w:rFonts w:cs="Arial"/>
        </w:rPr>
        <w:t xml:space="preserve"> increased</w:t>
      </w:r>
      <w:r>
        <w:rPr>
          <w:rFonts w:cs="Arial"/>
        </w:rPr>
        <w:t xml:space="preserve"> (n=20 [</w:t>
      </w:r>
      <w:r w:rsidRPr="00EE2598">
        <w:rPr>
          <w:rFonts w:cs="Arial"/>
        </w:rPr>
        <w:t>15</w:t>
      </w:r>
      <w:r>
        <w:rPr>
          <w:rFonts w:cs="Arial"/>
        </w:rPr>
        <w:t>·</w:t>
      </w:r>
      <w:r w:rsidRPr="00EE2598">
        <w:rPr>
          <w:rFonts w:cs="Arial"/>
        </w:rPr>
        <w:t>0%</w:t>
      </w:r>
      <w:r>
        <w:rPr>
          <w:rFonts w:cs="Arial"/>
        </w:rPr>
        <w:t xml:space="preserve">]), maculopapular </w:t>
      </w:r>
      <w:r w:rsidRPr="00EE2598">
        <w:rPr>
          <w:rFonts w:cs="Arial"/>
        </w:rPr>
        <w:t>rash</w:t>
      </w:r>
      <w:r>
        <w:rPr>
          <w:rFonts w:cs="Arial"/>
        </w:rPr>
        <w:t xml:space="preserve"> (n=16 [</w:t>
      </w:r>
      <w:r w:rsidRPr="00EE2598">
        <w:rPr>
          <w:rFonts w:cs="Arial"/>
        </w:rPr>
        <w:t>12</w:t>
      </w:r>
      <w:r>
        <w:rPr>
          <w:rFonts w:cs="Arial"/>
        </w:rPr>
        <w:t>·</w:t>
      </w:r>
      <w:r w:rsidRPr="00EE2598">
        <w:rPr>
          <w:rFonts w:cs="Arial"/>
        </w:rPr>
        <w:t>0%</w:t>
      </w:r>
      <w:r>
        <w:rPr>
          <w:rFonts w:cs="Arial"/>
        </w:rPr>
        <w:t xml:space="preserve">]), </w:t>
      </w:r>
      <w:r w:rsidRPr="00EE2598">
        <w:rPr>
          <w:rFonts w:cs="Arial"/>
        </w:rPr>
        <w:t>and anemia</w:t>
      </w:r>
      <w:r>
        <w:rPr>
          <w:rFonts w:cs="Arial"/>
        </w:rPr>
        <w:t xml:space="preserve"> (n=15 [</w:t>
      </w:r>
      <w:r w:rsidRPr="00EE2598">
        <w:rPr>
          <w:rFonts w:cs="Arial"/>
        </w:rPr>
        <w:t>11</w:t>
      </w:r>
      <w:r>
        <w:rPr>
          <w:rFonts w:cs="Arial"/>
        </w:rPr>
        <w:t>·</w:t>
      </w:r>
      <w:r w:rsidRPr="00EE2598">
        <w:rPr>
          <w:rFonts w:cs="Arial"/>
        </w:rPr>
        <w:t>3%</w:t>
      </w:r>
      <w:r>
        <w:rPr>
          <w:rFonts w:cs="Arial"/>
        </w:rPr>
        <w:t xml:space="preserve">]); </w:t>
      </w:r>
      <w:r w:rsidRPr="00EE2598">
        <w:rPr>
          <w:rFonts w:cs="Arial"/>
        </w:rPr>
        <w:t>74 (55</w:t>
      </w:r>
      <w:r>
        <w:rPr>
          <w:rFonts w:cs="Arial"/>
        </w:rPr>
        <w:t>·</w:t>
      </w:r>
      <w:r w:rsidRPr="00EE2598">
        <w:rPr>
          <w:rFonts w:cs="Arial"/>
        </w:rPr>
        <w:t xml:space="preserve">6%) patients experienced serious TEAEs, most commonly pyrexia </w:t>
      </w:r>
      <w:r>
        <w:rPr>
          <w:rFonts w:cs="Arial"/>
        </w:rPr>
        <w:t>(n=16 [</w:t>
      </w:r>
      <w:r w:rsidRPr="00EE2598">
        <w:rPr>
          <w:rFonts w:cs="Arial"/>
        </w:rPr>
        <w:t>12</w:t>
      </w:r>
      <w:r>
        <w:rPr>
          <w:rFonts w:cs="Arial"/>
        </w:rPr>
        <w:t>·</w:t>
      </w:r>
      <w:r w:rsidRPr="00EE2598">
        <w:rPr>
          <w:rFonts w:cs="Arial"/>
        </w:rPr>
        <w:t>0%</w:t>
      </w:r>
      <w:r>
        <w:rPr>
          <w:rFonts w:cs="Arial"/>
        </w:rPr>
        <w:t>]).</w:t>
      </w:r>
      <w:bookmarkStart w:id="8" w:name="_Hlk56968201"/>
      <w:bookmarkStart w:id="9" w:name="_Hlk53416794"/>
      <w:r w:rsidRPr="00744DA1">
        <w:t xml:space="preserve">There was </w:t>
      </w:r>
      <w:r>
        <w:t xml:space="preserve">1/133 (0·8%) </w:t>
      </w:r>
      <w:r w:rsidRPr="00744DA1">
        <w:t xml:space="preserve">fatal TEAE and </w:t>
      </w:r>
      <w:r>
        <w:t>2/133 (1</w:t>
      </w:r>
      <w:r>
        <w:rPr>
          <w:rFonts w:cs="Arial"/>
        </w:rPr>
        <w:t>·</w:t>
      </w:r>
      <w:r>
        <w:t>5%)</w:t>
      </w:r>
      <w:r w:rsidRPr="00744DA1">
        <w:t xml:space="preserve"> deaths outside the reporting period considered at least possibly </w:t>
      </w:r>
      <w:r>
        <w:t xml:space="preserve">study-drug </w:t>
      </w:r>
      <w:r w:rsidRPr="00744DA1">
        <w:t>related</w:t>
      </w:r>
      <w:r>
        <w:t xml:space="preserve">. </w:t>
      </w:r>
      <w:r>
        <w:t xml:space="preserve">Overall response rates were: </w:t>
      </w:r>
      <w:r w:rsidRPr="006F5860">
        <w:t>71</w:t>
      </w:r>
      <w:r>
        <w:t>·</w:t>
      </w:r>
      <w:r w:rsidRPr="006F5860">
        <w:t>4%</w:t>
      </w:r>
      <w:r>
        <w:t xml:space="preserve"> (55/77 patients; 95% CI:</w:t>
      </w:r>
      <w:r w:rsidRPr="00693FB5">
        <w:t xml:space="preserve"> 60·0–81·2</w:t>
      </w:r>
      <w:r>
        <w:t>) in cHL</w:t>
      </w:r>
      <w:r>
        <w:t xml:space="preserve"> overall and </w:t>
      </w:r>
      <w:r w:rsidRPr="004008EC">
        <w:t>86·5% (32/37 patients; 71·2–95·5) at 45</w:t>
      </w:r>
      <w:r>
        <w:t> </w:t>
      </w:r>
      <w:r w:rsidRPr="004008EC">
        <w:t>µg/kg camidanlumab tesirine</w:t>
      </w:r>
      <w:r w:rsidRPr="006F5860">
        <w:t>, 37</w:t>
      </w:r>
      <w:r>
        <w:t>·</w:t>
      </w:r>
      <w:r w:rsidRPr="006F5860">
        <w:t>7%</w:t>
      </w:r>
      <w:r>
        <w:t xml:space="preserve"> (20/53 patients; </w:t>
      </w:r>
      <w:r w:rsidRPr="00F22C19">
        <w:t>24</w:t>
      </w:r>
      <w:r w:rsidRPr="00693FB5">
        <w:t>·</w:t>
      </w:r>
      <w:r w:rsidRPr="00F22C19">
        <w:t>8</w:t>
      </w:r>
      <w:r>
        <w:t>–</w:t>
      </w:r>
      <w:r w:rsidRPr="00F22C19">
        <w:t>52</w:t>
      </w:r>
      <w:r w:rsidRPr="00693FB5">
        <w:t>·</w:t>
      </w:r>
      <w:r w:rsidRPr="00F22C19">
        <w:t>1</w:t>
      </w:r>
      <w:r>
        <w:t>) in NHL overall</w:t>
      </w:r>
      <w:r w:rsidRPr="006F5860">
        <w:t>, and 48</w:t>
      </w:r>
      <w:r>
        <w:t>·</w:t>
      </w:r>
      <w:r w:rsidRPr="006F5860">
        <w:t>4%</w:t>
      </w:r>
      <w:r>
        <w:t xml:space="preserve"> (15/31 patients; </w:t>
      </w:r>
      <w:r w:rsidRPr="007F6BAF">
        <w:t>30</w:t>
      </w:r>
      <w:r w:rsidRPr="00693FB5">
        <w:t>·</w:t>
      </w:r>
      <w:r w:rsidRPr="007F6BAF">
        <w:t>2</w:t>
      </w:r>
      <w:r>
        <w:t>–</w:t>
      </w:r>
      <w:r w:rsidRPr="007F6BAF">
        <w:t>66</w:t>
      </w:r>
      <w:r w:rsidRPr="00693FB5">
        <w:t>·</w:t>
      </w:r>
      <w:r w:rsidRPr="007F6BAF">
        <w:t>9</w:t>
      </w:r>
      <w:r>
        <w:t xml:space="preserve">) in </w:t>
      </w:r>
      <w:r>
        <w:t>T-cell NHL</w:t>
      </w:r>
      <w:bookmarkEnd w:id="8"/>
      <w:r>
        <w:rPr>
          <w:rFonts w:cs="Arial"/>
        </w:rPr>
        <w:t>.</w:t>
      </w:r>
      <w:r w:rsidRPr="00BF7EDC">
        <w:t xml:space="preserve"> </w:t>
      </w:r>
    </w:p>
    <w:bookmarkEnd w:id="9"/>
    <w:p w14:paraId="45CEC11C" w14:textId="5FA08042" w:rsidR="00830F07" w:rsidRDefault="00830F07" w:rsidP="0031288A">
      <w:r>
        <w:rPr>
          <w:b/>
        </w:rPr>
        <w:lastRenderedPageBreak/>
        <w:t>Interpretation</w:t>
      </w:r>
      <w:r>
        <w:rPr>
          <w:rFonts w:cs="Arial"/>
          <w:b/>
        </w:rPr>
        <w:t>—</w:t>
      </w:r>
      <w:bookmarkStart w:id="10" w:name="_Hlk66798112"/>
      <w:r>
        <w:rPr>
          <w:rFonts w:cs="Arial"/>
          <w:bCs/>
        </w:rPr>
        <w:t>These results warrant further evaluation of c</w:t>
      </w:r>
      <w:r w:rsidRPr="00D01251">
        <w:t xml:space="preserve">amidanlumab tesirine </w:t>
      </w:r>
      <w:r>
        <w:t>as a potential treatment option for</w:t>
      </w:r>
      <w:r>
        <w:t xml:space="preserve"> R/R lymphoma, </w:t>
      </w:r>
      <w:r>
        <w:t>particularly cHL</w:t>
      </w:r>
      <w:r>
        <w:t>.</w:t>
      </w:r>
      <w:bookmarkEnd w:id="10"/>
    </w:p>
    <w:p w14:paraId="27D3165B" w14:textId="2B6544B6" w:rsidR="00830F07" w:rsidRDefault="00830F07" w:rsidP="0031288A">
      <w:pPr>
        <w:rPr>
          <w:rFonts w:eastAsiaTheme="majorEastAsia" w:cstheme="majorBidi"/>
          <w:b/>
        </w:rPr>
      </w:pPr>
      <w:r>
        <w:rPr>
          <w:b/>
        </w:rPr>
        <w:t>Funding</w:t>
      </w:r>
      <w:r>
        <w:rPr>
          <w:rFonts w:cs="Arial"/>
          <w:b/>
        </w:rPr>
        <w:t>—</w:t>
      </w:r>
      <w:r w:rsidRPr="002C6D51">
        <w:rPr>
          <w:rFonts w:cs="Arial"/>
        </w:rPr>
        <w:t>ADC Therapeutics SA.</w:t>
      </w:r>
      <w:bookmarkEnd w:id="5"/>
      <w:r>
        <w:br w:type="page"/>
      </w:r>
    </w:p>
    <w:p w14:paraId="680D69F6" w14:textId="77777777" w:rsidR="00830F07" w:rsidRPr="00D0242F" w:rsidRDefault="00830F07" w:rsidP="0031288A">
      <w:pPr>
        <w:pStyle w:val="Heading2"/>
      </w:pPr>
      <w:r w:rsidRPr="00D0242F">
        <w:lastRenderedPageBreak/>
        <w:t>Research in context</w:t>
      </w:r>
    </w:p>
    <w:p w14:paraId="65A6F874" w14:textId="77777777" w:rsidR="00830F07" w:rsidRPr="00D0242F" w:rsidRDefault="00830F07" w:rsidP="0031288A">
      <w:pPr>
        <w:rPr>
          <w:b/>
          <w:bCs/>
        </w:rPr>
      </w:pPr>
      <w:bookmarkStart w:id="11" w:name="_Hlk56966639"/>
      <w:r w:rsidRPr="00D0242F">
        <w:rPr>
          <w:b/>
          <w:bCs/>
        </w:rPr>
        <w:t xml:space="preserve">Evidence before this study </w:t>
      </w:r>
    </w:p>
    <w:p w14:paraId="10A78445" w14:textId="11418E06" w:rsidR="00830F07" w:rsidRDefault="00830F07" w:rsidP="0031288A">
      <w:r>
        <w:rPr>
          <w:rFonts w:cs="Arial"/>
          <w:shd w:val="clear" w:color="auto" w:fill="FFFFFF"/>
        </w:rPr>
        <w:t xml:space="preserve">CD25 is expressed on the surface of various hematologic tumor cell types and is therefore a promising target for antitumor therapies in lymphoma. </w:t>
      </w:r>
      <w:r w:rsidRPr="00D0242F">
        <w:t xml:space="preserve">To </w:t>
      </w:r>
      <w:r>
        <w:t>ascertain</w:t>
      </w:r>
      <w:r w:rsidRPr="00D0242F">
        <w:t xml:space="preserve"> the treatment landscape </w:t>
      </w:r>
      <w:r>
        <w:t xml:space="preserve">for CD25-directed therapies in lymphoma </w:t>
      </w:r>
      <w:r w:rsidRPr="00D0242F">
        <w:t xml:space="preserve">prior to study initiation in 2015, a PubMed search was conducted </w:t>
      </w:r>
      <w:r>
        <w:t xml:space="preserve">(Nov 23, 2020) </w:t>
      </w:r>
      <w:r w:rsidRPr="00D0242F">
        <w:t>using the terms “lymphoma”, “CD25” and “clinical trial” for studies published fro</w:t>
      </w:r>
      <w:r>
        <w:t>m</w:t>
      </w:r>
      <w:r w:rsidRPr="00D0242F">
        <w:t xml:space="preserve"> </w:t>
      </w:r>
      <w:r w:rsidRPr="0041356A">
        <w:t>Jan 1, 2010 to Jan</w:t>
      </w:r>
      <w:r w:rsidRPr="00D0242F">
        <w:t xml:space="preserve"> 1</w:t>
      </w:r>
      <w:r>
        <w:t xml:space="preserve">, </w:t>
      </w:r>
      <w:r w:rsidRPr="00D0242F">
        <w:t xml:space="preserve">2015. Of the studies identified, the majority were early phase trials </w:t>
      </w:r>
      <w:r>
        <w:t>and p</w:t>
      </w:r>
      <w:r w:rsidRPr="00D0242F">
        <w:t>atient population sizes were generally small</w:t>
      </w:r>
      <w:r>
        <w:t xml:space="preserve">, with fewer than </w:t>
      </w:r>
      <w:r w:rsidRPr="00D0242F">
        <w:t xml:space="preserve">40 patients in 75% of </w:t>
      </w:r>
      <w:r>
        <w:t xml:space="preserve">the </w:t>
      </w:r>
      <w:r w:rsidRPr="00D0242F">
        <w:t>studies</w:t>
      </w:r>
      <w:r>
        <w:t>. CD25-directed t</w:t>
      </w:r>
      <w:r w:rsidRPr="00D0242F">
        <w:t xml:space="preserve">reatments </w:t>
      </w:r>
      <w:r>
        <w:t xml:space="preserve">evaluated for lymphoma </w:t>
      </w:r>
      <w:r w:rsidRPr="00D0242F">
        <w:t xml:space="preserve">were limited to an </w:t>
      </w:r>
      <w:r>
        <w:t>anti-</w:t>
      </w:r>
      <w:r w:rsidRPr="00D0242F">
        <w:t xml:space="preserve">CD25 monoclonal antibody </w:t>
      </w:r>
      <w:r>
        <w:t xml:space="preserve">assessed </w:t>
      </w:r>
      <w:r>
        <w:t xml:space="preserve">in combination with chemotherapy </w:t>
      </w:r>
      <w:r w:rsidRPr="00D0242F">
        <w:t>and a</w:t>
      </w:r>
      <w:r>
        <w:t>n immunotoxin ta</w:t>
      </w:r>
      <w:r w:rsidRPr="00D0242F">
        <w:t xml:space="preserve">rgeting IL-2 receptors. Objective response rates </w:t>
      </w:r>
      <w:r>
        <w:t xml:space="preserve">were </w:t>
      </w:r>
      <w:r w:rsidRPr="00D0242F">
        <w:t>between 18</w:t>
      </w:r>
      <w:r>
        <w:t>%</w:t>
      </w:r>
      <w:r w:rsidRPr="00D0242F">
        <w:t xml:space="preserve"> and 53%</w:t>
      </w:r>
      <w:r>
        <w:t xml:space="preserve"> but patient populations varied widely</w:t>
      </w:r>
      <w:r w:rsidRPr="00D0242F">
        <w:t>.</w:t>
      </w:r>
      <w:r>
        <w:t xml:space="preserve"> </w:t>
      </w:r>
    </w:p>
    <w:p w14:paraId="058A0D15" w14:textId="77777777" w:rsidR="00830F07" w:rsidRPr="00D0242F" w:rsidRDefault="00830F07" w:rsidP="0031288A">
      <w:r>
        <w:rPr>
          <w:rFonts w:cs="Arial"/>
        </w:rPr>
        <w:t xml:space="preserve">Camidanlumab tesirine is </w:t>
      </w:r>
      <w:r w:rsidRPr="0035585D">
        <w:t>a</w:t>
      </w:r>
      <w:r>
        <w:t xml:space="preserve"> CD25-targeted antibody-drug conjugate </w:t>
      </w:r>
      <w:r>
        <w:t xml:space="preserve">(ADC) </w:t>
      </w:r>
      <w:r>
        <w:t xml:space="preserve">with antitumor activity against </w:t>
      </w:r>
      <w:r w:rsidRPr="00EE2598">
        <w:rPr>
          <w:rFonts w:cs="Arial"/>
        </w:rPr>
        <w:t xml:space="preserve">CD25-expressing hematologic </w:t>
      </w:r>
      <w:r>
        <w:rPr>
          <w:rFonts w:cs="Arial"/>
        </w:rPr>
        <w:t>malignancies in preclinical models.</w:t>
      </w:r>
    </w:p>
    <w:p w14:paraId="1C249315" w14:textId="77777777" w:rsidR="00830F07" w:rsidRPr="00D0242F" w:rsidRDefault="00830F07" w:rsidP="0031288A"/>
    <w:p w14:paraId="422B45CD" w14:textId="77777777" w:rsidR="00830F07" w:rsidRPr="00D0242F" w:rsidRDefault="00830F07" w:rsidP="0031288A">
      <w:pPr>
        <w:rPr>
          <w:b/>
          <w:bCs/>
        </w:rPr>
      </w:pPr>
      <w:r w:rsidRPr="00D0242F">
        <w:rPr>
          <w:b/>
          <w:bCs/>
        </w:rPr>
        <w:t xml:space="preserve">Added value of this study </w:t>
      </w:r>
    </w:p>
    <w:p w14:paraId="112193A8" w14:textId="19D5621D" w:rsidR="00830F07" w:rsidRDefault="00830F07" w:rsidP="0031288A">
      <w:r>
        <w:t xml:space="preserve">Although CD25 is a recognized therapeutic target in hematologic malignancies and other therapies have previously been shown to have efficacy, to our knowledge, there are no CD25-directed therapies currently in widespread use for lymphoma. Our study shows that a CD25-directed ADC can produce high response rates in </w:t>
      </w:r>
      <w:r>
        <w:t>heavily pre-treated relapsed or refractory</w:t>
      </w:r>
      <w:r w:rsidRPr="00D0242F">
        <w:t xml:space="preserve"> </w:t>
      </w:r>
      <w:r>
        <w:t>classical Hodgkin lymphoma (</w:t>
      </w:r>
      <w:r>
        <w:t>cHL</w:t>
      </w:r>
      <w:r>
        <w:t>)</w:t>
      </w:r>
      <w:r>
        <w:t xml:space="preserve"> or </w:t>
      </w:r>
      <w:r>
        <w:t>non-Hodgkin lymphoma (</w:t>
      </w:r>
      <w:r>
        <w:t>NHL</w:t>
      </w:r>
      <w:r>
        <w:t xml:space="preserve">), with </w:t>
      </w:r>
      <w:r w:rsidRPr="00D0242F">
        <w:t xml:space="preserve">particularly </w:t>
      </w:r>
      <w:r>
        <w:t xml:space="preserve">encouraging responses </w:t>
      </w:r>
      <w:r w:rsidRPr="00D0242F">
        <w:t>in patients with cHL</w:t>
      </w:r>
      <w:r>
        <w:t xml:space="preserve">, where notably three-quarters of patients had received both prior </w:t>
      </w:r>
      <w:r w:rsidRPr="00EE2598">
        <w:rPr>
          <w:rFonts w:cs="Arial"/>
        </w:rPr>
        <w:t>brentuximab vedotin</w:t>
      </w:r>
      <w:r>
        <w:t xml:space="preserve"> (BV) and a </w:t>
      </w:r>
      <w:r w:rsidRPr="00EE2598">
        <w:rPr>
          <w:rFonts w:cs="Arial"/>
        </w:rPr>
        <w:t xml:space="preserve">checkpoint inhibitor </w:t>
      </w:r>
      <w:r>
        <w:rPr>
          <w:rFonts w:cs="Arial"/>
        </w:rPr>
        <w:t>(</w:t>
      </w:r>
      <w:proofErr w:type="spellStart"/>
      <w:r>
        <w:t>CHPi</w:t>
      </w:r>
      <w:proofErr w:type="spellEnd"/>
      <w:r>
        <w:t>), and</w:t>
      </w:r>
      <w:r w:rsidRPr="00D0242F">
        <w:t xml:space="preserve"> </w:t>
      </w:r>
      <w:r>
        <w:t>in</w:t>
      </w:r>
      <w:r w:rsidRPr="00D0242F">
        <w:t xml:space="preserve"> </w:t>
      </w:r>
      <w:r w:rsidRPr="00D0242F">
        <w:t xml:space="preserve">T-cell </w:t>
      </w:r>
      <w:r>
        <w:t>NHL</w:t>
      </w:r>
      <w:r w:rsidRPr="00D0242F">
        <w:t xml:space="preserve"> </w:t>
      </w:r>
      <w:r>
        <w:t>(T</w:t>
      </w:r>
      <w:r>
        <w:noBreakHyphen/>
        <w:t xml:space="preserve">NHL) </w:t>
      </w:r>
      <w:r w:rsidRPr="00D0242F">
        <w:t>at the doses selected for expansion.</w:t>
      </w:r>
      <w:r>
        <w:t xml:space="preserve"> Furthermore, we extend understanding of multiple putative modes of antitumor activity and immune-mediated t</w:t>
      </w:r>
      <w:r>
        <w:t>oxicity</w:t>
      </w:r>
      <w:r>
        <w:t xml:space="preserve"> of CD25-directed therapies, through evaluation of T-cell population changes and the relationship between CD25 expression and response</w:t>
      </w:r>
      <w:r w:rsidRPr="00D0242F">
        <w:t xml:space="preserve">. </w:t>
      </w:r>
    </w:p>
    <w:p w14:paraId="502A40C3" w14:textId="77777777" w:rsidR="00830F07" w:rsidRPr="00D0242F" w:rsidRDefault="00830F07" w:rsidP="0031288A"/>
    <w:p w14:paraId="0003638B" w14:textId="77777777" w:rsidR="00830F07" w:rsidRPr="00BF7FE6" w:rsidRDefault="00830F07" w:rsidP="0031288A">
      <w:pPr>
        <w:rPr>
          <w:b/>
          <w:bCs/>
        </w:rPr>
      </w:pPr>
      <w:r w:rsidRPr="00BF7FE6">
        <w:rPr>
          <w:b/>
          <w:bCs/>
        </w:rPr>
        <w:t>Implications of all the available evidence</w:t>
      </w:r>
    </w:p>
    <w:p w14:paraId="1D0E71C9" w14:textId="29E73824" w:rsidR="00830F07" w:rsidRPr="00BF7FE6" w:rsidRDefault="00830F07" w:rsidP="0031288A">
      <w:r>
        <w:t>This study provides strong evidence that a CD25-directed ADC is effective in lymphoma. W</w:t>
      </w:r>
      <w:r>
        <w:t xml:space="preserve">ithin the context of the limited therapeutic options available to patients with multiply </w:t>
      </w:r>
      <w:r w:rsidRPr="000C7845">
        <w:t>relapsed or refractory</w:t>
      </w:r>
      <w:r>
        <w:t xml:space="preserve"> lymphoma following a high number of prior therapies, including </w:t>
      </w:r>
      <w:r w:rsidRPr="00EE2598">
        <w:rPr>
          <w:rFonts w:cs="Arial"/>
        </w:rPr>
        <w:t xml:space="preserve">autologous </w:t>
      </w:r>
      <w:r>
        <w:rPr>
          <w:rFonts w:cs="Arial"/>
        </w:rPr>
        <w:t>hematopoietic</w:t>
      </w:r>
      <w:r w:rsidRPr="00EE2598">
        <w:rPr>
          <w:rFonts w:cs="Arial"/>
        </w:rPr>
        <w:t xml:space="preserve"> cell transplantation</w:t>
      </w:r>
      <w:r>
        <w:t xml:space="preserve">, BV, and </w:t>
      </w:r>
      <w:proofErr w:type="spellStart"/>
      <w:r>
        <w:t>CHPi</w:t>
      </w:r>
      <w:proofErr w:type="spellEnd"/>
      <w:r>
        <w:t xml:space="preserve">, the </w:t>
      </w:r>
      <w:r w:rsidRPr="00BF7FE6">
        <w:t>findings of this study</w:t>
      </w:r>
      <w:r>
        <w:t xml:space="preserve"> </w:t>
      </w:r>
      <w:r>
        <w:t xml:space="preserve">suggest that camidanlumab tesirine could offer a novel treatment option for </w:t>
      </w:r>
      <w:r w:rsidRPr="00BF7FE6">
        <w:t>cHL and T-</w:t>
      </w:r>
      <w:r>
        <w:t xml:space="preserve">NHL. </w:t>
      </w:r>
      <w:r>
        <w:t>Based on this evidence, a</w:t>
      </w:r>
      <w:r>
        <w:t xml:space="preserve"> pivotal</w:t>
      </w:r>
      <w:r w:rsidRPr="00BF7FE6">
        <w:t xml:space="preserve"> </w:t>
      </w:r>
      <w:r>
        <w:t>P</w:t>
      </w:r>
      <w:r w:rsidRPr="00BF7FE6">
        <w:t xml:space="preserve">hase 2 trial of camidanlumab tesirine in patients with </w:t>
      </w:r>
      <w:r w:rsidRPr="000C7845">
        <w:t>relapsed or refractory</w:t>
      </w:r>
      <w:r>
        <w:t xml:space="preserve"> cHL</w:t>
      </w:r>
      <w:r w:rsidRPr="00BF7FE6">
        <w:t xml:space="preserve"> is currently in progress.</w:t>
      </w:r>
    </w:p>
    <w:p w14:paraId="4E2FFEE4" w14:textId="77777777" w:rsidR="00830F07" w:rsidRPr="00D0242F" w:rsidRDefault="00830F07" w:rsidP="0031288A"/>
    <w:bookmarkEnd w:id="11"/>
    <w:p w14:paraId="22525473" w14:textId="77777777" w:rsidR="00830F07" w:rsidRPr="00D0242F" w:rsidRDefault="00830F07" w:rsidP="0031288A">
      <w:pPr>
        <w:pStyle w:val="Heading2"/>
        <w:keepNext w:val="0"/>
        <w:keepLines w:val="0"/>
        <w:rPr>
          <w:sz w:val="22"/>
          <w:szCs w:val="22"/>
        </w:rPr>
      </w:pPr>
    </w:p>
    <w:p w14:paraId="4B7E72E1" w14:textId="77777777" w:rsidR="00830F07" w:rsidRDefault="00830F07" w:rsidP="0031288A">
      <w:pPr>
        <w:pStyle w:val="Heading2"/>
        <w:keepNext w:val="0"/>
        <w:keepLines w:val="0"/>
      </w:pPr>
    </w:p>
    <w:p w14:paraId="4D09F6EE" w14:textId="77777777" w:rsidR="00830F07" w:rsidRDefault="00830F07">
      <w:pPr>
        <w:spacing w:after="160" w:line="259" w:lineRule="auto"/>
        <w:rPr>
          <w:rFonts w:eastAsiaTheme="majorEastAsia" w:cstheme="majorBidi"/>
          <w:b/>
          <w:sz w:val="28"/>
          <w:szCs w:val="26"/>
        </w:rPr>
      </w:pPr>
      <w:r>
        <w:br w:type="page"/>
      </w:r>
    </w:p>
    <w:p w14:paraId="1252F675" w14:textId="77777777" w:rsidR="00830F07" w:rsidRPr="00EE2598" w:rsidRDefault="00830F07" w:rsidP="0031288A">
      <w:pPr>
        <w:pStyle w:val="Heading2"/>
      </w:pPr>
      <w:r w:rsidRPr="00EE2598">
        <w:lastRenderedPageBreak/>
        <w:t>Introduction</w:t>
      </w:r>
    </w:p>
    <w:p w14:paraId="13C5B2DC" w14:textId="77777777" w:rsidR="00830F07" w:rsidRPr="000C286D" w:rsidRDefault="00830F07" w:rsidP="0031288A">
      <w:pPr>
        <w:rPr>
          <w:rFonts w:cs="Arial"/>
        </w:rPr>
      </w:pPr>
      <w:r w:rsidRPr="00EE2598">
        <w:rPr>
          <w:rFonts w:cs="Arial"/>
        </w:rPr>
        <w:t>Lymphomas are a heterogeneous group of malignancies of the lymphatic system comprising Hodgkin lymphoma (HL) and non-Hodgkin lymphoma (NHL).</w:t>
      </w:r>
      <w:r w:rsidRPr="00EE2598">
        <w:rPr>
          <w:rFonts w:cs="Arial"/>
          <w:noProof/>
          <w:vertAlign w:val="superscript"/>
        </w:rPr>
        <w:t>1</w:t>
      </w:r>
      <w:r w:rsidRPr="00EE2598">
        <w:rPr>
          <w:rFonts w:cs="Arial"/>
        </w:rPr>
        <w:t xml:space="preserve"> The</w:t>
      </w:r>
      <w:r>
        <w:rPr>
          <w:rFonts w:cs="Arial"/>
        </w:rPr>
        <w:t xml:space="preserve"> different </w:t>
      </w:r>
      <w:r w:rsidRPr="00EE2598">
        <w:rPr>
          <w:rFonts w:cs="Arial"/>
        </w:rPr>
        <w:t xml:space="preserve">subtypes of NHL, </w:t>
      </w:r>
      <w:r w:rsidRPr="00EE2598">
        <w:rPr>
          <w:rFonts w:cs="Arial"/>
          <w:color w:val="000000"/>
          <w:shd w:val="clear" w:color="auto" w:fill="FFFFFF"/>
        </w:rPr>
        <w:t>including B-cell</w:t>
      </w:r>
      <w:r>
        <w:rPr>
          <w:rFonts w:cs="Arial"/>
          <w:color w:val="000000"/>
          <w:shd w:val="clear" w:color="auto" w:fill="FFFFFF"/>
        </w:rPr>
        <w:t xml:space="preserve"> (B-NHL),</w:t>
      </w:r>
      <w:r w:rsidRPr="00EE2598">
        <w:rPr>
          <w:rFonts w:cs="Arial"/>
          <w:color w:val="000000"/>
          <w:shd w:val="clear" w:color="auto" w:fill="FFFFFF"/>
        </w:rPr>
        <w:t xml:space="preserve"> T-cell</w:t>
      </w:r>
      <w:r>
        <w:rPr>
          <w:rFonts w:cs="Arial"/>
          <w:color w:val="000000"/>
          <w:shd w:val="clear" w:color="auto" w:fill="FFFFFF"/>
        </w:rPr>
        <w:t xml:space="preserve"> (T-NHL), and NK-cell</w:t>
      </w:r>
      <w:r w:rsidRPr="00EE2598">
        <w:rPr>
          <w:rFonts w:cs="Arial"/>
          <w:color w:val="000000"/>
          <w:shd w:val="clear" w:color="auto" w:fill="FFFFFF"/>
        </w:rPr>
        <w:t xml:space="preserve"> lymphomas, </w:t>
      </w:r>
      <w:r>
        <w:rPr>
          <w:rFonts w:cs="Arial"/>
          <w:color w:val="000000"/>
          <w:shd w:val="clear" w:color="auto" w:fill="FFFFFF"/>
        </w:rPr>
        <w:t>have</w:t>
      </w:r>
      <w:r w:rsidRPr="00EE2598">
        <w:rPr>
          <w:rFonts w:cs="Arial"/>
          <w:color w:val="000000"/>
          <w:shd w:val="clear" w:color="auto" w:fill="FFFFFF"/>
        </w:rPr>
        <w:t xml:space="preserve"> considerable variation in prognosis</w:t>
      </w:r>
      <w:r w:rsidRPr="00EE2598">
        <w:rPr>
          <w:rFonts w:cs="Arial"/>
        </w:rPr>
        <w:t>.</w:t>
      </w:r>
      <w:r w:rsidRPr="00EE2598">
        <w:rPr>
          <w:rFonts w:cs="Arial"/>
          <w:noProof/>
          <w:vertAlign w:val="superscript"/>
        </w:rPr>
        <w:t>1,2</w:t>
      </w:r>
      <w:r w:rsidRPr="00EE2598">
        <w:rPr>
          <w:rFonts w:cs="Arial"/>
        </w:rPr>
        <w:t xml:space="preserve"> In contrast, ~95% of </w:t>
      </w:r>
      <w:proofErr w:type="spellStart"/>
      <w:r w:rsidRPr="00EE2598">
        <w:rPr>
          <w:rFonts w:cs="Arial"/>
        </w:rPr>
        <w:t>HLs</w:t>
      </w:r>
      <w:proofErr w:type="spellEnd"/>
      <w:r w:rsidRPr="00EE2598">
        <w:rPr>
          <w:rFonts w:cs="Arial"/>
        </w:rPr>
        <w:t xml:space="preserve"> are classical HL (cHL).</w:t>
      </w:r>
      <w:r w:rsidRPr="00EE2598">
        <w:rPr>
          <w:rFonts w:cs="Arial"/>
          <w:noProof/>
          <w:vertAlign w:val="superscript"/>
        </w:rPr>
        <w:t>3</w:t>
      </w:r>
      <w:r w:rsidRPr="00EE2598">
        <w:rPr>
          <w:rFonts w:cs="Arial"/>
        </w:rPr>
        <w:t xml:space="preserve"> Although cHL generally has a </w:t>
      </w:r>
      <w:r>
        <w:rPr>
          <w:rFonts w:cs="Arial"/>
        </w:rPr>
        <w:t>favorable</w:t>
      </w:r>
      <w:r w:rsidRPr="00EE2598">
        <w:rPr>
          <w:rFonts w:cs="Arial"/>
        </w:rPr>
        <w:t xml:space="preserve"> prognosis, </w:t>
      </w:r>
      <w:r>
        <w:rPr>
          <w:rFonts w:cs="Arial"/>
        </w:rPr>
        <w:t>5–10% of patients are refractory to initial treatment and 10–30% relapse after achieving initial complete remission.</w:t>
      </w:r>
      <w:r w:rsidRPr="00ED6E7C">
        <w:rPr>
          <w:rFonts w:cs="Arial"/>
          <w:noProof/>
          <w:vertAlign w:val="superscript"/>
        </w:rPr>
        <w:t>4</w:t>
      </w:r>
      <w:r>
        <w:rPr>
          <w:rFonts w:cs="Arial"/>
        </w:rPr>
        <w:t xml:space="preserve"> D</w:t>
      </w:r>
      <w:r w:rsidRPr="00EE2598">
        <w:rPr>
          <w:rFonts w:cs="Arial"/>
        </w:rPr>
        <w:t xml:space="preserve">espite salvage therapy and autologous </w:t>
      </w:r>
      <w:r>
        <w:rPr>
          <w:rFonts w:cs="Arial"/>
        </w:rPr>
        <w:t>hematopoietic</w:t>
      </w:r>
      <w:r w:rsidRPr="00EE2598">
        <w:rPr>
          <w:rFonts w:cs="Arial"/>
        </w:rPr>
        <w:t xml:space="preserve"> cell transplantation (</w:t>
      </w:r>
      <w:proofErr w:type="spellStart"/>
      <w:r>
        <w:rPr>
          <w:rFonts w:cs="Arial"/>
        </w:rPr>
        <w:t>autoHCT</w:t>
      </w:r>
      <w:proofErr w:type="spellEnd"/>
      <w:r w:rsidRPr="00EE2598">
        <w:rPr>
          <w:rFonts w:cs="Arial"/>
        </w:rPr>
        <w:t>)</w:t>
      </w:r>
      <w:r>
        <w:rPr>
          <w:rFonts w:cs="Arial"/>
        </w:rPr>
        <w:t xml:space="preserve"> consolidation, durable disease control is achieved in only 50–60% of patients with relapsed or refractory (R/R) cHL</w:t>
      </w:r>
      <w:r w:rsidRPr="00EE2598">
        <w:rPr>
          <w:rFonts w:cs="Arial"/>
        </w:rPr>
        <w:t>.</w:t>
      </w:r>
      <w:r w:rsidRPr="00EE2598">
        <w:rPr>
          <w:rFonts w:cs="Arial"/>
          <w:noProof/>
          <w:vertAlign w:val="superscript"/>
        </w:rPr>
        <w:t xml:space="preserve"> </w:t>
      </w:r>
      <w:r>
        <w:rPr>
          <w:rFonts w:cs="Arial"/>
          <w:noProof/>
          <w:vertAlign w:val="superscript"/>
        </w:rPr>
        <w:t>4,5</w:t>
      </w:r>
    </w:p>
    <w:p w14:paraId="226B58EC" w14:textId="77777777" w:rsidR="00830F07" w:rsidRPr="00EE2598" w:rsidRDefault="00830F07" w:rsidP="0031288A">
      <w:pPr>
        <w:rPr>
          <w:rFonts w:cs="Arial"/>
        </w:rPr>
      </w:pPr>
      <w:r w:rsidRPr="00EE2598">
        <w:rPr>
          <w:rFonts w:cs="Arial"/>
        </w:rPr>
        <w:t>Novel approaches to improve outcomes for R/R lymphomas include chimeric antigen</w:t>
      </w:r>
      <w:r>
        <w:rPr>
          <w:rFonts w:cs="Arial"/>
        </w:rPr>
        <w:t xml:space="preserve"> receptor</w:t>
      </w:r>
      <w:r w:rsidRPr="00EE2598">
        <w:rPr>
          <w:rFonts w:cs="Arial"/>
        </w:rPr>
        <w:t xml:space="preserve"> T-cell (CAR-T) therapy, small molecule inhibitors, antibody-drug conjugates (ADCs) such as brentuximab vedotin (BV), and/or checkpoint inhibitors (</w:t>
      </w:r>
      <w:proofErr w:type="spellStart"/>
      <w:r w:rsidRPr="00EE2598">
        <w:rPr>
          <w:rFonts w:cs="Arial"/>
        </w:rPr>
        <w:t>CHPi</w:t>
      </w:r>
      <w:proofErr w:type="spellEnd"/>
      <w:r w:rsidRPr="00EE2598">
        <w:rPr>
          <w:rFonts w:cs="Arial"/>
        </w:rPr>
        <w:t>)</w:t>
      </w:r>
      <w:r>
        <w:rPr>
          <w:rFonts w:cs="Arial"/>
        </w:rPr>
        <w:t>.</w:t>
      </w:r>
      <w:r w:rsidRPr="00D14F99">
        <w:rPr>
          <w:rFonts w:cs="Arial"/>
          <w:noProof/>
          <w:vertAlign w:val="superscript"/>
        </w:rPr>
        <w:t>6-10</w:t>
      </w:r>
      <w:r w:rsidRPr="00EE2598">
        <w:rPr>
          <w:rFonts w:cs="Arial"/>
        </w:rPr>
        <w:t xml:space="preserve"> </w:t>
      </w:r>
      <w:r>
        <w:rPr>
          <w:rFonts w:cs="Arial"/>
        </w:rPr>
        <w:t>H</w:t>
      </w:r>
      <w:r w:rsidRPr="00EE2598">
        <w:rPr>
          <w:rFonts w:cs="Arial"/>
        </w:rPr>
        <w:t xml:space="preserve">owever, some patients </w:t>
      </w:r>
      <w:r>
        <w:rPr>
          <w:rFonts w:cs="Arial"/>
        </w:rPr>
        <w:t>do not respond to these treatments or relapse after initial remission, leaving</w:t>
      </w:r>
      <w:r w:rsidRPr="00EE2598">
        <w:rPr>
          <w:rFonts w:cs="Arial"/>
        </w:rPr>
        <w:t xml:space="preserve"> an unmet need for effective therapies to</w:t>
      </w:r>
      <w:r>
        <w:rPr>
          <w:rFonts w:cs="Arial"/>
        </w:rPr>
        <w:t xml:space="preserve"> </w:t>
      </w:r>
      <w:r w:rsidRPr="00EE2598">
        <w:rPr>
          <w:rFonts w:cs="Arial"/>
          <w:color w:val="000000"/>
        </w:rPr>
        <w:t>improve outcomes and minimize long-term treatment toxicities.</w:t>
      </w:r>
      <w:r w:rsidRPr="00C00BB5">
        <w:rPr>
          <w:rFonts w:cs="Arial"/>
          <w:noProof/>
          <w:color w:val="000000"/>
          <w:vertAlign w:val="superscript"/>
        </w:rPr>
        <w:t>3,6,7,10</w:t>
      </w:r>
    </w:p>
    <w:p w14:paraId="0B3F15A7" w14:textId="77777777" w:rsidR="00830F07" w:rsidRDefault="00830F07" w:rsidP="0031288A">
      <w:pPr>
        <w:rPr>
          <w:rFonts w:cs="Arial"/>
        </w:rPr>
      </w:pPr>
      <w:r>
        <w:rPr>
          <w:rFonts w:cs="Arial"/>
          <w:shd w:val="clear" w:color="auto" w:fill="FFFFFF"/>
        </w:rPr>
        <w:t xml:space="preserve">CD25 </w:t>
      </w:r>
      <w:r>
        <w:rPr>
          <w:rFonts w:cs="Arial"/>
          <w:shd w:val="clear" w:color="auto" w:fill="FFFFFF"/>
        </w:rPr>
        <w:t xml:space="preserve">(interleukin-2 receptor subunit alpha) </w:t>
      </w:r>
      <w:r>
        <w:rPr>
          <w:rFonts w:cs="Arial"/>
          <w:shd w:val="clear" w:color="auto" w:fill="FFFFFF"/>
        </w:rPr>
        <w:t>is a marker of T-cell activation and its expression on the surface of various hematologic tumor cell types is well established</w:t>
      </w:r>
      <w:r>
        <w:rPr>
          <w:rFonts w:cs="Arial"/>
        </w:rPr>
        <w:t>.</w:t>
      </w:r>
      <w:r w:rsidRPr="000140EA">
        <w:rPr>
          <w:rFonts w:cs="Arial"/>
          <w:noProof/>
          <w:vertAlign w:val="superscript"/>
        </w:rPr>
        <w:t>11</w:t>
      </w:r>
      <w:r w:rsidRPr="00EE2598">
        <w:rPr>
          <w:rFonts w:cs="Arial"/>
        </w:rPr>
        <w:t xml:space="preserve"> Camidanlumab tesirine, an ADC comprising </w:t>
      </w:r>
      <w:proofErr w:type="spellStart"/>
      <w:r w:rsidRPr="00EE2598">
        <w:rPr>
          <w:rFonts w:cs="Arial"/>
        </w:rPr>
        <w:t>HuMax</w:t>
      </w:r>
      <w:proofErr w:type="spellEnd"/>
      <w:r w:rsidRPr="008448A3">
        <w:rPr>
          <w:rFonts w:cs="Arial"/>
          <w:vertAlign w:val="superscript"/>
        </w:rPr>
        <w:t>®</w:t>
      </w:r>
      <w:r w:rsidRPr="00EE2598">
        <w:rPr>
          <w:rFonts w:cs="Arial"/>
        </w:rPr>
        <w:t>-TAC, a human IgG1 anti-CD25 monoclonal antibody, stochastically conjugated to a pyrrolobenzodiazepine (</w:t>
      </w:r>
      <w:proofErr w:type="spellStart"/>
      <w:r w:rsidRPr="00EE2598">
        <w:rPr>
          <w:rFonts w:cs="Arial"/>
        </w:rPr>
        <w:t>PBD</w:t>
      </w:r>
      <w:proofErr w:type="spellEnd"/>
      <w:r w:rsidRPr="00EE2598">
        <w:rPr>
          <w:rFonts w:cs="Arial"/>
        </w:rPr>
        <w:t>) dimer warhead v</w:t>
      </w:r>
      <w:bookmarkStart w:id="12" w:name="_Hlk53417981"/>
      <w:r w:rsidRPr="00EE2598">
        <w:rPr>
          <w:rFonts w:cs="Arial"/>
        </w:rPr>
        <w:t xml:space="preserve">ia a cleavable linker, causes cell death </w:t>
      </w:r>
      <w:r>
        <w:rPr>
          <w:rFonts w:cs="Arial"/>
        </w:rPr>
        <w:t xml:space="preserve">through </w:t>
      </w:r>
      <w:r w:rsidRPr="00EE2598">
        <w:rPr>
          <w:rFonts w:cs="Arial"/>
        </w:rPr>
        <w:t xml:space="preserve">formation of cytotoxic DNA </w:t>
      </w:r>
      <w:proofErr w:type="spellStart"/>
      <w:r w:rsidRPr="00EE2598">
        <w:rPr>
          <w:rFonts w:cs="Arial"/>
        </w:rPr>
        <w:t>interstrand</w:t>
      </w:r>
      <w:proofErr w:type="spellEnd"/>
      <w:r w:rsidRPr="00EE2598">
        <w:rPr>
          <w:rFonts w:cs="Arial"/>
        </w:rPr>
        <w:t xml:space="preserve"> </w:t>
      </w:r>
      <w:r w:rsidRPr="00B17E60">
        <w:rPr>
          <w:rFonts w:cs="Arial"/>
        </w:rPr>
        <w:t>cross-lin</w:t>
      </w:r>
      <w:r w:rsidRPr="00EE2598">
        <w:rPr>
          <w:rFonts w:cs="Arial"/>
        </w:rPr>
        <w:t>ks</w:t>
      </w:r>
      <w:bookmarkEnd w:id="12"/>
      <w:r w:rsidRPr="00EE2598">
        <w:rPr>
          <w:rFonts w:cs="Arial"/>
        </w:rPr>
        <w:t>.</w:t>
      </w:r>
      <w:r w:rsidRPr="000140EA">
        <w:rPr>
          <w:rFonts w:cs="Arial"/>
          <w:noProof/>
          <w:vertAlign w:val="superscript"/>
        </w:rPr>
        <w:t>12</w:t>
      </w:r>
      <w:r w:rsidRPr="00EE2598">
        <w:rPr>
          <w:rFonts w:cs="Arial"/>
        </w:rPr>
        <w:t xml:space="preserve"> </w:t>
      </w:r>
    </w:p>
    <w:p w14:paraId="0E2E58D3" w14:textId="77777777" w:rsidR="00830F07" w:rsidRPr="00EE2598" w:rsidRDefault="00830F07" w:rsidP="0031288A">
      <w:pPr>
        <w:rPr>
          <w:rFonts w:cs="Arial"/>
        </w:rPr>
      </w:pPr>
      <w:r w:rsidRPr="00EE2598">
        <w:rPr>
          <w:rFonts w:cs="Arial"/>
        </w:rPr>
        <w:t xml:space="preserve">In </w:t>
      </w:r>
      <w:r>
        <w:rPr>
          <w:rFonts w:cs="Arial"/>
        </w:rPr>
        <w:t>pre</w:t>
      </w:r>
      <w:r w:rsidRPr="00EE2598">
        <w:rPr>
          <w:rFonts w:cs="Arial"/>
        </w:rPr>
        <w:t>c</w:t>
      </w:r>
      <w:r w:rsidRPr="002F2F9B">
        <w:rPr>
          <w:rFonts w:cs="Arial"/>
        </w:rPr>
        <w:t>l</w:t>
      </w:r>
      <w:r w:rsidRPr="00EE2598">
        <w:rPr>
          <w:rFonts w:cs="Arial"/>
        </w:rPr>
        <w:t>inical models, camidanlumab tesirine</w:t>
      </w:r>
      <w:r w:rsidRPr="00EE2598">
        <w:rPr>
          <w:rFonts w:cs="Arial"/>
          <w:b/>
        </w:rPr>
        <w:t xml:space="preserve"> </w:t>
      </w:r>
      <w:r w:rsidRPr="00EE2598">
        <w:rPr>
          <w:rFonts w:cs="Arial"/>
        </w:rPr>
        <w:t xml:space="preserve">has </w:t>
      </w:r>
      <w:r>
        <w:rPr>
          <w:rFonts w:cs="Arial"/>
        </w:rPr>
        <w:t>targeted</w:t>
      </w:r>
      <w:r w:rsidRPr="00EE2598">
        <w:rPr>
          <w:rFonts w:cs="Arial"/>
        </w:rPr>
        <w:t xml:space="preserve"> antitumor activity against CD25-expressing hematologic malignancies and exhibits bystander killing of CD25-negative cells.</w:t>
      </w:r>
      <w:r w:rsidRPr="000140EA">
        <w:rPr>
          <w:rFonts w:cs="Arial"/>
          <w:noProof/>
          <w:vertAlign w:val="superscript"/>
        </w:rPr>
        <w:t>13</w:t>
      </w:r>
      <w:r w:rsidRPr="00EE2598">
        <w:rPr>
          <w:rFonts w:cs="Arial"/>
        </w:rPr>
        <w:t xml:space="preserve"> </w:t>
      </w:r>
      <w:r>
        <w:rPr>
          <w:rFonts w:cs="Arial"/>
        </w:rPr>
        <w:t>A</w:t>
      </w:r>
      <w:r w:rsidRPr="00EE2598">
        <w:rPr>
          <w:rFonts w:cs="Arial"/>
        </w:rPr>
        <w:t xml:space="preserve">nti-CD25 therapies may </w:t>
      </w:r>
      <w:r>
        <w:rPr>
          <w:rFonts w:cs="Arial"/>
        </w:rPr>
        <w:t xml:space="preserve">also modify </w:t>
      </w:r>
      <w:r w:rsidRPr="00EE2598">
        <w:rPr>
          <w:rFonts w:cs="Arial"/>
        </w:rPr>
        <w:t xml:space="preserve">the tumor microenvironment and </w:t>
      </w:r>
      <w:r>
        <w:rPr>
          <w:rFonts w:cs="Arial"/>
        </w:rPr>
        <w:t>facilitate induction of</w:t>
      </w:r>
      <w:r w:rsidRPr="00EE2598">
        <w:rPr>
          <w:rFonts w:cs="Arial"/>
        </w:rPr>
        <w:t xml:space="preserve"> antitumor immunity </w:t>
      </w:r>
      <w:r>
        <w:rPr>
          <w:rFonts w:cs="Arial"/>
        </w:rPr>
        <w:t>by depleting</w:t>
      </w:r>
      <w:r w:rsidRPr="00EE2598">
        <w:rPr>
          <w:rFonts w:cs="Arial"/>
        </w:rPr>
        <w:t xml:space="preserve"> CD25-positive </w:t>
      </w:r>
      <w:r>
        <w:rPr>
          <w:rFonts w:cs="Arial"/>
        </w:rPr>
        <w:t xml:space="preserve">regulatory T </w:t>
      </w:r>
      <w:r w:rsidRPr="00B17E60">
        <w:rPr>
          <w:rFonts w:cs="Arial"/>
        </w:rPr>
        <w:t>cells</w:t>
      </w:r>
      <w:r>
        <w:rPr>
          <w:rFonts w:cs="Arial"/>
        </w:rPr>
        <w:t xml:space="preserve"> (</w:t>
      </w:r>
      <w:r w:rsidRPr="00EE2598">
        <w:rPr>
          <w:rFonts w:cs="Arial"/>
        </w:rPr>
        <w:t>T</w:t>
      </w:r>
      <w:r w:rsidRPr="00EE2598">
        <w:rPr>
          <w:rFonts w:cs="Arial"/>
          <w:vertAlign w:val="subscript"/>
        </w:rPr>
        <w:t>regs</w:t>
      </w:r>
      <w:r w:rsidRPr="004A5C98">
        <w:rPr>
          <w:rFonts w:cs="Arial"/>
        </w:rPr>
        <w:t>)</w:t>
      </w:r>
      <w:r w:rsidRPr="00EE2598">
        <w:rPr>
          <w:rFonts w:cs="Arial"/>
        </w:rPr>
        <w:t>.</w:t>
      </w:r>
      <w:r w:rsidRPr="000140EA">
        <w:rPr>
          <w:rFonts w:cs="Arial"/>
          <w:noProof/>
          <w:vertAlign w:val="superscript"/>
        </w:rPr>
        <w:t>11,12,14</w:t>
      </w:r>
      <w:r w:rsidRPr="00EE2598">
        <w:rPr>
          <w:rFonts w:cs="Arial"/>
        </w:rPr>
        <w:t xml:space="preserve"> </w:t>
      </w:r>
    </w:p>
    <w:p w14:paraId="23125020" w14:textId="77777777" w:rsidR="00830F07" w:rsidRPr="00EE2598" w:rsidRDefault="00830F07" w:rsidP="0031288A">
      <w:pPr>
        <w:rPr>
          <w:rFonts w:cs="Arial"/>
        </w:rPr>
      </w:pPr>
      <w:r w:rsidRPr="00EE2598">
        <w:rPr>
          <w:rFonts w:cs="Arial"/>
        </w:rPr>
        <w:t xml:space="preserve">Here, </w:t>
      </w:r>
      <w:bookmarkStart w:id="13" w:name="_Hlk64461159"/>
      <w:r w:rsidRPr="00EE2598">
        <w:rPr>
          <w:rFonts w:cs="Arial"/>
        </w:rPr>
        <w:t>we report results of the first-in-human clinical trial of camidanlumab tesirine</w:t>
      </w:r>
      <w:r w:rsidRPr="00EE2598">
        <w:rPr>
          <w:rFonts w:cs="Arial"/>
          <w:b/>
        </w:rPr>
        <w:t xml:space="preserve"> </w:t>
      </w:r>
      <w:r w:rsidRPr="00EE2598">
        <w:rPr>
          <w:rFonts w:cs="Arial"/>
        </w:rPr>
        <w:t>in adult</w:t>
      </w:r>
      <w:r>
        <w:rPr>
          <w:rFonts w:cs="Arial"/>
        </w:rPr>
        <w:t>s</w:t>
      </w:r>
      <w:r w:rsidRPr="00EE2598">
        <w:rPr>
          <w:rFonts w:cs="Arial"/>
        </w:rPr>
        <w:t xml:space="preserve"> </w:t>
      </w:r>
      <w:r w:rsidRPr="00EE2598">
        <w:rPr>
          <w:rFonts w:cs="Arial"/>
          <w:bCs/>
        </w:rPr>
        <w:t>with histologically confirmed</w:t>
      </w:r>
      <w:r w:rsidRPr="00EE2598">
        <w:rPr>
          <w:rFonts w:cs="Arial"/>
        </w:rPr>
        <w:t xml:space="preserve"> R/R lymphoma</w:t>
      </w:r>
      <w:bookmarkEnd w:id="13"/>
      <w:r w:rsidRPr="00EE2598">
        <w:rPr>
          <w:rFonts w:cs="Arial"/>
        </w:rPr>
        <w:t xml:space="preserve">. </w:t>
      </w:r>
    </w:p>
    <w:p w14:paraId="10989B51" w14:textId="77777777" w:rsidR="00830F07" w:rsidRPr="00EE2598" w:rsidRDefault="00830F07" w:rsidP="0031288A">
      <w:pPr>
        <w:rPr>
          <w:rFonts w:cs="Arial"/>
        </w:rPr>
      </w:pPr>
    </w:p>
    <w:p w14:paraId="498B3509" w14:textId="77777777" w:rsidR="00830F07" w:rsidRPr="00EE2598" w:rsidRDefault="00830F07" w:rsidP="0031288A">
      <w:pPr>
        <w:pStyle w:val="Heading2"/>
      </w:pPr>
      <w:r w:rsidRPr="00EE2598">
        <w:lastRenderedPageBreak/>
        <w:t>Methods</w:t>
      </w:r>
    </w:p>
    <w:p w14:paraId="7C7E8676" w14:textId="77777777" w:rsidR="00830F07" w:rsidRPr="00EE2598" w:rsidRDefault="00830F07" w:rsidP="0031288A">
      <w:pPr>
        <w:pStyle w:val="Heading3"/>
      </w:pPr>
      <w:r w:rsidRPr="00EE2598">
        <w:t>Study design</w:t>
      </w:r>
      <w:r>
        <w:t xml:space="preserve"> and participants</w:t>
      </w:r>
    </w:p>
    <w:p w14:paraId="1CF96829" w14:textId="4E2CADC8" w:rsidR="00830F07" w:rsidRPr="008A25C5" w:rsidRDefault="00830F07" w:rsidP="0031288A">
      <w:pPr>
        <w:rPr>
          <w:rFonts w:cs="Arial"/>
        </w:rPr>
      </w:pPr>
      <w:r w:rsidRPr="008A25C5">
        <w:rPr>
          <w:rFonts w:cs="Arial"/>
        </w:rPr>
        <w:t xml:space="preserve">This was a </w:t>
      </w:r>
      <w:r>
        <w:rPr>
          <w:rFonts w:cs="Arial"/>
        </w:rPr>
        <w:t>P</w:t>
      </w:r>
      <w:r w:rsidRPr="008A25C5">
        <w:rPr>
          <w:rFonts w:cs="Arial"/>
        </w:rPr>
        <w:t>hase 1, open-label, dose-escalation</w:t>
      </w:r>
      <w:r>
        <w:rPr>
          <w:rFonts w:cs="Arial"/>
        </w:rPr>
        <w:t xml:space="preserve"> (Part 1), </w:t>
      </w:r>
      <w:r w:rsidRPr="008A25C5">
        <w:rPr>
          <w:rFonts w:cs="Arial"/>
        </w:rPr>
        <w:t xml:space="preserve">dose-expansion </w:t>
      </w:r>
      <w:r>
        <w:rPr>
          <w:rFonts w:cs="Arial"/>
        </w:rPr>
        <w:t xml:space="preserve">(Part 2), </w:t>
      </w:r>
      <w:r w:rsidRPr="008A25C5">
        <w:rPr>
          <w:rFonts w:cs="Arial"/>
        </w:rPr>
        <w:t xml:space="preserve">multicenter study </w:t>
      </w:r>
      <w:bookmarkStart w:id="14" w:name="_Hlk64472180"/>
      <w:r>
        <w:rPr>
          <w:rFonts w:cs="Arial"/>
        </w:rPr>
        <w:t xml:space="preserve">conducted across </w:t>
      </w:r>
      <w:r w:rsidRPr="008A25C5">
        <w:rPr>
          <w:rFonts w:cs="Arial"/>
        </w:rPr>
        <w:t xml:space="preserve">12 </w:t>
      </w:r>
      <w:r>
        <w:rPr>
          <w:rFonts w:cs="Arial"/>
        </w:rPr>
        <w:t xml:space="preserve">hospital </w:t>
      </w:r>
      <w:r w:rsidRPr="008A25C5">
        <w:rPr>
          <w:rFonts w:cs="Arial"/>
        </w:rPr>
        <w:t>sites (</w:t>
      </w:r>
      <w:r>
        <w:rPr>
          <w:rFonts w:cs="Arial"/>
        </w:rPr>
        <w:t>seven</w:t>
      </w:r>
      <w:r w:rsidRPr="008A25C5">
        <w:rPr>
          <w:rFonts w:cs="Arial"/>
        </w:rPr>
        <w:t xml:space="preserve"> US; </w:t>
      </w:r>
      <w:r>
        <w:rPr>
          <w:rFonts w:cs="Arial"/>
        </w:rPr>
        <w:t>five</w:t>
      </w:r>
      <w:r w:rsidRPr="008A25C5">
        <w:rPr>
          <w:rFonts w:cs="Arial"/>
        </w:rPr>
        <w:t xml:space="preserve"> UK</w:t>
      </w:r>
      <w:r>
        <w:rPr>
          <w:rFonts w:cs="Arial"/>
        </w:rPr>
        <w:t xml:space="preserve">; </w:t>
      </w:r>
      <w:r w:rsidRPr="00E236DC">
        <w:rPr>
          <w:rFonts w:cs="Arial"/>
          <w:b/>
        </w:rPr>
        <w:t>Table S1</w:t>
      </w:r>
      <w:r w:rsidRPr="00383EDC">
        <w:rPr>
          <w:rFonts w:cs="Arial"/>
        </w:rPr>
        <w:t xml:space="preserve"> </w:t>
      </w:r>
      <w:r>
        <w:rPr>
          <w:rFonts w:cs="Arial"/>
        </w:rPr>
        <w:t>a</w:t>
      </w:r>
      <w:r w:rsidRPr="00B50737">
        <w:rPr>
          <w:rFonts w:cs="Arial"/>
        </w:rPr>
        <w:t xml:space="preserve">ppendix </w:t>
      </w:r>
      <w:r w:rsidRPr="001F237F">
        <w:rPr>
          <w:rFonts w:cs="Arial"/>
        </w:rPr>
        <w:t>p</w:t>
      </w:r>
      <w:r>
        <w:rPr>
          <w:rFonts w:cs="Arial"/>
        </w:rPr>
        <w:t>3</w:t>
      </w:r>
      <w:r w:rsidRPr="00B50737">
        <w:rPr>
          <w:rFonts w:cs="Arial"/>
        </w:rPr>
        <w:t>)</w:t>
      </w:r>
      <w:bookmarkEnd w:id="14"/>
      <w:r>
        <w:rPr>
          <w:rFonts w:cs="Arial"/>
        </w:rPr>
        <w:t xml:space="preserve">. Adults </w:t>
      </w:r>
      <w:r w:rsidRPr="008A25C5">
        <w:rPr>
          <w:rFonts w:cs="Arial"/>
        </w:rPr>
        <w:t xml:space="preserve">(≥18 years) with </w:t>
      </w:r>
      <w:r>
        <w:rPr>
          <w:rFonts w:cs="Arial"/>
        </w:rPr>
        <w:t xml:space="preserve">pathologically confirmed </w:t>
      </w:r>
      <w:r w:rsidRPr="008A25C5">
        <w:rPr>
          <w:rFonts w:cs="Arial"/>
        </w:rPr>
        <w:t xml:space="preserve">R/R </w:t>
      </w:r>
      <w:r>
        <w:rPr>
          <w:rFonts w:cs="Arial"/>
        </w:rPr>
        <w:t>NHL (including stage ≥1b cutaneous T-cell lymphoma [</w:t>
      </w:r>
      <w:proofErr w:type="spellStart"/>
      <w:r>
        <w:rPr>
          <w:rFonts w:cs="Arial"/>
        </w:rPr>
        <w:t>CTCL</w:t>
      </w:r>
      <w:proofErr w:type="spellEnd"/>
      <w:r>
        <w:rPr>
          <w:rFonts w:cs="Arial"/>
        </w:rPr>
        <w:t>]) or cHL</w:t>
      </w:r>
      <w:r w:rsidRPr="008A25C5">
        <w:rPr>
          <w:rFonts w:cs="Arial"/>
        </w:rPr>
        <w:t xml:space="preserve"> who had </w:t>
      </w:r>
      <w:r w:rsidRPr="008A25C5">
        <w:t>no therapies available to them with established clinical benefit for their current disease stage</w:t>
      </w:r>
      <w:r>
        <w:t xml:space="preserve"> </w:t>
      </w:r>
      <w:r>
        <w:rPr>
          <w:rFonts w:cs="Arial"/>
        </w:rPr>
        <w:t>and measurable disease (</w:t>
      </w:r>
      <w:r w:rsidRPr="00447001">
        <w:rPr>
          <w:rFonts w:cs="Arial"/>
        </w:rPr>
        <w:t>2014 Lugano Classification</w:t>
      </w:r>
      <w:r>
        <w:rPr>
          <w:rFonts w:cs="Arial"/>
        </w:rPr>
        <w:t>/</w:t>
      </w:r>
      <w:r w:rsidRPr="00764EAA">
        <w:rPr>
          <w:rFonts w:cs="Arial"/>
        </w:rPr>
        <w:t>Global Response Score and modified Severity-Weighted Assessment Tool</w:t>
      </w:r>
      <w:r>
        <w:rPr>
          <w:rFonts w:cs="Arial"/>
        </w:rPr>
        <w:t xml:space="preserve"> [</w:t>
      </w:r>
      <w:proofErr w:type="spellStart"/>
      <w:r>
        <w:rPr>
          <w:rFonts w:cs="Arial"/>
        </w:rPr>
        <w:t>mSWAT</w:t>
      </w:r>
      <w:proofErr w:type="spellEnd"/>
      <w:r>
        <w:rPr>
          <w:rFonts w:cs="Arial"/>
        </w:rPr>
        <w:t xml:space="preserve">] for </w:t>
      </w:r>
      <w:proofErr w:type="spellStart"/>
      <w:r>
        <w:rPr>
          <w:rFonts w:cs="Arial"/>
        </w:rPr>
        <w:t>CTCL</w:t>
      </w:r>
      <w:proofErr w:type="spellEnd"/>
      <w:r w:rsidRPr="00447001">
        <w:rPr>
          <w:rFonts w:cs="Arial"/>
        </w:rPr>
        <w:t>)</w:t>
      </w:r>
      <w:r w:rsidRPr="000140EA">
        <w:rPr>
          <w:rFonts w:cs="Arial"/>
          <w:noProof/>
          <w:vertAlign w:val="superscript"/>
        </w:rPr>
        <w:t>15,16</w:t>
      </w:r>
      <w:r>
        <w:rPr>
          <w:rFonts w:cs="Arial"/>
        </w:rPr>
        <w:t xml:space="preserve"> </w:t>
      </w:r>
      <w:r>
        <w:t>were recruited by investigators</w:t>
      </w:r>
      <w:r w:rsidRPr="008A25C5">
        <w:rPr>
          <w:rFonts w:cs="Arial"/>
        </w:rPr>
        <w:t xml:space="preserve">. Prior treatment with BV and </w:t>
      </w:r>
      <w:proofErr w:type="spellStart"/>
      <w:r w:rsidRPr="008A25C5">
        <w:rPr>
          <w:rFonts w:cs="Arial"/>
        </w:rPr>
        <w:t>CHPi</w:t>
      </w:r>
      <w:proofErr w:type="spellEnd"/>
      <w:r w:rsidRPr="008A25C5">
        <w:rPr>
          <w:rFonts w:cs="Arial"/>
        </w:rPr>
        <w:t xml:space="preserve"> was added during the study (Jan </w:t>
      </w:r>
      <w:r>
        <w:rPr>
          <w:rFonts w:cs="Arial"/>
        </w:rPr>
        <w:t xml:space="preserve">19, </w:t>
      </w:r>
      <w:r w:rsidRPr="008A25C5">
        <w:rPr>
          <w:rFonts w:cs="Arial"/>
        </w:rPr>
        <w:t>2018) as a requirement for cHL patients.</w:t>
      </w:r>
      <w:r>
        <w:rPr>
          <w:rFonts w:cs="Arial"/>
        </w:rPr>
        <w:t xml:space="preserve"> Patients had Eastern Cooperative Oncology Group performance status (</w:t>
      </w:r>
      <w:proofErr w:type="spellStart"/>
      <w:r>
        <w:rPr>
          <w:rFonts w:cs="Arial"/>
        </w:rPr>
        <w:t>ECOG</w:t>
      </w:r>
      <w:proofErr w:type="spellEnd"/>
      <w:r>
        <w:rPr>
          <w:rFonts w:cs="Arial"/>
        </w:rPr>
        <w:t xml:space="preserve"> PS) 0–2 and adequate laboratory tests (creatinine, alkaline phosphatase, alanine aminotransferase, aspartate aminotransferase, and bilirubin for all patients; absolute neutrophil count, platelets, and hemoglobin for all except patients with adult T-cell leukemia/lymphoma [</w:t>
      </w:r>
      <w:proofErr w:type="spellStart"/>
      <w:r>
        <w:rPr>
          <w:rFonts w:cs="Arial"/>
        </w:rPr>
        <w:t>ATLL</w:t>
      </w:r>
      <w:proofErr w:type="spellEnd"/>
      <w:r>
        <w:rPr>
          <w:rFonts w:cs="Arial"/>
        </w:rPr>
        <w:t>]).</w:t>
      </w:r>
    </w:p>
    <w:p w14:paraId="271DBA26" w14:textId="05DF30B1" w:rsidR="00830F07" w:rsidRDefault="00830F07" w:rsidP="0031288A">
      <w:pPr>
        <w:rPr>
          <w:rFonts w:cs="Arial"/>
        </w:rPr>
      </w:pPr>
      <w:r w:rsidRPr="008A25C5">
        <w:rPr>
          <w:rFonts w:cs="Arial"/>
        </w:rPr>
        <w:t xml:space="preserve">Key exclusion criteria included allogeneic </w:t>
      </w:r>
      <w:r w:rsidRPr="008A25C5">
        <w:t xml:space="preserve">transplantation </w:t>
      </w:r>
      <w:r w:rsidRPr="008A25C5">
        <w:rPr>
          <w:rFonts w:cs="Arial"/>
        </w:rPr>
        <w:t xml:space="preserve">or </w:t>
      </w:r>
      <w:proofErr w:type="spellStart"/>
      <w:r w:rsidRPr="008A25C5">
        <w:rPr>
          <w:rFonts w:cs="Arial"/>
        </w:rPr>
        <w:t>autoHCT</w:t>
      </w:r>
      <w:proofErr w:type="spellEnd"/>
      <w:r w:rsidRPr="008A25C5">
        <w:rPr>
          <w:rFonts w:cs="Arial"/>
        </w:rPr>
        <w:t xml:space="preserve"> ≤60 days prior to </w:t>
      </w:r>
      <w:r>
        <w:rPr>
          <w:rFonts w:cs="Arial"/>
        </w:rPr>
        <w:t xml:space="preserve">Day 1 of </w:t>
      </w:r>
      <w:r w:rsidRPr="008A25C5">
        <w:rPr>
          <w:rFonts w:cs="Arial"/>
        </w:rPr>
        <w:t>Cycle 1, active graft-versus-host disease or history of symptomatic autoimmune disease</w:t>
      </w:r>
      <w:r w:rsidRPr="008A25C5">
        <w:t>,</w:t>
      </w:r>
      <w:r>
        <w:t xml:space="preserve"> </w:t>
      </w:r>
      <w:r w:rsidRPr="00EE2598">
        <w:rPr>
          <w:rFonts w:cs="Arial"/>
        </w:rPr>
        <w:t>neuropathy</w:t>
      </w:r>
      <w:r>
        <w:rPr>
          <w:rFonts w:cs="Arial"/>
        </w:rPr>
        <w:t>,</w:t>
      </w:r>
      <w:r>
        <w:t xml:space="preserve"> or </w:t>
      </w:r>
      <w:r w:rsidRPr="00EE2598">
        <w:rPr>
          <w:rFonts w:cs="Arial"/>
        </w:rPr>
        <w:t>other central nervous system disease considered autoimmune.</w:t>
      </w:r>
      <w:r>
        <w:rPr>
          <w:rFonts w:cs="Arial"/>
        </w:rPr>
        <w:t xml:space="preserve"> </w:t>
      </w:r>
      <w:r>
        <w:rPr>
          <w:rFonts w:cs="Arial"/>
        </w:rPr>
        <w:t xml:space="preserve">Full criteria </w:t>
      </w:r>
      <w:r>
        <w:rPr>
          <w:rFonts w:cs="Arial"/>
        </w:rPr>
        <w:t>are provided (</w:t>
      </w:r>
      <w:r>
        <w:rPr>
          <w:rFonts w:cs="Arial"/>
        </w:rPr>
        <w:t>a</w:t>
      </w:r>
      <w:r w:rsidRPr="009B28AD">
        <w:rPr>
          <w:rFonts w:cs="Arial"/>
        </w:rPr>
        <w:t xml:space="preserve">ppendix, </w:t>
      </w:r>
      <w:r w:rsidRPr="001F237F">
        <w:rPr>
          <w:rFonts w:cs="Arial"/>
        </w:rPr>
        <w:t>p</w:t>
      </w:r>
      <w:r>
        <w:rPr>
          <w:rFonts w:cs="Arial"/>
        </w:rPr>
        <w:t>28</w:t>
      </w:r>
      <w:r w:rsidRPr="001F237F">
        <w:rPr>
          <w:rFonts w:cs="Arial"/>
        </w:rPr>
        <w:t>)</w:t>
      </w:r>
      <w:r w:rsidRPr="00295CA3">
        <w:rPr>
          <w:rFonts w:cs="Arial"/>
        </w:rPr>
        <w:t xml:space="preserve">. </w:t>
      </w:r>
    </w:p>
    <w:p w14:paraId="3A7B01B2" w14:textId="38383E20" w:rsidR="00830F07" w:rsidRDefault="00830F07" w:rsidP="0031288A">
      <w:pPr>
        <w:rPr>
          <w:rFonts w:cs="Arial"/>
        </w:rPr>
      </w:pPr>
      <w:r>
        <w:rPr>
          <w:rFonts w:cs="Arial"/>
        </w:rPr>
        <w:t xml:space="preserve">The study was </w:t>
      </w:r>
      <w:r w:rsidRPr="00EE2598">
        <w:rPr>
          <w:rFonts w:cs="Arial"/>
        </w:rPr>
        <w:t xml:space="preserve">performed </w:t>
      </w:r>
      <w:r>
        <w:rPr>
          <w:rFonts w:cs="Arial"/>
        </w:rPr>
        <w:t>per</w:t>
      </w:r>
      <w:r w:rsidRPr="00EE2598">
        <w:rPr>
          <w:rFonts w:cs="Arial"/>
        </w:rPr>
        <w:t xml:space="preserve"> the International Council for Harmonization, Good Clinical Practice guidelines, </w:t>
      </w:r>
      <w:r>
        <w:rPr>
          <w:rFonts w:cs="Arial"/>
        </w:rPr>
        <w:t xml:space="preserve">and </w:t>
      </w:r>
      <w:r w:rsidRPr="00EE2598">
        <w:rPr>
          <w:rFonts w:cs="Arial"/>
        </w:rPr>
        <w:t>Declaration of Helsinki</w:t>
      </w:r>
      <w:r>
        <w:rPr>
          <w:rFonts w:cs="Arial"/>
        </w:rPr>
        <w:t xml:space="preserve">. The protocol and amendments were </w:t>
      </w:r>
      <w:r w:rsidRPr="00EE2598">
        <w:rPr>
          <w:rFonts w:cs="Arial"/>
        </w:rPr>
        <w:t>approved by each institutional review board. All patients provided written informed consent.</w:t>
      </w:r>
    </w:p>
    <w:p w14:paraId="1BFCE4DB" w14:textId="77777777" w:rsidR="00830F07" w:rsidRDefault="00830F07" w:rsidP="0031288A">
      <w:pPr>
        <w:pStyle w:val="Heading3"/>
      </w:pPr>
      <w:r>
        <w:t>Procedures</w:t>
      </w:r>
    </w:p>
    <w:p w14:paraId="068BDC32" w14:textId="5865CD45" w:rsidR="00830F07" w:rsidRDefault="00830F07" w:rsidP="0031288A">
      <w:pPr>
        <w:rPr>
          <w:rFonts w:cs="Arial"/>
        </w:rPr>
      </w:pPr>
      <w:r w:rsidRPr="00EE2598">
        <w:rPr>
          <w:rFonts w:cs="Arial"/>
        </w:rPr>
        <w:t xml:space="preserve">Camidanlumab tesirine was given intravenously </w:t>
      </w:r>
      <w:r>
        <w:rPr>
          <w:rFonts w:cs="Arial"/>
        </w:rPr>
        <w:t xml:space="preserve">over 30–60 minutes </w:t>
      </w:r>
      <w:r w:rsidRPr="00EE2598">
        <w:rPr>
          <w:rFonts w:cs="Arial"/>
        </w:rPr>
        <w:t xml:space="preserve">once every </w:t>
      </w:r>
      <w:r>
        <w:rPr>
          <w:rFonts w:cs="Arial"/>
        </w:rPr>
        <w:t>3</w:t>
      </w:r>
      <w:r w:rsidRPr="00EE2598">
        <w:rPr>
          <w:rFonts w:cs="Arial"/>
        </w:rPr>
        <w:t xml:space="preserve"> weeks (Q3W; Day 1 of each 21-day cycle).</w:t>
      </w:r>
      <w:r w:rsidRPr="00D65829">
        <w:t xml:space="preserve"> </w:t>
      </w:r>
      <w:r>
        <w:t xml:space="preserve">Dose escalation (Part 1) was conducted per continual reassessment method, from a starting dose of 3 µg/kg Q3W, with a minimum of two patients required per dose-escalation cohort (see </w:t>
      </w:r>
      <w:r>
        <w:t>appendix p28</w:t>
      </w:r>
      <w:r>
        <w:t xml:space="preserve"> for increment rules). </w:t>
      </w:r>
      <w:r w:rsidRPr="004F5C5F">
        <w:t xml:space="preserve">If no </w:t>
      </w:r>
      <w:r w:rsidRPr="00EE2598">
        <w:rPr>
          <w:rFonts w:cs="Arial"/>
        </w:rPr>
        <w:t>dose-limiting toxicit</w:t>
      </w:r>
      <w:r>
        <w:rPr>
          <w:rFonts w:cs="Arial"/>
        </w:rPr>
        <w:t>ies</w:t>
      </w:r>
      <w:r w:rsidRPr="004F5C5F">
        <w:t xml:space="preserve"> </w:t>
      </w:r>
      <w:r>
        <w:t>(</w:t>
      </w:r>
      <w:proofErr w:type="spellStart"/>
      <w:r w:rsidRPr="004F5C5F">
        <w:t>DLTs</w:t>
      </w:r>
      <w:proofErr w:type="spellEnd"/>
      <w:r>
        <w:t>)</w:t>
      </w:r>
      <w:r w:rsidRPr="004F5C5F">
        <w:t xml:space="preserve"> were observed in the first </w:t>
      </w:r>
      <w:r>
        <w:t>two</w:t>
      </w:r>
      <w:r w:rsidRPr="004F5C5F">
        <w:t xml:space="preserve"> patients, </w:t>
      </w:r>
      <w:r>
        <w:t xml:space="preserve">up to ten </w:t>
      </w:r>
      <w:r w:rsidRPr="004F5C5F">
        <w:t xml:space="preserve">additional patients </w:t>
      </w:r>
      <w:r w:rsidRPr="004F5C5F">
        <w:lastRenderedPageBreak/>
        <w:t xml:space="preserve">could be </w:t>
      </w:r>
      <w:r>
        <w:t>enrolled</w:t>
      </w:r>
      <w:r w:rsidRPr="004F5C5F">
        <w:t xml:space="preserve"> </w:t>
      </w:r>
      <w:r>
        <w:t>for further exploration of that dose level</w:t>
      </w:r>
      <w:r w:rsidRPr="004F5C5F">
        <w:t xml:space="preserve"> </w:t>
      </w:r>
      <w:r>
        <w:t>during Part 1, provided at least one patient had documented stable disease (SD). Further patients could be included if 3/10 had documented partial response (PR) or better</w:t>
      </w:r>
      <w:r w:rsidRPr="00C12EE4">
        <w:t xml:space="preserve">. </w:t>
      </w:r>
      <w:r>
        <w:t>The maximum tolerated dose (</w:t>
      </w:r>
      <w:proofErr w:type="spellStart"/>
      <w:r w:rsidRPr="00EE2598">
        <w:rPr>
          <w:rFonts w:cs="Arial"/>
        </w:rPr>
        <w:t>MTD</w:t>
      </w:r>
      <w:proofErr w:type="spellEnd"/>
      <w:r>
        <w:rPr>
          <w:rFonts w:cs="Arial"/>
        </w:rPr>
        <w:t>)</w:t>
      </w:r>
      <w:r w:rsidRPr="00EE2598">
        <w:rPr>
          <w:rFonts w:cs="Arial"/>
        </w:rPr>
        <w:t xml:space="preserve"> </w:t>
      </w:r>
      <w:r>
        <w:rPr>
          <w:rFonts w:cs="Arial"/>
        </w:rPr>
        <w:t xml:space="preserve">was </w:t>
      </w:r>
      <w:r w:rsidRPr="00EE2598">
        <w:rPr>
          <w:rFonts w:cs="Arial"/>
        </w:rPr>
        <w:t xml:space="preserve">defined as the highest tolerated dose </w:t>
      </w:r>
      <w:r>
        <w:rPr>
          <w:rFonts w:cs="Arial"/>
        </w:rPr>
        <w:t xml:space="preserve">that could be delivered to patients with at least a </w:t>
      </w:r>
      <w:r w:rsidRPr="00EE2598">
        <w:rPr>
          <w:rFonts w:cs="Arial"/>
        </w:rPr>
        <w:t xml:space="preserve">60% probability </w:t>
      </w:r>
      <w:r>
        <w:rPr>
          <w:rFonts w:cs="Arial"/>
        </w:rPr>
        <w:t xml:space="preserve">that the </w:t>
      </w:r>
      <w:proofErr w:type="spellStart"/>
      <w:r w:rsidRPr="00EE2598">
        <w:rPr>
          <w:rFonts w:cs="Arial"/>
        </w:rPr>
        <w:t>DLT</w:t>
      </w:r>
      <w:proofErr w:type="spellEnd"/>
      <w:r w:rsidRPr="00EE2598">
        <w:rPr>
          <w:rFonts w:cs="Arial"/>
        </w:rPr>
        <w:t xml:space="preserve"> rate </w:t>
      </w:r>
      <w:r>
        <w:rPr>
          <w:rFonts w:cs="Arial"/>
        </w:rPr>
        <w:t xml:space="preserve">would be under </w:t>
      </w:r>
      <w:r w:rsidRPr="00EE2598">
        <w:rPr>
          <w:rFonts w:cs="Arial"/>
        </w:rPr>
        <w:t xml:space="preserve">30%. </w:t>
      </w:r>
      <w:r>
        <w:rPr>
          <w:rFonts w:cs="Arial"/>
        </w:rPr>
        <w:t>T</w:t>
      </w:r>
      <w:r w:rsidRPr="00EE2598">
        <w:rPr>
          <w:rFonts w:cs="Arial"/>
        </w:rPr>
        <w:t xml:space="preserve">he </w:t>
      </w:r>
      <w:proofErr w:type="spellStart"/>
      <w:r w:rsidRPr="00EE2598">
        <w:rPr>
          <w:rFonts w:cs="Arial"/>
        </w:rPr>
        <w:t>DLT</w:t>
      </w:r>
      <w:proofErr w:type="spellEnd"/>
      <w:r w:rsidRPr="00EE2598">
        <w:rPr>
          <w:rFonts w:cs="Arial"/>
        </w:rPr>
        <w:t xml:space="preserve"> observation period was </w:t>
      </w:r>
      <w:r>
        <w:rPr>
          <w:rFonts w:cs="Arial"/>
        </w:rPr>
        <w:t>initially two</w:t>
      </w:r>
      <w:r w:rsidRPr="00EE2598">
        <w:rPr>
          <w:rFonts w:cs="Arial"/>
        </w:rPr>
        <w:t xml:space="preserve"> </w:t>
      </w:r>
      <w:r>
        <w:rPr>
          <w:rFonts w:cs="Arial"/>
        </w:rPr>
        <w:t xml:space="preserve">treatment </w:t>
      </w:r>
      <w:r w:rsidRPr="00EE2598">
        <w:rPr>
          <w:rFonts w:cs="Arial"/>
        </w:rPr>
        <w:t xml:space="preserve">cycles but </w:t>
      </w:r>
      <w:r>
        <w:rPr>
          <w:rFonts w:cs="Arial"/>
        </w:rPr>
        <w:t xml:space="preserve">subsequently </w:t>
      </w:r>
      <w:r w:rsidRPr="00EE2598">
        <w:rPr>
          <w:rFonts w:cs="Arial"/>
        </w:rPr>
        <w:t xml:space="preserve">shortened to </w:t>
      </w:r>
      <w:r>
        <w:rPr>
          <w:rFonts w:cs="Arial"/>
        </w:rPr>
        <w:t>one</w:t>
      </w:r>
      <w:r w:rsidRPr="00EE2598">
        <w:rPr>
          <w:rFonts w:cs="Arial"/>
        </w:rPr>
        <w:t xml:space="preserve"> (Nov</w:t>
      </w:r>
      <w:r>
        <w:rPr>
          <w:rFonts w:cs="Arial"/>
        </w:rPr>
        <w:t xml:space="preserve"> </w:t>
      </w:r>
      <w:r w:rsidRPr="00EE2598">
        <w:rPr>
          <w:rFonts w:cs="Arial"/>
        </w:rPr>
        <w:t>8</w:t>
      </w:r>
      <w:r>
        <w:rPr>
          <w:rFonts w:cs="Arial"/>
        </w:rPr>
        <w:t xml:space="preserve">, </w:t>
      </w:r>
      <w:r w:rsidRPr="00EE2598">
        <w:rPr>
          <w:rFonts w:cs="Arial"/>
        </w:rPr>
        <w:t>2016</w:t>
      </w:r>
      <w:r>
        <w:rPr>
          <w:rFonts w:cs="Arial"/>
        </w:rPr>
        <w:t xml:space="preserve">; Protocol Amendment 4; </w:t>
      </w:r>
      <w:r>
        <w:rPr>
          <w:rFonts w:cs="Arial"/>
        </w:rPr>
        <w:t>a</w:t>
      </w:r>
      <w:r w:rsidRPr="006D2169">
        <w:rPr>
          <w:rFonts w:cs="Arial"/>
        </w:rPr>
        <w:t>ppendix</w:t>
      </w:r>
      <w:r>
        <w:rPr>
          <w:rFonts w:cs="Arial"/>
        </w:rPr>
        <w:t xml:space="preserve"> p28</w:t>
      </w:r>
      <w:r w:rsidRPr="00EE2598">
        <w:rPr>
          <w:rFonts w:cs="Arial"/>
        </w:rPr>
        <w:t xml:space="preserve">) based on ongoing safety </w:t>
      </w:r>
      <w:r>
        <w:rPr>
          <w:rFonts w:cs="Arial"/>
        </w:rPr>
        <w:t xml:space="preserve">and pharmacokinetic (PK) </w:t>
      </w:r>
      <w:r w:rsidRPr="00EE2598">
        <w:rPr>
          <w:rFonts w:cs="Arial"/>
        </w:rPr>
        <w:t>evaluation</w:t>
      </w:r>
      <w:r>
        <w:rPr>
          <w:rFonts w:cs="Arial"/>
        </w:rPr>
        <w:t xml:space="preserve"> showing tolerability and relatively short half-life of camidanlumab tesirine</w:t>
      </w:r>
      <w:r w:rsidRPr="00EE2598">
        <w:rPr>
          <w:rFonts w:cs="Arial"/>
        </w:rPr>
        <w:t>.</w:t>
      </w:r>
      <w:r w:rsidRPr="00463061">
        <w:t xml:space="preserve"> </w:t>
      </w:r>
      <w:r>
        <w:t xml:space="preserve">Data were reviewed </w:t>
      </w:r>
      <w:r w:rsidRPr="000D736E">
        <w:rPr>
          <w:rFonts w:cs="Arial"/>
        </w:rPr>
        <w:t>by the Dose Escalation Steering Committee</w:t>
      </w:r>
      <w:r>
        <w:rPr>
          <w:rFonts w:cs="Arial"/>
        </w:rPr>
        <w:t xml:space="preserve">, who also determined </w:t>
      </w:r>
      <w:r w:rsidRPr="000D736E">
        <w:rPr>
          <w:rFonts w:cs="Arial"/>
        </w:rPr>
        <w:t>recommended dose(s)</w:t>
      </w:r>
      <w:r>
        <w:rPr>
          <w:rFonts w:cs="Arial"/>
        </w:rPr>
        <w:t xml:space="preserve"> </w:t>
      </w:r>
      <w:r w:rsidRPr="000D736E">
        <w:rPr>
          <w:rFonts w:cs="Arial"/>
        </w:rPr>
        <w:t>of camidanlumab tesirine</w:t>
      </w:r>
      <w:r>
        <w:rPr>
          <w:rFonts w:cs="Arial"/>
        </w:rPr>
        <w:t xml:space="preserve"> for </w:t>
      </w:r>
      <w:r>
        <w:rPr>
          <w:rFonts w:cs="Arial"/>
        </w:rPr>
        <w:t>dose expansion (Part 2).</w:t>
      </w:r>
      <w:r w:rsidRPr="00814BD2">
        <w:rPr>
          <w:rFonts w:cs="Arial"/>
        </w:rPr>
        <w:t xml:space="preserve"> </w:t>
      </w:r>
      <w:r w:rsidRPr="00EE2598">
        <w:rPr>
          <w:rFonts w:cs="Arial"/>
        </w:rPr>
        <w:t xml:space="preserve">Patients were </w:t>
      </w:r>
      <w:r>
        <w:rPr>
          <w:rFonts w:cs="Arial"/>
        </w:rPr>
        <w:t>to be</w:t>
      </w:r>
      <w:r w:rsidRPr="00EE2598">
        <w:rPr>
          <w:rFonts w:cs="Arial"/>
        </w:rPr>
        <w:t xml:space="preserve"> treated until disease progression</w:t>
      </w:r>
      <w:r>
        <w:rPr>
          <w:rFonts w:cs="Arial"/>
        </w:rPr>
        <w:t>,</w:t>
      </w:r>
      <w:r>
        <w:t xml:space="preserve"> </w:t>
      </w:r>
      <w:r w:rsidRPr="00EE2598">
        <w:rPr>
          <w:rFonts w:cs="Arial"/>
        </w:rPr>
        <w:t xml:space="preserve">new anticancer treatment </w:t>
      </w:r>
      <w:r w:rsidRPr="007C495C">
        <w:t>initiation</w:t>
      </w:r>
      <w:r w:rsidRPr="00EE2598">
        <w:rPr>
          <w:rFonts w:cs="Arial"/>
        </w:rPr>
        <w:t>, or significant toxicity</w:t>
      </w:r>
      <w:r>
        <w:rPr>
          <w:rFonts w:cs="Arial"/>
        </w:rPr>
        <w:t>.</w:t>
      </w:r>
    </w:p>
    <w:p w14:paraId="3E8B18C5" w14:textId="5AEA35F5" w:rsidR="00830F07" w:rsidRDefault="00830F07" w:rsidP="0031288A">
      <w:pPr>
        <w:rPr>
          <w:rFonts w:cs="Arial"/>
        </w:rPr>
      </w:pPr>
      <w:r>
        <w:rPr>
          <w:rFonts w:cs="Arial"/>
        </w:rPr>
        <w:t xml:space="preserve">Dexamethasone prophylaxis (4 mg twice-daily, 1 </w:t>
      </w:r>
      <w:r w:rsidRPr="0089411C">
        <w:rPr>
          <w:rFonts w:cs="Arial"/>
        </w:rPr>
        <w:t xml:space="preserve">day </w:t>
      </w:r>
      <w:r>
        <w:rPr>
          <w:rFonts w:cs="Arial"/>
        </w:rPr>
        <w:t>prior</w:t>
      </w:r>
      <w:r w:rsidRPr="0089411C">
        <w:rPr>
          <w:rFonts w:cs="Arial"/>
        </w:rPr>
        <w:t xml:space="preserve">, </w:t>
      </w:r>
      <w:r>
        <w:rPr>
          <w:rFonts w:cs="Arial"/>
        </w:rPr>
        <w:t xml:space="preserve">on </w:t>
      </w:r>
      <w:r w:rsidRPr="0089411C">
        <w:rPr>
          <w:rFonts w:cs="Arial"/>
        </w:rPr>
        <w:t>day of</w:t>
      </w:r>
      <w:r>
        <w:rPr>
          <w:rFonts w:cs="Arial"/>
        </w:rPr>
        <w:t>,</w:t>
      </w:r>
      <w:r w:rsidRPr="0089411C">
        <w:rPr>
          <w:rFonts w:cs="Arial"/>
        </w:rPr>
        <w:t xml:space="preserve"> and </w:t>
      </w:r>
      <w:r>
        <w:rPr>
          <w:rFonts w:cs="Arial"/>
        </w:rPr>
        <w:t xml:space="preserve">1 </w:t>
      </w:r>
      <w:r w:rsidRPr="0089411C">
        <w:rPr>
          <w:rFonts w:cs="Arial"/>
        </w:rPr>
        <w:t xml:space="preserve">day </w:t>
      </w:r>
      <w:r>
        <w:rPr>
          <w:rFonts w:cs="Arial"/>
        </w:rPr>
        <w:t>post-</w:t>
      </w:r>
      <w:r w:rsidRPr="0089411C">
        <w:rPr>
          <w:rFonts w:cs="Arial"/>
        </w:rPr>
        <w:t>treatment</w:t>
      </w:r>
      <w:r>
        <w:rPr>
          <w:rFonts w:cs="Arial"/>
        </w:rPr>
        <w:t>) was administered</w:t>
      </w:r>
      <w:r w:rsidRPr="0089411C">
        <w:rPr>
          <w:rFonts w:cs="Arial"/>
        </w:rPr>
        <w:t>.</w:t>
      </w:r>
      <w:r>
        <w:rPr>
          <w:rFonts w:cs="Arial"/>
        </w:rPr>
        <w:t xml:space="preserve"> Study drug</w:t>
      </w:r>
      <w:r w:rsidRPr="00463061">
        <w:rPr>
          <w:rFonts w:cs="Arial"/>
        </w:rPr>
        <w:t xml:space="preserve"> dosing could be withheld</w:t>
      </w:r>
      <w:r>
        <w:rPr>
          <w:rFonts w:cs="Arial"/>
        </w:rPr>
        <w:t xml:space="preserve"> </w:t>
      </w:r>
      <w:r w:rsidRPr="00463061">
        <w:rPr>
          <w:rFonts w:cs="Arial"/>
        </w:rPr>
        <w:t xml:space="preserve">for </w:t>
      </w:r>
      <w:r>
        <w:rPr>
          <w:rFonts w:cs="Arial"/>
        </w:rPr>
        <w:t>≤</w:t>
      </w:r>
      <w:r w:rsidRPr="00463061">
        <w:rPr>
          <w:rFonts w:cs="Arial"/>
        </w:rPr>
        <w:t xml:space="preserve">21 days for any patient who experienced </w:t>
      </w:r>
      <w:r>
        <w:rPr>
          <w:rFonts w:cs="Arial"/>
        </w:rPr>
        <w:t>toxicity of any grade at the discretion of the Investigator. Treatment could resume following recovery to Grade ≤1. On resumption of treatment, d</w:t>
      </w:r>
      <w:r w:rsidRPr="00463061">
        <w:rPr>
          <w:rFonts w:cs="Arial"/>
        </w:rPr>
        <w:t>ose</w:t>
      </w:r>
      <w:r>
        <w:rPr>
          <w:rFonts w:cs="Arial"/>
        </w:rPr>
        <w:t>s</w:t>
      </w:r>
      <w:r w:rsidRPr="00463061">
        <w:rPr>
          <w:rFonts w:cs="Arial"/>
        </w:rPr>
        <w:t xml:space="preserve"> </w:t>
      </w:r>
      <w:r>
        <w:rPr>
          <w:rFonts w:cs="Arial"/>
        </w:rPr>
        <w:t>could be reduced</w:t>
      </w:r>
      <w:r w:rsidRPr="00463061">
        <w:rPr>
          <w:rFonts w:cs="Arial"/>
        </w:rPr>
        <w:t xml:space="preserve"> by </w:t>
      </w:r>
      <w:r>
        <w:rPr>
          <w:rFonts w:cs="Arial"/>
        </w:rPr>
        <w:t>one</w:t>
      </w:r>
      <w:r w:rsidRPr="00463061">
        <w:rPr>
          <w:rFonts w:cs="Arial"/>
        </w:rPr>
        <w:t xml:space="preserve"> dose level</w:t>
      </w:r>
      <w:r>
        <w:rPr>
          <w:rFonts w:cs="Arial"/>
        </w:rPr>
        <w:t xml:space="preserve"> at the investigator’s discretion.</w:t>
      </w:r>
      <w:r w:rsidRPr="00463061">
        <w:rPr>
          <w:rFonts w:cs="Arial"/>
        </w:rPr>
        <w:t xml:space="preserve"> </w:t>
      </w:r>
      <w:r>
        <w:t>Dosing delays of &gt;21 days were allowed if there was potential benefit to the patient in resuming treatment.</w:t>
      </w:r>
      <w:r>
        <w:rPr>
          <w:rFonts w:cs="Arial"/>
        </w:rPr>
        <w:t xml:space="preserve"> </w:t>
      </w:r>
      <w:r>
        <w:rPr>
          <w:rFonts w:cs="Arial"/>
        </w:rPr>
        <w:t xml:space="preserve">In the event of disease progression, Grade </w:t>
      </w:r>
      <w:r w:rsidRPr="00EE2598">
        <w:rPr>
          <w:rFonts w:cs="Arial"/>
        </w:rPr>
        <w:t>≥3</w:t>
      </w:r>
      <w:r>
        <w:rPr>
          <w:rFonts w:cs="Arial"/>
        </w:rPr>
        <w:t xml:space="preserve"> hypersensitivity reactions, or recurrent Grade </w:t>
      </w:r>
      <w:r w:rsidRPr="00EE2598">
        <w:rPr>
          <w:rFonts w:cs="Arial"/>
        </w:rPr>
        <w:t>≥3</w:t>
      </w:r>
      <w:r>
        <w:rPr>
          <w:rFonts w:cs="Arial"/>
        </w:rPr>
        <w:t xml:space="preserve"> non-hematological toxicity, patients were to be withdrawn from treatment with camidanlumab tesirine.</w:t>
      </w:r>
    </w:p>
    <w:p w14:paraId="794216A7" w14:textId="4A919F3A" w:rsidR="00830F07" w:rsidRPr="00552CEC" w:rsidRDefault="00830F07" w:rsidP="0031288A">
      <w:r w:rsidRPr="00FA0891">
        <w:rPr>
          <w:rFonts w:cs="Arial"/>
        </w:rPr>
        <w:t xml:space="preserve">Disease assessments </w:t>
      </w:r>
      <w:r>
        <w:rPr>
          <w:rFonts w:cs="Arial"/>
        </w:rPr>
        <w:t xml:space="preserve">used </w:t>
      </w:r>
      <w:r w:rsidRPr="002102B5">
        <w:rPr>
          <w:rFonts w:cs="Arial"/>
          <w:lang w:val="en-GB"/>
        </w:rPr>
        <w:t xml:space="preserve">diagnostic </w:t>
      </w:r>
      <w:r>
        <w:rPr>
          <w:rFonts w:cs="Arial"/>
          <w:lang w:val="en-GB"/>
        </w:rPr>
        <w:t>computed tomography (CT)</w:t>
      </w:r>
      <w:r w:rsidRPr="002102B5">
        <w:rPr>
          <w:rFonts w:cs="Arial"/>
          <w:lang w:val="en-GB"/>
        </w:rPr>
        <w:t xml:space="preserve"> </w:t>
      </w:r>
      <w:r>
        <w:rPr>
          <w:rFonts w:cs="Arial"/>
          <w:lang w:val="en-GB"/>
        </w:rPr>
        <w:t xml:space="preserve">and/or </w:t>
      </w:r>
      <w:r>
        <w:rPr>
          <w:rFonts w:cs="Arial"/>
        </w:rPr>
        <w:t>positron emission tomography-CT (</w:t>
      </w:r>
      <w:r w:rsidRPr="002102B5">
        <w:rPr>
          <w:rFonts w:cs="Arial"/>
          <w:vertAlign w:val="superscript"/>
          <w:lang w:val="en-GB"/>
        </w:rPr>
        <w:t>18</w:t>
      </w:r>
      <w:r w:rsidRPr="002102B5">
        <w:rPr>
          <w:rFonts w:cs="Arial"/>
          <w:lang w:val="en-GB"/>
        </w:rPr>
        <w:t>F-fluorodeoxyglucose</w:t>
      </w:r>
      <w:r>
        <w:rPr>
          <w:rFonts w:cs="Arial"/>
          <w:lang w:val="en-GB"/>
        </w:rPr>
        <w:t>-</w:t>
      </w:r>
      <w:r w:rsidRPr="002102B5">
        <w:rPr>
          <w:rFonts w:cs="Arial"/>
          <w:lang w:val="en-GB"/>
        </w:rPr>
        <w:t>avid lymphomas</w:t>
      </w:r>
      <w:r>
        <w:rPr>
          <w:rFonts w:cs="Arial"/>
          <w:lang w:val="en-GB"/>
        </w:rPr>
        <w:t>)</w:t>
      </w:r>
      <w:r w:rsidRPr="002102B5">
        <w:rPr>
          <w:rFonts w:cs="Arial"/>
          <w:lang w:val="en-GB"/>
        </w:rPr>
        <w:t xml:space="preserve"> </w:t>
      </w:r>
      <w:r>
        <w:rPr>
          <w:rFonts w:cs="Arial"/>
          <w:lang w:val="en-GB"/>
        </w:rPr>
        <w:t>a</w:t>
      </w:r>
      <w:r w:rsidRPr="002102B5">
        <w:rPr>
          <w:rFonts w:cs="Arial"/>
          <w:lang w:val="en-GB"/>
        </w:rPr>
        <w:t xml:space="preserve">t </w:t>
      </w:r>
      <w:r>
        <w:rPr>
          <w:rFonts w:cs="Arial"/>
          <w:lang w:val="en-GB"/>
        </w:rPr>
        <w:t>baseline,</w:t>
      </w:r>
      <w:r w:rsidRPr="002102B5">
        <w:rPr>
          <w:rFonts w:cs="Arial"/>
          <w:lang w:val="en-GB"/>
        </w:rPr>
        <w:t xml:space="preserve"> </w:t>
      </w:r>
      <w:r>
        <w:rPr>
          <w:rFonts w:cs="Arial"/>
          <w:lang w:val="en-GB"/>
        </w:rPr>
        <w:t xml:space="preserve">prior to Day 1 of Cycles 3 and 5, then </w:t>
      </w:r>
      <w:r w:rsidRPr="00FA0891">
        <w:rPr>
          <w:rFonts w:cs="Arial"/>
        </w:rPr>
        <w:t>every third cycle thereafter until progression</w:t>
      </w:r>
      <w:r>
        <w:rPr>
          <w:rFonts w:cs="Arial"/>
        </w:rPr>
        <w:t xml:space="preserve">, and response was assessed by investigators. </w:t>
      </w:r>
      <w:proofErr w:type="spellStart"/>
      <w:r>
        <w:rPr>
          <w:rFonts w:cs="Arial"/>
          <w:lang w:val="en-GB"/>
        </w:rPr>
        <w:t>mSWAT</w:t>
      </w:r>
      <w:proofErr w:type="spellEnd"/>
      <w:r>
        <w:rPr>
          <w:rFonts w:cs="Arial"/>
          <w:lang w:val="en-GB"/>
        </w:rPr>
        <w:t xml:space="preserve"> was used for post-baseline assessments of skin-limited </w:t>
      </w:r>
      <w:proofErr w:type="spellStart"/>
      <w:r>
        <w:rPr>
          <w:rFonts w:cs="Arial"/>
          <w:lang w:val="en-GB"/>
        </w:rPr>
        <w:t>CTCL</w:t>
      </w:r>
      <w:proofErr w:type="spellEnd"/>
      <w:r>
        <w:rPr>
          <w:rFonts w:cs="Arial"/>
        </w:rPr>
        <w:t>.</w:t>
      </w:r>
      <w:r w:rsidRPr="005E1EA6">
        <w:rPr>
          <w:rFonts w:cs="Arial"/>
        </w:rPr>
        <w:t xml:space="preserve"> </w:t>
      </w:r>
      <w:r>
        <w:rPr>
          <w:rFonts w:cs="Arial"/>
        </w:rPr>
        <w:t>Safety (including adverse events [AEs] and laboratory tests) was monitored at every visit: at least weekly in Cycles 1 and 2, and on Day 1 and 8 of subsequent cycles</w:t>
      </w:r>
      <w:r>
        <w:t xml:space="preserve">. </w:t>
      </w:r>
      <w:r w:rsidRPr="00196C27">
        <w:rPr>
          <w:rFonts w:cs="Arial"/>
        </w:rPr>
        <w:t>W</w:t>
      </w:r>
      <w:r w:rsidRPr="00196C27">
        <w:rPr>
          <w:rFonts w:cs="Arial"/>
          <w:lang w:val="en-GB"/>
        </w:rPr>
        <w:t>hole blood samples for PK</w:t>
      </w:r>
      <w:r>
        <w:rPr>
          <w:rFonts w:cs="Arial"/>
          <w:lang w:val="en-GB"/>
        </w:rPr>
        <w:t xml:space="preserve">, immunogenicity, and pharmacodynamic </w:t>
      </w:r>
      <w:r w:rsidRPr="00196C27">
        <w:rPr>
          <w:rFonts w:cs="Arial"/>
          <w:lang w:val="en-GB"/>
        </w:rPr>
        <w:t>analys</w:t>
      </w:r>
      <w:r>
        <w:rPr>
          <w:rFonts w:cs="Arial"/>
          <w:lang w:val="en-GB"/>
        </w:rPr>
        <w:t>e</w:t>
      </w:r>
      <w:r w:rsidRPr="00196C27">
        <w:rPr>
          <w:rFonts w:cs="Arial"/>
          <w:lang w:val="en-GB"/>
        </w:rPr>
        <w:t xml:space="preserve">s were </w:t>
      </w:r>
      <w:r>
        <w:rPr>
          <w:rFonts w:cs="Arial"/>
          <w:lang w:val="en-GB"/>
        </w:rPr>
        <w:t>collected per protocol</w:t>
      </w:r>
      <w:r>
        <w:t xml:space="preserve">. </w:t>
      </w:r>
      <w:r>
        <w:rPr>
          <w:rFonts w:cs="Arial"/>
        </w:rPr>
        <w:t>Patients were</w:t>
      </w:r>
      <w:r>
        <w:rPr>
          <w:rFonts w:cs="Arial"/>
        </w:rPr>
        <w:t xml:space="preserve"> </w:t>
      </w:r>
      <w:r w:rsidRPr="00EE2598">
        <w:rPr>
          <w:rFonts w:cs="Arial"/>
        </w:rPr>
        <w:t xml:space="preserve">followed for </w:t>
      </w:r>
      <w:r>
        <w:rPr>
          <w:rFonts w:cs="Arial"/>
        </w:rPr>
        <w:t xml:space="preserve">up to </w:t>
      </w:r>
      <w:r w:rsidRPr="00EE2598">
        <w:rPr>
          <w:rFonts w:cs="Arial"/>
        </w:rPr>
        <w:t xml:space="preserve">12 months after treatment discontinuation. </w:t>
      </w:r>
    </w:p>
    <w:p w14:paraId="776C03BE" w14:textId="77777777" w:rsidR="00830F07" w:rsidRPr="00EE2598" w:rsidRDefault="00830F07" w:rsidP="0031288A">
      <w:pPr>
        <w:pStyle w:val="Heading3"/>
      </w:pPr>
      <w:r>
        <w:lastRenderedPageBreak/>
        <w:t>Outcomes</w:t>
      </w:r>
    </w:p>
    <w:p w14:paraId="607DCEAD" w14:textId="5C1C3034" w:rsidR="00830F07" w:rsidRDefault="00830F07">
      <w:pPr>
        <w:pStyle w:val="CommentText"/>
        <w:spacing w:line="480" w:lineRule="auto"/>
        <w:rPr>
          <w:rFonts w:cs="Arial"/>
          <w:sz w:val="22"/>
          <w:szCs w:val="22"/>
        </w:rPr>
      </w:pPr>
      <w:r>
        <w:rPr>
          <w:rFonts w:cs="Arial"/>
          <w:sz w:val="22"/>
          <w:szCs w:val="22"/>
        </w:rPr>
        <w:t xml:space="preserve">The </w:t>
      </w:r>
      <w:r w:rsidRPr="00447FA1">
        <w:rPr>
          <w:rFonts w:cs="Arial"/>
          <w:sz w:val="22"/>
          <w:szCs w:val="22"/>
        </w:rPr>
        <w:t xml:space="preserve">primary objective was to </w:t>
      </w:r>
      <w:r>
        <w:rPr>
          <w:rFonts w:cs="Arial"/>
          <w:sz w:val="22"/>
          <w:szCs w:val="22"/>
        </w:rPr>
        <w:t xml:space="preserve">assess </w:t>
      </w:r>
      <w:proofErr w:type="spellStart"/>
      <w:r>
        <w:rPr>
          <w:rFonts w:cs="Arial"/>
          <w:sz w:val="22"/>
          <w:szCs w:val="22"/>
        </w:rPr>
        <w:t>DLTs</w:t>
      </w:r>
      <w:proofErr w:type="spellEnd"/>
      <w:r>
        <w:rPr>
          <w:rFonts w:cs="Arial"/>
          <w:sz w:val="22"/>
          <w:szCs w:val="22"/>
        </w:rPr>
        <w:t xml:space="preserve">, </w:t>
      </w:r>
      <w:r w:rsidRPr="00447FA1">
        <w:rPr>
          <w:rFonts w:cs="Arial"/>
          <w:sz w:val="22"/>
          <w:szCs w:val="22"/>
        </w:rPr>
        <w:t xml:space="preserve">determine </w:t>
      </w:r>
      <w:r>
        <w:rPr>
          <w:rFonts w:cs="Arial"/>
          <w:sz w:val="22"/>
          <w:szCs w:val="22"/>
        </w:rPr>
        <w:t xml:space="preserve">the </w:t>
      </w:r>
      <w:proofErr w:type="spellStart"/>
      <w:r w:rsidRPr="00447FA1">
        <w:rPr>
          <w:rFonts w:cs="Arial"/>
          <w:sz w:val="22"/>
          <w:szCs w:val="22"/>
        </w:rPr>
        <w:t>MTD</w:t>
      </w:r>
      <w:proofErr w:type="spellEnd"/>
      <w:r w:rsidRPr="00447FA1">
        <w:rPr>
          <w:rFonts w:cs="Arial"/>
          <w:sz w:val="22"/>
          <w:szCs w:val="22"/>
        </w:rPr>
        <w:t xml:space="preserve"> and recommended dose</w:t>
      </w:r>
      <w:r>
        <w:rPr>
          <w:rFonts w:cs="Arial"/>
          <w:sz w:val="22"/>
          <w:szCs w:val="22"/>
        </w:rPr>
        <w:t>(s)</w:t>
      </w:r>
      <w:r w:rsidRPr="00447FA1">
        <w:rPr>
          <w:rFonts w:cs="Arial"/>
          <w:sz w:val="22"/>
          <w:szCs w:val="22"/>
        </w:rPr>
        <w:t xml:space="preserve"> for expansion</w:t>
      </w:r>
      <w:r>
        <w:rPr>
          <w:rFonts w:cs="Arial"/>
          <w:sz w:val="22"/>
          <w:szCs w:val="22"/>
        </w:rPr>
        <w:t xml:space="preserve"> (</w:t>
      </w:r>
      <w:proofErr w:type="spellStart"/>
      <w:r>
        <w:rPr>
          <w:rFonts w:cs="Arial"/>
          <w:sz w:val="22"/>
          <w:szCs w:val="22"/>
        </w:rPr>
        <w:t>RDE</w:t>
      </w:r>
      <w:proofErr w:type="spellEnd"/>
      <w:r>
        <w:rPr>
          <w:rFonts w:cs="Arial"/>
          <w:sz w:val="22"/>
          <w:szCs w:val="22"/>
        </w:rPr>
        <w:t>), and to</w:t>
      </w:r>
      <w:r w:rsidRPr="00447FA1">
        <w:rPr>
          <w:rFonts w:cs="Arial"/>
          <w:sz w:val="22"/>
          <w:szCs w:val="22"/>
        </w:rPr>
        <w:t xml:space="preserve"> </w:t>
      </w:r>
      <w:r w:rsidRPr="00447FA1">
        <w:rPr>
          <w:rFonts w:cs="Arial"/>
          <w:sz w:val="22"/>
          <w:szCs w:val="22"/>
        </w:rPr>
        <w:t>evaluate safety and tolerability of camidanlumab tesirine in lymphoma</w:t>
      </w:r>
      <w:r>
        <w:rPr>
          <w:rFonts w:cs="Arial"/>
          <w:sz w:val="22"/>
          <w:szCs w:val="22"/>
        </w:rPr>
        <w:t>.</w:t>
      </w:r>
      <w:r w:rsidRPr="00447FA1">
        <w:rPr>
          <w:rFonts w:cs="Arial"/>
          <w:sz w:val="22"/>
          <w:szCs w:val="22"/>
        </w:rPr>
        <w:t xml:space="preserve"> </w:t>
      </w:r>
      <w:r>
        <w:rPr>
          <w:rFonts w:cs="Arial"/>
          <w:sz w:val="22"/>
          <w:szCs w:val="22"/>
        </w:rPr>
        <w:t>Safety e</w:t>
      </w:r>
      <w:r>
        <w:rPr>
          <w:rFonts w:cstheme="minorHAnsi"/>
          <w:sz w:val="22"/>
          <w:szCs w:val="22"/>
        </w:rPr>
        <w:t xml:space="preserve">ndpoints </w:t>
      </w:r>
      <w:r w:rsidRPr="00EE2598">
        <w:rPr>
          <w:rFonts w:cs="Arial"/>
          <w:sz w:val="22"/>
          <w:szCs w:val="22"/>
        </w:rPr>
        <w:t xml:space="preserve">included AEs graded </w:t>
      </w:r>
      <w:r>
        <w:rPr>
          <w:rFonts w:cs="Arial"/>
          <w:sz w:val="22"/>
          <w:szCs w:val="22"/>
        </w:rPr>
        <w:t>per</w:t>
      </w:r>
      <w:r w:rsidRPr="00EE2598">
        <w:rPr>
          <w:rFonts w:cs="Arial"/>
          <w:sz w:val="22"/>
          <w:szCs w:val="22"/>
        </w:rPr>
        <w:t xml:space="preserve"> </w:t>
      </w:r>
      <w:proofErr w:type="spellStart"/>
      <w:r w:rsidRPr="00EE2598">
        <w:rPr>
          <w:rFonts w:cs="Arial"/>
          <w:sz w:val="22"/>
          <w:szCs w:val="22"/>
        </w:rPr>
        <w:t>CTCAE</w:t>
      </w:r>
      <w:proofErr w:type="spellEnd"/>
      <w:r w:rsidRPr="00EE2598">
        <w:rPr>
          <w:rFonts w:cs="Arial"/>
          <w:sz w:val="22"/>
          <w:szCs w:val="22"/>
        </w:rPr>
        <w:t xml:space="preserve"> v4</w:t>
      </w:r>
      <w:r>
        <w:rPr>
          <w:rFonts w:cs="Arial"/>
          <w:sz w:val="22"/>
          <w:szCs w:val="22"/>
        </w:rPr>
        <w:t>·</w:t>
      </w:r>
      <w:r w:rsidRPr="00EE2598">
        <w:rPr>
          <w:rFonts w:cs="Arial"/>
          <w:sz w:val="22"/>
          <w:szCs w:val="22"/>
        </w:rPr>
        <w:t>0, serious AEs (</w:t>
      </w:r>
      <w:proofErr w:type="spellStart"/>
      <w:r w:rsidRPr="00EE2598">
        <w:rPr>
          <w:rFonts w:cs="Arial"/>
          <w:sz w:val="22"/>
          <w:szCs w:val="22"/>
        </w:rPr>
        <w:t>SAEs</w:t>
      </w:r>
      <w:proofErr w:type="spellEnd"/>
      <w:r w:rsidRPr="00EE2598">
        <w:rPr>
          <w:rFonts w:cs="Arial"/>
          <w:sz w:val="22"/>
          <w:szCs w:val="22"/>
        </w:rPr>
        <w:t>), discontinuations due to AEs,</w:t>
      </w:r>
      <w:r w:rsidRPr="00EE2598">
        <w:rPr>
          <w:rFonts w:eastAsia="TimesNewRoman" w:cs="Arial"/>
          <w:sz w:val="22"/>
          <w:szCs w:val="22"/>
        </w:rPr>
        <w:t xml:space="preserve"> </w:t>
      </w:r>
      <w:r>
        <w:rPr>
          <w:rFonts w:eastAsia="TimesNewRoman" w:cs="Arial"/>
          <w:sz w:val="22"/>
          <w:szCs w:val="22"/>
        </w:rPr>
        <w:t xml:space="preserve">and </w:t>
      </w:r>
      <w:r w:rsidRPr="00EE2598">
        <w:rPr>
          <w:rFonts w:eastAsia="TimesNewRoman" w:cs="Arial"/>
          <w:sz w:val="22"/>
          <w:szCs w:val="22"/>
        </w:rPr>
        <w:t>laboratory abnormalities</w:t>
      </w:r>
      <w:r>
        <w:rPr>
          <w:rFonts w:eastAsia="TimesNewRoman" w:cs="Arial"/>
          <w:sz w:val="22"/>
          <w:szCs w:val="22"/>
        </w:rPr>
        <w:t xml:space="preserve">. </w:t>
      </w:r>
    </w:p>
    <w:p w14:paraId="556EB8C9" w14:textId="580D7B97" w:rsidR="00830F07" w:rsidRDefault="00830F07" w:rsidP="0031288A">
      <w:pPr>
        <w:rPr>
          <w:rFonts w:cs="Arial"/>
        </w:rPr>
      </w:pPr>
      <w:r>
        <w:rPr>
          <w:rFonts w:cs="Arial"/>
        </w:rPr>
        <w:t xml:space="preserve">Secondary efficacy endpoints </w:t>
      </w:r>
      <w:r w:rsidRPr="0022093A">
        <w:rPr>
          <w:rFonts w:cs="Arial"/>
        </w:rPr>
        <w:t xml:space="preserve">were </w:t>
      </w:r>
      <w:r>
        <w:rPr>
          <w:rFonts w:cs="Arial"/>
        </w:rPr>
        <w:t xml:space="preserve">overall response rate </w:t>
      </w:r>
      <w:r>
        <w:rPr>
          <w:rFonts w:cs="Arial"/>
        </w:rPr>
        <w:t>(</w:t>
      </w:r>
      <w:r>
        <w:rPr>
          <w:rFonts w:cs="Arial"/>
        </w:rPr>
        <w:t>ORR</w:t>
      </w:r>
      <w:r>
        <w:rPr>
          <w:rFonts w:cs="Arial"/>
        </w:rPr>
        <w:t>)</w:t>
      </w:r>
      <w:r>
        <w:rPr>
          <w:rFonts w:cs="Arial"/>
        </w:rPr>
        <w:t xml:space="preserve">, </w:t>
      </w:r>
      <w:r w:rsidRPr="00251729">
        <w:rPr>
          <w:rFonts w:cs="Arial"/>
        </w:rPr>
        <w:t>duration of response</w:t>
      </w:r>
      <w:r>
        <w:rPr>
          <w:rFonts w:cs="Arial"/>
        </w:rPr>
        <w:t xml:space="preserve"> </w:t>
      </w:r>
      <w:r>
        <w:rPr>
          <w:rFonts w:cs="Arial"/>
        </w:rPr>
        <w:t>(</w:t>
      </w:r>
      <w:proofErr w:type="spellStart"/>
      <w:r>
        <w:rPr>
          <w:rFonts w:cs="Arial"/>
        </w:rPr>
        <w:t>DoR</w:t>
      </w:r>
      <w:proofErr w:type="spellEnd"/>
      <w:r>
        <w:rPr>
          <w:rFonts w:cs="Arial"/>
        </w:rPr>
        <w:t>)</w:t>
      </w:r>
      <w:r>
        <w:rPr>
          <w:rFonts w:cs="Arial"/>
        </w:rPr>
        <w:t xml:space="preserve">, overall survival </w:t>
      </w:r>
      <w:r>
        <w:rPr>
          <w:rFonts w:cs="Arial"/>
        </w:rPr>
        <w:t>(</w:t>
      </w:r>
      <w:r>
        <w:rPr>
          <w:rFonts w:cs="Arial"/>
        </w:rPr>
        <w:t>OS</w:t>
      </w:r>
      <w:r>
        <w:rPr>
          <w:rFonts w:cs="Arial"/>
        </w:rPr>
        <w:t>)</w:t>
      </w:r>
      <w:r>
        <w:rPr>
          <w:rFonts w:cs="Arial"/>
        </w:rPr>
        <w:t>, and progression-free survival</w:t>
      </w:r>
      <w:r>
        <w:rPr>
          <w:rFonts w:cs="Arial"/>
        </w:rPr>
        <w:t xml:space="preserve"> (</w:t>
      </w:r>
      <w:proofErr w:type="spellStart"/>
      <w:r>
        <w:rPr>
          <w:rFonts w:cs="Arial"/>
        </w:rPr>
        <w:t>PFS</w:t>
      </w:r>
      <w:proofErr w:type="spellEnd"/>
      <w:r>
        <w:rPr>
          <w:rFonts w:cs="Arial"/>
        </w:rPr>
        <w:t>)</w:t>
      </w:r>
      <w:r w:rsidRPr="002C0AB2">
        <w:rPr>
          <w:rFonts w:cs="Arial"/>
        </w:rPr>
        <w:t xml:space="preserve">, </w:t>
      </w:r>
      <w:r>
        <w:rPr>
          <w:rFonts w:cs="Arial"/>
        </w:rPr>
        <w:t>based on Investigator’s assessment of response.</w:t>
      </w:r>
      <w:r w:rsidRPr="000140EA">
        <w:rPr>
          <w:rFonts w:cs="Arial"/>
          <w:noProof/>
          <w:vertAlign w:val="superscript"/>
        </w:rPr>
        <w:t>15,16</w:t>
      </w:r>
      <w:r w:rsidRPr="00EE2598">
        <w:rPr>
          <w:rFonts w:cs="Arial"/>
        </w:rPr>
        <w:t xml:space="preserve"> </w:t>
      </w:r>
      <w:r>
        <w:rPr>
          <w:rFonts w:cs="Arial"/>
        </w:rPr>
        <w:t xml:space="preserve">Other secondary endpoints included </w:t>
      </w:r>
      <w:r w:rsidRPr="002C0AB2">
        <w:rPr>
          <w:rFonts w:cs="Arial"/>
        </w:rPr>
        <w:t>PK</w:t>
      </w:r>
      <w:r>
        <w:rPr>
          <w:rFonts w:cs="Arial"/>
        </w:rPr>
        <w:t xml:space="preserve"> of</w:t>
      </w:r>
      <w:r w:rsidRPr="002C0AB2">
        <w:rPr>
          <w:rFonts w:cs="Arial"/>
        </w:rPr>
        <w:t xml:space="preserve"> </w:t>
      </w:r>
      <w:r w:rsidRPr="00EE2598">
        <w:rPr>
          <w:rFonts w:cs="Arial"/>
        </w:rPr>
        <w:t xml:space="preserve">camidanlumab tesirine total antibody, </w:t>
      </w:r>
      <w:proofErr w:type="spellStart"/>
      <w:r w:rsidRPr="00EE2598">
        <w:rPr>
          <w:rFonts w:cs="Arial"/>
        </w:rPr>
        <w:t>PBD</w:t>
      </w:r>
      <w:proofErr w:type="spellEnd"/>
      <w:r w:rsidRPr="00EE2598">
        <w:rPr>
          <w:rFonts w:cs="Arial"/>
        </w:rPr>
        <w:t>-conjugated antibody</w:t>
      </w:r>
      <w:r>
        <w:rPr>
          <w:rFonts w:cs="Arial"/>
        </w:rPr>
        <w:t>,</w:t>
      </w:r>
      <w:r w:rsidRPr="00EE2598">
        <w:rPr>
          <w:rFonts w:cs="Arial"/>
        </w:rPr>
        <w:t xml:space="preserve"> and SG3199 (</w:t>
      </w:r>
      <w:r w:rsidRPr="004C2594">
        <w:rPr>
          <w:rFonts w:cs="Arial"/>
        </w:rPr>
        <w:t xml:space="preserve">unconjugated warhead), based on validated bioanalytical methods, </w:t>
      </w:r>
      <w:r w:rsidRPr="004C2594">
        <w:rPr>
          <w:rFonts w:cs="Arial"/>
        </w:rPr>
        <w:t>and immunogenicity</w:t>
      </w:r>
      <w:r w:rsidRPr="004C2594">
        <w:rPr>
          <w:rFonts w:cs="Arial"/>
        </w:rPr>
        <w:t>, assessed via</w:t>
      </w:r>
      <w:r w:rsidRPr="004C2594">
        <w:rPr>
          <w:rFonts w:cs="Arial"/>
        </w:rPr>
        <w:t xml:space="preserve"> </w:t>
      </w:r>
      <w:r w:rsidRPr="004C2594">
        <w:rPr>
          <w:rFonts w:cs="Arial"/>
        </w:rPr>
        <w:t>a</w:t>
      </w:r>
      <w:r w:rsidRPr="004C2594">
        <w:rPr>
          <w:rFonts w:cs="Arial"/>
        </w:rPr>
        <w:t>nti-drug</w:t>
      </w:r>
      <w:r>
        <w:rPr>
          <w:rFonts w:cs="Arial"/>
        </w:rPr>
        <w:t xml:space="preserve"> antibodies</w:t>
      </w:r>
      <w:r w:rsidRPr="00394F9A">
        <w:rPr>
          <w:rFonts w:cs="Arial"/>
        </w:rPr>
        <w:t xml:space="preserve"> </w:t>
      </w:r>
      <w:r>
        <w:rPr>
          <w:rFonts w:cs="Arial"/>
        </w:rPr>
        <w:t xml:space="preserve">(ADA) </w:t>
      </w:r>
      <w:r w:rsidRPr="002D42C1">
        <w:rPr>
          <w:rFonts w:cs="Arial"/>
        </w:rPr>
        <w:t>against camidanlumab tesirine</w:t>
      </w:r>
      <w:r>
        <w:rPr>
          <w:rFonts w:cs="Arial"/>
        </w:rPr>
        <w:t xml:space="preserve"> </w:t>
      </w:r>
      <w:r w:rsidRPr="002D42C1">
        <w:rPr>
          <w:rFonts w:cs="Arial"/>
        </w:rPr>
        <w:t>in serum</w:t>
      </w:r>
      <w:r>
        <w:rPr>
          <w:rFonts w:cs="Arial"/>
        </w:rPr>
        <w:t xml:space="preserve">. </w:t>
      </w:r>
    </w:p>
    <w:p w14:paraId="13B3CD1D" w14:textId="2C878B73" w:rsidR="00830F07" w:rsidRDefault="00830F07" w:rsidP="0031288A">
      <w:pPr>
        <w:pStyle w:val="CommentText"/>
        <w:spacing w:line="480" w:lineRule="auto"/>
        <w:rPr>
          <w:rFonts w:ascii="Calibri" w:hAnsi="Calibri"/>
          <w:color w:val="1F497D"/>
        </w:rPr>
      </w:pPr>
      <w:r w:rsidRPr="00196C27">
        <w:rPr>
          <w:rFonts w:cs="Arial"/>
          <w:sz w:val="22"/>
          <w:szCs w:val="22"/>
        </w:rPr>
        <w:t xml:space="preserve">Exploratory </w:t>
      </w:r>
      <w:r>
        <w:rPr>
          <w:rFonts w:cs="Arial"/>
          <w:sz w:val="22"/>
          <w:szCs w:val="22"/>
        </w:rPr>
        <w:t>endpoints</w:t>
      </w:r>
      <w:r w:rsidRPr="00196C27">
        <w:rPr>
          <w:rFonts w:cs="Arial"/>
          <w:sz w:val="22"/>
          <w:szCs w:val="22"/>
        </w:rPr>
        <w:t xml:space="preserve"> </w:t>
      </w:r>
      <w:r w:rsidRPr="00196C27">
        <w:rPr>
          <w:rFonts w:cs="Arial"/>
          <w:sz w:val="22"/>
          <w:szCs w:val="22"/>
        </w:rPr>
        <w:t xml:space="preserve">included </w:t>
      </w:r>
      <w:r>
        <w:rPr>
          <w:rFonts w:cs="Arial"/>
          <w:sz w:val="22"/>
          <w:szCs w:val="22"/>
        </w:rPr>
        <w:t xml:space="preserve">correlation between clinical activity and CD25 expression, </w:t>
      </w:r>
      <w:r w:rsidRPr="00196C27">
        <w:rPr>
          <w:rFonts w:cs="Arial"/>
          <w:sz w:val="22"/>
          <w:szCs w:val="22"/>
        </w:rPr>
        <w:t xml:space="preserve">potential relationships between </w:t>
      </w:r>
      <w:r>
        <w:rPr>
          <w:rFonts w:cs="Arial"/>
          <w:sz w:val="22"/>
          <w:szCs w:val="22"/>
        </w:rPr>
        <w:t xml:space="preserve">PK </w:t>
      </w:r>
      <w:r w:rsidRPr="00196C27">
        <w:rPr>
          <w:rFonts w:cs="Arial"/>
          <w:sz w:val="22"/>
          <w:szCs w:val="22"/>
        </w:rPr>
        <w:t xml:space="preserve">and </w:t>
      </w:r>
      <w:r>
        <w:rPr>
          <w:rFonts w:cs="Arial"/>
          <w:sz w:val="22"/>
          <w:szCs w:val="22"/>
        </w:rPr>
        <w:t>pharmacodynamic (</w:t>
      </w:r>
      <w:r>
        <w:rPr>
          <w:rFonts w:cs="Arial"/>
          <w:sz w:val="22"/>
          <w:szCs w:val="22"/>
        </w:rPr>
        <w:t>PD</w:t>
      </w:r>
      <w:r>
        <w:rPr>
          <w:rFonts w:cs="Arial"/>
          <w:sz w:val="22"/>
          <w:szCs w:val="22"/>
        </w:rPr>
        <w:t>)</w:t>
      </w:r>
      <w:r w:rsidRPr="00196C27">
        <w:rPr>
          <w:rFonts w:cs="Arial"/>
          <w:sz w:val="22"/>
          <w:szCs w:val="22"/>
        </w:rPr>
        <w:t xml:space="preserve"> characteristics</w:t>
      </w:r>
      <w:r>
        <w:rPr>
          <w:rFonts w:cs="Arial"/>
          <w:sz w:val="22"/>
          <w:szCs w:val="22"/>
        </w:rPr>
        <w:t>, and change in white blood cell populations</w:t>
      </w:r>
      <w:r w:rsidRPr="008C66A0">
        <w:rPr>
          <w:sz w:val="22"/>
          <w:szCs w:val="22"/>
        </w:rPr>
        <w:t>.</w:t>
      </w:r>
    </w:p>
    <w:p w14:paraId="73D0A00F" w14:textId="77777777" w:rsidR="00830F07" w:rsidRPr="00EE2598" w:rsidRDefault="00830F07" w:rsidP="0031288A">
      <w:pPr>
        <w:pStyle w:val="Heading3"/>
      </w:pPr>
      <w:bookmarkStart w:id="15" w:name="_Hlk45572596"/>
      <w:r w:rsidRPr="00EE2598">
        <w:t>Statistical analysis</w:t>
      </w:r>
    </w:p>
    <w:p w14:paraId="25994714" w14:textId="5B747AFC" w:rsidR="00830F07" w:rsidRDefault="00830F07" w:rsidP="0031288A">
      <w:pPr>
        <w:rPr>
          <w:rFonts w:cs="Arial"/>
          <w:lang w:val="en-GB"/>
        </w:rPr>
      </w:pPr>
      <w:r w:rsidRPr="00EE2598" w:rsidDel="00910EDB">
        <w:rPr>
          <w:rFonts w:cs="Arial"/>
        </w:rPr>
        <w:t>No hypothesis testing was conducted</w:t>
      </w:r>
      <w:r w:rsidRPr="00A41B57" w:rsidDel="00910EDB">
        <w:rPr>
          <w:rFonts w:cs="Arial"/>
        </w:rPr>
        <w:t xml:space="preserve">. </w:t>
      </w:r>
      <w:r>
        <w:rPr>
          <w:rFonts w:cs="Arial"/>
        </w:rPr>
        <w:t>M</w:t>
      </w:r>
      <w:r w:rsidRPr="003A1946">
        <w:rPr>
          <w:rFonts w:cs="Arial"/>
        </w:rPr>
        <w:t xml:space="preserve">aximum total sample size </w:t>
      </w:r>
      <w:r w:rsidRPr="004F36FA">
        <w:rPr>
          <w:rFonts w:cs="Arial"/>
        </w:rPr>
        <w:t>was 140 patients</w:t>
      </w:r>
      <w:r>
        <w:rPr>
          <w:rFonts w:cs="Arial"/>
        </w:rPr>
        <w:t xml:space="preserve">, based on empirical estimates. </w:t>
      </w:r>
      <w:r>
        <w:rPr>
          <w:rFonts w:cs="Arial"/>
          <w:lang w:val="en-GB"/>
        </w:rPr>
        <w:t>The study was not formally powered to detect differences between treatment groups. S</w:t>
      </w:r>
      <w:r w:rsidRPr="004E567E">
        <w:rPr>
          <w:rFonts w:cs="Arial"/>
          <w:lang w:val="en-GB"/>
        </w:rPr>
        <w:t xml:space="preserve">imulations </w:t>
      </w:r>
      <w:r>
        <w:rPr>
          <w:rFonts w:cs="Arial"/>
          <w:lang w:val="en-GB"/>
        </w:rPr>
        <w:t xml:space="preserve">were conducted </w:t>
      </w:r>
      <w:r w:rsidRPr="004E567E">
        <w:rPr>
          <w:rFonts w:cs="Arial"/>
          <w:lang w:val="en-GB"/>
        </w:rPr>
        <w:t>assum</w:t>
      </w:r>
      <w:r>
        <w:rPr>
          <w:rFonts w:cs="Arial"/>
          <w:lang w:val="en-GB"/>
        </w:rPr>
        <w:t>ing</w:t>
      </w:r>
      <w:r w:rsidRPr="004E567E">
        <w:rPr>
          <w:rFonts w:cs="Arial"/>
          <w:lang w:val="en-GB"/>
        </w:rPr>
        <w:t xml:space="preserve"> scenarios with different dose</w:t>
      </w:r>
      <w:r>
        <w:rPr>
          <w:rFonts w:cs="Arial"/>
          <w:lang w:val="en-GB"/>
        </w:rPr>
        <w:t>–</w:t>
      </w:r>
      <w:r w:rsidRPr="004E567E">
        <w:rPr>
          <w:rFonts w:cs="Arial"/>
          <w:lang w:val="en-GB"/>
        </w:rPr>
        <w:t>toxicity relationships</w:t>
      </w:r>
      <w:r>
        <w:rPr>
          <w:rFonts w:cs="Arial"/>
          <w:lang w:val="en-GB"/>
        </w:rPr>
        <w:t xml:space="preserve"> to evaluate the probability of selecting the </w:t>
      </w:r>
      <w:proofErr w:type="spellStart"/>
      <w:r>
        <w:rPr>
          <w:rFonts w:cs="Arial"/>
          <w:lang w:val="en-GB"/>
        </w:rPr>
        <w:t>MTD</w:t>
      </w:r>
      <w:proofErr w:type="spellEnd"/>
      <w:r>
        <w:rPr>
          <w:rFonts w:cs="Arial"/>
          <w:lang w:val="en-GB"/>
        </w:rPr>
        <w:t xml:space="preserve"> during dose escalation </w:t>
      </w:r>
      <w:r>
        <w:rPr>
          <w:rFonts w:cs="Arial"/>
          <w:lang w:val="en-GB"/>
        </w:rPr>
        <w:t>(Section 13.5.2 of protocol, appendix p28), and doses were expanded to determine doses for Part 2, with ~80 patients expected to be required during Part 1. Part 2</w:t>
      </w:r>
      <w:r>
        <w:rPr>
          <w:rFonts w:cs="Arial"/>
          <w:lang w:val="en-GB"/>
        </w:rPr>
        <w:t xml:space="preserve"> was conducted at dose levels recommended following dose escalation</w:t>
      </w:r>
      <w:r>
        <w:rPr>
          <w:rFonts w:cs="Arial"/>
          <w:lang w:val="en-GB"/>
        </w:rPr>
        <w:t>, with up to 60 patients planned</w:t>
      </w:r>
      <w:r w:rsidRPr="004E567E">
        <w:rPr>
          <w:rFonts w:cs="Arial"/>
          <w:lang w:val="en-GB"/>
        </w:rPr>
        <w:t>.</w:t>
      </w:r>
      <w:r>
        <w:rPr>
          <w:rFonts w:cs="Arial"/>
          <w:lang w:val="en-GB"/>
        </w:rPr>
        <w:t xml:space="preserve"> </w:t>
      </w:r>
    </w:p>
    <w:p w14:paraId="044885D6" w14:textId="77777777" w:rsidR="00830F07" w:rsidRPr="00EE2598" w:rsidRDefault="00830F07" w:rsidP="0031288A">
      <w:pPr>
        <w:rPr>
          <w:rFonts w:cs="Arial"/>
        </w:rPr>
      </w:pPr>
      <w:r w:rsidRPr="009E6241">
        <w:rPr>
          <w:rFonts w:cs="Arial"/>
        </w:rPr>
        <w:t xml:space="preserve">No </w:t>
      </w:r>
      <w:r>
        <w:rPr>
          <w:rFonts w:cs="Arial"/>
        </w:rPr>
        <w:t xml:space="preserve">formal </w:t>
      </w:r>
      <w:r w:rsidRPr="009E6241">
        <w:rPr>
          <w:rFonts w:cs="Arial"/>
        </w:rPr>
        <w:t xml:space="preserve">interim analysis was planned. However, as the </w:t>
      </w:r>
      <w:proofErr w:type="spellStart"/>
      <w:r w:rsidRPr="009E6241">
        <w:rPr>
          <w:rFonts w:cs="Arial"/>
        </w:rPr>
        <w:t>MTD</w:t>
      </w:r>
      <w:proofErr w:type="spellEnd"/>
      <w:r w:rsidRPr="009E6241">
        <w:rPr>
          <w:rFonts w:cs="Arial"/>
        </w:rPr>
        <w:t xml:space="preserve"> was not reached at the </w:t>
      </w:r>
      <w:r w:rsidRPr="003A1946">
        <w:rPr>
          <w:rFonts w:cs="Arial"/>
        </w:rPr>
        <w:t xml:space="preserve">initially planned maximum dose of </w:t>
      </w:r>
      <w:r w:rsidRPr="004F36FA">
        <w:rPr>
          <w:rFonts w:cs="Arial"/>
        </w:rPr>
        <w:t>33 µg/kg, safety data were reviewed and submitted to regulatory authorities for Protocol Amendment 4</w:t>
      </w:r>
      <w:r>
        <w:rPr>
          <w:rFonts w:cs="Arial"/>
        </w:rPr>
        <w:t>; the highest dose permitted for dose escalation was increased</w:t>
      </w:r>
      <w:r w:rsidRPr="003D454C">
        <w:rPr>
          <w:rFonts w:cs="Arial"/>
        </w:rPr>
        <w:t xml:space="preserve"> to 300 µg/kg</w:t>
      </w:r>
      <w:r w:rsidRPr="004F36FA">
        <w:rPr>
          <w:rFonts w:cs="Arial"/>
        </w:rPr>
        <w:t xml:space="preserve">. </w:t>
      </w:r>
      <w:r w:rsidRPr="00EE2598">
        <w:rPr>
          <w:rFonts w:cs="Arial"/>
          <w:bCs/>
        </w:rPr>
        <w:t xml:space="preserve">One patient received an </w:t>
      </w:r>
      <w:r>
        <w:rPr>
          <w:bCs/>
        </w:rPr>
        <w:t xml:space="preserve">unplanned </w:t>
      </w:r>
      <w:r w:rsidRPr="00EE2598">
        <w:rPr>
          <w:rFonts w:cs="Arial"/>
          <w:bCs/>
        </w:rPr>
        <w:t>overdose of 300</w:t>
      </w:r>
      <w:r>
        <w:rPr>
          <w:rFonts w:cs="Arial"/>
          <w:bCs/>
        </w:rPr>
        <w:t> </w:t>
      </w:r>
      <w:r w:rsidRPr="00EE2598">
        <w:rPr>
          <w:rFonts w:cs="Arial"/>
          <w:bCs/>
        </w:rPr>
        <w:t>µg/kg for the first dose but continued in the study with subsequent dosing</w:t>
      </w:r>
      <w:r>
        <w:rPr>
          <w:rFonts w:cs="Arial"/>
          <w:bCs/>
        </w:rPr>
        <w:t>,</w:t>
      </w:r>
      <w:r w:rsidRPr="00EE2598">
        <w:rPr>
          <w:rFonts w:cs="Arial"/>
          <w:bCs/>
        </w:rPr>
        <w:t xml:space="preserve"> </w:t>
      </w:r>
      <w:r>
        <w:rPr>
          <w:rFonts w:cs="Arial"/>
          <w:bCs/>
        </w:rPr>
        <w:t>as</w:t>
      </w:r>
      <w:r w:rsidRPr="00EE2598">
        <w:rPr>
          <w:rFonts w:cs="Arial"/>
          <w:bCs/>
        </w:rPr>
        <w:t xml:space="preserve"> planned</w:t>
      </w:r>
      <w:r>
        <w:rPr>
          <w:rFonts w:cs="Arial"/>
          <w:bCs/>
        </w:rPr>
        <w:t>,</w:t>
      </w:r>
      <w:r w:rsidRPr="00EE2598">
        <w:rPr>
          <w:rFonts w:cs="Arial"/>
          <w:bCs/>
        </w:rPr>
        <w:t xml:space="preserve"> </w:t>
      </w:r>
      <w:r>
        <w:rPr>
          <w:rFonts w:cs="Arial"/>
          <w:bCs/>
        </w:rPr>
        <w:lastRenderedPageBreak/>
        <w:t>at</w:t>
      </w:r>
      <w:r w:rsidRPr="00EE2598">
        <w:rPr>
          <w:rFonts w:cs="Arial"/>
          <w:bCs/>
        </w:rPr>
        <w:t xml:space="preserve"> 30 µg/kg.</w:t>
      </w:r>
      <w:r>
        <w:rPr>
          <w:rFonts w:cs="Arial"/>
          <w:bCs/>
        </w:rPr>
        <w:t xml:space="preserve"> All patients were analyzed according to their actual starting dose of camidanlumab tesirine.</w:t>
      </w:r>
      <w:r w:rsidRPr="00EE2598">
        <w:rPr>
          <w:rFonts w:cs="Arial"/>
          <w:bCs/>
        </w:rPr>
        <w:t xml:space="preserve"> </w:t>
      </w:r>
    </w:p>
    <w:p w14:paraId="6D4325BA" w14:textId="515DF786" w:rsidR="00830F07" w:rsidRDefault="00830F07" w:rsidP="0031288A">
      <w:pPr>
        <w:rPr>
          <w:rFonts w:cs="Arial"/>
        </w:rPr>
      </w:pPr>
      <w:r w:rsidRPr="002C0AB2">
        <w:rPr>
          <w:rFonts w:cs="Arial"/>
        </w:rPr>
        <w:t xml:space="preserve">Primary and secondary analyses were conducted following study </w:t>
      </w:r>
      <w:r w:rsidRPr="00247F85">
        <w:rPr>
          <w:rFonts w:cs="Arial"/>
        </w:rPr>
        <w:t>termination</w:t>
      </w:r>
      <w:r>
        <w:rPr>
          <w:rFonts w:cs="Arial"/>
        </w:rPr>
        <w:t xml:space="preserve">, not due to safety reasons but </w:t>
      </w:r>
      <w:r>
        <w:rPr>
          <w:rFonts w:eastAsia="Arial Unicode MS" w:cs="Arial"/>
          <w:lang w:eastAsia="zh-TW"/>
        </w:rPr>
        <w:t>because a</w:t>
      </w:r>
      <w:r w:rsidRPr="00247F85">
        <w:rPr>
          <w:rFonts w:eastAsia="Arial Unicode MS" w:cs="Arial"/>
          <w:lang w:eastAsia="zh-TW"/>
        </w:rPr>
        <w:t xml:space="preserve">ll patients </w:t>
      </w:r>
      <w:r>
        <w:rPr>
          <w:rFonts w:eastAsia="Arial Unicode MS" w:cs="Arial"/>
          <w:lang w:eastAsia="zh-TW"/>
        </w:rPr>
        <w:t xml:space="preserve">had completed or </w:t>
      </w:r>
      <w:r w:rsidRPr="00247F85">
        <w:rPr>
          <w:rFonts w:eastAsia="Arial Unicode MS" w:cs="Arial"/>
          <w:lang w:eastAsia="zh-TW"/>
        </w:rPr>
        <w:t>were in follow</w:t>
      </w:r>
      <w:r w:rsidRPr="00247F85">
        <w:rPr>
          <w:rFonts w:eastAsia="Arial Unicode MS" w:cs="Arial"/>
          <w:lang w:eastAsia="zh-TW"/>
        </w:rPr>
        <w:noBreakHyphen/>
        <w:t xml:space="preserve">up, except one who had </w:t>
      </w:r>
      <w:r>
        <w:rPr>
          <w:rFonts w:eastAsia="Arial Unicode MS" w:cs="Arial"/>
          <w:lang w:eastAsia="zh-TW"/>
        </w:rPr>
        <w:t xml:space="preserve">a </w:t>
      </w:r>
      <w:r w:rsidRPr="00247F85">
        <w:rPr>
          <w:rFonts w:eastAsia="Arial Unicode MS" w:cs="Arial"/>
          <w:lang w:eastAsia="zh-TW"/>
        </w:rPr>
        <w:t xml:space="preserve">treatment delay for 44 days </w:t>
      </w:r>
      <w:r>
        <w:rPr>
          <w:rFonts w:eastAsia="Arial Unicode MS" w:cs="Arial"/>
          <w:lang w:eastAsia="zh-TW"/>
        </w:rPr>
        <w:t>prior to</w:t>
      </w:r>
      <w:r w:rsidRPr="00247F85">
        <w:rPr>
          <w:rFonts w:eastAsia="Arial Unicode MS" w:cs="Arial"/>
          <w:lang w:eastAsia="zh-TW"/>
        </w:rPr>
        <w:t xml:space="preserve"> </w:t>
      </w:r>
      <w:r>
        <w:rPr>
          <w:rFonts w:eastAsia="Arial Unicode MS" w:cs="Arial"/>
          <w:lang w:eastAsia="zh-TW"/>
        </w:rPr>
        <w:t xml:space="preserve">study end. </w:t>
      </w:r>
      <w:r w:rsidRPr="004F36FA">
        <w:rPr>
          <w:rFonts w:cs="Arial"/>
        </w:rPr>
        <w:t>Descriptive</w:t>
      </w:r>
      <w:r w:rsidRPr="003A1946">
        <w:rPr>
          <w:rFonts w:cs="Arial"/>
        </w:rPr>
        <w:t xml:space="preserve"> statistics and listings were used to report safety, efficacy, and </w:t>
      </w:r>
      <w:r>
        <w:rPr>
          <w:rFonts w:cs="Arial"/>
        </w:rPr>
        <w:t>PK</w:t>
      </w:r>
      <w:r w:rsidRPr="003A1946">
        <w:rPr>
          <w:rFonts w:cs="Arial"/>
        </w:rPr>
        <w:t xml:space="preserve"> parameters</w:t>
      </w:r>
      <w:r w:rsidRPr="009642AD">
        <w:rPr>
          <w:rFonts w:cs="Arial"/>
        </w:rPr>
        <w:t>.</w:t>
      </w:r>
      <w:r w:rsidRPr="00AB4C26">
        <w:t xml:space="preserve"> </w:t>
      </w:r>
      <w:r>
        <w:t>Unless otherwise stated, a</w:t>
      </w:r>
      <w:r w:rsidRPr="006F6286">
        <w:t>ll analyses were performed using SAS</w:t>
      </w:r>
      <w:r w:rsidRPr="006F6286">
        <w:rPr>
          <w:vertAlign w:val="superscript"/>
        </w:rPr>
        <w:t>®</w:t>
      </w:r>
      <w:r w:rsidRPr="006F6286">
        <w:t xml:space="preserve"> v9.4 </w:t>
      </w:r>
      <w:r>
        <w:t>(</w:t>
      </w:r>
      <w:r w:rsidRPr="009A4863">
        <w:rPr>
          <w:rFonts w:cs="Arial"/>
        </w:rPr>
        <w:t>SAS Institute Inc., Cary, NC</w:t>
      </w:r>
      <w:r>
        <w:rPr>
          <w:rFonts w:cs="Arial"/>
        </w:rPr>
        <w:t xml:space="preserve">, USA) </w:t>
      </w:r>
      <w:r w:rsidRPr="006F6286">
        <w:t>or higher.</w:t>
      </w:r>
    </w:p>
    <w:p w14:paraId="440B393F" w14:textId="1CEDA22E" w:rsidR="00830F07" w:rsidRDefault="00830F07" w:rsidP="0031288A">
      <w:pPr>
        <w:rPr>
          <w:rFonts w:cs="Arial"/>
        </w:rPr>
      </w:pPr>
      <w:r w:rsidRPr="00CA2703">
        <w:rPr>
          <w:rFonts w:cs="Arial"/>
        </w:rPr>
        <w:t>The safety analysis set comprised all patients who received study drug.</w:t>
      </w:r>
      <w:r w:rsidRPr="00FC0FFB">
        <w:t xml:space="preserve"> </w:t>
      </w:r>
      <w:r w:rsidRPr="00FC0FFB">
        <w:rPr>
          <w:rFonts w:cs="Arial"/>
        </w:rPr>
        <w:t xml:space="preserve">The </w:t>
      </w:r>
      <w:proofErr w:type="spellStart"/>
      <w:r w:rsidRPr="00FC0FFB">
        <w:rPr>
          <w:rFonts w:cs="Arial"/>
        </w:rPr>
        <w:t>DLT</w:t>
      </w:r>
      <w:proofErr w:type="spellEnd"/>
      <w:r w:rsidRPr="00FC0FFB">
        <w:rPr>
          <w:rFonts w:cs="Arial"/>
        </w:rPr>
        <w:t>-evaluable analysis set consist</w:t>
      </w:r>
      <w:r>
        <w:rPr>
          <w:rFonts w:cs="Arial"/>
        </w:rPr>
        <w:t>ed</w:t>
      </w:r>
      <w:r w:rsidRPr="00FC0FFB">
        <w:rPr>
          <w:rFonts w:cs="Arial"/>
        </w:rPr>
        <w:t xml:space="preserve"> of all patients who receive</w:t>
      </w:r>
      <w:r>
        <w:rPr>
          <w:rFonts w:cs="Arial"/>
        </w:rPr>
        <w:t>d</w:t>
      </w:r>
      <w:r w:rsidRPr="00FC0FFB">
        <w:rPr>
          <w:rFonts w:cs="Arial"/>
        </w:rPr>
        <w:t xml:space="preserve"> study drug</w:t>
      </w:r>
      <w:r>
        <w:rPr>
          <w:rFonts w:cs="Arial"/>
        </w:rPr>
        <w:t xml:space="preserve"> during dose escalation except those w</w:t>
      </w:r>
      <w:r w:rsidRPr="00FC0FFB">
        <w:rPr>
          <w:rFonts w:cs="Arial"/>
        </w:rPr>
        <w:t>ho discontinue</w:t>
      </w:r>
      <w:r>
        <w:rPr>
          <w:rFonts w:cs="Arial"/>
        </w:rPr>
        <w:t>d</w:t>
      </w:r>
      <w:r w:rsidRPr="00FC0FFB">
        <w:rPr>
          <w:rFonts w:cs="Arial"/>
        </w:rPr>
        <w:t xml:space="preserve"> from the study without experiencing a </w:t>
      </w:r>
      <w:proofErr w:type="spellStart"/>
      <w:r w:rsidRPr="00FC0FFB">
        <w:rPr>
          <w:rFonts w:cs="Arial"/>
        </w:rPr>
        <w:t>DLT</w:t>
      </w:r>
      <w:proofErr w:type="spellEnd"/>
      <w:r w:rsidRPr="00FC0FFB">
        <w:rPr>
          <w:rFonts w:cs="Arial"/>
        </w:rPr>
        <w:t xml:space="preserve"> during the first 21-day cycle</w:t>
      </w:r>
      <w:r>
        <w:rPr>
          <w:rFonts w:cs="Arial"/>
        </w:rPr>
        <w:t xml:space="preserve">. </w:t>
      </w:r>
      <w:r w:rsidRPr="00CA2703">
        <w:rPr>
          <w:rFonts w:cs="Arial"/>
        </w:rPr>
        <w:t xml:space="preserve">Treatment-emergent </w:t>
      </w:r>
      <w:r>
        <w:rPr>
          <w:rFonts w:cs="Arial"/>
        </w:rPr>
        <w:t>AEs</w:t>
      </w:r>
      <w:r w:rsidRPr="00CA2703">
        <w:rPr>
          <w:rFonts w:cs="Arial"/>
        </w:rPr>
        <w:t xml:space="preserve"> </w:t>
      </w:r>
      <w:r>
        <w:rPr>
          <w:rFonts w:cs="Arial"/>
        </w:rPr>
        <w:t xml:space="preserve">(TEAEs) </w:t>
      </w:r>
      <w:r w:rsidRPr="00CA2703">
        <w:rPr>
          <w:rFonts w:cs="Arial"/>
        </w:rPr>
        <w:t xml:space="preserve">were defined as any event </w:t>
      </w:r>
      <w:proofErr w:type="gramStart"/>
      <w:r w:rsidRPr="00CA2703">
        <w:rPr>
          <w:rFonts w:cs="Arial"/>
        </w:rPr>
        <w:t>not present</w:t>
      </w:r>
      <w:proofErr w:type="gramEnd"/>
      <w:r w:rsidRPr="00CA2703">
        <w:rPr>
          <w:rFonts w:cs="Arial"/>
        </w:rPr>
        <w:t xml:space="preserve"> </w:t>
      </w:r>
      <w:r>
        <w:rPr>
          <w:rFonts w:cs="Arial"/>
        </w:rPr>
        <w:t>prior to</w:t>
      </w:r>
      <w:r w:rsidRPr="00CA2703">
        <w:rPr>
          <w:rFonts w:cs="Arial"/>
        </w:rPr>
        <w:t xml:space="preserve"> study</w:t>
      </w:r>
      <w:r>
        <w:rPr>
          <w:rFonts w:cs="Arial"/>
        </w:rPr>
        <w:t>-</w:t>
      </w:r>
      <w:r w:rsidRPr="00CA2703">
        <w:rPr>
          <w:rFonts w:cs="Arial"/>
        </w:rPr>
        <w:t xml:space="preserve">drug exposure or any event already present that worsened in intensity or frequency after exposure to study drug until either 12 weeks post-last-dose or initiation of new anticancer treatment, whichever came first. </w:t>
      </w:r>
    </w:p>
    <w:p w14:paraId="7D9FF648" w14:textId="6F488DEF" w:rsidR="00830F07" w:rsidRDefault="00830F07" w:rsidP="0031288A">
      <w:pPr>
        <w:rPr>
          <w:rFonts w:cs="Arial"/>
        </w:rPr>
      </w:pPr>
      <w:r w:rsidRPr="00CA2703">
        <w:rPr>
          <w:rFonts w:cs="Arial"/>
        </w:rPr>
        <w:t>The efficacy analysis set comprised all patients who had received ≥1 dose of study drug with ≥1 valid baseline and post-baseline disease assessment or who had documented disease progression</w:t>
      </w:r>
      <w:r>
        <w:rPr>
          <w:rFonts w:cs="Arial"/>
        </w:rPr>
        <w:t>/death</w:t>
      </w:r>
      <w:r w:rsidRPr="00CA2703">
        <w:rPr>
          <w:rFonts w:cs="Arial"/>
        </w:rPr>
        <w:t xml:space="preserve"> any time after first dose of study drug.</w:t>
      </w:r>
      <w:r>
        <w:rPr>
          <w:rFonts w:cs="Arial"/>
        </w:rPr>
        <w:t xml:space="preserve"> </w:t>
      </w:r>
      <w:r>
        <w:rPr>
          <w:rFonts w:cs="Arial"/>
        </w:rPr>
        <w:t xml:space="preserve">Patients who started subsequent anticancer therapy before their first post-baseline disease assessment were not assessable for response. </w:t>
      </w:r>
      <w:r>
        <w:rPr>
          <w:rFonts w:cs="Arial"/>
        </w:rPr>
        <w:t xml:space="preserve">ORRs were defined as </w:t>
      </w:r>
      <w:r w:rsidRPr="000318C0">
        <w:rPr>
          <w:rFonts w:cs="Arial"/>
        </w:rPr>
        <w:t xml:space="preserve">the proportion of patients with best overall response of </w:t>
      </w:r>
      <w:r>
        <w:rPr>
          <w:rFonts w:cs="Arial"/>
        </w:rPr>
        <w:t xml:space="preserve">complete response (CR) or PR </w:t>
      </w:r>
      <w:r w:rsidRPr="000318C0">
        <w:rPr>
          <w:rFonts w:cs="Arial"/>
        </w:rPr>
        <w:t>at the time each patient discontinue</w:t>
      </w:r>
      <w:r>
        <w:rPr>
          <w:rFonts w:cs="Arial"/>
        </w:rPr>
        <w:t>d</w:t>
      </w:r>
      <w:r w:rsidRPr="000318C0">
        <w:rPr>
          <w:rFonts w:cs="Arial"/>
        </w:rPr>
        <w:t xml:space="preserve"> </w:t>
      </w:r>
      <w:r>
        <w:rPr>
          <w:rFonts w:cs="Arial"/>
        </w:rPr>
        <w:t>camidanlumab tesirine</w:t>
      </w:r>
      <w:r>
        <w:rPr>
          <w:rFonts w:cs="Arial"/>
        </w:rPr>
        <w:t xml:space="preserve"> and estimates are presented with corresponding 95% confidence intervals (CIs). </w:t>
      </w:r>
      <w:r>
        <w:rPr>
          <w:rFonts w:cs="Arial"/>
        </w:rPr>
        <w:t xml:space="preserve">Kaplan–Meier </w:t>
      </w:r>
      <w:r w:rsidRPr="00251729">
        <w:rPr>
          <w:rFonts w:cs="Arial"/>
        </w:rPr>
        <w:t xml:space="preserve">estimates </w:t>
      </w:r>
      <w:r>
        <w:rPr>
          <w:rFonts w:cs="Arial"/>
        </w:rPr>
        <w:t>(</w:t>
      </w:r>
      <w:bookmarkStart w:id="16" w:name="_Hlk65663547"/>
      <w:r w:rsidRPr="000318C0">
        <w:rPr>
          <w:rFonts w:cs="Arial"/>
        </w:rPr>
        <w:t>SAS</w:t>
      </w:r>
      <w:r w:rsidRPr="000318C0">
        <w:rPr>
          <w:rFonts w:cs="Arial"/>
          <w:vertAlign w:val="superscript"/>
        </w:rPr>
        <w:t>®</w:t>
      </w:r>
      <w:r w:rsidRPr="000318C0">
        <w:rPr>
          <w:rFonts w:cs="Arial"/>
        </w:rPr>
        <w:t xml:space="preserve"> PROC </w:t>
      </w:r>
      <w:proofErr w:type="spellStart"/>
      <w:r w:rsidRPr="000318C0">
        <w:rPr>
          <w:rFonts w:cs="Arial"/>
        </w:rPr>
        <w:t>LIFETEST</w:t>
      </w:r>
      <w:proofErr w:type="spellEnd"/>
      <w:r>
        <w:rPr>
          <w:rFonts w:cs="Arial"/>
        </w:rPr>
        <w:t xml:space="preserve"> </w:t>
      </w:r>
      <w:bookmarkEnd w:id="16"/>
      <w:r>
        <w:rPr>
          <w:rFonts w:cs="Arial"/>
        </w:rPr>
        <w:t>[</w:t>
      </w:r>
      <w:bookmarkStart w:id="17" w:name="_Hlk65663591"/>
      <w:r w:rsidRPr="009A4863">
        <w:rPr>
          <w:rFonts w:cs="Arial"/>
        </w:rPr>
        <w:t>SAS Institute Inc., Cary, NC</w:t>
      </w:r>
      <w:bookmarkEnd w:id="17"/>
      <w:r>
        <w:rPr>
          <w:rFonts w:cs="Arial"/>
        </w:rPr>
        <w:t>, USA]</w:t>
      </w:r>
      <w:r>
        <w:rPr>
          <w:rFonts w:cs="Arial"/>
        </w:rPr>
        <w:t>)</w:t>
      </w:r>
      <w:r w:rsidRPr="000318C0">
        <w:rPr>
          <w:rFonts w:cs="Arial"/>
        </w:rPr>
        <w:t xml:space="preserve"> </w:t>
      </w:r>
      <w:r w:rsidRPr="00251729">
        <w:rPr>
          <w:rFonts w:cs="Arial"/>
        </w:rPr>
        <w:t xml:space="preserve">were used for </w:t>
      </w:r>
      <w:proofErr w:type="spellStart"/>
      <w:r>
        <w:rPr>
          <w:rFonts w:cs="Arial"/>
        </w:rPr>
        <w:t>DoR</w:t>
      </w:r>
      <w:proofErr w:type="spellEnd"/>
      <w:r w:rsidRPr="00251729">
        <w:rPr>
          <w:rFonts w:cs="Arial"/>
        </w:rPr>
        <w:t xml:space="preserve">, </w:t>
      </w:r>
      <w:r>
        <w:rPr>
          <w:rFonts w:cs="Arial"/>
        </w:rPr>
        <w:t>OS,</w:t>
      </w:r>
      <w:r w:rsidRPr="00251729">
        <w:rPr>
          <w:rFonts w:cs="Arial"/>
        </w:rPr>
        <w:t xml:space="preserve"> </w:t>
      </w:r>
      <w:proofErr w:type="spellStart"/>
      <w:r>
        <w:rPr>
          <w:rFonts w:cs="Arial"/>
        </w:rPr>
        <w:t>PFS</w:t>
      </w:r>
      <w:proofErr w:type="spellEnd"/>
      <w:r>
        <w:rPr>
          <w:rFonts w:cs="Arial"/>
        </w:rPr>
        <w:t xml:space="preserve">, </w:t>
      </w:r>
      <w:r w:rsidRPr="00251729">
        <w:rPr>
          <w:rFonts w:cs="Arial"/>
        </w:rPr>
        <w:t>and time</w:t>
      </w:r>
      <w:r>
        <w:rPr>
          <w:rFonts w:cs="Arial"/>
        </w:rPr>
        <w:t>-</w:t>
      </w:r>
      <w:r w:rsidRPr="00251729">
        <w:rPr>
          <w:rFonts w:cs="Arial"/>
        </w:rPr>
        <w:t>to</w:t>
      </w:r>
      <w:r>
        <w:rPr>
          <w:rFonts w:cs="Arial"/>
        </w:rPr>
        <w:t>-</w:t>
      </w:r>
      <w:r w:rsidRPr="00251729">
        <w:rPr>
          <w:rFonts w:cs="Arial"/>
        </w:rPr>
        <w:t>first AE leading to dose modificatio</w:t>
      </w:r>
      <w:r>
        <w:rPr>
          <w:rFonts w:cs="Arial"/>
        </w:rPr>
        <w:t>n</w:t>
      </w:r>
      <w:r w:rsidRPr="00EE2598">
        <w:rPr>
          <w:rFonts w:cs="Arial"/>
        </w:rPr>
        <w:t>.</w:t>
      </w:r>
      <w:bookmarkStart w:id="18" w:name="_Hlk64480964"/>
      <w:r>
        <w:rPr>
          <w:rFonts w:cs="Arial"/>
        </w:rPr>
        <w:t xml:space="preserve"> Time-to-event data are reported by cohort due to heterogeneity in populations. </w:t>
      </w:r>
      <w:proofErr w:type="spellStart"/>
      <w:r w:rsidRPr="00A223F7">
        <w:rPr>
          <w:rFonts w:cs="Arial"/>
        </w:rPr>
        <w:t>DoR</w:t>
      </w:r>
      <w:proofErr w:type="spellEnd"/>
      <w:r>
        <w:rPr>
          <w:rFonts w:cs="Arial"/>
        </w:rPr>
        <w:t xml:space="preserve">, OS, and </w:t>
      </w:r>
      <w:proofErr w:type="spellStart"/>
      <w:r>
        <w:rPr>
          <w:rFonts w:cs="Arial"/>
        </w:rPr>
        <w:t>PFS</w:t>
      </w:r>
      <w:proofErr w:type="spellEnd"/>
      <w:r w:rsidRPr="00A223F7">
        <w:rPr>
          <w:rFonts w:cs="Arial"/>
        </w:rPr>
        <w:t xml:space="preserve"> for B-NHL could not be reported owing to the low number of responders (data could be misinterpreted).</w:t>
      </w:r>
      <w:r>
        <w:rPr>
          <w:rFonts w:cs="Arial"/>
        </w:rPr>
        <w:t xml:space="preserve"> Prespecified </w:t>
      </w:r>
      <w:r w:rsidRPr="00D82664">
        <w:rPr>
          <w:rFonts w:cs="Arial"/>
        </w:rPr>
        <w:t xml:space="preserve">subgroup analyses </w:t>
      </w:r>
      <w:r>
        <w:rPr>
          <w:rFonts w:cs="Arial"/>
        </w:rPr>
        <w:t xml:space="preserve">of ORR </w:t>
      </w:r>
      <w:bookmarkEnd w:id="18"/>
      <w:r>
        <w:rPr>
          <w:rFonts w:cs="Arial"/>
        </w:rPr>
        <w:t>by dose</w:t>
      </w:r>
      <w:r w:rsidRPr="001D0359">
        <w:rPr>
          <w:rFonts w:cs="Arial"/>
        </w:rPr>
        <w:t xml:space="preserve">, </w:t>
      </w:r>
      <w:r w:rsidRPr="00A92E95">
        <w:rPr>
          <w:rFonts w:cs="Arial"/>
        </w:rPr>
        <w:t>histology cohorts,</w:t>
      </w:r>
      <w:r>
        <w:rPr>
          <w:rFonts w:cs="Arial"/>
        </w:rPr>
        <w:t xml:space="preserve"> sex, country, age, disease stage at study entry, number of prior therapies, prior therapy type (BV, </w:t>
      </w:r>
      <w:proofErr w:type="spellStart"/>
      <w:r>
        <w:rPr>
          <w:rFonts w:cs="Arial"/>
        </w:rPr>
        <w:t>CHPi</w:t>
      </w:r>
      <w:proofErr w:type="spellEnd"/>
      <w:r>
        <w:rPr>
          <w:rFonts w:cs="Arial"/>
        </w:rPr>
        <w:t xml:space="preserve"> and </w:t>
      </w:r>
      <w:proofErr w:type="spellStart"/>
      <w:r>
        <w:rPr>
          <w:rFonts w:cs="Arial"/>
        </w:rPr>
        <w:t>HCT</w:t>
      </w:r>
      <w:proofErr w:type="spellEnd"/>
      <w:r>
        <w:rPr>
          <w:rFonts w:cs="Arial"/>
        </w:rPr>
        <w:t xml:space="preserve">), response to first-line therapy, and response to most recent therapy, were conducted </w:t>
      </w:r>
      <w:r>
        <w:rPr>
          <w:rFonts w:cs="Arial"/>
        </w:rPr>
        <w:lastRenderedPageBreak/>
        <w:t xml:space="preserve">for cHL, but are not reported for all patients due to heterogeneity of the population, or for other disease cohorts due to small sample sizes. </w:t>
      </w:r>
      <w:r w:rsidRPr="00527A33">
        <w:rPr>
          <w:rFonts w:cs="Arial"/>
          <w:iCs/>
        </w:rPr>
        <w:t>Post-hoc</w:t>
      </w:r>
      <w:r w:rsidRPr="00A92E95">
        <w:rPr>
          <w:rFonts w:cs="Arial"/>
        </w:rPr>
        <w:t xml:space="preserve"> subgroup analyses for ORR were conducted for T-cell and B-cell </w:t>
      </w:r>
      <w:r>
        <w:rPr>
          <w:rFonts w:cs="Arial"/>
        </w:rPr>
        <w:t xml:space="preserve">NHL </w:t>
      </w:r>
      <w:proofErr w:type="spellStart"/>
      <w:r w:rsidRPr="00A92E95">
        <w:rPr>
          <w:rFonts w:cs="Arial"/>
        </w:rPr>
        <w:t>histologies</w:t>
      </w:r>
      <w:proofErr w:type="spellEnd"/>
      <w:r w:rsidRPr="00A92E95">
        <w:rPr>
          <w:rFonts w:cs="Arial"/>
        </w:rPr>
        <w:t>.</w:t>
      </w:r>
    </w:p>
    <w:p w14:paraId="7CB82489" w14:textId="5B785BF7" w:rsidR="00830F07" w:rsidRPr="00CA2703" w:rsidRDefault="00830F07" w:rsidP="0031288A">
      <w:pPr>
        <w:rPr>
          <w:rFonts w:cs="Arial"/>
        </w:rPr>
      </w:pPr>
      <w:r w:rsidRPr="00CA2703">
        <w:rPr>
          <w:rFonts w:cs="Arial"/>
        </w:rPr>
        <w:t xml:space="preserve">The </w:t>
      </w:r>
      <w:r>
        <w:rPr>
          <w:rFonts w:cs="Arial"/>
        </w:rPr>
        <w:t>PK/PD</w:t>
      </w:r>
      <w:r w:rsidRPr="00CA2703">
        <w:rPr>
          <w:rFonts w:cs="Arial"/>
        </w:rPr>
        <w:t xml:space="preserve"> analysis sets included all patients receiving ≥</w:t>
      </w:r>
      <w:r>
        <w:rPr>
          <w:rFonts w:cs="Arial"/>
        </w:rPr>
        <w:t xml:space="preserve">1 </w:t>
      </w:r>
      <w:r w:rsidRPr="00CA2703">
        <w:rPr>
          <w:rFonts w:cs="Arial"/>
        </w:rPr>
        <w:t>dose of study drug, and who had ≥</w:t>
      </w:r>
      <w:r>
        <w:rPr>
          <w:rFonts w:cs="Arial"/>
        </w:rPr>
        <w:t xml:space="preserve">1 </w:t>
      </w:r>
      <w:r w:rsidRPr="00CA2703">
        <w:rPr>
          <w:rFonts w:cs="Arial"/>
        </w:rPr>
        <w:t>post-treatment sample and/or sufficient data for reliable exposure estimation.</w:t>
      </w:r>
      <w:r w:rsidRPr="000B6D22">
        <w:rPr>
          <w:rFonts w:cs="Arial"/>
        </w:rPr>
        <w:t xml:space="preserve"> </w:t>
      </w:r>
      <w:r w:rsidRPr="00EE2598">
        <w:rPr>
          <w:rFonts w:cs="Arial"/>
        </w:rPr>
        <w:t>P</w:t>
      </w:r>
      <w:r>
        <w:rPr>
          <w:rFonts w:cs="Arial"/>
        </w:rPr>
        <w:t>K</w:t>
      </w:r>
      <w:r w:rsidRPr="00EE2598">
        <w:rPr>
          <w:rFonts w:cs="Arial"/>
        </w:rPr>
        <w:t xml:space="preserve"> parameters were calculated by non</w:t>
      </w:r>
      <w:r>
        <w:rPr>
          <w:rFonts w:cs="Arial"/>
        </w:rPr>
        <w:t>-</w:t>
      </w:r>
      <w:r w:rsidRPr="00EE2598">
        <w:rPr>
          <w:rFonts w:cs="Arial"/>
        </w:rPr>
        <w:t>compartmental method</w:t>
      </w:r>
      <w:r w:rsidRPr="000140EA">
        <w:rPr>
          <w:rFonts w:cs="Arial"/>
          <w:noProof/>
          <w:vertAlign w:val="superscript"/>
        </w:rPr>
        <w:t>17</w:t>
      </w:r>
      <w:r w:rsidRPr="00EE2598">
        <w:rPr>
          <w:rFonts w:cs="Arial"/>
        </w:rPr>
        <w:t xml:space="preserve"> (Phoenix</w:t>
      </w:r>
      <w:r w:rsidRPr="008C66A0">
        <w:rPr>
          <w:rFonts w:cs="Arial"/>
          <w:vertAlign w:val="superscript"/>
        </w:rPr>
        <w:t>®</w:t>
      </w:r>
      <w:r w:rsidRPr="00EE2598">
        <w:rPr>
          <w:rFonts w:cs="Arial"/>
        </w:rPr>
        <w:t xml:space="preserve"> </w:t>
      </w:r>
      <w:proofErr w:type="spellStart"/>
      <w:r w:rsidRPr="00EE2598">
        <w:rPr>
          <w:rFonts w:cs="Arial"/>
        </w:rPr>
        <w:t>WinNonlin</w:t>
      </w:r>
      <w:proofErr w:type="spellEnd"/>
      <w:r w:rsidRPr="008C66A0">
        <w:rPr>
          <w:rFonts w:cs="Arial"/>
          <w:vertAlign w:val="superscript"/>
        </w:rPr>
        <w:t>®</w:t>
      </w:r>
      <w:r w:rsidRPr="00EE2598">
        <w:rPr>
          <w:rFonts w:cs="Arial"/>
        </w:rPr>
        <w:t xml:space="preserve"> v8</w:t>
      </w:r>
      <w:r>
        <w:rPr>
          <w:rFonts w:cs="Arial"/>
        </w:rPr>
        <w:t>·</w:t>
      </w:r>
      <w:r w:rsidRPr="00EE2598">
        <w:rPr>
          <w:rFonts w:cs="Arial"/>
        </w:rPr>
        <w:t>2 [Certara USA, Inc., Princeton, NJ])</w:t>
      </w:r>
      <w:r>
        <w:rPr>
          <w:rFonts w:cs="Arial"/>
        </w:rPr>
        <w:t>.</w:t>
      </w:r>
      <w:r w:rsidRPr="00CA2703">
        <w:rPr>
          <w:rFonts w:cs="Arial"/>
        </w:rPr>
        <w:t xml:space="preserve"> The immunohistochemistry analysis set included patients for whom archival tumor tissue or pretreatment biopsies for CD25 protein expression were available, and who had at least one value for a correlative endpoint</w:t>
      </w:r>
      <w:r>
        <w:rPr>
          <w:rFonts w:cs="Arial"/>
        </w:rPr>
        <w:t xml:space="preserve">, and analyses used </w:t>
      </w:r>
      <w:bookmarkStart w:id="19" w:name="_Hlk65663681"/>
      <w:r>
        <w:rPr>
          <w:rFonts w:cs="Arial"/>
        </w:rPr>
        <w:t>R v4·0·3 (</w:t>
      </w:r>
      <w:r w:rsidRPr="000C263D">
        <w:rPr>
          <w:rFonts w:cs="Arial"/>
        </w:rPr>
        <w:t>R Foundation for Statistical Computing,</w:t>
      </w:r>
      <w:r>
        <w:rPr>
          <w:rFonts w:cs="Arial"/>
        </w:rPr>
        <w:t xml:space="preserve"> </w:t>
      </w:r>
      <w:r w:rsidRPr="000C263D">
        <w:rPr>
          <w:rFonts w:cs="Arial"/>
        </w:rPr>
        <w:t>Vienna, Austria)</w:t>
      </w:r>
      <w:r>
        <w:rPr>
          <w:rFonts w:cs="Arial"/>
        </w:rPr>
        <w:t>.</w:t>
      </w:r>
    </w:p>
    <w:bookmarkEnd w:id="19"/>
    <w:p w14:paraId="3F5E89B1" w14:textId="4F9B4B06" w:rsidR="00830F07" w:rsidRDefault="00830F07" w:rsidP="0031288A">
      <w:pPr>
        <w:rPr>
          <w:rFonts w:cs="Arial"/>
          <w:color w:val="000000"/>
          <w:shd w:val="clear" w:color="auto" w:fill="FFFFFF"/>
        </w:rPr>
      </w:pPr>
      <w:r>
        <w:rPr>
          <w:rFonts w:cs="Arial"/>
        </w:rPr>
        <w:t>See appendix f</w:t>
      </w:r>
      <w:r>
        <w:rPr>
          <w:rFonts w:cs="Arial"/>
        </w:rPr>
        <w:t xml:space="preserve">or the Statistical Analysis Plan. </w:t>
      </w:r>
      <w:r w:rsidRPr="00EE2598">
        <w:rPr>
          <w:rFonts w:cs="Arial"/>
        </w:rPr>
        <w:t>The study was registered at ClinicalTrials.gov (</w:t>
      </w:r>
      <w:r w:rsidRPr="00EE2598">
        <w:rPr>
          <w:rFonts w:cs="Arial"/>
          <w:color w:val="000000"/>
          <w:shd w:val="clear" w:color="auto" w:fill="FFFFFF"/>
        </w:rPr>
        <w:t>NCT02432235)</w:t>
      </w:r>
      <w:r>
        <w:rPr>
          <w:rFonts w:cs="Arial"/>
          <w:color w:val="000000"/>
          <w:shd w:val="clear" w:color="auto" w:fill="FFFFFF"/>
        </w:rPr>
        <w:t>.</w:t>
      </w:r>
    </w:p>
    <w:p w14:paraId="28D510C3" w14:textId="77777777" w:rsidR="00830F07" w:rsidRDefault="00830F07" w:rsidP="0031288A">
      <w:pPr>
        <w:rPr>
          <w:rFonts w:cs="Arial"/>
        </w:rPr>
      </w:pPr>
    </w:p>
    <w:p w14:paraId="10F0CAEE" w14:textId="77777777" w:rsidR="00830F07" w:rsidRPr="006F6A52" w:rsidRDefault="00830F07" w:rsidP="0031288A">
      <w:pPr>
        <w:pStyle w:val="Heading3"/>
      </w:pPr>
      <w:bookmarkStart w:id="20" w:name="_Hlk53402483"/>
      <w:bookmarkEnd w:id="15"/>
      <w:r w:rsidRPr="006F6A52">
        <w:t>Role of the funding source</w:t>
      </w:r>
    </w:p>
    <w:p w14:paraId="00A5C7E2" w14:textId="2AED6C11" w:rsidR="00830F07" w:rsidRPr="00720A97" w:rsidRDefault="00830F07" w:rsidP="0031288A">
      <w:pPr>
        <w:rPr>
          <w:rFonts w:cs="Arial"/>
        </w:rPr>
      </w:pPr>
      <w:r w:rsidRPr="00720A97">
        <w:rPr>
          <w:rFonts w:cs="Arial"/>
        </w:rPr>
        <w:t>This study was sponsored by ADC Therapeutics SA and designed by the sponsor in collaboration with investigators, who collected data that were analyzed by the sponsor’s statisticians. All authors were involved in data analysis and interpretation. All drafts were prepared by the authors with editorial support from Fishawack Communications Ltd, part of Fishawack Health. All authors had full access to all data and final responsibility for the decision to submit for publication.</w:t>
      </w:r>
    </w:p>
    <w:bookmarkEnd w:id="20"/>
    <w:p w14:paraId="72F1DE26" w14:textId="77777777" w:rsidR="00830F07" w:rsidRPr="00EE2598" w:rsidRDefault="00830F07" w:rsidP="0031288A">
      <w:pPr>
        <w:rPr>
          <w:rFonts w:cs="Arial"/>
        </w:rPr>
      </w:pPr>
    </w:p>
    <w:p w14:paraId="43E448B9" w14:textId="77777777" w:rsidR="00830F07" w:rsidRPr="00EE2598" w:rsidRDefault="00830F07" w:rsidP="0031288A">
      <w:pPr>
        <w:pStyle w:val="Heading2"/>
      </w:pPr>
      <w:r w:rsidRPr="00EE2598">
        <w:t>Results</w:t>
      </w:r>
    </w:p>
    <w:p w14:paraId="27C6BC66" w14:textId="2F345A32" w:rsidR="00830F07" w:rsidRDefault="00830F07" w:rsidP="0031288A">
      <w:pPr>
        <w:rPr>
          <w:rFonts w:cs="Arial"/>
        </w:rPr>
      </w:pPr>
      <w:r>
        <w:rPr>
          <w:rFonts w:cs="Arial"/>
        </w:rPr>
        <w:t>A total of 133 patients enrolled during</w:t>
      </w:r>
      <w:r w:rsidRPr="00EE2598">
        <w:rPr>
          <w:rFonts w:cs="Arial"/>
        </w:rPr>
        <w:t xml:space="preserve"> </w:t>
      </w:r>
      <w:r w:rsidRPr="00EE2598">
        <w:rPr>
          <w:rFonts w:cs="Arial"/>
        </w:rPr>
        <w:t>Oct</w:t>
      </w:r>
      <w:r>
        <w:rPr>
          <w:rFonts w:cs="Arial"/>
        </w:rPr>
        <w:t xml:space="preserve"> </w:t>
      </w:r>
      <w:r w:rsidRPr="00EE2598">
        <w:rPr>
          <w:rFonts w:cs="Arial"/>
        </w:rPr>
        <w:t>5</w:t>
      </w:r>
      <w:r>
        <w:rPr>
          <w:rFonts w:cs="Arial"/>
        </w:rPr>
        <w:t xml:space="preserve">, </w:t>
      </w:r>
      <w:r w:rsidRPr="00EE2598">
        <w:rPr>
          <w:rFonts w:cs="Arial"/>
        </w:rPr>
        <w:t>2015</w:t>
      </w:r>
      <w:r>
        <w:rPr>
          <w:rFonts w:cs="Arial"/>
        </w:rPr>
        <w:t xml:space="preserve">–Jun 30, </w:t>
      </w:r>
      <w:proofErr w:type="gramStart"/>
      <w:r>
        <w:rPr>
          <w:rFonts w:cs="Arial"/>
        </w:rPr>
        <w:t>2019</w:t>
      </w:r>
      <w:r w:rsidRPr="00EE2598">
        <w:rPr>
          <w:rFonts w:cs="Arial"/>
        </w:rPr>
        <w:t>;</w:t>
      </w:r>
      <w:proofErr w:type="gramEnd"/>
      <w:r w:rsidRPr="00EE2598">
        <w:rPr>
          <w:rFonts w:cs="Arial"/>
        </w:rPr>
        <w:t xml:space="preserve"> 77 with cHL and 56 with NHL. </w:t>
      </w:r>
      <w:r>
        <w:rPr>
          <w:rFonts w:cs="Arial"/>
        </w:rPr>
        <w:t xml:space="preserve">The study was terminated on Oct 24, 2019 and data cut-off date was Mar 31, 2020. </w:t>
      </w:r>
      <w:r>
        <w:rPr>
          <w:rFonts w:cs="Arial"/>
        </w:rPr>
        <w:t>During dose escalation</w:t>
      </w:r>
      <w:r w:rsidRPr="00EE2598">
        <w:rPr>
          <w:rFonts w:cs="Arial"/>
        </w:rPr>
        <w:t xml:space="preserve">, patients received camidanlumab tesirine in dose cohorts at </w:t>
      </w:r>
      <w:r w:rsidRPr="00EE2598">
        <w:rPr>
          <w:rFonts w:cs="Arial"/>
          <w:bCs/>
        </w:rPr>
        <w:t>3–150 µg/kg</w:t>
      </w:r>
      <w:r w:rsidRPr="00EE2598">
        <w:rPr>
          <w:rFonts w:cs="Arial"/>
        </w:rPr>
        <w:t xml:space="preserve">. </w:t>
      </w:r>
      <w:r>
        <w:rPr>
          <w:rFonts w:cs="Arial"/>
        </w:rPr>
        <w:t>The following dose levels were expanded</w:t>
      </w:r>
      <w:r w:rsidRPr="00EE2598">
        <w:rPr>
          <w:rFonts w:cs="Arial"/>
        </w:rPr>
        <w:t xml:space="preserve"> based on </w:t>
      </w:r>
      <w:r>
        <w:rPr>
          <w:rFonts w:cs="Arial"/>
        </w:rPr>
        <w:t>dose-escalation</w:t>
      </w:r>
      <w:r w:rsidRPr="00EE2598">
        <w:rPr>
          <w:rFonts w:cs="Arial"/>
        </w:rPr>
        <w:t xml:space="preserve"> dat</w:t>
      </w:r>
      <w:r>
        <w:rPr>
          <w:rFonts w:cs="Arial"/>
        </w:rPr>
        <w:t xml:space="preserve">a: </w:t>
      </w:r>
      <w:r w:rsidRPr="00EE2598">
        <w:rPr>
          <w:rFonts w:cs="Arial"/>
        </w:rPr>
        <w:t>30 and 45</w:t>
      </w:r>
      <w:r>
        <w:rPr>
          <w:rFonts w:cs="Arial"/>
        </w:rPr>
        <w:t> µ</w:t>
      </w:r>
      <w:r w:rsidRPr="00EE2598">
        <w:rPr>
          <w:rFonts w:cs="Arial"/>
        </w:rPr>
        <w:t>g/kg</w:t>
      </w:r>
      <w:r>
        <w:rPr>
          <w:rFonts w:cs="Arial"/>
        </w:rPr>
        <w:t xml:space="preserve"> for patients with </w:t>
      </w:r>
      <w:r w:rsidRPr="00EE2598">
        <w:rPr>
          <w:rFonts w:cs="Arial"/>
        </w:rPr>
        <w:t>cHL</w:t>
      </w:r>
      <w:r>
        <w:rPr>
          <w:rFonts w:cs="Arial"/>
        </w:rPr>
        <w:t>;</w:t>
      </w:r>
      <w:r w:rsidRPr="00EE2598">
        <w:rPr>
          <w:rFonts w:cs="Arial"/>
        </w:rPr>
        <w:t xml:space="preserve"> 80 μg/kg</w:t>
      </w:r>
      <w:r w:rsidRPr="00EE2598" w:rsidDel="004B3F58">
        <w:rPr>
          <w:rFonts w:cs="Arial"/>
        </w:rPr>
        <w:t xml:space="preserve"> </w:t>
      </w:r>
      <w:r>
        <w:rPr>
          <w:rFonts w:cs="Arial"/>
        </w:rPr>
        <w:t>for</w:t>
      </w:r>
      <w:r w:rsidRPr="00EE2598">
        <w:rPr>
          <w:rFonts w:cs="Arial"/>
        </w:rPr>
        <w:t xml:space="preserve"> patients with T-</w:t>
      </w:r>
      <w:r>
        <w:t>NHL</w:t>
      </w:r>
      <w:r w:rsidRPr="00EE2598">
        <w:rPr>
          <w:rFonts w:cs="Arial"/>
        </w:rPr>
        <w:t xml:space="preserve">. Patient disposition is </w:t>
      </w:r>
      <w:r w:rsidRPr="00EE2598">
        <w:rPr>
          <w:rFonts w:cs="Arial"/>
        </w:rPr>
        <w:lastRenderedPageBreak/>
        <w:t xml:space="preserve">provided </w:t>
      </w:r>
      <w:r>
        <w:rPr>
          <w:rFonts w:cs="Arial"/>
        </w:rPr>
        <w:t>(</w:t>
      </w:r>
      <w:r w:rsidRPr="00EE2598">
        <w:rPr>
          <w:rFonts w:cs="Arial"/>
          <w:b/>
        </w:rPr>
        <w:t>Figure 1</w:t>
      </w:r>
      <w:r w:rsidRPr="007A3C63">
        <w:rPr>
          <w:rFonts w:cs="Arial"/>
          <w:bCs/>
        </w:rPr>
        <w:t>)</w:t>
      </w:r>
      <w:r w:rsidRPr="00EE2598">
        <w:rPr>
          <w:rFonts w:cs="Arial"/>
        </w:rPr>
        <w:t>. Patients received a median (</w:t>
      </w:r>
      <w:r>
        <w:rPr>
          <w:rFonts w:cs="Arial"/>
        </w:rPr>
        <w:t xml:space="preserve">interquartile </w:t>
      </w:r>
      <w:r w:rsidRPr="00EE2598">
        <w:rPr>
          <w:rFonts w:cs="Arial"/>
        </w:rPr>
        <w:t>range</w:t>
      </w:r>
      <w:r>
        <w:rPr>
          <w:rFonts w:cs="Arial"/>
        </w:rPr>
        <w:t>; IQR</w:t>
      </w:r>
      <w:r w:rsidRPr="00EE2598">
        <w:rPr>
          <w:rFonts w:cs="Arial"/>
        </w:rPr>
        <w:t>) of 3</w:t>
      </w:r>
      <w:r>
        <w:rPr>
          <w:rFonts w:cs="Arial"/>
        </w:rPr>
        <w:t>·0</w:t>
      </w:r>
      <w:r w:rsidRPr="00EE2598">
        <w:rPr>
          <w:rFonts w:cs="Arial"/>
        </w:rPr>
        <w:t xml:space="preserve"> (</w:t>
      </w:r>
      <w:r w:rsidRPr="002C0AB2">
        <w:t>2·0–5·0</w:t>
      </w:r>
      <w:r w:rsidRPr="00EE2598">
        <w:rPr>
          <w:rFonts w:cs="Arial"/>
        </w:rPr>
        <w:t xml:space="preserve">) </w:t>
      </w:r>
      <w:r>
        <w:rPr>
          <w:rFonts w:cs="Arial"/>
        </w:rPr>
        <w:t xml:space="preserve">and mean (standard deviation) of 3·5 (2·43) </w:t>
      </w:r>
      <w:r w:rsidRPr="00EE2598">
        <w:rPr>
          <w:rFonts w:cs="Arial"/>
        </w:rPr>
        <w:t>cycles of camidanlumab tesirine.</w:t>
      </w:r>
      <w:r>
        <w:rPr>
          <w:rFonts w:cs="Arial"/>
        </w:rPr>
        <w:t xml:space="preserve"> </w:t>
      </w:r>
      <w:r w:rsidRPr="00EE2598">
        <w:rPr>
          <w:rFonts w:cs="Arial"/>
        </w:rPr>
        <w:t>Median (</w:t>
      </w:r>
      <w:r>
        <w:rPr>
          <w:rFonts w:cs="Arial"/>
        </w:rPr>
        <w:t>IQR</w:t>
      </w:r>
      <w:r w:rsidRPr="00EE2598">
        <w:rPr>
          <w:rFonts w:cs="Arial"/>
        </w:rPr>
        <w:t>) duration of follow-up was 9</w:t>
      </w:r>
      <w:r w:rsidRPr="00A678E9">
        <w:rPr>
          <w:rFonts w:cs="Arial"/>
        </w:rPr>
        <w:t>·</w:t>
      </w:r>
      <w:r w:rsidRPr="00EE2598">
        <w:rPr>
          <w:rFonts w:cs="Arial"/>
        </w:rPr>
        <w:t>15 months (</w:t>
      </w:r>
      <w:r w:rsidRPr="00AF5F83">
        <w:rPr>
          <w:rFonts w:cs="Arial"/>
        </w:rPr>
        <w:t>4·17–14·32</w:t>
      </w:r>
      <w:r w:rsidRPr="00EE2598">
        <w:rPr>
          <w:rFonts w:cs="Arial"/>
        </w:rPr>
        <w:t>)</w:t>
      </w:r>
      <w:r>
        <w:rPr>
          <w:rFonts w:cs="Arial"/>
        </w:rPr>
        <w:t>.</w:t>
      </w:r>
    </w:p>
    <w:p w14:paraId="53DCB754" w14:textId="77777777" w:rsidR="00830F07" w:rsidRDefault="00830F07" w:rsidP="0031288A">
      <w:pPr>
        <w:rPr>
          <w:rFonts w:cs="Arial"/>
        </w:rPr>
      </w:pPr>
      <w:r w:rsidRPr="00EE2598">
        <w:rPr>
          <w:rFonts w:cs="Arial"/>
        </w:rPr>
        <w:t xml:space="preserve">Baseline characteristics are provided </w:t>
      </w:r>
      <w:r>
        <w:rPr>
          <w:rFonts w:cs="Arial"/>
        </w:rPr>
        <w:t>(</w:t>
      </w:r>
      <w:r w:rsidRPr="00EE2598">
        <w:rPr>
          <w:rFonts w:cs="Arial"/>
          <w:b/>
        </w:rPr>
        <w:t>Table 1</w:t>
      </w:r>
      <w:r w:rsidRPr="00E50738">
        <w:rPr>
          <w:rFonts w:cs="Arial"/>
          <w:bCs/>
        </w:rPr>
        <w:t>).</w:t>
      </w:r>
      <w:r w:rsidRPr="00EE2598">
        <w:rPr>
          <w:rFonts w:cs="Arial"/>
          <w:b/>
        </w:rPr>
        <w:t xml:space="preserve"> </w:t>
      </w:r>
      <w:r>
        <w:rPr>
          <w:rFonts w:cs="Arial"/>
        </w:rPr>
        <w:t>Most p</w:t>
      </w:r>
      <w:r w:rsidRPr="00EE2598">
        <w:rPr>
          <w:rFonts w:cs="Arial"/>
        </w:rPr>
        <w:t>atients were heavily pretreated, with a median (</w:t>
      </w:r>
      <w:r>
        <w:rPr>
          <w:rFonts w:cs="Arial"/>
        </w:rPr>
        <w:t>IQR</w:t>
      </w:r>
      <w:r w:rsidRPr="00EE2598">
        <w:rPr>
          <w:rFonts w:cs="Arial"/>
        </w:rPr>
        <w:t xml:space="preserve">) of </w:t>
      </w:r>
      <w:r w:rsidRPr="006D0235">
        <w:rPr>
          <w:rFonts w:cs="Arial"/>
        </w:rPr>
        <w:t>5·0 (</w:t>
      </w:r>
      <w:r w:rsidRPr="002C0AB2">
        <w:t>3·0–7·0</w:t>
      </w:r>
      <w:r w:rsidRPr="006D0235">
        <w:rPr>
          <w:rFonts w:cs="Arial"/>
        </w:rPr>
        <w:t>) prior</w:t>
      </w:r>
      <w:r w:rsidRPr="00EE2598">
        <w:rPr>
          <w:rFonts w:cs="Arial"/>
        </w:rPr>
        <w:t xml:space="preserve"> systemic therapies. At enrol</w:t>
      </w:r>
      <w:r>
        <w:rPr>
          <w:rFonts w:cs="Arial"/>
        </w:rPr>
        <w:t>l</w:t>
      </w:r>
      <w:r w:rsidRPr="00EE2598">
        <w:rPr>
          <w:rFonts w:cs="Arial"/>
        </w:rPr>
        <w:t xml:space="preserve">ment, </w:t>
      </w:r>
      <w:r>
        <w:rPr>
          <w:rFonts w:cs="Arial"/>
        </w:rPr>
        <w:t>81 (</w:t>
      </w:r>
      <w:r w:rsidRPr="004A380C">
        <w:rPr>
          <w:rFonts w:cs="Arial"/>
        </w:rPr>
        <w:t>60·9%)</w:t>
      </w:r>
      <w:r w:rsidRPr="00EE2598">
        <w:rPr>
          <w:rFonts w:cs="Arial"/>
        </w:rPr>
        <w:t xml:space="preserve"> of </w:t>
      </w:r>
      <w:r>
        <w:rPr>
          <w:rFonts w:cs="Arial"/>
        </w:rPr>
        <w:t xml:space="preserve">133 </w:t>
      </w:r>
      <w:r w:rsidRPr="00EE2598">
        <w:rPr>
          <w:rFonts w:cs="Arial"/>
        </w:rPr>
        <w:t xml:space="preserve">patients were refractory </w:t>
      </w:r>
      <w:r>
        <w:rPr>
          <w:rFonts w:cs="Arial"/>
        </w:rPr>
        <w:t xml:space="preserve">(stable or progressive disease) </w:t>
      </w:r>
      <w:r w:rsidRPr="00EE2598">
        <w:rPr>
          <w:rFonts w:cs="Arial"/>
        </w:rPr>
        <w:t xml:space="preserve">to their most recent line of treatment. </w:t>
      </w:r>
    </w:p>
    <w:p w14:paraId="670CA36E" w14:textId="7E6112C2" w:rsidR="00830F07" w:rsidRPr="00EE2598" w:rsidRDefault="00830F07" w:rsidP="0031288A">
      <w:pPr>
        <w:rPr>
          <w:rFonts w:cs="Arial"/>
        </w:rPr>
      </w:pPr>
      <w:r>
        <w:rPr>
          <w:rFonts w:cs="Arial"/>
        </w:rPr>
        <w:t xml:space="preserve">In the dose-escalation part, 86 (98·9%) of 87 patients were evaluable for </w:t>
      </w:r>
      <w:proofErr w:type="spellStart"/>
      <w:r>
        <w:rPr>
          <w:rFonts w:cs="Arial"/>
        </w:rPr>
        <w:t>DLT</w:t>
      </w:r>
      <w:proofErr w:type="spellEnd"/>
      <w:r>
        <w:rPr>
          <w:rFonts w:cs="Arial"/>
        </w:rPr>
        <w:t>; one patient was</w:t>
      </w:r>
      <w:r w:rsidRPr="00464B36">
        <w:rPr>
          <w:rFonts w:cs="Arial"/>
        </w:rPr>
        <w:t xml:space="preserve"> </w:t>
      </w:r>
      <w:r>
        <w:rPr>
          <w:rFonts w:cs="Arial"/>
        </w:rPr>
        <w:t>not evaluated</w:t>
      </w:r>
      <w:r w:rsidRPr="00464B36">
        <w:rPr>
          <w:rFonts w:cs="Arial"/>
        </w:rPr>
        <w:t xml:space="preserve"> </w:t>
      </w:r>
      <w:r>
        <w:rPr>
          <w:rFonts w:cs="Arial"/>
        </w:rPr>
        <w:t xml:space="preserve">due to disease progression before completing the </w:t>
      </w:r>
      <w:proofErr w:type="spellStart"/>
      <w:r>
        <w:rPr>
          <w:rFonts w:cs="Arial"/>
        </w:rPr>
        <w:t>DLT</w:t>
      </w:r>
      <w:proofErr w:type="spellEnd"/>
      <w:r>
        <w:rPr>
          <w:rFonts w:cs="Arial"/>
        </w:rPr>
        <w:t xml:space="preserve"> period (</w:t>
      </w:r>
      <w:r w:rsidRPr="00464B36">
        <w:rPr>
          <w:rFonts w:cs="Arial"/>
        </w:rPr>
        <w:t xml:space="preserve">enrolled </w:t>
      </w:r>
      <w:r>
        <w:rPr>
          <w:rFonts w:cs="Arial"/>
        </w:rPr>
        <w:t>pre-</w:t>
      </w:r>
      <w:r w:rsidRPr="00464B36">
        <w:rPr>
          <w:rFonts w:cs="Arial"/>
        </w:rPr>
        <w:t xml:space="preserve">Amendment 4 </w:t>
      </w:r>
      <w:r>
        <w:rPr>
          <w:rFonts w:cs="Arial"/>
        </w:rPr>
        <w:t>[see Methods]</w:t>
      </w:r>
      <w:r>
        <w:rPr>
          <w:rFonts w:cs="Arial"/>
        </w:rPr>
        <w:t>)</w:t>
      </w:r>
      <w:r>
        <w:rPr>
          <w:rFonts w:cs="Arial"/>
        </w:rPr>
        <w:t>; however,</w:t>
      </w:r>
      <w:r w:rsidRPr="006B73A1">
        <w:t xml:space="preserve"> </w:t>
      </w:r>
      <w:r>
        <w:rPr>
          <w:rFonts w:cs="Arial"/>
        </w:rPr>
        <w:t>t</w:t>
      </w:r>
      <w:r w:rsidRPr="006B73A1">
        <w:rPr>
          <w:rFonts w:cs="Arial"/>
        </w:rPr>
        <w:t xml:space="preserve">his patient had </w:t>
      </w:r>
      <w:r>
        <w:rPr>
          <w:rFonts w:cs="Arial"/>
        </w:rPr>
        <w:t xml:space="preserve">no </w:t>
      </w:r>
      <w:proofErr w:type="spellStart"/>
      <w:r w:rsidRPr="006B73A1">
        <w:rPr>
          <w:rFonts w:cs="Arial"/>
        </w:rPr>
        <w:t>DLT</w:t>
      </w:r>
      <w:r>
        <w:rPr>
          <w:rFonts w:cs="Arial"/>
        </w:rPr>
        <w:t>s</w:t>
      </w:r>
      <w:proofErr w:type="spellEnd"/>
      <w:r w:rsidRPr="006B73A1">
        <w:rPr>
          <w:rFonts w:cs="Arial"/>
        </w:rPr>
        <w:t xml:space="preserve"> </w:t>
      </w:r>
      <w:r w:rsidRPr="008155CA">
        <w:rPr>
          <w:rFonts w:cs="Arial"/>
        </w:rPr>
        <w:t xml:space="preserve">and no treatment-related AEs </w:t>
      </w:r>
      <w:r w:rsidRPr="006B73A1">
        <w:rPr>
          <w:rFonts w:cs="Arial"/>
        </w:rPr>
        <w:t>prior to withdrawal</w:t>
      </w:r>
      <w:r>
        <w:rPr>
          <w:rFonts w:cs="Arial"/>
        </w:rPr>
        <w:t xml:space="preserve"> </w:t>
      </w:r>
      <w:r w:rsidRPr="006B73A1">
        <w:rPr>
          <w:rFonts w:cs="Arial"/>
        </w:rPr>
        <w:t>on</w:t>
      </w:r>
      <w:r>
        <w:rPr>
          <w:rFonts w:cs="Arial"/>
        </w:rPr>
        <w:t xml:space="preserve"> </w:t>
      </w:r>
      <w:r w:rsidRPr="006B73A1">
        <w:rPr>
          <w:rFonts w:cs="Arial"/>
        </w:rPr>
        <w:t>Cycle 1</w:t>
      </w:r>
      <w:r>
        <w:rPr>
          <w:rFonts w:cs="Arial"/>
        </w:rPr>
        <w:t>,</w:t>
      </w:r>
      <w:r w:rsidRPr="00D137DB">
        <w:rPr>
          <w:rFonts w:cs="Arial"/>
        </w:rPr>
        <w:t xml:space="preserve"> </w:t>
      </w:r>
      <w:r w:rsidRPr="006B73A1">
        <w:rPr>
          <w:rFonts w:cs="Arial"/>
        </w:rPr>
        <w:t>Day 15</w:t>
      </w:r>
      <w:r>
        <w:rPr>
          <w:rFonts w:cs="Arial"/>
        </w:rPr>
        <w:t>. F</w:t>
      </w:r>
      <w:r w:rsidRPr="00EE2598">
        <w:rPr>
          <w:rFonts w:cs="Arial"/>
        </w:rPr>
        <w:t>ive (</w:t>
      </w:r>
      <w:r>
        <w:rPr>
          <w:rFonts w:cs="Arial"/>
        </w:rPr>
        <w:t>5·8</w:t>
      </w:r>
      <w:r w:rsidRPr="00EE2598">
        <w:rPr>
          <w:rFonts w:cs="Arial"/>
        </w:rPr>
        <w:t>%</w:t>
      </w:r>
      <w:r>
        <w:rPr>
          <w:rFonts w:cs="Arial"/>
        </w:rPr>
        <w:t xml:space="preserve">) of 86 patients </w:t>
      </w:r>
      <w:r w:rsidRPr="00EE2598">
        <w:rPr>
          <w:rFonts w:cs="Arial"/>
        </w:rPr>
        <w:t xml:space="preserve">reported eight </w:t>
      </w:r>
      <w:proofErr w:type="spellStart"/>
      <w:r w:rsidRPr="00EE2598">
        <w:rPr>
          <w:rFonts w:cs="Arial"/>
        </w:rPr>
        <w:t>DLTs</w:t>
      </w:r>
      <w:proofErr w:type="spellEnd"/>
      <w:r>
        <w:rPr>
          <w:rFonts w:cs="Arial"/>
        </w:rPr>
        <w:t xml:space="preserve"> in total</w:t>
      </w:r>
      <w:r w:rsidRPr="00EE2598">
        <w:rPr>
          <w:rFonts w:cs="Arial"/>
        </w:rPr>
        <w:t xml:space="preserve">. </w:t>
      </w:r>
      <w:r>
        <w:rPr>
          <w:rFonts w:cs="Arial"/>
        </w:rPr>
        <w:t>O</w:t>
      </w:r>
      <w:r w:rsidRPr="00EE2598">
        <w:rPr>
          <w:rFonts w:cs="Arial"/>
        </w:rPr>
        <w:t xml:space="preserve">ne </w:t>
      </w:r>
      <w:r>
        <w:rPr>
          <w:rFonts w:cs="Arial"/>
        </w:rPr>
        <w:t xml:space="preserve">cHL </w:t>
      </w:r>
      <w:r w:rsidRPr="00EE2598">
        <w:rPr>
          <w:rFonts w:cs="Arial"/>
        </w:rPr>
        <w:t xml:space="preserve">patient treated at 20 µg/kg had </w:t>
      </w:r>
      <w:proofErr w:type="spellStart"/>
      <w:r w:rsidRPr="00EE2598">
        <w:rPr>
          <w:rFonts w:cs="Arial"/>
        </w:rPr>
        <w:t>DLTs</w:t>
      </w:r>
      <w:proofErr w:type="spellEnd"/>
      <w:r w:rsidRPr="00EE2598">
        <w:rPr>
          <w:rFonts w:cs="Arial"/>
        </w:rPr>
        <w:t xml:space="preserve"> of small bowel enteritis and oral mucositis, both Grade 3</w:t>
      </w:r>
      <w:r>
        <w:rPr>
          <w:rFonts w:cs="Arial"/>
        </w:rPr>
        <w:t xml:space="preserve">; </w:t>
      </w:r>
      <w:r w:rsidRPr="00EE2598">
        <w:rPr>
          <w:rFonts w:cs="Arial"/>
        </w:rPr>
        <w:t xml:space="preserve">two </w:t>
      </w:r>
      <w:r>
        <w:rPr>
          <w:rFonts w:cs="Arial"/>
        </w:rPr>
        <w:t xml:space="preserve">cHL </w:t>
      </w:r>
      <w:r w:rsidRPr="00EE2598">
        <w:rPr>
          <w:rFonts w:cs="Arial"/>
        </w:rPr>
        <w:t xml:space="preserve">patients treated at 30 µg/kg experienced </w:t>
      </w:r>
      <w:proofErr w:type="spellStart"/>
      <w:r w:rsidRPr="00EE2598">
        <w:rPr>
          <w:rFonts w:cs="Arial"/>
        </w:rPr>
        <w:t>DLTs</w:t>
      </w:r>
      <w:proofErr w:type="spellEnd"/>
      <w:r>
        <w:rPr>
          <w:rFonts w:cs="Arial"/>
        </w:rPr>
        <w:t xml:space="preserve"> of </w:t>
      </w:r>
      <w:r w:rsidRPr="00EE2598">
        <w:rPr>
          <w:rFonts w:cs="Arial"/>
        </w:rPr>
        <w:t xml:space="preserve">Grade 3 elevated creatine phosphokinase and Grade 3 skin-related </w:t>
      </w:r>
      <w:proofErr w:type="spellStart"/>
      <w:r w:rsidRPr="003F2394">
        <w:rPr>
          <w:rFonts w:cs="Arial"/>
        </w:rPr>
        <w:t>DLT</w:t>
      </w:r>
      <w:proofErr w:type="spellEnd"/>
      <w:r w:rsidRPr="003F2394">
        <w:rPr>
          <w:rFonts w:cs="Arial"/>
        </w:rPr>
        <w:t xml:space="preserve"> (pruritus</w:t>
      </w:r>
      <w:r w:rsidRPr="00640BC5">
        <w:rPr>
          <w:rFonts w:cs="Arial"/>
        </w:rPr>
        <w:t xml:space="preserve"> and maculopapular</w:t>
      </w:r>
      <w:r w:rsidRPr="00EE2598">
        <w:rPr>
          <w:rFonts w:cs="Arial"/>
        </w:rPr>
        <w:t xml:space="preserve"> rash</w:t>
      </w:r>
      <w:r>
        <w:rPr>
          <w:rFonts w:cs="Arial"/>
        </w:rPr>
        <w:t xml:space="preserve">), respectively; one </w:t>
      </w:r>
      <w:r w:rsidRPr="00EE2598">
        <w:rPr>
          <w:rFonts w:cs="Arial"/>
        </w:rPr>
        <w:t>NHL patient treated at 45</w:t>
      </w:r>
      <w:r>
        <w:rPr>
          <w:rFonts w:cs="Arial"/>
        </w:rPr>
        <w:t> </w:t>
      </w:r>
      <w:r w:rsidRPr="00EE2598">
        <w:rPr>
          <w:rFonts w:cs="Arial"/>
        </w:rPr>
        <w:t xml:space="preserve">µg/kg had Grade 3 </w:t>
      </w:r>
      <w:proofErr w:type="spellStart"/>
      <w:r w:rsidRPr="00EE2598">
        <w:rPr>
          <w:rFonts w:cs="Arial"/>
        </w:rPr>
        <w:t>DLTs</w:t>
      </w:r>
      <w:proofErr w:type="spellEnd"/>
      <w:r w:rsidRPr="00EE2598">
        <w:rPr>
          <w:rFonts w:cs="Arial"/>
        </w:rPr>
        <w:t xml:space="preserve"> of herpes infection and worsening back pain</w:t>
      </w:r>
      <w:r>
        <w:rPr>
          <w:rFonts w:cs="Arial"/>
        </w:rPr>
        <w:t xml:space="preserve">; </w:t>
      </w:r>
      <w:r w:rsidRPr="00EE2598">
        <w:rPr>
          <w:rFonts w:cs="Arial"/>
        </w:rPr>
        <w:t xml:space="preserve">and one </w:t>
      </w:r>
      <w:r>
        <w:rPr>
          <w:rFonts w:cs="Arial"/>
        </w:rPr>
        <w:t xml:space="preserve">NHL </w:t>
      </w:r>
      <w:r w:rsidRPr="00EE2598">
        <w:rPr>
          <w:rFonts w:cs="Arial"/>
        </w:rPr>
        <w:t>patient treated at 80 µg/kg had Grade 4 platelet count decrease</w:t>
      </w:r>
      <w:r>
        <w:rPr>
          <w:rFonts w:cs="Arial"/>
        </w:rPr>
        <w:t>d.</w:t>
      </w:r>
      <w:r w:rsidRPr="00EE2598">
        <w:rPr>
          <w:rFonts w:cs="Arial"/>
        </w:rPr>
        <w:t xml:space="preserve"> All </w:t>
      </w:r>
      <w:proofErr w:type="spellStart"/>
      <w:r w:rsidRPr="00EE2598">
        <w:rPr>
          <w:rFonts w:cs="Arial"/>
        </w:rPr>
        <w:t>DLTs</w:t>
      </w:r>
      <w:proofErr w:type="spellEnd"/>
      <w:r w:rsidRPr="00EE2598">
        <w:rPr>
          <w:rFonts w:cs="Arial"/>
        </w:rPr>
        <w:t xml:space="preserve"> were considered at least possibly related to study drug and all resolved. </w:t>
      </w:r>
    </w:p>
    <w:p w14:paraId="6AE68F32" w14:textId="43B0A3F9" w:rsidR="00830F07" w:rsidRPr="00EE2598" w:rsidRDefault="00830F07" w:rsidP="0031288A">
      <w:pPr>
        <w:rPr>
          <w:rFonts w:cs="Arial"/>
        </w:rPr>
      </w:pPr>
      <w:r>
        <w:rPr>
          <w:rFonts w:cs="Arial"/>
        </w:rPr>
        <w:t xml:space="preserve">The </w:t>
      </w:r>
      <w:proofErr w:type="spellStart"/>
      <w:r w:rsidRPr="00EE2598">
        <w:rPr>
          <w:rFonts w:cs="Arial"/>
        </w:rPr>
        <w:t>MTD</w:t>
      </w:r>
      <w:proofErr w:type="spellEnd"/>
      <w:r w:rsidRPr="00EE2598">
        <w:rPr>
          <w:rFonts w:cs="Arial"/>
        </w:rPr>
        <w:t xml:space="preserve"> was not reached</w:t>
      </w:r>
      <w:r>
        <w:rPr>
          <w:rFonts w:cs="Arial"/>
        </w:rPr>
        <w:t xml:space="preserve">. </w:t>
      </w:r>
      <w:r w:rsidRPr="001D4B07">
        <w:rPr>
          <w:rFonts w:cs="Arial"/>
        </w:rPr>
        <w:t xml:space="preserve">Given the balance between toxicity and antitumor activity observed at the </w:t>
      </w:r>
      <w:proofErr w:type="spellStart"/>
      <w:r>
        <w:rPr>
          <w:rFonts w:cs="Arial"/>
        </w:rPr>
        <w:t>RDE</w:t>
      </w:r>
      <w:proofErr w:type="spellEnd"/>
      <w:r>
        <w:rPr>
          <w:rFonts w:cs="Arial"/>
        </w:rPr>
        <w:t xml:space="preserve">, dose </w:t>
      </w:r>
      <w:r w:rsidRPr="001D4B07">
        <w:rPr>
          <w:rFonts w:cs="Arial"/>
        </w:rPr>
        <w:t>escalat</w:t>
      </w:r>
      <w:r>
        <w:rPr>
          <w:rFonts w:cs="Arial"/>
        </w:rPr>
        <w:t>ion beyond</w:t>
      </w:r>
      <w:r w:rsidRPr="001D4B07">
        <w:rPr>
          <w:rFonts w:cs="Arial"/>
        </w:rPr>
        <w:t xml:space="preserve"> 150 μg/kg had the potential to </w:t>
      </w:r>
      <w:r>
        <w:rPr>
          <w:rFonts w:cs="Arial"/>
        </w:rPr>
        <w:t>cause</w:t>
      </w:r>
      <w:r w:rsidRPr="001D4B07">
        <w:rPr>
          <w:rFonts w:cs="Arial"/>
        </w:rPr>
        <w:t xml:space="preserve"> more toxicity </w:t>
      </w:r>
      <w:r>
        <w:rPr>
          <w:rFonts w:cs="Arial"/>
        </w:rPr>
        <w:t xml:space="preserve">with repeated dosing </w:t>
      </w:r>
      <w:r w:rsidRPr="001D4B07">
        <w:rPr>
          <w:rFonts w:cs="Arial"/>
        </w:rPr>
        <w:t xml:space="preserve">without increasing antitumor activity, thus it was decided to stop dose escalation despite absence of a defined </w:t>
      </w:r>
      <w:proofErr w:type="spellStart"/>
      <w:r w:rsidRPr="001D4B07">
        <w:rPr>
          <w:rFonts w:cs="Arial"/>
        </w:rPr>
        <w:t>MTD</w:t>
      </w:r>
      <w:proofErr w:type="spellEnd"/>
      <w:r w:rsidRPr="001D4B07">
        <w:rPr>
          <w:rFonts w:cs="Arial"/>
        </w:rPr>
        <w:t>.</w:t>
      </w:r>
      <w:r>
        <w:rPr>
          <w:rFonts w:cs="Arial"/>
        </w:rPr>
        <w:t xml:space="preserve"> The </w:t>
      </w:r>
      <w:proofErr w:type="spellStart"/>
      <w:r>
        <w:rPr>
          <w:rFonts w:cs="Arial"/>
        </w:rPr>
        <w:t>RDE</w:t>
      </w:r>
      <w:proofErr w:type="spellEnd"/>
      <w:r w:rsidRPr="00EE2598">
        <w:rPr>
          <w:rFonts w:cs="Arial"/>
        </w:rPr>
        <w:t xml:space="preserve"> </w:t>
      </w:r>
      <w:r>
        <w:rPr>
          <w:rFonts w:cs="Arial"/>
        </w:rPr>
        <w:t xml:space="preserve">were </w:t>
      </w:r>
      <w:r w:rsidRPr="00EE2598">
        <w:rPr>
          <w:rFonts w:cs="Arial"/>
        </w:rPr>
        <w:t>based on safety</w:t>
      </w:r>
      <w:r>
        <w:rPr>
          <w:rFonts w:cs="Arial"/>
        </w:rPr>
        <w:t xml:space="preserve"> with multiple doses</w:t>
      </w:r>
      <w:r w:rsidRPr="00EE2598">
        <w:rPr>
          <w:rFonts w:cs="Arial"/>
        </w:rPr>
        <w:t xml:space="preserve">, </w:t>
      </w:r>
      <w:r>
        <w:rPr>
          <w:rFonts w:cs="Arial"/>
        </w:rPr>
        <w:t>PK</w:t>
      </w:r>
      <w:r w:rsidRPr="00EE2598">
        <w:rPr>
          <w:rFonts w:cs="Arial"/>
        </w:rPr>
        <w:t>, and efficacy data</w:t>
      </w:r>
      <w:r>
        <w:rPr>
          <w:rFonts w:cs="Arial"/>
        </w:rPr>
        <w:t xml:space="preserve">, and were </w:t>
      </w:r>
      <w:r w:rsidRPr="00D94DE4">
        <w:rPr>
          <w:rFonts w:cs="Arial"/>
        </w:rPr>
        <w:t xml:space="preserve">30 µg/kg and 45 µg/kg for patients with </w:t>
      </w:r>
      <w:r>
        <w:rPr>
          <w:rFonts w:cs="Arial"/>
        </w:rPr>
        <w:t>c</w:t>
      </w:r>
      <w:r w:rsidRPr="00D94DE4">
        <w:rPr>
          <w:rFonts w:cs="Arial"/>
        </w:rPr>
        <w:t>HL and 80 µg/kg for patients with T-</w:t>
      </w:r>
      <w:r>
        <w:rPr>
          <w:rFonts w:cs="Arial"/>
        </w:rPr>
        <w:t xml:space="preserve">NHL. No </w:t>
      </w:r>
      <w:proofErr w:type="spellStart"/>
      <w:r>
        <w:rPr>
          <w:rFonts w:cs="Arial"/>
        </w:rPr>
        <w:t>RDE</w:t>
      </w:r>
      <w:proofErr w:type="spellEnd"/>
      <w:r>
        <w:rPr>
          <w:rFonts w:cs="Arial"/>
        </w:rPr>
        <w:t xml:space="preserve"> were defined for B-NHL</w:t>
      </w:r>
      <w:r w:rsidRPr="00EE2598">
        <w:rPr>
          <w:rFonts w:cs="Arial"/>
        </w:rPr>
        <w:t>.</w:t>
      </w:r>
      <w:r>
        <w:rPr>
          <w:rFonts w:cs="Arial"/>
        </w:rPr>
        <w:t xml:space="preserve"> </w:t>
      </w:r>
    </w:p>
    <w:p w14:paraId="518CAF7B" w14:textId="03A8B3E0" w:rsidR="00830F07" w:rsidRDefault="00830F07" w:rsidP="0031288A">
      <w:pPr>
        <w:rPr>
          <w:rFonts w:cs="Arial"/>
          <w:bCs/>
        </w:rPr>
      </w:pPr>
      <w:r w:rsidRPr="00EE2598">
        <w:rPr>
          <w:rFonts w:cs="Arial"/>
        </w:rPr>
        <w:t>Overall, 132 (99</w:t>
      </w:r>
      <w:r>
        <w:rPr>
          <w:rFonts w:cs="Arial"/>
        </w:rPr>
        <w:t>·</w:t>
      </w:r>
      <w:r w:rsidRPr="00EE2598">
        <w:rPr>
          <w:rFonts w:cs="Arial"/>
        </w:rPr>
        <w:t xml:space="preserve">2%) </w:t>
      </w:r>
      <w:r>
        <w:rPr>
          <w:rFonts w:cs="Arial"/>
        </w:rPr>
        <w:t xml:space="preserve">of 133 </w:t>
      </w:r>
      <w:r w:rsidRPr="00EE2598">
        <w:rPr>
          <w:rFonts w:cs="Arial"/>
        </w:rPr>
        <w:t>patients experienced a TEAE of any grade</w:t>
      </w:r>
      <w:r w:rsidRPr="00EE2598">
        <w:rPr>
          <w:rFonts w:cs="Arial"/>
          <w:b/>
        </w:rPr>
        <w:t xml:space="preserve"> </w:t>
      </w:r>
      <w:r w:rsidRPr="00EE2598">
        <w:rPr>
          <w:rFonts w:cs="Arial"/>
        </w:rPr>
        <w:t>(</w:t>
      </w:r>
      <w:r w:rsidRPr="00EE2598">
        <w:rPr>
          <w:rFonts w:cs="Arial"/>
          <w:b/>
        </w:rPr>
        <w:t xml:space="preserve">Table </w:t>
      </w:r>
      <w:r w:rsidRPr="00EE2598">
        <w:rPr>
          <w:rFonts w:cs="Arial"/>
          <w:b/>
        </w:rPr>
        <w:t>S</w:t>
      </w:r>
      <w:r>
        <w:rPr>
          <w:rFonts w:cs="Arial"/>
          <w:b/>
        </w:rPr>
        <w:t xml:space="preserve">2 </w:t>
      </w:r>
      <w:r>
        <w:rPr>
          <w:rFonts w:cs="Arial"/>
          <w:bCs/>
        </w:rPr>
        <w:t>appendix p4</w:t>
      </w:r>
      <w:r w:rsidRPr="00EE2598">
        <w:rPr>
          <w:rFonts w:cs="Arial"/>
        </w:rPr>
        <w:t xml:space="preserve">). </w:t>
      </w:r>
      <w:r>
        <w:rPr>
          <w:rFonts w:cs="Arial"/>
        </w:rPr>
        <w:t xml:space="preserve">TEAEs are shown by grade in </w:t>
      </w:r>
      <w:r w:rsidRPr="00EE2598">
        <w:rPr>
          <w:rFonts w:cs="Arial"/>
          <w:b/>
        </w:rPr>
        <w:t>Table 2</w:t>
      </w:r>
      <w:r>
        <w:rPr>
          <w:rFonts w:cs="Arial"/>
          <w:b/>
        </w:rPr>
        <w:t xml:space="preserve">. </w:t>
      </w:r>
      <w:r w:rsidRPr="00EE2598">
        <w:rPr>
          <w:rFonts w:cs="Arial"/>
        </w:rPr>
        <w:t xml:space="preserve">The most common </w:t>
      </w:r>
      <w:r>
        <w:rPr>
          <w:rFonts w:cs="Arial"/>
        </w:rPr>
        <w:t xml:space="preserve">all-grade </w:t>
      </w:r>
      <w:r w:rsidRPr="00EE2598">
        <w:rPr>
          <w:rFonts w:cs="Arial"/>
        </w:rPr>
        <w:t>TEAEs (≥20% of patients)</w:t>
      </w:r>
      <w:r>
        <w:rPr>
          <w:rFonts w:cs="Arial"/>
        </w:rPr>
        <w:t xml:space="preserve"> </w:t>
      </w:r>
      <w:r w:rsidRPr="00EE2598">
        <w:rPr>
          <w:rFonts w:cs="Arial"/>
        </w:rPr>
        <w:t>included</w:t>
      </w:r>
      <w:r w:rsidRPr="00EE2598">
        <w:rPr>
          <w:rFonts w:cs="Arial"/>
          <w:b/>
        </w:rPr>
        <w:t xml:space="preserve"> </w:t>
      </w:r>
      <w:r w:rsidRPr="00EE2598">
        <w:rPr>
          <w:rFonts w:cs="Arial"/>
        </w:rPr>
        <w:t>fatigue, pyrexia, maculopapular rash, diarrhea, cough, gamma-glutamyltransferase (</w:t>
      </w:r>
      <w:proofErr w:type="spellStart"/>
      <w:r w:rsidRPr="00EE2598">
        <w:rPr>
          <w:rFonts w:cs="Arial"/>
        </w:rPr>
        <w:t>GGT</w:t>
      </w:r>
      <w:proofErr w:type="spellEnd"/>
      <w:r w:rsidRPr="00EE2598">
        <w:rPr>
          <w:rFonts w:cs="Arial"/>
        </w:rPr>
        <w:t>) increase, nausea, and anemia</w:t>
      </w:r>
      <w:r>
        <w:rPr>
          <w:rFonts w:cs="Arial"/>
        </w:rPr>
        <w:t xml:space="preserve"> </w:t>
      </w:r>
      <w:r>
        <w:t>(</w:t>
      </w:r>
      <w:r w:rsidRPr="00EE2598">
        <w:rPr>
          <w:rFonts w:cs="Arial"/>
          <w:b/>
        </w:rPr>
        <w:t xml:space="preserve">Table </w:t>
      </w:r>
      <w:r w:rsidRPr="00EE2598">
        <w:rPr>
          <w:rFonts w:cs="Arial"/>
          <w:b/>
        </w:rPr>
        <w:t>S</w:t>
      </w:r>
      <w:r>
        <w:rPr>
          <w:rFonts w:cs="Arial"/>
          <w:b/>
        </w:rPr>
        <w:t>3</w:t>
      </w:r>
      <w:r w:rsidRPr="002C474A">
        <w:rPr>
          <w:rFonts w:cs="Arial"/>
          <w:bCs/>
        </w:rPr>
        <w:t xml:space="preserve"> </w:t>
      </w:r>
      <w:r>
        <w:rPr>
          <w:rFonts w:cs="Arial"/>
          <w:bCs/>
        </w:rPr>
        <w:t>appendix p5</w:t>
      </w:r>
      <w:r w:rsidRPr="001947B4">
        <w:rPr>
          <w:rFonts w:cs="Arial"/>
          <w:bCs/>
        </w:rPr>
        <w:t>)</w:t>
      </w:r>
      <w:r w:rsidRPr="007564AA">
        <w:rPr>
          <w:rFonts w:cs="Arial"/>
          <w:bCs/>
        </w:rPr>
        <w:t>.</w:t>
      </w:r>
    </w:p>
    <w:p w14:paraId="1D34E9D6" w14:textId="53F588C2" w:rsidR="00830F07" w:rsidRPr="00EE2598" w:rsidRDefault="00830F07" w:rsidP="0031288A">
      <w:pPr>
        <w:rPr>
          <w:rFonts w:cs="Arial"/>
        </w:rPr>
      </w:pPr>
      <w:r w:rsidRPr="007A4E86">
        <w:rPr>
          <w:rFonts w:cs="Arial"/>
        </w:rPr>
        <w:lastRenderedPageBreak/>
        <w:t>Grade ≥3 TEAEs occurred in 102 (76·7%) of 133 patients, most</w:t>
      </w:r>
      <w:r w:rsidRPr="00EE2598">
        <w:rPr>
          <w:rFonts w:cs="Arial"/>
        </w:rPr>
        <w:t xml:space="preserve"> commonly (≥10%) </w:t>
      </w:r>
      <w:proofErr w:type="spellStart"/>
      <w:r w:rsidRPr="00EE2598">
        <w:rPr>
          <w:rFonts w:cs="Arial"/>
        </w:rPr>
        <w:t>GGT</w:t>
      </w:r>
      <w:proofErr w:type="spellEnd"/>
      <w:r w:rsidRPr="00EE2598">
        <w:rPr>
          <w:rFonts w:cs="Arial"/>
        </w:rPr>
        <w:t xml:space="preserve"> increased </w:t>
      </w:r>
      <w:r>
        <w:rPr>
          <w:rFonts w:cs="Arial"/>
        </w:rPr>
        <w:t>(20 [</w:t>
      </w:r>
      <w:r w:rsidRPr="00EE2598">
        <w:rPr>
          <w:rFonts w:cs="Arial"/>
        </w:rPr>
        <w:t>15</w:t>
      </w:r>
      <w:bookmarkStart w:id="21" w:name="_Hlk62135293"/>
      <w:r>
        <w:rPr>
          <w:rFonts w:cs="Arial"/>
        </w:rPr>
        <w:t>·</w:t>
      </w:r>
      <w:bookmarkEnd w:id="21"/>
      <w:r w:rsidRPr="00EE2598">
        <w:rPr>
          <w:rFonts w:cs="Arial"/>
        </w:rPr>
        <w:t>0%</w:t>
      </w:r>
      <w:r>
        <w:rPr>
          <w:rFonts w:cs="Arial"/>
        </w:rPr>
        <w:t>] patients)</w:t>
      </w:r>
      <w:r w:rsidRPr="00EE2598">
        <w:rPr>
          <w:rFonts w:cs="Arial"/>
        </w:rPr>
        <w:t xml:space="preserve">, maculopapular rash </w:t>
      </w:r>
      <w:r>
        <w:rPr>
          <w:rFonts w:cs="Arial"/>
        </w:rPr>
        <w:t>(16 [</w:t>
      </w:r>
      <w:r w:rsidRPr="00EE2598">
        <w:rPr>
          <w:rFonts w:cs="Arial"/>
        </w:rPr>
        <w:t>12</w:t>
      </w:r>
      <w:r>
        <w:rPr>
          <w:rFonts w:cs="Arial"/>
        </w:rPr>
        <w:t>·</w:t>
      </w:r>
      <w:r w:rsidRPr="00EE2598">
        <w:rPr>
          <w:rFonts w:cs="Arial"/>
        </w:rPr>
        <w:t>0%</w:t>
      </w:r>
      <w:r>
        <w:rPr>
          <w:rFonts w:cs="Arial"/>
        </w:rPr>
        <w:t>] patients</w:t>
      </w:r>
      <w:r w:rsidRPr="00EE2598">
        <w:rPr>
          <w:rFonts w:cs="Arial"/>
        </w:rPr>
        <w:t>)</w:t>
      </w:r>
      <w:r>
        <w:rPr>
          <w:rFonts w:cs="Arial"/>
        </w:rPr>
        <w:t>,</w:t>
      </w:r>
      <w:r w:rsidRPr="00EE2598">
        <w:rPr>
          <w:rFonts w:cs="Arial"/>
        </w:rPr>
        <w:t xml:space="preserve"> and anemia </w:t>
      </w:r>
      <w:r>
        <w:rPr>
          <w:rFonts w:cs="Arial"/>
        </w:rPr>
        <w:t>(15 [</w:t>
      </w:r>
      <w:r w:rsidRPr="00EE2598">
        <w:rPr>
          <w:rFonts w:cs="Arial"/>
        </w:rPr>
        <w:t>11</w:t>
      </w:r>
      <w:r>
        <w:rPr>
          <w:rFonts w:cs="Arial"/>
        </w:rPr>
        <w:t>·</w:t>
      </w:r>
      <w:r w:rsidRPr="00EE2598">
        <w:rPr>
          <w:rFonts w:cs="Arial"/>
        </w:rPr>
        <w:t>3%</w:t>
      </w:r>
      <w:r>
        <w:rPr>
          <w:rFonts w:cs="Arial"/>
        </w:rPr>
        <w:t>] patients</w:t>
      </w:r>
      <w:r w:rsidRPr="00EE2598">
        <w:rPr>
          <w:rFonts w:cs="Arial"/>
        </w:rPr>
        <w:t>)</w:t>
      </w:r>
      <w:r>
        <w:rPr>
          <w:rFonts w:cs="Arial"/>
        </w:rPr>
        <w:t xml:space="preserve"> </w:t>
      </w:r>
      <w:r w:rsidRPr="00EE2598">
        <w:rPr>
          <w:rFonts w:cs="Arial"/>
        </w:rPr>
        <w:t>(</w:t>
      </w:r>
      <w:r w:rsidRPr="00EE2598">
        <w:rPr>
          <w:rFonts w:cs="Arial"/>
          <w:b/>
        </w:rPr>
        <w:t xml:space="preserve">Table </w:t>
      </w:r>
      <w:r w:rsidRPr="00EE2598">
        <w:rPr>
          <w:rFonts w:cs="Arial"/>
          <w:b/>
        </w:rPr>
        <w:t>S</w:t>
      </w:r>
      <w:r>
        <w:rPr>
          <w:rFonts w:cs="Arial"/>
          <w:b/>
        </w:rPr>
        <w:t>4</w:t>
      </w:r>
      <w:r w:rsidRPr="002C474A">
        <w:rPr>
          <w:rFonts w:cs="Arial"/>
          <w:bCs/>
        </w:rPr>
        <w:t xml:space="preserve"> </w:t>
      </w:r>
      <w:r>
        <w:rPr>
          <w:rFonts w:cs="Arial"/>
          <w:bCs/>
        </w:rPr>
        <w:t>appendix p7</w:t>
      </w:r>
      <w:r w:rsidRPr="007A3C63">
        <w:rPr>
          <w:rFonts w:cs="Arial"/>
          <w:bCs/>
        </w:rPr>
        <w:t>)</w:t>
      </w:r>
      <w:r w:rsidRPr="00EE2598">
        <w:rPr>
          <w:rFonts w:cs="Arial"/>
        </w:rPr>
        <w:t>, and 74 (55</w:t>
      </w:r>
      <w:r>
        <w:rPr>
          <w:rFonts w:cs="Arial"/>
        </w:rPr>
        <w:t>·</w:t>
      </w:r>
      <w:r w:rsidRPr="00EE2598">
        <w:rPr>
          <w:rFonts w:cs="Arial"/>
        </w:rPr>
        <w:t xml:space="preserve">6%) patients experienced serious TEAEs, most commonly pyrexia </w:t>
      </w:r>
      <w:r>
        <w:rPr>
          <w:rFonts w:cs="Arial"/>
        </w:rPr>
        <w:t>(16 [</w:t>
      </w:r>
      <w:r w:rsidRPr="00EE2598">
        <w:rPr>
          <w:rFonts w:cs="Arial"/>
        </w:rPr>
        <w:t>12</w:t>
      </w:r>
      <w:r>
        <w:rPr>
          <w:rFonts w:cs="Arial"/>
        </w:rPr>
        <w:t>·</w:t>
      </w:r>
      <w:r w:rsidRPr="00EE2598">
        <w:rPr>
          <w:rFonts w:cs="Arial"/>
        </w:rPr>
        <w:t>0%</w:t>
      </w:r>
      <w:r>
        <w:rPr>
          <w:rFonts w:cs="Arial"/>
        </w:rPr>
        <w:t xml:space="preserve">] patients) </w:t>
      </w:r>
      <w:r w:rsidRPr="00EE2598">
        <w:rPr>
          <w:rFonts w:cs="Arial"/>
        </w:rPr>
        <w:t>(</w:t>
      </w:r>
      <w:r w:rsidRPr="00EE2598">
        <w:rPr>
          <w:rFonts w:cs="Arial"/>
          <w:b/>
        </w:rPr>
        <w:t xml:space="preserve">Table </w:t>
      </w:r>
      <w:r w:rsidRPr="00EE2598">
        <w:rPr>
          <w:rFonts w:cs="Arial"/>
          <w:b/>
        </w:rPr>
        <w:t>S</w:t>
      </w:r>
      <w:r>
        <w:rPr>
          <w:rFonts w:cs="Arial"/>
          <w:b/>
        </w:rPr>
        <w:t>5</w:t>
      </w:r>
      <w:r w:rsidRPr="002C474A">
        <w:rPr>
          <w:rFonts w:cs="Arial"/>
          <w:bCs/>
        </w:rPr>
        <w:t xml:space="preserve"> </w:t>
      </w:r>
      <w:r>
        <w:rPr>
          <w:rFonts w:cs="Arial"/>
          <w:bCs/>
        </w:rPr>
        <w:t>appendix p9</w:t>
      </w:r>
      <w:r w:rsidRPr="00EE2598">
        <w:rPr>
          <w:rFonts w:cs="Arial"/>
        </w:rPr>
        <w:t xml:space="preserve">). </w:t>
      </w:r>
      <w:r w:rsidRPr="002E11CD">
        <w:rPr>
          <w:rFonts w:cs="Arial"/>
        </w:rPr>
        <w:t xml:space="preserve">In both cHL and NHL cohorts, </w:t>
      </w:r>
      <w:r>
        <w:rPr>
          <w:rFonts w:cs="Arial"/>
        </w:rPr>
        <w:t>&lt;</w:t>
      </w:r>
      <w:r w:rsidRPr="002E11CD">
        <w:rPr>
          <w:rFonts w:cs="Arial"/>
        </w:rPr>
        <w:t>10% of patients experienced hematological events of thrombocytopenia and neutropenia, and only 1</w:t>
      </w:r>
      <w:r>
        <w:rPr>
          <w:rFonts w:cs="Arial"/>
        </w:rPr>
        <w:t>/</w:t>
      </w:r>
      <w:r w:rsidRPr="002E11CD">
        <w:rPr>
          <w:rFonts w:cs="Arial"/>
        </w:rPr>
        <w:t xml:space="preserve">133 patients had leukopenia (Grade 1; </w:t>
      </w:r>
      <w:r w:rsidRPr="008F09B2">
        <w:rPr>
          <w:rFonts w:cs="Arial"/>
          <w:b/>
          <w:bCs/>
        </w:rPr>
        <w:t xml:space="preserve">Table </w:t>
      </w:r>
      <w:r w:rsidRPr="008F09B2">
        <w:rPr>
          <w:rFonts w:cs="Arial"/>
          <w:b/>
          <w:bCs/>
        </w:rPr>
        <w:t>S</w:t>
      </w:r>
      <w:r>
        <w:rPr>
          <w:rFonts w:cs="Arial"/>
          <w:b/>
          <w:bCs/>
        </w:rPr>
        <w:t>6</w:t>
      </w:r>
      <w:r w:rsidRPr="002C474A">
        <w:rPr>
          <w:rFonts w:cs="Arial"/>
          <w:bCs/>
        </w:rPr>
        <w:t xml:space="preserve"> </w:t>
      </w:r>
      <w:r>
        <w:rPr>
          <w:rFonts w:cs="Arial"/>
          <w:bCs/>
        </w:rPr>
        <w:t>appendix p11</w:t>
      </w:r>
      <w:r w:rsidRPr="002E11CD">
        <w:rPr>
          <w:rFonts w:cs="Arial"/>
        </w:rPr>
        <w:t>)</w:t>
      </w:r>
      <w:r>
        <w:rPr>
          <w:rFonts w:cs="Arial"/>
        </w:rPr>
        <w:t>.</w:t>
      </w:r>
    </w:p>
    <w:p w14:paraId="11FB7CA7" w14:textId="09885350" w:rsidR="00830F07" w:rsidRPr="00EE2598" w:rsidRDefault="00830F07" w:rsidP="0031288A">
      <w:pPr>
        <w:rPr>
          <w:rFonts w:cs="Arial"/>
        </w:rPr>
      </w:pPr>
      <w:bookmarkStart w:id="22" w:name="_Hlk43316834"/>
      <w:r w:rsidRPr="00D840D8">
        <w:rPr>
          <w:rFonts w:cs="Arial"/>
        </w:rPr>
        <w:t>Fifteen patients (11</w:t>
      </w:r>
      <w:r>
        <w:rPr>
          <w:rFonts w:cs="Arial"/>
        </w:rPr>
        <w:t>·</w:t>
      </w:r>
      <w:r w:rsidRPr="00D840D8">
        <w:rPr>
          <w:rFonts w:cs="Arial"/>
        </w:rPr>
        <w:t>3%) had TEAEs with a fatal outcome</w:t>
      </w:r>
      <w:r>
        <w:rPr>
          <w:rFonts w:cs="Arial"/>
        </w:rPr>
        <w:t xml:space="preserve">, </w:t>
      </w:r>
      <w:bookmarkStart w:id="23" w:name="_Hlk44425887"/>
      <w:r>
        <w:rPr>
          <w:rFonts w:cs="Arial"/>
        </w:rPr>
        <w:t>comprising two</w:t>
      </w:r>
      <w:r w:rsidRPr="00D840D8">
        <w:rPr>
          <w:rFonts w:cs="Arial"/>
        </w:rPr>
        <w:t xml:space="preserve"> patients</w:t>
      </w:r>
      <w:r w:rsidRPr="00EE2598">
        <w:rPr>
          <w:rFonts w:cs="Arial"/>
        </w:rPr>
        <w:t xml:space="preserve"> (2</w:t>
      </w:r>
      <w:r>
        <w:rPr>
          <w:rFonts w:cs="Arial"/>
        </w:rPr>
        <w:t>·</w:t>
      </w:r>
      <w:r w:rsidRPr="00EE2598">
        <w:rPr>
          <w:rFonts w:cs="Arial"/>
        </w:rPr>
        <w:t xml:space="preserve">6%) </w:t>
      </w:r>
      <w:r>
        <w:rPr>
          <w:rFonts w:cs="Arial"/>
        </w:rPr>
        <w:t xml:space="preserve">with cHL who </w:t>
      </w:r>
      <w:r w:rsidRPr="00EE2598">
        <w:rPr>
          <w:rFonts w:cs="Arial"/>
        </w:rPr>
        <w:t xml:space="preserve">died </w:t>
      </w:r>
      <w:r>
        <w:rPr>
          <w:rFonts w:cs="Arial"/>
        </w:rPr>
        <w:t>of</w:t>
      </w:r>
      <w:r w:rsidRPr="00EE2598">
        <w:rPr>
          <w:rFonts w:cs="Arial"/>
        </w:rPr>
        <w:t xml:space="preserve"> reasons unrelated to study drug </w:t>
      </w:r>
      <w:r>
        <w:rPr>
          <w:rFonts w:cs="Arial"/>
        </w:rPr>
        <w:t>(</w:t>
      </w:r>
      <w:r w:rsidRPr="00EE2598">
        <w:rPr>
          <w:rFonts w:cs="Arial"/>
        </w:rPr>
        <w:t>disease progression and unspecified reason</w:t>
      </w:r>
      <w:r>
        <w:rPr>
          <w:rFonts w:cs="Arial"/>
        </w:rPr>
        <w:t>; the latter 83 days post-last infusion</w:t>
      </w:r>
      <w:r w:rsidRPr="00EE2598">
        <w:rPr>
          <w:rFonts w:cs="Arial"/>
        </w:rPr>
        <w:t>)</w:t>
      </w:r>
      <w:bookmarkEnd w:id="23"/>
      <w:r>
        <w:rPr>
          <w:rFonts w:cs="Arial"/>
        </w:rPr>
        <w:t xml:space="preserve"> and </w:t>
      </w:r>
      <w:bookmarkStart w:id="24" w:name="_Hlk44434866"/>
      <w:r>
        <w:rPr>
          <w:rFonts w:cs="Arial"/>
        </w:rPr>
        <w:t>13</w:t>
      </w:r>
      <w:r w:rsidRPr="00EE2598" w:rsidDel="00FB2202">
        <w:rPr>
          <w:rFonts w:cs="Arial"/>
        </w:rPr>
        <w:t xml:space="preserve"> patients (23</w:t>
      </w:r>
      <w:r>
        <w:rPr>
          <w:rFonts w:cs="Arial"/>
        </w:rPr>
        <w:t>·</w:t>
      </w:r>
      <w:r w:rsidRPr="00EE2598" w:rsidDel="00FB2202">
        <w:rPr>
          <w:rFonts w:cs="Arial"/>
        </w:rPr>
        <w:t>2%)</w:t>
      </w:r>
      <w:r>
        <w:rPr>
          <w:rFonts w:cs="Arial"/>
        </w:rPr>
        <w:t xml:space="preserve"> with NHL</w:t>
      </w:r>
      <w:r w:rsidRPr="002971B4">
        <w:rPr>
          <w:rFonts w:cs="Arial"/>
        </w:rPr>
        <w:t>;</w:t>
      </w:r>
      <w:r w:rsidRPr="00EE2598">
        <w:rPr>
          <w:rFonts w:cs="Arial"/>
        </w:rPr>
        <w:t xml:space="preserve"> </w:t>
      </w:r>
      <w:r>
        <w:rPr>
          <w:rFonts w:cs="Arial"/>
        </w:rPr>
        <w:t>12 of whom had TEAEs unrelated to study treatment, and one patient (</w:t>
      </w:r>
      <w:r w:rsidRPr="00EE2598" w:rsidDel="00FB2202">
        <w:rPr>
          <w:rFonts w:cs="Arial"/>
        </w:rPr>
        <w:t>treated at 150 μg/kg</w:t>
      </w:r>
      <w:r>
        <w:rPr>
          <w:rFonts w:cs="Arial"/>
        </w:rPr>
        <w:t>)</w:t>
      </w:r>
      <w:r w:rsidRPr="00EE2598" w:rsidDel="00FB2202">
        <w:rPr>
          <w:rFonts w:cs="Arial"/>
        </w:rPr>
        <w:t xml:space="preserve"> </w:t>
      </w:r>
      <w:r>
        <w:rPr>
          <w:rFonts w:cs="Arial"/>
        </w:rPr>
        <w:t xml:space="preserve">had </w:t>
      </w:r>
      <w:r w:rsidRPr="00EE2598" w:rsidDel="00FB2202">
        <w:rPr>
          <w:rFonts w:cs="Arial"/>
        </w:rPr>
        <w:t>neutropenic sepsis</w:t>
      </w:r>
      <w:r>
        <w:rPr>
          <w:rFonts w:cs="Arial"/>
        </w:rPr>
        <w:t>,</w:t>
      </w:r>
      <w:r w:rsidRPr="00EE2598" w:rsidDel="00FB2202">
        <w:rPr>
          <w:rFonts w:cs="Arial"/>
        </w:rPr>
        <w:t xml:space="preserve"> considered probably study</w:t>
      </w:r>
      <w:r>
        <w:rPr>
          <w:rFonts w:cs="Arial"/>
        </w:rPr>
        <w:t>-</w:t>
      </w:r>
      <w:r w:rsidRPr="00EE2598" w:rsidDel="00FB2202">
        <w:rPr>
          <w:rFonts w:cs="Arial"/>
        </w:rPr>
        <w:t>drug</w:t>
      </w:r>
      <w:bookmarkEnd w:id="24"/>
      <w:r>
        <w:rPr>
          <w:rFonts w:cs="Arial"/>
        </w:rPr>
        <w:t xml:space="preserve"> related </w:t>
      </w:r>
      <w:r w:rsidRPr="00E440DF">
        <w:rPr>
          <w:rFonts w:cs="Arial"/>
          <w:bCs/>
        </w:rPr>
        <w:t>(</w:t>
      </w:r>
      <w:r w:rsidRPr="00EE2598">
        <w:rPr>
          <w:rFonts w:cs="Arial"/>
          <w:b/>
        </w:rPr>
        <w:t xml:space="preserve">Table </w:t>
      </w:r>
      <w:r w:rsidRPr="00EE2598">
        <w:rPr>
          <w:rFonts w:cs="Arial"/>
          <w:b/>
        </w:rPr>
        <w:t>S</w:t>
      </w:r>
      <w:r>
        <w:rPr>
          <w:rFonts w:cs="Arial"/>
          <w:b/>
        </w:rPr>
        <w:t>2</w:t>
      </w:r>
      <w:r w:rsidRPr="00F14CF6">
        <w:rPr>
          <w:rFonts w:cs="Arial"/>
          <w:bCs/>
        </w:rPr>
        <w:t xml:space="preserve"> </w:t>
      </w:r>
      <w:r>
        <w:rPr>
          <w:rFonts w:cs="Arial"/>
          <w:bCs/>
        </w:rPr>
        <w:t>appendix p4</w:t>
      </w:r>
      <w:r w:rsidRPr="00E440DF">
        <w:rPr>
          <w:rFonts w:cs="Arial"/>
        </w:rPr>
        <w:t>)</w:t>
      </w:r>
      <w:r w:rsidRPr="00EE2598" w:rsidDel="00FB2202">
        <w:rPr>
          <w:rFonts w:cs="Arial"/>
        </w:rPr>
        <w:t xml:space="preserve">. </w:t>
      </w:r>
    </w:p>
    <w:bookmarkEnd w:id="22"/>
    <w:p w14:paraId="77E9D833" w14:textId="77777777" w:rsidR="00830F07" w:rsidRPr="00EE2598" w:rsidRDefault="00830F07" w:rsidP="0031288A">
      <w:pPr>
        <w:rPr>
          <w:rFonts w:cs="Arial"/>
          <w:lang w:val="en-IN"/>
        </w:rPr>
      </w:pPr>
      <w:r w:rsidRPr="00EE2598">
        <w:rPr>
          <w:rFonts w:cs="Arial"/>
        </w:rPr>
        <w:t>T</w:t>
      </w:r>
      <w:r w:rsidRPr="00EE2598" w:rsidDel="00FB2202">
        <w:rPr>
          <w:rFonts w:cs="Arial"/>
        </w:rPr>
        <w:t xml:space="preserve">wo </w:t>
      </w:r>
      <w:r>
        <w:rPr>
          <w:rFonts w:cs="Arial"/>
        </w:rPr>
        <w:t>cHL</w:t>
      </w:r>
      <w:r w:rsidRPr="00EE2598" w:rsidDel="00FB2202">
        <w:rPr>
          <w:rFonts w:cs="Arial"/>
        </w:rPr>
        <w:t xml:space="preserve"> patients had fatal events</w:t>
      </w:r>
      <w:r w:rsidRPr="00603C91">
        <w:rPr>
          <w:rFonts w:cs="Arial"/>
        </w:rPr>
        <w:t xml:space="preserve"> </w:t>
      </w:r>
      <w:r w:rsidRPr="00EE2598">
        <w:rPr>
          <w:rFonts w:cs="Arial"/>
        </w:rPr>
        <w:t>after</w:t>
      </w:r>
      <w:r w:rsidRPr="00EE2598" w:rsidDel="00FB2202">
        <w:rPr>
          <w:rFonts w:cs="Arial"/>
        </w:rPr>
        <w:t xml:space="preserve"> the TEAE</w:t>
      </w:r>
      <w:r>
        <w:rPr>
          <w:rFonts w:cs="Arial"/>
        </w:rPr>
        <w:t>-</w:t>
      </w:r>
      <w:r w:rsidRPr="00EE2598" w:rsidDel="00FB2202">
        <w:rPr>
          <w:rFonts w:cs="Arial"/>
        </w:rPr>
        <w:t>reporting period</w:t>
      </w:r>
      <w:r>
        <w:rPr>
          <w:rFonts w:cs="Arial"/>
        </w:rPr>
        <w:t>: immune system disorder</w:t>
      </w:r>
      <w:r w:rsidRPr="00EE2598" w:rsidDel="00FB2202">
        <w:rPr>
          <w:rFonts w:cs="Arial"/>
        </w:rPr>
        <w:t xml:space="preserve"> and multiple cranial nerve palsy</w:t>
      </w:r>
      <w:r>
        <w:rPr>
          <w:rFonts w:cs="Arial"/>
        </w:rPr>
        <w:t xml:space="preserve"> (preferred terms), both </w:t>
      </w:r>
      <w:r w:rsidRPr="00EE2598" w:rsidDel="00FB2202">
        <w:rPr>
          <w:rFonts w:cs="Arial"/>
        </w:rPr>
        <w:t xml:space="preserve">considered at least possibly related to study drug. </w:t>
      </w:r>
      <w:r>
        <w:rPr>
          <w:rFonts w:cs="Arial"/>
        </w:rPr>
        <w:t>The first patient had recurring pleural effusions and high inflammatory markers during and following treatment with study drug and was diagnosed with immune system disorder (</w:t>
      </w:r>
      <w:r w:rsidRPr="00612642">
        <w:rPr>
          <w:rFonts w:cs="Arial"/>
        </w:rPr>
        <w:t>acquired</w:t>
      </w:r>
      <w:r>
        <w:rPr>
          <w:rFonts w:cs="Arial"/>
        </w:rPr>
        <w:t xml:space="preserve"> </w:t>
      </w:r>
      <w:r w:rsidRPr="00612642">
        <w:rPr>
          <w:rFonts w:cs="Arial"/>
        </w:rPr>
        <w:t>immunodysregulation polyendocrinopathy enteropathy X-linked syndrome</w:t>
      </w:r>
      <w:r>
        <w:rPr>
          <w:rFonts w:cs="Arial"/>
        </w:rPr>
        <w:t>)</w:t>
      </w:r>
      <w:r w:rsidRPr="00612642">
        <w:rPr>
          <w:rFonts w:cs="Arial"/>
        </w:rPr>
        <w:t xml:space="preserve"> </w:t>
      </w:r>
      <w:r>
        <w:rPr>
          <w:rFonts w:cs="Arial"/>
        </w:rPr>
        <w:t xml:space="preserve">9 months after study drug termination, featuring worsening third-spacing of fluids and acute kidney injury. </w:t>
      </w:r>
      <w:r w:rsidRPr="00EE2598" w:rsidDel="00FB2202">
        <w:rPr>
          <w:rFonts w:cs="Arial"/>
        </w:rPr>
        <w:t xml:space="preserve">The latter patient </w:t>
      </w:r>
      <w:r>
        <w:rPr>
          <w:rFonts w:cs="Arial"/>
        </w:rPr>
        <w:t xml:space="preserve">experienced eyelid ptosis ~9 months after last dose of camidanlumab tesirine, which worsened ~3·5 months later, concurrent with additional cranial nerve palsies that began 7 days after a second </w:t>
      </w:r>
      <w:r w:rsidRPr="00EE2598" w:rsidDel="00FB2202">
        <w:rPr>
          <w:rFonts w:cs="Arial"/>
        </w:rPr>
        <w:t>cycle of BV</w:t>
      </w:r>
      <w:r>
        <w:rPr>
          <w:rFonts w:cs="Arial"/>
        </w:rPr>
        <w:t xml:space="preserve"> and resulted in death due to progressive polyneuropathy.</w:t>
      </w:r>
    </w:p>
    <w:p w14:paraId="61180BF2" w14:textId="1E0E31A1" w:rsidR="00830F07" w:rsidRPr="00EE2598" w:rsidRDefault="00830F07" w:rsidP="0031288A">
      <w:pPr>
        <w:rPr>
          <w:rFonts w:cs="Arial"/>
        </w:rPr>
      </w:pPr>
      <w:r w:rsidRPr="00EE2598">
        <w:rPr>
          <w:rFonts w:cs="Arial"/>
        </w:rPr>
        <w:t xml:space="preserve">TEAEs leading to dose delay occurred in </w:t>
      </w:r>
      <w:r>
        <w:rPr>
          <w:rFonts w:cs="Arial"/>
        </w:rPr>
        <w:t>59 (</w:t>
      </w:r>
      <w:r w:rsidRPr="00EE2598">
        <w:rPr>
          <w:rFonts w:cs="Arial"/>
        </w:rPr>
        <w:t>44</w:t>
      </w:r>
      <w:r>
        <w:rPr>
          <w:rFonts w:cs="Arial"/>
        </w:rPr>
        <w:t>·</w:t>
      </w:r>
      <w:r w:rsidRPr="00EE2598">
        <w:rPr>
          <w:rFonts w:cs="Arial"/>
        </w:rPr>
        <w:t>4%</w:t>
      </w:r>
      <w:r>
        <w:rPr>
          <w:rFonts w:cs="Arial"/>
        </w:rPr>
        <w:t>)</w:t>
      </w:r>
      <w:r w:rsidRPr="00EE2598">
        <w:rPr>
          <w:rFonts w:cs="Arial"/>
        </w:rPr>
        <w:t xml:space="preserve"> of </w:t>
      </w:r>
      <w:r>
        <w:rPr>
          <w:rFonts w:cs="Arial"/>
        </w:rPr>
        <w:t>133 patients</w:t>
      </w:r>
      <w:r w:rsidRPr="00EE2598">
        <w:rPr>
          <w:rFonts w:cs="Arial"/>
        </w:rPr>
        <w:t>,</w:t>
      </w:r>
      <w:r>
        <w:rPr>
          <w:rFonts w:cs="Arial"/>
        </w:rPr>
        <w:t xml:space="preserve"> comprising</w:t>
      </w:r>
      <w:r w:rsidRPr="00EE2598">
        <w:rPr>
          <w:rFonts w:cs="Arial"/>
        </w:rPr>
        <w:t xml:space="preserve"> </w:t>
      </w:r>
      <w:r w:rsidRPr="004A380C">
        <w:rPr>
          <w:rFonts w:cs="Arial"/>
        </w:rPr>
        <w:t>38/77</w:t>
      </w:r>
      <w:r w:rsidRPr="00EE2598">
        <w:rPr>
          <w:rFonts w:cs="Arial"/>
        </w:rPr>
        <w:t xml:space="preserve"> </w:t>
      </w:r>
      <w:r>
        <w:rPr>
          <w:rFonts w:cs="Arial"/>
        </w:rPr>
        <w:t>(</w:t>
      </w:r>
      <w:r w:rsidRPr="00EE2598">
        <w:rPr>
          <w:rFonts w:cs="Arial"/>
        </w:rPr>
        <w:t>49</w:t>
      </w:r>
      <w:r>
        <w:rPr>
          <w:rFonts w:cs="Arial"/>
        </w:rPr>
        <w:t>·</w:t>
      </w:r>
      <w:r w:rsidRPr="00EE2598">
        <w:rPr>
          <w:rFonts w:cs="Arial"/>
        </w:rPr>
        <w:t>4%</w:t>
      </w:r>
      <w:r>
        <w:rPr>
          <w:rFonts w:cs="Arial"/>
        </w:rPr>
        <w:t xml:space="preserve">) </w:t>
      </w:r>
      <w:r w:rsidRPr="00EE2598">
        <w:rPr>
          <w:rFonts w:cs="Arial"/>
        </w:rPr>
        <w:t>of the cHL cohort</w:t>
      </w:r>
      <w:r>
        <w:rPr>
          <w:rFonts w:cs="Arial"/>
        </w:rPr>
        <w:t>,</w:t>
      </w:r>
      <w:r w:rsidRPr="00EE2598">
        <w:rPr>
          <w:rFonts w:cs="Arial"/>
        </w:rPr>
        <w:t xml:space="preserve"> and </w:t>
      </w:r>
      <w:r>
        <w:rPr>
          <w:rFonts w:cs="Arial"/>
        </w:rPr>
        <w:t>21/56 (</w:t>
      </w:r>
      <w:r w:rsidRPr="00EE2598">
        <w:rPr>
          <w:rFonts w:cs="Arial"/>
        </w:rPr>
        <w:t>37</w:t>
      </w:r>
      <w:r>
        <w:rPr>
          <w:rFonts w:cs="Arial"/>
        </w:rPr>
        <w:t>·</w:t>
      </w:r>
      <w:r w:rsidRPr="00EE2598">
        <w:rPr>
          <w:rFonts w:cs="Arial"/>
        </w:rPr>
        <w:t>5%</w:t>
      </w:r>
      <w:r>
        <w:rPr>
          <w:rFonts w:cs="Arial"/>
        </w:rPr>
        <w:t>)</w:t>
      </w:r>
      <w:r w:rsidRPr="00EE2598">
        <w:rPr>
          <w:rFonts w:cs="Arial"/>
        </w:rPr>
        <w:t xml:space="preserve"> of the NHL cohort</w:t>
      </w:r>
      <w:r>
        <w:rPr>
          <w:rFonts w:cs="Arial"/>
        </w:rPr>
        <w:t>, and 8/133 (6·0%) patients had dose reductions</w:t>
      </w:r>
      <w:r w:rsidRPr="00EE2598">
        <w:rPr>
          <w:rFonts w:cs="Arial"/>
        </w:rPr>
        <w:t xml:space="preserve">. Overall, </w:t>
      </w:r>
      <w:r>
        <w:rPr>
          <w:rFonts w:cs="Arial"/>
        </w:rPr>
        <w:t>34/133 (</w:t>
      </w:r>
      <w:r w:rsidRPr="00EE2598">
        <w:rPr>
          <w:rFonts w:cs="Arial"/>
        </w:rPr>
        <w:t>25</w:t>
      </w:r>
      <w:r>
        <w:rPr>
          <w:rFonts w:cs="Arial"/>
        </w:rPr>
        <w:t>·</w:t>
      </w:r>
      <w:r w:rsidRPr="00EE2598">
        <w:rPr>
          <w:rFonts w:cs="Arial"/>
        </w:rPr>
        <w:t>6%</w:t>
      </w:r>
      <w:r>
        <w:rPr>
          <w:rFonts w:cs="Arial"/>
        </w:rPr>
        <w:t>)</w:t>
      </w:r>
      <w:r w:rsidRPr="00EE2598">
        <w:rPr>
          <w:rFonts w:cs="Arial"/>
        </w:rPr>
        <w:t xml:space="preserve">, </w:t>
      </w:r>
      <w:r>
        <w:rPr>
          <w:rFonts w:cs="Arial"/>
        </w:rPr>
        <w:t>24/77 (</w:t>
      </w:r>
      <w:r w:rsidRPr="00EE2598">
        <w:rPr>
          <w:rFonts w:cs="Arial"/>
        </w:rPr>
        <w:t>31</w:t>
      </w:r>
      <w:r>
        <w:rPr>
          <w:rFonts w:cs="Arial"/>
        </w:rPr>
        <w:t>·</w:t>
      </w:r>
      <w:r w:rsidRPr="00EE2598">
        <w:rPr>
          <w:rFonts w:cs="Arial"/>
        </w:rPr>
        <w:t>2%</w:t>
      </w:r>
      <w:r>
        <w:rPr>
          <w:rFonts w:cs="Arial"/>
        </w:rPr>
        <w:t>),</w:t>
      </w:r>
      <w:r w:rsidRPr="00EE2598">
        <w:rPr>
          <w:rFonts w:cs="Arial"/>
        </w:rPr>
        <w:t xml:space="preserve"> and </w:t>
      </w:r>
      <w:r>
        <w:rPr>
          <w:rFonts w:cs="Arial"/>
        </w:rPr>
        <w:t>10/56 (</w:t>
      </w:r>
      <w:r w:rsidRPr="00EE2598">
        <w:rPr>
          <w:rFonts w:cs="Arial"/>
        </w:rPr>
        <w:t>17</w:t>
      </w:r>
      <w:r>
        <w:rPr>
          <w:rFonts w:cs="Arial"/>
        </w:rPr>
        <w:t>·</w:t>
      </w:r>
      <w:r w:rsidRPr="00EE2598">
        <w:rPr>
          <w:rFonts w:cs="Arial"/>
        </w:rPr>
        <w:t>9%</w:t>
      </w:r>
      <w:r>
        <w:rPr>
          <w:rFonts w:cs="Arial"/>
        </w:rPr>
        <w:t>)</w:t>
      </w:r>
      <w:r w:rsidRPr="00EE2598">
        <w:rPr>
          <w:rFonts w:cs="Arial"/>
        </w:rPr>
        <w:t xml:space="preserve"> of the total, cHL</w:t>
      </w:r>
      <w:r>
        <w:rPr>
          <w:rFonts w:cs="Arial"/>
        </w:rPr>
        <w:t>,</w:t>
      </w:r>
      <w:r w:rsidRPr="00EE2598">
        <w:rPr>
          <w:rFonts w:cs="Arial"/>
        </w:rPr>
        <w:t xml:space="preserve"> and NHL populations, respectively,</w:t>
      </w:r>
      <w:r w:rsidRPr="00EE2598" w:rsidDel="00166B10">
        <w:rPr>
          <w:rFonts w:cs="Arial"/>
        </w:rPr>
        <w:t xml:space="preserve"> </w:t>
      </w:r>
      <w:r w:rsidRPr="00EE2598">
        <w:rPr>
          <w:rFonts w:cs="Arial"/>
        </w:rPr>
        <w:t>discontinued treatment due to TEAEs (</w:t>
      </w:r>
      <w:r w:rsidRPr="00EE2598">
        <w:rPr>
          <w:rFonts w:cs="Arial"/>
          <w:b/>
        </w:rPr>
        <w:t xml:space="preserve">Table </w:t>
      </w:r>
      <w:r w:rsidRPr="00EE2598">
        <w:rPr>
          <w:rFonts w:cs="Arial"/>
          <w:b/>
        </w:rPr>
        <w:t>S</w:t>
      </w:r>
      <w:r>
        <w:rPr>
          <w:rFonts w:cs="Arial"/>
          <w:b/>
        </w:rPr>
        <w:t>2</w:t>
      </w:r>
      <w:r w:rsidRPr="00F14CF6">
        <w:rPr>
          <w:rFonts w:cs="Arial"/>
          <w:bCs/>
        </w:rPr>
        <w:t xml:space="preserve"> </w:t>
      </w:r>
      <w:r>
        <w:rPr>
          <w:rFonts w:cs="Arial"/>
          <w:bCs/>
        </w:rPr>
        <w:t>appendix p4</w:t>
      </w:r>
      <w:r w:rsidRPr="009F05DC">
        <w:rPr>
          <w:rFonts w:cs="Arial"/>
          <w:bCs/>
        </w:rPr>
        <w:t>)</w:t>
      </w:r>
      <w:r>
        <w:rPr>
          <w:rFonts w:cs="Arial"/>
          <w:bCs/>
        </w:rPr>
        <w:t xml:space="preserve"> and</w:t>
      </w:r>
      <w:bookmarkStart w:id="25" w:name="_Hlk44435493"/>
      <w:r>
        <w:rPr>
          <w:rFonts w:cs="Arial"/>
        </w:rPr>
        <w:t xml:space="preserve"> </w:t>
      </w:r>
      <w:r w:rsidRPr="00D24D65">
        <w:rPr>
          <w:rFonts w:cs="Arial"/>
        </w:rPr>
        <w:t>31</w:t>
      </w:r>
      <w:r>
        <w:rPr>
          <w:rFonts w:cs="Arial"/>
        </w:rPr>
        <w:t>/133</w:t>
      </w:r>
      <w:r w:rsidRPr="00D24D65">
        <w:rPr>
          <w:rFonts w:cs="Arial"/>
        </w:rPr>
        <w:t xml:space="preserve"> (23</w:t>
      </w:r>
      <w:r w:rsidRPr="00E270A3">
        <w:rPr>
          <w:rFonts w:cs="Arial"/>
        </w:rPr>
        <w:t>·</w:t>
      </w:r>
      <w:r w:rsidRPr="00D24D65">
        <w:rPr>
          <w:rFonts w:cs="Arial"/>
        </w:rPr>
        <w:t xml:space="preserve">3%) patients had </w:t>
      </w:r>
      <w:r>
        <w:rPr>
          <w:rFonts w:cs="Arial"/>
        </w:rPr>
        <w:t xml:space="preserve">≥1 </w:t>
      </w:r>
      <w:r w:rsidRPr="00D24D65">
        <w:rPr>
          <w:rFonts w:cs="Arial"/>
        </w:rPr>
        <w:t>treatment-related TEAE leading to camidanlumab tesirine discontinuation</w:t>
      </w:r>
      <w:r>
        <w:rPr>
          <w:rFonts w:cs="Arial"/>
        </w:rPr>
        <w:t>.</w:t>
      </w:r>
      <w:bookmarkEnd w:id="25"/>
      <w:r w:rsidRPr="00EE2598">
        <w:rPr>
          <w:rFonts w:cs="Arial"/>
        </w:rPr>
        <w:t xml:space="preserve"> </w:t>
      </w:r>
      <w:bookmarkStart w:id="26" w:name="_Hlk48505150"/>
      <w:r>
        <w:rPr>
          <w:rFonts w:cs="Arial"/>
        </w:rPr>
        <w:t xml:space="preserve">Time </w:t>
      </w:r>
      <w:r w:rsidRPr="00670232">
        <w:rPr>
          <w:rFonts w:cs="Arial"/>
        </w:rPr>
        <w:t>to</w:t>
      </w:r>
      <w:r>
        <w:rPr>
          <w:rFonts w:cs="Arial"/>
        </w:rPr>
        <w:t xml:space="preserve"> </w:t>
      </w:r>
      <w:r w:rsidRPr="00670232">
        <w:rPr>
          <w:rFonts w:cs="Arial"/>
        </w:rPr>
        <w:t xml:space="preserve">first AE leading to dose modification </w:t>
      </w:r>
      <w:r>
        <w:rPr>
          <w:rFonts w:cs="Arial"/>
        </w:rPr>
        <w:t xml:space="preserve">is shown </w:t>
      </w:r>
      <w:bookmarkEnd w:id="26"/>
      <w:r w:rsidRPr="00EE2598">
        <w:rPr>
          <w:rFonts w:cs="Arial"/>
        </w:rPr>
        <w:t>(</w:t>
      </w:r>
      <w:r w:rsidRPr="00EE2598">
        <w:rPr>
          <w:rFonts w:cs="Arial"/>
          <w:b/>
        </w:rPr>
        <w:t xml:space="preserve">Figure </w:t>
      </w:r>
      <w:r w:rsidRPr="00EE2598">
        <w:rPr>
          <w:rFonts w:cs="Arial"/>
          <w:b/>
        </w:rPr>
        <w:t>S</w:t>
      </w:r>
      <w:r>
        <w:rPr>
          <w:rFonts w:cs="Arial"/>
          <w:b/>
        </w:rPr>
        <w:t>1</w:t>
      </w:r>
      <w:r w:rsidRPr="00764EC1">
        <w:rPr>
          <w:rFonts w:cs="Arial"/>
          <w:bCs/>
        </w:rPr>
        <w:t xml:space="preserve"> </w:t>
      </w:r>
      <w:r>
        <w:rPr>
          <w:rFonts w:cs="Arial"/>
          <w:bCs/>
        </w:rPr>
        <w:t>appendix p21</w:t>
      </w:r>
      <w:r w:rsidRPr="00EE2598">
        <w:rPr>
          <w:rFonts w:cs="Arial"/>
        </w:rPr>
        <w:t>)</w:t>
      </w:r>
      <w:r>
        <w:rPr>
          <w:rFonts w:cs="Arial"/>
        </w:rPr>
        <w:t>.</w:t>
      </w:r>
    </w:p>
    <w:p w14:paraId="728F20A6" w14:textId="2908E482" w:rsidR="00830F07" w:rsidRPr="00545CB5" w:rsidRDefault="00830F07" w:rsidP="0031288A">
      <w:pPr>
        <w:rPr>
          <w:rFonts w:cs="Arial"/>
          <w:bCs/>
        </w:rPr>
      </w:pPr>
      <w:r w:rsidRPr="00EE2598">
        <w:rPr>
          <w:rFonts w:cs="Arial"/>
        </w:rPr>
        <w:lastRenderedPageBreak/>
        <w:t xml:space="preserve">Infusion-related reactions occurred in </w:t>
      </w:r>
      <w:r>
        <w:rPr>
          <w:rFonts w:cs="Arial"/>
        </w:rPr>
        <w:t>6/133 (</w:t>
      </w:r>
      <w:r w:rsidRPr="00EE2598">
        <w:rPr>
          <w:rFonts w:cs="Arial"/>
        </w:rPr>
        <w:t>4</w:t>
      </w:r>
      <w:r>
        <w:rPr>
          <w:rFonts w:cs="Arial"/>
        </w:rPr>
        <w:t>·</w:t>
      </w:r>
      <w:r w:rsidRPr="00EE2598">
        <w:rPr>
          <w:rFonts w:cs="Arial"/>
        </w:rPr>
        <w:t>5%</w:t>
      </w:r>
      <w:r>
        <w:rPr>
          <w:rFonts w:cs="Arial"/>
        </w:rPr>
        <w:t>)</w:t>
      </w:r>
      <w:r w:rsidRPr="00EE2598">
        <w:rPr>
          <w:rFonts w:cs="Arial"/>
        </w:rPr>
        <w:t xml:space="preserve">, </w:t>
      </w:r>
      <w:r>
        <w:rPr>
          <w:rFonts w:cs="Arial"/>
        </w:rPr>
        <w:t>5/77 (</w:t>
      </w:r>
      <w:r w:rsidRPr="00EE2598">
        <w:rPr>
          <w:rFonts w:cs="Arial"/>
        </w:rPr>
        <w:t>6</w:t>
      </w:r>
      <w:r>
        <w:rPr>
          <w:rFonts w:cs="Arial"/>
        </w:rPr>
        <w:t>·</w:t>
      </w:r>
      <w:r w:rsidRPr="00EE2598">
        <w:rPr>
          <w:rFonts w:cs="Arial"/>
        </w:rPr>
        <w:t>5%</w:t>
      </w:r>
      <w:r>
        <w:rPr>
          <w:rFonts w:cs="Arial"/>
        </w:rPr>
        <w:t>),</w:t>
      </w:r>
      <w:r w:rsidRPr="00EE2598">
        <w:rPr>
          <w:rFonts w:cs="Arial"/>
        </w:rPr>
        <w:t xml:space="preserve"> and </w:t>
      </w:r>
      <w:r>
        <w:rPr>
          <w:rFonts w:cs="Arial"/>
        </w:rPr>
        <w:t>1/56 (</w:t>
      </w:r>
      <w:r w:rsidRPr="00EE2598">
        <w:rPr>
          <w:rFonts w:cs="Arial"/>
        </w:rPr>
        <w:t>1</w:t>
      </w:r>
      <w:r>
        <w:rPr>
          <w:rFonts w:cs="Arial"/>
        </w:rPr>
        <w:t>·</w:t>
      </w:r>
      <w:r w:rsidRPr="00EE2598">
        <w:rPr>
          <w:rFonts w:cs="Arial"/>
        </w:rPr>
        <w:t>8%</w:t>
      </w:r>
      <w:r>
        <w:rPr>
          <w:rFonts w:cs="Arial"/>
        </w:rPr>
        <w:t>)</w:t>
      </w:r>
      <w:r w:rsidRPr="00EE2598">
        <w:rPr>
          <w:rFonts w:cs="Arial"/>
        </w:rPr>
        <w:t xml:space="preserve"> </w:t>
      </w:r>
      <w:r>
        <w:rPr>
          <w:rFonts w:cs="Arial"/>
        </w:rPr>
        <w:t xml:space="preserve">patients </w:t>
      </w:r>
      <w:r w:rsidRPr="00EE2598">
        <w:rPr>
          <w:rFonts w:cs="Arial"/>
        </w:rPr>
        <w:t>of the total, cHL</w:t>
      </w:r>
      <w:r>
        <w:rPr>
          <w:rFonts w:cs="Arial"/>
        </w:rPr>
        <w:t>,</w:t>
      </w:r>
      <w:r w:rsidRPr="00EE2598">
        <w:rPr>
          <w:rFonts w:cs="Arial"/>
        </w:rPr>
        <w:t xml:space="preserve"> and NHL populations, respectively (</w:t>
      </w:r>
      <w:r w:rsidRPr="00EE2598">
        <w:rPr>
          <w:rFonts w:cs="Arial"/>
          <w:b/>
        </w:rPr>
        <w:t xml:space="preserve">Table </w:t>
      </w:r>
      <w:r w:rsidRPr="00EE2598">
        <w:rPr>
          <w:rFonts w:cs="Arial"/>
          <w:b/>
        </w:rPr>
        <w:t>S</w:t>
      </w:r>
      <w:r>
        <w:rPr>
          <w:rFonts w:cs="Arial"/>
          <w:b/>
        </w:rPr>
        <w:t>2</w:t>
      </w:r>
      <w:r w:rsidRPr="00764EC1">
        <w:rPr>
          <w:rFonts w:cs="Arial"/>
          <w:bCs/>
        </w:rPr>
        <w:t xml:space="preserve"> </w:t>
      </w:r>
      <w:r>
        <w:rPr>
          <w:rFonts w:cs="Arial"/>
          <w:bCs/>
        </w:rPr>
        <w:t>appendix p4</w:t>
      </w:r>
      <w:r w:rsidRPr="00EE2598">
        <w:rPr>
          <w:rFonts w:cs="Arial"/>
        </w:rPr>
        <w:t xml:space="preserve">). Common </w:t>
      </w:r>
      <w:proofErr w:type="spellStart"/>
      <w:r>
        <w:rPr>
          <w:rFonts w:cs="Arial"/>
        </w:rPr>
        <w:t>PBD</w:t>
      </w:r>
      <w:proofErr w:type="spellEnd"/>
      <w:r>
        <w:rPr>
          <w:rFonts w:cs="Arial"/>
        </w:rPr>
        <w:t xml:space="preserve">-related </w:t>
      </w:r>
      <w:r w:rsidRPr="00EE2598">
        <w:rPr>
          <w:rFonts w:cs="Arial"/>
        </w:rPr>
        <w:t>AEs included skin-related AEs (</w:t>
      </w:r>
      <w:r>
        <w:rPr>
          <w:rFonts w:cs="Arial"/>
        </w:rPr>
        <w:t xml:space="preserve">84/133; </w:t>
      </w:r>
      <w:r w:rsidRPr="00EE2598">
        <w:rPr>
          <w:rFonts w:cs="Arial"/>
        </w:rPr>
        <w:t>63</w:t>
      </w:r>
      <w:r>
        <w:rPr>
          <w:rFonts w:cs="Arial"/>
        </w:rPr>
        <w:t>·</w:t>
      </w:r>
      <w:r w:rsidRPr="00EE2598">
        <w:rPr>
          <w:rFonts w:cs="Arial"/>
        </w:rPr>
        <w:t>2%) and liver function test abnormalities (</w:t>
      </w:r>
      <w:r>
        <w:rPr>
          <w:rFonts w:cs="Arial"/>
        </w:rPr>
        <w:t xml:space="preserve">51/133; </w:t>
      </w:r>
      <w:r w:rsidRPr="00EE2598">
        <w:rPr>
          <w:rFonts w:cs="Arial"/>
        </w:rPr>
        <w:t>38</w:t>
      </w:r>
      <w:r>
        <w:rPr>
          <w:rFonts w:cs="Arial"/>
        </w:rPr>
        <w:t>·</w:t>
      </w:r>
      <w:r w:rsidRPr="00EE2598">
        <w:rPr>
          <w:rFonts w:cs="Arial"/>
        </w:rPr>
        <w:t xml:space="preserve">3%). </w:t>
      </w:r>
      <w:r>
        <w:rPr>
          <w:rFonts w:cs="Arial"/>
        </w:rPr>
        <w:t xml:space="preserve">Other potentially </w:t>
      </w:r>
      <w:proofErr w:type="spellStart"/>
      <w:r>
        <w:rPr>
          <w:rFonts w:cs="Arial"/>
        </w:rPr>
        <w:t>PBD</w:t>
      </w:r>
      <w:proofErr w:type="spellEnd"/>
      <w:r>
        <w:rPr>
          <w:rFonts w:cs="Arial"/>
        </w:rPr>
        <w:t xml:space="preserve">-related TEAEs included fatigue (51/133; 38·3%), edema or effusion (35/133; 26·3%), and nausea (28/133; 21·1%; </w:t>
      </w:r>
      <w:r w:rsidRPr="00EE2598">
        <w:rPr>
          <w:rFonts w:cs="Arial"/>
          <w:b/>
        </w:rPr>
        <w:t xml:space="preserve">Table </w:t>
      </w:r>
      <w:r w:rsidRPr="00EE2598">
        <w:rPr>
          <w:rFonts w:cs="Arial"/>
          <w:b/>
        </w:rPr>
        <w:t>S</w:t>
      </w:r>
      <w:r>
        <w:rPr>
          <w:rFonts w:cs="Arial"/>
          <w:b/>
        </w:rPr>
        <w:t xml:space="preserve">6 </w:t>
      </w:r>
      <w:r>
        <w:rPr>
          <w:rFonts w:cs="Arial"/>
          <w:bCs/>
        </w:rPr>
        <w:t>appendix p11</w:t>
      </w:r>
      <w:r>
        <w:rPr>
          <w:rFonts w:cs="Arial"/>
          <w:bCs/>
        </w:rPr>
        <w:t xml:space="preserve">). </w:t>
      </w:r>
    </w:p>
    <w:p w14:paraId="77E4630F" w14:textId="2820EAC7" w:rsidR="00830F07" w:rsidRDefault="00830F07" w:rsidP="0031288A">
      <w:r>
        <w:rPr>
          <w:rFonts w:cs="Arial"/>
          <w:bCs/>
        </w:rPr>
        <w:t xml:space="preserve">Five </w:t>
      </w:r>
      <w:r w:rsidRPr="004A380C">
        <w:rPr>
          <w:rFonts w:cs="Arial"/>
          <w:bCs/>
        </w:rPr>
        <w:t>of 1</w:t>
      </w:r>
      <w:r>
        <w:rPr>
          <w:rFonts w:cs="Arial"/>
          <w:bCs/>
        </w:rPr>
        <w:t>33 patients (</w:t>
      </w:r>
      <w:r w:rsidRPr="00EE2598">
        <w:rPr>
          <w:rFonts w:cs="Arial"/>
          <w:bCs/>
        </w:rPr>
        <w:t>3</w:t>
      </w:r>
      <w:r>
        <w:rPr>
          <w:rFonts w:cs="Arial"/>
          <w:bCs/>
        </w:rPr>
        <w:t>·</w:t>
      </w:r>
      <w:r w:rsidRPr="00EE2598">
        <w:rPr>
          <w:rFonts w:cs="Arial"/>
          <w:bCs/>
        </w:rPr>
        <w:t>8%</w:t>
      </w:r>
      <w:r>
        <w:rPr>
          <w:rFonts w:cs="Arial"/>
          <w:bCs/>
        </w:rPr>
        <w:t xml:space="preserve">) developed serious neurologic events of </w:t>
      </w:r>
      <w:r w:rsidRPr="00EE2598">
        <w:rPr>
          <w:rFonts w:cs="Arial"/>
        </w:rPr>
        <w:t>Guillain–Barré syndrome</w:t>
      </w:r>
      <w:r w:rsidRPr="00EE2598">
        <w:rPr>
          <w:rFonts w:cs="Arial"/>
          <w:bCs/>
        </w:rPr>
        <w:t xml:space="preserve"> (GBS)/</w:t>
      </w:r>
      <w:bookmarkStart w:id="27" w:name="_Hlk45380420"/>
      <w:r>
        <w:rPr>
          <w:rFonts w:cs="Arial"/>
          <w:bCs/>
        </w:rPr>
        <w:t>poly</w:t>
      </w:r>
      <w:bookmarkEnd w:id="27"/>
      <w:r w:rsidRPr="00EE2598">
        <w:rPr>
          <w:rFonts w:cs="Arial"/>
          <w:bCs/>
        </w:rPr>
        <w:t>radiculopathy</w:t>
      </w:r>
      <w:r w:rsidRPr="00CD18CB">
        <w:rPr>
          <w:rFonts w:cs="Arial"/>
          <w:bCs/>
        </w:rPr>
        <w:t xml:space="preserve"> (</w:t>
      </w:r>
      <w:r w:rsidRPr="00EE2598">
        <w:rPr>
          <w:rFonts w:cs="Arial"/>
          <w:b/>
        </w:rPr>
        <w:t xml:space="preserve">Table </w:t>
      </w:r>
      <w:r w:rsidRPr="00EE2598">
        <w:rPr>
          <w:rFonts w:cs="Arial"/>
          <w:b/>
        </w:rPr>
        <w:t>S</w:t>
      </w:r>
      <w:r>
        <w:rPr>
          <w:rFonts w:cs="Arial"/>
          <w:b/>
        </w:rPr>
        <w:t>6</w:t>
      </w:r>
      <w:r w:rsidRPr="003B71E3">
        <w:rPr>
          <w:rFonts w:cs="Arial"/>
          <w:bCs/>
        </w:rPr>
        <w:t xml:space="preserve"> </w:t>
      </w:r>
      <w:r>
        <w:rPr>
          <w:rFonts w:cs="Arial"/>
          <w:bCs/>
        </w:rPr>
        <w:t>appendix p11</w:t>
      </w:r>
      <w:r w:rsidRPr="00EE2598">
        <w:rPr>
          <w:rFonts w:cs="Arial"/>
        </w:rPr>
        <w:t>)</w:t>
      </w:r>
      <w:r>
        <w:rPr>
          <w:rFonts w:cs="Arial"/>
        </w:rPr>
        <w:t xml:space="preserve">, </w:t>
      </w:r>
      <w:r>
        <w:rPr>
          <w:rFonts w:cs="Arial"/>
          <w:bCs/>
        </w:rPr>
        <w:t>considered likely immune-related and at least possibly study</w:t>
      </w:r>
      <w:r>
        <w:rPr>
          <w:rFonts w:cs="Arial"/>
          <w:bCs/>
        </w:rPr>
        <w:t>-</w:t>
      </w:r>
      <w:r>
        <w:rPr>
          <w:rFonts w:cs="Arial"/>
          <w:bCs/>
        </w:rPr>
        <w:t>drug related.</w:t>
      </w:r>
      <w:r w:rsidRPr="00EE2598">
        <w:rPr>
          <w:rFonts w:cs="Arial"/>
          <w:bCs/>
        </w:rPr>
        <w:t xml:space="preserve"> </w:t>
      </w:r>
      <w:r>
        <w:rPr>
          <w:rFonts w:cs="Arial"/>
          <w:bCs/>
        </w:rPr>
        <w:t>There was no clear relationship with dose, with events occurring at 30 (n=1), 45 (n=3), and 60 μg/kg (n=1), but all occurred in cHL</w:t>
      </w:r>
      <w:r w:rsidRPr="00A921A5">
        <w:rPr>
          <w:rFonts w:cs="Arial"/>
          <w:bCs/>
        </w:rPr>
        <w:t xml:space="preserve"> </w:t>
      </w:r>
      <w:r>
        <w:rPr>
          <w:rFonts w:cs="Arial"/>
          <w:bCs/>
        </w:rPr>
        <w:t xml:space="preserve">patients; 3/5 </w:t>
      </w:r>
      <w:r>
        <w:rPr>
          <w:rFonts w:cs="Arial"/>
          <w:bCs/>
        </w:rPr>
        <w:t>(</w:t>
      </w:r>
      <w:r w:rsidRPr="00971CE0">
        <w:rPr>
          <w:rFonts w:cs="Arial"/>
          <w:bCs/>
        </w:rPr>
        <w:t>60·0%)</w:t>
      </w:r>
      <w:r>
        <w:rPr>
          <w:rFonts w:cs="Arial"/>
          <w:bCs/>
        </w:rPr>
        <w:t xml:space="preserve"> </w:t>
      </w:r>
      <w:r>
        <w:rPr>
          <w:rFonts w:cs="Arial"/>
          <w:bCs/>
        </w:rPr>
        <w:t xml:space="preserve">patients had received prior </w:t>
      </w:r>
      <w:proofErr w:type="spellStart"/>
      <w:r>
        <w:rPr>
          <w:rFonts w:cs="Arial"/>
          <w:bCs/>
        </w:rPr>
        <w:t>CHPi</w:t>
      </w:r>
      <w:proofErr w:type="spellEnd"/>
      <w:r>
        <w:rPr>
          <w:rFonts w:cs="Arial"/>
          <w:bCs/>
        </w:rPr>
        <w:t xml:space="preserve"> treatment and 5/5 </w:t>
      </w:r>
      <w:r>
        <w:rPr>
          <w:rFonts w:cs="Arial"/>
          <w:bCs/>
        </w:rPr>
        <w:t>(</w:t>
      </w:r>
      <w:r w:rsidRPr="00971CE0">
        <w:rPr>
          <w:rFonts w:cs="Arial"/>
          <w:bCs/>
        </w:rPr>
        <w:t>100%</w:t>
      </w:r>
      <w:r>
        <w:rPr>
          <w:rFonts w:cs="Arial"/>
          <w:bCs/>
        </w:rPr>
        <w:t xml:space="preserve">) </w:t>
      </w:r>
      <w:r>
        <w:rPr>
          <w:rFonts w:cs="Arial"/>
          <w:bCs/>
        </w:rPr>
        <w:t xml:space="preserve">had prior BV. In three patients, GBS/polyradiculopathy resolved following medical management; </w:t>
      </w:r>
      <w:r>
        <w:rPr>
          <w:szCs w:val="24"/>
        </w:rPr>
        <w:t>one</w:t>
      </w:r>
      <w:r w:rsidRPr="006F6286">
        <w:rPr>
          <w:szCs w:val="24"/>
        </w:rPr>
        <w:t xml:space="preserve"> patient </w:t>
      </w:r>
      <w:r>
        <w:rPr>
          <w:szCs w:val="24"/>
        </w:rPr>
        <w:t>experienced slow recovery with GBS that was ongoing at</w:t>
      </w:r>
      <w:r w:rsidRPr="006F6286">
        <w:rPr>
          <w:szCs w:val="24"/>
        </w:rPr>
        <w:t xml:space="preserve"> </w:t>
      </w:r>
      <w:r>
        <w:rPr>
          <w:szCs w:val="24"/>
        </w:rPr>
        <w:t>study end</w:t>
      </w:r>
      <w:r w:rsidRPr="006F6286">
        <w:rPr>
          <w:szCs w:val="24"/>
        </w:rPr>
        <w:t xml:space="preserve">; and </w:t>
      </w:r>
      <w:r>
        <w:rPr>
          <w:szCs w:val="24"/>
        </w:rPr>
        <w:t>one</w:t>
      </w:r>
      <w:r w:rsidRPr="006F6286">
        <w:rPr>
          <w:szCs w:val="24"/>
        </w:rPr>
        <w:t xml:space="preserve"> patient</w:t>
      </w:r>
      <w:r>
        <w:rPr>
          <w:szCs w:val="24"/>
        </w:rPr>
        <w:t xml:space="preserve"> had</w:t>
      </w:r>
      <w:r w:rsidRPr="006F6286">
        <w:rPr>
          <w:szCs w:val="24"/>
        </w:rPr>
        <w:t xml:space="preserve"> almost</w:t>
      </w:r>
      <w:r>
        <w:rPr>
          <w:szCs w:val="24"/>
        </w:rPr>
        <w:t>-</w:t>
      </w:r>
      <w:r w:rsidRPr="006F6286">
        <w:rPr>
          <w:szCs w:val="24"/>
        </w:rPr>
        <w:t xml:space="preserve">complete </w:t>
      </w:r>
      <w:r>
        <w:rPr>
          <w:szCs w:val="24"/>
        </w:rPr>
        <w:t xml:space="preserve">neurologic </w:t>
      </w:r>
      <w:r w:rsidRPr="006F6286">
        <w:rPr>
          <w:szCs w:val="24"/>
        </w:rPr>
        <w:t xml:space="preserve">recovery </w:t>
      </w:r>
      <w:r>
        <w:rPr>
          <w:szCs w:val="24"/>
        </w:rPr>
        <w:t xml:space="preserve">but </w:t>
      </w:r>
      <w:r w:rsidRPr="006F6286">
        <w:rPr>
          <w:szCs w:val="24"/>
        </w:rPr>
        <w:t>died due to hospital</w:t>
      </w:r>
      <w:r>
        <w:rPr>
          <w:szCs w:val="24"/>
        </w:rPr>
        <w:t>-</w:t>
      </w:r>
      <w:r w:rsidRPr="006F6286">
        <w:rPr>
          <w:szCs w:val="24"/>
        </w:rPr>
        <w:t xml:space="preserve">acquired pneumonia following </w:t>
      </w:r>
      <w:r>
        <w:rPr>
          <w:szCs w:val="24"/>
        </w:rPr>
        <w:t xml:space="preserve">allogeneic </w:t>
      </w:r>
      <w:proofErr w:type="spellStart"/>
      <w:r>
        <w:rPr>
          <w:szCs w:val="24"/>
        </w:rPr>
        <w:t>HCT</w:t>
      </w:r>
      <w:proofErr w:type="spellEnd"/>
      <w:r>
        <w:rPr>
          <w:rFonts w:cs="Arial"/>
          <w:bCs/>
        </w:rPr>
        <w:t>.</w:t>
      </w:r>
    </w:p>
    <w:p w14:paraId="4C089DBB" w14:textId="06D729CD" w:rsidR="00830F07" w:rsidRPr="00EE2598" w:rsidRDefault="00830F07" w:rsidP="0031288A">
      <w:pPr>
        <w:rPr>
          <w:rFonts w:cs="Arial"/>
        </w:rPr>
      </w:pPr>
      <w:bookmarkStart w:id="28" w:name="_Hlk2936053"/>
      <w:r w:rsidRPr="005D6644">
        <w:rPr>
          <w:rFonts w:cs="Arial"/>
        </w:rPr>
        <w:t xml:space="preserve">In total, 130 (97·7%) of 133 patients had post-treatment assessments and were thus evaluable for efficacy; three patients </w:t>
      </w:r>
      <w:r w:rsidRPr="00971CE0">
        <w:rPr>
          <w:rFonts w:cs="Arial"/>
        </w:rPr>
        <w:t>(2·3%)</w:t>
      </w:r>
      <w:r>
        <w:rPr>
          <w:rFonts w:cs="Arial"/>
        </w:rPr>
        <w:t xml:space="preserve"> </w:t>
      </w:r>
      <w:r w:rsidRPr="005D6644">
        <w:rPr>
          <w:rFonts w:cs="Arial"/>
        </w:rPr>
        <w:t>were excluded (no valid post-baseline disease assessment or documented disease progression prior to starting new anticancer therapy, or died)</w:t>
      </w:r>
      <w:r>
        <w:t xml:space="preserve">. </w:t>
      </w:r>
      <w:r w:rsidRPr="00EE2598">
        <w:rPr>
          <w:rFonts w:cs="Arial"/>
        </w:rPr>
        <w:t>ORR</w:t>
      </w:r>
      <w:r>
        <w:rPr>
          <w:rFonts w:cs="Arial"/>
        </w:rPr>
        <w:t>s</w:t>
      </w:r>
      <w:r>
        <w:rPr>
          <w:rFonts w:cs="Arial"/>
        </w:rPr>
        <w:t xml:space="preserve"> (95% CI)</w:t>
      </w:r>
      <w:r w:rsidRPr="00EE2598">
        <w:rPr>
          <w:rFonts w:cs="Arial"/>
        </w:rPr>
        <w:t xml:space="preserve"> </w:t>
      </w:r>
      <w:r>
        <w:rPr>
          <w:rFonts w:cs="Arial"/>
        </w:rPr>
        <w:t xml:space="preserve">for all patients, and cHL and NHL cohorts </w:t>
      </w:r>
      <w:r w:rsidRPr="00EE2598">
        <w:rPr>
          <w:rFonts w:cs="Arial"/>
        </w:rPr>
        <w:t>were 57</w:t>
      </w:r>
      <w:r>
        <w:rPr>
          <w:rFonts w:cs="Arial"/>
        </w:rPr>
        <w:t>·</w:t>
      </w:r>
      <w:r w:rsidRPr="00EE2598">
        <w:rPr>
          <w:rFonts w:cs="Arial"/>
        </w:rPr>
        <w:t>7% (75/130 patients</w:t>
      </w:r>
      <w:r>
        <w:rPr>
          <w:rFonts w:cs="Arial"/>
        </w:rPr>
        <w:t xml:space="preserve"> [</w:t>
      </w:r>
      <w:r w:rsidRPr="00F65971">
        <w:rPr>
          <w:rFonts w:cs="Arial"/>
        </w:rPr>
        <w:t>48</w:t>
      </w:r>
      <w:r w:rsidRPr="00E270A3">
        <w:rPr>
          <w:rFonts w:cs="Arial"/>
        </w:rPr>
        <w:t>·</w:t>
      </w:r>
      <w:r w:rsidRPr="00F65971">
        <w:rPr>
          <w:rFonts w:cs="Arial"/>
        </w:rPr>
        <w:t>7</w:t>
      </w:r>
      <w:r>
        <w:rPr>
          <w:rFonts w:cs="Arial"/>
        </w:rPr>
        <w:t>–</w:t>
      </w:r>
      <w:r w:rsidRPr="00F65971">
        <w:rPr>
          <w:rFonts w:cs="Arial"/>
        </w:rPr>
        <w:t>66.3</w:t>
      </w:r>
      <w:r>
        <w:rPr>
          <w:rFonts w:cs="Arial"/>
        </w:rPr>
        <w:t>]</w:t>
      </w:r>
      <w:r w:rsidRPr="00EE2598">
        <w:rPr>
          <w:rFonts w:cs="Arial"/>
        </w:rPr>
        <w:t>; CR: 28</w:t>
      </w:r>
      <w:r>
        <w:rPr>
          <w:rFonts w:cs="Arial"/>
        </w:rPr>
        <w:t>·</w:t>
      </w:r>
      <w:r w:rsidRPr="00EE2598">
        <w:rPr>
          <w:rFonts w:cs="Arial"/>
        </w:rPr>
        <w:t>5%), 71</w:t>
      </w:r>
      <w:r>
        <w:rPr>
          <w:rFonts w:cs="Arial"/>
        </w:rPr>
        <w:t>·</w:t>
      </w:r>
      <w:r w:rsidRPr="00EE2598">
        <w:rPr>
          <w:rFonts w:cs="Arial"/>
        </w:rPr>
        <w:t>4% (55/77 patients</w:t>
      </w:r>
      <w:r>
        <w:rPr>
          <w:rFonts w:cs="Arial"/>
        </w:rPr>
        <w:t xml:space="preserve"> [</w:t>
      </w:r>
      <w:r w:rsidRPr="00F74677">
        <w:rPr>
          <w:rFonts w:cs="Arial"/>
        </w:rPr>
        <w:t>60</w:t>
      </w:r>
      <w:r w:rsidRPr="00E270A3">
        <w:rPr>
          <w:rFonts w:cs="Arial"/>
        </w:rPr>
        <w:t>·</w:t>
      </w:r>
      <w:r w:rsidRPr="00F74677">
        <w:rPr>
          <w:rFonts w:cs="Arial"/>
        </w:rPr>
        <w:t>0</w:t>
      </w:r>
      <w:r>
        <w:rPr>
          <w:rFonts w:cs="Arial"/>
        </w:rPr>
        <w:t>–</w:t>
      </w:r>
      <w:r w:rsidRPr="00F74677">
        <w:rPr>
          <w:rFonts w:cs="Arial"/>
        </w:rPr>
        <w:t>81</w:t>
      </w:r>
      <w:r w:rsidRPr="00E270A3">
        <w:rPr>
          <w:rFonts w:cs="Arial"/>
        </w:rPr>
        <w:t>·</w:t>
      </w:r>
      <w:r w:rsidRPr="00F74677">
        <w:rPr>
          <w:rFonts w:cs="Arial"/>
        </w:rPr>
        <w:t>2</w:t>
      </w:r>
      <w:r>
        <w:rPr>
          <w:rFonts w:cs="Arial"/>
        </w:rPr>
        <w:t>]</w:t>
      </w:r>
      <w:r w:rsidRPr="00EE2598">
        <w:rPr>
          <w:rFonts w:cs="Arial"/>
        </w:rPr>
        <w:t>; CR: 41</w:t>
      </w:r>
      <w:r>
        <w:rPr>
          <w:rFonts w:cs="Arial"/>
        </w:rPr>
        <w:t>·</w:t>
      </w:r>
      <w:r w:rsidRPr="00EE2598">
        <w:rPr>
          <w:rFonts w:cs="Arial"/>
        </w:rPr>
        <w:t>6%), and 37</w:t>
      </w:r>
      <w:r>
        <w:rPr>
          <w:rFonts w:cs="Arial"/>
        </w:rPr>
        <w:t>·</w:t>
      </w:r>
      <w:r w:rsidRPr="00EE2598">
        <w:rPr>
          <w:rFonts w:cs="Arial"/>
        </w:rPr>
        <w:t>7% (20/53 patients</w:t>
      </w:r>
      <w:r>
        <w:rPr>
          <w:rFonts w:cs="Arial"/>
        </w:rPr>
        <w:t xml:space="preserve"> [</w:t>
      </w:r>
      <w:r w:rsidRPr="008B43CA">
        <w:rPr>
          <w:rFonts w:cs="Arial"/>
        </w:rPr>
        <w:t>24</w:t>
      </w:r>
      <w:r w:rsidRPr="00E270A3">
        <w:rPr>
          <w:rFonts w:cs="Arial"/>
        </w:rPr>
        <w:t>·</w:t>
      </w:r>
      <w:r w:rsidRPr="008B43CA">
        <w:rPr>
          <w:rFonts w:cs="Arial"/>
        </w:rPr>
        <w:t>8</w:t>
      </w:r>
      <w:r>
        <w:rPr>
          <w:rFonts w:cs="Arial"/>
        </w:rPr>
        <w:t>–</w:t>
      </w:r>
      <w:r w:rsidRPr="008B43CA">
        <w:rPr>
          <w:rFonts w:cs="Arial"/>
        </w:rPr>
        <w:t>52</w:t>
      </w:r>
      <w:r w:rsidRPr="00E270A3">
        <w:rPr>
          <w:rFonts w:cs="Arial"/>
        </w:rPr>
        <w:t>·</w:t>
      </w:r>
      <w:r w:rsidRPr="008B43CA">
        <w:rPr>
          <w:rFonts w:cs="Arial"/>
        </w:rPr>
        <w:t>1</w:t>
      </w:r>
      <w:r>
        <w:rPr>
          <w:rFonts w:cs="Arial"/>
        </w:rPr>
        <w:t>]</w:t>
      </w:r>
      <w:r w:rsidRPr="00EE2598">
        <w:rPr>
          <w:rFonts w:cs="Arial"/>
        </w:rPr>
        <w:t>; CR: 9</w:t>
      </w:r>
      <w:r>
        <w:rPr>
          <w:rFonts w:cs="Arial"/>
        </w:rPr>
        <w:t>·</w:t>
      </w:r>
      <w:r w:rsidRPr="00EE2598">
        <w:rPr>
          <w:rFonts w:cs="Arial"/>
        </w:rPr>
        <w:t>4%)</w:t>
      </w:r>
      <w:r>
        <w:rPr>
          <w:rFonts w:cs="Arial"/>
        </w:rPr>
        <w:t xml:space="preserve">, respectively; </w:t>
      </w:r>
      <w:r w:rsidRPr="00EE2598">
        <w:rPr>
          <w:rFonts w:cs="Arial"/>
          <w:b/>
        </w:rPr>
        <w:t xml:space="preserve">Figure </w:t>
      </w:r>
      <w:r>
        <w:rPr>
          <w:rFonts w:cs="Arial"/>
          <w:b/>
        </w:rPr>
        <w:t>2</w:t>
      </w:r>
      <w:r w:rsidRPr="00EE2598">
        <w:rPr>
          <w:rFonts w:cs="Arial"/>
        </w:rPr>
        <w:t xml:space="preserve">. </w:t>
      </w:r>
    </w:p>
    <w:p w14:paraId="3AC9F11D" w14:textId="07AF7A6D" w:rsidR="00830F07" w:rsidRPr="00EE2598" w:rsidRDefault="00830F07" w:rsidP="0031288A">
      <w:pPr>
        <w:rPr>
          <w:rFonts w:cs="Arial"/>
        </w:rPr>
      </w:pPr>
      <w:r>
        <w:rPr>
          <w:rFonts w:cs="Arial"/>
        </w:rPr>
        <w:t>In</w:t>
      </w:r>
      <w:r w:rsidRPr="00EE2598">
        <w:rPr>
          <w:rFonts w:cs="Arial"/>
        </w:rPr>
        <w:t xml:space="preserve"> the cHL cohort</w:t>
      </w:r>
      <w:r>
        <w:rPr>
          <w:rFonts w:cs="Arial"/>
        </w:rPr>
        <w:t>,</w:t>
      </w:r>
      <w:r w:rsidRPr="00EE2598">
        <w:rPr>
          <w:rFonts w:cs="Arial"/>
        </w:rPr>
        <w:t xml:space="preserve"> ORR </w:t>
      </w:r>
      <w:r>
        <w:rPr>
          <w:rFonts w:cs="Arial"/>
        </w:rPr>
        <w:t xml:space="preserve">(95% CI) </w:t>
      </w:r>
      <w:r w:rsidRPr="00EE2598">
        <w:rPr>
          <w:rFonts w:cs="Arial"/>
        </w:rPr>
        <w:t>was 86</w:t>
      </w:r>
      <w:r>
        <w:rPr>
          <w:rFonts w:cs="Arial"/>
        </w:rPr>
        <w:t>·</w:t>
      </w:r>
      <w:r w:rsidRPr="00EE2598">
        <w:rPr>
          <w:rFonts w:cs="Arial"/>
        </w:rPr>
        <w:t xml:space="preserve">5% at 45 </w:t>
      </w:r>
      <w:r>
        <w:rPr>
          <w:rFonts w:cs="Arial"/>
        </w:rPr>
        <w:t>µ</w:t>
      </w:r>
      <w:r w:rsidRPr="00EE2598">
        <w:rPr>
          <w:rFonts w:cs="Arial"/>
        </w:rPr>
        <w:t>g/kg (32/37 patients</w:t>
      </w:r>
      <w:r>
        <w:rPr>
          <w:rFonts w:cs="Arial"/>
        </w:rPr>
        <w:t xml:space="preserve"> [</w:t>
      </w:r>
      <w:r w:rsidRPr="00193A14">
        <w:rPr>
          <w:rFonts w:cs="Arial"/>
        </w:rPr>
        <w:t>71·2–95·5</w:t>
      </w:r>
      <w:r>
        <w:rPr>
          <w:rFonts w:cs="Arial"/>
        </w:rPr>
        <w:t>]</w:t>
      </w:r>
      <w:r w:rsidRPr="00EE2598">
        <w:rPr>
          <w:rFonts w:cs="Arial"/>
        </w:rPr>
        <w:t>) and 55</w:t>
      </w:r>
      <w:r>
        <w:rPr>
          <w:rFonts w:cs="Arial"/>
        </w:rPr>
        <w:t>·</w:t>
      </w:r>
      <w:r w:rsidRPr="00EE2598">
        <w:rPr>
          <w:rFonts w:cs="Arial"/>
        </w:rPr>
        <w:t xml:space="preserve">0% at 30 </w:t>
      </w:r>
      <w:r>
        <w:rPr>
          <w:rFonts w:cs="Arial"/>
        </w:rPr>
        <w:t>µ</w:t>
      </w:r>
      <w:r w:rsidRPr="00EE2598">
        <w:rPr>
          <w:rFonts w:cs="Arial"/>
        </w:rPr>
        <w:t>g/kg (11/20 patients</w:t>
      </w:r>
      <w:r>
        <w:rPr>
          <w:rFonts w:cs="Arial"/>
        </w:rPr>
        <w:t xml:space="preserve"> [</w:t>
      </w:r>
      <w:r w:rsidRPr="004A1C27">
        <w:rPr>
          <w:rFonts w:cs="Arial"/>
        </w:rPr>
        <w:t>31·5–76·9</w:t>
      </w:r>
      <w:r>
        <w:rPr>
          <w:rFonts w:cs="Arial"/>
        </w:rPr>
        <w:t>]</w:t>
      </w:r>
      <w:r w:rsidRPr="00EE2598">
        <w:rPr>
          <w:rFonts w:cs="Arial"/>
        </w:rPr>
        <w:t>); 48</w:t>
      </w:r>
      <w:r>
        <w:rPr>
          <w:rFonts w:cs="Arial"/>
        </w:rPr>
        <w:t>·</w:t>
      </w:r>
      <w:r w:rsidRPr="00EE2598">
        <w:rPr>
          <w:rFonts w:cs="Arial"/>
        </w:rPr>
        <w:t xml:space="preserve">6% </w:t>
      </w:r>
      <w:r>
        <w:rPr>
          <w:rFonts w:cs="Arial"/>
        </w:rPr>
        <w:t>(</w:t>
      </w:r>
      <w:r w:rsidRPr="00746585">
        <w:rPr>
          <w:rFonts w:cs="Arial"/>
        </w:rPr>
        <w:t>18/</w:t>
      </w:r>
      <w:r>
        <w:rPr>
          <w:rFonts w:cs="Arial"/>
        </w:rPr>
        <w:t xml:space="preserve">37 patients) </w:t>
      </w:r>
      <w:r w:rsidRPr="00EE2598">
        <w:rPr>
          <w:rFonts w:cs="Arial"/>
        </w:rPr>
        <w:t>and 35</w:t>
      </w:r>
      <w:r>
        <w:rPr>
          <w:rFonts w:cs="Arial"/>
        </w:rPr>
        <w:t>·</w:t>
      </w:r>
      <w:r w:rsidRPr="00EE2598">
        <w:rPr>
          <w:rFonts w:cs="Arial"/>
        </w:rPr>
        <w:t>0%</w:t>
      </w:r>
      <w:r>
        <w:rPr>
          <w:rFonts w:cs="Arial"/>
        </w:rPr>
        <w:t xml:space="preserve"> (7/20 patients)</w:t>
      </w:r>
      <w:r>
        <w:rPr>
          <w:rFonts w:cs="Arial"/>
        </w:rPr>
        <w:t xml:space="preserve"> achieved CR</w:t>
      </w:r>
      <w:r w:rsidRPr="00EE2598">
        <w:rPr>
          <w:rFonts w:cs="Arial"/>
        </w:rPr>
        <w:t>, respectively</w:t>
      </w:r>
      <w:r>
        <w:rPr>
          <w:rFonts w:cs="Arial"/>
        </w:rPr>
        <w:t xml:space="preserve"> (</w:t>
      </w:r>
      <w:r w:rsidRPr="00F22217">
        <w:rPr>
          <w:rFonts w:cs="Arial"/>
          <w:b/>
          <w:bCs/>
        </w:rPr>
        <w:t>Table S</w:t>
      </w:r>
      <w:r>
        <w:rPr>
          <w:rFonts w:cs="Arial"/>
          <w:b/>
          <w:bCs/>
        </w:rPr>
        <w:t>7</w:t>
      </w:r>
      <w:r w:rsidRPr="003B71E3">
        <w:rPr>
          <w:rFonts w:cs="Arial"/>
          <w:bCs/>
        </w:rPr>
        <w:t xml:space="preserve"> </w:t>
      </w:r>
      <w:r>
        <w:rPr>
          <w:rFonts w:cs="Arial"/>
          <w:bCs/>
        </w:rPr>
        <w:t>appendix p13</w:t>
      </w:r>
      <w:r>
        <w:rPr>
          <w:rFonts w:cs="Arial"/>
        </w:rPr>
        <w:t>)</w:t>
      </w:r>
      <w:r w:rsidRPr="00EE2598">
        <w:rPr>
          <w:rFonts w:cs="Arial"/>
        </w:rPr>
        <w:t xml:space="preserve">. </w:t>
      </w:r>
      <w:bookmarkStart w:id="29" w:name="_Hlk64481421"/>
      <w:bookmarkStart w:id="30" w:name="_Hlk57145490"/>
      <w:r w:rsidRPr="00EE2598">
        <w:rPr>
          <w:rFonts w:cs="Arial"/>
          <w:lang w:val="en-GB"/>
        </w:rPr>
        <w:t>Notably,</w:t>
      </w:r>
      <w:r w:rsidRPr="008C18DE">
        <w:t xml:space="preserve"> </w:t>
      </w:r>
      <w:r w:rsidRPr="00B17E60">
        <w:rPr>
          <w:rFonts w:cs="Arial"/>
          <w:lang w:val="en-GB"/>
        </w:rPr>
        <w:t xml:space="preserve">in </w:t>
      </w:r>
      <w:bookmarkStart w:id="31" w:name="_Hlk64481323"/>
      <w:r w:rsidRPr="00B17E60">
        <w:rPr>
          <w:rFonts w:cs="Arial"/>
          <w:lang w:val="en-GB"/>
        </w:rPr>
        <w:t>prespecified and post-hoc subgroup analyses</w:t>
      </w:r>
      <w:bookmarkEnd w:id="31"/>
      <w:r>
        <w:rPr>
          <w:rFonts w:cs="Arial"/>
          <w:lang w:val="en-GB"/>
        </w:rPr>
        <w:t xml:space="preserve">, </w:t>
      </w:r>
      <w:r w:rsidRPr="00EE2598">
        <w:rPr>
          <w:rFonts w:cs="Arial"/>
          <w:lang w:val="en-GB"/>
        </w:rPr>
        <w:t xml:space="preserve">ORRs </w:t>
      </w:r>
      <w:r>
        <w:rPr>
          <w:rFonts w:cs="Arial"/>
          <w:lang w:val="en-GB"/>
        </w:rPr>
        <w:t xml:space="preserve">(95% CI) </w:t>
      </w:r>
      <w:r w:rsidRPr="00EE2598">
        <w:rPr>
          <w:rFonts w:cs="Arial"/>
          <w:lang w:val="en-GB"/>
        </w:rPr>
        <w:t xml:space="preserve">at 45 µg/kg </w:t>
      </w:r>
      <w:r>
        <w:rPr>
          <w:rFonts w:cs="Arial"/>
          <w:lang w:val="en-GB"/>
        </w:rPr>
        <w:t xml:space="preserve">remained comparable </w:t>
      </w:r>
      <w:bookmarkStart w:id="32" w:name="_Hlk64481471"/>
      <w:r>
        <w:rPr>
          <w:rFonts w:cs="Arial"/>
          <w:lang w:val="en-GB"/>
        </w:rPr>
        <w:t xml:space="preserve">in </w:t>
      </w:r>
      <w:bookmarkEnd w:id="29"/>
      <w:r>
        <w:rPr>
          <w:rFonts w:cs="Arial"/>
          <w:lang w:val="en-GB"/>
        </w:rPr>
        <w:t xml:space="preserve">patients who received prior </w:t>
      </w:r>
      <w:r w:rsidRPr="00EE2598">
        <w:rPr>
          <w:rFonts w:cs="Arial"/>
          <w:lang w:val="en-GB"/>
        </w:rPr>
        <w:t>BV </w:t>
      </w:r>
      <w:bookmarkEnd w:id="32"/>
      <w:r w:rsidRPr="00EE2598">
        <w:rPr>
          <w:rFonts w:cs="Arial"/>
          <w:lang w:val="en-GB"/>
        </w:rPr>
        <w:t>(32/37 patients, 86</w:t>
      </w:r>
      <w:r>
        <w:rPr>
          <w:rFonts w:cs="Arial"/>
          <w:lang w:val="en-GB"/>
        </w:rPr>
        <w:t>·</w:t>
      </w:r>
      <w:r w:rsidRPr="00EE2598">
        <w:rPr>
          <w:rFonts w:cs="Arial"/>
          <w:lang w:val="en-GB"/>
        </w:rPr>
        <w:t>5%</w:t>
      </w:r>
      <w:r>
        <w:rPr>
          <w:rFonts w:cs="Arial"/>
          <w:lang w:val="en-GB"/>
        </w:rPr>
        <w:t xml:space="preserve"> [</w:t>
      </w:r>
      <w:r w:rsidRPr="002A29A1">
        <w:rPr>
          <w:rFonts w:cs="Arial"/>
          <w:lang w:val="en-GB"/>
        </w:rPr>
        <w:t>71</w:t>
      </w:r>
      <w:r>
        <w:rPr>
          <w:rFonts w:cs="Arial"/>
          <w:lang w:val="en-GB"/>
        </w:rPr>
        <w:t>·</w:t>
      </w:r>
      <w:r w:rsidRPr="002A29A1">
        <w:rPr>
          <w:rFonts w:cs="Arial"/>
          <w:lang w:val="en-GB"/>
        </w:rPr>
        <w:t>2</w:t>
      </w:r>
      <w:r>
        <w:rPr>
          <w:rFonts w:cs="Arial"/>
          <w:lang w:val="en-GB"/>
        </w:rPr>
        <w:t>–</w:t>
      </w:r>
      <w:r w:rsidRPr="002A29A1">
        <w:rPr>
          <w:rFonts w:cs="Arial"/>
          <w:lang w:val="en-GB"/>
        </w:rPr>
        <w:t>95</w:t>
      </w:r>
      <w:r>
        <w:rPr>
          <w:rFonts w:cs="Arial"/>
          <w:lang w:val="en-GB"/>
        </w:rPr>
        <w:t>·</w:t>
      </w:r>
      <w:r w:rsidRPr="002A29A1">
        <w:rPr>
          <w:rFonts w:cs="Arial"/>
          <w:lang w:val="en-GB"/>
        </w:rPr>
        <w:t>5</w:t>
      </w:r>
      <w:r>
        <w:rPr>
          <w:rFonts w:cs="Arial"/>
          <w:lang w:val="en-GB"/>
        </w:rPr>
        <w:t>]</w:t>
      </w:r>
      <w:r w:rsidRPr="00EE2598">
        <w:rPr>
          <w:rFonts w:cs="Arial"/>
          <w:lang w:val="en-GB"/>
        </w:rPr>
        <w:t xml:space="preserve">), both BV and a </w:t>
      </w:r>
      <w:proofErr w:type="spellStart"/>
      <w:r w:rsidRPr="00EE2598">
        <w:rPr>
          <w:rFonts w:cs="Arial"/>
          <w:lang w:val="en-GB"/>
        </w:rPr>
        <w:t>CHPi</w:t>
      </w:r>
      <w:proofErr w:type="spellEnd"/>
      <w:r w:rsidRPr="00EE2598">
        <w:rPr>
          <w:rFonts w:cs="Arial"/>
          <w:lang w:val="en-GB"/>
        </w:rPr>
        <w:t xml:space="preserve"> (23/26 patients, 88</w:t>
      </w:r>
      <w:r>
        <w:rPr>
          <w:rFonts w:cs="Arial"/>
          <w:lang w:val="en-GB"/>
        </w:rPr>
        <w:t>·</w:t>
      </w:r>
      <w:r w:rsidRPr="00EE2598">
        <w:rPr>
          <w:rFonts w:cs="Arial"/>
          <w:lang w:val="en-GB"/>
        </w:rPr>
        <w:t>5%</w:t>
      </w:r>
      <w:r>
        <w:rPr>
          <w:rFonts w:cs="Arial"/>
          <w:lang w:val="en-GB"/>
        </w:rPr>
        <w:t xml:space="preserve"> [</w:t>
      </w:r>
      <w:r w:rsidRPr="00186969">
        <w:rPr>
          <w:rFonts w:cs="Arial"/>
          <w:lang w:val="en-GB"/>
        </w:rPr>
        <w:t>69</w:t>
      </w:r>
      <w:r>
        <w:rPr>
          <w:rFonts w:cs="Arial"/>
          <w:lang w:val="en-GB"/>
        </w:rPr>
        <w:t>·</w:t>
      </w:r>
      <w:r w:rsidRPr="00186969">
        <w:rPr>
          <w:rFonts w:cs="Arial"/>
          <w:lang w:val="en-GB"/>
        </w:rPr>
        <w:t>8</w:t>
      </w:r>
      <w:r>
        <w:rPr>
          <w:rFonts w:cs="Arial"/>
          <w:lang w:val="en-GB"/>
        </w:rPr>
        <w:t>–</w:t>
      </w:r>
      <w:r w:rsidRPr="00186969">
        <w:rPr>
          <w:rFonts w:cs="Arial"/>
          <w:lang w:val="en-GB"/>
        </w:rPr>
        <w:t>97</w:t>
      </w:r>
      <w:r>
        <w:rPr>
          <w:rFonts w:cs="Arial"/>
          <w:lang w:val="en-GB"/>
        </w:rPr>
        <w:t>·</w:t>
      </w:r>
      <w:r w:rsidRPr="00186969">
        <w:rPr>
          <w:rFonts w:cs="Arial"/>
          <w:lang w:val="en-GB"/>
        </w:rPr>
        <w:t>6</w:t>
      </w:r>
      <w:r>
        <w:rPr>
          <w:rFonts w:cs="Arial"/>
          <w:lang w:val="en-GB"/>
        </w:rPr>
        <w:t>]</w:t>
      </w:r>
      <w:r w:rsidRPr="00EE2598">
        <w:rPr>
          <w:rFonts w:cs="Arial"/>
          <w:lang w:val="en-GB"/>
        </w:rPr>
        <w:t xml:space="preserve">), </w:t>
      </w:r>
      <w:proofErr w:type="spellStart"/>
      <w:r>
        <w:rPr>
          <w:rFonts w:cs="Arial"/>
          <w:lang w:val="en-GB"/>
        </w:rPr>
        <w:t>HCT</w:t>
      </w:r>
      <w:proofErr w:type="spellEnd"/>
      <w:r w:rsidRPr="00EE2598">
        <w:rPr>
          <w:rFonts w:cs="Arial"/>
          <w:lang w:val="en-GB"/>
        </w:rPr>
        <w:t xml:space="preserve"> (14/16 patients, 87</w:t>
      </w:r>
      <w:r>
        <w:rPr>
          <w:rFonts w:cs="Arial"/>
          <w:lang w:val="en-GB"/>
        </w:rPr>
        <w:t>·</w:t>
      </w:r>
      <w:r w:rsidRPr="00EE2598">
        <w:rPr>
          <w:rFonts w:cs="Arial"/>
          <w:lang w:val="en-GB"/>
        </w:rPr>
        <w:t>5%</w:t>
      </w:r>
      <w:r>
        <w:rPr>
          <w:rFonts w:cs="Arial"/>
          <w:lang w:val="en-GB"/>
        </w:rPr>
        <w:t xml:space="preserve"> [</w:t>
      </w:r>
      <w:r w:rsidRPr="000A73D2">
        <w:rPr>
          <w:rFonts w:cs="Arial"/>
          <w:lang w:val="en-GB"/>
        </w:rPr>
        <w:t>61</w:t>
      </w:r>
      <w:r w:rsidRPr="00E270A3">
        <w:rPr>
          <w:rFonts w:cs="Arial"/>
        </w:rPr>
        <w:t>·</w:t>
      </w:r>
      <w:r w:rsidRPr="000A73D2">
        <w:rPr>
          <w:rFonts w:cs="Arial"/>
          <w:lang w:val="en-GB"/>
        </w:rPr>
        <w:t>7</w:t>
      </w:r>
      <w:r>
        <w:rPr>
          <w:rFonts w:cs="Arial"/>
          <w:lang w:val="en-GB"/>
        </w:rPr>
        <w:t>–</w:t>
      </w:r>
      <w:r w:rsidRPr="000A73D2">
        <w:rPr>
          <w:rFonts w:cs="Arial"/>
          <w:lang w:val="en-GB"/>
        </w:rPr>
        <w:t>98</w:t>
      </w:r>
      <w:r w:rsidRPr="00E270A3">
        <w:rPr>
          <w:rFonts w:cs="Arial"/>
        </w:rPr>
        <w:t>·</w:t>
      </w:r>
      <w:r w:rsidRPr="000A73D2">
        <w:rPr>
          <w:rFonts w:cs="Arial"/>
          <w:lang w:val="en-GB"/>
        </w:rPr>
        <w:t>4</w:t>
      </w:r>
      <w:r>
        <w:rPr>
          <w:rFonts w:cs="Arial"/>
          <w:lang w:val="en-GB"/>
        </w:rPr>
        <w:t>]</w:t>
      </w:r>
      <w:r w:rsidRPr="00EE2598">
        <w:rPr>
          <w:rFonts w:cs="Arial"/>
          <w:lang w:val="en-GB"/>
        </w:rPr>
        <w:t xml:space="preserve">), or all three </w:t>
      </w:r>
      <w:r w:rsidRPr="00F22217">
        <w:rPr>
          <w:rFonts w:cs="Arial"/>
        </w:rPr>
        <w:t>(11/12, 91</w:t>
      </w:r>
      <w:r>
        <w:rPr>
          <w:rFonts w:cs="Arial"/>
        </w:rPr>
        <w:t>·</w:t>
      </w:r>
      <w:r w:rsidRPr="00F22217">
        <w:rPr>
          <w:rFonts w:cs="Arial"/>
        </w:rPr>
        <w:t>7%</w:t>
      </w:r>
      <w:r>
        <w:rPr>
          <w:rFonts w:cs="Arial"/>
        </w:rPr>
        <w:t xml:space="preserve"> [</w:t>
      </w:r>
      <w:r w:rsidRPr="000A73D2">
        <w:rPr>
          <w:rFonts w:cs="Arial"/>
        </w:rPr>
        <w:t>(61</w:t>
      </w:r>
      <w:r w:rsidRPr="00E270A3">
        <w:rPr>
          <w:rFonts w:cs="Arial"/>
        </w:rPr>
        <w:t>·</w:t>
      </w:r>
      <w:r w:rsidRPr="000A73D2">
        <w:rPr>
          <w:rFonts w:cs="Arial"/>
        </w:rPr>
        <w:t>5</w:t>
      </w:r>
      <w:r>
        <w:rPr>
          <w:rFonts w:cs="Arial"/>
        </w:rPr>
        <w:t>–</w:t>
      </w:r>
      <w:r w:rsidRPr="000A73D2">
        <w:rPr>
          <w:rFonts w:cs="Arial"/>
        </w:rPr>
        <w:t>99</w:t>
      </w:r>
      <w:r w:rsidRPr="00E270A3">
        <w:rPr>
          <w:rFonts w:cs="Arial"/>
        </w:rPr>
        <w:t>·</w:t>
      </w:r>
      <w:r w:rsidRPr="000A73D2">
        <w:rPr>
          <w:rFonts w:cs="Arial"/>
        </w:rPr>
        <w:t>8</w:t>
      </w:r>
      <w:r>
        <w:rPr>
          <w:rFonts w:cs="Arial"/>
        </w:rPr>
        <w:t>]</w:t>
      </w:r>
      <w:r w:rsidRPr="00F22217">
        <w:rPr>
          <w:rFonts w:cs="Arial"/>
        </w:rPr>
        <w:t xml:space="preserve">). </w:t>
      </w:r>
      <w:bookmarkEnd w:id="30"/>
      <w:r w:rsidRPr="00F22217">
        <w:rPr>
          <w:rFonts w:cs="Arial"/>
        </w:rPr>
        <w:t>High response rates were observed in other subgroups analyzed</w:t>
      </w:r>
      <w:r>
        <w:rPr>
          <w:rFonts w:cs="Arial"/>
        </w:rPr>
        <w:t xml:space="preserve"> </w:t>
      </w:r>
      <w:bookmarkStart w:id="33" w:name="_Hlk58361055"/>
      <w:r>
        <w:rPr>
          <w:rFonts w:cs="Arial"/>
        </w:rPr>
        <w:t>(</w:t>
      </w:r>
      <w:r w:rsidRPr="00F22217">
        <w:rPr>
          <w:rFonts w:cs="Arial"/>
          <w:b/>
          <w:bCs/>
        </w:rPr>
        <w:t xml:space="preserve">Table </w:t>
      </w:r>
      <w:bookmarkEnd w:id="33"/>
      <w:r w:rsidRPr="00F22217">
        <w:rPr>
          <w:rFonts w:cs="Arial"/>
          <w:b/>
          <w:bCs/>
        </w:rPr>
        <w:t>S</w:t>
      </w:r>
      <w:r>
        <w:rPr>
          <w:rFonts w:cs="Arial"/>
          <w:b/>
          <w:bCs/>
        </w:rPr>
        <w:t>8</w:t>
      </w:r>
      <w:r w:rsidRPr="00086BDB">
        <w:rPr>
          <w:rFonts w:cs="Arial"/>
          <w:bCs/>
        </w:rPr>
        <w:t xml:space="preserve"> </w:t>
      </w:r>
      <w:r>
        <w:rPr>
          <w:rFonts w:cs="Arial"/>
          <w:bCs/>
        </w:rPr>
        <w:t>appendix p14</w:t>
      </w:r>
      <w:r>
        <w:rPr>
          <w:rFonts w:cs="Arial"/>
          <w:b/>
          <w:bCs/>
        </w:rPr>
        <w:t>)</w:t>
      </w:r>
      <w:r>
        <w:rPr>
          <w:rFonts w:cs="Arial"/>
          <w:lang w:val="en-GB"/>
        </w:rPr>
        <w:t>.</w:t>
      </w:r>
    </w:p>
    <w:p w14:paraId="7033AE10" w14:textId="5D4D464A" w:rsidR="00830F07" w:rsidRDefault="00830F07" w:rsidP="0031288A">
      <w:pPr>
        <w:rPr>
          <w:rFonts w:cs="Arial"/>
        </w:rPr>
      </w:pPr>
      <w:r w:rsidRPr="00150FA0">
        <w:rPr>
          <w:rFonts w:cs="Arial"/>
        </w:rPr>
        <w:lastRenderedPageBreak/>
        <w:t xml:space="preserve">Median (95% CI) </w:t>
      </w:r>
      <w:proofErr w:type="spellStart"/>
      <w:r>
        <w:rPr>
          <w:rFonts w:cs="Arial"/>
        </w:rPr>
        <w:t>DoR</w:t>
      </w:r>
      <w:proofErr w:type="spellEnd"/>
      <w:r w:rsidRPr="00150FA0">
        <w:rPr>
          <w:rFonts w:cs="Arial"/>
        </w:rPr>
        <w:t xml:space="preserve"> </w:t>
      </w:r>
      <w:r>
        <w:rPr>
          <w:rFonts w:cs="Arial"/>
        </w:rPr>
        <w:t>for the cHL population was</w:t>
      </w:r>
      <w:r w:rsidRPr="00150FA0">
        <w:rPr>
          <w:rFonts w:cs="Arial"/>
        </w:rPr>
        <w:t xml:space="preserve"> 6</w:t>
      </w:r>
      <w:r w:rsidRPr="00600D49">
        <w:rPr>
          <w:rFonts w:cs="Arial"/>
        </w:rPr>
        <w:t>·</w:t>
      </w:r>
      <w:r w:rsidRPr="001B24B3">
        <w:rPr>
          <w:rFonts w:cs="Arial"/>
        </w:rPr>
        <w:t xml:space="preserve">64 </w:t>
      </w:r>
      <w:r>
        <w:rPr>
          <w:rFonts w:cs="Arial"/>
        </w:rPr>
        <w:t xml:space="preserve">months </w:t>
      </w:r>
      <w:r w:rsidRPr="001B24B3">
        <w:rPr>
          <w:rFonts w:cs="Arial"/>
        </w:rPr>
        <w:t>(5</w:t>
      </w:r>
      <w:r w:rsidRPr="00600D49">
        <w:rPr>
          <w:rFonts w:cs="Arial"/>
        </w:rPr>
        <w:t>·</w:t>
      </w:r>
      <w:r w:rsidRPr="001B24B3">
        <w:rPr>
          <w:rFonts w:cs="Arial"/>
        </w:rPr>
        <w:t>06</w:t>
      </w:r>
      <w:r>
        <w:rPr>
          <w:rFonts w:cs="Arial"/>
        </w:rPr>
        <w:t>–</w:t>
      </w:r>
      <w:r w:rsidRPr="001B24B3">
        <w:rPr>
          <w:rFonts w:cs="Arial"/>
        </w:rPr>
        <w:t>8</w:t>
      </w:r>
      <w:r w:rsidRPr="00600D49">
        <w:rPr>
          <w:rFonts w:cs="Arial"/>
        </w:rPr>
        <w:t>·</w:t>
      </w:r>
      <w:r w:rsidRPr="00150FA0">
        <w:rPr>
          <w:rFonts w:cs="Arial"/>
        </w:rPr>
        <w:t>11)</w:t>
      </w:r>
      <w:r>
        <w:rPr>
          <w:rFonts w:cs="Arial"/>
        </w:rPr>
        <w:t>, and was 7</w:t>
      </w:r>
      <w:r w:rsidRPr="00600D49">
        <w:rPr>
          <w:rFonts w:cs="Arial"/>
        </w:rPr>
        <w:t>·</w:t>
      </w:r>
      <w:r w:rsidRPr="001B24B3">
        <w:rPr>
          <w:rFonts w:cs="Arial"/>
        </w:rPr>
        <w:t xml:space="preserve">16 </w:t>
      </w:r>
      <w:r>
        <w:rPr>
          <w:rFonts w:cs="Arial"/>
        </w:rPr>
        <w:t xml:space="preserve">months </w:t>
      </w:r>
      <w:r w:rsidRPr="001B24B3">
        <w:rPr>
          <w:rFonts w:cs="Arial"/>
        </w:rPr>
        <w:t>(4</w:t>
      </w:r>
      <w:r w:rsidRPr="00600D49">
        <w:rPr>
          <w:rFonts w:cs="Arial"/>
        </w:rPr>
        <w:t>·</w:t>
      </w:r>
      <w:r w:rsidRPr="001B24B3">
        <w:rPr>
          <w:rFonts w:cs="Arial"/>
        </w:rPr>
        <w:t>57</w:t>
      </w:r>
      <w:r>
        <w:rPr>
          <w:rFonts w:cs="Arial"/>
        </w:rPr>
        <w:t>–</w:t>
      </w:r>
      <w:r w:rsidRPr="001B24B3">
        <w:rPr>
          <w:rFonts w:cs="Arial"/>
        </w:rPr>
        <w:t>8</w:t>
      </w:r>
      <w:r w:rsidRPr="00600D49">
        <w:rPr>
          <w:rFonts w:cs="Arial"/>
        </w:rPr>
        <w:t>·</w:t>
      </w:r>
      <w:r w:rsidRPr="001B24B3">
        <w:rPr>
          <w:rFonts w:cs="Arial"/>
        </w:rPr>
        <w:t>51)</w:t>
      </w:r>
      <w:r w:rsidRPr="00561D28">
        <w:rPr>
          <w:rFonts w:cs="Arial"/>
        </w:rPr>
        <w:t xml:space="preserve"> </w:t>
      </w:r>
      <w:r>
        <w:rPr>
          <w:rFonts w:cs="Arial"/>
        </w:rPr>
        <w:t xml:space="preserve">in patients treated at </w:t>
      </w:r>
      <w:r w:rsidRPr="00150FA0">
        <w:rPr>
          <w:rFonts w:cs="Arial"/>
        </w:rPr>
        <w:t>45 μg/kg</w:t>
      </w:r>
      <w:r>
        <w:rPr>
          <w:rFonts w:cs="Arial"/>
        </w:rPr>
        <w:t xml:space="preserve"> </w:t>
      </w:r>
      <w:r w:rsidRPr="00150FA0">
        <w:rPr>
          <w:rFonts w:cs="Arial"/>
        </w:rPr>
        <w:t>(</w:t>
      </w:r>
      <w:r w:rsidRPr="00552822">
        <w:rPr>
          <w:rFonts w:cs="Arial"/>
          <w:b/>
          <w:bCs/>
        </w:rPr>
        <w:t>Figure</w:t>
      </w:r>
      <w:r>
        <w:rPr>
          <w:rFonts w:cs="Arial"/>
          <w:b/>
          <w:bCs/>
        </w:rPr>
        <w:t> </w:t>
      </w:r>
      <w:r>
        <w:rPr>
          <w:rFonts w:cs="Arial"/>
          <w:b/>
          <w:bCs/>
        </w:rPr>
        <w:t>3</w:t>
      </w:r>
      <w:r w:rsidRPr="00552822">
        <w:rPr>
          <w:rFonts w:cs="Arial"/>
          <w:b/>
          <w:bCs/>
        </w:rPr>
        <w:t>A</w:t>
      </w:r>
      <w:r w:rsidRPr="00150FA0">
        <w:rPr>
          <w:rFonts w:cs="Arial"/>
        </w:rPr>
        <w:t>)</w:t>
      </w:r>
      <w:r>
        <w:rPr>
          <w:rFonts w:cs="Arial"/>
        </w:rPr>
        <w:t xml:space="preserve">. For patients with CR, median </w:t>
      </w:r>
      <w:proofErr w:type="spellStart"/>
      <w:r>
        <w:rPr>
          <w:rFonts w:cs="Arial"/>
        </w:rPr>
        <w:t>DoR</w:t>
      </w:r>
      <w:proofErr w:type="spellEnd"/>
      <w:r>
        <w:rPr>
          <w:rFonts w:cs="Arial"/>
        </w:rPr>
        <w:t xml:space="preserve"> (95% CI) was 8</w:t>
      </w:r>
      <w:r w:rsidRPr="00600D49">
        <w:rPr>
          <w:rFonts w:cs="Arial"/>
        </w:rPr>
        <w:t>·</w:t>
      </w:r>
      <w:r>
        <w:rPr>
          <w:rFonts w:cs="Arial"/>
        </w:rPr>
        <w:t>11 months (5</w:t>
      </w:r>
      <w:r w:rsidRPr="00600D49">
        <w:rPr>
          <w:rFonts w:cs="Arial"/>
        </w:rPr>
        <w:t>·</w:t>
      </w:r>
      <w:r>
        <w:rPr>
          <w:rFonts w:cs="Arial"/>
        </w:rPr>
        <w:t>06–12</w:t>
      </w:r>
      <w:r w:rsidRPr="00600D49">
        <w:rPr>
          <w:rFonts w:cs="Arial"/>
        </w:rPr>
        <w:t>·</w:t>
      </w:r>
      <w:r>
        <w:rPr>
          <w:rFonts w:cs="Arial"/>
        </w:rPr>
        <w:t>16</w:t>
      </w:r>
      <w:r w:rsidRPr="00542B09">
        <w:rPr>
          <w:rFonts w:cs="Arial"/>
        </w:rPr>
        <w:t>)</w:t>
      </w:r>
      <w:r w:rsidRPr="00542B09">
        <w:rPr>
          <w:rFonts w:cs="Arial"/>
        </w:rPr>
        <w:t xml:space="preserve"> (17 events)</w:t>
      </w:r>
      <w:r w:rsidRPr="00542B09">
        <w:rPr>
          <w:rFonts w:cs="Arial"/>
        </w:rPr>
        <w:t>.</w:t>
      </w:r>
      <w:r>
        <w:rPr>
          <w:rFonts w:cs="Arial"/>
        </w:rPr>
        <w:t xml:space="preserve"> </w:t>
      </w:r>
      <w:r w:rsidRPr="00150FA0">
        <w:rPr>
          <w:rFonts w:cs="Arial"/>
        </w:rPr>
        <w:t xml:space="preserve">Median (95% CI) </w:t>
      </w:r>
      <w:proofErr w:type="spellStart"/>
      <w:r>
        <w:rPr>
          <w:rFonts w:cs="Arial"/>
        </w:rPr>
        <w:t>PFS</w:t>
      </w:r>
      <w:proofErr w:type="spellEnd"/>
      <w:r w:rsidRPr="00150FA0">
        <w:rPr>
          <w:rFonts w:cs="Arial"/>
        </w:rPr>
        <w:t xml:space="preserve"> w</w:t>
      </w:r>
      <w:r>
        <w:rPr>
          <w:rFonts w:cs="Arial"/>
        </w:rPr>
        <w:t>as</w:t>
      </w:r>
      <w:r w:rsidRPr="00150FA0">
        <w:rPr>
          <w:rFonts w:cs="Arial"/>
        </w:rPr>
        <w:t xml:space="preserve"> 6</w:t>
      </w:r>
      <w:r>
        <w:rPr>
          <w:rFonts w:cs="Arial"/>
        </w:rPr>
        <w:t>·</w:t>
      </w:r>
      <w:r w:rsidRPr="00150FA0">
        <w:rPr>
          <w:rFonts w:cs="Arial"/>
        </w:rPr>
        <w:t xml:space="preserve">83 </w:t>
      </w:r>
      <w:r>
        <w:rPr>
          <w:rFonts w:cs="Arial"/>
        </w:rPr>
        <w:t xml:space="preserve">months </w:t>
      </w:r>
      <w:r w:rsidRPr="00150FA0">
        <w:rPr>
          <w:rFonts w:cs="Arial"/>
        </w:rPr>
        <w:t>(5</w:t>
      </w:r>
      <w:r>
        <w:rPr>
          <w:rFonts w:cs="Arial"/>
        </w:rPr>
        <w:t>·</w:t>
      </w:r>
      <w:r w:rsidRPr="00150FA0">
        <w:rPr>
          <w:rFonts w:cs="Arial"/>
        </w:rPr>
        <w:t>75</w:t>
      </w:r>
      <w:r>
        <w:rPr>
          <w:rFonts w:cs="Arial"/>
        </w:rPr>
        <w:t>–</w:t>
      </w:r>
      <w:r w:rsidRPr="00150FA0">
        <w:rPr>
          <w:rFonts w:cs="Arial"/>
        </w:rPr>
        <w:t>8</w:t>
      </w:r>
      <w:r>
        <w:rPr>
          <w:rFonts w:cs="Arial"/>
        </w:rPr>
        <w:t>·</w:t>
      </w:r>
      <w:r w:rsidRPr="00150FA0">
        <w:rPr>
          <w:rFonts w:cs="Arial"/>
        </w:rPr>
        <w:t>54) for all doses, and 6</w:t>
      </w:r>
      <w:r w:rsidRPr="00600D49">
        <w:rPr>
          <w:rFonts w:cs="Arial"/>
        </w:rPr>
        <w:t>·</w:t>
      </w:r>
      <w:r w:rsidRPr="00150FA0">
        <w:rPr>
          <w:rFonts w:cs="Arial"/>
        </w:rPr>
        <w:t xml:space="preserve">97 </w:t>
      </w:r>
      <w:r>
        <w:rPr>
          <w:rFonts w:cs="Arial"/>
        </w:rPr>
        <w:t xml:space="preserve">months </w:t>
      </w:r>
      <w:r w:rsidRPr="00150FA0">
        <w:rPr>
          <w:rFonts w:cs="Arial"/>
        </w:rPr>
        <w:t>(5</w:t>
      </w:r>
      <w:r w:rsidRPr="00600D49">
        <w:rPr>
          <w:rFonts w:cs="Arial"/>
        </w:rPr>
        <w:t>·</w:t>
      </w:r>
      <w:r w:rsidRPr="00150FA0">
        <w:rPr>
          <w:rFonts w:cs="Arial"/>
        </w:rPr>
        <w:t>75</w:t>
      </w:r>
      <w:r>
        <w:rPr>
          <w:rFonts w:cs="Arial"/>
        </w:rPr>
        <w:t>–</w:t>
      </w:r>
      <w:r w:rsidRPr="00150FA0">
        <w:rPr>
          <w:rFonts w:cs="Arial"/>
        </w:rPr>
        <w:t>9</w:t>
      </w:r>
      <w:r w:rsidRPr="00600D49">
        <w:rPr>
          <w:rFonts w:cs="Arial"/>
        </w:rPr>
        <w:t>·</w:t>
      </w:r>
      <w:r w:rsidRPr="00150FA0">
        <w:rPr>
          <w:rFonts w:cs="Arial"/>
        </w:rPr>
        <w:t xml:space="preserve">69) </w:t>
      </w:r>
      <w:r>
        <w:rPr>
          <w:rFonts w:cs="Arial"/>
        </w:rPr>
        <w:t xml:space="preserve">at </w:t>
      </w:r>
      <w:r w:rsidRPr="00150FA0">
        <w:rPr>
          <w:rFonts w:cs="Arial"/>
        </w:rPr>
        <w:t>45 μg/kg (</w:t>
      </w:r>
      <w:r w:rsidRPr="00BF0195">
        <w:rPr>
          <w:rFonts w:cs="Arial"/>
          <w:b/>
          <w:bCs/>
        </w:rPr>
        <w:t xml:space="preserve">Figure </w:t>
      </w:r>
      <w:r>
        <w:rPr>
          <w:rFonts w:cs="Arial"/>
          <w:b/>
          <w:bCs/>
        </w:rPr>
        <w:t>3</w:t>
      </w:r>
      <w:r w:rsidRPr="00BF0195">
        <w:rPr>
          <w:rFonts w:cs="Arial"/>
          <w:b/>
          <w:bCs/>
        </w:rPr>
        <w:t>B</w:t>
      </w:r>
      <w:r w:rsidRPr="00150FA0">
        <w:rPr>
          <w:rFonts w:cs="Arial"/>
        </w:rPr>
        <w:t>).</w:t>
      </w:r>
      <w:r>
        <w:rPr>
          <w:rFonts w:cs="Arial"/>
        </w:rPr>
        <w:t xml:space="preserve"> </w:t>
      </w:r>
      <w:r w:rsidRPr="00EE2598">
        <w:rPr>
          <w:rFonts w:cs="Arial"/>
        </w:rPr>
        <w:t>Median OS was not reached (</w:t>
      </w:r>
      <w:r w:rsidRPr="00EE2598">
        <w:rPr>
          <w:rFonts w:cs="Arial"/>
          <w:b/>
        </w:rPr>
        <w:t xml:space="preserve">Figure </w:t>
      </w:r>
      <w:r>
        <w:rPr>
          <w:rFonts w:cs="Arial"/>
          <w:b/>
        </w:rPr>
        <w:t>3</w:t>
      </w:r>
      <w:r w:rsidRPr="00EE2598">
        <w:rPr>
          <w:rFonts w:cs="Arial"/>
          <w:b/>
        </w:rPr>
        <w:t>C</w:t>
      </w:r>
      <w:r w:rsidRPr="00EE2598">
        <w:rPr>
          <w:rFonts w:cs="Arial"/>
        </w:rPr>
        <w:t xml:space="preserve">). </w:t>
      </w:r>
      <w:bookmarkStart w:id="34" w:name="_Hlk44438096"/>
    </w:p>
    <w:p w14:paraId="09A9A0E4" w14:textId="77777777" w:rsidR="00830F07" w:rsidRPr="00971CE0" w:rsidRDefault="00830F07" w:rsidP="0031288A">
      <w:pPr>
        <w:rPr>
          <w:rFonts w:cs="Arial"/>
        </w:rPr>
      </w:pPr>
      <w:r>
        <w:rPr>
          <w:rFonts w:cs="Arial"/>
        </w:rPr>
        <w:t>In</w:t>
      </w:r>
      <w:r w:rsidRPr="00EE2598">
        <w:rPr>
          <w:rFonts w:cs="Arial"/>
        </w:rPr>
        <w:t xml:space="preserve"> total</w:t>
      </w:r>
      <w:r>
        <w:rPr>
          <w:rFonts w:cs="Arial"/>
        </w:rPr>
        <w:t>, 43/</w:t>
      </w:r>
      <w:r w:rsidRPr="00EE2598">
        <w:rPr>
          <w:rFonts w:cs="Arial"/>
        </w:rPr>
        <w:t xml:space="preserve">77 patients </w:t>
      </w:r>
      <w:r>
        <w:rPr>
          <w:rFonts w:cs="Arial"/>
        </w:rPr>
        <w:t xml:space="preserve">(55·8%) </w:t>
      </w:r>
      <w:r>
        <w:rPr>
          <w:rFonts w:cs="Arial"/>
        </w:rPr>
        <w:t xml:space="preserve">received </w:t>
      </w:r>
      <w:r w:rsidRPr="00EE2598">
        <w:rPr>
          <w:rFonts w:cs="Arial"/>
        </w:rPr>
        <w:t xml:space="preserve">subsequent anticancer therapy, including </w:t>
      </w:r>
      <w:bookmarkEnd w:id="34"/>
      <w:r>
        <w:rPr>
          <w:rFonts w:cs="Arial"/>
        </w:rPr>
        <w:t>three</w:t>
      </w:r>
      <w:r>
        <w:rPr>
          <w:rFonts w:cs="Arial"/>
        </w:rPr>
        <w:t xml:space="preserve"> (</w:t>
      </w:r>
      <w:r w:rsidRPr="00971CE0">
        <w:rPr>
          <w:rFonts w:cs="Arial"/>
        </w:rPr>
        <w:t>3·9%)</w:t>
      </w:r>
      <w:r w:rsidRPr="00EE2598">
        <w:rPr>
          <w:rFonts w:cs="Arial"/>
        </w:rPr>
        <w:t xml:space="preserve"> who received CAR-T therapy</w:t>
      </w:r>
      <w:r>
        <w:rPr>
          <w:rFonts w:cs="Arial"/>
        </w:rPr>
        <w:t xml:space="preserve"> and ten </w:t>
      </w:r>
      <w:r>
        <w:rPr>
          <w:rFonts w:cs="Arial"/>
        </w:rPr>
        <w:t>(</w:t>
      </w:r>
      <w:r w:rsidRPr="00971CE0">
        <w:rPr>
          <w:rFonts w:cs="Arial"/>
        </w:rPr>
        <w:t>13·0%)</w:t>
      </w:r>
      <w:r>
        <w:rPr>
          <w:rFonts w:cs="Arial"/>
        </w:rPr>
        <w:t xml:space="preserve"> </w:t>
      </w:r>
      <w:r>
        <w:rPr>
          <w:rFonts w:cs="Arial"/>
        </w:rPr>
        <w:t xml:space="preserve">who received </w:t>
      </w:r>
      <w:proofErr w:type="spellStart"/>
      <w:r>
        <w:rPr>
          <w:rFonts w:cs="Arial"/>
        </w:rPr>
        <w:t>HCT</w:t>
      </w:r>
      <w:proofErr w:type="spellEnd"/>
      <w:r>
        <w:rPr>
          <w:rFonts w:cs="Arial"/>
        </w:rPr>
        <w:t xml:space="preserve"> (nine allogeneic) as their next treatment after camidanlumab </w:t>
      </w:r>
      <w:r w:rsidRPr="00971CE0">
        <w:rPr>
          <w:rFonts w:cs="Arial"/>
        </w:rPr>
        <w:t>tesirine.</w:t>
      </w:r>
      <w:r w:rsidRPr="00971CE0">
        <w:rPr>
          <w:rFonts w:cs="Arial"/>
          <w:bCs/>
        </w:rPr>
        <w:t xml:space="preserve"> </w:t>
      </w:r>
    </w:p>
    <w:p w14:paraId="4B8DEEB8" w14:textId="788E5FD8" w:rsidR="00830F07" w:rsidRPr="00EE2598" w:rsidRDefault="00830F07" w:rsidP="0031288A">
      <w:pPr>
        <w:rPr>
          <w:rFonts w:cs="Arial"/>
          <w:bCs/>
        </w:rPr>
      </w:pPr>
      <w:bookmarkStart w:id="35" w:name="_Hlk44438339"/>
      <w:r w:rsidRPr="00971CE0">
        <w:rPr>
          <w:rFonts w:cs="Arial"/>
          <w:bCs/>
        </w:rPr>
        <w:t xml:space="preserve">Notably, responses for </w:t>
      </w:r>
      <w:r w:rsidRPr="00D50FC0">
        <w:rPr>
          <w:rFonts w:cs="Arial"/>
          <w:bCs/>
        </w:rPr>
        <w:t xml:space="preserve">four cHL patients </w:t>
      </w:r>
      <w:bookmarkStart w:id="36" w:name="_Hlk44515568"/>
      <w:r w:rsidRPr="00971CE0">
        <w:rPr>
          <w:rFonts w:cs="Arial"/>
          <w:bCs/>
        </w:rPr>
        <w:t>(4/77; 5·2%)</w:t>
      </w:r>
      <w:r>
        <w:rPr>
          <w:rFonts w:cs="Arial"/>
          <w:bCs/>
        </w:rPr>
        <w:t xml:space="preserve"> </w:t>
      </w:r>
      <w:r w:rsidRPr="00EE2598">
        <w:rPr>
          <w:rFonts w:cs="Arial"/>
          <w:bCs/>
        </w:rPr>
        <w:t xml:space="preserve">improved </w:t>
      </w:r>
      <w:r>
        <w:rPr>
          <w:rFonts w:cs="Arial"/>
          <w:bCs/>
        </w:rPr>
        <w:t>from PR to CR</w:t>
      </w:r>
      <w:r w:rsidRPr="00EE2598">
        <w:rPr>
          <w:rFonts w:cs="Arial"/>
          <w:bCs/>
        </w:rPr>
        <w:t xml:space="preserve"> </w:t>
      </w:r>
      <w:r>
        <w:rPr>
          <w:rFonts w:cs="Arial"/>
          <w:bCs/>
        </w:rPr>
        <w:t xml:space="preserve">at disease assessments </w:t>
      </w:r>
      <w:r w:rsidRPr="00EE2598">
        <w:rPr>
          <w:rFonts w:cs="Arial"/>
          <w:bCs/>
        </w:rPr>
        <w:t xml:space="preserve">≥6 weeks </w:t>
      </w:r>
      <w:r>
        <w:rPr>
          <w:rFonts w:cs="Arial"/>
          <w:bCs/>
        </w:rPr>
        <w:t>post-</w:t>
      </w:r>
      <w:r w:rsidRPr="00EE2598">
        <w:rPr>
          <w:rFonts w:cs="Arial"/>
          <w:bCs/>
        </w:rPr>
        <w:t xml:space="preserve">last infusion </w:t>
      </w:r>
      <w:r>
        <w:rPr>
          <w:rFonts w:cs="Arial"/>
          <w:bCs/>
        </w:rPr>
        <w:t xml:space="preserve">despite no further treatment </w:t>
      </w:r>
      <w:r w:rsidRPr="00EE2598">
        <w:rPr>
          <w:rFonts w:cs="Arial"/>
          <w:bCs/>
        </w:rPr>
        <w:t>(</w:t>
      </w:r>
      <w:r w:rsidRPr="00EE2598">
        <w:rPr>
          <w:rFonts w:cs="Arial"/>
          <w:b/>
          <w:bCs/>
        </w:rPr>
        <w:t xml:space="preserve">Figure </w:t>
      </w:r>
      <w:r>
        <w:rPr>
          <w:rFonts w:cs="Arial"/>
          <w:b/>
          <w:bCs/>
        </w:rPr>
        <w:t>2</w:t>
      </w:r>
      <w:r w:rsidRPr="00EE2598">
        <w:rPr>
          <w:rFonts w:cs="Arial"/>
          <w:b/>
          <w:bCs/>
        </w:rPr>
        <w:t>A</w:t>
      </w:r>
      <w:r w:rsidRPr="00EE2598">
        <w:rPr>
          <w:rFonts w:cs="Arial"/>
          <w:bCs/>
        </w:rPr>
        <w:t>).</w:t>
      </w:r>
    </w:p>
    <w:bookmarkEnd w:id="35"/>
    <w:bookmarkEnd w:id="36"/>
    <w:p w14:paraId="260CC4DC" w14:textId="3486E4E6" w:rsidR="00830F07" w:rsidRDefault="00830F07" w:rsidP="0031288A">
      <w:pPr>
        <w:rPr>
          <w:rFonts w:cs="Arial"/>
        </w:rPr>
      </w:pPr>
      <w:r>
        <w:t>ORR</w:t>
      </w:r>
      <w:r>
        <w:t xml:space="preserve"> (95% CI)</w:t>
      </w:r>
      <w:r>
        <w:t xml:space="preserve"> in B-NHL was </w:t>
      </w:r>
      <w:r w:rsidRPr="00EE2598">
        <w:rPr>
          <w:rFonts w:cs="Arial"/>
        </w:rPr>
        <w:t>22</w:t>
      </w:r>
      <w:r>
        <w:rPr>
          <w:rFonts w:cs="Arial"/>
        </w:rPr>
        <w:t>·</w:t>
      </w:r>
      <w:r w:rsidRPr="00EE2598">
        <w:rPr>
          <w:rFonts w:cs="Arial"/>
        </w:rPr>
        <w:t xml:space="preserve">7% </w:t>
      </w:r>
      <w:r>
        <w:rPr>
          <w:rFonts w:cs="Arial"/>
        </w:rPr>
        <w:t>(</w:t>
      </w:r>
      <w:r w:rsidRPr="00EE2598">
        <w:rPr>
          <w:rFonts w:cs="Arial"/>
        </w:rPr>
        <w:t>5/22</w:t>
      </w:r>
      <w:r>
        <w:rPr>
          <w:rFonts w:cs="Arial"/>
        </w:rPr>
        <w:t xml:space="preserve"> patients</w:t>
      </w:r>
      <w:r>
        <w:rPr>
          <w:rFonts w:cs="Arial"/>
        </w:rPr>
        <w:t xml:space="preserve"> [</w:t>
      </w:r>
      <w:r w:rsidRPr="00F801AA">
        <w:rPr>
          <w:rFonts w:cs="Arial"/>
        </w:rPr>
        <w:t>7</w:t>
      </w:r>
      <w:r w:rsidRPr="00E270A3">
        <w:rPr>
          <w:rFonts w:cs="Arial"/>
        </w:rPr>
        <w:t>·</w:t>
      </w:r>
      <w:r w:rsidRPr="00F801AA">
        <w:rPr>
          <w:rFonts w:cs="Arial"/>
        </w:rPr>
        <w:t>8</w:t>
      </w:r>
      <w:r>
        <w:rPr>
          <w:rFonts w:cs="Arial"/>
        </w:rPr>
        <w:t>–</w:t>
      </w:r>
      <w:r w:rsidRPr="00F801AA">
        <w:rPr>
          <w:rFonts w:cs="Arial"/>
        </w:rPr>
        <w:t>45</w:t>
      </w:r>
      <w:r w:rsidRPr="00E270A3">
        <w:rPr>
          <w:rFonts w:cs="Arial"/>
        </w:rPr>
        <w:t>·</w:t>
      </w:r>
      <w:r w:rsidRPr="00F801AA">
        <w:rPr>
          <w:rFonts w:cs="Arial"/>
        </w:rPr>
        <w:t>4</w:t>
      </w:r>
      <w:r>
        <w:rPr>
          <w:rFonts w:cs="Arial"/>
        </w:rPr>
        <w:t>]</w:t>
      </w:r>
      <w:r>
        <w:rPr>
          <w:rFonts w:cs="Arial"/>
        </w:rPr>
        <w:t>) overall.</w:t>
      </w:r>
      <w:r w:rsidRPr="00E00E6E">
        <w:rPr>
          <w:rFonts w:cs="Arial"/>
        </w:rPr>
        <w:t xml:space="preserve"> </w:t>
      </w:r>
      <w:r>
        <w:rPr>
          <w:rFonts w:cs="Arial"/>
        </w:rPr>
        <w:t xml:space="preserve">In </w:t>
      </w:r>
      <w:r w:rsidRPr="00F33194">
        <w:rPr>
          <w:rFonts w:cs="Arial"/>
        </w:rPr>
        <w:t xml:space="preserve">diffuse large B-cell lymphoma (DLBCL; including </w:t>
      </w:r>
      <w:r>
        <w:rPr>
          <w:rFonts w:cs="Arial"/>
        </w:rPr>
        <w:t>one</w:t>
      </w:r>
      <w:r w:rsidRPr="00F33194">
        <w:rPr>
          <w:rFonts w:cs="Arial"/>
        </w:rPr>
        <w:t xml:space="preserve"> patient with mediastinal [thymic] large B-cell lymphoma)</w:t>
      </w:r>
      <w:r>
        <w:rPr>
          <w:rFonts w:cs="Arial"/>
        </w:rPr>
        <w:t xml:space="preserve">, ORR </w:t>
      </w:r>
      <w:r>
        <w:rPr>
          <w:rFonts w:cs="Arial"/>
        </w:rPr>
        <w:t xml:space="preserve">(95% CI) </w:t>
      </w:r>
      <w:r>
        <w:rPr>
          <w:rFonts w:cs="Arial"/>
        </w:rPr>
        <w:t>at</w:t>
      </w:r>
      <w:r w:rsidRPr="00F33194">
        <w:rPr>
          <w:rFonts w:cs="Arial"/>
        </w:rPr>
        <w:t xml:space="preserve"> doses ≥60 µg/kg was 30·8% (4/13, including </w:t>
      </w:r>
      <w:r>
        <w:rPr>
          <w:rFonts w:cs="Arial"/>
        </w:rPr>
        <w:t>two</w:t>
      </w:r>
      <w:r w:rsidRPr="00F33194">
        <w:rPr>
          <w:rFonts w:cs="Arial"/>
        </w:rPr>
        <w:t xml:space="preserve"> </w:t>
      </w:r>
      <w:r w:rsidRPr="00F33194">
        <w:rPr>
          <w:rFonts w:cs="Arial"/>
        </w:rPr>
        <w:t>patients with CR</w:t>
      </w:r>
      <w:r>
        <w:rPr>
          <w:rFonts w:cs="Arial"/>
        </w:rPr>
        <w:t xml:space="preserve"> [</w:t>
      </w:r>
      <w:r w:rsidRPr="00E43BF8">
        <w:rPr>
          <w:rFonts w:cs="Arial"/>
        </w:rPr>
        <w:t>9·1–61·4</w:t>
      </w:r>
      <w:r>
        <w:rPr>
          <w:rFonts w:cs="Arial"/>
        </w:rPr>
        <w:t>]</w:t>
      </w:r>
      <w:r w:rsidRPr="00F33194">
        <w:rPr>
          <w:rFonts w:cs="Arial"/>
        </w:rPr>
        <w:t xml:space="preserve">; </w:t>
      </w:r>
      <w:r w:rsidRPr="00F33194">
        <w:rPr>
          <w:rFonts w:cs="Arial"/>
          <w:b/>
          <w:bCs/>
        </w:rPr>
        <w:t xml:space="preserve">Table </w:t>
      </w:r>
      <w:r w:rsidRPr="00F33194">
        <w:rPr>
          <w:rFonts w:cs="Arial"/>
          <w:b/>
          <w:bCs/>
        </w:rPr>
        <w:t>S</w:t>
      </w:r>
      <w:r>
        <w:rPr>
          <w:rFonts w:cs="Arial"/>
          <w:b/>
          <w:bCs/>
        </w:rPr>
        <w:t>9</w:t>
      </w:r>
      <w:r w:rsidRPr="00B50087">
        <w:rPr>
          <w:rFonts w:cs="Arial"/>
          <w:bCs/>
        </w:rPr>
        <w:t xml:space="preserve"> </w:t>
      </w:r>
      <w:r>
        <w:rPr>
          <w:rFonts w:cs="Arial"/>
          <w:bCs/>
        </w:rPr>
        <w:t>appendix p15</w:t>
      </w:r>
      <w:r w:rsidRPr="00F33194">
        <w:rPr>
          <w:rFonts w:cs="Arial"/>
        </w:rPr>
        <w:t>); 7</w:t>
      </w:r>
      <w:r>
        <w:rPr>
          <w:rFonts w:cs="Arial"/>
        </w:rPr>
        <w:t>/13</w:t>
      </w:r>
      <w:r w:rsidRPr="00F33194">
        <w:rPr>
          <w:rFonts w:cs="Arial"/>
        </w:rPr>
        <w:t xml:space="preserve"> (53·8%) had received high-dose chemotherapy and </w:t>
      </w:r>
      <w:proofErr w:type="spellStart"/>
      <w:r w:rsidRPr="00F33194">
        <w:rPr>
          <w:rFonts w:cs="Arial"/>
        </w:rPr>
        <w:t>HCT</w:t>
      </w:r>
      <w:proofErr w:type="spellEnd"/>
      <w:r w:rsidRPr="00F33194">
        <w:rPr>
          <w:rFonts w:cs="Arial"/>
        </w:rPr>
        <w:t xml:space="preserve"> prior to the study</w:t>
      </w:r>
      <w:r>
        <w:rPr>
          <w:rFonts w:cs="Arial"/>
        </w:rPr>
        <w:t>; none</w:t>
      </w:r>
      <w:r w:rsidRPr="00F33194">
        <w:rPr>
          <w:rFonts w:cs="Arial"/>
        </w:rPr>
        <w:t xml:space="preserve"> had received </w:t>
      </w:r>
      <w:r>
        <w:rPr>
          <w:rFonts w:cs="Arial"/>
        </w:rPr>
        <w:t xml:space="preserve">prior </w:t>
      </w:r>
      <w:r w:rsidRPr="00F33194">
        <w:rPr>
          <w:rFonts w:cs="Arial"/>
        </w:rPr>
        <w:t xml:space="preserve">CAR-T </w:t>
      </w:r>
      <w:r>
        <w:rPr>
          <w:rFonts w:cs="Arial"/>
        </w:rPr>
        <w:t xml:space="preserve">therapy. </w:t>
      </w:r>
      <w:r>
        <w:t xml:space="preserve">Although antitumor activity in B-NHL was observed at doses </w:t>
      </w:r>
      <w:r>
        <w:rPr>
          <w:rFonts w:cs="Arial"/>
        </w:rPr>
        <w:t>≥</w:t>
      </w:r>
      <w:r>
        <w:t>60</w:t>
      </w:r>
      <w:r w:rsidRPr="009E2345">
        <w:rPr>
          <w:rFonts w:cs="Arial"/>
        </w:rPr>
        <w:t xml:space="preserve"> </w:t>
      </w:r>
      <w:r w:rsidRPr="00150FA0">
        <w:rPr>
          <w:rFonts w:cs="Arial"/>
        </w:rPr>
        <w:t>μg/kg</w:t>
      </w:r>
      <w:r>
        <w:rPr>
          <w:rFonts w:cs="Arial"/>
        </w:rPr>
        <w:t>,</w:t>
      </w:r>
      <w:r>
        <w:t xml:space="preserve"> </w:t>
      </w:r>
      <w:r>
        <w:rPr>
          <w:rFonts w:cs="Arial"/>
        </w:rPr>
        <w:t xml:space="preserve">ORRs were lower </w:t>
      </w:r>
      <w:r w:rsidRPr="00EE2598">
        <w:rPr>
          <w:rFonts w:cs="Arial"/>
        </w:rPr>
        <w:t xml:space="preserve">than observed </w:t>
      </w:r>
      <w:r>
        <w:rPr>
          <w:rFonts w:cs="Arial"/>
        </w:rPr>
        <w:t xml:space="preserve">in a concurrent study </w:t>
      </w:r>
      <w:r w:rsidRPr="00EE2598">
        <w:rPr>
          <w:rFonts w:cs="Arial"/>
        </w:rPr>
        <w:t>with loncastuximab tesirine</w:t>
      </w:r>
      <w:r>
        <w:rPr>
          <w:rFonts w:cs="Arial"/>
        </w:rPr>
        <w:t xml:space="preserve"> (</w:t>
      </w:r>
      <w:r w:rsidRPr="00EE2598">
        <w:rPr>
          <w:rFonts w:cs="Arial"/>
        </w:rPr>
        <w:t>CD19-targeted ADC</w:t>
      </w:r>
      <w:r>
        <w:rPr>
          <w:rFonts w:cs="Arial"/>
        </w:rPr>
        <w:t>),</w:t>
      </w:r>
      <w:r w:rsidRPr="000140EA">
        <w:rPr>
          <w:rFonts w:cs="Arial"/>
          <w:noProof/>
          <w:vertAlign w:val="superscript"/>
        </w:rPr>
        <w:t>18</w:t>
      </w:r>
      <w:r>
        <w:rPr>
          <w:rFonts w:cs="Arial"/>
        </w:rPr>
        <w:t xml:space="preserve"> </w:t>
      </w:r>
      <w:r w:rsidRPr="00EE2598">
        <w:rPr>
          <w:rFonts w:cs="Arial"/>
        </w:rPr>
        <w:t>thus dose expansion in NHL</w:t>
      </w:r>
      <w:r w:rsidRPr="001B4376">
        <w:t xml:space="preserve"> </w:t>
      </w:r>
      <w:r w:rsidRPr="00EE2598">
        <w:rPr>
          <w:rFonts w:cs="Arial"/>
        </w:rPr>
        <w:t xml:space="preserve">was </w:t>
      </w:r>
      <w:r>
        <w:rPr>
          <w:rFonts w:cs="Arial"/>
        </w:rPr>
        <w:t>restricted to</w:t>
      </w:r>
      <w:r w:rsidRPr="00EE2598">
        <w:rPr>
          <w:rFonts w:cs="Arial"/>
        </w:rPr>
        <w:t xml:space="preserve"> T-</w:t>
      </w:r>
      <w:r>
        <w:rPr>
          <w:rFonts w:cs="Arial"/>
        </w:rPr>
        <w:t>NHL</w:t>
      </w:r>
      <w:r w:rsidRPr="00EE2598">
        <w:rPr>
          <w:rFonts w:cs="Arial"/>
        </w:rPr>
        <w:t xml:space="preserve">. </w:t>
      </w:r>
      <w:bookmarkStart w:id="37" w:name="_Hlk44438497"/>
    </w:p>
    <w:p w14:paraId="52E8F8F3" w14:textId="0A8601C9" w:rsidR="00830F07" w:rsidRDefault="00830F07" w:rsidP="0031288A">
      <w:pPr>
        <w:rPr>
          <w:rFonts w:cs="Arial"/>
        </w:rPr>
      </w:pPr>
      <w:r w:rsidRPr="00EE2598">
        <w:rPr>
          <w:rFonts w:cs="Arial"/>
        </w:rPr>
        <w:t>ORRs</w:t>
      </w:r>
      <w:r>
        <w:rPr>
          <w:rFonts w:cs="Arial"/>
        </w:rPr>
        <w:t xml:space="preserve"> (95% CI)</w:t>
      </w:r>
      <w:r w:rsidRPr="00EE2598">
        <w:rPr>
          <w:rFonts w:cs="Arial"/>
        </w:rPr>
        <w:t xml:space="preserve"> in all patients with T-</w:t>
      </w:r>
      <w:r>
        <w:rPr>
          <w:rFonts w:cs="Arial"/>
        </w:rPr>
        <w:t>NHL overall</w:t>
      </w:r>
      <w:r w:rsidRPr="00EE2598">
        <w:rPr>
          <w:rFonts w:cs="Arial"/>
        </w:rPr>
        <w:t>, and at 60</w:t>
      </w:r>
      <w:r>
        <w:rPr>
          <w:rFonts w:cs="Arial"/>
        </w:rPr>
        <w:t>,</w:t>
      </w:r>
      <w:r w:rsidRPr="00EE2598">
        <w:rPr>
          <w:rFonts w:cs="Arial"/>
        </w:rPr>
        <w:t xml:space="preserve"> 80</w:t>
      </w:r>
      <w:r>
        <w:rPr>
          <w:rFonts w:cs="Arial"/>
        </w:rPr>
        <w:t>, and 100</w:t>
      </w:r>
      <w:r w:rsidRPr="00EE2598">
        <w:rPr>
          <w:rFonts w:cs="Arial"/>
        </w:rPr>
        <w:t xml:space="preserve"> μg/kg</w:t>
      </w:r>
      <w:r w:rsidRPr="004B339F">
        <w:rPr>
          <w:rFonts w:cs="Arial"/>
        </w:rPr>
        <w:t xml:space="preserve"> </w:t>
      </w:r>
      <w:r w:rsidRPr="00EE2598">
        <w:rPr>
          <w:rFonts w:cs="Arial"/>
        </w:rPr>
        <w:t>doses, were 48</w:t>
      </w:r>
      <w:r>
        <w:rPr>
          <w:rFonts w:cs="Arial"/>
        </w:rPr>
        <w:t>·</w:t>
      </w:r>
      <w:r w:rsidRPr="00EE2598">
        <w:rPr>
          <w:rFonts w:cs="Arial"/>
        </w:rPr>
        <w:t>4% (15/31 patients</w:t>
      </w:r>
      <w:r>
        <w:rPr>
          <w:rFonts w:cs="Arial"/>
        </w:rPr>
        <w:t xml:space="preserve"> [</w:t>
      </w:r>
      <w:r w:rsidRPr="00657273">
        <w:rPr>
          <w:rFonts w:cs="Arial"/>
        </w:rPr>
        <w:t>30</w:t>
      </w:r>
      <w:r w:rsidRPr="00E270A3">
        <w:rPr>
          <w:rFonts w:cs="Arial"/>
        </w:rPr>
        <w:t>·</w:t>
      </w:r>
      <w:r w:rsidRPr="00657273">
        <w:rPr>
          <w:rFonts w:cs="Arial"/>
        </w:rPr>
        <w:t>2</w:t>
      </w:r>
      <w:r>
        <w:rPr>
          <w:rFonts w:cs="Arial"/>
        </w:rPr>
        <w:t>–</w:t>
      </w:r>
      <w:r w:rsidRPr="00657273">
        <w:rPr>
          <w:rFonts w:cs="Arial"/>
        </w:rPr>
        <w:t>66</w:t>
      </w:r>
      <w:r w:rsidRPr="00E270A3">
        <w:rPr>
          <w:rFonts w:cs="Arial"/>
        </w:rPr>
        <w:t>·</w:t>
      </w:r>
      <w:r w:rsidRPr="00657273">
        <w:rPr>
          <w:rFonts w:cs="Arial"/>
        </w:rPr>
        <w:t>9</w:t>
      </w:r>
      <w:r>
        <w:rPr>
          <w:rFonts w:cs="Arial"/>
        </w:rPr>
        <w:t>]</w:t>
      </w:r>
      <w:r w:rsidRPr="00EE2598">
        <w:rPr>
          <w:rFonts w:cs="Arial"/>
        </w:rPr>
        <w:t>), 60% (6/10 patients</w:t>
      </w:r>
      <w:r>
        <w:rPr>
          <w:rFonts w:cs="Arial"/>
        </w:rPr>
        <w:t xml:space="preserve"> [</w:t>
      </w:r>
      <w:r w:rsidRPr="007F3979">
        <w:rPr>
          <w:rFonts w:cs="Arial"/>
        </w:rPr>
        <w:t>26</w:t>
      </w:r>
      <w:r w:rsidRPr="00E270A3">
        <w:rPr>
          <w:rFonts w:cs="Arial"/>
        </w:rPr>
        <w:t>·</w:t>
      </w:r>
      <w:r w:rsidRPr="007F3979">
        <w:rPr>
          <w:rFonts w:cs="Arial"/>
        </w:rPr>
        <w:t>2</w:t>
      </w:r>
      <w:r>
        <w:rPr>
          <w:rFonts w:cs="Arial"/>
        </w:rPr>
        <w:t>–</w:t>
      </w:r>
      <w:r w:rsidRPr="007F3979">
        <w:rPr>
          <w:rFonts w:cs="Arial"/>
        </w:rPr>
        <w:t>87</w:t>
      </w:r>
      <w:r w:rsidRPr="00E270A3">
        <w:rPr>
          <w:rFonts w:cs="Arial"/>
        </w:rPr>
        <w:t>·</w:t>
      </w:r>
      <w:r w:rsidRPr="007F3979">
        <w:rPr>
          <w:rFonts w:cs="Arial"/>
        </w:rPr>
        <w:t>8</w:t>
      </w:r>
      <w:r>
        <w:rPr>
          <w:rFonts w:cs="Arial"/>
        </w:rPr>
        <w:t>]</w:t>
      </w:r>
      <w:r w:rsidRPr="00EE2598">
        <w:rPr>
          <w:rFonts w:cs="Arial"/>
        </w:rPr>
        <w:t>), 57</w:t>
      </w:r>
      <w:r>
        <w:rPr>
          <w:rFonts w:cs="Arial"/>
        </w:rPr>
        <w:t>·</w:t>
      </w:r>
      <w:r w:rsidRPr="00EE2598">
        <w:rPr>
          <w:rFonts w:cs="Arial"/>
        </w:rPr>
        <w:t>1% (8/14 patients</w:t>
      </w:r>
      <w:r>
        <w:rPr>
          <w:rFonts w:cs="Arial"/>
        </w:rPr>
        <w:t xml:space="preserve"> [</w:t>
      </w:r>
      <w:r w:rsidRPr="007F3979">
        <w:rPr>
          <w:rFonts w:cs="Arial"/>
        </w:rPr>
        <w:t>28</w:t>
      </w:r>
      <w:r w:rsidRPr="00E270A3">
        <w:rPr>
          <w:rFonts w:cs="Arial"/>
        </w:rPr>
        <w:t>·</w:t>
      </w:r>
      <w:r w:rsidRPr="007F3979">
        <w:rPr>
          <w:rFonts w:cs="Arial"/>
        </w:rPr>
        <w:t>9</w:t>
      </w:r>
      <w:r>
        <w:rPr>
          <w:rFonts w:cs="Arial"/>
        </w:rPr>
        <w:t>–</w:t>
      </w:r>
      <w:r w:rsidRPr="007F3979">
        <w:rPr>
          <w:rFonts w:cs="Arial"/>
        </w:rPr>
        <w:t>82</w:t>
      </w:r>
      <w:r w:rsidRPr="00E270A3">
        <w:rPr>
          <w:rFonts w:cs="Arial"/>
        </w:rPr>
        <w:t>·</w:t>
      </w:r>
      <w:r w:rsidRPr="007F3979">
        <w:rPr>
          <w:rFonts w:cs="Arial"/>
        </w:rPr>
        <w:t>3</w:t>
      </w:r>
      <w:r>
        <w:rPr>
          <w:rFonts w:cs="Arial"/>
        </w:rPr>
        <w:t>]</w:t>
      </w:r>
      <w:r>
        <w:rPr>
          <w:rFonts w:cs="Arial"/>
        </w:rPr>
        <w:t>)</w:t>
      </w:r>
      <w:r w:rsidRPr="00EE2598">
        <w:rPr>
          <w:rFonts w:cs="Arial"/>
        </w:rPr>
        <w:t>,</w:t>
      </w:r>
      <w:r>
        <w:rPr>
          <w:rFonts w:cs="Arial"/>
        </w:rPr>
        <w:t xml:space="preserve"> and 100% (1/1 patient</w:t>
      </w:r>
      <w:r>
        <w:rPr>
          <w:rFonts w:cs="Arial"/>
        </w:rPr>
        <w:t xml:space="preserve"> [2</w:t>
      </w:r>
      <w:r w:rsidRPr="00E270A3">
        <w:rPr>
          <w:rFonts w:cs="Arial"/>
        </w:rPr>
        <w:t>·</w:t>
      </w:r>
      <w:r>
        <w:rPr>
          <w:rFonts w:cs="Arial"/>
        </w:rPr>
        <w:t>5–100]</w:t>
      </w:r>
      <w:r>
        <w:rPr>
          <w:rFonts w:cs="Arial"/>
        </w:rPr>
        <w:t>)</w:t>
      </w:r>
      <w:r w:rsidRPr="00EE2598">
        <w:rPr>
          <w:rFonts w:cs="Arial"/>
        </w:rPr>
        <w:t xml:space="preserve"> respectively; </w:t>
      </w:r>
      <w:proofErr w:type="spellStart"/>
      <w:r w:rsidRPr="00EE2598">
        <w:rPr>
          <w:rFonts w:cs="Arial"/>
        </w:rPr>
        <w:t>CR</w:t>
      </w:r>
      <w:r>
        <w:rPr>
          <w:rFonts w:cs="Arial"/>
        </w:rPr>
        <w:t>s</w:t>
      </w:r>
      <w:proofErr w:type="spellEnd"/>
      <w:r w:rsidRPr="00EE2598">
        <w:rPr>
          <w:rFonts w:cs="Arial"/>
        </w:rPr>
        <w:t xml:space="preserve"> were</w:t>
      </w:r>
      <w:r>
        <w:rPr>
          <w:rFonts w:cs="Arial"/>
        </w:rPr>
        <w:t xml:space="preserve"> reported for</w:t>
      </w:r>
      <w:r w:rsidRPr="00EE2598">
        <w:rPr>
          <w:rFonts w:cs="Arial"/>
        </w:rPr>
        <w:t xml:space="preserve"> 6</w:t>
      </w:r>
      <w:r>
        <w:rPr>
          <w:rFonts w:cs="Arial"/>
        </w:rPr>
        <w:t>·</w:t>
      </w:r>
      <w:r w:rsidRPr="00EE2598">
        <w:rPr>
          <w:rFonts w:cs="Arial"/>
        </w:rPr>
        <w:t>5%</w:t>
      </w:r>
      <w:r>
        <w:rPr>
          <w:rFonts w:cs="Arial"/>
        </w:rPr>
        <w:t xml:space="preserve"> (2/31 patients)</w:t>
      </w:r>
      <w:r w:rsidRPr="00EE2598">
        <w:rPr>
          <w:rFonts w:cs="Arial"/>
        </w:rPr>
        <w:t>, 10%</w:t>
      </w:r>
      <w:r>
        <w:rPr>
          <w:rFonts w:cs="Arial"/>
        </w:rPr>
        <w:t xml:space="preserve"> (1/10 patients),</w:t>
      </w:r>
      <w:r w:rsidRPr="00EE2598">
        <w:rPr>
          <w:rFonts w:cs="Arial"/>
        </w:rPr>
        <w:t xml:space="preserve"> 7</w:t>
      </w:r>
      <w:r>
        <w:rPr>
          <w:rFonts w:cs="Arial"/>
        </w:rPr>
        <w:t>·</w:t>
      </w:r>
      <w:r w:rsidRPr="00EE2598">
        <w:rPr>
          <w:rFonts w:cs="Arial"/>
        </w:rPr>
        <w:t>1%</w:t>
      </w:r>
      <w:r>
        <w:rPr>
          <w:rFonts w:cs="Arial"/>
        </w:rPr>
        <w:t xml:space="preserve"> (1/14 patients)</w:t>
      </w:r>
      <w:r w:rsidRPr="00EE2598">
        <w:rPr>
          <w:rFonts w:cs="Arial"/>
        </w:rPr>
        <w:t>,</w:t>
      </w:r>
      <w:r>
        <w:rPr>
          <w:rFonts w:cs="Arial"/>
        </w:rPr>
        <w:t xml:space="preserve"> and 0% (0/1 patient)</w:t>
      </w:r>
      <w:r>
        <w:rPr>
          <w:rFonts w:cs="Arial"/>
        </w:rPr>
        <w:t>,</w:t>
      </w:r>
      <w:r w:rsidRPr="00EE2598">
        <w:rPr>
          <w:rFonts w:cs="Arial"/>
        </w:rPr>
        <w:t xml:space="preserve"> respectively</w:t>
      </w:r>
      <w:bookmarkEnd w:id="37"/>
      <w:r w:rsidRPr="00EE2598">
        <w:rPr>
          <w:rFonts w:cs="Arial"/>
        </w:rPr>
        <w:t>.</w:t>
      </w:r>
      <w:r>
        <w:rPr>
          <w:rFonts w:cs="Arial"/>
        </w:rPr>
        <w:t xml:space="preserve"> ORRs </w:t>
      </w:r>
      <w:r>
        <w:rPr>
          <w:rFonts w:cs="Arial"/>
        </w:rPr>
        <w:t xml:space="preserve">(95% CI) </w:t>
      </w:r>
      <w:r>
        <w:rPr>
          <w:rFonts w:cs="Arial"/>
        </w:rPr>
        <w:t xml:space="preserve">at doses ≥60 µg/kg for patients with </w:t>
      </w:r>
      <w:proofErr w:type="spellStart"/>
      <w:r>
        <w:rPr>
          <w:rFonts w:cs="Arial"/>
        </w:rPr>
        <w:t>CTCL</w:t>
      </w:r>
      <w:proofErr w:type="spellEnd"/>
      <w:r w:rsidRPr="00ED50DC">
        <w:rPr>
          <w:rFonts w:cs="Arial"/>
        </w:rPr>
        <w:t xml:space="preserve">, </w:t>
      </w:r>
      <w:proofErr w:type="spellStart"/>
      <w:r>
        <w:rPr>
          <w:rFonts w:cs="Arial"/>
          <w:bCs/>
        </w:rPr>
        <w:t>ATLL</w:t>
      </w:r>
      <w:proofErr w:type="spellEnd"/>
      <w:r w:rsidRPr="00ED50DC">
        <w:rPr>
          <w:rFonts w:cs="Arial"/>
        </w:rPr>
        <w:t xml:space="preserve">, </w:t>
      </w:r>
      <w:r w:rsidRPr="00C37246">
        <w:rPr>
          <w:rFonts w:cs="Arial"/>
          <w:bCs/>
        </w:rPr>
        <w:t>peripheral T-cell lymphoma</w:t>
      </w:r>
      <w:r w:rsidRPr="00C37246">
        <w:rPr>
          <w:rFonts w:cs="Arial"/>
        </w:rPr>
        <w:t xml:space="preserve"> </w:t>
      </w:r>
      <w:r>
        <w:rPr>
          <w:rFonts w:cs="Arial"/>
        </w:rPr>
        <w:t>not otherwise specified,</w:t>
      </w:r>
      <w:r w:rsidRPr="00ED50DC">
        <w:rPr>
          <w:rFonts w:cs="Arial"/>
        </w:rPr>
        <w:t xml:space="preserve"> or other T-</w:t>
      </w:r>
      <w:r>
        <w:rPr>
          <w:rFonts w:cs="Arial"/>
        </w:rPr>
        <w:t>NHLs (</w:t>
      </w:r>
      <w:r w:rsidRPr="00AD4574">
        <w:rPr>
          <w:rFonts w:cs="Arial"/>
        </w:rPr>
        <w:t>hepatosplenic</w:t>
      </w:r>
      <w:r>
        <w:rPr>
          <w:rFonts w:cs="Arial"/>
        </w:rPr>
        <w:t xml:space="preserve"> or </w:t>
      </w:r>
      <w:r w:rsidRPr="00AD4574">
        <w:rPr>
          <w:rFonts w:cs="Arial"/>
        </w:rPr>
        <w:t>angioimmunoblastic</w:t>
      </w:r>
      <w:r>
        <w:rPr>
          <w:rFonts w:cs="Arial"/>
        </w:rPr>
        <w:t>)</w:t>
      </w:r>
      <w:r w:rsidRPr="00AD4574">
        <w:rPr>
          <w:rFonts w:cs="Arial"/>
        </w:rPr>
        <w:t xml:space="preserve"> </w:t>
      </w:r>
      <w:r>
        <w:rPr>
          <w:rFonts w:cs="Arial"/>
        </w:rPr>
        <w:t xml:space="preserve">were </w:t>
      </w:r>
      <w:r w:rsidRPr="00794291">
        <w:rPr>
          <w:rFonts w:cs="Arial"/>
        </w:rPr>
        <w:t>77·8</w:t>
      </w:r>
      <w:r>
        <w:rPr>
          <w:rFonts w:cs="Arial"/>
        </w:rPr>
        <w:t>% (</w:t>
      </w:r>
      <w:r w:rsidRPr="00794291">
        <w:rPr>
          <w:rFonts w:cs="Arial"/>
        </w:rPr>
        <w:t>7</w:t>
      </w:r>
      <w:r>
        <w:rPr>
          <w:rFonts w:cs="Arial"/>
        </w:rPr>
        <w:t>/9 patients</w:t>
      </w:r>
      <w:r>
        <w:rPr>
          <w:rFonts w:cs="Arial"/>
        </w:rPr>
        <w:t xml:space="preserve"> [</w:t>
      </w:r>
      <w:r w:rsidRPr="007913CC">
        <w:rPr>
          <w:rFonts w:cs="Arial"/>
        </w:rPr>
        <w:t>40·0–97·2</w:t>
      </w:r>
      <w:r>
        <w:rPr>
          <w:rFonts w:cs="Arial"/>
        </w:rPr>
        <w:t>]</w:t>
      </w:r>
      <w:r>
        <w:rPr>
          <w:rFonts w:cs="Arial"/>
        </w:rPr>
        <w:t xml:space="preserve">), </w:t>
      </w:r>
      <w:r w:rsidRPr="00345A9B">
        <w:rPr>
          <w:rFonts w:cs="Arial"/>
        </w:rPr>
        <w:t>42·9</w:t>
      </w:r>
      <w:r>
        <w:rPr>
          <w:rFonts w:cs="Arial"/>
        </w:rPr>
        <w:t>% (3/7 patients</w:t>
      </w:r>
      <w:r>
        <w:rPr>
          <w:rFonts w:cs="Arial"/>
        </w:rPr>
        <w:t xml:space="preserve"> [</w:t>
      </w:r>
      <w:r w:rsidRPr="00E270A3">
        <w:rPr>
          <w:rFonts w:cs="Arial"/>
        </w:rPr>
        <w:t>9·9–81·6</w:t>
      </w:r>
      <w:r>
        <w:rPr>
          <w:rFonts w:cs="Arial"/>
        </w:rPr>
        <w:t>]</w:t>
      </w:r>
      <w:r w:rsidRPr="00345A9B">
        <w:rPr>
          <w:rFonts w:cs="Arial"/>
        </w:rPr>
        <w:t>)</w:t>
      </w:r>
      <w:r>
        <w:rPr>
          <w:rFonts w:cs="Arial"/>
        </w:rPr>
        <w:t>,</w:t>
      </w:r>
      <w:r w:rsidRPr="00377FAE">
        <w:t xml:space="preserve"> </w:t>
      </w:r>
      <w:r>
        <w:rPr>
          <w:rFonts w:cs="Arial"/>
        </w:rPr>
        <w:t>33</w:t>
      </w:r>
      <w:r w:rsidRPr="00377FAE">
        <w:rPr>
          <w:rFonts w:cs="Arial"/>
        </w:rPr>
        <w:t>·</w:t>
      </w:r>
      <w:r>
        <w:rPr>
          <w:rFonts w:cs="Arial"/>
        </w:rPr>
        <w:t>3% (2/6 patients</w:t>
      </w:r>
      <w:r>
        <w:rPr>
          <w:rFonts w:cs="Arial"/>
        </w:rPr>
        <w:t xml:space="preserve"> [</w:t>
      </w:r>
      <w:r w:rsidRPr="00E270A3">
        <w:rPr>
          <w:rFonts w:cs="Arial"/>
        </w:rPr>
        <w:t>4·3–77·7</w:t>
      </w:r>
      <w:r>
        <w:rPr>
          <w:rFonts w:cs="Arial"/>
        </w:rPr>
        <w:t>]</w:t>
      </w:r>
      <w:r w:rsidRPr="00377FAE">
        <w:rPr>
          <w:rFonts w:cs="Arial"/>
        </w:rPr>
        <w:t>)</w:t>
      </w:r>
      <w:r>
        <w:rPr>
          <w:rFonts w:cs="Arial"/>
        </w:rPr>
        <w:t xml:space="preserve"> and 100% (3/3 patients</w:t>
      </w:r>
      <w:r>
        <w:rPr>
          <w:rFonts w:cs="Arial"/>
        </w:rPr>
        <w:t xml:space="preserve"> [</w:t>
      </w:r>
      <w:r w:rsidRPr="00E270A3">
        <w:rPr>
          <w:rFonts w:cs="Arial"/>
        </w:rPr>
        <w:t>29·2–100·0</w:t>
      </w:r>
      <w:r>
        <w:rPr>
          <w:rFonts w:cs="Arial"/>
        </w:rPr>
        <w:t>]</w:t>
      </w:r>
      <w:r>
        <w:rPr>
          <w:rFonts w:cs="Arial"/>
        </w:rPr>
        <w:t>), respectively (</w:t>
      </w:r>
      <w:r w:rsidRPr="00864995">
        <w:rPr>
          <w:rFonts w:cs="Arial"/>
          <w:b/>
          <w:bCs/>
        </w:rPr>
        <w:t xml:space="preserve">Table </w:t>
      </w:r>
      <w:r w:rsidRPr="00864995">
        <w:rPr>
          <w:rFonts w:cs="Arial"/>
          <w:b/>
          <w:bCs/>
        </w:rPr>
        <w:t>S</w:t>
      </w:r>
      <w:r>
        <w:rPr>
          <w:rFonts w:cs="Arial"/>
          <w:b/>
          <w:bCs/>
        </w:rPr>
        <w:t>9</w:t>
      </w:r>
      <w:r w:rsidRPr="00107128">
        <w:rPr>
          <w:rFonts w:cs="Arial"/>
          <w:bCs/>
        </w:rPr>
        <w:t xml:space="preserve"> </w:t>
      </w:r>
      <w:r>
        <w:rPr>
          <w:rFonts w:cs="Arial"/>
          <w:bCs/>
        </w:rPr>
        <w:t>appendix p15</w:t>
      </w:r>
      <w:r w:rsidRPr="001C7832">
        <w:rPr>
          <w:rFonts w:cs="Arial"/>
        </w:rPr>
        <w:t>)</w:t>
      </w:r>
      <w:r>
        <w:rPr>
          <w:rFonts w:cs="Arial"/>
        </w:rPr>
        <w:t>.</w:t>
      </w:r>
      <w:r>
        <w:rPr>
          <w:rFonts w:cs="Arial"/>
        </w:rPr>
        <w:t xml:space="preserve"> </w:t>
      </w:r>
    </w:p>
    <w:p w14:paraId="4EA351A0" w14:textId="2AC84CDC" w:rsidR="00830F07" w:rsidRDefault="00830F07" w:rsidP="0031288A">
      <w:pPr>
        <w:rPr>
          <w:rFonts w:cs="Arial"/>
        </w:rPr>
      </w:pPr>
      <w:bookmarkStart w:id="38" w:name="_Hlk65691200"/>
      <w:r>
        <w:rPr>
          <w:rFonts w:cs="Arial"/>
        </w:rPr>
        <w:t xml:space="preserve">Median (95% CI) </w:t>
      </w:r>
      <w:proofErr w:type="spellStart"/>
      <w:r>
        <w:rPr>
          <w:rFonts w:cs="Arial"/>
        </w:rPr>
        <w:t>DoRs</w:t>
      </w:r>
      <w:proofErr w:type="spellEnd"/>
      <w:r>
        <w:rPr>
          <w:rFonts w:cs="Arial"/>
        </w:rPr>
        <w:t xml:space="preserve"> for all patients with T-NHL </w:t>
      </w:r>
      <w:r>
        <w:rPr>
          <w:rFonts w:cs="Arial"/>
        </w:rPr>
        <w:t xml:space="preserve">(31 at risk) </w:t>
      </w:r>
      <w:r>
        <w:rPr>
          <w:rFonts w:cs="Arial"/>
        </w:rPr>
        <w:t xml:space="preserve">and for NHL overall </w:t>
      </w:r>
      <w:r>
        <w:rPr>
          <w:rFonts w:cs="Arial"/>
        </w:rPr>
        <w:t xml:space="preserve">(53 at risk) </w:t>
      </w:r>
      <w:r>
        <w:rPr>
          <w:rFonts w:cs="Arial"/>
        </w:rPr>
        <w:t>were 2·45 months (1·41–9·79)</w:t>
      </w:r>
      <w:r>
        <w:rPr>
          <w:rFonts w:cs="Arial"/>
        </w:rPr>
        <w:t xml:space="preserve"> (12 events)</w:t>
      </w:r>
      <w:r>
        <w:rPr>
          <w:rFonts w:cs="Arial"/>
        </w:rPr>
        <w:t xml:space="preserve"> and </w:t>
      </w:r>
      <w:r w:rsidRPr="00EF6C7E">
        <w:rPr>
          <w:rFonts w:cs="Arial"/>
        </w:rPr>
        <w:t>2</w:t>
      </w:r>
      <w:r>
        <w:rPr>
          <w:rFonts w:cs="Arial"/>
        </w:rPr>
        <w:t>·</w:t>
      </w:r>
      <w:r w:rsidRPr="00EF6C7E">
        <w:rPr>
          <w:rFonts w:cs="Arial"/>
        </w:rPr>
        <w:t xml:space="preserve">50 </w:t>
      </w:r>
      <w:r w:rsidRPr="00F612BA">
        <w:rPr>
          <w:rFonts w:cs="Arial"/>
        </w:rPr>
        <w:t>months</w:t>
      </w:r>
      <w:r w:rsidRPr="00EF6C7E">
        <w:rPr>
          <w:rFonts w:cs="Arial"/>
        </w:rPr>
        <w:t xml:space="preserve"> </w:t>
      </w:r>
      <w:r w:rsidRPr="00EF6C7E">
        <w:rPr>
          <w:rFonts w:cs="Arial"/>
        </w:rPr>
        <w:t>(1</w:t>
      </w:r>
      <w:r>
        <w:rPr>
          <w:rFonts w:cs="Arial"/>
        </w:rPr>
        <w:t>∙</w:t>
      </w:r>
      <w:r w:rsidRPr="00EF6C7E">
        <w:rPr>
          <w:rFonts w:cs="Arial"/>
        </w:rPr>
        <w:t>68–4</w:t>
      </w:r>
      <w:r>
        <w:rPr>
          <w:rFonts w:cs="Arial"/>
        </w:rPr>
        <w:t>∙</w:t>
      </w:r>
      <w:r w:rsidRPr="00EF6C7E">
        <w:rPr>
          <w:rFonts w:cs="Arial"/>
        </w:rPr>
        <w:t>73)</w:t>
      </w:r>
      <w:r w:rsidRPr="00347957">
        <w:rPr>
          <w:rFonts w:cs="Arial"/>
        </w:rPr>
        <w:t xml:space="preserve"> </w:t>
      </w:r>
      <w:bookmarkEnd w:id="38"/>
      <w:r w:rsidRPr="00F612BA">
        <w:rPr>
          <w:rFonts w:cs="Arial"/>
        </w:rPr>
        <w:t>(16 events)</w:t>
      </w:r>
      <w:r w:rsidRPr="00F612BA">
        <w:rPr>
          <w:rFonts w:cs="Arial"/>
        </w:rPr>
        <w:t xml:space="preserve">, </w:t>
      </w:r>
      <w:r w:rsidRPr="00F612BA">
        <w:rPr>
          <w:rFonts w:cs="Arial"/>
        </w:rPr>
        <w:lastRenderedPageBreak/>
        <w:t>respectively.</w:t>
      </w:r>
      <w:r w:rsidRPr="00F612BA">
        <w:rPr>
          <w:rFonts w:cs="Arial"/>
        </w:rPr>
        <w:t xml:space="preserve"> Median (95% CI) </w:t>
      </w:r>
      <w:proofErr w:type="spellStart"/>
      <w:r w:rsidRPr="00F612BA">
        <w:rPr>
          <w:rFonts w:cs="Arial"/>
        </w:rPr>
        <w:t>PFS</w:t>
      </w:r>
      <w:proofErr w:type="spellEnd"/>
      <w:r w:rsidRPr="00F612BA">
        <w:rPr>
          <w:rFonts w:cs="Arial"/>
        </w:rPr>
        <w:t xml:space="preserve"> and OS were 2·66 months (1·18–4·80) (27 events) and 5·22 months (3·22–8·77) (25 events) for T-NHL, and 1·38 months (1·18–2·73) (47 events) and 5·22 months (3·25–8·05) (39 events) for NHL overall.</w:t>
      </w:r>
    </w:p>
    <w:bookmarkEnd w:id="28"/>
    <w:p w14:paraId="30FA1DBD" w14:textId="436BB0CF" w:rsidR="00830F07" w:rsidRDefault="00830F07" w:rsidP="0031288A">
      <w:pPr>
        <w:rPr>
          <w:rFonts w:cs="Arial"/>
        </w:rPr>
      </w:pPr>
      <w:r w:rsidRPr="00EE2598">
        <w:rPr>
          <w:rFonts w:cs="Arial"/>
        </w:rPr>
        <w:t>P</w:t>
      </w:r>
      <w:r>
        <w:rPr>
          <w:rFonts w:cs="Arial"/>
        </w:rPr>
        <w:t>K</w:t>
      </w:r>
      <w:r w:rsidRPr="00EE2598">
        <w:rPr>
          <w:rFonts w:cs="Arial"/>
        </w:rPr>
        <w:t xml:space="preserve"> parameters are presented for the 45 µg/kg dose </w:t>
      </w:r>
      <w:r>
        <w:rPr>
          <w:rFonts w:cs="Arial"/>
        </w:rPr>
        <w:t>(</w:t>
      </w:r>
      <w:r w:rsidRPr="00542B09">
        <w:rPr>
          <w:rFonts w:cs="Arial"/>
          <w:b/>
          <w:bCs/>
        </w:rPr>
        <w:t xml:space="preserve">Table </w:t>
      </w:r>
      <w:r w:rsidRPr="000A2E02">
        <w:rPr>
          <w:rFonts w:cs="Arial"/>
          <w:b/>
          <w:bCs/>
        </w:rPr>
        <w:t>S10</w:t>
      </w:r>
      <w:r>
        <w:rPr>
          <w:rFonts w:cs="Arial"/>
          <w:b/>
        </w:rPr>
        <w:t xml:space="preserve"> </w:t>
      </w:r>
      <w:r>
        <w:rPr>
          <w:rFonts w:cs="Arial"/>
          <w:bCs/>
        </w:rPr>
        <w:t>appendix p16</w:t>
      </w:r>
      <w:r>
        <w:rPr>
          <w:rFonts w:cs="Arial"/>
          <w:bCs/>
        </w:rPr>
        <w:t>)</w:t>
      </w:r>
      <w:r w:rsidRPr="00EE2598">
        <w:rPr>
          <w:rFonts w:cs="Arial"/>
        </w:rPr>
        <w:t>.</w:t>
      </w:r>
      <w:r>
        <w:rPr>
          <w:rFonts w:cs="Arial"/>
        </w:rPr>
        <w:t xml:space="preserve"> </w:t>
      </w:r>
      <w:r w:rsidRPr="00EE2598">
        <w:rPr>
          <w:rFonts w:cs="Arial"/>
        </w:rPr>
        <w:t>P</w:t>
      </w:r>
      <w:r>
        <w:rPr>
          <w:rFonts w:cs="Arial"/>
        </w:rPr>
        <w:t>K</w:t>
      </w:r>
      <w:r w:rsidRPr="00EE2598">
        <w:rPr>
          <w:rFonts w:cs="Arial"/>
        </w:rPr>
        <w:t xml:space="preserve"> exposure increased with dose. </w:t>
      </w:r>
      <w:r w:rsidRPr="00BE3293">
        <w:rPr>
          <w:rFonts w:cs="Arial"/>
        </w:rPr>
        <w:t>Mean apparent clearance displayed moderate</w:t>
      </w:r>
      <w:r>
        <w:rPr>
          <w:rFonts w:cs="Arial"/>
        </w:rPr>
        <w:t>-</w:t>
      </w:r>
      <w:r w:rsidRPr="00BE3293">
        <w:rPr>
          <w:rFonts w:cs="Arial"/>
        </w:rPr>
        <w:t>to</w:t>
      </w:r>
      <w:r>
        <w:rPr>
          <w:rFonts w:cs="Arial"/>
        </w:rPr>
        <w:t>-</w:t>
      </w:r>
      <w:r w:rsidRPr="00BE3293">
        <w:rPr>
          <w:rFonts w:cs="Arial"/>
        </w:rPr>
        <w:t>marked inter-patient variability (CV~50</w:t>
      </w:r>
      <w:r>
        <w:rPr>
          <w:rFonts w:cs="Arial"/>
        </w:rPr>
        <w:t>·</w:t>
      </w:r>
      <w:r w:rsidRPr="00BE3293">
        <w:rPr>
          <w:rFonts w:cs="Arial"/>
        </w:rPr>
        <w:t xml:space="preserve">3% based on </w:t>
      </w:r>
      <w:proofErr w:type="spellStart"/>
      <w:r w:rsidRPr="00BE3293">
        <w:rPr>
          <w:rFonts w:cs="Arial"/>
        </w:rPr>
        <w:t>PBD</w:t>
      </w:r>
      <w:proofErr w:type="spellEnd"/>
      <w:r w:rsidRPr="00BE3293">
        <w:rPr>
          <w:rFonts w:cs="Arial"/>
        </w:rPr>
        <w:t>-conjugated antibody Cycle 1 AUC</w:t>
      </w:r>
      <w:r w:rsidRPr="00097151">
        <w:rPr>
          <w:rFonts w:cs="Arial"/>
          <w:vertAlign w:val="subscript"/>
        </w:rPr>
        <w:t>inf</w:t>
      </w:r>
      <w:r w:rsidRPr="00BE3293">
        <w:rPr>
          <w:rFonts w:cs="Arial"/>
        </w:rPr>
        <w:t xml:space="preserve"> at 45 µg/kg). </w:t>
      </w:r>
      <w:r w:rsidRPr="00EE2598">
        <w:rPr>
          <w:rFonts w:cs="Arial"/>
        </w:rPr>
        <w:t>Profiles appeared generally biphasic and comparable between conjugated- and total-</w:t>
      </w:r>
      <w:r>
        <w:rPr>
          <w:rFonts w:cs="Arial"/>
        </w:rPr>
        <w:t xml:space="preserve">antibody </w:t>
      </w:r>
      <w:r w:rsidRPr="00EE2598">
        <w:rPr>
          <w:rFonts w:cs="Arial"/>
        </w:rPr>
        <w:t>moieties. Apparent terminal half-life was ~2</w:t>
      </w:r>
      <w:r>
        <w:rPr>
          <w:rFonts w:cs="Arial"/>
        </w:rPr>
        <w:t>·</w:t>
      </w:r>
      <w:r w:rsidRPr="00EE2598">
        <w:rPr>
          <w:rFonts w:cs="Arial"/>
        </w:rPr>
        <w:t>3 days</w:t>
      </w:r>
      <w:r>
        <w:rPr>
          <w:rFonts w:cs="Arial"/>
        </w:rPr>
        <w:t xml:space="preserve"> (CV</w:t>
      </w:r>
      <w:r w:rsidRPr="00EE2598">
        <w:rPr>
          <w:rFonts w:cs="Arial"/>
        </w:rPr>
        <w:t xml:space="preserve"> </w:t>
      </w:r>
      <w:r w:rsidRPr="00751BBC">
        <w:rPr>
          <w:rFonts w:cs="Arial"/>
        </w:rPr>
        <w:t>45·5</w:t>
      </w:r>
      <w:r>
        <w:rPr>
          <w:rFonts w:cs="Arial"/>
        </w:rPr>
        <w:t xml:space="preserve">%) </w:t>
      </w:r>
      <w:r w:rsidRPr="00EE2598">
        <w:rPr>
          <w:rFonts w:cs="Arial"/>
        </w:rPr>
        <w:t xml:space="preserve">following the 45 μg/kg dose. </w:t>
      </w:r>
      <w:r>
        <w:rPr>
          <w:rFonts w:cs="Arial"/>
        </w:rPr>
        <w:t xml:space="preserve">Unconjugated-warhead </w:t>
      </w:r>
      <w:r w:rsidRPr="00EE2598">
        <w:rPr>
          <w:rFonts w:cs="Arial"/>
        </w:rPr>
        <w:t xml:space="preserve">SG3199 exposures were below </w:t>
      </w:r>
      <w:r>
        <w:rPr>
          <w:rFonts w:cs="Arial"/>
        </w:rPr>
        <w:t xml:space="preserve">the </w:t>
      </w:r>
      <w:proofErr w:type="spellStart"/>
      <w:r w:rsidRPr="00EE2598">
        <w:rPr>
          <w:rFonts w:cs="Arial"/>
        </w:rPr>
        <w:t>LLOQ</w:t>
      </w:r>
      <w:proofErr w:type="spellEnd"/>
      <w:r w:rsidRPr="00EE2598">
        <w:rPr>
          <w:rFonts w:cs="Arial"/>
        </w:rPr>
        <w:t xml:space="preserve"> in serum for most patients, generally preclud</w:t>
      </w:r>
      <w:r>
        <w:rPr>
          <w:rFonts w:cs="Arial"/>
        </w:rPr>
        <w:t>ing</w:t>
      </w:r>
      <w:r w:rsidRPr="00EE2598">
        <w:rPr>
          <w:rFonts w:cs="Arial"/>
        </w:rPr>
        <w:t xml:space="preserve"> characterization. In Cycle 2, no accumulation </w:t>
      </w:r>
      <w:r w:rsidRPr="00CA6494">
        <w:t xml:space="preserve">of conjugated or total </w:t>
      </w:r>
      <w:r>
        <w:t>antibodies</w:t>
      </w:r>
      <w:r w:rsidRPr="00CA6494">
        <w:t xml:space="preserve"> </w:t>
      </w:r>
      <w:r w:rsidRPr="00EE2598">
        <w:rPr>
          <w:rFonts w:cs="Arial"/>
        </w:rPr>
        <w:t>was observed</w:t>
      </w:r>
      <w:r>
        <w:rPr>
          <w:rFonts w:cs="Arial"/>
        </w:rPr>
        <w:t xml:space="preserve"> at Q3W dosing</w:t>
      </w:r>
      <w:r w:rsidRPr="00EE2598">
        <w:rPr>
          <w:rFonts w:cs="Arial"/>
        </w:rPr>
        <w:t xml:space="preserve">. No </w:t>
      </w:r>
      <w:r>
        <w:rPr>
          <w:rFonts w:cs="Arial"/>
        </w:rPr>
        <w:t>confirmed ADA responses were observed</w:t>
      </w:r>
      <w:r w:rsidRPr="00EE2598">
        <w:rPr>
          <w:rFonts w:cs="Arial"/>
        </w:rPr>
        <w:t xml:space="preserve"> </w:t>
      </w:r>
      <w:r>
        <w:rPr>
          <w:rFonts w:cs="Arial"/>
        </w:rPr>
        <w:t>(</w:t>
      </w:r>
      <w:r>
        <w:t xml:space="preserve">133 </w:t>
      </w:r>
      <w:r w:rsidRPr="00EE2598">
        <w:rPr>
          <w:rFonts w:cs="Arial"/>
        </w:rPr>
        <w:t>patients tested</w:t>
      </w:r>
      <w:r>
        <w:rPr>
          <w:rFonts w:cs="Arial"/>
        </w:rPr>
        <w:t>)</w:t>
      </w:r>
      <w:r w:rsidRPr="00EE2598">
        <w:rPr>
          <w:rFonts w:cs="Arial"/>
        </w:rPr>
        <w:t>.</w:t>
      </w:r>
    </w:p>
    <w:p w14:paraId="06539BCD" w14:textId="156ACE71" w:rsidR="00830F07" w:rsidRPr="00EE2598" w:rsidRDefault="00830F07" w:rsidP="0031288A">
      <w:pPr>
        <w:pStyle w:val="Heading3"/>
      </w:pPr>
    </w:p>
    <w:p w14:paraId="508CCD88" w14:textId="6340177C" w:rsidR="00830F07" w:rsidRPr="00EE2598" w:rsidRDefault="00830F07" w:rsidP="0031288A">
      <w:pPr>
        <w:rPr>
          <w:rFonts w:cs="Arial"/>
        </w:rPr>
      </w:pPr>
      <w:r w:rsidRPr="00EE2598">
        <w:rPr>
          <w:rFonts w:cs="Arial"/>
          <w:b/>
        </w:rPr>
        <w:t xml:space="preserve">Figure </w:t>
      </w:r>
      <w:r w:rsidRPr="00EE2598">
        <w:rPr>
          <w:rFonts w:cs="Arial"/>
          <w:b/>
        </w:rPr>
        <w:t>S</w:t>
      </w:r>
      <w:r>
        <w:rPr>
          <w:rFonts w:cs="Arial"/>
          <w:b/>
        </w:rPr>
        <w:t xml:space="preserve">2 </w:t>
      </w:r>
      <w:r w:rsidRPr="00107128">
        <w:rPr>
          <w:rFonts w:cs="Arial"/>
          <w:bCs/>
        </w:rPr>
        <w:t>(appendix p</w:t>
      </w:r>
      <w:r>
        <w:rPr>
          <w:rFonts w:cs="Arial"/>
          <w:bCs/>
        </w:rPr>
        <w:t>23</w:t>
      </w:r>
      <w:r w:rsidRPr="00107128">
        <w:rPr>
          <w:rFonts w:cs="Arial"/>
          <w:bCs/>
        </w:rPr>
        <w:t>)</w:t>
      </w:r>
      <w:r>
        <w:rPr>
          <w:rFonts w:cs="Arial"/>
          <w:b/>
        </w:rPr>
        <w:t xml:space="preserve"> </w:t>
      </w:r>
      <w:r>
        <w:rPr>
          <w:rFonts w:cs="Arial"/>
        </w:rPr>
        <w:t>presents baseline s</w:t>
      </w:r>
      <w:r w:rsidRPr="00EE2598">
        <w:rPr>
          <w:rFonts w:cs="Arial"/>
        </w:rPr>
        <w:t xml:space="preserve">CD25 concentration versus </w:t>
      </w:r>
      <w:r>
        <w:rPr>
          <w:rFonts w:cs="Arial"/>
        </w:rPr>
        <w:t>area under the concentration–time curve</w:t>
      </w:r>
      <w:r w:rsidRPr="00EE2598">
        <w:rPr>
          <w:rFonts w:cs="Arial"/>
        </w:rPr>
        <w:t xml:space="preserve"> in serum of cHL</w:t>
      </w:r>
      <w:r>
        <w:rPr>
          <w:rFonts w:cs="Arial"/>
        </w:rPr>
        <w:t xml:space="preserve"> patients and shows</w:t>
      </w:r>
      <w:r w:rsidRPr="00EE2598">
        <w:rPr>
          <w:rFonts w:cs="Arial"/>
        </w:rPr>
        <w:t xml:space="preserve"> </w:t>
      </w:r>
      <w:r>
        <w:rPr>
          <w:rFonts w:cs="Arial"/>
        </w:rPr>
        <w:t xml:space="preserve">a </w:t>
      </w:r>
      <w:r w:rsidRPr="00EE2598">
        <w:rPr>
          <w:rFonts w:cs="Arial"/>
        </w:rPr>
        <w:t xml:space="preserve">decreasing </w:t>
      </w:r>
      <w:r>
        <w:rPr>
          <w:rFonts w:cs="Arial"/>
        </w:rPr>
        <w:t xml:space="preserve">trend of </w:t>
      </w:r>
      <w:r>
        <w:rPr>
          <w:rFonts w:cs="Arial"/>
        </w:rPr>
        <w:t xml:space="preserve">drug </w:t>
      </w:r>
      <w:r w:rsidRPr="00EE2598">
        <w:rPr>
          <w:rFonts w:cs="Arial"/>
        </w:rPr>
        <w:t xml:space="preserve">exposure with </w:t>
      </w:r>
      <w:r>
        <w:rPr>
          <w:rFonts w:cs="Arial"/>
        </w:rPr>
        <w:t>higher</w:t>
      </w:r>
      <w:r w:rsidRPr="00EE2598">
        <w:rPr>
          <w:rFonts w:cs="Arial"/>
        </w:rPr>
        <w:t xml:space="preserve"> sCD25</w:t>
      </w:r>
      <w:r>
        <w:rPr>
          <w:rFonts w:cs="Arial"/>
        </w:rPr>
        <w:t xml:space="preserve">, </w:t>
      </w:r>
      <w:r>
        <w:rPr>
          <w:rFonts w:cs="Arial"/>
        </w:rPr>
        <w:t>with</w:t>
      </w:r>
      <w:r w:rsidRPr="00CB53A0">
        <w:rPr>
          <w:rFonts w:cs="Arial"/>
        </w:rPr>
        <w:t xml:space="preserve"> p</w:t>
      </w:r>
      <w:r>
        <w:rPr>
          <w:rFonts w:cs="Arial"/>
        </w:rPr>
        <w:t>=</w:t>
      </w:r>
      <w:r w:rsidRPr="00CB53A0">
        <w:rPr>
          <w:rFonts w:cs="Arial"/>
        </w:rPr>
        <w:t xml:space="preserve">0·098 for </w:t>
      </w:r>
      <w:r>
        <w:rPr>
          <w:rFonts w:cs="Arial"/>
        </w:rPr>
        <w:t xml:space="preserve">patients with </w:t>
      </w:r>
      <w:r w:rsidRPr="00CB53A0">
        <w:rPr>
          <w:rFonts w:cs="Arial"/>
        </w:rPr>
        <w:t xml:space="preserve">CR versus </w:t>
      </w:r>
      <w:r>
        <w:rPr>
          <w:rFonts w:cs="Arial"/>
        </w:rPr>
        <w:t>patients with PR, SD, progressive disease, or not evaluable</w:t>
      </w:r>
      <w:r w:rsidRPr="003F6704">
        <w:rPr>
          <w:rFonts w:cs="Arial"/>
        </w:rPr>
        <w:t>.</w:t>
      </w:r>
      <w:r w:rsidRPr="00EE2598">
        <w:rPr>
          <w:rFonts w:cs="Arial"/>
        </w:rPr>
        <w:t xml:space="preserve"> </w:t>
      </w:r>
      <w:proofErr w:type="spellStart"/>
      <w:r>
        <w:rPr>
          <w:rFonts w:cs="Arial"/>
        </w:rPr>
        <w:t>CRs</w:t>
      </w:r>
      <w:proofErr w:type="spellEnd"/>
      <w:r>
        <w:rPr>
          <w:rFonts w:cs="Arial"/>
        </w:rPr>
        <w:t xml:space="preserve"> appeared among patients with lower baseline sCD25 up to </w:t>
      </w:r>
      <w:r w:rsidRPr="00C506DE">
        <w:rPr>
          <w:rFonts w:cs="Arial"/>
        </w:rPr>
        <w:t>~10,000 ng/L</w:t>
      </w:r>
      <w:r w:rsidRPr="00EE2598">
        <w:rPr>
          <w:rFonts w:cs="Arial"/>
        </w:rPr>
        <w:t xml:space="preserve">. </w:t>
      </w:r>
    </w:p>
    <w:p w14:paraId="44B5ADE0" w14:textId="7CCF418C" w:rsidR="00830F07" w:rsidRDefault="00830F07" w:rsidP="0031288A">
      <w:pPr>
        <w:rPr>
          <w:rFonts w:cs="Arial"/>
          <w:bCs/>
        </w:rPr>
      </w:pPr>
      <w:bookmarkStart w:id="39" w:name="_Hlk40975054"/>
      <w:r>
        <w:t>While significance was not assessed as analyses were exploratory, trends in s</w:t>
      </w:r>
      <w:r w:rsidRPr="00EE2598">
        <w:rPr>
          <w:rFonts w:cs="Arial"/>
          <w:bCs/>
        </w:rPr>
        <w:t>uppression of T</w:t>
      </w:r>
      <w:r w:rsidRPr="00EE2598">
        <w:rPr>
          <w:rFonts w:cs="Arial"/>
          <w:bCs/>
          <w:vertAlign w:val="subscript"/>
        </w:rPr>
        <w:t>reg</w:t>
      </w:r>
      <w:r w:rsidRPr="00701159">
        <w:rPr>
          <w:rFonts w:cs="Arial"/>
          <w:bCs/>
          <w:vertAlign w:val="subscript"/>
        </w:rPr>
        <w:t>s</w:t>
      </w:r>
      <w:r w:rsidRPr="00EE2598">
        <w:rPr>
          <w:rFonts w:cs="Arial"/>
          <w:bCs/>
        </w:rPr>
        <w:t xml:space="preserve"> </w:t>
      </w:r>
      <w:r w:rsidRPr="00CE61CF">
        <w:t>(CD25+/CD12</w:t>
      </w:r>
      <w:r w:rsidRPr="00CE61CF">
        <w:rPr>
          <w:vertAlign w:val="subscript"/>
        </w:rPr>
        <w:t>low</w:t>
      </w:r>
      <w:r w:rsidRPr="00CE61CF">
        <w:t>/FoxP3+</w:t>
      </w:r>
      <w:r>
        <w:t>[</w:t>
      </w:r>
      <w:r w:rsidRPr="00CE61CF">
        <w:t>CD3+/CD4+</w:t>
      </w:r>
      <w:r>
        <w:t>]</w:t>
      </w:r>
      <w:r w:rsidRPr="00CE61CF">
        <w:t xml:space="preserve">) </w:t>
      </w:r>
      <w:r w:rsidRPr="00EE2598">
        <w:rPr>
          <w:rFonts w:cs="Arial"/>
          <w:bCs/>
        </w:rPr>
        <w:t xml:space="preserve">but not total T cells (CD4+) in blood following camidanlumab tesirine </w:t>
      </w:r>
      <w:r>
        <w:rPr>
          <w:rFonts w:cs="Arial"/>
          <w:bCs/>
        </w:rPr>
        <w:t>versus</w:t>
      </w:r>
      <w:r w:rsidRPr="00EE2598">
        <w:rPr>
          <w:rFonts w:cs="Arial"/>
          <w:bCs/>
        </w:rPr>
        <w:t xml:space="preserve"> baseline </w:t>
      </w:r>
      <w:r>
        <w:rPr>
          <w:rFonts w:cs="Arial"/>
          <w:bCs/>
        </w:rPr>
        <w:t>occurred</w:t>
      </w:r>
      <w:r w:rsidRPr="00EE2598">
        <w:rPr>
          <w:rFonts w:cs="Arial"/>
          <w:bCs/>
        </w:rPr>
        <w:t xml:space="preserve"> in most patients, </w:t>
      </w:r>
      <w:r>
        <w:rPr>
          <w:rFonts w:cs="Arial"/>
          <w:bCs/>
        </w:rPr>
        <w:t>although</w:t>
      </w:r>
      <w:r w:rsidRPr="00EE2598">
        <w:rPr>
          <w:rFonts w:cs="Arial"/>
          <w:bCs/>
        </w:rPr>
        <w:t xml:space="preserve"> </w:t>
      </w:r>
      <w:r w:rsidRPr="00EE2598">
        <w:rPr>
          <w:rFonts w:cs="Arial"/>
          <w:bCs/>
        </w:rPr>
        <w:t>clear differences by response or sCD25 concentration were not apparent</w:t>
      </w:r>
      <w:r w:rsidRPr="00EE2598" w:rsidDel="005E5165">
        <w:rPr>
          <w:rFonts w:cs="Arial"/>
          <w:bCs/>
        </w:rPr>
        <w:t xml:space="preserve"> </w:t>
      </w:r>
      <w:bookmarkStart w:id="40" w:name="_Hlk44358549"/>
      <w:r w:rsidRPr="00EE2598">
        <w:rPr>
          <w:rFonts w:cs="Arial"/>
          <w:bCs/>
        </w:rPr>
        <w:t>(</w:t>
      </w:r>
      <w:r w:rsidRPr="00EE2598">
        <w:rPr>
          <w:rFonts w:cs="Arial"/>
          <w:b/>
          <w:bCs/>
        </w:rPr>
        <w:t>Figure</w:t>
      </w:r>
      <w:r>
        <w:rPr>
          <w:rFonts w:cs="Arial"/>
          <w:b/>
          <w:bCs/>
        </w:rPr>
        <w:t>s</w:t>
      </w:r>
      <w:r w:rsidRPr="00EE2598">
        <w:rPr>
          <w:rFonts w:cs="Arial"/>
          <w:b/>
          <w:bCs/>
        </w:rPr>
        <w:t xml:space="preserve"> S</w:t>
      </w:r>
      <w:r>
        <w:rPr>
          <w:rFonts w:cs="Arial"/>
          <w:b/>
          <w:bCs/>
        </w:rPr>
        <w:t>3</w:t>
      </w:r>
      <w:r w:rsidRPr="00EE2598">
        <w:rPr>
          <w:rFonts w:cs="Arial"/>
          <w:b/>
          <w:bCs/>
        </w:rPr>
        <w:t>A</w:t>
      </w:r>
      <w:r>
        <w:rPr>
          <w:rFonts w:cs="Arial"/>
          <w:b/>
          <w:bCs/>
        </w:rPr>
        <w:t>–</w:t>
      </w:r>
      <w:r w:rsidRPr="00EE2598">
        <w:rPr>
          <w:rFonts w:cs="Arial"/>
          <w:b/>
          <w:bCs/>
        </w:rPr>
        <w:t>S</w:t>
      </w:r>
      <w:r>
        <w:rPr>
          <w:rFonts w:cs="Arial"/>
          <w:b/>
          <w:bCs/>
        </w:rPr>
        <w:t>3</w:t>
      </w:r>
      <w:r w:rsidRPr="00EE2598">
        <w:rPr>
          <w:rFonts w:cs="Arial"/>
          <w:b/>
          <w:bCs/>
        </w:rPr>
        <w:t>B</w:t>
      </w:r>
      <w:r w:rsidRPr="00FA2F97">
        <w:rPr>
          <w:rFonts w:cs="Arial"/>
          <w:bCs/>
        </w:rPr>
        <w:t xml:space="preserve"> </w:t>
      </w:r>
      <w:r>
        <w:rPr>
          <w:rFonts w:cs="Arial"/>
          <w:bCs/>
        </w:rPr>
        <w:t>appendix p24</w:t>
      </w:r>
      <w:r w:rsidRPr="00EE2598">
        <w:rPr>
          <w:rFonts w:cs="Arial"/>
          <w:bCs/>
        </w:rPr>
        <w:t>).</w:t>
      </w:r>
      <w:r>
        <w:rPr>
          <w:rFonts w:cs="Arial"/>
          <w:bCs/>
        </w:rPr>
        <w:t xml:space="preserve"> </w:t>
      </w:r>
    </w:p>
    <w:bookmarkEnd w:id="40"/>
    <w:p w14:paraId="07316CA3" w14:textId="2EEED15C" w:rsidR="00830F07" w:rsidRDefault="00830F07" w:rsidP="0031288A">
      <w:pPr>
        <w:rPr>
          <w:rFonts w:cs="Arial"/>
        </w:rPr>
      </w:pPr>
      <w:r w:rsidRPr="00CA1BE2">
        <w:rPr>
          <w:rFonts w:cs="Arial"/>
        </w:rPr>
        <w:t xml:space="preserve">Archival tumor biopsies were available for 104/133 (78·2%) patients (cHL: 66; NHL: 38); pre-treatment tumor biopsies were available for 19/133 (14·3%) patients, (cHL: 6; NHL: 13). Immunohistochemistry staining of CD25 on tumor and non-tumor cells from biopsies of cHL patients showed no significant difference </w:t>
      </w:r>
      <w:r w:rsidRPr="00CF4554">
        <w:rPr>
          <w:rFonts w:cs="Arial"/>
        </w:rPr>
        <w:t>(</w:t>
      </w:r>
      <w:r w:rsidRPr="00CF4554">
        <w:rPr>
          <w:rFonts w:cs="Arial"/>
        </w:rPr>
        <w:t>p=0·49</w:t>
      </w:r>
      <w:r w:rsidRPr="00CF4554">
        <w:rPr>
          <w:rFonts w:cs="Arial"/>
        </w:rPr>
        <w:t>)</w:t>
      </w:r>
      <w:r w:rsidRPr="00CA1BE2">
        <w:rPr>
          <w:rFonts w:cs="Arial"/>
        </w:rPr>
        <w:t xml:space="preserve"> in histoscore for tumor versus non-tumor cells;</w:t>
      </w:r>
      <w:r>
        <w:rPr>
          <w:rFonts w:cs="Arial"/>
        </w:rPr>
        <w:t xml:space="preserve"> however, biopsies of patients with B-NHL and T-NHL showed a </w:t>
      </w:r>
      <w:r w:rsidRPr="00A0426E">
        <w:rPr>
          <w:rFonts w:cs="Arial"/>
        </w:rPr>
        <w:t xml:space="preserve">significant </w:t>
      </w:r>
      <w:r>
        <w:rPr>
          <w:rFonts w:cs="Arial"/>
        </w:rPr>
        <w:t xml:space="preserve">difference </w:t>
      </w:r>
      <w:r>
        <w:rPr>
          <w:rFonts w:cs="Arial"/>
        </w:rPr>
        <w:lastRenderedPageBreak/>
        <w:t>between</w:t>
      </w:r>
      <w:r w:rsidRPr="00A0426E">
        <w:rPr>
          <w:rFonts w:cs="Arial"/>
        </w:rPr>
        <w:t xml:space="preserve"> tumor </w:t>
      </w:r>
      <w:r>
        <w:rPr>
          <w:rFonts w:cs="Arial"/>
        </w:rPr>
        <w:t>and</w:t>
      </w:r>
      <w:r w:rsidRPr="00A0426E">
        <w:rPr>
          <w:rFonts w:cs="Arial"/>
        </w:rPr>
        <w:t xml:space="preserve"> non-tumor cells</w:t>
      </w:r>
      <w:r>
        <w:rPr>
          <w:rFonts w:cs="Arial"/>
        </w:rPr>
        <w:t xml:space="preserve">, with higher histoscores seen in tumor cells </w:t>
      </w:r>
      <w:r w:rsidRPr="00A0426E">
        <w:rPr>
          <w:rFonts w:cs="Arial"/>
        </w:rPr>
        <w:t>(</w:t>
      </w:r>
      <w:r w:rsidRPr="00CF4554">
        <w:rPr>
          <w:rFonts w:cs="Arial"/>
        </w:rPr>
        <w:t>p=0·00081</w:t>
      </w:r>
      <w:r>
        <w:rPr>
          <w:rFonts w:cs="Arial"/>
        </w:rPr>
        <w:t xml:space="preserve"> </w:t>
      </w:r>
      <w:r w:rsidRPr="00E14635">
        <w:rPr>
          <w:rFonts w:cs="Arial"/>
        </w:rPr>
        <w:t xml:space="preserve">and </w:t>
      </w:r>
      <w:r w:rsidRPr="00CF4554">
        <w:rPr>
          <w:rFonts w:cs="Arial"/>
        </w:rPr>
        <w:t>p=0·015</w:t>
      </w:r>
      <w:r>
        <w:rPr>
          <w:rFonts w:cs="Arial"/>
        </w:rPr>
        <w:t xml:space="preserve"> for B-NHL and T-NHL</w:t>
      </w:r>
      <w:r w:rsidRPr="00E14635">
        <w:rPr>
          <w:rFonts w:cs="Arial"/>
        </w:rPr>
        <w:t>, respectively</w:t>
      </w:r>
      <w:r w:rsidRPr="00A0426E">
        <w:rPr>
          <w:rFonts w:cs="Arial"/>
        </w:rPr>
        <w:t xml:space="preserve">; </w:t>
      </w:r>
      <w:r w:rsidRPr="004242F1">
        <w:rPr>
          <w:rFonts w:cs="Arial"/>
          <w:b/>
          <w:bCs/>
        </w:rPr>
        <w:t xml:space="preserve">Figure </w:t>
      </w:r>
      <w:r>
        <w:rPr>
          <w:rFonts w:cs="Arial"/>
          <w:b/>
          <w:bCs/>
        </w:rPr>
        <w:t xml:space="preserve">S4A </w:t>
      </w:r>
      <w:r w:rsidRPr="006E7EEB">
        <w:rPr>
          <w:rFonts w:cs="Arial"/>
        </w:rPr>
        <w:t>appendix p</w:t>
      </w:r>
      <w:r>
        <w:rPr>
          <w:rFonts w:cs="Arial"/>
        </w:rPr>
        <w:t>26</w:t>
      </w:r>
      <w:r w:rsidRPr="006E7EEB">
        <w:rPr>
          <w:rFonts w:cs="Arial"/>
        </w:rPr>
        <w:t>;</w:t>
      </w:r>
      <w:r>
        <w:rPr>
          <w:rFonts w:cs="Arial"/>
          <w:b/>
          <w:bCs/>
        </w:rPr>
        <w:t xml:space="preserve"> Table </w:t>
      </w:r>
      <w:r>
        <w:rPr>
          <w:rFonts w:cs="Arial"/>
          <w:b/>
          <w:bCs/>
        </w:rPr>
        <w:t>S11A</w:t>
      </w:r>
      <w:r w:rsidRPr="00AF581A">
        <w:rPr>
          <w:rFonts w:cs="Arial"/>
        </w:rPr>
        <w:t xml:space="preserve"> </w:t>
      </w:r>
      <w:r w:rsidRPr="00EF6B33">
        <w:rPr>
          <w:rFonts w:cs="Arial"/>
        </w:rPr>
        <w:t>appendix p</w:t>
      </w:r>
      <w:r>
        <w:rPr>
          <w:rFonts w:cs="Arial"/>
        </w:rPr>
        <w:t>17</w:t>
      </w:r>
      <w:r w:rsidRPr="00A0426E">
        <w:rPr>
          <w:rFonts w:cs="Arial"/>
        </w:rPr>
        <w:t xml:space="preserve">). </w:t>
      </w:r>
      <w:r>
        <w:rPr>
          <w:rFonts w:cs="Arial"/>
        </w:rPr>
        <w:t>In non-tumor cells from patients with cHL, B-NHL</w:t>
      </w:r>
      <w:r>
        <w:rPr>
          <w:rFonts w:cs="Arial"/>
        </w:rPr>
        <w:t>,</w:t>
      </w:r>
      <w:r>
        <w:rPr>
          <w:rFonts w:cs="Arial"/>
        </w:rPr>
        <w:t xml:space="preserve"> or T-NHL, n</w:t>
      </w:r>
      <w:r w:rsidRPr="00A0426E">
        <w:rPr>
          <w:rFonts w:cs="Arial"/>
        </w:rPr>
        <w:t xml:space="preserve">o </w:t>
      </w:r>
      <w:r>
        <w:rPr>
          <w:rFonts w:cs="Arial"/>
        </w:rPr>
        <w:t xml:space="preserve">significant </w:t>
      </w:r>
      <w:r w:rsidRPr="00A0426E">
        <w:rPr>
          <w:rFonts w:cs="Arial"/>
        </w:rPr>
        <w:t>relationship was seen between CD25 histoscore and clinical response</w:t>
      </w:r>
      <w:r w:rsidRPr="00610DC2">
        <w:rPr>
          <w:rFonts w:cs="Arial"/>
          <w:b/>
          <w:bCs/>
        </w:rPr>
        <w:t xml:space="preserve"> </w:t>
      </w:r>
      <w:r>
        <w:rPr>
          <w:rFonts w:cs="Arial"/>
        </w:rPr>
        <w:t>(</w:t>
      </w:r>
      <w:r w:rsidRPr="00E747EB">
        <w:rPr>
          <w:rFonts w:cs="Arial"/>
        </w:rPr>
        <w:t>p=0·90</w:t>
      </w:r>
      <w:r>
        <w:rPr>
          <w:rFonts w:cs="Arial"/>
        </w:rPr>
        <w:t xml:space="preserve">, </w:t>
      </w:r>
      <w:r w:rsidRPr="00E747EB">
        <w:rPr>
          <w:rFonts w:cs="Arial"/>
        </w:rPr>
        <w:t>p=0·26</w:t>
      </w:r>
      <w:r>
        <w:rPr>
          <w:rFonts w:cs="Arial"/>
        </w:rPr>
        <w:t xml:space="preserve">, and </w:t>
      </w:r>
      <w:r w:rsidRPr="00E747EB">
        <w:rPr>
          <w:rFonts w:cs="Arial"/>
        </w:rPr>
        <w:t>p=0·36</w:t>
      </w:r>
      <w:r>
        <w:rPr>
          <w:rFonts w:cs="Arial"/>
        </w:rPr>
        <w:t xml:space="preserve">, respectively; </w:t>
      </w:r>
      <w:r w:rsidRPr="004242F1">
        <w:rPr>
          <w:rFonts w:cs="Arial"/>
          <w:b/>
          <w:bCs/>
        </w:rPr>
        <w:t xml:space="preserve">Figure </w:t>
      </w:r>
      <w:r>
        <w:rPr>
          <w:rFonts w:cs="Arial"/>
          <w:b/>
          <w:bCs/>
        </w:rPr>
        <w:t xml:space="preserve">S4B </w:t>
      </w:r>
      <w:r w:rsidRPr="006E7EEB">
        <w:rPr>
          <w:rFonts w:cs="Arial"/>
        </w:rPr>
        <w:t>appendix p</w:t>
      </w:r>
      <w:r>
        <w:rPr>
          <w:rFonts w:cs="Arial"/>
        </w:rPr>
        <w:t>26</w:t>
      </w:r>
      <w:r>
        <w:rPr>
          <w:rFonts w:cs="Arial"/>
          <w:b/>
          <w:bCs/>
        </w:rPr>
        <w:t>;</w:t>
      </w:r>
      <w:r w:rsidRPr="001C276E">
        <w:t xml:space="preserve"> </w:t>
      </w:r>
      <w:r w:rsidRPr="001C276E">
        <w:rPr>
          <w:rFonts w:cs="Arial"/>
          <w:b/>
          <w:bCs/>
        </w:rPr>
        <w:t xml:space="preserve">Table </w:t>
      </w:r>
      <w:r w:rsidRPr="001C276E">
        <w:rPr>
          <w:rFonts w:cs="Arial"/>
          <w:b/>
          <w:bCs/>
        </w:rPr>
        <w:t>S</w:t>
      </w:r>
      <w:r>
        <w:rPr>
          <w:rFonts w:cs="Arial"/>
          <w:b/>
          <w:bCs/>
        </w:rPr>
        <w:t>11B</w:t>
      </w:r>
      <w:r w:rsidRPr="00AF581A">
        <w:rPr>
          <w:rFonts w:cs="Arial"/>
        </w:rPr>
        <w:t xml:space="preserve"> </w:t>
      </w:r>
      <w:r w:rsidRPr="00EF6B33">
        <w:rPr>
          <w:rFonts w:cs="Arial"/>
        </w:rPr>
        <w:t xml:space="preserve">appendix </w:t>
      </w:r>
      <w:r>
        <w:rPr>
          <w:rFonts w:cs="Arial"/>
        </w:rPr>
        <w:t>p17</w:t>
      </w:r>
      <w:r w:rsidRPr="00B9070F">
        <w:rPr>
          <w:rFonts w:cs="Arial"/>
        </w:rPr>
        <w:t>)</w:t>
      </w:r>
      <w:r>
        <w:rPr>
          <w:rFonts w:cs="Arial"/>
        </w:rPr>
        <w:t xml:space="preserve">. </w:t>
      </w:r>
      <w:bookmarkStart w:id="41" w:name="_Hlk62679852"/>
      <w:r w:rsidRPr="00E456FA">
        <w:rPr>
          <w:rFonts w:cs="Arial"/>
        </w:rPr>
        <w:t>Contrary to prior initial exploratory analysis,</w:t>
      </w:r>
      <w:r w:rsidRPr="00E456FA">
        <w:rPr>
          <w:rFonts w:cs="Arial"/>
          <w:noProof/>
          <w:vertAlign w:val="superscript"/>
        </w:rPr>
        <w:t>19</w:t>
      </w:r>
      <w:r w:rsidRPr="00E456FA">
        <w:rPr>
          <w:rFonts w:cs="Arial"/>
        </w:rPr>
        <w:t xml:space="preserve"> final analysis showed that, in tumor cells from cHL patients, a significantly higher histoscore was observed for responders (those with CR or PR) versus non-responders (progressive disease</w:t>
      </w:r>
      <w:r>
        <w:rPr>
          <w:rFonts w:cs="Arial"/>
        </w:rPr>
        <w:t xml:space="preserve">, </w:t>
      </w:r>
      <w:r w:rsidRPr="00E456FA">
        <w:rPr>
          <w:rFonts w:cs="Arial"/>
        </w:rPr>
        <w:t>SD, or not evaluated) (</w:t>
      </w:r>
      <w:r w:rsidRPr="00E456FA">
        <w:rPr>
          <w:rFonts w:cs="Arial"/>
        </w:rPr>
        <w:t>p=0·0068</w:t>
      </w:r>
      <w:r w:rsidRPr="00E456FA">
        <w:rPr>
          <w:rFonts w:cs="Arial"/>
        </w:rPr>
        <w:t>).</w:t>
      </w:r>
      <w:r w:rsidRPr="00C43303">
        <w:rPr>
          <w:rFonts w:cs="Arial"/>
        </w:rPr>
        <w:t xml:space="preserve"> This significant difference was not apparent for tumor cells from B-</w:t>
      </w:r>
      <w:r>
        <w:rPr>
          <w:rFonts w:cs="Arial"/>
        </w:rPr>
        <w:t>NHL</w:t>
      </w:r>
      <w:r w:rsidRPr="00C43303">
        <w:rPr>
          <w:rFonts w:cs="Arial"/>
        </w:rPr>
        <w:t xml:space="preserve"> and T-</w:t>
      </w:r>
      <w:r>
        <w:rPr>
          <w:rFonts w:cs="Arial"/>
        </w:rPr>
        <w:t xml:space="preserve">NHL </w:t>
      </w:r>
      <w:r w:rsidRPr="00C43303">
        <w:rPr>
          <w:rFonts w:cs="Arial"/>
        </w:rPr>
        <w:t>patients (</w:t>
      </w:r>
      <w:r w:rsidRPr="00776729">
        <w:rPr>
          <w:rFonts w:cs="Arial"/>
        </w:rPr>
        <w:t>p=0·34</w:t>
      </w:r>
      <w:r>
        <w:rPr>
          <w:rFonts w:cs="Arial"/>
        </w:rPr>
        <w:t xml:space="preserve"> and </w:t>
      </w:r>
      <w:r w:rsidRPr="00776729">
        <w:rPr>
          <w:rFonts w:cs="Arial"/>
        </w:rPr>
        <w:t>p=0·70</w:t>
      </w:r>
      <w:r>
        <w:rPr>
          <w:rFonts w:cs="Arial"/>
        </w:rPr>
        <w:t>, respectively) (</w:t>
      </w:r>
      <w:r w:rsidRPr="00B9234A">
        <w:rPr>
          <w:rFonts w:cs="Arial"/>
          <w:b/>
          <w:bCs/>
        </w:rPr>
        <w:t xml:space="preserve">Figure </w:t>
      </w:r>
      <w:r>
        <w:rPr>
          <w:rFonts w:cs="Arial"/>
          <w:b/>
          <w:bCs/>
        </w:rPr>
        <w:t>S4</w:t>
      </w:r>
      <w:r w:rsidRPr="00B9234A">
        <w:rPr>
          <w:rFonts w:cs="Arial"/>
          <w:b/>
          <w:bCs/>
        </w:rPr>
        <w:t>C</w:t>
      </w:r>
      <w:r>
        <w:rPr>
          <w:rFonts w:cs="Arial"/>
          <w:b/>
          <w:bCs/>
        </w:rPr>
        <w:t xml:space="preserve"> </w:t>
      </w:r>
      <w:r w:rsidRPr="006E7EEB">
        <w:rPr>
          <w:rFonts w:cs="Arial"/>
        </w:rPr>
        <w:t>appendix p</w:t>
      </w:r>
      <w:r>
        <w:rPr>
          <w:rFonts w:cs="Arial"/>
        </w:rPr>
        <w:t>26</w:t>
      </w:r>
      <w:r w:rsidRPr="00C43303">
        <w:rPr>
          <w:rFonts w:cs="Arial"/>
        </w:rPr>
        <w:t xml:space="preserve">; </w:t>
      </w:r>
      <w:r w:rsidRPr="00B9234A">
        <w:rPr>
          <w:rFonts w:cs="Arial"/>
          <w:b/>
          <w:bCs/>
        </w:rPr>
        <w:t xml:space="preserve">Table </w:t>
      </w:r>
      <w:r w:rsidRPr="00B9234A">
        <w:rPr>
          <w:rFonts w:cs="Arial"/>
          <w:b/>
          <w:bCs/>
        </w:rPr>
        <w:t>S</w:t>
      </w:r>
      <w:r>
        <w:rPr>
          <w:rFonts w:cs="Arial"/>
          <w:b/>
          <w:bCs/>
        </w:rPr>
        <w:t>11</w:t>
      </w:r>
      <w:r w:rsidRPr="00B9234A">
        <w:rPr>
          <w:rFonts w:cs="Arial"/>
          <w:b/>
          <w:bCs/>
        </w:rPr>
        <w:t>C</w:t>
      </w:r>
      <w:r w:rsidRPr="0096735B">
        <w:rPr>
          <w:rFonts w:cs="Arial"/>
        </w:rPr>
        <w:t xml:space="preserve"> appendix p17</w:t>
      </w:r>
      <w:r w:rsidRPr="00C43303">
        <w:rPr>
          <w:rFonts w:cs="Arial"/>
        </w:rPr>
        <w:t>).</w:t>
      </w:r>
    </w:p>
    <w:bookmarkEnd w:id="41"/>
    <w:p w14:paraId="0E215799" w14:textId="77777777" w:rsidR="00830F07" w:rsidRPr="00EE2598" w:rsidRDefault="00830F07" w:rsidP="0031288A">
      <w:pPr>
        <w:rPr>
          <w:rFonts w:cs="Arial"/>
        </w:rPr>
      </w:pPr>
      <w:r w:rsidRPr="00A2303C">
        <w:rPr>
          <w:rFonts w:cs="Arial"/>
        </w:rPr>
        <w:t xml:space="preserve">   </w:t>
      </w:r>
    </w:p>
    <w:bookmarkEnd w:id="39"/>
    <w:p w14:paraId="302A4CC5" w14:textId="77777777" w:rsidR="00830F07" w:rsidRPr="00EE2598" w:rsidRDefault="00830F07" w:rsidP="0031288A">
      <w:pPr>
        <w:pStyle w:val="Heading2"/>
      </w:pPr>
      <w:r w:rsidRPr="00EE2598">
        <w:t>Discussion</w:t>
      </w:r>
    </w:p>
    <w:p w14:paraId="61CFE048" w14:textId="77777777" w:rsidR="00830F07" w:rsidRPr="00C577E3" w:rsidRDefault="00830F07" w:rsidP="0031288A">
      <w:pPr>
        <w:pStyle w:val="BodyText"/>
        <w:spacing w:after="0" w:line="480" w:lineRule="auto"/>
        <w:rPr>
          <w:rFonts w:ascii="Arial" w:hAnsi="Arial" w:cs="Arial"/>
          <w:szCs w:val="22"/>
        </w:rPr>
      </w:pPr>
      <w:bookmarkStart w:id="42" w:name="_Hlk65705140"/>
      <w:r w:rsidRPr="00EE2598">
        <w:rPr>
          <w:rFonts w:ascii="Arial" w:hAnsi="Arial" w:cs="Arial"/>
          <w:szCs w:val="22"/>
        </w:rPr>
        <w:t>In this open-label, dose-escalation</w:t>
      </w:r>
      <w:r>
        <w:rPr>
          <w:rFonts w:ascii="Arial" w:hAnsi="Arial" w:cs="Arial"/>
          <w:szCs w:val="22"/>
        </w:rPr>
        <w:t xml:space="preserve">, </w:t>
      </w:r>
      <w:r w:rsidRPr="00EE2598">
        <w:rPr>
          <w:rFonts w:ascii="Arial" w:hAnsi="Arial" w:cs="Arial"/>
          <w:szCs w:val="22"/>
        </w:rPr>
        <w:t xml:space="preserve">dose-expansion, </w:t>
      </w:r>
      <w:r>
        <w:rPr>
          <w:rFonts w:ascii="Arial" w:hAnsi="Arial" w:cs="Arial"/>
          <w:szCs w:val="22"/>
        </w:rPr>
        <w:t>P</w:t>
      </w:r>
      <w:r w:rsidRPr="00EE2598">
        <w:rPr>
          <w:rFonts w:ascii="Arial" w:hAnsi="Arial" w:cs="Arial"/>
          <w:szCs w:val="22"/>
        </w:rPr>
        <w:t xml:space="preserve">hase 1 study, camidanlumab tesirine demonstrated a high level of activity in patients with </w:t>
      </w:r>
      <w:r w:rsidRPr="00AA16FF">
        <w:rPr>
          <w:rFonts w:ascii="Arial" w:hAnsi="Arial" w:cs="Arial"/>
        </w:rPr>
        <w:t>multipl</w:t>
      </w:r>
      <w:r>
        <w:rPr>
          <w:rFonts w:ascii="Arial" w:hAnsi="Arial" w:cs="Arial"/>
        </w:rPr>
        <w:t>y</w:t>
      </w:r>
      <w:r w:rsidRPr="00C577E3">
        <w:rPr>
          <w:rFonts w:ascii="Arial" w:hAnsi="Arial" w:cs="Arial"/>
          <w:szCs w:val="22"/>
        </w:rPr>
        <w:t xml:space="preserve"> R/R lymphoma; </w:t>
      </w:r>
      <w:proofErr w:type="spellStart"/>
      <w:r w:rsidRPr="00C577E3">
        <w:rPr>
          <w:rFonts w:ascii="Arial" w:hAnsi="Arial" w:cs="Arial"/>
          <w:szCs w:val="22"/>
        </w:rPr>
        <w:t>MTD</w:t>
      </w:r>
      <w:proofErr w:type="spellEnd"/>
      <w:r w:rsidRPr="00C577E3">
        <w:rPr>
          <w:rFonts w:ascii="Arial" w:hAnsi="Arial" w:cs="Arial"/>
          <w:szCs w:val="22"/>
        </w:rPr>
        <w:t xml:space="preserve"> was not reached.</w:t>
      </w:r>
    </w:p>
    <w:bookmarkEnd w:id="42"/>
    <w:p w14:paraId="7EDC0544" w14:textId="1AE27870" w:rsidR="00830F07" w:rsidRPr="00A966F3" w:rsidRDefault="00830F07" w:rsidP="0031288A">
      <w:pPr>
        <w:pStyle w:val="BodyText"/>
        <w:spacing w:after="0" w:line="480" w:lineRule="auto"/>
        <w:rPr>
          <w:rFonts w:ascii="Arial" w:hAnsi="Arial" w:cs="Arial"/>
          <w:bCs/>
          <w:szCs w:val="22"/>
        </w:rPr>
      </w:pPr>
      <w:r w:rsidRPr="00EE2598">
        <w:rPr>
          <w:rFonts w:ascii="Arial" w:hAnsi="Arial" w:cs="Arial"/>
          <w:szCs w:val="22"/>
        </w:rPr>
        <w:t xml:space="preserve">The most commonly observed AEs, such as elevated liver </w:t>
      </w:r>
      <w:r>
        <w:rPr>
          <w:rFonts w:ascii="Arial" w:hAnsi="Arial" w:cs="Arial"/>
          <w:szCs w:val="22"/>
        </w:rPr>
        <w:t>enzymes</w:t>
      </w:r>
      <w:r w:rsidRPr="00EE2598">
        <w:rPr>
          <w:rFonts w:ascii="Arial" w:hAnsi="Arial" w:cs="Arial"/>
          <w:szCs w:val="22"/>
        </w:rPr>
        <w:t xml:space="preserve"> (</w:t>
      </w:r>
      <w:r>
        <w:rPr>
          <w:rFonts w:ascii="Arial" w:hAnsi="Arial" w:cs="Arial"/>
          <w:szCs w:val="22"/>
        </w:rPr>
        <w:t>without</w:t>
      </w:r>
      <w:r w:rsidRPr="00EE2598">
        <w:rPr>
          <w:rFonts w:ascii="Arial" w:hAnsi="Arial" w:cs="Arial"/>
          <w:szCs w:val="22"/>
        </w:rPr>
        <w:t xml:space="preserve"> </w:t>
      </w:r>
      <w:r>
        <w:rPr>
          <w:rFonts w:ascii="Arial" w:hAnsi="Arial" w:cs="Arial"/>
          <w:szCs w:val="22"/>
        </w:rPr>
        <w:t xml:space="preserve">hepatic </w:t>
      </w:r>
      <w:r w:rsidRPr="00EE2598">
        <w:rPr>
          <w:rFonts w:ascii="Arial" w:hAnsi="Arial" w:cs="Arial"/>
          <w:szCs w:val="22"/>
        </w:rPr>
        <w:t xml:space="preserve">synthetic dysfunction), rash, </w:t>
      </w:r>
      <w:r>
        <w:rPr>
          <w:rFonts w:ascii="Arial" w:hAnsi="Arial" w:cs="Arial"/>
          <w:szCs w:val="22"/>
        </w:rPr>
        <w:t>fatigue,</w:t>
      </w:r>
      <w:r w:rsidRPr="00EE2598">
        <w:rPr>
          <w:rFonts w:ascii="Arial" w:hAnsi="Arial" w:cs="Arial"/>
          <w:szCs w:val="22"/>
        </w:rPr>
        <w:t xml:space="preserve"> </w:t>
      </w:r>
      <w:r w:rsidRPr="00CB1F5A">
        <w:rPr>
          <w:rFonts w:ascii="Arial" w:hAnsi="Arial" w:cs="Arial"/>
          <w:iCs/>
        </w:rPr>
        <w:t>edema or effusion,</w:t>
      </w:r>
      <w:r>
        <w:rPr>
          <w:i/>
          <w:iCs/>
        </w:rPr>
        <w:t xml:space="preserve"> </w:t>
      </w:r>
      <w:r w:rsidRPr="00EE2598">
        <w:rPr>
          <w:rFonts w:ascii="Arial" w:hAnsi="Arial" w:cs="Arial"/>
          <w:szCs w:val="22"/>
        </w:rPr>
        <w:t xml:space="preserve">and nausea appear typical </w:t>
      </w:r>
      <w:r>
        <w:rPr>
          <w:rFonts w:ascii="Arial" w:hAnsi="Arial" w:cs="Arial"/>
          <w:szCs w:val="22"/>
        </w:rPr>
        <w:t>of</w:t>
      </w:r>
      <w:r w:rsidRPr="00EE2598">
        <w:rPr>
          <w:rFonts w:ascii="Arial" w:hAnsi="Arial" w:cs="Arial"/>
          <w:szCs w:val="22"/>
        </w:rPr>
        <w:t xml:space="preserve"> </w:t>
      </w:r>
      <w:proofErr w:type="spellStart"/>
      <w:r w:rsidRPr="00EE2598">
        <w:rPr>
          <w:rFonts w:ascii="Arial" w:hAnsi="Arial" w:cs="Arial"/>
          <w:szCs w:val="22"/>
        </w:rPr>
        <w:t>PBD</w:t>
      </w:r>
      <w:proofErr w:type="spellEnd"/>
      <w:r w:rsidRPr="00EE2598">
        <w:rPr>
          <w:rFonts w:ascii="Arial" w:hAnsi="Arial" w:cs="Arial"/>
          <w:szCs w:val="22"/>
        </w:rPr>
        <w:t xml:space="preserve"> dimer-containing ADCs</w:t>
      </w:r>
      <w:r>
        <w:rPr>
          <w:rFonts w:ascii="Arial" w:hAnsi="Arial" w:cs="Arial"/>
          <w:szCs w:val="22"/>
        </w:rPr>
        <w:t xml:space="preserve"> and have been reported in other studies using the same payload, such as Phase 1 and 2 studies of loncastuximab tesirine in NHL</w:t>
      </w:r>
      <w:r w:rsidRPr="00EE2598">
        <w:rPr>
          <w:rFonts w:ascii="Arial" w:hAnsi="Arial" w:cs="Arial"/>
          <w:szCs w:val="22"/>
        </w:rPr>
        <w:t>.</w:t>
      </w:r>
      <w:r w:rsidRPr="000140EA">
        <w:rPr>
          <w:rFonts w:ascii="Arial" w:hAnsi="Arial" w:cs="Arial"/>
          <w:noProof/>
          <w:vertAlign w:val="superscript"/>
        </w:rPr>
        <w:t>18,20-22</w:t>
      </w:r>
      <w:r>
        <w:rPr>
          <w:rFonts w:ascii="Arial" w:hAnsi="Arial" w:cs="Arial"/>
          <w:bCs/>
          <w:szCs w:val="22"/>
        </w:rPr>
        <w:t xml:space="preserve"> </w:t>
      </w:r>
      <w:r>
        <w:rPr>
          <w:rFonts w:ascii="Arial" w:hAnsi="Arial" w:cs="Arial"/>
          <w:szCs w:val="22"/>
        </w:rPr>
        <w:t>These events were generally reversible and manageable in most patients with dose delays or reductions.</w:t>
      </w:r>
      <w:r w:rsidRPr="00442524">
        <w:rPr>
          <w:rFonts w:ascii="Arial" w:hAnsi="Arial" w:cs="Arial"/>
          <w:bCs/>
          <w:szCs w:val="22"/>
        </w:rPr>
        <w:t xml:space="preserve"> </w:t>
      </w:r>
      <w:r>
        <w:rPr>
          <w:rFonts w:ascii="Arial" w:hAnsi="Arial" w:cs="Arial"/>
          <w:bCs/>
          <w:szCs w:val="22"/>
        </w:rPr>
        <w:t>Dexamethasone premedication limited incidence of edema and effusion; as previously reported in Part 2 of a trial of loncastuximab tesirine, which has the same payload.</w:t>
      </w:r>
      <w:r w:rsidRPr="000140EA">
        <w:rPr>
          <w:rFonts w:ascii="Arial" w:hAnsi="Arial" w:cs="Arial"/>
          <w:bCs/>
          <w:noProof/>
          <w:szCs w:val="22"/>
          <w:vertAlign w:val="superscript"/>
        </w:rPr>
        <w:t>18</w:t>
      </w:r>
      <w:r>
        <w:rPr>
          <w:rFonts w:ascii="Arial" w:hAnsi="Arial" w:cs="Arial"/>
          <w:bCs/>
          <w:szCs w:val="22"/>
        </w:rPr>
        <w:t xml:space="preserve"> Of note, PK of SG3199 suggest it is highly unlikely that unbound drug contributes appreciably to toxicity in non-CD25 expressing tissues. Many common TEAEs, such as rash, fatigue, diarrhea, and pyrexia are also reported to occur with approved drugs for cHL, such as </w:t>
      </w:r>
      <w:r>
        <w:rPr>
          <w:rFonts w:ascii="Arial" w:hAnsi="Arial" w:cs="Arial"/>
          <w:bCs/>
          <w:szCs w:val="22"/>
        </w:rPr>
        <w:t>BV</w:t>
      </w:r>
      <w:r w:rsidRPr="000140EA">
        <w:rPr>
          <w:rFonts w:ascii="Arial" w:hAnsi="Arial" w:cs="Arial"/>
          <w:bCs/>
          <w:noProof/>
          <w:szCs w:val="22"/>
          <w:vertAlign w:val="superscript"/>
        </w:rPr>
        <w:t>23</w:t>
      </w:r>
      <w:r>
        <w:rPr>
          <w:rFonts w:ascii="Arial" w:hAnsi="Arial" w:cs="Arial"/>
          <w:bCs/>
          <w:szCs w:val="22"/>
        </w:rPr>
        <w:t xml:space="preserve"> and CHPis.</w:t>
      </w:r>
      <w:r w:rsidRPr="00F72D00">
        <w:rPr>
          <w:rFonts w:ascii="Arial" w:hAnsi="Arial" w:cs="Arial"/>
          <w:bCs/>
          <w:noProof/>
          <w:szCs w:val="22"/>
          <w:vertAlign w:val="superscript"/>
        </w:rPr>
        <w:t>9,24</w:t>
      </w:r>
      <w:r>
        <w:rPr>
          <w:rFonts w:ascii="Arial" w:hAnsi="Arial" w:cs="Arial"/>
          <w:bCs/>
          <w:szCs w:val="22"/>
        </w:rPr>
        <w:t xml:space="preserve"> </w:t>
      </w:r>
    </w:p>
    <w:p w14:paraId="59C2FD1C" w14:textId="4FBBC481" w:rsidR="00830F07" w:rsidRDefault="00830F07" w:rsidP="0031288A">
      <w:pPr>
        <w:pStyle w:val="BodyText"/>
        <w:spacing w:after="0" w:line="480" w:lineRule="auto"/>
        <w:rPr>
          <w:rFonts w:ascii="Arial" w:hAnsi="Arial" w:cs="Arial"/>
          <w:bCs/>
          <w:szCs w:val="22"/>
        </w:rPr>
      </w:pPr>
      <w:r w:rsidRPr="00EE2598">
        <w:rPr>
          <w:rFonts w:ascii="Arial" w:hAnsi="Arial" w:cs="Arial"/>
          <w:szCs w:val="22"/>
        </w:rPr>
        <w:lastRenderedPageBreak/>
        <w:t xml:space="preserve">Autoimmune </w:t>
      </w:r>
      <w:r w:rsidRPr="00E54648">
        <w:rPr>
          <w:rFonts w:ascii="Arial" w:hAnsi="Arial" w:cs="Arial"/>
          <w:szCs w:val="22"/>
        </w:rPr>
        <w:t xml:space="preserve">toxicities </w:t>
      </w:r>
      <w:r>
        <w:rPr>
          <w:rFonts w:ascii="Arial" w:hAnsi="Arial" w:cs="Arial"/>
          <w:szCs w:val="22"/>
        </w:rPr>
        <w:t xml:space="preserve">were observed at low </w:t>
      </w:r>
      <w:r w:rsidRPr="00A966F3">
        <w:rPr>
          <w:rFonts w:ascii="Arial" w:hAnsi="Arial" w:cs="Arial"/>
          <w:szCs w:val="22"/>
        </w:rPr>
        <w:t>levels</w:t>
      </w:r>
      <w:r>
        <w:rPr>
          <w:rFonts w:ascii="Arial" w:hAnsi="Arial" w:cs="Arial"/>
          <w:szCs w:val="22"/>
        </w:rPr>
        <w:t>; p</w:t>
      </w:r>
      <w:r w:rsidRPr="00A966F3">
        <w:rPr>
          <w:rFonts w:ascii="Arial" w:hAnsi="Arial" w:cs="Arial"/>
          <w:szCs w:val="22"/>
        </w:rPr>
        <w:t xml:space="preserve">eripheral sensory neuropathy </w:t>
      </w:r>
      <w:r>
        <w:rPr>
          <w:rFonts w:ascii="Arial" w:hAnsi="Arial" w:cs="Arial"/>
          <w:szCs w:val="22"/>
        </w:rPr>
        <w:t>was seen in 9/133 patients (</w:t>
      </w:r>
      <w:r w:rsidRPr="00A966F3">
        <w:rPr>
          <w:rFonts w:ascii="Arial" w:hAnsi="Arial" w:cs="Arial"/>
          <w:szCs w:val="22"/>
        </w:rPr>
        <w:t>6</w:t>
      </w:r>
      <w:r>
        <w:rPr>
          <w:rFonts w:ascii="Arial" w:hAnsi="Arial" w:cs="Arial"/>
          <w:szCs w:val="22"/>
        </w:rPr>
        <w:t>·</w:t>
      </w:r>
      <w:r w:rsidRPr="00A966F3">
        <w:rPr>
          <w:rFonts w:ascii="Arial" w:hAnsi="Arial" w:cs="Arial"/>
          <w:szCs w:val="22"/>
        </w:rPr>
        <w:t>8%</w:t>
      </w:r>
      <w:r>
        <w:rPr>
          <w:rFonts w:ascii="Arial" w:hAnsi="Arial" w:cs="Arial"/>
          <w:szCs w:val="22"/>
        </w:rPr>
        <w:t xml:space="preserve">) and </w:t>
      </w:r>
      <w:r w:rsidRPr="00A966F3">
        <w:rPr>
          <w:rFonts w:ascii="Arial" w:hAnsi="Arial" w:cs="Arial"/>
          <w:szCs w:val="22"/>
        </w:rPr>
        <w:t xml:space="preserve">hypothyroidism </w:t>
      </w:r>
      <w:r>
        <w:rPr>
          <w:rFonts w:ascii="Arial" w:hAnsi="Arial" w:cs="Arial"/>
          <w:szCs w:val="22"/>
        </w:rPr>
        <w:t>in 8/133 patients (</w:t>
      </w:r>
      <w:r w:rsidRPr="00A966F3">
        <w:rPr>
          <w:rFonts w:ascii="Arial" w:hAnsi="Arial" w:cs="Arial"/>
          <w:szCs w:val="22"/>
        </w:rPr>
        <w:t>6</w:t>
      </w:r>
      <w:r>
        <w:rPr>
          <w:rFonts w:ascii="Arial" w:hAnsi="Arial" w:cs="Arial"/>
          <w:szCs w:val="22"/>
        </w:rPr>
        <w:t>·</w:t>
      </w:r>
      <w:r w:rsidRPr="00A966F3">
        <w:rPr>
          <w:rFonts w:ascii="Arial" w:hAnsi="Arial" w:cs="Arial"/>
          <w:szCs w:val="22"/>
        </w:rPr>
        <w:t>0%).</w:t>
      </w:r>
      <w:r>
        <w:rPr>
          <w:rFonts w:ascii="Arial" w:hAnsi="Arial" w:cs="Arial"/>
          <w:szCs w:val="22"/>
        </w:rPr>
        <w:t xml:space="preserve"> </w:t>
      </w:r>
      <w:r w:rsidRPr="00A966F3">
        <w:rPr>
          <w:rStyle w:val="CommentReference"/>
          <w:rFonts w:eastAsiaTheme="minorHAnsi" w:cs="Arial"/>
          <w:sz w:val="22"/>
          <w:szCs w:val="22"/>
          <w:lang w:eastAsia="en-US"/>
        </w:rPr>
        <w:t>However, notabl</w:t>
      </w:r>
      <w:r>
        <w:rPr>
          <w:rStyle w:val="CommentReference"/>
          <w:rFonts w:eastAsiaTheme="minorHAnsi" w:cs="Arial"/>
          <w:sz w:val="22"/>
          <w:szCs w:val="22"/>
          <w:lang w:eastAsia="en-US"/>
        </w:rPr>
        <w:t>y</w:t>
      </w:r>
      <w:r w:rsidRPr="00A966F3">
        <w:rPr>
          <w:rStyle w:val="CommentReference"/>
          <w:rFonts w:eastAsiaTheme="minorHAnsi" w:cs="Arial"/>
          <w:sz w:val="22"/>
          <w:szCs w:val="22"/>
          <w:lang w:eastAsia="en-US"/>
        </w:rPr>
        <w:t xml:space="preserve"> 5/77 (6</w:t>
      </w:r>
      <w:r>
        <w:rPr>
          <w:rStyle w:val="CommentReference"/>
          <w:rFonts w:eastAsiaTheme="minorHAnsi" w:cs="Arial"/>
          <w:sz w:val="22"/>
          <w:szCs w:val="22"/>
          <w:lang w:eastAsia="en-US"/>
        </w:rPr>
        <w:t>·</w:t>
      </w:r>
      <w:r w:rsidRPr="00A966F3">
        <w:rPr>
          <w:rStyle w:val="CommentReference"/>
          <w:rFonts w:eastAsiaTheme="minorHAnsi" w:cs="Arial"/>
          <w:sz w:val="22"/>
          <w:szCs w:val="22"/>
          <w:lang w:eastAsia="en-US"/>
        </w:rPr>
        <w:t xml:space="preserve">5%) cHL patients experienced GBS/polyradiculopathy. </w:t>
      </w:r>
      <w:bookmarkStart w:id="43" w:name="_Hlk65510246"/>
      <w:r w:rsidRPr="00A966F3">
        <w:rPr>
          <w:rStyle w:val="CommentReference"/>
          <w:rFonts w:eastAsiaTheme="minorHAnsi" w:cs="Arial"/>
          <w:sz w:val="22"/>
          <w:szCs w:val="22"/>
          <w:lang w:eastAsia="en-US"/>
        </w:rPr>
        <w:t xml:space="preserve">No NHL patients developed GBS/polyradiculopathy, and no GBS/polyradiculopathy events were observed in a </w:t>
      </w:r>
      <w:r>
        <w:rPr>
          <w:rFonts w:ascii="Arial" w:hAnsi="Arial" w:cs="Arial"/>
          <w:szCs w:val="22"/>
        </w:rPr>
        <w:t>P</w:t>
      </w:r>
      <w:r w:rsidRPr="00A966F3">
        <w:rPr>
          <w:rFonts w:ascii="Arial" w:hAnsi="Arial" w:cs="Arial"/>
          <w:szCs w:val="22"/>
        </w:rPr>
        <w:t>hase 1 study of camidanlumab tesirine in 35 patients with acute leukemia</w:t>
      </w:r>
      <w:r>
        <w:rPr>
          <w:rFonts w:ascii="Arial" w:hAnsi="Arial" w:cs="Arial"/>
          <w:szCs w:val="22"/>
        </w:rPr>
        <w:t>,</w:t>
      </w:r>
      <w:r w:rsidRPr="0002709A">
        <w:rPr>
          <w:rFonts w:ascii="Arial" w:hAnsi="Arial" w:cs="Arial"/>
          <w:noProof/>
          <w:szCs w:val="22"/>
          <w:vertAlign w:val="superscript"/>
        </w:rPr>
        <w:t>25</w:t>
      </w:r>
      <w:r w:rsidRPr="00A966F3">
        <w:rPr>
          <w:rFonts w:ascii="Arial" w:hAnsi="Arial" w:cs="Arial"/>
          <w:szCs w:val="22"/>
        </w:rPr>
        <w:t xml:space="preserve"> </w:t>
      </w:r>
      <w:bookmarkEnd w:id="43"/>
      <w:r w:rsidRPr="00A966F3">
        <w:rPr>
          <w:rFonts w:ascii="Arial" w:hAnsi="Arial" w:cs="Arial"/>
          <w:szCs w:val="22"/>
        </w:rPr>
        <w:t xml:space="preserve">suggesting </w:t>
      </w:r>
      <w:r>
        <w:rPr>
          <w:rFonts w:ascii="Arial" w:hAnsi="Arial" w:cs="Arial"/>
          <w:szCs w:val="22"/>
        </w:rPr>
        <w:t xml:space="preserve">cHL </w:t>
      </w:r>
      <w:r w:rsidRPr="00A966F3">
        <w:rPr>
          <w:rFonts w:ascii="Arial" w:hAnsi="Arial" w:cs="Arial"/>
          <w:szCs w:val="22"/>
        </w:rPr>
        <w:t xml:space="preserve">patients </w:t>
      </w:r>
      <w:r>
        <w:rPr>
          <w:rFonts w:ascii="Arial" w:hAnsi="Arial" w:cs="Arial"/>
          <w:szCs w:val="22"/>
        </w:rPr>
        <w:t>may be</w:t>
      </w:r>
      <w:r w:rsidRPr="00A966F3">
        <w:rPr>
          <w:rFonts w:ascii="Arial" w:hAnsi="Arial" w:cs="Arial"/>
          <w:szCs w:val="22"/>
        </w:rPr>
        <w:t xml:space="preserve"> predisposed to GBS/poly</w:t>
      </w:r>
      <w:r w:rsidRPr="00A966F3">
        <w:rPr>
          <w:rStyle w:val="CommentReference"/>
          <w:rFonts w:eastAsiaTheme="minorHAnsi" w:cs="Arial"/>
          <w:sz w:val="22"/>
          <w:szCs w:val="22"/>
          <w:lang w:eastAsia="en-US"/>
        </w:rPr>
        <w:t>radiculopathy when treated with camidanlumab tesirine</w:t>
      </w:r>
      <w:r w:rsidRPr="003A6EE7">
        <w:rPr>
          <w:rStyle w:val="CommentReference"/>
          <w:rFonts w:eastAsiaTheme="minorHAnsi" w:cs="Arial"/>
          <w:sz w:val="22"/>
          <w:szCs w:val="22"/>
          <w:lang w:eastAsia="en-US"/>
        </w:rPr>
        <w:t xml:space="preserve">. </w:t>
      </w:r>
      <w:r w:rsidRPr="00F06D35">
        <w:rPr>
          <w:rFonts w:ascii="Arial" w:hAnsi="Arial" w:cs="Arial"/>
          <w:shd w:val="clear" w:color="auto" w:fill="FFFFFF"/>
        </w:rPr>
        <w:t>The association of immune</w:t>
      </w:r>
      <w:r w:rsidRPr="00F06D35">
        <w:rPr>
          <w:rFonts w:ascii="Cambria Math" w:hAnsi="Cambria Math" w:cs="Cambria Math"/>
          <w:shd w:val="clear" w:color="auto" w:fill="FFFFFF"/>
        </w:rPr>
        <w:t>‐</w:t>
      </w:r>
      <w:r w:rsidRPr="00F06D35">
        <w:rPr>
          <w:rFonts w:ascii="Arial" w:hAnsi="Arial" w:cs="Arial"/>
          <w:shd w:val="clear" w:color="auto" w:fill="FFFFFF"/>
        </w:rPr>
        <w:t>mediated neuropathies with cHL, including paraneoplastic</w:t>
      </w:r>
      <w:r>
        <w:rPr>
          <w:rFonts w:ascii="Arial" w:hAnsi="Arial" w:cs="Arial"/>
          <w:shd w:val="clear" w:color="auto" w:fill="FFFFFF"/>
        </w:rPr>
        <w:t xml:space="preserve"> </w:t>
      </w:r>
      <w:r w:rsidRPr="00F06D35">
        <w:rPr>
          <w:rFonts w:ascii="Arial" w:hAnsi="Arial" w:cs="Arial"/>
          <w:shd w:val="clear" w:color="auto" w:fill="FFFFFF"/>
        </w:rPr>
        <w:t>and inflammatory demyelinating neuropathies, such as GBS, is well described in the literature</w:t>
      </w:r>
      <w:r>
        <w:rPr>
          <w:rFonts w:ascii="Arial" w:hAnsi="Arial" w:cs="Arial"/>
          <w:color w:val="1C1D1E"/>
          <w:shd w:val="clear" w:color="auto" w:fill="FFFFFF"/>
        </w:rPr>
        <w:t>.</w:t>
      </w:r>
      <w:r w:rsidRPr="00F72D00">
        <w:rPr>
          <w:rFonts w:ascii="Arial" w:hAnsi="Arial" w:cs="Arial"/>
          <w:noProof/>
          <w:color w:val="1C1D1E"/>
          <w:shd w:val="clear" w:color="auto" w:fill="FFFFFF"/>
          <w:vertAlign w:val="superscript"/>
        </w:rPr>
        <w:t>26</w:t>
      </w:r>
      <w:r>
        <w:rPr>
          <w:rFonts w:ascii="Arial" w:hAnsi="Arial" w:cs="Arial"/>
          <w:color w:val="1C1D1E"/>
          <w:shd w:val="clear" w:color="auto" w:fill="FFFFFF"/>
        </w:rPr>
        <w:t xml:space="preserve"> </w:t>
      </w:r>
      <w:r w:rsidRPr="00A966F3">
        <w:rPr>
          <w:rStyle w:val="CommentReference"/>
          <w:rFonts w:eastAsiaTheme="minorHAnsi" w:cs="Arial"/>
          <w:sz w:val="22"/>
          <w:szCs w:val="22"/>
          <w:lang w:eastAsia="en-US"/>
        </w:rPr>
        <w:t>Aimed at improving understanding</w:t>
      </w:r>
      <w:r>
        <w:rPr>
          <w:rStyle w:val="CommentReference"/>
          <w:rFonts w:eastAsiaTheme="minorHAnsi" w:cs="Arial"/>
          <w:sz w:val="22"/>
          <w:szCs w:val="22"/>
          <w:lang w:eastAsia="en-US"/>
        </w:rPr>
        <w:t xml:space="preserve"> of the</w:t>
      </w:r>
      <w:r w:rsidRPr="00A966F3">
        <w:rPr>
          <w:rStyle w:val="CommentReference"/>
          <w:rFonts w:eastAsiaTheme="minorHAnsi" w:cs="Arial"/>
          <w:sz w:val="22"/>
          <w:szCs w:val="22"/>
          <w:lang w:eastAsia="en-US"/>
        </w:rPr>
        <w:t xml:space="preserve"> etiology of these events, s</w:t>
      </w:r>
      <w:r w:rsidRPr="00A966F3">
        <w:rPr>
          <w:rFonts w:ascii="Arial" w:hAnsi="Arial" w:cs="Arial"/>
          <w:szCs w:val="22"/>
        </w:rPr>
        <w:t xml:space="preserve">ubgroup analyses demonstrated </w:t>
      </w:r>
      <w:r w:rsidRPr="00A966F3">
        <w:rPr>
          <w:rFonts w:ascii="Arial" w:hAnsi="Arial" w:cs="Arial"/>
          <w:bCs/>
          <w:szCs w:val="22"/>
        </w:rPr>
        <w:t>GBS/polyradiculopathy in camidanlumab tesirine</w:t>
      </w:r>
      <w:r>
        <w:rPr>
          <w:rFonts w:ascii="Arial" w:hAnsi="Arial" w:cs="Arial"/>
          <w:bCs/>
          <w:szCs w:val="22"/>
        </w:rPr>
        <w:t>-treated</w:t>
      </w:r>
      <w:r w:rsidRPr="00A966F3">
        <w:rPr>
          <w:rFonts w:ascii="Arial" w:hAnsi="Arial" w:cs="Arial"/>
          <w:bCs/>
          <w:szCs w:val="22"/>
        </w:rPr>
        <w:t xml:space="preserve"> cHL patients</w:t>
      </w:r>
      <w:r>
        <w:rPr>
          <w:rFonts w:ascii="Arial" w:hAnsi="Arial" w:cs="Arial"/>
          <w:bCs/>
          <w:szCs w:val="22"/>
        </w:rPr>
        <w:t xml:space="preserve"> was</w:t>
      </w:r>
      <w:r w:rsidRPr="00A966F3">
        <w:rPr>
          <w:rFonts w:ascii="Arial" w:hAnsi="Arial" w:cs="Arial"/>
          <w:bCs/>
          <w:szCs w:val="22"/>
        </w:rPr>
        <w:t xml:space="preserve"> not associated with dose, cycle</w:t>
      </w:r>
      <w:r w:rsidRPr="005C594C">
        <w:rPr>
          <w:rFonts w:ascii="Arial" w:hAnsi="Arial" w:cs="Arial"/>
          <w:bCs/>
          <w:szCs w:val="22"/>
        </w:rPr>
        <w:t xml:space="preserve"> </w:t>
      </w:r>
      <w:r w:rsidRPr="00A966F3">
        <w:rPr>
          <w:rFonts w:ascii="Arial" w:hAnsi="Arial" w:cs="Arial"/>
          <w:bCs/>
          <w:szCs w:val="22"/>
        </w:rPr>
        <w:t xml:space="preserve">number, or prior </w:t>
      </w:r>
      <w:proofErr w:type="spellStart"/>
      <w:r w:rsidRPr="00A966F3">
        <w:rPr>
          <w:rFonts w:ascii="Arial" w:hAnsi="Arial" w:cs="Arial"/>
          <w:bCs/>
          <w:szCs w:val="22"/>
        </w:rPr>
        <w:t>CHPi</w:t>
      </w:r>
      <w:proofErr w:type="spellEnd"/>
      <w:r w:rsidRPr="00A966F3">
        <w:rPr>
          <w:rFonts w:ascii="Arial" w:hAnsi="Arial" w:cs="Arial"/>
          <w:bCs/>
          <w:szCs w:val="22"/>
        </w:rPr>
        <w:t xml:space="preserve"> treatment.</w:t>
      </w:r>
      <w:r w:rsidRPr="00F72D00">
        <w:rPr>
          <w:rFonts w:ascii="Arial" w:hAnsi="Arial" w:cs="Arial"/>
          <w:bCs/>
          <w:noProof/>
          <w:szCs w:val="22"/>
          <w:vertAlign w:val="superscript"/>
        </w:rPr>
        <w:t>27</w:t>
      </w:r>
      <w:r w:rsidRPr="00A966F3">
        <w:rPr>
          <w:rFonts w:ascii="Arial" w:hAnsi="Arial" w:cs="Arial"/>
          <w:bCs/>
          <w:szCs w:val="22"/>
        </w:rPr>
        <w:t xml:space="preserve"> </w:t>
      </w:r>
      <w:r w:rsidRPr="005D6644">
        <w:rPr>
          <w:rFonts w:ascii="Arial" w:hAnsi="Arial" w:cs="Arial"/>
          <w:bCs/>
          <w:szCs w:val="22"/>
        </w:rPr>
        <w:t xml:space="preserve">Targeting the immune system with </w:t>
      </w:r>
      <w:r w:rsidRPr="005D6644">
        <w:rPr>
          <w:rFonts w:ascii="Arial" w:hAnsi="Arial" w:cs="Arial"/>
          <w:szCs w:val="22"/>
        </w:rPr>
        <w:t xml:space="preserve">camidanlumab tesirine </w:t>
      </w:r>
      <w:r w:rsidRPr="005D6644">
        <w:rPr>
          <w:rFonts w:ascii="Arial" w:hAnsi="Arial" w:cs="Arial"/>
          <w:bCs/>
          <w:szCs w:val="22"/>
        </w:rPr>
        <w:t>in cHL patients could plausibly modulate CD25-positive T</w:t>
      </w:r>
      <w:r w:rsidRPr="005D6644">
        <w:rPr>
          <w:rFonts w:ascii="Arial" w:hAnsi="Arial" w:cs="Arial"/>
          <w:bCs/>
          <w:szCs w:val="22"/>
          <w:vertAlign w:val="subscript"/>
        </w:rPr>
        <w:t>regs</w:t>
      </w:r>
      <w:r w:rsidRPr="005D6644">
        <w:rPr>
          <w:rFonts w:ascii="Arial" w:hAnsi="Arial" w:cs="Arial"/>
          <w:bCs/>
          <w:szCs w:val="22"/>
        </w:rPr>
        <w:t>, causing immune system changes</w:t>
      </w:r>
      <w:r>
        <w:rPr>
          <w:rFonts w:ascii="Arial" w:hAnsi="Arial" w:cs="Arial"/>
          <w:bCs/>
          <w:szCs w:val="22"/>
        </w:rPr>
        <w:t>,</w:t>
      </w:r>
      <w:r w:rsidRPr="005D6644">
        <w:rPr>
          <w:rFonts w:ascii="Arial" w:hAnsi="Arial" w:cs="Arial"/>
          <w:bCs/>
          <w:szCs w:val="22"/>
        </w:rPr>
        <w:t xml:space="preserve"> rendering these patients more susceptible to </w:t>
      </w:r>
      <w:bookmarkStart w:id="44" w:name="_Hlk48736198"/>
      <w:r w:rsidRPr="005D6644">
        <w:rPr>
          <w:rFonts w:ascii="Arial" w:hAnsi="Arial" w:cs="Arial"/>
          <w:bCs/>
          <w:szCs w:val="22"/>
        </w:rPr>
        <w:t>GBS/polyradiculopathy</w:t>
      </w:r>
      <w:bookmarkEnd w:id="44"/>
      <w:r w:rsidRPr="005D6644">
        <w:rPr>
          <w:rFonts w:ascii="Arial" w:hAnsi="Arial" w:cs="Arial"/>
          <w:bCs/>
          <w:szCs w:val="22"/>
        </w:rPr>
        <w:t>.</w:t>
      </w:r>
      <w:r>
        <w:rPr>
          <w:rFonts w:ascii="Arial" w:hAnsi="Arial" w:cs="Arial"/>
          <w:bCs/>
          <w:szCs w:val="22"/>
        </w:rPr>
        <w:t xml:space="preserve"> N</w:t>
      </w:r>
      <w:r w:rsidRPr="003B3CFE">
        <w:rPr>
          <w:rFonts w:ascii="Arial" w:hAnsi="Arial" w:cs="Arial"/>
          <w:bCs/>
          <w:szCs w:val="22"/>
        </w:rPr>
        <w:t xml:space="preserve">o </w:t>
      </w:r>
      <w:r>
        <w:rPr>
          <w:rFonts w:ascii="Arial" w:hAnsi="Arial" w:cs="Arial"/>
          <w:bCs/>
          <w:szCs w:val="22"/>
        </w:rPr>
        <w:t>specific</w:t>
      </w:r>
      <w:r w:rsidRPr="003B3CFE">
        <w:rPr>
          <w:rFonts w:ascii="Arial" w:hAnsi="Arial" w:cs="Arial"/>
          <w:bCs/>
          <w:szCs w:val="22"/>
        </w:rPr>
        <w:t xml:space="preserve"> prior therapies </w:t>
      </w:r>
      <w:r>
        <w:rPr>
          <w:rFonts w:ascii="Arial" w:hAnsi="Arial" w:cs="Arial"/>
          <w:bCs/>
          <w:szCs w:val="22"/>
        </w:rPr>
        <w:t>associated with</w:t>
      </w:r>
      <w:r w:rsidRPr="003B3CFE">
        <w:rPr>
          <w:rFonts w:ascii="Arial" w:hAnsi="Arial" w:cs="Arial"/>
          <w:bCs/>
          <w:szCs w:val="22"/>
        </w:rPr>
        <w:t xml:space="preserve"> increase</w:t>
      </w:r>
      <w:r>
        <w:rPr>
          <w:rFonts w:ascii="Arial" w:hAnsi="Arial" w:cs="Arial"/>
          <w:bCs/>
          <w:szCs w:val="22"/>
        </w:rPr>
        <w:t>d</w:t>
      </w:r>
      <w:r w:rsidRPr="003B3CFE">
        <w:rPr>
          <w:rFonts w:ascii="Arial" w:hAnsi="Arial" w:cs="Arial"/>
          <w:bCs/>
          <w:szCs w:val="22"/>
        </w:rPr>
        <w:t xml:space="preserve"> or reduce</w:t>
      </w:r>
      <w:r>
        <w:rPr>
          <w:rFonts w:ascii="Arial" w:hAnsi="Arial" w:cs="Arial"/>
          <w:bCs/>
          <w:szCs w:val="22"/>
        </w:rPr>
        <w:t>d</w:t>
      </w:r>
      <w:r w:rsidRPr="003B3CFE">
        <w:rPr>
          <w:rFonts w:ascii="Arial" w:hAnsi="Arial" w:cs="Arial"/>
          <w:bCs/>
          <w:szCs w:val="22"/>
        </w:rPr>
        <w:t xml:space="preserve"> GBS</w:t>
      </w:r>
      <w:r>
        <w:rPr>
          <w:rFonts w:ascii="Arial" w:hAnsi="Arial" w:cs="Arial"/>
          <w:bCs/>
          <w:szCs w:val="22"/>
        </w:rPr>
        <w:t xml:space="preserve"> risk were identified.</w:t>
      </w:r>
    </w:p>
    <w:p w14:paraId="2874FB4E" w14:textId="716E62ED" w:rsidR="00830F07" w:rsidRPr="00654ED3" w:rsidRDefault="00830F07" w:rsidP="0031288A">
      <w:pPr>
        <w:pStyle w:val="BodyText"/>
        <w:spacing w:after="0" w:line="480" w:lineRule="auto"/>
        <w:rPr>
          <w:rStyle w:val="CommentReference"/>
          <w:rFonts w:ascii="Arial" w:eastAsiaTheme="minorHAnsi" w:hAnsi="Arial" w:cs="Arial"/>
          <w:sz w:val="22"/>
          <w:szCs w:val="22"/>
          <w:lang w:val="en-GB" w:eastAsia="en-US"/>
        </w:rPr>
      </w:pPr>
      <w:r w:rsidRPr="00654ED3">
        <w:rPr>
          <w:rStyle w:val="CommentReference"/>
          <w:rFonts w:ascii="Arial" w:eastAsiaTheme="minorHAnsi" w:hAnsi="Arial" w:cs="Arial"/>
          <w:sz w:val="22"/>
          <w:szCs w:val="22"/>
          <w:lang w:val="en-GB" w:eastAsia="en-US"/>
        </w:rPr>
        <w:t>Ongoing and planned studies incorporate measures to mitigate risk and rapidly identify autoimmune/neurological events (e.g. exclusion of patients with history of infections ≤4 weeks pre-trial initiation or history of autoimmune neuropathy, regular on-study neurological assessments, and guidelines for early identification of autoimmune/neurological events). TEAEs of special interest being evaluated in the ongoing Phase 2 trial of camidanlumab tesirine in patients with R/R cHL include GBS, polyradiculopathy, autonomic nervous system imbalance, nerve palsy,</w:t>
      </w:r>
      <w:r w:rsidRPr="00654ED3" w:rsidDel="00043FE9">
        <w:rPr>
          <w:rStyle w:val="CommentReference"/>
          <w:rFonts w:ascii="Arial" w:eastAsiaTheme="minorHAnsi" w:hAnsi="Arial" w:cs="Arial"/>
          <w:sz w:val="22"/>
          <w:szCs w:val="22"/>
          <w:lang w:val="en-GB" w:eastAsia="en-US"/>
        </w:rPr>
        <w:t xml:space="preserve"> </w:t>
      </w:r>
      <w:r w:rsidRPr="00654ED3">
        <w:rPr>
          <w:rStyle w:val="CommentReference"/>
          <w:rFonts w:ascii="Arial" w:eastAsiaTheme="minorHAnsi" w:hAnsi="Arial" w:cs="Arial"/>
          <w:sz w:val="22"/>
          <w:szCs w:val="22"/>
          <w:lang w:val="en-GB" w:eastAsia="en-US"/>
        </w:rPr>
        <w:t>Grade ≥3 neurologic toxicities/immune-mediated toxicities, and autoimmune-mediated events (e.g. pneumonitis, hepatitis, and colitis).</w:t>
      </w:r>
    </w:p>
    <w:p w14:paraId="2AD9BAE6" w14:textId="77777777" w:rsidR="00830F07" w:rsidRDefault="00830F07" w:rsidP="0031288A">
      <w:pPr>
        <w:pStyle w:val="BodyText"/>
        <w:spacing w:after="0" w:line="480" w:lineRule="auto"/>
        <w:rPr>
          <w:rStyle w:val="CommentReference"/>
          <w:rFonts w:eastAsiaTheme="minorHAnsi" w:cs="Arial"/>
          <w:sz w:val="22"/>
          <w:szCs w:val="22"/>
          <w:lang w:val="en-GB" w:eastAsia="en-US"/>
        </w:rPr>
      </w:pPr>
    </w:p>
    <w:p w14:paraId="7DE3E20B" w14:textId="79F021E9" w:rsidR="00830F07" w:rsidRDefault="00830F07" w:rsidP="0031288A">
      <w:pPr>
        <w:pStyle w:val="BodyText"/>
        <w:spacing w:after="0" w:line="480" w:lineRule="auto"/>
        <w:rPr>
          <w:rFonts w:ascii="Arial" w:hAnsi="Arial" w:cs="Arial"/>
          <w:szCs w:val="22"/>
        </w:rPr>
      </w:pPr>
      <w:bookmarkStart w:id="45" w:name="_Hlk43317479"/>
      <w:r w:rsidRPr="00913A72">
        <w:rPr>
          <w:rFonts w:ascii="Arial" w:hAnsi="Arial" w:cs="Arial"/>
          <w:szCs w:val="22"/>
        </w:rPr>
        <w:t>Camidanlumab tesirine showed high response rates in a heavily pre-treated cHL population</w:t>
      </w:r>
      <w:bookmarkStart w:id="46" w:name="_Hlk57144612"/>
      <w:r w:rsidRPr="00EE2598">
        <w:rPr>
          <w:rFonts w:ascii="Arial" w:hAnsi="Arial" w:cs="Arial"/>
          <w:szCs w:val="22"/>
        </w:rPr>
        <w:t xml:space="preserve">. </w:t>
      </w:r>
      <w:r>
        <w:rPr>
          <w:rFonts w:ascii="Arial" w:hAnsi="Arial" w:cs="Arial"/>
          <w:szCs w:val="22"/>
        </w:rPr>
        <w:t xml:space="preserve">Conversely, lower activity was observed in B-NHL, hence no dose expansion was conducted </w:t>
      </w:r>
      <w:r>
        <w:rPr>
          <w:rFonts w:ascii="Arial" w:hAnsi="Arial" w:cs="Arial"/>
          <w:szCs w:val="22"/>
        </w:rPr>
        <w:lastRenderedPageBreak/>
        <w:t xml:space="preserve">for B-NHL in this study, and </w:t>
      </w:r>
      <w:proofErr w:type="spellStart"/>
      <w:r>
        <w:rPr>
          <w:rFonts w:ascii="Arial" w:hAnsi="Arial" w:cs="Arial"/>
          <w:szCs w:val="22"/>
        </w:rPr>
        <w:t>DoR</w:t>
      </w:r>
      <w:proofErr w:type="spellEnd"/>
      <w:r>
        <w:rPr>
          <w:rFonts w:ascii="Arial" w:hAnsi="Arial" w:cs="Arial"/>
          <w:szCs w:val="22"/>
        </w:rPr>
        <w:t xml:space="preserve"> could not be reported owing to the low number of responders.</w:t>
      </w:r>
    </w:p>
    <w:p w14:paraId="2A63ADB1" w14:textId="77777777" w:rsidR="00830F07" w:rsidRDefault="00830F07" w:rsidP="0031288A">
      <w:pPr>
        <w:pStyle w:val="BodyText"/>
        <w:spacing w:after="0" w:line="480" w:lineRule="auto"/>
        <w:rPr>
          <w:rFonts w:ascii="Arial" w:hAnsi="Arial" w:cs="Arial"/>
          <w:szCs w:val="22"/>
        </w:rPr>
      </w:pPr>
      <w:r>
        <w:rPr>
          <w:rFonts w:ascii="Arial" w:hAnsi="Arial" w:cs="Arial"/>
          <w:szCs w:val="22"/>
        </w:rPr>
        <w:t>A</w:t>
      </w:r>
      <w:r w:rsidRPr="00EE2598">
        <w:rPr>
          <w:rFonts w:ascii="Arial" w:hAnsi="Arial" w:cs="Arial"/>
          <w:szCs w:val="22"/>
        </w:rPr>
        <w:t xml:space="preserve">t 45 µg/kg, </w:t>
      </w:r>
      <w:r>
        <w:rPr>
          <w:rFonts w:ascii="Arial" w:hAnsi="Arial" w:cs="Arial"/>
          <w:szCs w:val="22"/>
        </w:rPr>
        <w:t>32 (</w:t>
      </w:r>
      <w:r w:rsidRPr="00EE2598">
        <w:rPr>
          <w:rFonts w:ascii="Arial" w:hAnsi="Arial" w:cs="Arial"/>
          <w:szCs w:val="22"/>
        </w:rPr>
        <w:t>86</w:t>
      </w:r>
      <w:r>
        <w:rPr>
          <w:rFonts w:ascii="Arial" w:hAnsi="Arial" w:cs="Arial"/>
          <w:szCs w:val="22"/>
        </w:rPr>
        <w:t>·</w:t>
      </w:r>
      <w:r w:rsidRPr="00EE2598">
        <w:rPr>
          <w:rFonts w:ascii="Arial" w:hAnsi="Arial" w:cs="Arial"/>
          <w:szCs w:val="22"/>
        </w:rPr>
        <w:t>5%</w:t>
      </w:r>
      <w:r>
        <w:rPr>
          <w:rFonts w:ascii="Arial" w:hAnsi="Arial" w:cs="Arial"/>
          <w:szCs w:val="22"/>
        </w:rPr>
        <w:t>)</w:t>
      </w:r>
      <w:r w:rsidRPr="00EE2598">
        <w:rPr>
          <w:rFonts w:ascii="Arial" w:hAnsi="Arial" w:cs="Arial"/>
          <w:szCs w:val="22"/>
        </w:rPr>
        <w:t xml:space="preserve"> of </w:t>
      </w:r>
      <w:r>
        <w:rPr>
          <w:rFonts w:ascii="Arial" w:hAnsi="Arial" w:cs="Arial"/>
          <w:szCs w:val="22"/>
        </w:rPr>
        <w:t xml:space="preserve">37 </w:t>
      </w:r>
      <w:r w:rsidRPr="00EE2598">
        <w:rPr>
          <w:rFonts w:ascii="Arial" w:hAnsi="Arial" w:cs="Arial"/>
          <w:szCs w:val="22"/>
        </w:rPr>
        <w:t xml:space="preserve">patients </w:t>
      </w:r>
      <w:r>
        <w:rPr>
          <w:rFonts w:ascii="Arial" w:hAnsi="Arial" w:cs="Arial"/>
          <w:szCs w:val="22"/>
        </w:rPr>
        <w:t xml:space="preserve">with cHL </w:t>
      </w:r>
      <w:r w:rsidRPr="00EE2598">
        <w:rPr>
          <w:rFonts w:ascii="Arial" w:hAnsi="Arial" w:cs="Arial"/>
          <w:szCs w:val="22"/>
        </w:rPr>
        <w:t xml:space="preserve">exhibited objective responses, </w:t>
      </w:r>
      <w:r>
        <w:rPr>
          <w:rFonts w:ascii="Arial" w:hAnsi="Arial" w:cs="Arial"/>
          <w:szCs w:val="22"/>
        </w:rPr>
        <w:t>and</w:t>
      </w:r>
      <w:r w:rsidRPr="00EE2598">
        <w:rPr>
          <w:rFonts w:ascii="Arial" w:hAnsi="Arial" w:cs="Arial"/>
          <w:szCs w:val="22"/>
        </w:rPr>
        <w:t xml:space="preserve"> </w:t>
      </w:r>
      <w:r>
        <w:rPr>
          <w:rFonts w:ascii="Arial" w:hAnsi="Arial" w:cs="Arial"/>
          <w:szCs w:val="22"/>
        </w:rPr>
        <w:t>18/37 (</w:t>
      </w:r>
      <w:r w:rsidRPr="00EE2598">
        <w:rPr>
          <w:rFonts w:ascii="Arial" w:hAnsi="Arial" w:cs="Arial"/>
          <w:szCs w:val="22"/>
        </w:rPr>
        <w:t>48</w:t>
      </w:r>
      <w:r>
        <w:rPr>
          <w:rFonts w:ascii="Arial" w:hAnsi="Arial" w:cs="Arial"/>
          <w:szCs w:val="22"/>
        </w:rPr>
        <w:t>·</w:t>
      </w:r>
      <w:r w:rsidRPr="00EE2598">
        <w:rPr>
          <w:rFonts w:ascii="Arial" w:hAnsi="Arial" w:cs="Arial"/>
          <w:szCs w:val="22"/>
        </w:rPr>
        <w:t>6%</w:t>
      </w:r>
      <w:r>
        <w:rPr>
          <w:rFonts w:ascii="Arial" w:hAnsi="Arial" w:cs="Arial"/>
          <w:szCs w:val="22"/>
        </w:rPr>
        <w:t xml:space="preserve">) had </w:t>
      </w:r>
      <w:proofErr w:type="spellStart"/>
      <w:r w:rsidRPr="00EE2598">
        <w:rPr>
          <w:rFonts w:ascii="Arial" w:hAnsi="Arial" w:cs="Arial"/>
          <w:szCs w:val="22"/>
        </w:rPr>
        <w:t>CRs</w:t>
      </w:r>
      <w:proofErr w:type="spellEnd"/>
      <w:r w:rsidRPr="00EE2598">
        <w:rPr>
          <w:rFonts w:ascii="Arial" w:hAnsi="Arial" w:cs="Arial"/>
          <w:szCs w:val="22"/>
        </w:rPr>
        <w:t>.</w:t>
      </w:r>
      <w:r>
        <w:rPr>
          <w:rFonts w:ascii="Arial" w:hAnsi="Arial" w:cs="Arial"/>
          <w:szCs w:val="22"/>
        </w:rPr>
        <w:t xml:space="preserve"> Median </w:t>
      </w:r>
      <w:proofErr w:type="spellStart"/>
      <w:r>
        <w:rPr>
          <w:rFonts w:ascii="Arial" w:hAnsi="Arial" w:cs="Arial"/>
          <w:szCs w:val="22"/>
        </w:rPr>
        <w:t>DoR</w:t>
      </w:r>
      <w:proofErr w:type="spellEnd"/>
      <w:r>
        <w:rPr>
          <w:rFonts w:ascii="Arial" w:hAnsi="Arial" w:cs="Arial"/>
          <w:szCs w:val="22"/>
        </w:rPr>
        <w:t xml:space="preserve"> was 7·16 months.</w:t>
      </w:r>
      <w:r w:rsidRPr="00EE2598">
        <w:rPr>
          <w:rFonts w:ascii="Arial" w:hAnsi="Arial" w:cs="Arial"/>
          <w:szCs w:val="22"/>
        </w:rPr>
        <w:t xml:space="preserve"> In comparison, </w:t>
      </w:r>
      <w:r>
        <w:rPr>
          <w:rFonts w:ascii="Arial" w:hAnsi="Arial" w:cs="Arial"/>
          <w:szCs w:val="22"/>
        </w:rPr>
        <w:t xml:space="preserve">76 (75%) of 102 patients treated with BV exhibited objective responses, with 35/102 (34%) </w:t>
      </w:r>
      <w:proofErr w:type="spellStart"/>
      <w:r>
        <w:rPr>
          <w:rFonts w:ascii="Arial" w:hAnsi="Arial" w:cs="Arial"/>
          <w:szCs w:val="22"/>
        </w:rPr>
        <w:t>CRs</w:t>
      </w:r>
      <w:proofErr w:type="spellEnd"/>
      <w:r>
        <w:rPr>
          <w:rFonts w:ascii="Arial" w:hAnsi="Arial" w:cs="Arial"/>
          <w:szCs w:val="22"/>
        </w:rPr>
        <w:t xml:space="preserve"> and median </w:t>
      </w:r>
      <w:proofErr w:type="spellStart"/>
      <w:r>
        <w:rPr>
          <w:rFonts w:ascii="Arial" w:hAnsi="Arial" w:cs="Arial"/>
          <w:szCs w:val="22"/>
        </w:rPr>
        <w:t>DoR</w:t>
      </w:r>
      <w:proofErr w:type="spellEnd"/>
      <w:r>
        <w:rPr>
          <w:rFonts w:ascii="Arial" w:hAnsi="Arial" w:cs="Arial"/>
          <w:szCs w:val="22"/>
        </w:rPr>
        <w:t xml:space="preserve"> of 6·7 months </w:t>
      </w:r>
      <w:r w:rsidRPr="00EE2598">
        <w:rPr>
          <w:rFonts w:ascii="Arial" w:hAnsi="Arial" w:cs="Arial"/>
          <w:szCs w:val="22"/>
        </w:rPr>
        <w:t xml:space="preserve">in a </w:t>
      </w:r>
      <w:r>
        <w:rPr>
          <w:rFonts w:ascii="Arial" w:hAnsi="Arial" w:cs="Arial"/>
          <w:szCs w:val="22"/>
        </w:rPr>
        <w:t>P</w:t>
      </w:r>
      <w:r w:rsidRPr="00EE2598">
        <w:rPr>
          <w:rFonts w:ascii="Arial" w:hAnsi="Arial" w:cs="Arial"/>
          <w:szCs w:val="22"/>
        </w:rPr>
        <w:t>hase 2 study in a similar population of heavily pre-treated patients post-</w:t>
      </w:r>
      <w:r>
        <w:rPr>
          <w:rFonts w:ascii="Arial" w:hAnsi="Arial" w:cs="Arial"/>
          <w:szCs w:val="22"/>
        </w:rPr>
        <w:t>autoH</w:t>
      </w:r>
      <w:r w:rsidRPr="00EE2598">
        <w:rPr>
          <w:rFonts w:ascii="Arial" w:hAnsi="Arial" w:cs="Arial"/>
          <w:szCs w:val="22"/>
        </w:rPr>
        <w:t>CT,</w:t>
      </w:r>
      <w:r w:rsidRPr="00D14F99">
        <w:rPr>
          <w:rFonts w:ascii="Arial" w:hAnsi="Arial" w:cs="Arial"/>
          <w:noProof/>
          <w:szCs w:val="22"/>
          <w:vertAlign w:val="superscript"/>
        </w:rPr>
        <w:t>10</w:t>
      </w:r>
      <w:r w:rsidRPr="00EE2598">
        <w:rPr>
          <w:rFonts w:ascii="Arial" w:hAnsi="Arial" w:cs="Arial"/>
          <w:szCs w:val="22"/>
        </w:rPr>
        <w:t xml:space="preserve"> but </w:t>
      </w:r>
      <w:r>
        <w:rPr>
          <w:rFonts w:ascii="Arial" w:hAnsi="Arial" w:cs="Arial"/>
          <w:szCs w:val="22"/>
        </w:rPr>
        <w:t>notably</w:t>
      </w:r>
      <w:r w:rsidRPr="00EE2598">
        <w:rPr>
          <w:rFonts w:ascii="Arial" w:hAnsi="Arial" w:cs="Arial"/>
          <w:szCs w:val="22"/>
        </w:rPr>
        <w:t xml:space="preserve"> </w:t>
      </w:r>
      <w:r>
        <w:rPr>
          <w:rFonts w:ascii="Arial" w:hAnsi="Arial" w:cs="Arial"/>
          <w:szCs w:val="22"/>
        </w:rPr>
        <w:t>all</w:t>
      </w:r>
      <w:r w:rsidRPr="00EE2598">
        <w:rPr>
          <w:rFonts w:ascii="Arial" w:hAnsi="Arial" w:cs="Arial"/>
          <w:szCs w:val="22"/>
        </w:rPr>
        <w:t xml:space="preserve"> cHL </w:t>
      </w:r>
      <w:r>
        <w:rPr>
          <w:rFonts w:ascii="Arial" w:hAnsi="Arial" w:cs="Arial"/>
          <w:szCs w:val="22"/>
        </w:rPr>
        <w:t xml:space="preserve">patients </w:t>
      </w:r>
      <w:r w:rsidRPr="00EE2598">
        <w:rPr>
          <w:rFonts w:ascii="Arial" w:hAnsi="Arial" w:cs="Arial"/>
          <w:szCs w:val="22"/>
        </w:rPr>
        <w:t>treated with camidanlumab tesirine at 45 µg/kg had received prior BV</w:t>
      </w:r>
      <w:r>
        <w:rPr>
          <w:rFonts w:ascii="Arial" w:hAnsi="Arial" w:cs="Arial"/>
          <w:szCs w:val="22"/>
        </w:rPr>
        <w:t>, 70.3%</w:t>
      </w:r>
      <w:r w:rsidRPr="00733803">
        <w:rPr>
          <w:rFonts w:ascii="Arial" w:hAnsi="Arial" w:cs="Arial"/>
          <w:szCs w:val="22"/>
        </w:rPr>
        <w:t xml:space="preserve"> had previously</w:t>
      </w:r>
      <w:r>
        <w:rPr>
          <w:rFonts w:ascii="Arial" w:hAnsi="Arial" w:cs="Arial"/>
          <w:szCs w:val="22"/>
        </w:rPr>
        <w:t xml:space="preserve"> received </w:t>
      </w:r>
      <w:proofErr w:type="spellStart"/>
      <w:r>
        <w:rPr>
          <w:rFonts w:ascii="Arial" w:hAnsi="Arial" w:cs="Arial"/>
          <w:szCs w:val="22"/>
        </w:rPr>
        <w:t>CHPi</w:t>
      </w:r>
      <w:proofErr w:type="spellEnd"/>
      <w:r>
        <w:rPr>
          <w:rFonts w:ascii="Arial" w:hAnsi="Arial" w:cs="Arial"/>
          <w:szCs w:val="22"/>
        </w:rPr>
        <w:t xml:space="preserve"> , and 43.2% had received </w:t>
      </w:r>
      <w:proofErr w:type="spellStart"/>
      <w:r>
        <w:rPr>
          <w:rFonts w:ascii="Arial" w:hAnsi="Arial" w:cs="Arial"/>
          <w:szCs w:val="22"/>
        </w:rPr>
        <w:t>HCT</w:t>
      </w:r>
      <w:bookmarkEnd w:id="46"/>
      <w:proofErr w:type="spellEnd"/>
      <w:r>
        <w:rPr>
          <w:rFonts w:ascii="Arial" w:hAnsi="Arial" w:cs="Arial"/>
          <w:szCs w:val="22"/>
        </w:rPr>
        <w:t xml:space="preserve">. A dosing regimen with reduction from 45 </w:t>
      </w:r>
      <w:r w:rsidRPr="00EE2598">
        <w:rPr>
          <w:rFonts w:ascii="Arial" w:hAnsi="Arial" w:cs="Arial"/>
          <w:szCs w:val="22"/>
        </w:rPr>
        <w:t>µg/kg</w:t>
      </w:r>
      <w:r>
        <w:rPr>
          <w:rFonts w:ascii="Arial" w:hAnsi="Arial" w:cs="Arial"/>
          <w:szCs w:val="22"/>
        </w:rPr>
        <w:t xml:space="preserve"> to 30 </w:t>
      </w:r>
      <w:r w:rsidRPr="00EE2598">
        <w:rPr>
          <w:rFonts w:ascii="Arial" w:hAnsi="Arial" w:cs="Arial"/>
          <w:szCs w:val="22"/>
        </w:rPr>
        <w:t>µg/kg</w:t>
      </w:r>
      <w:r>
        <w:rPr>
          <w:rFonts w:ascii="Arial" w:hAnsi="Arial" w:cs="Arial"/>
          <w:szCs w:val="22"/>
        </w:rPr>
        <w:t xml:space="preserve"> camidanlumab tesirine after the first two cycles is being evaluated in a Phase 2 study and is anticipated to increase the proportion of patients able to continue treatment, which could translate into longer </w:t>
      </w:r>
      <w:proofErr w:type="spellStart"/>
      <w:r>
        <w:rPr>
          <w:rFonts w:ascii="Arial" w:hAnsi="Arial" w:cs="Arial"/>
          <w:szCs w:val="22"/>
        </w:rPr>
        <w:t>DoR.</w:t>
      </w:r>
      <w:proofErr w:type="spellEnd"/>
      <w:r>
        <w:rPr>
          <w:rFonts w:ascii="Arial" w:hAnsi="Arial" w:cs="Arial"/>
          <w:szCs w:val="22"/>
        </w:rPr>
        <w:t xml:space="preserve"> </w:t>
      </w:r>
    </w:p>
    <w:p w14:paraId="4D0B3624" w14:textId="65BE4241" w:rsidR="00830F07" w:rsidRPr="00E81F87" w:rsidRDefault="00830F07" w:rsidP="0031288A">
      <w:pPr>
        <w:pStyle w:val="BodyText"/>
        <w:spacing w:after="0" w:line="480" w:lineRule="auto"/>
        <w:rPr>
          <w:rFonts w:ascii="Arial" w:hAnsi="Arial" w:cs="Arial"/>
          <w:szCs w:val="22"/>
        </w:rPr>
      </w:pPr>
      <w:bookmarkStart w:id="47" w:name="_Hlk64481638"/>
      <w:r w:rsidRPr="00B457A9">
        <w:rPr>
          <w:rFonts w:ascii="Arial" w:hAnsi="Arial" w:cs="Arial"/>
          <w:szCs w:val="22"/>
        </w:rPr>
        <w:t>ORR</w:t>
      </w:r>
      <w:r>
        <w:rPr>
          <w:rFonts w:ascii="Arial" w:hAnsi="Arial" w:cs="Arial"/>
          <w:szCs w:val="22"/>
        </w:rPr>
        <w:t>s</w:t>
      </w:r>
      <w:r w:rsidRPr="00B457A9">
        <w:rPr>
          <w:rFonts w:ascii="Arial" w:hAnsi="Arial" w:cs="Arial"/>
          <w:szCs w:val="22"/>
        </w:rPr>
        <w:t xml:space="preserve"> w</w:t>
      </w:r>
      <w:r>
        <w:rPr>
          <w:rFonts w:ascii="Arial" w:hAnsi="Arial" w:cs="Arial"/>
          <w:szCs w:val="22"/>
        </w:rPr>
        <w:t>ere</w:t>
      </w:r>
      <w:r w:rsidRPr="00B457A9">
        <w:rPr>
          <w:rFonts w:ascii="Arial" w:hAnsi="Arial" w:cs="Arial"/>
          <w:szCs w:val="22"/>
        </w:rPr>
        <w:t xml:space="preserve"> high across </w:t>
      </w:r>
      <w:r>
        <w:rPr>
          <w:rFonts w:ascii="Arial" w:hAnsi="Arial" w:cs="Arial"/>
          <w:szCs w:val="22"/>
        </w:rPr>
        <w:t xml:space="preserve">other </w:t>
      </w:r>
      <w:r w:rsidRPr="00B457A9">
        <w:rPr>
          <w:rFonts w:ascii="Arial" w:hAnsi="Arial" w:cs="Arial"/>
          <w:szCs w:val="22"/>
        </w:rPr>
        <w:t>subgroups</w:t>
      </w:r>
      <w:r>
        <w:rPr>
          <w:rFonts w:ascii="Arial" w:hAnsi="Arial" w:cs="Arial"/>
          <w:szCs w:val="22"/>
        </w:rPr>
        <w:t xml:space="preserve"> analyzed</w:t>
      </w:r>
      <w:bookmarkStart w:id="48" w:name="_Hlk57145664"/>
      <w:bookmarkEnd w:id="47"/>
      <w:r w:rsidRPr="00E81F87">
        <w:rPr>
          <w:rFonts w:ascii="Arial" w:hAnsi="Arial" w:cs="Arial"/>
          <w:szCs w:val="22"/>
        </w:rPr>
        <w:t>, suggesting</w:t>
      </w:r>
      <w:r w:rsidRPr="00E81F87">
        <w:rPr>
          <w:rFonts w:ascii="Arial" w:hAnsi="Arial" w:cs="Arial"/>
          <w:bCs/>
          <w:szCs w:val="22"/>
        </w:rPr>
        <w:t xml:space="preserve"> robust antitumor activity across the R/R cHL population.</w:t>
      </w:r>
      <w:bookmarkEnd w:id="48"/>
    </w:p>
    <w:bookmarkEnd w:id="45"/>
    <w:p w14:paraId="4228F0EC" w14:textId="77777777" w:rsidR="00830F07" w:rsidRPr="00E81F87" w:rsidRDefault="00830F07" w:rsidP="0031288A">
      <w:pPr>
        <w:rPr>
          <w:rFonts w:eastAsia="Times New Roman" w:cs="Arial"/>
        </w:rPr>
      </w:pPr>
      <w:r w:rsidRPr="00E81F87">
        <w:rPr>
          <w:rFonts w:eastAsia="Times New Roman" w:cs="Arial"/>
        </w:rPr>
        <w:t xml:space="preserve">Notable single-agent activity was </w:t>
      </w:r>
      <w:r>
        <w:rPr>
          <w:rFonts w:eastAsia="Times New Roman" w:cs="Arial"/>
        </w:rPr>
        <w:t xml:space="preserve">also </w:t>
      </w:r>
      <w:r w:rsidRPr="00E81F87">
        <w:rPr>
          <w:rFonts w:eastAsia="Times New Roman" w:cs="Arial"/>
        </w:rPr>
        <w:t>observed in T-NHL at doses ≥60 µg/kg</w:t>
      </w:r>
      <w:r>
        <w:rPr>
          <w:rFonts w:eastAsia="Times New Roman" w:cs="Arial"/>
        </w:rPr>
        <w:t>.</w:t>
      </w:r>
    </w:p>
    <w:p w14:paraId="37AF7284" w14:textId="77777777" w:rsidR="00830F07" w:rsidRPr="00EE2598" w:rsidRDefault="00830F07" w:rsidP="0031288A">
      <w:pPr>
        <w:rPr>
          <w:rFonts w:cs="Arial"/>
        </w:rPr>
      </w:pPr>
      <w:r>
        <w:rPr>
          <w:rFonts w:eastAsia="Times New Roman" w:cs="Arial"/>
        </w:rPr>
        <w:t>Clinical</w:t>
      </w:r>
      <w:r w:rsidRPr="00EE2598">
        <w:rPr>
          <w:rFonts w:eastAsia="Times New Roman" w:cs="Arial"/>
        </w:rPr>
        <w:t xml:space="preserve"> activity </w:t>
      </w:r>
      <w:r>
        <w:rPr>
          <w:rFonts w:eastAsia="Times New Roman" w:cs="Arial"/>
        </w:rPr>
        <w:t>of</w:t>
      </w:r>
      <w:r w:rsidRPr="00EE2598">
        <w:rPr>
          <w:rFonts w:eastAsia="Times New Roman" w:cs="Arial"/>
        </w:rPr>
        <w:t xml:space="preserve"> camidanlumab tesirine </w:t>
      </w:r>
      <w:r>
        <w:rPr>
          <w:rFonts w:eastAsia="Times New Roman" w:cs="Arial"/>
        </w:rPr>
        <w:t>may</w:t>
      </w:r>
      <w:r w:rsidRPr="00EE2598">
        <w:rPr>
          <w:rFonts w:eastAsia="Times New Roman" w:cs="Arial"/>
        </w:rPr>
        <w:t xml:space="preserve"> be attributed to multiple</w:t>
      </w:r>
      <w:r>
        <w:rPr>
          <w:rFonts w:eastAsia="Times New Roman" w:cs="Arial"/>
        </w:rPr>
        <w:t xml:space="preserve"> putative</w:t>
      </w:r>
      <w:r w:rsidRPr="00EE2598">
        <w:rPr>
          <w:rFonts w:eastAsia="Times New Roman" w:cs="Arial"/>
        </w:rPr>
        <w:t xml:space="preserve"> modes of antitumor activity, including </w:t>
      </w:r>
      <w:r w:rsidRPr="00EE2598">
        <w:rPr>
          <w:rFonts w:cs="Arial"/>
        </w:rPr>
        <w:t>direct targeting of tumor cells expressing CD25, bystander killing and depletion of CD25-positive T</w:t>
      </w:r>
      <w:r w:rsidRPr="00EE2598">
        <w:rPr>
          <w:rFonts w:cs="Arial"/>
          <w:vertAlign w:val="subscript"/>
        </w:rPr>
        <w:t>regs</w:t>
      </w:r>
      <w:r w:rsidRPr="00551EA9">
        <w:rPr>
          <w:rFonts w:cs="Arial"/>
        </w:rPr>
        <w:t xml:space="preserve">, </w:t>
      </w:r>
      <w:r>
        <w:t>which</w:t>
      </w:r>
      <w:r w:rsidRPr="00681EDE">
        <w:rPr>
          <w:vertAlign w:val="subscript"/>
        </w:rPr>
        <w:t xml:space="preserve"> </w:t>
      </w:r>
      <w:r w:rsidRPr="00681EDE">
        <w:t>regulate</w:t>
      </w:r>
      <w:r w:rsidRPr="00EE2598" w:rsidDel="00A73523">
        <w:rPr>
          <w:rFonts w:cs="Arial"/>
        </w:rPr>
        <w:t xml:space="preserve"> </w:t>
      </w:r>
      <w:r w:rsidRPr="00EE2598">
        <w:rPr>
          <w:rFonts w:cs="Arial"/>
        </w:rPr>
        <w:t>intra-tumoral T</w:t>
      </w:r>
      <w:r w:rsidRPr="00EE2598">
        <w:rPr>
          <w:rFonts w:cs="Arial"/>
          <w:vertAlign w:val="subscript"/>
        </w:rPr>
        <w:t>eff</w:t>
      </w:r>
      <w:r w:rsidRPr="00EE2598">
        <w:rPr>
          <w:rFonts w:cs="Arial"/>
        </w:rPr>
        <w:t>:T</w:t>
      </w:r>
      <w:r w:rsidRPr="00EE2598">
        <w:rPr>
          <w:rFonts w:cs="Arial"/>
          <w:vertAlign w:val="subscript"/>
        </w:rPr>
        <w:t>reg</w:t>
      </w:r>
      <w:r>
        <w:rPr>
          <w:rFonts w:cs="Arial"/>
        </w:rPr>
        <w:t xml:space="preserve"> populations and upregulate </w:t>
      </w:r>
      <w:r w:rsidRPr="00EE2598">
        <w:rPr>
          <w:rFonts w:cs="Arial"/>
        </w:rPr>
        <w:t>antitumor immune response</w:t>
      </w:r>
      <w:r>
        <w:rPr>
          <w:rFonts w:cs="Arial"/>
        </w:rPr>
        <w:t>s</w:t>
      </w:r>
      <w:r w:rsidRPr="00EE2598">
        <w:rPr>
          <w:rFonts w:cs="Arial"/>
        </w:rPr>
        <w:t>.</w:t>
      </w:r>
      <w:r w:rsidRPr="000140EA">
        <w:rPr>
          <w:rFonts w:cs="Arial"/>
          <w:noProof/>
          <w:vertAlign w:val="superscript"/>
        </w:rPr>
        <w:t>11,14</w:t>
      </w:r>
      <w:r w:rsidRPr="00EE2598">
        <w:rPr>
          <w:rFonts w:cs="Arial"/>
        </w:rPr>
        <w:t xml:space="preserve"> </w:t>
      </w:r>
    </w:p>
    <w:p w14:paraId="60C8F131" w14:textId="77777777" w:rsidR="00830F07" w:rsidRDefault="00830F07" w:rsidP="0031288A">
      <w:pPr>
        <w:rPr>
          <w:rFonts w:cs="Arial"/>
        </w:rPr>
      </w:pPr>
      <w:r w:rsidRPr="00EE2598">
        <w:rPr>
          <w:rFonts w:cs="Arial"/>
        </w:rPr>
        <w:t>Comparable exposures between conjugated- and total-</w:t>
      </w:r>
      <w:r>
        <w:rPr>
          <w:rFonts w:cs="Arial"/>
        </w:rPr>
        <w:t>antibody</w:t>
      </w:r>
      <w:r w:rsidRPr="00EE2598">
        <w:rPr>
          <w:rFonts w:cs="Arial"/>
        </w:rPr>
        <w:t xml:space="preserve"> moieties suggest good linker stability of the immunoconjugate in circulation. Despite </w:t>
      </w:r>
      <w:r>
        <w:rPr>
          <w:rFonts w:cs="Arial"/>
        </w:rPr>
        <w:t xml:space="preserve">the relatively short half-life of </w:t>
      </w:r>
      <w:r w:rsidRPr="00EE2598">
        <w:rPr>
          <w:rFonts w:cs="Arial"/>
        </w:rPr>
        <w:t xml:space="preserve">camidanlumab tesirine and no accumulation </w:t>
      </w:r>
      <w:r>
        <w:rPr>
          <w:rFonts w:cs="Arial"/>
        </w:rPr>
        <w:t xml:space="preserve">in serum </w:t>
      </w:r>
      <w:r w:rsidRPr="00EE2598">
        <w:rPr>
          <w:rFonts w:cs="Arial"/>
        </w:rPr>
        <w:t xml:space="preserve">with Q3W treatment, long-lasting effects of </w:t>
      </w:r>
      <w:proofErr w:type="spellStart"/>
      <w:r w:rsidRPr="00EE2598">
        <w:rPr>
          <w:rFonts w:cs="Arial"/>
        </w:rPr>
        <w:t>PBD</w:t>
      </w:r>
      <w:proofErr w:type="spellEnd"/>
      <w:r w:rsidRPr="00EE2598">
        <w:rPr>
          <w:rFonts w:cs="Arial"/>
        </w:rPr>
        <w:t xml:space="preserve"> dimers on tumors were observed in some cases, with continued tumor shrinkage </w:t>
      </w:r>
      <w:r>
        <w:rPr>
          <w:rFonts w:cs="Arial"/>
        </w:rPr>
        <w:t xml:space="preserve">without </w:t>
      </w:r>
      <w:r w:rsidRPr="00EE2598">
        <w:rPr>
          <w:rFonts w:cs="Arial"/>
        </w:rPr>
        <w:t xml:space="preserve">further dosing or long </w:t>
      </w:r>
      <w:r>
        <w:rPr>
          <w:rFonts w:cs="Arial"/>
        </w:rPr>
        <w:t xml:space="preserve">AE </w:t>
      </w:r>
      <w:r w:rsidRPr="00EE2598">
        <w:rPr>
          <w:rFonts w:cs="Arial"/>
        </w:rPr>
        <w:t xml:space="preserve">resolution time. </w:t>
      </w:r>
    </w:p>
    <w:p w14:paraId="17D9CA55" w14:textId="77777777" w:rsidR="00830F07" w:rsidRPr="00EE2598" w:rsidRDefault="00830F07" w:rsidP="0031288A">
      <w:pPr>
        <w:rPr>
          <w:rFonts w:cs="Arial"/>
        </w:rPr>
      </w:pPr>
      <w:r>
        <w:rPr>
          <w:rFonts w:cs="Arial"/>
        </w:rPr>
        <w:t xml:space="preserve">The response rate and duration should be considered </w:t>
      </w:r>
      <w:r w:rsidRPr="008C0817">
        <w:rPr>
          <w:rFonts w:cs="Arial"/>
        </w:rPr>
        <w:t xml:space="preserve">in the context of CD25 levels. CD25 </w:t>
      </w:r>
      <w:r>
        <w:rPr>
          <w:rFonts w:cs="Arial"/>
        </w:rPr>
        <w:t>is</w:t>
      </w:r>
      <w:r w:rsidRPr="008C0817">
        <w:rPr>
          <w:rFonts w:cs="Arial"/>
        </w:rPr>
        <w:t xml:space="preserve"> expressed </w:t>
      </w:r>
      <w:r w:rsidRPr="004F4827">
        <w:rPr>
          <w:rFonts w:cs="Arial"/>
        </w:rPr>
        <w:t xml:space="preserve">in the majority of cHL tissue samples, regardless of cHL subtype, and is </w:t>
      </w:r>
      <w:r>
        <w:rPr>
          <w:rFonts w:cs="Arial"/>
        </w:rPr>
        <w:t xml:space="preserve">expressed in some </w:t>
      </w:r>
      <w:r w:rsidRPr="004F4827">
        <w:rPr>
          <w:rFonts w:cs="Arial"/>
        </w:rPr>
        <w:t>Reed</w:t>
      </w:r>
      <w:r>
        <w:rPr>
          <w:rFonts w:cs="Arial"/>
        </w:rPr>
        <w:t>–</w:t>
      </w:r>
      <w:r w:rsidRPr="004F4827">
        <w:rPr>
          <w:rFonts w:cs="Arial"/>
        </w:rPr>
        <w:t>Sternberg (RS) cells (the main marker of cHL)</w:t>
      </w:r>
      <w:r>
        <w:rPr>
          <w:rFonts w:cs="Arial"/>
        </w:rPr>
        <w:t xml:space="preserve"> and </w:t>
      </w:r>
      <w:proofErr w:type="spellStart"/>
      <w:r>
        <w:rPr>
          <w:rFonts w:cs="Arial"/>
        </w:rPr>
        <w:t>rosetting</w:t>
      </w:r>
      <w:proofErr w:type="spellEnd"/>
      <w:r>
        <w:rPr>
          <w:rFonts w:cs="Arial"/>
        </w:rPr>
        <w:t xml:space="preserve"> T cells</w:t>
      </w:r>
      <w:r w:rsidRPr="004F4827">
        <w:rPr>
          <w:rFonts w:cs="Arial"/>
        </w:rPr>
        <w:t>.</w:t>
      </w:r>
      <w:r w:rsidRPr="00F72D00">
        <w:rPr>
          <w:rFonts w:cs="Arial"/>
          <w:noProof/>
          <w:vertAlign w:val="superscript"/>
        </w:rPr>
        <w:t>28,29</w:t>
      </w:r>
      <w:r w:rsidRPr="004F4827">
        <w:rPr>
          <w:rFonts w:cs="Arial"/>
        </w:rPr>
        <w:t xml:space="preserve"> However, RS cells represent </w:t>
      </w:r>
      <w:r>
        <w:rPr>
          <w:rFonts w:cs="Arial"/>
        </w:rPr>
        <w:t>&lt;</w:t>
      </w:r>
      <w:r w:rsidRPr="004F4827">
        <w:rPr>
          <w:rFonts w:cs="Arial"/>
        </w:rPr>
        <w:t>1% of the lymphoid population</w:t>
      </w:r>
      <w:r>
        <w:rPr>
          <w:rFonts w:cs="Arial"/>
        </w:rPr>
        <w:t xml:space="preserve"> in cHL</w:t>
      </w:r>
      <w:r w:rsidRPr="004F4827">
        <w:rPr>
          <w:rFonts w:cs="Arial"/>
        </w:rPr>
        <w:t>.</w:t>
      </w:r>
      <w:r w:rsidRPr="00F72D00">
        <w:rPr>
          <w:rFonts w:cs="Arial"/>
          <w:noProof/>
          <w:vertAlign w:val="superscript"/>
        </w:rPr>
        <w:t>29</w:t>
      </w:r>
      <w:r>
        <w:rPr>
          <w:rFonts w:cs="Arial"/>
        </w:rPr>
        <w:t xml:space="preserve"> CD25 expression in other lymphomas is variable.</w:t>
      </w:r>
      <w:r w:rsidRPr="00C00BB5">
        <w:rPr>
          <w:rFonts w:cs="Arial"/>
          <w:noProof/>
          <w:vertAlign w:val="superscript"/>
        </w:rPr>
        <w:t>11</w:t>
      </w:r>
      <w:r>
        <w:rPr>
          <w:rFonts w:cs="Arial"/>
        </w:rPr>
        <w:t xml:space="preserve"> In our study, CD25 expression was significantly </w:t>
      </w:r>
      <w:r>
        <w:rPr>
          <w:rFonts w:cs="Arial"/>
        </w:rPr>
        <w:lastRenderedPageBreak/>
        <w:t xml:space="preserve">higher in tumor versus non-tumor cells for B-NHL and T-NHL, but not cHL, with CD25 expression significantly associated with clinical response in only cHL, </w:t>
      </w:r>
      <w:r w:rsidRPr="00CF1DF4">
        <w:rPr>
          <w:rFonts w:cs="Arial"/>
        </w:rPr>
        <w:t>which we speculate suggest</w:t>
      </w:r>
      <w:r>
        <w:rPr>
          <w:rFonts w:cs="Arial"/>
        </w:rPr>
        <w:t>s</w:t>
      </w:r>
      <w:r w:rsidRPr="00CF1DF4">
        <w:rPr>
          <w:rFonts w:cs="Arial"/>
        </w:rPr>
        <w:t xml:space="preserve"> that camidanlumab tesirine acts on malignant RS cells in cHL.</w:t>
      </w:r>
      <w:r>
        <w:rPr>
          <w:rFonts w:cs="Arial"/>
        </w:rPr>
        <w:t xml:space="preserve"> Yet high CD25 levels may not be the sole factor contributing to </w:t>
      </w:r>
      <w:r w:rsidRPr="00EE2598">
        <w:rPr>
          <w:rFonts w:cs="Arial"/>
        </w:rPr>
        <w:t>camidanlumab tesirine</w:t>
      </w:r>
      <w:r>
        <w:rPr>
          <w:rFonts w:cs="Arial"/>
        </w:rPr>
        <w:t xml:space="preserve"> efficacy; it may potentially exert a bystander effect, with </w:t>
      </w:r>
      <w:r w:rsidRPr="006A625E">
        <w:rPr>
          <w:rFonts w:cs="Arial"/>
          <w:i/>
          <w:iCs/>
        </w:rPr>
        <w:t>in vitro</w:t>
      </w:r>
      <w:r w:rsidRPr="00496D9C">
        <w:rPr>
          <w:rFonts w:cs="Arial"/>
        </w:rPr>
        <w:t xml:space="preserve"> data suggest</w:t>
      </w:r>
      <w:r>
        <w:rPr>
          <w:rFonts w:cs="Arial"/>
        </w:rPr>
        <w:t>ing</w:t>
      </w:r>
      <w:r w:rsidRPr="00496D9C">
        <w:rPr>
          <w:rFonts w:cs="Arial"/>
        </w:rPr>
        <w:t xml:space="preserve"> that </w:t>
      </w:r>
      <w:proofErr w:type="spellStart"/>
      <w:r w:rsidRPr="00496D9C">
        <w:rPr>
          <w:rFonts w:cs="Arial"/>
        </w:rPr>
        <w:t>PBD</w:t>
      </w:r>
      <w:proofErr w:type="spellEnd"/>
      <w:r w:rsidRPr="00496D9C">
        <w:rPr>
          <w:rFonts w:cs="Arial"/>
        </w:rPr>
        <w:t xml:space="preserve"> warhead released from dying CD25-expressing cells could contribute to a reduction in surrounding CD25-</w:t>
      </w:r>
      <w:r w:rsidRPr="00B17E60">
        <w:rPr>
          <w:rFonts w:cs="Arial"/>
        </w:rPr>
        <w:t>negative tumor cells</w:t>
      </w:r>
      <w:r w:rsidRPr="00496D9C">
        <w:rPr>
          <w:rFonts w:cs="Arial"/>
        </w:rPr>
        <w:t>.</w:t>
      </w:r>
      <w:r w:rsidRPr="000140EA">
        <w:rPr>
          <w:rFonts w:cs="Arial"/>
          <w:noProof/>
          <w:vertAlign w:val="superscript"/>
        </w:rPr>
        <w:t>12</w:t>
      </w:r>
      <w:r>
        <w:rPr>
          <w:rFonts w:cs="Arial"/>
        </w:rPr>
        <w:t xml:space="preserve"> Notably, the CD25-directed fusion protein </w:t>
      </w:r>
      <w:proofErr w:type="spellStart"/>
      <w:r w:rsidRPr="00CE50B0">
        <w:rPr>
          <w:rFonts w:cs="Arial"/>
          <w:lang w:val="en-GB"/>
        </w:rPr>
        <w:t>denileukin</w:t>
      </w:r>
      <w:proofErr w:type="spellEnd"/>
      <w:r w:rsidRPr="00CE50B0">
        <w:rPr>
          <w:rFonts w:cs="Arial"/>
          <w:lang w:val="en-GB"/>
        </w:rPr>
        <w:t xml:space="preserve"> </w:t>
      </w:r>
      <w:proofErr w:type="spellStart"/>
      <w:r w:rsidRPr="00CE50B0">
        <w:rPr>
          <w:rFonts w:cs="Arial"/>
          <w:lang w:val="en-GB"/>
        </w:rPr>
        <w:t>diftitox</w:t>
      </w:r>
      <w:proofErr w:type="spellEnd"/>
      <w:r>
        <w:rPr>
          <w:rFonts w:cs="Arial"/>
        </w:rPr>
        <w:t xml:space="preserve"> showed efficacy (ORR: 30·6%) in patients with </w:t>
      </w:r>
      <w:proofErr w:type="spellStart"/>
      <w:r>
        <w:rPr>
          <w:rFonts w:cs="Arial"/>
        </w:rPr>
        <w:t>CTCL</w:t>
      </w:r>
      <w:proofErr w:type="spellEnd"/>
      <w:r>
        <w:rPr>
          <w:rFonts w:cs="Arial"/>
        </w:rPr>
        <w:t xml:space="preserve"> who had only CD25 expression on &lt;20% of malignant T cells.</w:t>
      </w:r>
      <w:r w:rsidRPr="00F72D00">
        <w:rPr>
          <w:rFonts w:cs="Arial"/>
          <w:noProof/>
          <w:vertAlign w:val="superscript"/>
        </w:rPr>
        <w:t>30</w:t>
      </w:r>
    </w:p>
    <w:p w14:paraId="1933D714" w14:textId="671A7B4E" w:rsidR="00830F07" w:rsidRDefault="00830F07" w:rsidP="0031288A">
      <w:pPr>
        <w:pStyle w:val="BodyText"/>
        <w:spacing w:line="480" w:lineRule="auto"/>
        <w:rPr>
          <w:rFonts w:ascii="Arial" w:hAnsi="Arial" w:cs="Arial"/>
          <w:szCs w:val="22"/>
        </w:rPr>
      </w:pPr>
      <w:r>
        <w:rPr>
          <w:rFonts w:ascii="Arial" w:hAnsi="Arial" w:cs="Arial"/>
          <w:szCs w:val="22"/>
        </w:rPr>
        <w:t>While common in Phase 1 studies, the single-arm design and small sample size are potential limitations</w:t>
      </w:r>
      <w:r w:rsidRPr="008B3F89">
        <w:rPr>
          <w:rFonts w:ascii="Arial" w:hAnsi="Arial" w:cs="Arial"/>
          <w:szCs w:val="22"/>
        </w:rPr>
        <w:t xml:space="preserve"> </w:t>
      </w:r>
      <w:r>
        <w:rPr>
          <w:rFonts w:ascii="Arial" w:hAnsi="Arial" w:cs="Arial"/>
          <w:szCs w:val="22"/>
        </w:rPr>
        <w:t>of this study, in addition to the lack of statistical comparison between subgroups and T-cell profiles, and paucity of time-to-event data for patients with B-NHL. Notwithstanding these considerations, b</w:t>
      </w:r>
      <w:r>
        <w:rPr>
          <w:rFonts w:ascii="Arial" w:hAnsi="Arial" w:cs="Arial"/>
          <w:szCs w:val="22"/>
        </w:rPr>
        <w:t>ased on</w:t>
      </w:r>
      <w:r w:rsidRPr="00EE2598">
        <w:rPr>
          <w:rFonts w:ascii="Arial" w:hAnsi="Arial" w:cs="Arial"/>
          <w:szCs w:val="22"/>
        </w:rPr>
        <w:t xml:space="preserve"> the </w:t>
      </w:r>
      <w:r>
        <w:rPr>
          <w:rFonts w:ascii="Arial" w:hAnsi="Arial" w:cs="Arial"/>
          <w:szCs w:val="22"/>
        </w:rPr>
        <w:t>encouraging</w:t>
      </w:r>
      <w:r w:rsidRPr="00EE2598">
        <w:rPr>
          <w:rFonts w:ascii="Arial" w:hAnsi="Arial" w:cs="Arial"/>
          <w:szCs w:val="22"/>
        </w:rPr>
        <w:t xml:space="preserve"> results, further evaluation of camidanlumab tesirine in cHL and T-</w:t>
      </w:r>
      <w:r w:rsidRPr="007439BB">
        <w:rPr>
          <w:rFonts w:ascii="Arial" w:hAnsi="Arial" w:cs="Arial"/>
        </w:rPr>
        <w:t>NHL</w:t>
      </w:r>
      <w:r w:rsidRPr="00EE2598">
        <w:rPr>
          <w:rFonts w:ascii="Arial" w:hAnsi="Arial" w:cs="Arial"/>
          <w:szCs w:val="22"/>
        </w:rPr>
        <w:t xml:space="preserve"> is warranted</w:t>
      </w:r>
      <w:r>
        <w:rPr>
          <w:rFonts w:ascii="Arial" w:hAnsi="Arial" w:cs="Arial"/>
          <w:szCs w:val="22"/>
        </w:rPr>
        <w:t>. A</w:t>
      </w:r>
      <w:r w:rsidRPr="00EE2598">
        <w:rPr>
          <w:rFonts w:ascii="Arial" w:hAnsi="Arial" w:cs="Arial"/>
          <w:szCs w:val="22"/>
        </w:rPr>
        <w:t xml:space="preserve"> </w:t>
      </w:r>
      <w:r>
        <w:rPr>
          <w:rFonts w:ascii="Arial" w:hAnsi="Arial" w:cs="Arial"/>
          <w:szCs w:val="22"/>
        </w:rPr>
        <w:t>pivotal P</w:t>
      </w:r>
      <w:r w:rsidRPr="00EE2598">
        <w:rPr>
          <w:rFonts w:ascii="Arial" w:hAnsi="Arial" w:cs="Arial"/>
          <w:szCs w:val="22"/>
        </w:rPr>
        <w:t xml:space="preserve">hase 2 trial of camidanlumab tesirine </w:t>
      </w:r>
      <w:r>
        <w:rPr>
          <w:rFonts w:ascii="Arial" w:hAnsi="Arial" w:cs="Arial"/>
          <w:szCs w:val="22"/>
        </w:rPr>
        <w:t>is evaluating</w:t>
      </w:r>
      <w:r w:rsidRPr="00EE2598">
        <w:rPr>
          <w:rFonts w:ascii="Arial" w:hAnsi="Arial" w:cs="Arial"/>
          <w:szCs w:val="22"/>
        </w:rPr>
        <w:t xml:space="preserve"> initial dosing at 45 μ</w:t>
      </w:r>
      <w:r w:rsidRPr="00EE2598">
        <w:rPr>
          <w:rFonts w:ascii="Arial" w:hAnsi="Arial" w:cs="Arial"/>
          <w:bCs/>
          <w:szCs w:val="22"/>
        </w:rPr>
        <w:t>g/kg f</w:t>
      </w:r>
      <w:r w:rsidRPr="00EE2598">
        <w:rPr>
          <w:rFonts w:ascii="Arial" w:hAnsi="Arial" w:cs="Arial"/>
          <w:szCs w:val="22"/>
        </w:rPr>
        <w:t>or two cycles, followed by dose reduction to 30 μ</w:t>
      </w:r>
      <w:r w:rsidRPr="00EE2598">
        <w:rPr>
          <w:rFonts w:ascii="Arial" w:hAnsi="Arial" w:cs="Arial"/>
          <w:bCs/>
          <w:szCs w:val="22"/>
        </w:rPr>
        <w:t xml:space="preserve">g/kg </w:t>
      </w:r>
      <w:r w:rsidRPr="00EE2598">
        <w:rPr>
          <w:rFonts w:ascii="Arial" w:hAnsi="Arial" w:cs="Arial"/>
          <w:szCs w:val="22"/>
        </w:rPr>
        <w:t xml:space="preserve">for </w:t>
      </w:r>
      <w:r>
        <w:rPr>
          <w:rFonts w:ascii="Arial" w:hAnsi="Arial" w:cs="Arial"/>
          <w:szCs w:val="22"/>
        </w:rPr>
        <w:t>remaining cycles</w:t>
      </w:r>
      <w:r w:rsidRPr="00EE2598">
        <w:rPr>
          <w:rFonts w:ascii="Arial" w:hAnsi="Arial" w:cs="Arial"/>
          <w:szCs w:val="22"/>
        </w:rPr>
        <w:t xml:space="preserve"> to maintain responses whilst minimizing risks of </w:t>
      </w:r>
      <w:r>
        <w:rPr>
          <w:rFonts w:ascii="Arial" w:hAnsi="Arial" w:cs="Arial"/>
          <w:szCs w:val="22"/>
        </w:rPr>
        <w:t xml:space="preserve">potential </w:t>
      </w:r>
      <w:r w:rsidRPr="00EE2598">
        <w:rPr>
          <w:rFonts w:ascii="Arial" w:hAnsi="Arial" w:cs="Arial"/>
          <w:szCs w:val="22"/>
        </w:rPr>
        <w:t>toxicity</w:t>
      </w:r>
      <w:r>
        <w:rPr>
          <w:rFonts w:ascii="Arial" w:hAnsi="Arial" w:cs="Arial"/>
          <w:szCs w:val="22"/>
        </w:rPr>
        <w:t xml:space="preserve"> in </w:t>
      </w:r>
      <w:r w:rsidRPr="00EE2598">
        <w:rPr>
          <w:rFonts w:ascii="Arial" w:hAnsi="Arial" w:cs="Arial"/>
          <w:szCs w:val="22"/>
        </w:rPr>
        <w:t xml:space="preserve">patients with R/R cHL (NCT04052997). </w:t>
      </w:r>
    </w:p>
    <w:p w14:paraId="74CED694" w14:textId="77777777" w:rsidR="00830F07" w:rsidRDefault="00830F07" w:rsidP="0031288A">
      <w:pPr>
        <w:pStyle w:val="Heading3"/>
      </w:pPr>
      <w:r>
        <w:t>Data sharing statement</w:t>
      </w:r>
    </w:p>
    <w:p w14:paraId="3E0AF46F" w14:textId="61E18DAB" w:rsidR="00830F07" w:rsidRDefault="00830F07" w:rsidP="0031288A">
      <w:r>
        <w:t>Study Protocol and Statistical Analysis Plan</w:t>
      </w:r>
      <w:r w:rsidRPr="006300FA">
        <w:t xml:space="preserve"> </w:t>
      </w:r>
      <w:r>
        <w:t xml:space="preserve">are available </w:t>
      </w:r>
      <w:r>
        <w:t>(see appendix)</w:t>
      </w:r>
      <w:r>
        <w:t xml:space="preserve">. </w:t>
      </w:r>
      <w:r w:rsidRPr="00C90A70">
        <w:t xml:space="preserve">Summary data for study NCT02432235 are available at </w:t>
      </w:r>
      <w:hyperlink r:id="rId8" w:history="1">
        <w:r w:rsidRPr="000C2B9D">
          <w:rPr>
            <w:rStyle w:val="Hyperlink"/>
          </w:rPr>
          <w:t>ClinicalTrials.gov</w:t>
        </w:r>
      </w:hyperlink>
      <w:r>
        <w:rPr>
          <w:color w:val="002060"/>
        </w:rPr>
        <w:t xml:space="preserve">. </w:t>
      </w:r>
      <w:r w:rsidRPr="00C90A70">
        <w:t xml:space="preserve">Requests regarding data collected for the study may be sent to </w:t>
      </w:r>
      <w:hyperlink r:id="rId9" w:history="1">
        <w:r w:rsidRPr="00A378E1">
          <w:rPr>
            <w:rStyle w:val="Hyperlink"/>
          </w:rPr>
          <w:t>clinical.trials@adctherapeutics.com</w:t>
        </w:r>
      </w:hyperlink>
      <w:r>
        <w:t xml:space="preserve">. </w:t>
      </w:r>
    </w:p>
    <w:p w14:paraId="26D4FE5C" w14:textId="77777777" w:rsidR="00830F07" w:rsidRDefault="00830F07" w:rsidP="0031288A">
      <w:pPr>
        <w:pStyle w:val="Heading3"/>
      </w:pPr>
      <w:bookmarkStart w:id="49" w:name="_Hlk57293232"/>
      <w:r>
        <w:t>Contributions</w:t>
      </w:r>
    </w:p>
    <w:p w14:paraId="542ECCDD" w14:textId="77777777" w:rsidR="00830F07" w:rsidRPr="00E525D0" w:rsidRDefault="00830F07" w:rsidP="0031288A">
      <w:pPr>
        <w:rPr>
          <w:rFonts w:cs="Arial"/>
        </w:rPr>
      </w:pPr>
      <w:r w:rsidRPr="00E525D0">
        <w:rPr>
          <w:rFonts w:cs="Arial"/>
        </w:rPr>
        <w:t xml:space="preserve">All authors met ICMJE criteria for authorship. </w:t>
      </w:r>
    </w:p>
    <w:p w14:paraId="22761207" w14:textId="77777777" w:rsidR="00830F07" w:rsidRPr="00E77012" w:rsidRDefault="00830F07" w:rsidP="0031288A">
      <w:pPr>
        <w:rPr>
          <w:rFonts w:cs="Arial"/>
        </w:rPr>
      </w:pPr>
      <w:r w:rsidRPr="00E77012">
        <w:rPr>
          <w:rFonts w:cs="Arial"/>
        </w:rPr>
        <w:t xml:space="preserve">MH, GPC, PFC, FS, AS, AD, JR, TM, AK, </w:t>
      </w:r>
      <w:proofErr w:type="spellStart"/>
      <w:r w:rsidRPr="00E77012">
        <w:rPr>
          <w:rFonts w:cs="Arial"/>
        </w:rPr>
        <w:t>JMZ</w:t>
      </w:r>
      <w:proofErr w:type="spellEnd"/>
      <w:r w:rsidRPr="00E77012">
        <w:rPr>
          <w:rFonts w:cs="Arial"/>
        </w:rPr>
        <w:t xml:space="preserve">, PF, and </w:t>
      </w:r>
      <w:proofErr w:type="spellStart"/>
      <w:r w:rsidRPr="00E77012">
        <w:rPr>
          <w:rFonts w:cs="Arial"/>
        </w:rPr>
        <w:t>SHo</w:t>
      </w:r>
      <w:proofErr w:type="spellEnd"/>
      <w:r w:rsidRPr="00E77012">
        <w:rPr>
          <w:rFonts w:cs="Arial"/>
        </w:rPr>
        <w:t xml:space="preserve"> were Principal Investigators with the following contributions: provision of patient care; data acquisition and interpretation; development and critical revision of the manuscript; and provision of final approval of the </w:t>
      </w:r>
      <w:r w:rsidRPr="00E77012">
        <w:rPr>
          <w:rFonts w:cs="Arial"/>
        </w:rPr>
        <w:lastRenderedPageBreak/>
        <w:t>submitted content</w:t>
      </w:r>
      <w:r>
        <w:rPr>
          <w:rFonts w:cs="Arial"/>
        </w:rPr>
        <w:t xml:space="preserve"> </w:t>
      </w:r>
      <w:r w:rsidRPr="00E77012">
        <w:rPr>
          <w:rFonts w:cs="Arial"/>
        </w:rPr>
        <w:t>and have agreed to be accountable for all aspects of the work, including its accuracy and integrity.</w:t>
      </w:r>
    </w:p>
    <w:p w14:paraId="269E64EB" w14:textId="77777777" w:rsidR="00830F07" w:rsidRDefault="00830F07" w:rsidP="0031288A">
      <w:pPr>
        <w:rPr>
          <w:rFonts w:cs="Arial"/>
        </w:rPr>
      </w:pPr>
      <w:r w:rsidRPr="00E77012">
        <w:rPr>
          <w:rFonts w:cs="Arial"/>
        </w:rPr>
        <w:t xml:space="preserve">The contributions of </w:t>
      </w:r>
      <w:proofErr w:type="spellStart"/>
      <w:r w:rsidRPr="00E77012">
        <w:rPr>
          <w:rFonts w:cs="Arial"/>
        </w:rPr>
        <w:t>KH</w:t>
      </w:r>
      <w:proofErr w:type="spellEnd"/>
      <w:r w:rsidRPr="00E77012">
        <w:rPr>
          <w:rFonts w:cs="Arial"/>
        </w:rPr>
        <w:t xml:space="preserve">, </w:t>
      </w:r>
      <w:proofErr w:type="spellStart"/>
      <w:r w:rsidRPr="00E77012">
        <w:rPr>
          <w:rFonts w:cs="Arial"/>
        </w:rPr>
        <w:t>HGC</w:t>
      </w:r>
      <w:proofErr w:type="spellEnd"/>
      <w:r w:rsidRPr="00E77012">
        <w:rPr>
          <w:rFonts w:cs="Arial"/>
        </w:rPr>
        <w:t xml:space="preserve">, </w:t>
      </w:r>
      <w:proofErr w:type="spellStart"/>
      <w:r w:rsidRPr="00E77012">
        <w:rPr>
          <w:rFonts w:cs="Arial"/>
        </w:rPr>
        <w:t>SHe</w:t>
      </w:r>
      <w:proofErr w:type="spellEnd"/>
      <w:r w:rsidRPr="00E77012">
        <w:rPr>
          <w:rFonts w:cs="Arial"/>
        </w:rPr>
        <w:t xml:space="preserve">, JB, </w:t>
      </w:r>
      <w:proofErr w:type="spellStart"/>
      <w:r w:rsidRPr="00E77012">
        <w:rPr>
          <w:rFonts w:cs="Arial"/>
        </w:rPr>
        <w:t>JF</w:t>
      </w:r>
      <w:proofErr w:type="spellEnd"/>
      <w:r w:rsidRPr="00E77012">
        <w:rPr>
          <w:rFonts w:cs="Arial"/>
        </w:rPr>
        <w:t xml:space="preserve">, and </w:t>
      </w:r>
      <w:proofErr w:type="spellStart"/>
      <w:r w:rsidRPr="00E77012">
        <w:rPr>
          <w:rFonts w:cs="Arial"/>
        </w:rPr>
        <w:t>JW</w:t>
      </w:r>
      <w:proofErr w:type="spellEnd"/>
      <w:r w:rsidRPr="00E77012">
        <w:rPr>
          <w:rFonts w:cs="Arial"/>
        </w:rPr>
        <w:t xml:space="preserve"> were</w:t>
      </w:r>
      <w:r w:rsidRPr="00E525D0">
        <w:rPr>
          <w:rFonts w:cs="Arial"/>
        </w:rPr>
        <w:t xml:space="preserve"> as follows: conception or design of the study; data analysis and interpretation; development and critical revision of the manuscript; </w:t>
      </w:r>
      <w:r>
        <w:rPr>
          <w:rFonts w:cs="Arial"/>
        </w:rPr>
        <w:t xml:space="preserve">and </w:t>
      </w:r>
      <w:r w:rsidRPr="00E525D0">
        <w:rPr>
          <w:rFonts w:cs="Arial"/>
        </w:rPr>
        <w:t>provision of final approval of the submitted content</w:t>
      </w:r>
      <w:r>
        <w:rPr>
          <w:rFonts w:cs="Arial"/>
        </w:rPr>
        <w:t>,</w:t>
      </w:r>
      <w:r w:rsidRPr="00E525D0">
        <w:rPr>
          <w:rFonts w:cs="Arial"/>
        </w:rPr>
        <w:t xml:space="preserve"> and </w:t>
      </w:r>
      <w:r>
        <w:rPr>
          <w:rFonts w:cs="Arial"/>
        </w:rPr>
        <w:t xml:space="preserve">they </w:t>
      </w:r>
      <w:r w:rsidRPr="00E525D0">
        <w:rPr>
          <w:rFonts w:cs="Arial"/>
        </w:rPr>
        <w:t>have agreed to be accountable for all aspects of the work, including its accuracy and integrity.</w:t>
      </w:r>
    </w:p>
    <w:p w14:paraId="25926510" w14:textId="77777777" w:rsidR="00830F07" w:rsidRPr="00E525D0" w:rsidRDefault="00830F07" w:rsidP="0031288A">
      <w:pPr>
        <w:rPr>
          <w:rFonts w:cs="Arial"/>
        </w:rPr>
      </w:pPr>
      <w:proofErr w:type="spellStart"/>
      <w:r>
        <w:rPr>
          <w:rFonts w:cs="Arial"/>
        </w:rPr>
        <w:t>SHe</w:t>
      </w:r>
      <w:proofErr w:type="spellEnd"/>
      <w:r>
        <w:rPr>
          <w:rFonts w:cs="Arial"/>
        </w:rPr>
        <w:t xml:space="preserve">, </w:t>
      </w:r>
      <w:proofErr w:type="spellStart"/>
      <w:r>
        <w:rPr>
          <w:rFonts w:cs="Arial"/>
        </w:rPr>
        <w:t>HGC</w:t>
      </w:r>
      <w:proofErr w:type="spellEnd"/>
      <w:r>
        <w:rPr>
          <w:rFonts w:cs="Arial"/>
        </w:rPr>
        <w:t xml:space="preserve">, and </w:t>
      </w:r>
      <w:proofErr w:type="spellStart"/>
      <w:r>
        <w:rPr>
          <w:rFonts w:cs="Arial"/>
        </w:rPr>
        <w:t>SHo</w:t>
      </w:r>
      <w:proofErr w:type="spellEnd"/>
      <w:r>
        <w:rPr>
          <w:rFonts w:cs="Arial"/>
        </w:rPr>
        <w:t xml:space="preserve"> had full access to, and verified, the data.</w:t>
      </w:r>
    </w:p>
    <w:p w14:paraId="7C3BDA8B" w14:textId="77777777" w:rsidR="00830F07" w:rsidRDefault="00830F07" w:rsidP="0031288A">
      <w:pPr>
        <w:rPr>
          <w:rFonts w:cs="Arial"/>
        </w:rPr>
      </w:pPr>
      <w:r w:rsidRPr="00E525D0">
        <w:rPr>
          <w:rFonts w:cs="Arial"/>
        </w:rPr>
        <w:t xml:space="preserve">Statistical analyses were provided by </w:t>
      </w:r>
      <w:proofErr w:type="spellStart"/>
      <w:proofErr w:type="gramStart"/>
      <w:r w:rsidRPr="00E525D0">
        <w:rPr>
          <w:rFonts w:cs="Arial"/>
        </w:rPr>
        <w:t>SHe</w:t>
      </w:r>
      <w:proofErr w:type="spellEnd"/>
      <w:proofErr w:type="gramEnd"/>
      <w:r w:rsidRPr="00E525D0">
        <w:rPr>
          <w:rFonts w:cs="Arial"/>
        </w:rPr>
        <w:t xml:space="preserve">. Analyses of PK/PD profiles and parameters were conducted by JB and </w:t>
      </w:r>
      <w:proofErr w:type="spellStart"/>
      <w:r w:rsidRPr="00E525D0">
        <w:rPr>
          <w:rFonts w:cs="Arial"/>
        </w:rPr>
        <w:t>KH</w:t>
      </w:r>
      <w:proofErr w:type="spellEnd"/>
      <w:r w:rsidRPr="00E525D0">
        <w:rPr>
          <w:rFonts w:cs="Arial"/>
        </w:rPr>
        <w:t>.</w:t>
      </w:r>
    </w:p>
    <w:bookmarkEnd w:id="49"/>
    <w:p w14:paraId="1F3C0E7E" w14:textId="77777777" w:rsidR="00830F07" w:rsidRPr="00EE2598" w:rsidRDefault="00830F07" w:rsidP="0031288A">
      <w:pPr>
        <w:pStyle w:val="Heading3"/>
      </w:pPr>
      <w:r w:rsidRPr="00EE2598">
        <w:t>Acknowledgments</w:t>
      </w:r>
    </w:p>
    <w:p w14:paraId="5E04C553" w14:textId="77777777" w:rsidR="00830F07" w:rsidRDefault="00830F07" w:rsidP="0031288A">
      <w:pPr>
        <w:rPr>
          <w:rFonts w:cs="Arial"/>
        </w:rPr>
      </w:pPr>
      <w:r>
        <w:rPr>
          <w:rFonts w:cs="Arial"/>
        </w:rPr>
        <w:t>This research was s</w:t>
      </w:r>
      <w:r w:rsidRPr="00EE2598">
        <w:rPr>
          <w:rFonts w:cs="Arial"/>
        </w:rPr>
        <w:t>upported by ADC Therapeutics SA</w:t>
      </w:r>
      <w:r>
        <w:rPr>
          <w:rFonts w:cs="Arial"/>
        </w:rPr>
        <w:t>.</w:t>
      </w:r>
    </w:p>
    <w:p w14:paraId="7812DAEA" w14:textId="77777777" w:rsidR="00830F07" w:rsidRDefault="00830F07" w:rsidP="0031288A">
      <w:pPr>
        <w:pStyle w:val="BodyText"/>
        <w:tabs>
          <w:tab w:val="left" w:pos="2268"/>
        </w:tabs>
        <w:spacing w:after="0" w:line="480" w:lineRule="auto"/>
        <w:rPr>
          <w:rFonts w:ascii="Arial" w:hAnsi="Arial" w:cs="Arial"/>
          <w:szCs w:val="22"/>
        </w:rPr>
      </w:pPr>
      <w:r w:rsidRPr="00EE2598">
        <w:rPr>
          <w:rFonts w:ascii="Arial" w:hAnsi="Arial" w:cs="Arial"/>
          <w:szCs w:val="22"/>
        </w:rPr>
        <w:t xml:space="preserve">The authors wish to thank the investigators and coordinators at each of the clinical sites, and the patients who participated in this trial and their families. </w:t>
      </w:r>
      <w:r w:rsidRPr="00EF33CD">
        <w:rPr>
          <w:rFonts w:ascii="Arial" w:hAnsi="Arial" w:cs="Arial"/>
          <w:szCs w:val="22"/>
        </w:rPr>
        <w:t>G</w:t>
      </w:r>
      <w:r>
        <w:rPr>
          <w:rFonts w:ascii="Arial" w:hAnsi="Arial" w:cs="Arial"/>
          <w:szCs w:val="22"/>
        </w:rPr>
        <w:t>P</w:t>
      </w:r>
      <w:r w:rsidRPr="00EF33CD">
        <w:rPr>
          <w:rFonts w:ascii="Arial" w:hAnsi="Arial" w:cs="Arial"/>
          <w:szCs w:val="22"/>
        </w:rPr>
        <w:t xml:space="preserve">C acknowledges support from </w:t>
      </w:r>
      <w:proofErr w:type="spellStart"/>
      <w:r w:rsidRPr="00EF33CD">
        <w:rPr>
          <w:rFonts w:ascii="Arial" w:hAnsi="Arial" w:cs="Arial"/>
          <w:szCs w:val="22"/>
        </w:rPr>
        <w:t>CRUK</w:t>
      </w:r>
      <w:proofErr w:type="spellEnd"/>
      <w:r w:rsidRPr="00EF33CD">
        <w:rPr>
          <w:rFonts w:ascii="Arial" w:hAnsi="Arial" w:cs="Arial"/>
          <w:szCs w:val="22"/>
        </w:rPr>
        <w:t xml:space="preserve"> Experimental Cancer Medicines Centre.</w:t>
      </w:r>
      <w:r>
        <w:rPr>
          <w:rFonts w:ascii="Arial" w:hAnsi="Arial" w:cs="Arial"/>
          <w:szCs w:val="22"/>
        </w:rPr>
        <w:t xml:space="preserve"> </w:t>
      </w:r>
      <w:proofErr w:type="spellStart"/>
      <w:r>
        <w:rPr>
          <w:rFonts w:ascii="Arial" w:hAnsi="Arial" w:cs="Arial"/>
          <w:szCs w:val="22"/>
        </w:rPr>
        <w:t>SHo</w:t>
      </w:r>
      <w:proofErr w:type="spellEnd"/>
      <w:r>
        <w:rPr>
          <w:rFonts w:ascii="Arial" w:hAnsi="Arial" w:cs="Arial"/>
          <w:szCs w:val="22"/>
        </w:rPr>
        <w:t xml:space="preserve"> acknowledges this research was </w:t>
      </w:r>
      <w:r w:rsidRPr="00D8446C">
        <w:rPr>
          <w:rFonts w:ascii="Arial" w:hAnsi="Arial" w:cs="Arial"/>
          <w:szCs w:val="22"/>
        </w:rPr>
        <w:t>funded in part through the NIH/NCI Cancer Center Support Grant P30 CA008748</w:t>
      </w:r>
      <w:r>
        <w:rPr>
          <w:rFonts w:ascii="Arial" w:hAnsi="Arial" w:cs="Arial"/>
          <w:szCs w:val="22"/>
        </w:rPr>
        <w:t>.</w:t>
      </w:r>
    </w:p>
    <w:p w14:paraId="06653414" w14:textId="77777777" w:rsidR="00830F07" w:rsidRPr="000E62D2" w:rsidRDefault="00830F07" w:rsidP="0031288A">
      <w:pPr>
        <w:rPr>
          <w:rFonts w:cs="Arial"/>
        </w:rPr>
      </w:pPr>
      <w:r>
        <w:rPr>
          <w:lang w:val="en-GB"/>
        </w:rPr>
        <w:t xml:space="preserve">Additional statistical analyses were provided by </w:t>
      </w:r>
      <w:r w:rsidRPr="00F43B1B">
        <w:rPr>
          <w:lang w:val="en-GB"/>
        </w:rPr>
        <w:t>Luqiang</w:t>
      </w:r>
      <w:r>
        <w:rPr>
          <w:lang w:val="en-GB"/>
        </w:rPr>
        <w:t xml:space="preserve"> Wang, of ADC Therapeutics </w:t>
      </w:r>
      <w:r w:rsidRPr="0048328F">
        <w:rPr>
          <w:lang w:val="en-GB"/>
        </w:rPr>
        <w:t>America Inc</w:t>
      </w:r>
      <w:r>
        <w:rPr>
          <w:lang w:val="en-GB"/>
        </w:rPr>
        <w:t>.</w:t>
      </w:r>
    </w:p>
    <w:p w14:paraId="738B9A7C" w14:textId="77777777" w:rsidR="00830F07" w:rsidRPr="00EE2598" w:rsidRDefault="00830F07" w:rsidP="0031288A">
      <w:pPr>
        <w:pStyle w:val="BodyText"/>
        <w:tabs>
          <w:tab w:val="left" w:pos="2268"/>
        </w:tabs>
        <w:spacing w:after="0" w:line="480" w:lineRule="auto"/>
        <w:rPr>
          <w:rFonts w:ascii="Arial" w:hAnsi="Arial" w:cs="Arial"/>
          <w:szCs w:val="22"/>
        </w:rPr>
      </w:pPr>
      <w:r w:rsidRPr="00EE2598">
        <w:rPr>
          <w:rFonts w:ascii="Arial" w:hAnsi="Arial" w:cs="Arial"/>
          <w:szCs w:val="22"/>
        </w:rPr>
        <w:t>Editorial assistance was provided by Becky Salisbury, PhD</w:t>
      </w:r>
      <w:r>
        <w:rPr>
          <w:rFonts w:ascii="Arial" w:hAnsi="Arial" w:cs="Arial"/>
          <w:szCs w:val="22"/>
        </w:rPr>
        <w:t>,</w:t>
      </w:r>
      <w:r w:rsidRPr="00EE2598">
        <w:rPr>
          <w:rFonts w:ascii="Arial" w:hAnsi="Arial" w:cs="Arial"/>
          <w:szCs w:val="22"/>
        </w:rPr>
        <w:t xml:space="preserve"> and </w:t>
      </w:r>
      <w:r>
        <w:rPr>
          <w:rFonts w:ascii="Arial" w:hAnsi="Arial" w:cs="Arial"/>
          <w:szCs w:val="22"/>
        </w:rPr>
        <w:t>Heather St Michael, BSc,</w:t>
      </w:r>
      <w:r w:rsidRPr="00EE2598">
        <w:rPr>
          <w:rFonts w:ascii="Arial" w:hAnsi="Arial" w:cs="Arial"/>
          <w:szCs w:val="22"/>
        </w:rPr>
        <w:t xml:space="preserve"> at </w:t>
      </w:r>
      <w:r>
        <w:rPr>
          <w:rFonts w:ascii="Arial" w:hAnsi="Arial" w:cs="Arial"/>
          <w:szCs w:val="22"/>
        </w:rPr>
        <w:t xml:space="preserve">Fishawack Communications Limited, part of </w:t>
      </w:r>
      <w:r w:rsidRPr="00EE2598">
        <w:rPr>
          <w:rFonts w:ascii="Arial" w:hAnsi="Arial" w:cs="Arial"/>
          <w:szCs w:val="22"/>
        </w:rPr>
        <w:t xml:space="preserve">Fishawack </w:t>
      </w:r>
      <w:r>
        <w:rPr>
          <w:rFonts w:ascii="Arial" w:hAnsi="Arial" w:cs="Arial"/>
          <w:szCs w:val="22"/>
        </w:rPr>
        <w:t>Health</w:t>
      </w:r>
      <w:r w:rsidRPr="00EE2598">
        <w:rPr>
          <w:rFonts w:ascii="Arial" w:hAnsi="Arial" w:cs="Arial"/>
          <w:szCs w:val="22"/>
        </w:rPr>
        <w:t>, funded by ADC Therapeutics.</w:t>
      </w:r>
    </w:p>
    <w:p w14:paraId="4DB2823A" w14:textId="77777777" w:rsidR="00830F07" w:rsidRDefault="00830F07" w:rsidP="0031288A">
      <w:pPr>
        <w:keepNext/>
      </w:pPr>
      <w:r w:rsidRPr="00D4143C">
        <w:rPr>
          <w:rStyle w:val="Heading3Char"/>
        </w:rPr>
        <w:t>D</w:t>
      </w:r>
      <w:r>
        <w:rPr>
          <w:rStyle w:val="Heading3Char"/>
        </w:rPr>
        <w:t>eclaration of interests</w:t>
      </w:r>
      <w:r>
        <w:rPr>
          <w:rFonts w:asciiTheme="majorHAnsi" w:eastAsiaTheme="majorEastAsia" w:hAnsiTheme="majorHAnsi" w:cstheme="majorBidi"/>
          <w:b/>
          <w:color w:val="2F5496" w:themeColor="accent1" w:themeShade="BF"/>
          <w:sz w:val="32"/>
          <w:szCs w:val="32"/>
        </w:rPr>
        <w:t xml:space="preserve"> </w:t>
      </w:r>
    </w:p>
    <w:p w14:paraId="543ADC96" w14:textId="77777777" w:rsidR="00830F07" w:rsidRDefault="00830F07" w:rsidP="0031288A">
      <w:pPr>
        <w:rPr>
          <w:lang w:val="en-GB"/>
        </w:rPr>
      </w:pPr>
      <w:r>
        <w:rPr>
          <w:lang w:val="en-GB"/>
        </w:rPr>
        <w:t>MH</w:t>
      </w:r>
      <w:r w:rsidRPr="001100FA">
        <w:rPr>
          <w:lang w:val="en-GB"/>
        </w:rPr>
        <w:t xml:space="preserve"> reports grants from Takeda Pharmaceutical Company, grants from Spectrum Pharmaceuticals, grants from Astellas Pharma, personal fees from Janssen R&amp;D, personal fees from Incyte Corporation, personal fees from ADC Therapeutics, personal fees from Celgene Corporation, personal fees from Pharmacyclics, personal fees from </w:t>
      </w:r>
      <w:proofErr w:type="spellStart"/>
      <w:r w:rsidRPr="001100FA">
        <w:rPr>
          <w:lang w:val="en-GB"/>
        </w:rPr>
        <w:t>Omeros</w:t>
      </w:r>
      <w:proofErr w:type="spellEnd"/>
      <w:r w:rsidRPr="001100FA">
        <w:rPr>
          <w:lang w:val="en-GB"/>
        </w:rPr>
        <w:t xml:space="preserve">, personal fees from </w:t>
      </w:r>
      <w:proofErr w:type="spellStart"/>
      <w:r w:rsidRPr="001100FA">
        <w:rPr>
          <w:lang w:val="en-GB"/>
        </w:rPr>
        <w:t>AbGenomics</w:t>
      </w:r>
      <w:proofErr w:type="spellEnd"/>
      <w:r w:rsidRPr="001100FA">
        <w:rPr>
          <w:lang w:val="en-GB"/>
        </w:rPr>
        <w:t xml:space="preserve">, personal fees from Verastem, personal fees from </w:t>
      </w:r>
      <w:proofErr w:type="spellStart"/>
      <w:r w:rsidRPr="001100FA">
        <w:rPr>
          <w:lang w:val="en-GB"/>
        </w:rPr>
        <w:lastRenderedPageBreak/>
        <w:t>TeneoBio</w:t>
      </w:r>
      <w:proofErr w:type="spellEnd"/>
      <w:r w:rsidRPr="001100FA">
        <w:rPr>
          <w:lang w:val="en-GB"/>
        </w:rPr>
        <w:t xml:space="preserve">, personal fees from Sanofi Genzyme, personal fees from </w:t>
      </w:r>
      <w:proofErr w:type="spellStart"/>
      <w:r w:rsidRPr="001100FA">
        <w:rPr>
          <w:lang w:val="en-GB"/>
        </w:rPr>
        <w:t>BeiGene</w:t>
      </w:r>
      <w:proofErr w:type="spellEnd"/>
      <w:r>
        <w:rPr>
          <w:lang w:val="en-GB"/>
        </w:rPr>
        <w:t xml:space="preserve"> and</w:t>
      </w:r>
      <w:r w:rsidRPr="001100FA">
        <w:rPr>
          <w:lang w:val="en-GB"/>
        </w:rPr>
        <w:t xml:space="preserve"> personal fees from AstraZeneca,</w:t>
      </w:r>
      <w:r>
        <w:rPr>
          <w:lang w:val="en-GB"/>
        </w:rPr>
        <w:t xml:space="preserve"> </w:t>
      </w:r>
      <w:r w:rsidRPr="001100FA">
        <w:rPr>
          <w:lang w:val="en-GB"/>
        </w:rPr>
        <w:t>outside the submitted work</w:t>
      </w:r>
      <w:r>
        <w:rPr>
          <w:lang w:val="en-GB"/>
        </w:rPr>
        <w:t>.</w:t>
      </w:r>
    </w:p>
    <w:p w14:paraId="711AE243" w14:textId="4E4DF4E4" w:rsidR="00830F07" w:rsidRPr="00621B0F" w:rsidRDefault="00830F07" w:rsidP="0031288A">
      <w:pPr>
        <w:rPr>
          <w:lang w:val="en-GB"/>
        </w:rPr>
      </w:pPr>
      <w:bookmarkStart w:id="50" w:name="_Hlk57815983"/>
      <w:r>
        <w:rPr>
          <w:lang w:val="en-GB"/>
        </w:rPr>
        <w:t xml:space="preserve">GPC </w:t>
      </w:r>
      <w:r w:rsidRPr="00A740E2">
        <w:rPr>
          <w:lang w:val="en-GB"/>
        </w:rPr>
        <w:t xml:space="preserve">reports personal fees from ADC Therapeutics, during the conduct of the study; personal fees from Roche, personal fees from Takeda, personal fees from BMS, personal fees from MSD, personal fees from </w:t>
      </w:r>
      <w:proofErr w:type="spellStart"/>
      <w:r w:rsidRPr="00A740E2">
        <w:rPr>
          <w:lang w:val="en-GB"/>
        </w:rPr>
        <w:t>Celleron</w:t>
      </w:r>
      <w:proofErr w:type="spellEnd"/>
      <w:r w:rsidRPr="00A740E2">
        <w:rPr>
          <w:lang w:val="en-GB"/>
        </w:rPr>
        <w:t xml:space="preserve">, personal fees from </w:t>
      </w:r>
      <w:proofErr w:type="spellStart"/>
      <w:r w:rsidRPr="00A740E2">
        <w:rPr>
          <w:lang w:val="en-GB"/>
        </w:rPr>
        <w:t>Beigene</w:t>
      </w:r>
      <w:proofErr w:type="spellEnd"/>
      <w:r w:rsidRPr="00A740E2">
        <w:rPr>
          <w:lang w:val="en-GB"/>
        </w:rPr>
        <w:t>, personal fees from Gilead, personal fees from Novartis, personal fees from Celgene</w:t>
      </w:r>
      <w:r>
        <w:rPr>
          <w:lang w:val="en-GB"/>
        </w:rPr>
        <w:t xml:space="preserve"> and</w:t>
      </w:r>
      <w:r w:rsidRPr="00A740E2">
        <w:rPr>
          <w:lang w:val="en-GB"/>
        </w:rPr>
        <w:t xml:space="preserve"> personal fees from Amgen, outside the submitted work</w:t>
      </w:r>
      <w:r>
        <w:rPr>
          <w:lang w:val="en-GB"/>
        </w:rPr>
        <w:t>.</w:t>
      </w:r>
      <w:bookmarkEnd w:id="50"/>
    </w:p>
    <w:p w14:paraId="2F671C4D" w14:textId="1D192BE2" w:rsidR="00830F07" w:rsidRPr="00031E5B" w:rsidRDefault="00830F07" w:rsidP="0031288A">
      <w:pPr>
        <w:rPr>
          <w:lang w:val="en-GB"/>
        </w:rPr>
      </w:pPr>
      <w:r>
        <w:rPr>
          <w:lang w:val="en-GB"/>
        </w:rPr>
        <w:t xml:space="preserve">PFC </w:t>
      </w:r>
      <w:r w:rsidRPr="003769E7">
        <w:rPr>
          <w:lang w:val="en-GB"/>
        </w:rPr>
        <w:t>reports grants from ADC Therapeutics, during the conduct of the study; personal fees from ADC Therapeutics, grants from Genentech, personal fees from Kite therapeutics, personal fees from Amgen, personal fees from Bayer, personal fees from Verastem, personal fees from Seattle Genetics, personal fees from TG Therapeutics</w:t>
      </w:r>
      <w:r>
        <w:rPr>
          <w:lang w:val="en-GB"/>
        </w:rPr>
        <w:t xml:space="preserve"> and</w:t>
      </w:r>
      <w:r w:rsidRPr="003769E7">
        <w:rPr>
          <w:lang w:val="en-GB"/>
        </w:rPr>
        <w:t xml:space="preserve"> personal fees from Celgene, outside the submitted work</w:t>
      </w:r>
      <w:r>
        <w:rPr>
          <w:lang w:val="en-GB"/>
        </w:rPr>
        <w:t>.</w:t>
      </w:r>
    </w:p>
    <w:p w14:paraId="21B58879" w14:textId="6BB2DA48" w:rsidR="00830F07" w:rsidRDefault="00830F07" w:rsidP="0031288A">
      <w:pPr>
        <w:rPr>
          <w:lang w:val="en-GB"/>
        </w:rPr>
      </w:pPr>
      <w:r>
        <w:rPr>
          <w:lang w:val="en-GB"/>
        </w:rPr>
        <w:t>FS</w:t>
      </w:r>
      <w:r w:rsidRPr="003769E7">
        <w:rPr>
          <w:lang w:val="en-GB"/>
        </w:rPr>
        <w:t xml:space="preserve"> reports personal fees from </w:t>
      </w:r>
      <w:proofErr w:type="spellStart"/>
      <w:r w:rsidRPr="003769E7">
        <w:rPr>
          <w:lang w:val="en-GB"/>
        </w:rPr>
        <w:t>Imbrium</w:t>
      </w:r>
      <w:proofErr w:type="spellEnd"/>
      <w:r w:rsidRPr="003769E7">
        <w:rPr>
          <w:lang w:val="en-GB"/>
        </w:rPr>
        <w:t xml:space="preserve"> Therapeutics, outside the submitted work</w:t>
      </w:r>
      <w:r>
        <w:rPr>
          <w:lang w:val="en-GB"/>
        </w:rPr>
        <w:t>.</w:t>
      </w:r>
    </w:p>
    <w:p w14:paraId="7DCA7DE6" w14:textId="3486482F" w:rsidR="00830F07" w:rsidRPr="00031E5B" w:rsidRDefault="00830F07" w:rsidP="0031288A">
      <w:pPr>
        <w:rPr>
          <w:lang w:val="en-GB"/>
        </w:rPr>
      </w:pPr>
      <w:r>
        <w:rPr>
          <w:lang w:val="en-GB"/>
        </w:rPr>
        <w:t xml:space="preserve">AS </w:t>
      </w:r>
      <w:r w:rsidRPr="00290E27">
        <w:rPr>
          <w:lang w:val="en-GB"/>
        </w:rPr>
        <w:t>reports personal fees from ADC Therapeutics, during the conduct of the study</w:t>
      </w:r>
      <w:r>
        <w:rPr>
          <w:lang w:val="en-GB"/>
        </w:rPr>
        <w:t>.</w:t>
      </w:r>
    </w:p>
    <w:p w14:paraId="5C4CD6CA" w14:textId="3694207C" w:rsidR="00830F07" w:rsidRPr="00031E5B" w:rsidRDefault="00830F07" w:rsidP="0031288A">
      <w:pPr>
        <w:rPr>
          <w:lang w:val="en-GB"/>
        </w:rPr>
      </w:pPr>
      <w:r>
        <w:rPr>
          <w:lang w:val="en-GB"/>
        </w:rPr>
        <w:t xml:space="preserve">AD </w:t>
      </w:r>
      <w:r w:rsidRPr="00B82597">
        <w:rPr>
          <w:lang w:val="en-GB"/>
        </w:rPr>
        <w:t xml:space="preserve">reports grants from ADC Therapeutics, grants, personal fees and non-financial support from Roche/Genentech, grants and personal fees from Gilead/Kite, personal fees from Janssen, grants, personal fees and non-financial support from Celgene, personal fees from </w:t>
      </w:r>
      <w:proofErr w:type="spellStart"/>
      <w:r w:rsidRPr="00B82597">
        <w:rPr>
          <w:lang w:val="en-GB"/>
        </w:rPr>
        <w:t>MorphoSys</w:t>
      </w:r>
      <w:proofErr w:type="spellEnd"/>
      <w:r w:rsidRPr="00B82597">
        <w:rPr>
          <w:lang w:val="en-GB"/>
        </w:rPr>
        <w:t xml:space="preserve"> AG, grants and personal fees from </w:t>
      </w:r>
      <w:proofErr w:type="spellStart"/>
      <w:r w:rsidRPr="00B82597">
        <w:rPr>
          <w:lang w:val="en-GB"/>
        </w:rPr>
        <w:t>Accerta</w:t>
      </w:r>
      <w:proofErr w:type="spellEnd"/>
      <w:r w:rsidRPr="00B82597">
        <w:rPr>
          <w:lang w:val="en-GB"/>
        </w:rPr>
        <w:t xml:space="preserve"> Pharma/AstraZeneca, grants and personal fees from </w:t>
      </w:r>
      <w:proofErr w:type="spellStart"/>
      <w:r w:rsidRPr="00B82597">
        <w:rPr>
          <w:lang w:val="en-GB"/>
        </w:rPr>
        <w:t>Karyopharma</w:t>
      </w:r>
      <w:proofErr w:type="spellEnd"/>
      <w:r w:rsidRPr="00B82597">
        <w:rPr>
          <w:lang w:val="en-GB"/>
        </w:rPr>
        <w:t xml:space="preserve">, </w:t>
      </w:r>
      <w:r>
        <w:rPr>
          <w:lang w:val="en-GB"/>
        </w:rPr>
        <w:t xml:space="preserve">and </w:t>
      </w:r>
      <w:r w:rsidRPr="00B82597">
        <w:rPr>
          <w:lang w:val="en-GB"/>
        </w:rPr>
        <w:t>personal fees from Takeda, during the conduct of the study</w:t>
      </w:r>
      <w:r>
        <w:rPr>
          <w:lang w:val="en-GB"/>
        </w:rPr>
        <w:t>.</w:t>
      </w:r>
    </w:p>
    <w:p w14:paraId="0AD8F581" w14:textId="0584B2FC" w:rsidR="00830F07" w:rsidRPr="00621B0F" w:rsidRDefault="00830F07" w:rsidP="0031288A">
      <w:pPr>
        <w:rPr>
          <w:lang w:val="en-GB"/>
        </w:rPr>
      </w:pPr>
      <w:r>
        <w:rPr>
          <w:lang w:val="en-GB"/>
        </w:rPr>
        <w:t xml:space="preserve">JR </w:t>
      </w:r>
      <w:r w:rsidRPr="00B82597">
        <w:rPr>
          <w:lang w:val="en-GB"/>
        </w:rPr>
        <w:t>reports personal fees from Takeda, personal fees from ADC Therapeutics, personal fees from Bristol-Myers Squibb, personal fees from Novartis, personal fees from Kite Pharma, personal fees from Seattle Genetics, other from AstraZeneca, other from GlaxoSmithKline, other from ADC Therapeutics, outside the submitted work</w:t>
      </w:r>
      <w:r>
        <w:rPr>
          <w:lang w:val="en-GB"/>
        </w:rPr>
        <w:t>.</w:t>
      </w:r>
    </w:p>
    <w:p w14:paraId="31125834" w14:textId="5619BF36" w:rsidR="00830F07" w:rsidRPr="00913ABE" w:rsidRDefault="00830F07" w:rsidP="0031288A">
      <w:pPr>
        <w:rPr>
          <w:lang w:val="en-GB"/>
        </w:rPr>
      </w:pPr>
      <w:r>
        <w:rPr>
          <w:lang w:val="en-GB"/>
        </w:rPr>
        <w:t xml:space="preserve">TM </w:t>
      </w:r>
      <w:r w:rsidRPr="00291FE9">
        <w:rPr>
          <w:lang w:val="en-GB"/>
        </w:rPr>
        <w:t xml:space="preserve">reports personal fees and non-financial support from Amgen, non-financial support from Jazz, non-financial support from Pfizer, non-financial support from Bayer, non-financial support from Kyowa Kirin, non-financial support from Celgene, personal fees and non-financial support from Kite/Gilead, personal fees from Novartis, personal fees from Daiichi </w:t>
      </w:r>
      <w:r w:rsidRPr="00291FE9">
        <w:rPr>
          <w:lang w:val="en-GB"/>
        </w:rPr>
        <w:lastRenderedPageBreak/>
        <w:t xml:space="preserve">Sankyo, personal fees from </w:t>
      </w:r>
      <w:proofErr w:type="spellStart"/>
      <w:r w:rsidRPr="00291FE9">
        <w:rPr>
          <w:lang w:val="en-GB"/>
        </w:rPr>
        <w:t>Atara</w:t>
      </w:r>
      <w:proofErr w:type="spellEnd"/>
      <w:r w:rsidRPr="00291FE9">
        <w:rPr>
          <w:lang w:val="en-GB"/>
        </w:rPr>
        <w:t>, personal fees from Takeda, personal fees from Janssen, personal fees from Roche, personal fees from AstraZeneca, outside the submitted work</w:t>
      </w:r>
      <w:r>
        <w:rPr>
          <w:lang w:val="en-GB"/>
        </w:rPr>
        <w:t>.</w:t>
      </w:r>
    </w:p>
    <w:p w14:paraId="27CE9769" w14:textId="77777777" w:rsidR="00830F07" w:rsidRPr="00031E5B" w:rsidRDefault="00830F07" w:rsidP="0031288A">
      <w:pPr>
        <w:rPr>
          <w:lang w:val="en-GB"/>
        </w:rPr>
      </w:pPr>
      <w:r w:rsidRPr="00031E5B">
        <w:rPr>
          <w:lang w:val="en-GB"/>
        </w:rPr>
        <w:t>AK has nothing to disclose.</w:t>
      </w:r>
    </w:p>
    <w:p w14:paraId="3B936CCA" w14:textId="6AB3FEE4" w:rsidR="00830F07" w:rsidRPr="00031E5B" w:rsidRDefault="00830F07" w:rsidP="0031288A">
      <w:pPr>
        <w:rPr>
          <w:lang w:val="en-GB"/>
        </w:rPr>
      </w:pPr>
      <w:proofErr w:type="spellStart"/>
      <w:r>
        <w:rPr>
          <w:lang w:val="en-GB"/>
        </w:rPr>
        <w:t>JMZ</w:t>
      </w:r>
      <w:proofErr w:type="spellEnd"/>
      <w:r>
        <w:rPr>
          <w:lang w:val="en-GB"/>
        </w:rPr>
        <w:t xml:space="preserve"> </w:t>
      </w:r>
      <w:r w:rsidRPr="00AD4F36">
        <w:rPr>
          <w:lang w:val="en-GB"/>
        </w:rPr>
        <w:t>reports personal fees from Seattle Genetics, personal fees from Kyowa Kirin</w:t>
      </w:r>
      <w:r>
        <w:rPr>
          <w:lang w:val="en-GB"/>
        </w:rPr>
        <w:t xml:space="preserve"> and</w:t>
      </w:r>
      <w:r w:rsidRPr="00AD4F36">
        <w:rPr>
          <w:lang w:val="en-GB"/>
        </w:rPr>
        <w:t xml:space="preserve"> personal fees from Verastem, outside the submitted work</w:t>
      </w:r>
      <w:r>
        <w:rPr>
          <w:lang w:val="en-GB"/>
        </w:rPr>
        <w:t>.</w:t>
      </w:r>
    </w:p>
    <w:p w14:paraId="21C14C77" w14:textId="272334D0" w:rsidR="00830F07" w:rsidRPr="00031E5B" w:rsidRDefault="00830F07" w:rsidP="0031288A">
      <w:r>
        <w:t xml:space="preserve">PF </w:t>
      </w:r>
      <w:r w:rsidRPr="004A28B0">
        <w:t>reports personal fees from ADC Therapeutics, personal fees from Takeda, personal fees from Roche</w:t>
      </w:r>
      <w:r>
        <w:t xml:space="preserve"> and</w:t>
      </w:r>
      <w:r w:rsidRPr="004A28B0">
        <w:t xml:space="preserve"> personal fees from Merck, outside the submitted work</w:t>
      </w:r>
      <w:r>
        <w:t>.</w:t>
      </w:r>
      <w:r w:rsidRPr="00031E5B">
        <w:t xml:space="preserve"> </w:t>
      </w:r>
    </w:p>
    <w:p w14:paraId="0F9F24DC" w14:textId="0CADDCE4" w:rsidR="00830F07" w:rsidRDefault="00830F07" w:rsidP="0031288A">
      <w:proofErr w:type="spellStart"/>
      <w:r>
        <w:t>KH</w:t>
      </w:r>
      <w:proofErr w:type="spellEnd"/>
      <w:r>
        <w:t xml:space="preserve"> </w:t>
      </w:r>
      <w:r w:rsidRPr="00B9180E">
        <w:t>report</w:t>
      </w:r>
      <w:r>
        <w:t>s</w:t>
      </w:r>
      <w:r w:rsidRPr="00B9180E">
        <w:t xml:space="preserve"> personal fees from ADC Therapeutics, during the conduct of the study</w:t>
      </w:r>
      <w:r>
        <w:t>.</w:t>
      </w:r>
    </w:p>
    <w:p w14:paraId="6755C52A" w14:textId="77777777" w:rsidR="00830F07" w:rsidRPr="00031E5B" w:rsidRDefault="00830F07" w:rsidP="0031288A">
      <w:r>
        <w:t xml:space="preserve">HCG reports </w:t>
      </w:r>
      <w:r w:rsidRPr="00B9180E">
        <w:t>personal fees and other from ADC Therapeutics, during the conduct of the study</w:t>
      </w:r>
      <w:r>
        <w:t>.</w:t>
      </w:r>
    </w:p>
    <w:p w14:paraId="6079D3C4" w14:textId="77777777" w:rsidR="00830F07" w:rsidRDefault="00830F07" w:rsidP="0031288A">
      <w:proofErr w:type="spellStart"/>
      <w:r>
        <w:t>SHe</w:t>
      </w:r>
      <w:proofErr w:type="spellEnd"/>
      <w:r>
        <w:t xml:space="preserve"> </w:t>
      </w:r>
      <w:r w:rsidRPr="00B9180E">
        <w:t>report</w:t>
      </w:r>
      <w:r>
        <w:t>s</w:t>
      </w:r>
      <w:r w:rsidRPr="00B9180E">
        <w:t xml:space="preserve"> personal fees from ADC Therapeutics, during the conduct of the study</w:t>
      </w:r>
      <w:r>
        <w:t xml:space="preserve">. </w:t>
      </w:r>
    </w:p>
    <w:p w14:paraId="5F67C834" w14:textId="04FFDBB1" w:rsidR="00830F07" w:rsidRDefault="00830F07" w:rsidP="0031288A">
      <w:r>
        <w:t xml:space="preserve">JB </w:t>
      </w:r>
      <w:r w:rsidRPr="0035725E">
        <w:t>reports personal fees and other from ADC Therapeutics, during the conduct of the study</w:t>
      </w:r>
      <w:r>
        <w:t>.</w:t>
      </w:r>
    </w:p>
    <w:p w14:paraId="2B786263" w14:textId="77777777" w:rsidR="00830F07" w:rsidRDefault="00830F07" w:rsidP="0031288A">
      <w:proofErr w:type="spellStart"/>
      <w:r>
        <w:t>JF</w:t>
      </w:r>
      <w:proofErr w:type="spellEnd"/>
      <w:r>
        <w:t xml:space="preserve"> </w:t>
      </w:r>
      <w:r w:rsidRPr="005A7FFD">
        <w:t>reports personal fees from ADC Therapeutics, during the conduct of the study</w:t>
      </w:r>
      <w:r>
        <w:t>.</w:t>
      </w:r>
    </w:p>
    <w:p w14:paraId="44632E3B" w14:textId="77777777" w:rsidR="00830F07" w:rsidRPr="00031E5B" w:rsidRDefault="00830F07" w:rsidP="0031288A">
      <w:proofErr w:type="spellStart"/>
      <w:r>
        <w:t>JW</w:t>
      </w:r>
      <w:proofErr w:type="spellEnd"/>
      <w:r w:rsidRPr="005A7FFD">
        <w:t xml:space="preserve"> reports personal fees and other from ADC Therapeutics,</w:t>
      </w:r>
      <w:r>
        <w:t xml:space="preserve"> </w:t>
      </w:r>
      <w:r w:rsidRPr="005A7FFD">
        <w:t>during the conduct of the study</w:t>
      </w:r>
      <w:r>
        <w:t>.</w:t>
      </w:r>
    </w:p>
    <w:p w14:paraId="2BF1651A" w14:textId="7FF8B63E" w:rsidR="00830F07" w:rsidRDefault="00830F07" w:rsidP="0031288A">
      <w:proofErr w:type="spellStart"/>
      <w:r>
        <w:rPr>
          <w:rFonts w:cs="Arial"/>
        </w:rPr>
        <w:t>SHo</w:t>
      </w:r>
      <w:proofErr w:type="spellEnd"/>
      <w:r>
        <w:rPr>
          <w:rFonts w:cs="Arial"/>
        </w:rPr>
        <w:t xml:space="preserve"> </w:t>
      </w:r>
      <w:r w:rsidRPr="001006BF">
        <w:rPr>
          <w:rFonts w:cs="Arial"/>
        </w:rPr>
        <w:t>reports grants and personal fees from ADC Therapeutics, personal fees from C4 Therapeutics, grants and personal fees from Celgene, personal fees from Janssen, personal fees from Kura Oncology, grants and personal fees from Kyowa Hakko Kirin, personal fees from Myeloid Therapeutics, grants and personal fees from Seattle Genetics, grants and personal fees from Millennium/Takeda, grants and personal fees from Verastem/</w:t>
      </w:r>
      <w:proofErr w:type="spellStart"/>
      <w:r w:rsidRPr="001006BF">
        <w:rPr>
          <w:rFonts w:cs="Arial"/>
        </w:rPr>
        <w:t>Secura</w:t>
      </w:r>
      <w:proofErr w:type="spellEnd"/>
      <w:r w:rsidRPr="001006BF">
        <w:rPr>
          <w:rFonts w:cs="Arial"/>
        </w:rPr>
        <w:t xml:space="preserve"> Bio, personal fees from </w:t>
      </w:r>
      <w:proofErr w:type="spellStart"/>
      <w:r w:rsidRPr="001006BF">
        <w:rPr>
          <w:rFonts w:cs="Arial"/>
        </w:rPr>
        <w:t>Vividion</w:t>
      </w:r>
      <w:proofErr w:type="spellEnd"/>
      <w:r w:rsidRPr="001006BF">
        <w:rPr>
          <w:rFonts w:cs="Arial"/>
        </w:rPr>
        <w:t xml:space="preserve"> Therapeutics, grants and personal fees from Aileron, grants from Daiichi Sankyo, grants and personal fees from Forty Seven Inc</w:t>
      </w:r>
      <w:r>
        <w:rPr>
          <w:rFonts w:cs="Arial"/>
        </w:rPr>
        <w:t>.</w:t>
      </w:r>
      <w:r w:rsidRPr="001006BF">
        <w:rPr>
          <w:rFonts w:cs="Arial"/>
        </w:rPr>
        <w:t xml:space="preserve">, personal fees from Portola Pharmaceuticals, grants and personal fees from Trillium Therapeutics, grants and personal fees from </w:t>
      </w:r>
      <w:proofErr w:type="spellStart"/>
      <w:r w:rsidRPr="001006BF">
        <w:rPr>
          <w:rFonts w:cs="Arial"/>
        </w:rPr>
        <w:t>Affimed</w:t>
      </w:r>
      <w:proofErr w:type="spellEnd"/>
      <w:r w:rsidRPr="001006BF">
        <w:rPr>
          <w:rFonts w:cs="Arial"/>
        </w:rPr>
        <w:t xml:space="preserve">, personal fees from </w:t>
      </w:r>
      <w:proofErr w:type="spellStart"/>
      <w:r w:rsidRPr="001006BF">
        <w:rPr>
          <w:rFonts w:cs="Arial"/>
        </w:rPr>
        <w:t>Acrotech</w:t>
      </w:r>
      <w:proofErr w:type="spellEnd"/>
      <w:r w:rsidRPr="001006BF">
        <w:rPr>
          <w:rFonts w:cs="Arial"/>
        </w:rPr>
        <w:t xml:space="preserve">, personal fees from </w:t>
      </w:r>
      <w:proofErr w:type="spellStart"/>
      <w:r w:rsidRPr="001006BF">
        <w:rPr>
          <w:rFonts w:cs="Arial"/>
        </w:rPr>
        <w:t>Astex</w:t>
      </w:r>
      <w:proofErr w:type="spellEnd"/>
      <w:r w:rsidRPr="001006BF">
        <w:rPr>
          <w:rFonts w:cs="Arial"/>
        </w:rPr>
        <w:t xml:space="preserve">, personal fees from </w:t>
      </w:r>
      <w:proofErr w:type="spellStart"/>
      <w:r w:rsidRPr="001006BF">
        <w:rPr>
          <w:rFonts w:cs="Arial"/>
        </w:rPr>
        <w:t>BeiGene</w:t>
      </w:r>
      <w:proofErr w:type="spellEnd"/>
      <w:r w:rsidRPr="001006BF">
        <w:rPr>
          <w:rFonts w:cs="Arial"/>
        </w:rPr>
        <w:t xml:space="preserve">, personal fees from </w:t>
      </w:r>
      <w:proofErr w:type="spellStart"/>
      <w:r w:rsidRPr="001006BF">
        <w:rPr>
          <w:rFonts w:cs="Arial"/>
        </w:rPr>
        <w:t>Miragen</w:t>
      </w:r>
      <w:proofErr w:type="spellEnd"/>
      <w:r w:rsidRPr="001006BF">
        <w:rPr>
          <w:rFonts w:cs="Arial"/>
        </w:rPr>
        <w:t xml:space="preserve">, personal fees from Merck, personal fees from Innate Pharma, personal fees from </w:t>
      </w:r>
      <w:r>
        <w:rPr>
          <w:rFonts w:cs="Arial"/>
        </w:rPr>
        <w:t>B</w:t>
      </w:r>
      <w:r w:rsidRPr="001006BF">
        <w:rPr>
          <w:rFonts w:cs="Arial"/>
        </w:rPr>
        <w:t>ristol</w:t>
      </w:r>
      <w:r>
        <w:rPr>
          <w:rFonts w:cs="Arial"/>
        </w:rPr>
        <w:t>-Myers S</w:t>
      </w:r>
      <w:r w:rsidRPr="001006BF">
        <w:rPr>
          <w:rFonts w:cs="Arial"/>
        </w:rPr>
        <w:t xml:space="preserve">quibb, personal fees from </w:t>
      </w:r>
      <w:proofErr w:type="spellStart"/>
      <w:r w:rsidRPr="001006BF">
        <w:rPr>
          <w:rFonts w:cs="Arial"/>
        </w:rPr>
        <w:t>Mundipharma</w:t>
      </w:r>
      <w:proofErr w:type="spellEnd"/>
      <w:r>
        <w:rPr>
          <w:rFonts w:cs="Arial"/>
        </w:rPr>
        <w:t xml:space="preserve"> and</w:t>
      </w:r>
      <w:r w:rsidRPr="001006BF">
        <w:rPr>
          <w:rFonts w:cs="Arial"/>
        </w:rPr>
        <w:t xml:space="preserve"> personal fees from ONO Pharma, outside the submitted work</w:t>
      </w:r>
      <w:r>
        <w:t>.</w:t>
      </w:r>
    </w:p>
    <w:p w14:paraId="66C05DDA" w14:textId="77777777" w:rsidR="00830F07" w:rsidRDefault="00830F07" w:rsidP="0031288A">
      <w:r>
        <w:br w:type="page"/>
      </w:r>
    </w:p>
    <w:p w14:paraId="7C7E6338" w14:textId="77777777" w:rsidR="00830F07" w:rsidRDefault="00830F07" w:rsidP="0031288A">
      <w:pPr>
        <w:pStyle w:val="Heading3"/>
        <w:suppressLineNumbers/>
      </w:pPr>
      <w:bookmarkStart w:id="51" w:name="_Hlk57294053"/>
      <w:r w:rsidRPr="00785EFD">
        <w:lastRenderedPageBreak/>
        <w:t>References</w:t>
      </w:r>
    </w:p>
    <w:p w14:paraId="17B14465" w14:textId="77777777" w:rsidR="00830F07" w:rsidRPr="00843B9E" w:rsidRDefault="00830F07" w:rsidP="0031288A"/>
    <w:p w14:paraId="0699A3A6" w14:textId="77777777" w:rsidR="00830F07" w:rsidRPr="00244382" w:rsidRDefault="00830F07" w:rsidP="0031288A">
      <w:pPr>
        <w:pStyle w:val="EndNoteBibliography"/>
        <w:spacing w:after="0"/>
      </w:pPr>
      <w:r w:rsidRPr="00244382">
        <w:t>1.</w:t>
      </w:r>
      <w:r w:rsidRPr="00244382">
        <w:tab/>
        <w:t xml:space="preserve">Jiang M, Bennani NN, Feldman AL. Lymphoma classification update: T-cell lymphomas, Hodgkin lymphomas, and histiocytic/dendritic cell neoplasms. </w:t>
      </w:r>
      <w:r w:rsidRPr="00244382">
        <w:rPr>
          <w:i/>
        </w:rPr>
        <w:t>Expert Rev Hematol</w:t>
      </w:r>
      <w:r w:rsidRPr="00244382">
        <w:t xml:space="preserve"> 2017; </w:t>
      </w:r>
      <w:r w:rsidRPr="00244382">
        <w:rPr>
          <w:b/>
        </w:rPr>
        <w:t>10</w:t>
      </w:r>
      <w:r w:rsidRPr="00244382">
        <w:t>(3): 239–49.</w:t>
      </w:r>
    </w:p>
    <w:p w14:paraId="4F27B952" w14:textId="77777777" w:rsidR="00830F07" w:rsidRPr="00244382" w:rsidRDefault="00830F07" w:rsidP="0031288A">
      <w:pPr>
        <w:pStyle w:val="EndNoteBibliography"/>
        <w:spacing w:after="0"/>
      </w:pPr>
      <w:r w:rsidRPr="00244382">
        <w:t>2.</w:t>
      </w:r>
      <w:r w:rsidRPr="00244382">
        <w:tab/>
        <w:t xml:space="preserve">Armitage JO, Gascoyne RD, Lunning MA, Cavalli F. Non-Hodgkin lymphoma. </w:t>
      </w:r>
      <w:r w:rsidRPr="00244382">
        <w:rPr>
          <w:i/>
        </w:rPr>
        <w:t>Lancet</w:t>
      </w:r>
      <w:r w:rsidRPr="00244382">
        <w:t xml:space="preserve"> 2017; </w:t>
      </w:r>
      <w:r w:rsidRPr="00244382">
        <w:rPr>
          <w:b/>
        </w:rPr>
        <w:t>390</w:t>
      </w:r>
      <w:r w:rsidRPr="00244382">
        <w:t>(10091): 298–310.</w:t>
      </w:r>
    </w:p>
    <w:p w14:paraId="41FD6A76" w14:textId="77777777" w:rsidR="00830F07" w:rsidRPr="00244382" w:rsidRDefault="00830F07" w:rsidP="0031288A">
      <w:pPr>
        <w:pStyle w:val="EndNoteBibliography"/>
        <w:spacing w:after="0"/>
      </w:pPr>
      <w:r w:rsidRPr="0031288A">
        <w:rPr>
          <w:lang w:val="fr-FR"/>
        </w:rPr>
        <w:t>3.</w:t>
      </w:r>
      <w:r w:rsidRPr="0031288A">
        <w:rPr>
          <w:lang w:val="fr-FR"/>
        </w:rPr>
        <w:tab/>
        <w:t xml:space="preserve">Eichenauer DA, Aleman BMP, Andre M, et al. </w:t>
      </w:r>
      <w:r w:rsidRPr="00244382">
        <w:t xml:space="preserve">Hodgkin lymphoma: ESMO Clinical Practice Guidelines for diagnosis, treatment and follow-up. </w:t>
      </w:r>
      <w:r w:rsidRPr="00244382">
        <w:rPr>
          <w:i/>
        </w:rPr>
        <w:t>Ann Oncol</w:t>
      </w:r>
      <w:r w:rsidRPr="00244382">
        <w:t xml:space="preserve"> 2018; </w:t>
      </w:r>
      <w:r w:rsidRPr="00244382">
        <w:rPr>
          <w:b/>
        </w:rPr>
        <w:t>29</w:t>
      </w:r>
      <w:r w:rsidRPr="00244382">
        <w:t>(Suppl 4): iv19–iv29.</w:t>
      </w:r>
    </w:p>
    <w:p w14:paraId="31EA0B62" w14:textId="77777777" w:rsidR="00830F07" w:rsidRPr="00244382" w:rsidRDefault="00830F07" w:rsidP="0031288A">
      <w:pPr>
        <w:pStyle w:val="EndNoteBibliography"/>
        <w:spacing w:after="0"/>
      </w:pPr>
      <w:r w:rsidRPr="00244382">
        <w:t>4.</w:t>
      </w:r>
      <w:r w:rsidRPr="00244382">
        <w:tab/>
        <w:t xml:space="preserve">Ansell SM. Hodgkin lymphoma: 2016 update on diagnosis, risk-stratification, and management. </w:t>
      </w:r>
      <w:r w:rsidRPr="00244382">
        <w:rPr>
          <w:i/>
        </w:rPr>
        <w:t>Am J Hematol</w:t>
      </w:r>
      <w:r w:rsidRPr="00244382">
        <w:t xml:space="preserve"> 2016; </w:t>
      </w:r>
      <w:r w:rsidRPr="00244382">
        <w:rPr>
          <w:b/>
        </w:rPr>
        <w:t>91</w:t>
      </w:r>
      <w:r w:rsidRPr="00244382">
        <w:t>(4): 434–42.</w:t>
      </w:r>
    </w:p>
    <w:p w14:paraId="7AC37242" w14:textId="77777777" w:rsidR="00830F07" w:rsidRPr="00244382" w:rsidRDefault="00830F07" w:rsidP="0031288A">
      <w:pPr>
        <w:pStyle w:val="EndNoteBibliography"/>
        <w:spacing w:after="0"/>
      </w:pPr>
      <w:r w:rsidRPr="00244382">
        <w:t>5.</w:t>
      </w:r>
      <w:r w:rsidRPr="00244382">
        <w:tab/>
        <w:t xml:space="preserve">Moskowitz CH, Nademanee A, Masszi T, et al. Brentuximab vedotin as consolidation therapy after autologous stem-cell transplantation in patients with Hodgkin's lymphoma at risk of relapse or progression (AETHERA): a randomised, double-blind, placebo-controlled, phase 3 trial. </w:t>
      </w:r>
      <w:r w:rsidRPr="00244382">
        <w:rPr>
          <w:i/>
        </w:rPr>
        <w:t>Lancet</w:t>
      </w:r>
      <w:r w:rsidRPr="00244382">
        <w:t xml:space="preserve"> 2015; </w:t>
      </w:r>
      <w:r w:rsidRPr="00244382">
        <w:rPr>
          <w:b/>
        </w:rPr>
        <w:t>385</w:t>
      </w:r>
      <w:r w:rsidRPr="00244382">
        <w:t>(9980): 1853-62.</w:t>
      </w:r>
    </w:p>
    <w:p w14:paraId="37034F01" w14:textId="77777777" w:rsidR="00830F07" w:rsidRPr="00244382" w:rsidRDefault="00830F07" w:rsidP="0031288A">
      <w:pPr>
        <w:pStyle w:val="EndNoteBibliography"/>
        <w:spacing w:after="0"/>
      </w:pPr>
      <w:r w:rsidRPr="00244382">
        <w:t>6.</w:t>
      </w:r>
      <w:r w:rsidRPr="00244382">
        <w:tab/>
        <w:t xml:space="preserve">Marchi E, O'Connor OA. The rapidly changing landscape in mature T-cell lymphoma (MTCL) biology and management. </w:t>
      </w:r>
      <w:r w:rsidRPr="00244382">
        <w:rPr>
          <w:i/>
        </w:rPr>
        <w:t>CA Cancer J Clin</w:t>
      </w:r>
      <w:r w:rsidRPr="00244382">
        <w:t xml:space="preserve"> 2020; </w:t>
      </w:r>
      <w:r w:rsidRPr="00244382">
        <w:rPr>
          <w:b/>
        </w:rPr>
        <w:t>70</w:t>
      </w:r>
      <w:r w:rsidRPr="00244382">
        <w:t>(1): 47–70.</w:t>
      </w:r>
    </w:p>
    <w:p w14:paraId="14FAAB1D" w14:textId="77777777" w:rsidR="00830F07" w:rsidRPr="00244382" w:rsidRDefault="00830F07" w:rsidP="0031288A">
      <w:pPr>
        <w:pStyle w:val="EndNoteBibliography"/>
        <w:spacing w:after="0"/>
      </w:pPr>
      <w:r w:rsidRPr="00244382">
        <w:t>7.</w:t>
      </w:r>
      <w:r w:rsidRPr="00244382">
        <w:tab/>
        <w:t xml:space="preserve">Crump M, Neelapu SS, Farooq U, et al. Outcomes in refractory diffuse large B-cell lymphoma: results from the international SCHOLAR-1 study. </w:t>
      </w:r>
      <w:r w:rsidRPr="00244382">
        <w:rPr>
          <w:i/>
        </w:rPr>
        <w:t>Blood</w:t>
      </w:r>
      <w:r w:rsidRPr="00244382">
        <w:t xml:space="preserve"> 2017; </w:t>
      </w:r>
      <w:r w:rsidRPr="00244382">
        <w:rPr>
          <w:b/>
        </w:rPr>
        <w:t>130</w:t>
      </w:r>
      <w:r w:rsidRPr="00244382">
        <w:t>(16): 1800–8.</w:t>
      </w:r>
    </w:p>
    <w:p w14:paraId="6F833187" w14:textId="77777777" w:rsidR="00830F07" w:rsidRPr="00244382" w:rsidRDefault="00830F07" w:rsidP="0031288A">
      <w:pPr>
        <w:pStyle w:val="EndNoteBibliography"/>
        <w:spacing w:after="0"/>
      </w:pPr>
      <w:r w:rsidRPr="00244382">
        <w:t>8.</w:t>
      </w:r>
      <w:r w:rsidRPr="00244382">
        <w:tab/>
        <w:t xml:space="preserve">Armand P, Shipp MA, Ribrag V, et al. Programmed death-1 blockade with pembrolizumab in patients with classical hodgkin lymphoma after brentuximab vedotin failure. </w:t>
      </w:r>
      <w:r w:rsidRPr="00244382">
        <w:rPr>
          <w:i/>
        </w:rPr>
        <w:t>J Clin Oncol</w:t>
      </w:r>
      <w:r w:rsidRPr="00244382">
        <w:t xml:space="preserve"> 2016; </w:t>
      </w:r>
      <w:r w:rsidRPr="00244382">
        <w:rPr>
          <w:b/>
        </w:rPr>
        <w:t>34</w:t>
      </w:r>
      <w:r w:rsidRPr="00244382">
        <w:t>(31): 3733–9.</w:t>
      </w:r>
    </w:p>
    <w:p w14:paraId="170FF883" w14:textId="77777777" w:rsidR="00830F07" w:rsidRPr="00244382" w:rsidRDefault="00830F07" w:rsidP="0031288A">
      <w:pPr>
        <w:pStyle w:val="EndNoteBibliography"/>
        <w:spacing w:after="0"/>
      </w:pPr>
      <w:r w:rsidRPr="00244382">
        <w:t>9.</w:t>
      </w:r>
      <w:r w:rsidRPr="00244382">
        <w:tab/>
        <w:t xml:space="preserve">Armand P, Engert A, Younes A, et al. Nivolumab for relapsed/refractory classic Hodgkin lymphoma after failure of autologous hematopoietic cell transplantation: Extended follow-up of the multicohort single-arm phase II CheckMate 205 trial. </w:t>
      </w:r>
      <w:r w:rsidRPr="00244382">
        <w:rPr>
          <w:i/>
        </w:rPr>
        <w:t>J Clin Oncol</w:t>
      </w:r>
      <w:r w:rsidRPr="00244382">
        <w:t xml:space="preserve"> 2018; </w:t>
      </w:r>
      <w:r w:rsidRPr="00244382">
        <w:rPr>
          <w:b/>
        </w:rPr>
        <w:t>36</w:t>
      </w:r>
      <w:r w:rsidRPr="00244382">
        <w:t>(14): 1428–39.</w:t>
      </w:r>
    </w:p>
    <w:p w14:paraId="5ABD85CA" w14:textId="77777777" w:rsidR="00830F07" w:rsidRPr="00244382" w:rsidRDefault="00830F07" w:rsidP="0031288A">
      <w:pPr>
        <w:pStyle w:val="EndNoteBibliography"/>
        <w:spacing w:after="0"/>
      </w:pPr>
      <w:r w:rsidRPr="00244382">
        <w:lastRenderedPageBreak/>
        <w:t>10.</w:t>
      </w:r>
      <w:r w:rsidRPr="00244382">
        <w:tab/>
        <w:t xml:space="preserve">Younes A, Gopal AK, Smith SE, et al. Results of a pivotal phase II study of brentuximab vedotin for patients with relapsed or refractory Hodgkin's lymphoma. </w:t>
      </w:r>
      <w:r w:rsidRPr="00244382">
        <w:rPr>
          <w:i/>
        </w:rPr>
        <w:t>J Clin Oncol</w:t>
      </w:r>
      <w:r w:rsidRPr="00244382">
        <w:t xml:space="preserve"> 2012; </w:t>
      </w:r>
      <w:r w:rsidRPr="00244382">
        <w:rPr>
          <w:b/>
        </w:rPr>
        <w:t>30</w:t>
      </w:r>
      <w:r w:rsidRPr="00244382">
        <w:t>(18): 2183–9.</w:t>
      </w:r>
    </w:p>
    <w:p w14:paraId="33C28C2C" w14:textId="77777777" w:rsidR="00830F07" w:rsidRPr="00244382" w:rsidRDefault="00830F07" w:rsidP="0031288A">
      <w:pPr>
        <w:pStyle w:val="EndNoteBibliography"/>
        <w:spacing w:after="0"/>
      </w:pPr>
      <w:r w:rsidRPr="00244382">
        <w:t>11.</w:t>
      </w:r>
      <w:r w:rsidRPr="00244382">
        <w:tab/>
        <w:t xml:space="preserve">Flynn MJ, Hartley JA. The emerging role of anti-CD25 directed therapies as both immune modulators and targeted agents in cancer. </w:t>
      </w:r>
      <w:r w:rsidRPr="00244382">
        <w:rPr>
          <w:i/>
        </w:rPr>
        <w:t>Br J Haematol</w:t>
      </w:r>
      <w:r w:rsidRPr="00244382">
        <w:t xml:space="preserve"> 2017; </w:t>
      </w:r>
      <w:r w:rsidRPr="00244382">
        <w:rPr>
          <w:b/>
        </w:rPr>
        <w:t>179</w:t>
      </w:r>
      <w:r w:rsidRPr="00244382">
        <w:t>(1): 20–35.</w:t>
      </w:r>
    </w:p>
    <w:p w14:paraId="49883C24" w14:textId="77777777" w:rsidR="00830F07" w:rsidRPr="0031288A" w:rsidRDefault="00830F07" w:rsidP="0031288A">
      <w:pPr>
        <w:pStyle w:val="EndNoteBibliography"/>
        <w:spacing w:after="0"/>
        <w:rPr>
          <w:lang w:val="fr-FR"/>
        </w:rPr>
      </w:pPr>
      <w:r w:rsidRPr="00244382">
        <w:t>12.</w:t>
      </w:r>
      <w:r w:rsidRPr="00244382">
        <w:tab/>
        <w:t xml:space="preserve">Zammarchi F, Havenith K, Bertelli F, Vijayakrishnan B, Chivers S, van Berkel P. A CD25-targeted antibody-drug conjugate depletes regulatory T cells and eliminates established syngeneic tumors via antitumor immunity. </w:t>
      </w:r>
      <w:r w:rsidRPr="0031288A">
        <w:rPr>
          <w:i/>
          <w:lang w:val="fr-FR"/>
        </w:rPr>
        <w:t>J ImmunoTher Cancer</w:t>
      </w:r>
      <w:r w:rsidRPr="0031288A">
        <w:rPr>
          <w:lang w:val="fr-FR"/>
        </w:rPr>
        <w:t xml:space="preserve"> 2020; </w:t>
      </w:r>
      <w:r w:rsidRPr="0031288A">
        <w:rPr>
          <w:b/>
          <w:lang w:val="fr-FR"/>
        </w:rPr>
        <w:t>e000860. doi:10.1136/jitc-2020-000860</w:t>
      </w:r>
      <w:r w:rsidRPr="0031288A">
        <w:rPr>
          <w:lang w:val="fr-FR"/>
        </w:rPr>
        <w:t>.</w:t>
      </w:r>
    </w:p>
    <w:p w14:paraId="0A7807D9" w14:textId="77777777" w:rsidR="00830F07" w:rsidRPr="00244382" w:rsidRDefault="00830F07" w:rsidP="0031288A">
      <w:pPr>
        <w:pStyle w:val="EndNoteBibliography"/>
        <w:spacing w:after="0"/>
      </w:pPr>
      <w:r w:rsidRPr="0031288A">
        <w:rPr>
          <w:lang w:val="fr-FR"/>
        </w:rPr>
        <w:t>13.</w:t>
      </w:r>
      <w:r w:rsidRPr="0031288A">
        <w:rPr>
          <w:lang w:val="fr-FR"/>
        </w:rPr>
        <w:tab/>
        <w:t xml:space="preserve">Flynn MJ, Zammarchi F, Tyrer PC, et al. </w:t>
      </w:r>
      <w:r w:rsidRPr="00244382">
        <w:t xml:space="preserve">ADCT-301, a pyrrolobenzodiazepine (PBD) dimer-containing antibody-drug conjugate (ADC) targeting CD25-expressing hematological malignancies. </w:t>
      </w:r>
      <w:r w:rsidRPr="00244382">
        <w:rPr>
          <w:i/>
        </w:rPr>
        <w:t>Mol Cancer Ther</w:t>
      </w:r>
      <w:r w:rsidRPr="00244382">
        <w:t xml:space="preserve"> 2016; </w:t>
      </w:r>
      <w:r w:rsidRPr="00244382">
        <w:rPr>
          <w:b/>
        </w:rPr>
        <w:t>15</w:t>
      </w:r>
      <w:r w:rsidRPr="00244382">
        <w:t>(11): 2709–21.</w:t>
      </w:r>
    </w:p>
    <w:p w14:paraId="39D1D059" w14:textId="77777777" w:rsidR="00830F07" w:rsidRPr="00244382" w:rsidRDefault="00830F07" w:rsidP="0031288A">
      <w:pPr>
        <w:pStyle w:val="EndNoteBibliography"/>
        <w:spacing w:after="0"/>
      </w:pPr>
      <w:r w:rsidRPr="00244382">
        <w:t>14.</w:t>
      </w:r>
      <w:r w:rsidRPr="00244382">
        <w:tab/>
        <w:t xml:space="preserve">Facciabene A, Motz GT, Coukos G. T-regulatory cells: key players in tumor immune escape and angiogenesis. </w:t>
      </w:r>
      <w:r w:rsidRPr="00244382">
        <w:rPr>
          <w:i/>
        </w:rPr>
        <w:t>Cancer Res</w:t>
      </w:r>
      <w:r w:rsidRPr="00244382">
        <w:t xml:space="preserve"> 2012; </w:t>
      </w:r>
      <w:r w:rsidRPr="00244382">
        <w:rPr>
          <w:b/>
        </w:rPr>
        <w:t>72</w:t>
      </w:r>
      <w:r w:rsidRPr="00244382">
        <w:t>(9): 2162–71.</w:t>
      </w:r>
    </w:p>
    <w:p w14:paraId="4132A8DE" w14:textId="77777777" w:rsidR="00830F07" w:rsidRPr="00244382" w:rsidRDefault="00830F07" w:rsidP="0031288A">
      <w:pPr>
        <w:pStyle w:val="EndNoteBibliography"/>
        <w:spacing w:after="0"/>
      </w:pPr>
      <w:r w:rsidRPr="00244382">
        <w:t>15.</w:t>
      </w:r>
      <w:r w:rsidRPr="00244382">
        <w:tab/>
        <w:t xml:space="preserve">Cheson BD, Fisher RI, Barrington SF, et al. Recommendations for initial evaluation, staging, and response assessment of Hodgkin and non-Hodgkin lymphoma: the Lugano classification. </w:t>
      </w:r>
      <w:r w:rsidRPr="00244382">
        <w:rPr>
          <w:i/>
        </w:rPr>
        <w:t>J Clin Oncol</w:t>
      </w:r>
      <w:r w:rsidRPr="00244382">
        <w:t xml:space="preserve"> 2014; </w:t>
      </w:r>
      <w:r w:rsidRPr="00244382">
        <w:rPr>
          <w:b/>
        </w:rPr>
        <w:t>32</w:t>
      </w:r>
      <w:r w:rsidRPr="00244382">
        <w:t>(27): 3059–68.</w:t>
      </w:r>
    </w:p>
    <w:p w14:paraId="4F8531E0" w14:textId="77777777" w:rsidR="00830F07" w:rsidRPr="00244382" w:rsidRDefault="00830F07" w:rsidP="0031288A">
      <w:pPr>
        <w:pStyle w:val="EndNoteBibliography"/>
        <w:spacing w:after="0"/>
      </w:pPr>
      <w:r w:rsidRPr="00244382">
        <w:t>16.</w:t>
      </w:r>
      <w:r w:rsidRPr="00244382">
        <w:tab/>
        <w:t xml:space="preserve">Olsen EA, Whittaker S, Kim YH, et al. Clinical end points and response criteria in mycosis fungoides and Sezary syndrome: a consensus statement of the International Society for Cutaneous Lymphomas, the United States Cutaneous Lymphoma Consortium, and the Cutaneous Lymphoma Task Force of the European Organisation for Research and Treatment of Cancer. </w:t>
      </w:r>
      <w:r w:rsidRPr="00244382">
        <w:rPr>
          <w:i/>
        </w:rPr>
        <w:t>J Clin Oncol</w:t>
      </w:r>
      <w:r w:rsidRPr="00244382">
        <w:t xml:space="preserve"> 2011; </w:t>
      </w:r>
      <w:r w:rsidRPr="00244382">
        <w:rPr>
          <w:b/>
        </w:rPr>
        <w:t>29</w:t>
      </w:r>
      <w:r w:rsidRPr="00244382">
        <w:t>(18): 2598–607.</w:t>
      </w:r>
    </w:p>
    <w:p w14:paraId="43D7476D" w14:textId="77777777" w:rsidR="00830F07" w:rsidRPr="00244382" w:rsidRDefault="00830F07" w:rsidP="0031288A">
      <w:pPr>
        <w:pStyle w:val="EndNoteBibliography"/>
        <w:spacing w:after="0"/>
      </w:pPr>
      <w:r w:rsidRPr="00244382">
        <w:t>17.</w:t>
      </w:r>
      <w:r w:rsidRPr="00244382">
        <w:tab/>
        <w:t>Evans WE SJ, Jusko WJ. Applied Pharmacokinetics: Principles of Therapeutic Drug Monitoring. Applied Therapeutics, Inc., Vancouver, WA. Third Edition. 1992.</w:t>
      </w:r>
    </w:p>
    <w:p w14:paraId="34DBED66" w14:textId="77777777" w:rsidR="00830F07" w:rsidRPr="00244382" w:rsidRDefault="00830F07" w:rsidP="0031288A">
      <w:pPr>
        <w:pStyle w:val="EndNoteBibliography"/>
        <w:spacing w:after="0"/>
      </w:pPr>
      <w:r w:rsidRPr="00244382">
        <w:t>18.</w:t>
      </w:r>
      <w:r w:rsidRPr="00244382">
        <w:tab/>
        <w:t xml:space="preserve">Hamadani M, Radford J, Carlo-Stella C, et al. Final results of a phase 1 study of loncastuximab tesirine in relapsed/refractory B-cell non-Hodgkin lymphoma. </w:t>
      </w:r>
      <w:r w:rsidRPr="00244382">
        <w:rPr>
          <w:i/>
        </w:rPr>
        <w:t>Blood</w:t>
      </w:r>
      <w:r w:rsidRPr="00244382">
        <w:t xml:space="preserve"> 2020; ePub ahead of print (10.1182/blood.2020007512).</w:t>
      </w:r>
    </w:p>
    <w:p w14:paraId="742F42DC" w14:textId="77777777" w:rsidR="00830F07" w:rsidRPr="00244382" w:rsidRDefault="00830F07" w:rsidP="0031288A">
      <w:pPr>
        <w:pStyle w:val="EndNoteBibliography"/>
        <w:spacing w:after="0"/>
      </w:pPr>
      <w:r w:rsidRPr="00244382">
        <w:lastRenderedPageBreak/>
        <w:t>19.</w:t>
      </w:r>
      <w:r w:rsidRPr="00244382">
        <w:tab/>
        <w:t xml:space="preserve">Boni J, Havenith K, Hamadani M, et al. Pharmacokinetic and pharmacodynamic correlates from the phase 1 study of camidanlumab tesirine (Cami) in patients with relapsed or refractory Hodgkin lymphoma and non-Hodgkin lymphoma. </w:t>
      </w:r>
      <w:r w:rsidRPr="00244382">
        <w:rPr>
          <w:i/>
        </w:rPr>
        <w:t>Blood</w:t>
      </w:r>
      <w:r w:rsidRPr="00244382">
        <w:t xml:space="preserve"> 2020; </w:t>
      </w:r>
      <w:r w:rsidRPr="00244382">
        <w:rPr>
          <w:b/>
        </w:rPr>
        <w:t>136 (Supplement 1)</w:t>
      </w:r>
      <w:r w:rsidRPr="00244382">
        <w:t>: 35–6.</w:t>
      </w:r>
    </w:p>
    <w:p w14:paraId="5424E5D6" w14:textId="77777777" w:rsidR="00830F07" w:rsidRPr="00244382" w:rsidRDefault="00830F07" w:rsidP="0031288A">
      <w:pPr>
        <w:pStyle w:val="EndNoteBibliography"/>
        <w:spacing w:after="0"/>
      </w:pPr>
      <w:r w:rsidRPr="00244382">
        <w:t>20.</w:t>
      </w:r>
      <w:r w:rsidRPr="00244382">
        <w:tab/>
        <w:t xml:space="preserve">Stein EM, Walter RB, Erba HP, et al. A phase 1 trial of vadastuximab talirine as monotherapy in patients with CD33-positive acute myeloid leukemia. </w:t>
      </w:r>
      <w:r w:rsidRPr="00244382">
        <w:rPr>
          <w:i/>
        </w:rPr>
        <w:t>Blood</w:t>
      </w:r>
      <w:r w:rsidRPr="00244382">
        <w:t xml:space="preserve"> 2018; </w:t>
      </w:r>
      <w:r w:rsidRPr="00244382">
        <w:rPr>
          <w:b/>
        </w:rPr>
        <w:t>131</w:t>
      </w:r>
      <w:r w:rsidRPr="00244382">
        <w:t>(4): 387–96.</w:t>
      </w:r>
    </w:p>
    <w:p w14:paraId="26921C95" w14:textId="77777777" w:rsidR="00830F07" w:rsidRPr="00244382" w:rsidRDefault="00830F07" w:rsidP="0031288A">
      <w:pPr>
        <w:pStyle w:val="EndNoteBibliography"/>
        <w:spacing w:after="0"/>
      </w:pPr>
      <w:r w:rsidRPr="00244382">
        <w:t>21.</w:t>
      </w:r>
      <w:r w:rsidRPr="00244382">
        <w:tab/>
        <w:t xml:space="preserve">Phillips T, Barr PM, Park SI, et al. A phase 1 trial of SGN-CD70A in patients with CD70-positive diffuse large B cell lymphoma and mantle cell lymphoma. </w:t>
      </w:r>
      <w:r w:rsidRPr="00244382">
        <w:rPr>
          <w:i/>
        </w:rPr>
        <w:t>Invest New Drugs</w:t>
      </w:r>
      <w:r w:rsidRPr="00244382">
        <w:t xml:space="preserve"> 2019; </w:t>
      </w:r>
      <w:r w:rsidRPr="00244382">
        <w:rPr>
          <w:b/>
        </w:rPr>
        <w:t>37</w:t>
      </w:r>
      <w:r w:rsidRPr="00244382">
        <w:t>(2): 297–306.</w:t>
      </w:r>
    </w:p>
    <w:p w14:paraId="4E5F51CD" w14:textId="77777777" w:rsidR="00830F07" w:rsidRPr="00244382" w:rsidRDefault="00830F07" w:rsidP="0031288A">
      <w:pPr>
        <w:pStyle w:val="EndNoteBibliography"/>
        <w:spacing w:after="0"/>
      </w:pPr>
      <w:r w:rsidRPr="00244382">
        <w:t>22.</w:t>
      </w:r>
      <w:r w:rsidRPr="00244382">
        <w:tab/>
        <w:t xml:space="preserve">Puzanov I, Lee W, Chen AP, et al. Phase I pharmacokinetic and pharmacodynamic study of SJG-136, a novel DNA sequence selective minor groove cross-linking agent, in advanced solid tumors. </w:t>
      </w:r>
      <w:r w:rsidRPr="00244382">
        <w:rPr>
          <w:i/>
        </w:rPr>
        <w:t>Clin Cancer Res</w:t>
      </w:r>
      <w:r w:rsidRPr="00244382">
        <w:t xml:space="preserve"> 2011; </w:t>
      </w:r>
      <w:r w:rsidRPr="00244382">
        <w:rPr>
          <w:b/>
        </w:rPr>
        <w:t>17</w:t>
      </w:r>
      <w:r w:rsidRPr="00244382">
        <w:t>(11): 3794–802.</w:t>
      </w:r>
    </w:p>
    <w:p w14:paraId="39D1FEDD" w14:textId="77777777" w:rsidR="00830F07" w:rsidRPr="00244382" w:rsidRDefault="00830F07" w:rsidP="0031288A">
      <w:pPr>
        <w:pStyle w:val="EndNoteBibliography"/>
        <w:spacing w:after="0"/>
      </w:pPr>
      <w:r w:rsidRPr="00244382">
        <w:t>23.</w:t>
      </w:r>
      <w:r w:rsidRPr="00244382">
        <w:tab/>
        <w:t>ADCETRIS</w:t>
      </w:r>
      <w:r w:rsidRPr="00244382">
        <w:rPr>
          <w:vertAlign w:val="superscript"/>
        </w:rPr>
        <w:t>®</w:t>
      </w:r>
      <w:r w:rsidRPr="00244382">
        <w:t xml:space="preserve"> (brentuximab vedotin): Prescribing Information. 2014.</w:t>
      </w:r>
    </w:p>
    <w:p w14:paraId="482B3283" w14:textId="77777777" w:rsidR="00830F07" w:rsidRPr="00244382" w:rsidRDefault="00830F07" w:rsidP="0031288A">
      <w:pPr>
        <w:pStyle w:val="EndNoteBibliography"/>
        <w:spacing w:after="0"/>
      </w:pPr>
      <w:r w:rsidRPr="00244382">
        <w:t>24.</w:t>
      </w:r>
      <w:r w:rsidRPr="00244382">
        <w:tab/>
        <w:t>KEYTRUDA</w:t>
      </w:r>
      <w:r w:rsidRPr="00244382">
        <w:rPr>
          <w:vertAlign w:val="superscript"/>
        </w:rPr>
        <w:t>®</w:t>
      </w:r>
      <w:r w:rsidRPr="00244382">
        <w:t xml:space="preserve"> (pembrolizumab): Prescribing Information 2014.</w:t>
      </w:r>
    </w:p>
    <w:p w14:paraId="3C3D9758" w14:textId="77777777" w:rsidR="00830F07" w:rsidRPr="00244382" w:rsidRDefault="00830F07" w:rsidP="0031288A">
      <w:pPr>
        <w:pStyle w:val="EndNoteBibliography"/>
        <w:spacing w:after="0"/>
      </w:pPr>
      <w:r w:rsidRPr="00244382">
        <w:t>25.</w:t>
      </w:r>
      <w:r w:rsidRPr="00244382">
        <w:tab/>
        <w:t xml:space="preserve">Goldberg AD, Atallah E, Rizzieri D, et al. Camidanlumab tesirine, an antibody-drug conjugate, in relapsed/refractory CD25-positive acute myeloid leukemia or acute lymphoblastic leukemia: A phase I study. </w:t>
      </w:r>
      <w:r w:rsidRPr="00244382">
        <w:rPr>
          <w:i/>
        </w:rPr>
        <w:t>Leuk Res</w:t>
      </w:r>
      <w:r w:rsidRPr="00244382">
        <w:t xml:space="preserve"> 2020; </w:t>
      </w:r>
      <w:r w:rsidRPr="00244382">
        <w:rPr>
          <w:b/>
        </w:rPr>
        <w:t>95</w:t>
      </w:r>
      <w:r w:rsidRPr="00244382">
        <w:t>: 106385.</w:t>
      </w:r>
    </w:p>
    <w:p w14:paraId="21E3D6F3" w14:textId="77777777" w:rsidR="00830F07" w:rsidRPr="00244382" w:rsidRDefault="00830F07" w:rsidP="0031288A">
      <w:pPr>
        <w:pStyle w:val="EndNoteBibliography"/>
        <w:spacing w:after="0"/>
      </w:pPr>
      <w:r w:rsidRPr="00244382">
        <w:t>26.</w:t>
      </w:r>
      <w:r w:rsidRPr="00244382">
        <w:tab/>
        <w:t xml:space="preserve">Hughes RA, Britton T, Richards M. Effects of lymphoma on the peripheral nervous system. </w:t>
      </w:r>
      <w:r w:rsidRPr="00244382">
        <w:rPr>
          <w:i/>
        </w:rPr>
        <w:t>J R Soc Med</w:t>
      </w:r>
      <w:r w:rsidRPr="00244382">
        <w:t xml:space="preserve"> 1994; </w:t>
      </w:r>
      <w:r w:rsidRPr="00244382">
        <w:rPr>
          <w:b/>
        </w:rPr>
        <w:t>87</w:t>
      </w:r>
      <w:r w:rsidRPr="00244382">
        <w:t>(9): 526–30.</w:t>
      </w:r>
    </w:p>
    <w:p w14:paraId="3CB9E2CC" w14:textId="77777777" w:rsidR="00830F07" w:rsidRPr="00244382" w:rsidRDefault="00830F07" w:rsidP="0031288A">
      <w:pPr>
        <w:pStyle w:val="EndNoteBibliography"/>
        <w:spacing w:after="0"/>
      </w:pPr>
      <w:r w:rsidRPr="00244382">
        <w:t>27.</w:t>
      </w:r>
      <w:r w:rsidRPr="00244382">
        <w:tab/>
        <w:t xml:space="preserve">Collins G, Horwitz S, Hamadani M, et al. Analysis of clinical determinants driving safety and efficacy of camidanlumab tesirine (ADCT-301, Cami) in relapsed/refractory (R/R) classical Hodgkin lymphoma (cHL). </w:t>
      </w:r>
      <w:r w:rsidRPr="00244382">
        <w:rPr>
          <w:i/>
        </w:rPr>
        <w:t>Hematological Oncol</w:t>
      </w:r>
      <w:r w:rsidRPr="00244382">
        <w:t xml:space="preserve"> 2019; </w:t>
      </w:r>
      <w:r w:rsidRPr="00244382">
        <w:rPr>
          <w:b/>
        </w:rPr>
        <w:t>37</w:t>
      </w:r>
      <w:r w:rsidRPr="00244382">
        <w:t>(S2): 95–7.</w:t>
      </w:r>
    </w:p>
    <w:p w14:paraId="423E80A1" w14:textId="77777777" w:rsidR="00830F07" w:rsidRPr="00244382" w:rsidRDefault="00830F07" w:rsidP="0031288A">
      <w:pPr>
        <w:pStyle w:val="EndNoteBibliography"/>
        <w:spacing w:after="0"/>
      </w:pPr>
      <w:r w:rsidRPr="00244382">
        <w:t>28.</w:t>
      </w:r>
      <w:r w:rsidRPr="00244382">
        <w:tab/>
        <w:t xml:space="preserve">Agnarsson BA, Kadin ME. The immunophenotype of Reed-Sternberg cells. A study of 50 cases of Hodgkin's disease using fixed frozen tissues. </w:t>
      </w:r>
      <w:r w:rsidRPr="00244382">
        <w:rPr>
          <w:i/>
        </w:rPr>
        <w:t>Cancer</w:t>
      </w:r>
      <w:r w:rsidRPr="00244382">
        <w:t xml:space="preserve"> 1989; </w:t>
      </w:r>
      <w:r w:rsidRPr="00244382">
        <w:rPr>
          <w:b/>
        </w:rPr>
        <w:t>63</w:t>
      </w:r>
      <w:r w:rsidRPr="00244382">
        <w:t>(11): 2083-7.</w:t>
      </w:r>
    </w:p>
    <w:p w14:paraId="72D97621" w14:textId="77777777" w:rsidR="00830F07" w:rsidRPr="00244382" w:rsidRDefault="00830F07" w:rsidP="0031288A">
      <w:pPr>
        <w:pStyle w:val="EndNoteBibliography"/>
        <w:spacing w:after="0"/>
      </w:pPr>
      <w:r w:rsidRPr="00244382">
        <w:t>29.</w:t>
      </w:r>
      <w:r w:rsidRPr="00244382">
        <w:tab/>
        <w:t xml:space="preserve">Janik JE, Morris JC, O'Mahony D, et al. 90Y-daclizumab, an anti-CD25 monoclonal antibody, provided responses in 50% of patients with relapsed Hodgkin's lymphoma. </w:t>
      </w:r>
      <w:r w:rsidRPr="00244382">
        <w:rPr>
          <w:i/>
        </w:rPr>
        <w:t>Proc Natl Acad Sci U S A</w:t>
      </w:r>
      <w:r w:rsidRPr="00244382">
        <w:t xml:space="preserve"> 2015; </w:t>
      </w:r>
      <w:r w:rsidRPr="00244382">
        <w:rPr>
          <w:b/>
        </w:rPr>
        <w:t>112</w:t>
      </w:r>
      <w:r w:rsidRPr="00244382">
        <w:t>(42): 13045-50.</w:t>
      </w:r>
    </w:p>
    <w:p w14:paraId="1B95C16F" w14:textId="77777777" w:rsidR="00830F07" w:rsidRPr="00244382" w:rsidRDefault="00830F07" w:rsidP="0031288A">
      <w:pPr>
        <w:pStyle w:val="EndNoteBibliography"/>
      </w:pPr>
      <w:r w:rsidRPr="00244382">
        <w:lastRenderedPageBreak/>
        <w:t>30.</w:t>
      </w:r>
      <w:r w:rsidRPr="00244382">
        <w:tab/>
        <w:t xml:space="preserve">Prince HM, Martin AG, Olsen EA, Fivenson DP, Duvic M. Denileukin diftitox for the treatment of CD25 low-expression mycosis fungoides and Sézary syndrome. </w:t>
      </w:r>
      <w:r w:rsidRPr="00244382">
        <w:rPr>
          <w:i/>
        </w:rPr>
        <w:t>Leuk Lymphoma</w:t>
      </w:r>
      <w:r w:rsidRPr="00244382">
        <w:t xml:space="preserve"> 2013; </w:t>
      </w:r>
      <w:r w:rsidRPr="00244382">
        <w:rPr>
          <w:b/>
        </w:rPr>
        <w:t>54</w:t>
      </w:r>
      <w:r w:rsidRPr="00244382">
        <w:t>(1): 69-75.</w:t>
      </w:r>
    </w:p>
    <w:bookmarkEnd w:id="51"/>
    <w:p w14:paraId="5B2A7319" w14:textId="77777777" w:rsidR="00830F07" w:rsidRDefault="00830F07" w:rsidP="0031288A">
      <w:pPr>
        <w:suppressLineNumbers/>
        <w:rPr>
          <w:sz w:val="20"/>
          <w:szCs w:val="20"/>
        </w:rPr>
      </w:pPr>
    </w:p>
    <w:p w14:paraId="21F6B065" w14:textId="2E785ADC" w:rsidR="00830F07" w:rsidRPr="001E0184" w:rsidRDefault="00830F07" w:rsidP="0031288A">
      <w:pPr>
        <w:rPr>
          <w:rFonts w:ascii="Times New Roman" w:hAnsi="Times New Roman" w:cs="Times New Roman"/>
          <w:b/>
          <w:sz w:val="20"/>
          <w:szCs w:val="20"/>
        </w:rPr>
      </w:pPr>
      <w:r>
        <w:br w:type="page"/>
      </w:r>
      <w:bookmarkStart w:id="52" w:name="_Hlk66794831"/>
      <w:bookmarkStart w:id="53" w:name="_Hlk66792749"/>
      <w:bookmarkStart w:id="54" w:name="_Hlk40269505"/>
      <w:bookmarkStart w:id="55" w:name="_Hlk39671012"/>
      <w:r w:rsidRPr="001E0184">
        <w:rPr>
          <w:rFonts w:ascii="Times New Roman" w:hAnsi="Times New Roman" w:cs="Times New Roman"/>
          <w:b/>
          <w:sz w:val="20"/>
          <w:szCs w:val="20"/>
        </w:rPr>
        <w:lastRenderedPageBreak/>
        <w:t>Figure 1. Trial profile</w:t>
      </w:r>
    </w:p>
    <w:p w14:paraId="0FD9E26B" w14:textId="77777777" w:rsidR="00830F07" w:rsidRPr="001E0184" w:rsidRDefault="00830F07" w:rsidP="0031288A">
      <w:pPr>
        <w:spacing w:after="160" w:line="259" w:lineRule="auto"/>
        <w:rPr>
          <w:rFonts w:ascii="Times New Roman" w:hAnsi="Times New Roman" w:cs="Times New Roman"/>
          <w:b/>
          <w:sz w:val="20"/>
          <w:szCs w:val="20"/>
        </w:rPr>
      </w:pPr>
      <w:r>
        <w:rPr>
          <w:noProof/>
        </w:rPr>
        <mc:AlternateContent>
          <mc:Choice Requires="wps">
            <w:drawing>
              <wp:anchor distT="0" distB="0" distL="114300" distR="114300" simplePos="0" relativeHeight="251674624" behindDoc="0" locked="0" layoutInCell="1" allowOverlap="1" wp14:anchorId="549217AC" wp14:editId="03A30D76">
                <wp:simplePos x="0" y="0"/>
                <wp:positionH relativeFrom="column">
                  <wp:posOffset>3179615</wp:posOffset>
                </wp:positionH>
                <wp:positionV relativeFrom="paragraph">
                  <wp:posOffset>170360</wp:posOffset>
                </wp:positionV>
                <wp:extent cx="0" cy="381715"/>
                <wp:effectExtent l="76200" t="0" r="95250" b="56515"/>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7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7000FD22" id="_x0000_t32" coordsize="21600,21600" o:spt="32" o:oned="t" path="m,l21600,21600e" filled="f">
                <v:path arrowok="t" fillok="f" o:connecttype="none"/>
                <o:lock v:ext="edit" shapetype="t"/>
              </v:shapetype>
              <v:shape id="Straight Arrow Connector 22" o:spid="_x0000_s1026" type="#_x0000_t32" style="position:absolute;margin-left:250.35pt;margin-top:13.4pt;width:0;height:30.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21481188" wp14:editId="64D54195">
                <wp:simplePos x="0" y="0"/>
                <wp:positionH relativeFrom="column">
                  <wp:posOffset>1364047</wp:posOffset>
                </wp:positionH>
                <wp:positionV relativeFrom="paragraph">
                  <wp:posOffset>5715</wp:posOffset>
                </wp:positionV>
                <wp:extent cx="3549350" cy="289162"/>
                <wp:effectExtent l="0" t="0" r="13335" b="15875"/>
                <wp:wrapNone/>
                <wp:docPr id="24" name="Rectangle 21"/>
                <wp:cNvGraphicFramePr/>
                <a:graphic xmlns:a="http://schemas.openxmlformats.org/drawingml/2006/main">
                  <a:graphicData uri="http://schemas.microsoft.com/office/word/2010/wordprocessingShape">
                    <wps:wsp>
                      <wps:cNvSpPr/>
                      <wps:spPr>
                        <a:xfrm>
                          <a:off x="0" y="0"/>
                          <a:ext cx="3549350" cy="28916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073E76" w14:textId="77777777" w:rsidR="0031288A" w:rsidRPr="005B75C5" w:rsidRDefault="0031288A" w:rsidP="0031288A">
                            <w:pPr>
                              <w:pStyle w:val="NormalWeb"/>
                              <w:spacing w:before="0" w:beforeAutospacing="0" w:after="0" w:afterAutospacing="0"/>
                              <w:jc w:val="center"/>
                              <w:rPr>
                                <w:sz w:val="16"/>
                                <w:szCs w:val="16"/>
                              </w:rPr>
                            </w:pPr>
                            <w:r w:rsidRPr="004A1361">
                              <w:rPr>
                                <w:b/>
                                <w:bCs/>
                                <w:color w:val="000000" w:themeColor="text1"/>
                                <w:kern w:val="24"/>
                                <w:sz w:val="16"/>
                                <w:szCs w:val="16"/>
                              </w:rPr>
                              <w:t>164 patients screened</w:t>
                            </w:r>
                          </w:p>
                        </w:txbxContent>
                      </wps:txbx>
                      <wps:bodyPr rtlCol="0" anchor="ctr"/>
                    </wps:wsp>
                  </a:graphicData>
                </a:graphic>
              </wp:anchor>
            </w:drawing>
          </mc:Choice>
          <mc:Fallback>
            <w:pict>
              <v:rect w14:anchorId="21481188" id="Rectangle 21" o:spid="_x0000_s1026" style="position:absolute;margin-left:107.4pt;margin-top:.45pt;width:279.5pt;height:2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" fillcolor="window" strokecolor="windowText" strokeweight="1pt">
                <v:textbox>
                  <w:txbxContent>
                    <w:p w14:paraId="07073E76" w14:textId="77777777" w:rsidR="0031288A" w:rsidRPr="005B75C5" w:rsidRDefault="0031288A" w:rsidP="0031288A">
                      <w:pPr>
                        <w:pStyle w:val="NormalWeb"/>
                        <w:spacing w:before="0" w:beforeAutospacing="0" w:after="0" w:afterAutospacing="0"/>
                        <w:jc w:val="center"/>
                        <w:rPr>
                          <w:sz w:val="16"/>
                          <w:szCs w:val="16"/>
                        </w:rPr>
                      </w:pPr>
                      <w:r w:rsidRPr="004A1361">
                        <w:rPr>
                          <w:b/>
                          <w:bCs/>
                          <w:color w:val="000000" w:themeColor="text1"/>
                          <w:kern w:val="24"/>
                          <w:sz w:val="16"/>
                          <w:szCs w:val="16"/>
                        </w:rPr>
                        <w:t>164 patients screened</w:t>
                      </w:r>
                    </w:p>
                  </w:txbxContent>
                </v:textbox>
              </v:rect>
            </w:pict>
          </mc:Fallback>
        </mc:AlternateContent>
      </w:r>
      <w:r w:rsidRPr="001E0184">
        <w:rPr>
          <w:noProof/>
        </w:rPr>
        <mc:AlternateContent>
          <mc:Choice Requires="wps">
            <w:drawing>
              <wp:anchor distT="0" distB="0" distL="114300" distR="114300" simplePos="0" relativeHeight="251683840" behindDoc="0" locked="0" layoutInCell="1" allowOverlap="1" wp14:anchorId="6441CD4A" wp14:editId="4B6D79C2">
                <wp:simplePos x="0" y="0"/>
                <wp:positionH relativeFrom="column">
                  <wp:posOffset>5081270</wp:posOffset>
                </wp:positionH>
                <wp:positionV relativeFrom="paragraph">
                  <wp:posOffset>260350</wp:posOffset>
                </wp:positionV>
                <wp:extent cx="1259840" cy="288925"/>
                <wp:effectExtent l="0" t="0" r="16510" b="15875"/>
                <wp:wrapNone/>
                <wp:docPr id="27" name="Rectangle 21"/>
                <wp:cNvGraphicFramePr/>
                <a:graphic xmlns:a="http://schemas.openxmlformats.org/drawingml/2006/main">
                  <a:graphicData uri="http://schemas.microsoft.com/office/word/2010/wordprocessingShape">
                    <wps:wsp>
                      <wps:cNvSpPr/>
                      <wps:spPr>
                        <a:xfrm>
                          <a:off x="0" y="0"/>
                          <a:ext cx="1259840" cy="288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50F1" w14:textId="77777777" w:rsidR="0031288A" w:rsidRPr="005B75C5" w:rsidRDefault="0031288A" w:rsidP="0031288A">
                            <w:pPr>
                              <w:pStyle w:val="NormalWeb"/>
                              <w:spacing w:before="0" w:beforeAutospacing="0" w:after="0" w:afterAutospacing="0"/>
                              <w:jc w:val="center"/>
                              <w:rPr>
                                <w:sz w:val="16"/>
                                <w:szCs w:val="16"/>
                              </w:rPr>
                            </w:pPr>
                            <w:r w:rsidRPr="004A1361">
                              <w:rPr>
                                <w:b/>
                                <w:bCs/>
                                <w:color w:val="000000" w:themeColor="text1"/>
                                <w:kern w:val="24"/>
                                <w:sz w:val="16"/>
                                <w:szCs w:val="16"/>
                              </w:rPr>
                              <w:t>31 ineligible</w:t>
                            </w:r>
                          </w:p>
                        </w:txbxContent>
                      </wps:txbx>
                      <wps:bodyPr wrap="square" rtlCol="0" anchor="ctr"/>
                    </wps:wsp>
                  </a:graphicData>
                </a:graphic>
                <wp14:sizeRelH relativeFrom="margin">
                  <wp14:pctWidth>0</wp14:pctWidth>
                </wp14:sizeRelH>
              </wp:anchor>
            </w:drawing>
          </mc:Choice>
          <mc:Fallback>
            <w:pict>
              <v:rect w14:anchorId="6441CD4A" id="_x0000_s1027" style="position:absolute;margin-left:400.1pt;margin-top:20.5pt;width:99.2pt;height:2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" fillcolor="window" strokecolor="windowText" strokeweight="1pt">
                <v:textbox>
                  <w:txbxContent>
                    <w:p w14:paraId="194A50F1" w14:textId="77777777" w:rsidR="0031288A" w:rsidRPr="005B75C5" w:rsidRDefault="0031288A" w:rsidP="0031288A">
                      <w:pPr>
                        <w:pStyle w:val="NormalWeb"/>
                        <w:spacing w:before="0" w:beforeAutospacing="0" w:after="0" w:afterAutospacing="0"/>
                        <w:jc w:val="center"/>
                        <w:rPr>
                          <w:sz w:val="16"/>
                          <w:szCs w:val="16"/>
                        </w:rPr>
                      </w:pPr>
                      <w:r w:rsidRPr="004A1361">
                        <w:rPr>
                          <w:b/>
                          <w:bCs/>
                          <w:color w:val="000000" w:themeColor="text1"/>
                          <w:kern w:val="24"/>
                          <w:sz w:val="16"/>
                          <w:szCs w:val="16"/>
                        </w:rPr>
                        <w:t>31 ineligible</w:t>
                      </w:r>
                    </w:p>
                  </w:txbxContent>
                </v:textbox>
              </v:rect>
            </w:pict>
          </mc:Fallback>
        </mc:AlternateContent>
      </w:r>
    </w:p>
    <w:p w14:paraId="34CFE08A" w14:textId="77777777" w:rsidR="00830F07" w:rsidRPr="001E0184" w:rsidRDefault="00830F07" w:rsidP="0031288A">
      <w:pPr>
        <w:spacing w:after="160" w:line="259" w:lineRule="auto"/>
        <w:rPr>
          <w:rFonts w:ascii="Times New Roman" w:hAnsi="Times New Roman" w:cs="Times New Roman"/>
          <w:b/>
          <w:sz w:val="20"/>
          <w:szCs w:val="20"/>
        </w:rPr>
      </w:pPr>
      <w:r w:rsidRPr="001E0184">
        <w:rPr>
          <w:rFonts w:ascii="Times New Roman" w:hAnsi="Times New Roman" w:cs="Times New Roman"/>
          <w:b/>
          <w:noProof/>
          <w:sz w:val="20"/>
          <w:szCs w:val="20"/>
        </w:rPr>
        <mc:AlternateContent>
          <mc:Choice Requires="wps">
            <w:drawing>
              <wp:anchor distT="0" distB="0" distL="114300" distR="114300" simplePos="0" relativeHeight="251684864" behindDoc="0" locked="0" layoutInCell="1" allowOverlap="1" wp14:anchorId="41E4D434" wp14:editId="02ADA8BC">
                <wp:simplePos x="0" y="0"/>
                <wp:positionH relativeFrom="column">
                  <wp:posOffset>3181350</wp:posOffset>
                </wp:positionH>
                <wp:positionV relativeFrom="paragraph">
                  <wp:posOffset>153670</wp:posOffset>
                </wp:positionV>
                <wp:extent cx="1894278" cy="0"/>
                <wp:effectExtent l="0" t="76200" r="10795" b="95250"/>
                <wp:wrapNone/>
                <wp:docPr id="28" name="Straight Arrow Connector 28"/>
                <wp:cNvGraphicFramePr/>
                <a:graphic xmlns:a="http://schemas.openxmlformats.org/drawingml/2006/main">
                  <a:graphicData uri="http://schemas.microsoft.com/office/word/2010/wordprocessingShape">
                    <wps:wsp>
                      <wps:cNvCnPr/>
                      <wps:spPr>
                        <a:xfrm>
                          <a:off x="0" y="0"/>
                          <a:ext cx="1894278" cy="0"/>
                        </a:xfrm>
                        <a:prstGeom prst="straightConnector1">
                          <a:avLst/>
                        </a:prstGeom>
                        <a:noFill/>
                        <a:ln w="3175" cap="flat" cmpd="sng" algn="ctr">
                          <a:solidFill>
                            <a:sysClr val="windowText" lastClr="000000"/>
                          </a:solidFill>
                          <a:prstDash val="solid"/>
                          <a:miter lim="800000"/>
                          <a:tailEnd type="triangle"/>
                        </a:ln>
                        <a:effectLst/>
                      </wps:spPr>
                      <wps:bodyPr/>
                    </wps:wsp>
                  </a:graphicData>
                </a:graphic>
              </wp:anchor>
            </w:drawing>
          </mc:Choice>
          <mc:Fallback>
            <w:pict>
              <v:shape w14:anchorId="7CD7C0D4" id="Straight Arrow Connector 28" o:spid="_x0000_s1026" type="#_x0000_t32" style="position:absolute;margin-left:250.5pt;margin-top:12.1pt;width:149.1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" strokecolor="windowText" strokeweight=".25pt">
                <v:stroke endarrow="block" joinstyle="miter"/>
              </v:shape>
            </w:pict>
          </mc:Fallback>
        </mc:AlternateContent>
      </w:r>
    </w:p>
    <w:p w14:paraId="25E5D46B" w14:textId="77777777" w:rsidR="00830F07" w:rsidRPr="001E0184" w:rsidRDefault="00830F07" w:rsidP="0031288A">
      <w:pPr>
        <w:spacing w:after="160" w:line="259"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5B2EDF9B" wp14:editId="304516B4">
                <wp:simplePos x="0" y="0"/>
                <wp:positionH relativeFrom="column">
                  <wp:posOffset>4692909</wp:posOffset>
                </wp:positionH>
                <wp:positionV relativeFrom="paragraph">
                  <wp:posOffset>30480</wp:posOffset>
                </wp:positionV>
                <wp:extent cx="0" cy="6362193"/>
                <wp:effectExtent l="76200" t="0" r="57150" b="577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62193"/>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F8F7D7B" id="Straight Arrow Connector 6" o:spid="_x0000_s1026" type="#_x0000_t32" style="position:absolute;margin-left:369.5pt;margin-top:2.4pt;width:0;height:500.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" strokecolor="windowText" strokeweight="1.5pt">
                <v:stroke endarrow="block" joinstyle="miter"/>
                <o:lock v:ext="edit" shapetype="f"/>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6584B641" wp14:editId="2F50C4AA">
                <wp:simplePos x="0" y="0"/>
                <wp:positionH relativeFrom="column">
                  <wp:posOffset>1683862</wp:posOffset>
                </wp:positionH>
                <wp:positionV relativeFrom="paragraph">
                  <wp:posOffset>30480</wp:posOffset>
                </wp:positionV>
                <wp:extent cx="0" cy="6362193"/>
                <wp:effectExtent l="76200" t="0" r="57150" b="577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62193"/>
                        </a:xfrm>
                        <a:prstGeom prst="straightConnector1">
                          <a:avLst/>
                        </a:prstGeom>
                        <a:solidFill>
                          <a:sysClr val="window" lastClr="FFFFFF"/>
                        </a:solid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92BCDA4" id="Straight Arrow Connector 9" o:spid="_x0000_s1026" type="#_x0000_t32" style="position:absolute;margin-left:132.6pt;margin-top:2.4pt;width:0;height:500.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" filled="t" fillcolor="window" strokecolor="windowText" strokeweight="1.5pt">
                <v:stroke endarrow="block" joinstyle="miter"/>
                <o:lock v:ext="edit" shapetype="f"/>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48957A8F" wp14:editId="298BA0C2">
                <wp:simplePos x="0" y="0"/>
                <wp:positionH relativeFrom="column">
                  <wp:posOffset>1366947</wp:posOffset>
                </wp:positionH>
                <wp:positionV relativeFrom="paragraph">
                  <wp:posOffset>30480</wp:posOffset>
                </wp:positionV>
                <wp:extent cx="3549339" cy="308865"/>
                <wp:effectExtent l="0" t="0" r="13335" b="15240"/>
                <wp:wrapNone/>
                <wp:docPr id="16" name="Rectangle 16"/>
                <wp:cNvGraphicFramePr/>
                <a:graphic xmlns:a="http://schemas.openxmlformats.org/drawingml/2006/main">
                  <a:graphicData uri="http://schemas.microsoft.com/office/word/2010/wordprocessingShape">
                    <wps:wsp>
                      <wps:cNvSpPr/>
                      <wps:spPr>
                        <a:xfrm>
                          <a:off x="0" y="0"/>
                          <a:ext cx="3549339" cy="3088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ED5C0D"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133 patients enrolled and treated</w:t>
                            </w:r>
                          </w:p>
                        </w:txbxContent>
                      </wps:txbx>
                      <wps:bodyPr rtlCol="0" anchor="ctr"/>
                    </wps:wsp>
                  </a:graphicData>
                </a:graphic>
              </wp:anchor>
            </w:drawing>
          </mc:Choice>
          <mc:Fallback>
            <w:pict>
              <v:rect w14:anchorId="48957A8F" id="Rectangle 16" o:spid="_x0000_s1028" style="position:absolute;margin-left:107.65pt;margin-top:2.4pt;width:279.5pt;height:2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" fillcolor="window" strokecolor="windowText" strokeweight="1pt">
                <v:textbox>
                  <w:txbxContent>
                    <w:p w14:paraId="25ED5C0D"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133 patients enrolled and treated</w:t>
                      </w:r>
                    </w:p>
                  </w:txbxContent>
                </v:textbox>
              </v:rect>
            </w:pict>
          </mc:Fallback>
        </mc:AlternateContent>
      </w:r>
    </w:p>
    <w:p w14:paraId="7D12CEE1" w14:textId="77777777" w:rsidR="00830F07" w:rsidRPr="001E0184" w:rsidRDefault="00830F07" w:rsidP="0031288A">
      <w:pPr>
        <w:spacing w:after="160" w:line="259"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6CA30006" wp14:editId="4444E64F">
                <wp:simplePos x="0" y="0"/>
                <wp:positionH relativeFrom="column">
                  <wp:posOffset>1798025</wp:posOffset>
                </wp:positionH>
                <wp:positionV relativeFrom="paragraph">
                  <wp:posOffset>259596</wp:posOffset>
                </wp:positionV>
                <wp:extent cx="2753228" cy="251321"/>
                <wp:effectExtent l="0" t="0" r="28575" b="15875"/>
                <wp:wrapNone/>
                <wp:docPr id="7" name="Rectangle 7"/>
                <wp:cNvGraphicFramePr/>
                <a:graphic xmlns:a="http://schemas.openxmlformats.org/drawingml/2006/main">
                  <a:graphicData uri="http://schemas.microsoft.com/office/word/2010/wordprocessingShape">
                    <wps:wsp>
                      <wps:cNvSpPr/>
                      <wps:spPr>
                        <a:xfrm>
                          <a:off x="0" y="0"/>
                          <a:ext cx="2753228" cy="251321"/>
                        </a:xfrm>
                        <a:prstGeom prst="rect">
                          <a:avLst/>
                        </a:prstGeom>
                        <a:solidFill>
                          <a:srgbClr val="E7E6E6"/>
                        </a:solidFill>
                        <a:ln w="12700" cap="flat" cmpd="sng" algn="ctr">
                          <a:solidFill>
                            <a:sysClr val="windowText" lastClr="000000"/>
                          </a:solidFill>
                          <a:prstDash val="solid"/>
                          <a:miter lim="800000"/>
                        </a:ln>
                        <a:effectLst/>
                      </wps:spPr>
                      <wps:txbx>
                        <w:txbxContent>
                          <w:p w14:paraId="44E6999B"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Part 1 – Dose escalation and exploration (n=87)</w:t>
                            </w:r>
                          </w:p>
                        </w:txbxContent>
                      </wps:txbx>
                      <wps:bodyPr rtlCol="0" anchor="ctr"/>
                    </wps:wsp>
                  </a:graphicData>
                </a:graphic>
              </wp:anchor>
            </w:drawing>
          </mc:Choice>
          <mc:Fallback>
            <w:pict>
              <v:rect w14:anchorId="6CA30006" id="Rectangle 7" o:spid="_x0000_s1029" style="position:absolute;margin-left:141.6pt;margin-top:20.45pt;width:216.8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" fillcolor="#e7e6e6" strokecolor="windowText" strokeweight="1pt">
                <v:textbox>
                  <w:txbxContent>
                    <w:p w14:paraId="44E6999B"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Part 1 – Dose escalation and exploration (n=87)</w:t>
                      </w:r>
                    </w:p>
                  </w:txbxContent>
                </v:textbox>
              </v:rect>
            </w:pict>
          </mc:Fallback>
        </mc:AlternateContent>
      </w:r>
    </w:p>
    <w:p w14:paraId="55978EEA" w14:textId="77777777" w:rsidR="00830F07" w:rsidRPr="001E0184" w:rsidRDefault="00830F07" w:rsidP="0031288A">
      <w:pPr>
        <w:spacing w:after="160" w:line="259"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22442F8E" wp14:editId="2CE11FAC">
                <wp:simplePos x="0" y="0"/>
                <wp:positionH relativeFrom="column">
                  <wp:posOffset>1799505</wp:posOffset>
                </wp:positionH>
                <wp:positionV relativeFrom="paragraph">
                  <wp:posOffset>251202</wp:posOffset>
                </wp:positionV>
                <wp:extent cx="2753237" cy="1619249"/>
                <wp:effectExtent l="0" t="0" r="28575" b="19685"/>
                <wp:wrapNone/>
                <wp:docPr id="18" name="Flowchart: Process 18"/>
                <wp:cNvGraphicFramePr/>
                <a:graphic xmlns:a="http://schemas.openxmlformats.org/drawingml/2006/main">
                  <a:graphicData uri="http://schemas.microsoft.com/office/word/2010/wordprocessingShape">
                    <wps:wsp>
                      <wps:cNvSpPr/>
                      <wps:spPr>
                        <a:xfrm>
                          <a:off x="0" y="0"/>
                          <a:ext cx="2753237" cy="1619249"/>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468000" tIns="45720" rIns="91440" bIns="45720" numCol="1" spcCol="0" rtlCol="0" fromWordArt="0" anchor="ctr" anchorCtr="0" forceAA="0" compatLnSpc="1">
                        <a:prstTxWarp prst="textNoShape">
                          <a:avLst/>
                        </a:prstTxWarp>
                        <a:noAutofit/>
                      </wps:bodyPr>
                    </wps:wsp>
                  </a:graphicData>
                </a:graphic>
              </wp:anchor>
            </w:drawing>
          </mc:Choice>
          <mc:Fallback>
            <w:pict>
              <v:shapetype w14:anchorId="34FA721D" id="_x0000_t109" coordsize="21600,21600" o:spt="109" path="m,l,21600r21600,l21600,xe">
                <v:stroke joinstyle="miter"/>
                <v:path gradientshapeok="t" o:connecttype="rect"/>
              </v:shapetype>
              <v:shape id="Flowchart: Process 18" o:spid="_x0000_s1026" type="#_x0000_t109" style="position:absolute;margin-left:141.7pt;margin-top:19.8pt;width:216.8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" fillcolor="window" strokecolor="windowText" strokeweight="1pt">
                <v:textbox inset="13mm"/>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72576" behindDoc="0" locked="0" layoutInCell="1" allowOverlap="1" wp14:anchorId="5388CF18" wp14:editId="427D9BBE">
                <wp:simplePos x="0" y="0"/>
                <wp:positionH relativeFrom="column">
                  <wp:posOffset>1799505</wp:posOffset>
                </wp:positionH>
                <wp:positionV relativeFrom="paragraph">
                  <wp:posOffset>254298</wp:posOffset>
                </wp:positionV>
                <wp:extent cx="937169" cy="2120356"/>
                <wp:effectExtent l="0" t="0" r="0" b="0"/>
                <wp:wrapNone/>
                <wp:docPr id="20" name="Rectangle 13"/>
                <wp:cNvGraphicFramePr/>
                <a:graphic xmlns:a="http://schemas.openxmlformats.org/drawingml/2006/main">
                  <a:graphicData uri="http://schemas.microsoft.com/office/word/2010/wordprocessingShape">
                    <wps:wsp>
                      <wps:cNvSpPr/>
                      <wps:spPr>
                        <a:xfrm>
                          <a:off x="0" y="0"/>
                          <a:ext cx="937169" cy="2120356"/>
                        </a:xfrm>
                        <a:prstGeom prst="rect">
                          <a:avLst/>
                        </a:prstGeom>
                      </wps:spPr>
                      <wps:txbx>
                        <w:txbxContent>
                          <w:p w14:paraId="4E5768F0" w14:textId="77777777" w:rsidR="0031288A" w:rsidRPr="00033395" w:rsidRDefault="0031288A" w:rsidP="0031288A">
                            <w:pPr>
                              <w:pStyle w:val="NormalWeb"/>
                              <w:spacing w:before="0" w:beforeAutospacing="0" w:after="0" w:afterAutospacing="0"/>
                              <w:jc w:val="center"/>
                              <w:rPr>
                                <w:sz w:val="16"/>
                                <w:szCs w:val="16"/>
                                <w:lang w:val="it-IT"/>
                              </w:rPr>
                            </w:pPr>
                            <w:r w:rsidRPr="00033395">
                              <w:rPr>
                                <w:rFonts w:eastAsia="Calibri"/>
                                <w:b/>
                                <w:bCs/>
                                <w:color w:val="000000"/>
                                <w:kern w:val="24"/>
                                <w:sz w:val="16"/>
                                <w:szCs w:val="16"/>
                                <w:lang w:val="it-IT"/>
                              </w:rPr>
                              <w:t>Dose escalation (n=31)</w:t>
                            </w:r>
                          </w:p>
                          <w:p w14:paraId="0A619728" w14:textId="77777777" w:rsidR="0031288A" w:rsidRPr="00033395" w:rsidRDefault="0031288A" w:rsidP="0031288A">
                            <w:pPr>
                              <w:pStyle w:val="NormalWeb"/>
                              <w:spacing w:before="0" w:beforeAutospacing="0" w:after="0" w:afterAutospacing="0"/>
                              <w:jc w:val="center"/>
                              <w:rPr>
                                <w:sz w:val="16"/>
                                <w:szCs w:val="16"/>
                                <w:lang w:val="it-IT"/>
                              </w:rPr>
                            </w:pPr>
                            <w:r w:rsidRPr="00033395">
                              <w:rPr>
                                <w:color w:val="000000" w:themeColor="text1"/>
                                <w:kern w:val="24"/>
                                <w:sz w:val="16"/>
                                <w:szCs w:val="16"/>
                                <w:lang w:val="it-IT"/>
                              </w:rPr>
                              <w:t>3 µg/kg (n=2)</w:t>
                            </w:r>
                          </w:p>
                          <w:p w14:paraId="5CF09672" w14:textId="77777777" w:rsidR="0031288A" w:rsidRPr="00033395" w:rsidRDefault="0031288A" w:rsidP="0031288A">
                            <w:pPr>
                              <w:pStyle w:val="NormalWeb"/>
                              <w:spacing w:before="0" w:beforeAutospacing="0" w:after="0" w:afterAutospacing="0"/>
                              <w:jc w:val="center"/>
                              <w:rPr>
                                <w:sz w:val="16"/>
                                <w:szCs w:val="16"/>
                                <w:lang w:val="it-IT"/>
                              </w:rPr>
                            </w:pPr>
                            <w:r w:rsidRPr="00033395">
                              <w:rPr>
                                <w:color w:val="000000" w:themeColor="text1"/>
                                <w:kern w:val="24"/>
                                <w:sz w:val="16"/>
                                <w:szCs w:val="16"/>
                                <w:lang w:val="it-IT"/>
                              </w:rPr>
                              <w:t>5 µg/kg (n=2)</w:t>
                            </w:r>
                          </w:p>
                          <w:p w14:paraId="14C8871B"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8 µg/kg (n=2)</w:t>
                            </w:r>
                          </w:p>
                          <w:p w14:paraId="6BF3DBAA"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13 µg/kg (n=2)</w:t>
                            </w:r>
                          </w:p>
                          <w:p w14:paraId="053F0631"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20 µg/kg (n=2)</w:t>
                            </w:r>
                          </w:p>
                          <w:p w14:paraId="5DDD3BF9"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 xml:space="preserve">30 </w:t>
                            </w:r>
                            <w:r w:rsidRPr="005B75C5">
                              <w:rPr>
                                <w:color w:val="000000" w:themeColor="text1"/>
                                <w:kern w:val="24"/>
                                <w:sz w:val="16"/>
                                <w:szCs w:val="16"/>
                              </w:rPr>
                              <w:t>μ</w:t>
                            </w:r>
                            <w:r w:rsidRPr="00033395">
                              <w:rPr>
                                <w:color w:val="000000" w:themeColor="text1"/>
                                <w:kern w:val="24"/>
                                <w:sz w:val="16"/>
                                <w:szCs w:val="16"/>
                                <w:lang w:val="sv-SE"/>
                              </w:rPr>
                              <w:t>g/kg (n=5)</w:t>
                            </w:r>
                          </w:p>
                          <w:p w14:paraId="0B52A5D0"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45 µg/kg (n=2)</w:t>
                            </w:r>
                          </w:p>
                          <w:p w14:paraId="7CAFD4AE"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60 µg/kg (n=4)</w:t>
                            </w:r>
                          </w:p>
                          <w:p w14:paraId="007F194A"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80 µg/kg (n=5)</w:t>
                            </w:r>
                          </w:p>
                          <w:p w14:paraId="26F9EBF3"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100 µg/kg (n=3)</w:t>
                            </w:r>
                          </w:p>
                          <w:p w14:paraId="5CDD885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150 µg/kg (n=2)</w:t>
                            </w:r>
                          </w:p>
                        </w:txbxContent>
                      </wps:txbx>
                      <wps:bodyPr wrap="square">
                        <a:noAutofit/>
                      </wps:bodyPr>
                    </wps:wsp>
                  </a:graphicData>
                </a:graphic>
              </wp:anchor>
            </w:drawing>
          </mc:Choice>
          <mc:Fallback>
            <w:pict>
              <v:rect w14:anchorId="5388CF18" id="Rectangle 13" o:spid="_x0000_s1030" style="position:absolute;margin-left:141.7pt;margin-top:20pt;width:73.8pt;height:166.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" filled="f" stroked="f">
                <v:textbox>
                  <w:txbxContent>
                    <w:p w14:paraId="4E5768F0" w14:textId="77777777" w:rsidR="0031288A" w:rsidRPr="00033395" w:rsidRDefault="0031288A" w:rsidP="0031288A">
                      <w:pPr>
                        <w:pStyle w:val="NormalWeb"/>
                        <w:spacing w:before="0" w:beforeAutospacing="0" w:after="0" w:afterAutospacing="0"/>
                        <w:jc w:val="center"/>
                        <w:rPr>
                          <w:sz w:val="16"/>
                          <w:szCs w:val="16"/>
                          <w:lang w:val="it-IT"/>
                        </w:rPr>
                      </w:pPr>
                      <w:r w:rsidRPr="00033395">
                        <w:rPr>
                          <w:rFonts w:eastAsia="Calibri"/>
                          <w:b/>
                          <w:bCs/>
                          <w:color w:val="000000"/>
                          <w:kern w:val="24"/>
                          <w:sz w:val="16"/>
                          <w:szCs w:val="16"/>
                          <w:lang w:val="it-IT"/>
                        </w:rPr>
                        <w:t>Dose escalation (n=31)</w:t>
                      </w:r>
                    </w:p>
                    <w:p w14:paraId="0A619728" w14:textId="77777777" w:rsidR="0031288A" w:rsidRPr="00033395" w:rsidRDefault="0031288A" w:rsidP="0031288A">
                      <w:pPr>
                        <w:pStyle w:val="NormalWeb"/>
                        <w:spacing w:before="0" w:beforeAutospacing="0" w:after="0" w:afterAutospacing="0"/>
                        <w:jc w:val="center"/>
                        <w:rPr>
                          <w:sz w:val="16"/>
                          <w:szCs w:val="16"/>
                          <w:lang w:val="it-IT"/>
                        </w:rPr>
                      </w:pPr>
                      <w:r w:rsidRPr="00033395">
                        <w:rPr>
                          <w:color w:val="000000" w:themeColor="text1"/>
                          <w:kern w:val="24"/>
                          <w:sz w:val="16"/>
                          <w:szCs w:val="16"/>
                          <w:lang w:val="it-IT"/>
                        </w:rPr>
                        <w:t>3 µg/kg (n=2)</w:t>
                      </w:r>
                    </w:p>
                    <w:p w14:paraId="5CF09672" w14:textId="77777777" w:rsidR="0031288A" w:rsidRPr="00033395" w:rsidRDefault="0031288A" w:rsidP="0031288A">
                      <w:pPr>
                        <w:pStyle w:val="NormalWeb"/>
                        <w:spacing w:before="0" w:beforeAutospacing="0" w:after="0" w:afterAutospacing="0"/>
                        <w:jc w:val="center"/>
                        <w:rPr>
                          <w:sz w:val="16"/>
                          <w:szCs w:val="16"/>
                          <w:lang w:val="it-IT"/>
                        </w:rPr>
                      </w:pPr>
                      <w:r w:rsidRPr="00033395">
                        <w:rPr>
                          <w:color w:val="000000" w:themeColor="text1"/>
                          <w:kern w:val="24"/>
                          <w:sz w:val="16"/>
                          <w:szCs w:val="16"/>
                          <w:lang w:val="it-IT"/>
                        </w:rPr>
                        <w:t>5 µg/kg (n=2)</w:t>
                      </w:r>
                    </w:p>
                    <w:p w14:paraId="14C8871B"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8 µg/kg (n=2)</w:t>
                      </w:r>
                    </w:p>
                    <w:p w14:paraId="6BF3DBAA"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13 µg/kg (n=2)</w:t>
                      </w:r>
                    </w:p>
                    <w:p w14:paraId="053F0631"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20 µg/kg (n=2)</w:t>
                      </w:r>
                    </w:p>
                    <w:p w14:paraId="5DDD3BF9"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 xml:space="preserve">30 </w:t>
                      </w:r>
                      <w:r w:rsidRPr="005B75C5">
                        <w:rPr>
                          <w:color w:val="000000" w:themeColor="text1"/>
                          <w:kern w:val="24"/>
                          <w:sz w:val="16"/>
                          <w:szCs w:val="16"/>
                        </w:rPr>
                        <w:t>μ</w:t>
                      </w:r>
                      <w:r w:rsidRPr="00033395">
                        <w:rPr>
                          <w:color w:val="000000" w:themeColor="text1"/>
                          <w:kern w:val="24"/>
                          <w:sz w:val="16"/>
                          <w:szCs w:val="16"/>
                          <w:lang w:val="sv-SE"/>
                        </w:rPr>
                        <w:t>g/kg (n=5)</w:t>
                      </w:r>
                    </w:p>
                    <w:p w14:paraId="0B52A5D0"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45 µg/kg (n=2)</w:t>
                      </w:r>
                    </w:p>
                    <w:p w14:paraId="7CAFD4AE"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60 µg/kg (n=4)</w:t>
                      </w:r>
                    </w:p>
                    <w:p w14:paraId="007F194A"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80 µg/kg (n=5)</w:t>
                      </w:r>
                    </w:p>
                    <w:p w14:paraId="26F9EBF3" w14:textId="77777777" w:rsidR="0031288A" w:rsidRPr="00033395" w:rsidRDefault="0031288A" w:rsidP="0031288A">
                      <w:pPr>
                        <w:pStyle w:val="NormalWeb"/>
                        <w:spacing w:before="0" w:beforeAutospacing="0" w:after="0" w:afterAutospacing="0"/>
                        <w:jc w:val="center"/>
                        <w:rPr>
                          <w:sz w:val="16"/>
                          <w:szCs w:val="16"/>
                          <w:lang w:val="sv-SE"/>
                        </w:rPr>
                      </w:pPr>
                      <w:r w:rsidRPr="00033395">
                        <w:rPr>
                          <w:color w:val="000000" w:themeColor="text1"/>
                          <w:kern w:val="24"/>
                          <w:sz w:val="16"/>
                          <w:szCs w:val="16"/>
                          <w:lang w:val="sv-SE"/>
                        </w:rPr>
                        <w:t>100 µg/kg (n=3)</w:t>
                      </w:r>
                    </w:p>
                    <w:p w14:paraId="5CDD885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150 µg/kg (n=2)</w:t>
                      </w:r>
                    </w:p>
                  </w:txbxContent>
                </v:textbox>
              </v:rect>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73600" behindDoc="0" locked="0" layoutInCell="1" allowOverlap="1" wp14:anchorId="67CCA190" wp14:editId="305EED7A">
                <wp:simplePos x="0" y="0"/>
                <wp:positionH relativeFrom="column">
                  <wp:posOffset>3462837</wp:posOffset>
                </wp:positionH>
                <wp:positionV relativeFrom="paragraph">
                  <wp:posOffset>254636</wp:posOffset>
                </wp:positionV>
                <wp:extent cx="975649" cy="1669731"/>
                <wp:effectExtent l="0" t="0" r="0" b="0"/>
                <wp:wrapNone/>
                <wp:docPr id="21" name="Rectangle 30"/>
                <wp:cNvGraphicFramePr/>
                <a:graphic xmlns:a="http://schemas.openxmlformats.org/drawingml/2006/main">
                  <a:graphicData uri="http://schemas.microsoft.com/office/word/2010/wordprocessingShape">
                    <wps:wsp>
                      <wps:cNvSpPr/>
                      <wps:spPr>
                        <a:xfrm>
                          <a:off x="0" y="0"/>
                          <a:ext cx="975649" cy="1669731"/>
                        </a:xfrm>
                        <a:prstGeom prst="rect">
                          <a:avLst/>
                        </a:prstGeom>
                      </wps:spPr>
                      <wps:txbx>
                        <w:txbxContent>
                          <w:p w14:paraId="643056A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Dose exploration (n=56)</w:t>
                            </w:r>
                          </w:p>
                          <w:p w14:paraId="2D78F0F4"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13C08188"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5B35FD6B"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4147E8DC"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13 µg/kg (n=1)</w:t>
                            </w:r>
                          </w:p>
                          <w:p w14:paraId="7EBD047A"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3461C43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30 μg/kg (n=6*)</w:t>
                            </w:r>
                          </w:p>
                          <w:p w14:paraId="25B2452F"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45 µg/kg (n=13)</w:t>
                            </w:r>
                          </w:p>
                          <w:p w14:paraId="4314DA91"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60 µg/kg (n=25)</w:t>
                            </w:r>
                          </w:p>
                          <w:p w14:paraId="1211B2E3"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80 µg/kg (n=11)</w:t>
                            </w:r>
                          </w:p>
                        </w:txbxContent>
                      </wps:txbx>
                      <wps:bodyPr wrap="square">
                        <a:noAutofit/>
                      </wps:bodyPr>
                    </wps:wsp>
                  </a:graphicData>
                </a:graphic>
              </wp:anchor>
            </w:drawing>
          </mc:Choice>
          <mc:Fallback>
            <w:pict>
              <v:rect w14:anchorId="67CCA190" id="Rectangle 30" o:spid="_x0000_s1031" style="position:absolute;margin-left:272.65pt;margin-top:20.05pt;width:76.8pt;height:13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" filled="f" stroked="f">
                <v:textbox>
                  <w:txbxContent>
                    <w:p w14:paraId="643056A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Dose exploration (n=56)</w:t>
                      </w:r>
                    </w:p>
                    <w:p w14:paraId="2D78F0F4"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13C08188"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5B35FD6B"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4147E8DC"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13 µg/kg (n=1)</w:t>
                      </w:r>
                    </w:p>
                    <w:p w14:paraId="7EBD047A" w14:textId="77777777" w:rsidR="0031288A" w:rsidRDefault="0031288A" w:rsidP="0031288A">
                      <w:pPr>
                        <w:pStyle w:val="NormalWeb"/>
                        <w:spacing w:before="0" w:beforeAutospacing="0" w:after="0" w:afterAutospacing="0"/>
                        <w:jc w:val="center"/>
                        <w:rPr>
                          <w:color w:val="000000" w:themeColor="text1"/>
                          <w:kern w:val="24"/>
                          <w:sz w:val="16"/>
                          <w:szCs w:val="16"/>
                        </w:rPr>
                      </w:pPr>
                    </w:p>
                    <w:p w14:paraId="3461C43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30 μg/kg (n=6*)</w:t>
                      </w:r>
                    </w:p>
                    <w:p w14:paraId="25B2452F"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45 µg/kg (n=13)</w:t>
                      </w:r>
                    </w:p>
                    <w:p w14:paraId="4314DA91"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60 µg/kg (n=25)</w:t>
                      </w:r>
                    </w:p>
                    <w:p w14:paraId="1211B2E3"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80 µg/kg (n=11)</w:t>
                      </w:r>
                    </w:p>
                  </w:txbxContent>
                </v:textbox>
              </v:rect>
            </w:pict>
          </mc:Fallback>
        </mc:AlternateContent>
      </w:r>
    </w:p>
    <w:p w14:paraId="3252868B" w14:textId="77777777" w:rsidR="00830F07" w:rsidRPr="001E0184" w:rsidRDefault="00830F07" w:rsidP="0031288A">
      <w:pPr>
        <w:spacing w:after="160" w:line="259" w:lineRule="auto"/>
        <w:rPr>
          <w:rFonts w:ascii="Times New Roman" w:hAnsi="Times New Roman" w:cs="Times New Roman"/>
          <w:b/>
          <w:sz w:val="20"/>
          <w:szCs w:val="20"/>
        </w:rPr>
      </w:pPr>
    </w:p>
    <w:p w14:paraId="23004CAD" w14:textId="77777777" w:rsidR="00830F07" w:rsidRPr="001E0184" w:rsidRDefault="00830F07" w:rsidP="0031288A">
      <w:pPr>
        <w:spacing w:after="160" w:line="259" w:lineRule="auto"/>
        <w:rPr>
          <w:rFonts w:ascii="Times New Roman" w:hAnsi="Times New Roman" w:cs="Times New Roman"/>
          <w:b/>
          <w:sz w:val="20"/>
          <w:szCs w:val="20"/>
        </w:rPr>
      </w:pPr>
    </w:p>
    <w:p w14:paraId="5D8A5BF1" w14:textId="77777777" w:rsidR="00830F07" w:rsidRPr="001E0184" w:rsidRDefault="00830F07" w:rsidP="0031288A">
      <w:pPr>
        <w:spacing w:after="160" w:line="259"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6672" behindDoc="0" locked="0" layoutInCell="1" allowOverlap="1" wp14:anchorId="44C924D5" wp14:editId="7396CC1A">
                <wp:simplePos x="0" y="0"/>
                <wp:positionH relativeFrom="column">
                  <wp:posOffset>2993134</wp:posOffset>
                </wp:positionH>
                <wp:positionV relativeFrom="paragraph">
                  <wp:posOffset>167857</wp:posOffset>
                </wp:positionV>
                <wp:extent cx="435689" cy="217861"/>
                <wp:effectExtent l="0" t="0" r="2540" b="0"/>
                <wp:wrapNone/>
                <wp:docPr id="22" name="Arrow: Right 3"/>
                <wp:cNvGraphicFramePr/>
                <a:graphic xmlns:a="http://schemas.openxmlformats.org/drawingml/2006/main">
                  <a:graphicData uri="http://schemas.microsoft.com/office/word/2010/wordprocessingShape">
                    <wps:wsp>
                      <wps:cNvSpPr/>
                      <wps:spPr>
                        <a:xfrm>
                          <a:off x="0" y="0"/>
                          <a:ext cx="435689" cy="217861"/>
                        </a:xfrm>
                        <a:prstGeom prst="rightArrow">
                          <a:avLst/>
                        </a:prstGeom>
                        <a:solidFill>
                          <a:srgbClr val="E7E6E6">
                            <a:lumMod val="50000"/>
                          </a:srgbClr>
                        </a:solidFill>
                        <a:ln w="12700" cap="flat" cmpd="sng" algn="ctr">
                          <a:noFill/>
                          <a:prstDash val="solid"/>
                          <a:miter lim="800000"/>
                        </a:ln>
                        <a:effectLst/>
                      </wps:spPr>
                      <wps:bodyPr rtlCol="0" anchor="ctr"/>
                    </wps:wsp>
                  </a:graphicData>
                </a:graphic>
              </wp:anchor>
            </w:drawing>
          </mc:Choice>
          <mc:Fallback>
            <w:pict>
              <v:shapetype w14:anchorId="73E62C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35.7pt;margin-top:13.2pt;width:34.3pt;height:17.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" fillcolor="#767171" stroked="f" strokeweight="1pt"/>
            </w:pict>
          </mc:Fallback>
        </mc:AlternateContent>
      </w:r>
    </w:p>
    <w:p w14:paraId="1FF61740" w14:textId="77777777" w:rsidR="00830F07" w:rsidRPr="001E0184" w:rsidRDefault="00830F07" w:rsidP="0031288A">
      <w:pPr>
        <w:spacing w:after="160" w:line="259" w:lineRule="auto"/>
        <w:rPr>
          <w:rFonts w:ascii="Times New Roman" w:hAnsi="Times New Roman" w:cs="Times New Roman"/>
          <w:b/>
          <w:sz w:val="20"/>
          <w:szCs w:val="20"/>
        </w:rPr>
      </w:pPr>
    </w:p>
    <w:p w14:paraId="3EE6BEE7" w14:textId="77777777" w:rsidR="00830F07" w:rsidRPr="001E0184" w:rsidRDefault="00830F07" w:rsidP="0031288A">
      <w:pPr>
        <w:spacing w:after="160" w:line="259" w:lineRule="auto"/>
        <w:ind w:left="-851"/>
        <w:rPr>
          <w:rFonts w:ascii="Times New Roman" w:hAnsi="Times New Roman" w:cs="Times New Roman"/>
          <w:b/>
          <w:sz w:val="20"/>
          <w:szCs w:val="20"/>
        </w:rPr>
      </w:pPr>
    </w:p>
    <w:p w14:paraId="353676CA" w14:textId="77777777" w:rsidR="00830F07" w:rsidRPr="001E0184" w:rsidRDefault="00830F07" w:rsidP="0031288A">
      <w:pPr>
        <w:spacing w:after="160" w:line="259" w:lineRule="auto"/>
        <w:rPr>
          <w:rFonts w:ascii="Times New Roman" w:hAnsi="Times New Roman" w:cs="Times New Roman"/>
          <w:b/>
          <w:sz w:val="20"/>
          <w:szCs w:val="20"/>
        </w:rPr>
      </w:pPr>
    </w:p>
    <w:p w14:paraId="0577F92E" w14:textId="77777777" w:rsidR="00830F07" w:rsidRPr="001E0184" w:rsidRDefault="00830F07" w:rsidP="0031288A">
      <w:pPr>
        <w:spacing w:after="160" w:line="259"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7B2101A5" wp14:editId="3C490F0D">
                <wp:simplePos x="0" y="0"/>
                <wp:positionH relativeFrom="column">
                  <wp:posOffset>1799516</wp:posOffset>
                </wp:positionH>
                <wp:positionV relativeFrom="paragraph">
                  <wp:posOffset>193661</wp:posOffset>
                </wp:positionV>
                <wp:extent cx="2753226" cy="277640"/>
                <wp:effectExtent l="0" t="0" r="28575" b="27305"/>
                <wp:wrapNone/>
                <wp:docPr id="8" name="Rectangle 8"/>
                <wp:cNvGraphicFramePr/>
                <a:graphic xmlns:a="http://schemas.openxmlformats.org/drawingml/2006/main">
                  <a:graphicData uri="http://schemas.microsoft.com/office/word/2010/wordprocessingShape">
                    <wps:wsp>
                      <wps:cNvSpPr/>
                      <wps:spPr>
                        <a:xfrm>
                          <a:off x="0" y="0"/>
                          <a:ext cx="2753226" cy="277640"/>
                        </a:xfrm>
                        <a:prstGeom prst="rect">
                          <a:avLst/>
                        </a:prstGeom>
                        <a:solidFill>
                          <a:srgbClr val="E7E6E6"/>
                        </a:solidFill>
                        <a:ln w="12700" cap="flat" cmpd="sng" algn="ctr">
                          <a:solidFill>
                            <a:sysClr val="windowText" lastClr="000000"/>
                          </a:solidFill>
                          <a:prstDash val="solid"/>
                          <a:miter lim="800000"/>
                        </a:ln>
                        <a:effectLst/>
                      </wps:spPr>
                      <wps:txbx>
                        <w:txbxContent>
                          <w:p w14:paraId="79C47F28"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Part 2 – Dose expansion (n=46)</w:t>
                            </w:r>
                          </w:p>
                        </w:txbxContent>
                      </wps:txbx>
                      <wps:bodyPr rtlCol="0" anchor="ctr"/>
                    </wps:wsp>
                  </a:graphicData>
                </a:graphic>
              </wp:anchor>
            </w:drawing>
          </mc:Choice>
          <mc:Fallback>
            <w:pict>
              <v:rect w14:anchorId="7B2101A5" id="Rectangle 8" o:spid="_x0000_s1032" style="position:absolute;margin-left:141.7pt;margin-top:15.25pt;width:216.8pt;height:2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" fillcolor="#e7e6e6" strokecolor="windowText" strokeweight="1pt">
                <v:textbox>
                  <w:txbxContent>
                    <w:p w14:paraId="79C47F28"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Part 2 – Dose expansion (n=46)</w:t>
                      </w:r>
                    </w:p>
                  </w:txbxContent>
                </v:textbox>
              </v:rect>
            </w:pict>
          </mc:Fallback>
        </mc:AlternateContent>
      </w:r>
    </w:p>
    <w:p w14:paraId="669F0C5C" w14:textId="77777777" w:rsidR="00830F07" w:rsidRPr="001E0184" w:rsidRDefault="00830F07" w:rsidP="0031288A">
      <w:pPr>
        <w:spacing w:after="160" w:line="259" w:lineRule="auto"/>
        <w:rPr>
          <w:rFonts w:ascii="Times New Roman" w:hAnsi="Times New Roman" w:cs="Times New Roman"/>
          <w:b/>
          <w:sz w:val="20"/>
          <w:szCs w:val="20"/>
        </w:rPr>
      </w:pPr>
      <w:r>
        <w:rPr>
          <w:noProof/>
        </w:rPr>
        <mc:AlternateContent>
          <mc:Choice Requires="wps">
            <w:drawing>
              <wp:anchor distT="0" distB="0" distL="114300" distR="114300" simplePos="0" relativeHeight="251667456" behindDoc="0" locked="0" layoutInCell="1" allowOverlap="1" wp14:anchorId="59D34627" wp14:editId="19373D9B">
                <wp:simplePos x="0" y="0"/>
                <wp:positionH relativeFrom="column">
                  <wp:posOffset>1798018</wp:posOffset>
                </wp:positionH>
                <wp:positionV relativeFrom="paragraph">
                  <wp:posOffset>212221</wp:posOffset>
                </wp:positionV>
                <wp:extent cx="2753226" cy="442384"/>
                <wp:effectExtent l="0" t="0" r="28575" b="15240"/>
                <wp:wrapNone/>
                <wp:docPr id="17" name="Flowchart: Process 17"/>
                <wp:cNvGraphicFramePr/>
                <a:graphic xmlns:a="http://schemas.openxmlformats.org/drawingml/2006/main">
                  <a:graphicData uri="http://schemas.microsoft.com/office/word/2010/wordprocessingShape">
                    <wps:wsp>
                      <wps:cNvSpPr/>
                      <wps:spPr>
                        <a:xfrm>
                          <a:off x="0" y="0"/>
                          <a:ext cx="2753226" cy="442384"/>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19A11F0" w14:textId="77777777" w:rsidR="0031288A" w:rsidRPr="005B75C5" w:rsidRDefault="0031288A" w:rsidP="0031288A">
                            <w:pPr>
                              <w:pStyle w:val="NormalWeb"/>
                              <w:spacing w:before="0" w:beforeAutospacing="0" w:after="0" w:afterAutospacing="0"/>
                              <w:jc w:val="center"/>
                              <w:rPr>
                                <w:sz w:val="16"/>
                                <w:szCs w:val="16"/>
                              </w:rPr>
                            </w:pPr>
                          </w:p>
                        </w:txbxContent>
                      </wps:txbx>
                      <wps:bodyPr rot="0" spcFirstLastPara="0" vert="horz" wrap="square" lIns="91440" tIns="45720" rIns="91440" bIns="45720" numCol="2" spcCol="0" rtlCol="0" fromWordArt="0" anchor="ctr" anchorCtr="0" forceAA="0" compatLnSpc="1">
                        <a:prstTxWarp prst="textNoShape">
                          <a:avLst/>
                        </a:prstTxWarp>
                        <a:noAutofit/>
                      </wps:bodyPr>
                    </wps:wsp>
                  </a:graphicData>
                </a:graphic>
              </wp:anchor>
            </w:drawing>
          </mc:Choice>
          <mc:Fallback>
            <w:pict>
              <v:shapetype w14:anchorId="59D34627" id="_x0000_t109" coordsize="21600,21600" o:spt="109" path="m,l,21600r21600,l21600,xe">
                <v:stroke joinstyle="miter"/>
                <v:path gradientshapeok="t" o:connecttype="rect"/>
              </v:shapetype>
              <v:shape id="Flowchart: Process 17" o:spid="_x0000_s1033" type="#_x0000_t109" style="position:absolute;margin-left:141.6pt;margin-top:16.7pt;width:216.8pt;height:3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" fillcolor="window" strokecolor="windowText" strokeweight="1pt">
                <v:textbox>
                  <w:txbxContent>
                    <w:p w14:paraId="319A11F0" w14:textId="77777777" w:rsidR="0031288A" w:rsidRPr="005B75C5" w:rsidRDefault="0031288A" w:rsidP="0031288A">
                      <w:pPr>
                        <w:pStyle w:val="NormalWeb"/>
                        <w:spacing w:before="0" w:beforeAutospacing="0" w:after="0" w:afterAutospacing="0"/>
                        <w:jc w:val="center"/>
                        <w:rPr>
                          <w:sz w:val="16"/>
                          <w:szCs w:val="16"/>
                        </w:rPr>
                      </w:pPr>
                    </w:p>
                  </w:txbxContent>
                </v:textbox>
              </v:shape>
            </w:pict>
          </mc:Fallback>
        </mc:AlternateContent>
      </w:r>
      <w:r w:rsidRPr="001E0184">
        <w:rPr>
          <w:noProof/>
        </w:rPr>
        <mc:AlternateContent>
          <mc:Choice Requires="wps">
            <w:drawing>
              <wp:anchor distT="0" distB="0" distL="114300" distR="114300" simplePos="0" relativeHeight="251682816" behindDoc="0" locked="0" layoutInCell="1" allowOverlap="1" wp14:anchorId="77432B50" wp14:editId="66E18B41">
                <wp:simplePos x="0" y="0"/>
                <wp:positionH relativeFrom="column">
                  <wp:posOffset>3562985</wp:posOffset>
                </wp:positionH>
                <wp:positionV relativeFrom="paragraph">
                  <wp:posOffset>214630</wp:posOffset>
                </wp:positionV>
                <wp:extent cx="936625" cy="495300"/>
                <wp:effectExtent l="0" t="0" r="0" b="0"/>
                <wp:wrapNone/>
                <wp:docPr id="29" name="Rectangle 13"/>
                <wp:cNvGraphicFramePr/>
                <a:graphic xmlns:a="http://schemas.openxmlformats.org/drawingml/2006/main">
                  <a:graphicData uri="http://schemas.microsoft.com/office/word/2010/wordprocessingShape">
                    <wps:wsp>
                      <wps:cNvSpPr/>
                      <wps:spPr>
                        <a:xfrm>
                          <a:off x="0" y="0"/>
                          <a:ext cx="936625" cy="495300"/>
                        </a:xfrm>
                        <a:prstGeom prst="rect">
                          <a:avLst/>
                        </a:prstGeom>
                      </wps:spPr>
                      <wps:txbx>
                        <w:txbxContent>
                          <w:p w14:paraId="18BEED7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NHL</w:t>
                            </w:r>
                          </w:p>
                          <w:p w14:paraId="6FA8511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80 µg/kg (n=10)</w:t>
                            </w:r>
                          </w:p>
                          <w:p w14:paraId="273B7995" w14:textId="77777777" w:rsidR="0031288A" w:rsidRPr="005B75C5" w:rsidRDefault="0031288A" w:rsidP="0031288A">
                            <w:pPr>
                              <w:pStyle w:val="NormalWeb"/>
                              <w:spacing w:before="0" w:beforeAutospacing="0" w:after="0" w:afterAutospacing="0"/>
                              <w:jc w:val="center"/>
                              <w:rPr>
                                <w:sz w:val="16"/>
                                <w:szCs w:val="16"/>
                              </w:rPr>
                            </w:pPr>
                          </w:p>
                        </w:txbxContent>
                      </wps:txbx>
                      <wps:bodyPr wrap="square">
                        <a:noAutofit/>
                      </wps:bodyPr>
                    </wps:wsp>
                  </a:graphicData>
                </a:graphic>
                <wp14:sizeRelV relativeFrom="margin">
                  <wp14:pctHeight>0</wp14:pctHeight>
                </wp14:sizeRelV>
              </wp:anchor>
            </w:drawing>
          </mc:Choice>
          <mc:Fallback>
            <w:pict>
              <v:rect w14:anchorId="77432B50" id="_x0000_s1034" style="position:absolute;margin-left:280.55pt;margin-top:16.9pt;width:73.75pt;height:3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" filled="f" stroked="f">
                <v:textbox>
                  <w:txbxContent>
                    <w:p w14:paraId="18BEED7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NHL</w:t>
                      </w:r>
                    </w:p>
                    <w:p w14:paraId="6FA85115"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80 µg/kg (n=10)</w:t>
                      </w:r>
                    </w:p>
                    <w:p w14:paraId="273B7995" w14:textId="77777777" w:rsidR="0031288A" w:rsidRPr="005B75C5" w:rsidRDefault="0031288A" w:rsidP="0031288A">
                      <w:pPr>
                        <w:pStyle w:val="NormalWeb"/>
                        <w:spacing w:before="0" w:beforeAutospacing="0" w:after="0" w:afterAutospacing="0"/>
                        <w:jc w:val="center"/>
                        <w:rPr>
                          <w:sz w:val="16"/>
                          <w:szCs w:val="16"/>
                        </w:rPr>
                      </w:pPr>
                    </w:p>
                  </w:txbxContent>
                </v:textbox>
              </v:rect>
            </w:pict>
          </mc:Fallback>
        </mc:AlternateContent>
      </w:r>
      <w:r w:rsidRPr="001E0184">
        <w:rPr>
          <w:noProof/>
        </w:rPr>
        <mc:AlternateContent>
          <mc:Choice Requires="wps">
            <w:drawing>
              <wp:anchor distT="0" distB="0" distL="114300" distR="114300" simplePos="0" relativeHeight="251681792" behindDoc="0" locked="0" layoutInCell="1" allowOverlap="1" wp14:anchorId="75A82BBB" wp14:editId="4FA28D15">
                <wp:simplePos x="0" y="0"/>
                <wp:positionH relativeFrom="column">
                  <wp:posOffset>1805305</wp:posOffset>
                </wp:positionH>
                <wp:positionV relativeFrom="paragraph">
                  <wp:posOffset>208280</wp:posOffset>
                </wp:positionV>
                <wp:extent cx="936625" cy="495300"/>
                <wp:effectExtent l="0" t="0" r="0" b="0"/>
                <wp:wrapNone/>
                <wp:docPr id="30" name="Rectangle 13"/>
                <wp:cNvGraphicFramePr/>
                <a:graphic xmlns:a="http://schemas.openxmlformats.org/drawingml/2006/main">
                  <a:graphicData uri="http://schemas.microsoft.com/office/word/2010/wordprocessingShape">
                    <wps:wsp>
                      <wps:cNvSpPr/>
                      <wps:spPr>
                        <a:xfrm>
                          <a:off x="0" y="0"/>
                          <a:ext cx="936625" cy="495300"/>
                        </a:xfrm>
                        <a:prstGeom prst="rect">
                          <a:avLst/>
                        </a:prstGeom>
                      </wps:spPr>
                      <wps:txbx>
                        <w:txbxContent>
                          <w:p w14:paraId="2A4171B4"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cHL</w:t>
                            </w:r>
                          </w:p>
                          <w:p w14:paraId="2BB3C136"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30 µg/kg (n=10)</w:t>
                            </w:r>
                          </w:p>
                          <w:p w14:paraId="2A07FEA6" w14:textId="77777777" w:rsidR="0031288A"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45 µg/kg (n=26)</w:t>
                            </w:r>
                          </w:p>
                          <w:p w14:paraId="0FC0EB77" w14:textId="77777777" w:rsidR="0031288A" w:rsidRPr="005B75C5" w:rsidRDefault="0031288A" w:rsidP="0031288A">
                            <w:pPr>
                              <w:pStyle w:val="NormalWeb"/>
                              <w:spacing w:before="0" w:beforeAutospacing="0" w:after="0" w:afterAutospacing="0"/>
                              <w:jc w:val="center"/>
                              <w:rPr>
                                <w:sz w:val="16"/>
                                <w:szCs w:val="16"/>
                              </w:rPr>
                            </w:pPr>
                          </w:p>
                        </w:txbxContent>
                      </wps:txbx>
                      <wps:bodyPr wrap="square">
                        <a:noAutofit/>
                      </wps:bodyPr>
                    </wps:wsp>
                  </a:graphicData>
                </a:graphic>
                <wp14:sizeRelV relativeFrom="margin">
                  <wp14:pctHeight>0</wp14:pctHeight>
                </wp14:sizeRelV>
              </wp:anchor>
            </w:drawing>
          </mc:Choice>
          <mc:Fallback>
            <w:pict>
              <v:rect w14:anchorId="75A82BBB" id="_x0000_s1035" style="position:absolute;margin-left:142.15pt;margin-top:16.4pt;width:73.75pt;height:3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" filled="f" stroked="f">
                <v:textbox>
                  <w:txbxContent>
                    <w:p w14:paraId="2A4171B4"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b/>
                          <w:bCs/>
                          <w:color w:val="000000"/>
                          <w:kern w:val="24"/>
                          <w:sz w:val="16"/>
                          <w:szCs w:val="16"/>
                        </w:rPr>
                        <w:t>cHL</w:t>
                      </w:r>
                    </w:p>
                    <w:p w14:paraId="2BB3C136" w14:textId="77777777" w:rsidR="0031288A" w:rsidRPr="005B75C5"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30 µg/kg (n=10)</w:t>
                      </w:r>
                    </w:p>
                    <w:p w14:paraId="2A07FEA6" w14:textId="77777777" w:rsidR="0031288A" w:rsidRDefault="0031288A" w:rsidP="0031288A">
                      <w:pPr>
                        <w:pStyle w:val="NormalWeb"/>
                        <w:spacing w:before="0" w:beforeAutospacing="0" w:after="0" w:afterAutospacing="0"/>
                        <w:jc w:val="center"/>
                        <w:rPr>
                          <w:sz w:val="16"/>
                          <w:szCs w:val="16"/>
                        </w:rPr>
                      </w:pPr>
                      <w:r w:rsidRPr="005B75C5">
                        <w:rPr>
                          <w:rFonts w:eastAsia="Calibri"/>
                          <w:color w:val="000000"/>
                          <w:kern w:val="24"/>
                          <w:sz w:val="16"/>
                          <w:szCs w:val="16"/>
                        </w:rPr>
                        <w:t>45 µg/kg (n=26)</w:t>
                      </w:r>
                    </w:p>
                    <w:p w14:paraId="0FC0EB77" w14:textId="77777777" w:rsidR="0031288A" w:rsidRPr="005B75C5" w:rsidRDefault="0031288A" w:rsidP="0031288A">
                      <w:pPr>
                        <w:pStyle w:val="NormalWeb"/>
                        <w:spacing w:before="0" w:beforeAutospacing="0" w:after="0" w:afterAutospacing="0"/>
                        <w:jc w:val="center"/>
                        <w:rPr>
                          <w:sz w:val="16"/>
                          <w:szCs w:val="16"/>
                        </w:rPr>
                      </w:pPr>
                    </w:p>
                  </w:txbxContent>
                </v:textbox>
              </v:rect>
            </w:pict>
          </mc:Fallback>
        </mc:AlternateContent>
      </w:r>
    </w:p>
    <w:p w14:paraId="7EAA1D87" w14:textId="77777777" w:rsidR="00830F07" w:rsidRPr="001E0184" w:rsidRDefault="00830F07" w:rsidP="0031288A">
      <w:pPr>
        <w:spacing w:after="160" w:line="259" w:lineRule="auto"/>
        <w:rPr>
          <w:rFonts w:ascii="Times New Roman" w:hAnsi="Times New Roman" w:cs="Times New Roman"/>
          <w:b/>
          <w:sz w:val="20"/>
          <w:szCs w:val="20"/>
        </w:rPr>
      </w:pPr>
    </w:p>
    <w:p w14:paraId="5F3BCAC3" w14:textId="77777777" w:rsidR="00830F07" w:rsidRPr="001E0184" w:rsidRDefault="00830F07" w:rsidP="0031288A">
      <w:pPr>
        <w:rPr>
          <w:rFonts w:ascii="Times New Roman" w:hAnsi="Times New Roman" w:cs="Times New Roman"/>
          <w:bCs/>
          <w:sz w:val="20"/>
          <w:szCs w:val="20"/>
        </w:rPr>
      </w:pPr>
    </w:p>
    <w:p w14:paraId="13DE8B76"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68480" behindDoc="0" locked="0" layoutInCell="1" allowOverlap="1" wp14:anchorId="2A0B4B0D" wp14:editId="0E4B0532">
                <wp:simplePos x="0" y="0"/>
                <wp:positionH relativeFrom="column">
                  <wp:posOffset>1425933</wp:posOffset>
                </wp:positionH>
                <wp:positionV relativeFrom="paragraph">
                  <wp:posOffset>34667</wp:posOffset>
                </wp:positionV>
                <wp:extent cx="3549353" cy="266700"/>
                <wp:effectExtent l="0" t="0" r="13335" b="19050"/>
                <wp:wrapNone/>
                <wp:docPr id="19" name="Rectangle 19"/>
                <wp:cNvGraphicFramePr/>
                <a:graphic xmlns:a="http://schemas.openxmlformats.org/drawingml/2006/main">
                  <a:graphicData uri="http://schemas.microsoft.com/office/word/2010/wordprocessingShape">
                    <wps:wsp>
                      <wps:cNvSpPr/>
                      <wps:spPr>
                        <a:xfrm>
                          <a:off x="0" y="0"/>
                          <a:ext cx="3549353"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29D11B"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Patient disposition by cohort</w:t>
                            </w:r>
                          </w:p>
                        </w:txbxContent>
                      </wps:txbx>
                      <wps:bodyPr rtlCol="0" anchor="ctr"/>
                    </wps:wsp>
                  </a:graphicData>
                </a:graphic>
              </wp:anchor>
            </w:drawing>
          </mc:Choice>
          <mc:Fallback>
            <w:pict>
              <v:rect w14:anchorId="2A0B4B0D" id="Rectangle 19" o:spid="_x0000_s1036" style="position:absolute;margin-left:112.3pt;margin-top:2.75pt;width:279.5pt;height: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" fillcolor="window" strokecolor="windowText" strokeweight="1pt">
                <v:textbox>
                  <w:txbxContent>
                    <w:p w14:paraId="2229D11B"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Patient disposition by cohort</w:t>
                      </w:r>
                    </w:p>
                  </w:txbxContent>
                </v:textbox>
              </v:rect>
            </w:pict>
          </mc:Fallback>
        </mc:AlternateContent>
      </w:r>
    </w:p>
    <w:p w14:paraId="5B98E191"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64384" behindDoc="0" locked="0" layoutInCell="1" allowOverlap="1" wp14:anchorId="6F130FF9" wp14:editId="4958C83B">
                <wp:simplePos x="0" y="0"/>
                <wp:positionH relativeFrom="column">
                  <wp:posOffset>1428749</wp:posOffset>
                </wp:positionH>
                <wp:positionV relativeFrom="paragraph">
                  <wp:posOffset>139762</wp:posOffset>
                </wp:positionV>
                <wp:extent cx="1463329" cy="374329"/>
                <wp:effectExtent l="0" t="0" r="22860" b="26035"/>
                <wp:wrapNone/>
                <wp:docPr id="14" name="Rectangle 14"/>
                <wp:cNvGraphicFramePr/>
                <a:graphic xmlns:a="http://schemas.openxmlformats.org/drawingml/2006/main">
                  <a:graphicData uri="http://schemas.microsoft.com/office/word/2010/wordprocessingShape">
                    <wps:wsp>
                      <wps:cNvSpPr/>
                      <wps:spPr>
                        <a:xfrm>
                          <a:off x="0" y="0"/>
                          <a:ext cx="1463329" cy="3743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AEFDF0"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cHL cohort: 77 enrolled and treated</w:t>
                            </w:r>
                          </w:p>
                        </w:txbxContent>
                      </wps:txbx>
                      <wps:bodyPr rtlCol="0" anchor="t"/>
                    </wps:wsp>
                  </a:graphicData>
                </a:graphic>
              </wp:anchor>
            </w:drawing>
          </mc:Choice>
          <mc:Fallback>
            <w:pict>
              <v:rect w14:anchorId="6F130FF9" id="Rectangle 14" o:spid="_x0000_s1037" style="position:absolute;margin-left:112.5pt;margin-top:11pt;width:115.2pt;height:29.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" fillcolor="window" strokecolor="windowText" strokeweight="1pt">
                <v:textbox>
                  <w:txbxContent>
                    <w:p w14:paraId="0DAEFDF0"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cHL cohort: 77 enrolled and treated</w:t>
                      </w:r>
                    </w:p>
                  </w:txbxContent>
                </v:textbox>
              </v:rect>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69504" behindDoc="0" locked="0" layoutInCell="1" allowOverlap="1" wp14:anchorId="6E06542D" wp14:editId="03D82CE6">
                <wp:simplePos x="0" y="0"/>
                <wp:positionH relativeFrom="column">
                  <wp:posOffset>3511959</wp:posOffset>
                </wp:positionH>
                <wp:positionV relativeFrom="paragraph">
                  <wp:posOffset>139762</wp:posOffset>
                </wp:positionV>
                <wp:extent cx="1463326" cy="374329"/>
                <wp:effectExtent l="0" t="0" r="22860" b="26035"/>
                <wp:wrapNone/>
                <wp:docPr id="15" name="Rectangle 15"/>
                <wp:cNvGraphicFramePr/>
                <a:graphic xmlns:a="http://schemas.openxmlformats.org/drawingml/2006/main">
                  <a:graphicData uri="http://schemas.microsoft.com/office/word/2010/wordprocessingShape">
                    <wps:wsp>
                      <wps:cNvSpPr/>
                      <wps:spPr>
                        <a:xfrm>
                          <a:off x="0" y="0"/>
                          <a:ext cx="1463326" cy="3743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F0416E"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NHL cohort: 56 enrolled and treated</w:t>
                            </w:r>
                          </w:p>
                        </w:txbxContent>
                      </wps:txbx>
                      <wps:bodyPr rtlCol="0" anchor="t"/>
                    </wps:wsp>
                  </a:graphicData>
                </a:graphic>
              </wp:anchor>
            </w:drawing>
          </mc:Choice>
          <mc:Fallback>
            <w:pict>
              <v:rect w14:anchorId="6E06542D" id="Rectangle 15" o:spid="_x0000_s1038" style="position:absolute;margin-left:276.55pt;margin-top:11pt;width:115.2pt;height:29.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" fillcolor="window" strokecolor="windowText" strokeweight="1pt">
                <v:textbox>
                  <w:txbxContent>
                    <w:p w14:paraId="65F0416E"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NHL cohort: 56 enrolled and treated</w:t>
                      </w:r>
                    </w:p>
                  </w:txbxContent>
                </v:textbox>
              </v:rect>
            </w:pict>
          </mc:Fallback>
        </mc:AlternateContent>
      </w:r>
    </w:p>
    <w:p w14:paraId="13125E41" w14:textId="77777777" w:rsidR="00830F07" w:rsidRPr="001E0184" w:rsidRDefault="00830F07" w:rsidP="0031288A">
      <w:pPr>
        <w:rPr>
          <w:rFonts w:ascii="Times New Roman" w:hAnsi="Times New Roman" w:cs="Times New Roman"/>
          <w:bCs/>
          <w:sz w:val="20"/>
          <w:szCs w:val="20"/>
        </w:rPr>
      </w:pPr>
      <w:r w:rsidRPr="001E0184">
        <w:rPr>
          <w:rFonts w:ascii="Times New Roman" w:hAnsi="Times New Roman" w:cs="Times New Roman"/>
          <w:bCs/>
          <w:noProof/>
          <w:sz w:val="20"/>
          <w:szCs w:val="20"/>
        </w:rPr>
        <mc:AlternateContent>
          <mc:Choice Requires="wps">
            <w:drawing>
              <wp:anchor distT="0" distB="0" distL="114300" distR="114300" simplePos="0" relativeHeight="251685888" behindDoc="0" locked="0" layoutInCell="1" allowOverlap="1" wp14:anchorId="173F326C" wp14:editId="6E7E1BEB">
                <wp:simplePos x="0" y="0"/>
                <wp:positionH relativeFrom="column">
                  <wp:posOffset>5181600</wp:posOffset>
                </wp:positionH>
                <wp:positionV relativeFrom="paragraph">
                  <wp:posOffset>225426</wp:posOffset>
                </wp:positionV>
                <wp:extent cx="1352550" cy="1047750"/>
                <wp:effectExtent l="0" t="0" r="19050" b="19050"/>
                <wp:wrapNone/>
                <wp:docPr id="32" name="Rectangle 11"/>
                <wp:cNvGraphicFramePr/>
                <a:graphic xmlns:a="http://schemas.openxmlformats.org/drawingml/2006/main">
                  <a:graphicData uri="http://schemas.microsoft.com/office/word/2010/wordprocessingShape">
                    <wps:wsp>
                      <wps:cNvSpPr/>
                      <wps:spPr>
                        <a:xfrm>
                          <a:off x="0" y="0"/>
                          <a:ext cx="135255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A69666" w14:textId="77777777" w:rsidR="0031288A" w:rsidRPr="00AC5720" w:rsidRDefault="0031288A" w:rsidP="0031288A">
                            <w:pPr>
                              <w:pStyle w:val="NormalWeb"/>
                              <w:spacing w:before="0" w:beforeAutospacing="0" w:after="0" w:afterAutospacing="0"/>
                              <w:jc w:val="center"/>
                              <w:rPr>
                                <w:sz w:val="16"/>
                                <w:szCs w:val="16"/>
                              </w:rPr>
                            </w:pPr>
                            <w:r>
                              <w:rPr>
                                <w:b/>
                                <w:bCs/>
                                <w:color w:val="000000" w:themeColor="text1"/>
                                <w:kern w:val="24"/>
                                <w:sz w:val="16"/>
                                <w:szCs w:val="16"/>
                              </w:rPr>
                              <w:t>56 d</w:t>
                            </w:r>
                            <w:r w:rsidRPr="00AC5720">
                              <w:rPr>
                                <w:b/>
                                <w:bCs/>
                                <w:color w:val="000000" w:themeColor="text1"/>
                                <w:kern w:val="24"/>
                                <w:sz w:val="16"/>
                                <w:szCs w:val="16"/>
                              </w:rPr>
                              <w:t xml:space="preserve">iscontinued treatment </w:t>
                            </w:r>
                          </w:p>
                          <w:p w14:paraId="23E4ABAF"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Disease progression (n=34)</w:t>
                            </w:r>
                          </w:p>
                          <w:p w14:paraId="169B303E"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Adverse events (n=10)</w:t>
                            </w:r>
                          </w:p>
                          <w:p w14:paraId="5A9681EE"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Death (n=5)</w:t>
                            </w:r>
                          </w:p>
                          <w:p w14:paraId="5B036545"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Physician decision (n=2)</w:t>
                            </w:r>
                          </w:p>
                          <w:p w14:paraId="2C50F1CB"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Withdrawal by patient (n=1)</w:t>
                            </w:r>
                          </w:p>
                          <w:p w14:paraId="3858B789"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Other‡ (n=4)</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73F326C" id="Rectangle 11" o:spid="_x0000_s1039" style="position:absolute;margin-left:408pt;margin-top:17.75pt;width:106.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" fillcolor="window" strokecolor="windowText" strokeweight="1pt">
                <v:textbox>
                  <w:txbxContent>
                    <w:p w14:paraId="3AA69666" w14:textId="77777777" w:rsidR="0031288A" w:rsidRPr="00AC5720" w:rsidRDefault="0031288A" w:rsidP="0031288A">
                      <w:pPr>
                        <w:pStyle w:val="NormalWeb"/>
                        <w:spacing w:before="0" w:beforeAutospacing="0" w:after="0" w:afterAutospacing="0"/>
                        <w:jc w:val="center"/>
                        <w:rPr>
                          <w:sz w:val="16"/>
                          <w:szCs w:val="16"/>
                        </w:rPr>
                      </w:pPr>
                      <w:r>
                        <w:rPr>
                          <w:b/>
                          <w:bCs/>
                          <w:color w:val="000000" w:themeColor="text1"/>
                          <w:kern w:val="24"/>
                          <w:sz w:val="16"/>
                          <w:szCs w:val="16"/>
                        </w:rPr>
                        <w:t>56 d</w:t>
                      </w:r>
                      <w:r w:rsidRPr="00AC5720">
                        <w:rPr>
                          <w:b/>
                          <w:bCs/>
                          <w:color w:val="000000" w:themeColor="text1"/>
                          <w:kern w:val="24"/>
                          <w:sz w:val="16"/>
                          <w:szCs w:val="16"/>
                        </w:rPr>
                        <w:t xml:space="preserve">iscontinued treatment </w:t>
                      </w:r>
                    </w:p>
                    <w:p w14:paraId="23E4ABAF"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Disease progression (n=34)</w:t>
                      </w:r>
                    </w:p>
                    <w:p w14:paraId="169B303E"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Adverse events (n=10)</w:t>
                      </w:r>
                    </w:p>
                    <w:p w14:paraId="5A9681EE"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Death (n=5)</w:t>
                      </w:r>
                    </w:p>
                    <w:p w14:paraId="5B036545"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Physician decision (n=2)</w:t>
                      </w:r>
                    </w:p>
                    <w:p w14:paraId="2C50F1CB"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Withdrawal by patient (n=1)</w:t>
                      </w:r>
                    </w:p>
                    <w:p w14:paraId="3858B789" w14:textId="77777777" w:rsidR="0031288A" w:rsidRPr="00AC5720" w:rsidRDefault="0031288A" w:rsidP="0031288A">
                      <w:pPr>
                        <w:pStyle w:val="NormalWeb"/>
                        <w:spacing w:before="0" w:beforeAutospacing="0" w:after="0" w:afterAutospacing="0"/>
                        <w:jc w:val="center"/>
                        <w:rPr>
                          <w:sz w:val="16"/>
                          <w:szCs w:val="16"/>
                        </w:rPr>
                      </w:pPr>
                      <w:r w:rsidRPr="00AC5720">
                        <w:rPr>
                          <w:color w:val="000000" w:themeColor="text1"/>
                          <w:kern w:val="24"/>
                          <w:sz w:val="16"/>
                          <w:szCs w:val="16"/>
                        </w:rPr>
                        <w:t>Other‡ (n=4)</w:t>
                      </w:r>
                    </w:p>
                  </w:txbxContent>
                </v:textbox>
              </v:rect>
            </w:pict>
          </mc:Fallback>
        </mc:AlternateContent>
      </w:r>
      <w:r w:rsidRPr="001E0184">
        <w:rPr>
          <w:rFonts w:ascii="Times New Roman" w:hAnsi="Times New Roman" w:cs="Times New Roman"/>
          <w:bCs/>
          <w:noProof/>
          <w:sz w:val="20"/>
          <w:szCs w:val="20"/>
        </w:rPr>
        <mc:AlternateContent>
          <mc:Choice Requires="wps">
            <w:drawing>
              <wp:anchor distT="0" distB="0" distL="114300" distR="114300" simplePos="0" relativeHeight="251686912" behindDoc="0" locked="0" layoutInCell="1" allowOverlap="1" wp14:anchorId="7701F988" wp14:editId="21CEDDA7">
                <wp:simplePos x="0" y="0"/>
                <wp:positionH relativeFrom="column">
                  <wp:posOffset>-323850</wp:posOffset>
                </wp:positionH>
                <wp:positionV relativeFrom="paragraph">
                  <wp:posOffset>222885</wp:posOffset>
                </wp:positionV>
                <wp:extent cx="1543050" cy="1152525"/>
                <wp:effectExtent l="0" t="0" r="19050" b="28575"/>
                <wp:wrapNone/>
                <wp:docPr id="34" name="Rectangle 2"/>
                <wp:cNvGraphicFramePr/>
                <a:graphic xmlns:a="http://schemas.openxmlformats.org/drawingml/2006/main">
                  <a:graphicData uri="http://schemas.microsoft.com/office/word/2010/wordprocessingShape">
                    <wps:wsp>
                      <wps:cNvSpPr/>
                      <wps:spPr>
                        <a:xfrm>
                          <a:off x="0" y="0"/>
                          <a:ext cx="1543050" cy="1152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9501E" w14:textId="77777777" w:rsidR="0031288A" w:rsidRPr="00844644" w:rsidRDefault="0031288A" w:rsidP="0031288A">
                            <w:pPr>
                              <w:pStyle w:val="NormalWeb"/>
                              <w:spacing w:before="0" w:beforeAutospacing="0" w:after="0" w:afterAutospacing="0"/>
                              <w:jc w:val="center"/>
                              <w:rPr>
                                <w:sz w:val="16"/>
                                <w:szCs w:val="16"/>
                              </w:rPr>
                            </w:pPr>
                            <w:r>
                              <w:rPr>
                                <w:b/>
                                <w:bCs/>
                                <w:color w:val="000000" w:themeColor="text1"/>
                                <w:kern w:val="24"/>
                                <w:sz w:val="16"/>
                                <w:szCs w:val="16"/>
                              </w:rPr>
                              <w:t>77 d</w:t>
                            </w:r>
                            <w:r w:rsidRPr="00844644">
                              <w:rPr>
                                <w:b/>
                                <w:bCs/>
                                <w:color w:val="000000" w:themeColor="text1"/>
                                <w:kern w:val="24"/>
                                <w:sz w:val="16"/>
                                <w:szCs w:val="16"/>
                              </w:rPr>
                              <w:t xml:space="preserve">iscontinued treatment </w:t>
                            </w:r>
                          </w:p>
                          <w:p w14:paraId="47736F55"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Disease progression (n=27)</w:t>
                            </w:r>
                          </w:p>
                          <w:p w14:paraId="3282E0F4"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Adverse events (n=23)</w:t>
                            </w:r>
                          </w:p>
                          <w:p w14:paraId="61FCB8A5"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Physician decision (n=7)</w:t>
                            </w:r>
                          </w:p>
                          <w:p w14:paraId="37448123"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Withdrawal by patient (n=5)</w:t>
                            </w:r>
                          </w:p>
                          <w:p w14:paraId="5A1AE478"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Study terminated by sponsor (n=1)</w:t>
                            </w:r>
                          </w:p>
                          <w:p w14:paraId="54BBB7BE"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Death (n=2)</w:t>
                            </w:r>
                          </w:p>
                          <w:p w14:paraId="4084E04C"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Other† (n=12)</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701F988" id="Rectangle 2" o:spid="_x0000_s1040" style="position:absolute;margin-left:-25.5pt;margin-top:17.55pt;width:121.5pt;height:9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" fillcolor="window" strokecolor="windowText" strokeweight="1pt">
                <v:textbox>
                  <w:txbxContent>
                    <w:p w14:paraId="31A9501E" w14:textId="77777777" w:rsidR="0031288A" w:rsidRPr="00844644" w:rsidRDefault="0031288A" w:rsidP="0031288A">
                      <w:pPr>
                        <w:pStyle w:val="NormalWeb"/>
                        <w:spacing w:before="0" w:beforeAutospacing="0" w:after="0" w:afterAutospacing="0"/>
                        <w:jc w:val="center"/>
                        <w:rPr>
                          <w:sz w:val="16"/>
                          <w:szCs w:val="16"/>
                        </w:rPr>
                      </w:pPr>
                      <w:r>
                        <w:rPr>
                          <w:b/>
                          <w:bCs/>
                          <w:color w:val="000000" w:themeColor="text1"/>
                          <w:kern w:val="24"/>
                          <w:sz w:val="16"/>
                          <w:szCs w:val="16"/>
                        </w:rPr>
                        <w:t>77 d</w:t>
                      </w:r>
                      <w:r w:rsidRPr="00844644">
                        <w:rPr>
                          <w:b/>
                          <w:bCs/>
                          <w:color w:val="000000" w:themeColor="text1"/>
                          <w:kern w:val="24"/>
                          <w:sz w:val="16"/>
                          <w:szCs w:val="16"/>
                        </w:rPr>
                        <w:t xml:space="preserve">iscontinued treatment </w:t>
                      </w:r>
                    </w:p>
                    <w:p w14:paraId="47736F55"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Disease progression (n=27)</w:t>
                      </w:r>
                    </w:p>
                    <w:p w14:paraId="3282E0F4"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Adverse events (n=23)</w:t>
                      </w:r>
                    </w:p>
                    <w:p w14:paraId="61FCB8A5"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Physician decision (n=7)</w:t>
                      </w:r>
                    </w:p>
                    <w:p w14:paraId="37448123"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Withdrawal by patient (n=5)</w:t>
                      </w:r>
                    </w:p>
                    <w:p w14:paraId="5A1AE478"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Study terminated by sponsor (n=1)</w:t>
                      </w:r>
                    </w:p>
                    <w:p w14:paraId="54BBB7BE"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Death (n=2)</w:t>
                      </w:r>
                    </w:p>
                    <w:p w14:paraId="4084E04C" w14:textId="77777777" w:rsidR="0031288A" w:rsidRPr="00844644" w:rsidRDefault="0031288A" w:rsidP="0031288A">
                      <w:pPr>
                        <w:pStyle w:val="NormalWeb"/>
                        <w:spacing w:before="0" w:beforeAutospacing="0" w:after="0" w:afterAutospacing="0"/>
                        <w:jc w:val="center"/>
                        <w:rPr>
                          <w:sz w:val="16"/>
                          <w:szCs w:val="16"/>
                        </w:rPr>
                      </w:pPr>
                      <w:r w:rsidRPr="00844644">
                        <w:rPr>
                          <w:color w:val="000000" w:themeColor="text1"/>
                          <w:kern w:val="24"/>
                          <w:sz w:val="16"/>
                          <w:szCs w:val="16"/>
                        </w:rPr>
                        <w:t>Other† (n=12)</w:t>
                      </w:r>
                    </w:p>
                  </w:txbxContent>
                </v:textbox>
              </v:rect>
            </w:pict>
          </mc:Fallback>
        </mc:AlternateContent>
      </w:r>
    </w:p>
    <w:p w14:paraId="42B6B0A4" w14:textId="77777777" w:rsidR="00830F07" w:rsidRPr="001E0184" w:rsidRDefault="00830F07" w:rsidP="0031288A">
      <w:pPr>
        <w:rPr>
          <w:rFonts w:ascii="Times New Roman" w:hAnsi="Times New Roman" w:cs="Times New Roman"/>
          <w:bCs/>
          <w:sz w:val="20"/>
          <w:szCs w:val="20"/>
        </w:rPr>
      </w:pPr>
    </w:p>
    <w:p w14:paraId="75A352ED" w14:textId="77777777" w:rsidR="00830F07" w:rsidRPr="001E0184" w:rsidRDefault="00830F07" w:rsidP="0031288A">
      <w:pPr>
        <w:rPr>
          <w:rFonts w:ascii="Times New Roman" w:hAnsi="Times New Roman" w:cs="Times New Roman"/>
          <w:bCs/>
          <w:sz w:val="20"/>
          <w:szCs w:val="20"/>
        </w:rPr>
      </w:pPr>
      <w:r w:rsidRPr="001E0184">
        <w:rPr>
          <w:noProof/>
        </w:rPr>
        <mc:AlternateContent>
          <mc:Choice Requires="wps">
            <w:drawing>
              <wp:anchor distT="0" distB="0" distL="114300" distR="114300" simplePos="0" relativeHeight="251689984" behindDoc="0" locked="0" layoutInCell="1" allowOverlap="1" wp14:anchorId="181A2444" wp14:editId="3DEDFAF4">
                <wp:simplePos x="0" y="0"/>
                <wp:positionH relativeFrom="column">
                  <wp:posOffset>4695797</wp:posOffset>
                </wp:positionH>
                <wp:positionV relativeFrom="paragraph">
                  <wp:posOffset>286385</wp:posOffset>
                </wp:positionV>
                <wp:extent cx="485803" cy="0"/>
                <wp:effectExtent l="0" t="76200" r="9525" b="95250"/>
                <wp:wrapNone/>
                <wp:docPr id="40" name="Straight Arrow Connector 40"/>
                <wp:cNvGraphicFramePr/>
                <a:graphic xmlns:a="http://schemas.openxmlformats.org/drawingml/2006/main">
                  <a:graphicData uri="http://schemas.microsoft.com/office/word/2010/wordprocessingShape">
                    <wps:wsp>
                      <wps:cNvCnPr/>
                      <wps:spPr>
                        <a:xfrm>
                          <a:off x="0" y="0"/>
                          <a:ext cx="485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34DCCE4" id="Straight Arrow Connector 40" o:spid="_x0000_s1026" type="#_x0000_t32" style="position:absolute;margin-left:369.75pt;margin-top:22.55pt;width:38.2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" strokecolor="windowText" strokeweight=".5pt">
                <v:stroke endarrow="block" joinstyle="miter"/>
              </v:shape>
            </w:pict>
          </mc:Fallback>
        </mc:AlternateContent>
      </w:r>
      <w:r w:rsidRPr="001E0184">
        <w:rPr>
          <w:noProof/>
        </w:rPr>
        <mc:AlternateContent>
          <mc:Choice Requires="wps">
            <w:drawing>
              <wp:anchor distT="0" distB="0" distL="114300" distR="114300" simplePos="0" relativeHeight="251687936" behindDoc="0" locked="0" layoutInCell="1" allowOverlap="1" wp14:anchorId="6DC12998" wp14:editId="2665ACF3">
                <wp:simplePos x="0" y="0"/>
                <wp:positionH relativeFrom="column">
                  <wp:posOffset>1214067</wp:posOffset>
                </wp:positionH>
                <wp:positionV relativeFrom="paragraph">
                  <wp:posOffset>286385</wp:posOffset>
                </wp:positionV>
                <wp:extent cx="471986" cy="0"/>
                <wp:effectExtent l="38100" t="76200" r="0" b="95250"/>
                <wp:wrapNone/>
                <wp:docPr id="38" name="Straight Arrow Connector 38"/>
                <wp:cNvGraphicFramePr/>
                <a:graphic xmlns:a="http://schemas.openxmlformats.org/drawingml/2006/main">
                  <a:graphicData uri="http://schemas.microsoft.com/office/word/2010/wordprocessingShape">
                    <wps:wsp>
                      <wps:cNvCnPr/>
                      <wps:spPr>
                        <a:xfrm flipH="1">
                          <a:off x="0" y="0"/>
                          <a:ext cx="47198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4579C83" id="Straight Arrow Connector 38" o:spid="_x0000_s1026" type="#_x0000_t32" style="position:absolute;margin-left:95.6pt;margin-top:22.55pt;width:37.15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" strokecolor="windowText" strokeweight=".5pt">
                <v:stroke endarrow="block" joinstyle="miter"/>
              </v:shape>
            </w:pict>
          </mc:Fallback>
        </mc:AlternateContent>
      </w:r>
    </w:p>
    <w:p w14:paraId="15B135A7" w14:textId="77777777" w:rsidR="00830F07" w:rsidRPr="001E0184" w:rsidRDefault="00830F07" w:rsidP="0031288A">
      <w:pPr>
        <w:rPr>
          <w:rFonts w:ascii="Times New Roman" w:hAnsi="Times New Roman" w:cs="Times New Roman"/>
          <w:bCs/>
          <w:sz w:val="20"/>
          <w:szCs w:val="20"/>
        </w:rPr>
      </w:pPr>
    </w:p>
    <w:p w14:paraId="4A63FC58"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63360" behindDoc="0" locked="0" layoutInCell="1" allowOverlap="1" wp14:anchorId="25A89C27" wp14:editId="507B4EA5">
                <wp:simplePos x="0" y="0"/>
                <wp:positionH relativeFrom="column">
                  <wp:posOffset>-323850</wp:posOffset>
                </wp:positionH>
                <wp:positionV relativeFrom="paragraph">
                  <wp:posOffset>291389</wp:posOffset>
                </wp:positionV>
                <wp:extent cx="1543114" cy="837721"/>
                <wp:effectExtent l="0" t="0" r="19050" b="19685"/>
                <wp:wrapNone/>
                <wp:docPr id="11" name="Rectangle 11"/>
                <wp:cNvGraphicFramePr/>
                <a:graphic xmlns:a="http://schemas.openxmlformats.org/drawingml/2006/main">
                  <a:graphicData uri="http://schemas.microsoft.com/office/word/2010/wordprocessingShape">
                    <wps:wsp>
                      <wps:cNvSpPr/>
                      <wps:spPr>
                        <a:xfrm>
                          <a:off x="0" y="0"/>
                          <a:ext cx="1543114" cy="83772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A3197F"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77 discontinued study</w:t>
                            </w:r>
                          </w:p>
                          <w:p w14:paraId="0E15FACD"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Completed (n=39)</w:t>
                            </w:r>
                          </w:p>
                          <w:p w14:paraId="7C433FE5"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Death (n=15)</w:t>
                            </w:r>
                          </w:p>
                          <w:p w14:paraId="3AF72196"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Withdrawal by patient (n=11)</w:t>
                            </w:r>
                          </w:p>
                          <w:p w14:paraId="35D058D3"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Lost to follow-up (n=2)</w:t>
                            </w:r>
                          </w:p>
                          <w:p w14:paraId="14EC6E9F"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Other</w:t>
                            </w:r>
                            <w:r>
                              <w:rPr>
                                <w:color w:val="000000" w:themeColor="text1"/>
                                <w:kern w:val="24"/>
                                <w:sz w:val="16"/>
                                <w:szCs w:val="16"/>
                              </w:rPr>
                              <w:t xml:space="preserve">§ </w:t>
                            </w:r>
                            <w:r w:rsidRPr="005B75C5">
                              <w:rPr>
                                <w:color w:val="000000" w:themeColor="text1"/>
                                <w:kern w:val="24"/>
                                <w:sz w:val="16"/>
                                <w:szCs w:val="16"/>
                              </w:rPr>
                              <w:t>(n=10)</w:t>
                            </w:r>
                          </w:p>
                        </w:txbxContent>
                      </wps:txbx>
                      <wps:bodyPr rtlCol="0" anchor="t"/>
                    </wps:wsp>
                  </a:graphicData>
                </a:graphic>
              </wp:anchor>
            </w:drawing>
          </mc:Choice>
          <mc:Fallback>
            <w:pict>
              <v:rect w14:anchorId="25A89C27" id="_x0000_s1041" style="position:absolute;margin-left:-25.5pt;margin-top:22.95pt;width:121.5pt;height:65.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" fillcolor="window" strokecolor="windowText" strokeweight="1pt">
                <v:textbox>
                  <w:txbxContent>
                    <w:p w14:paraId="6AA3197F"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77 discontinued study</w:t>
                      </w:r>
                    </w:p>
                    <w:p w14:paraId="0E15FACD"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Completed (n=39)</w:t>
                      </w:r>
                    </w:p>
                    <w:p w14:paraId="7C433FE5"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Death (n=15)</w:t>
                      </w:r>
                    </w:p>
                    <w:p w14:paraId="3AF72196"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Withdrawal by patient (n=11)</w:t>
                      </w:r>
                    </w:p>
                    <w:p w14:paraId="35D058D3"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Lost to follow-up (n=2)</w:t>
                      </w:r>
                    </w:p>
                    <w:p w14:paraId="14EC6E9F"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Other</w:t>
                      </w:r>
                      <w:r>
                        <w:rPr>
                          <w:color w:val="000000" w:themeColor="text1"/>
                          <w:kern w:val="24"/>
                          <w:sz w:val="16"/>
                          <w:szCs w:val="16"/>
                        </w:rPr>
                        <w:t xml:space="preserve">§ </w:t>
                      </w:r>
                      <w:r w:rsidRPr="005B75C5">
                        <w:rPr>
                          <w:color w:val="000000" w:themeColor="text1"/>
                          <w:kern w:val="24"/>
                          <w:sz w:val="16"/>
                          <w:szCs w:val="16"/>
                        </w:rPr>
                        <w:t>(n=10)</w:t>
                      </w:r>
                    </w:p>
                  </w:txbxContent>
                </v:textbox>
              </v:rect>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70528" behindDoc="0" locked="0" layoutInCell="1" allowOverlap="1" wp14:anchorId="2584FEEA" wp14:editId="7A340ADB">
                <wp:simplePos x="0" y="0"/>
                <wp:positionH relativeFrom="column">
                  <wp:posOffset>5179382</wp:posOffset>
                </wp:positionH>
                <wp:positionV relativeFrom="paragraph">
                  <wp:posOffset>206116</wp:posOffset>
                </wp:positionV>
                <wp:extent cx="1352791" cy="8572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52791" cy="857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A78E89"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56 discontinued study</w:t>
                            </w:r>
                          </w:p>
                          <w:p w14:paraId="441408F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Death (n=40)</w:t>
                            </w:r>
                          </w:p>
                          <w:p w14:paraId="4FA9CF6A"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Completed (n=9)</w:t>
                            </w:r>
                          </w:p>
                          <w:p w14:paraId="4086F8DD"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Withdrawal by patient (n=1)</w:t>
                            </w:r>
                          </w:p>
                          <w:p w14:paraId="15060A95" w14:textId="77777777" w:rsidR="0031288A" w:rsidRPr="005B75C5" w:rsidRDefault="0031288A" w:rsidP="0031288A">
                            <w:pPr>
                              <w:pStyle w:val="NormalWeb"/>
                              <w:spacing w:before="0" w:beforeAutospacing="0" w:after="0" w:afterAutospacing="0"/>
                              <w:jc w:val="center"/>
                              <w:rPr>
                                <w:sz w:val="16"/>
                                <w:szCs w:val="16"/>
                              </w:rPr>
                            </w:pPr>
                            <w:r w:rsidRPr="0076375C">
                              <w:rPr>
                                <w:color w:val="000000" w:themeColor="text1"/>
                                <w:kern w:val="24"/>
                                <w:sz w:val="16"/>
                                <w:szCs w:val="16"/>
                              </w:rPr>
                              <w:t>Other||</w:t>
                            </w:r>
                            <w:r>
                              <w:rPr>
                                <w:color w:val="000000" w:themeColor="text1"/>
                                <w:kern w:val="24"/>
                                <w:sz w:val="16"/>
                                <w:szCs w:val="16"/>
                              </w:rPr>
                              <w:t xml:space="preserve"> </w:t>
                            </w:r>
                            <w:r w:rsidRPr="005B75C5">
                              <w:rPr>
                                <w:color w:val="000000" w:themeColor="text1"/>
                                <w:kern w:val="24"/>
                                <w:sz w:val="16"/>
                                <w:szCs w:val="16"/>
                              </w:rPr>
                              <w:t>(n=6)</w:t>
                            </w:r>
                          </w:p>
                        </w:txbxContent>
                      </wps:txbx>
                      <wps:bodyPr rtlCol="0" anchor="t"/>
                    </wps:wsp>
                  </a:graphicData>
                </a:graphic>
              </wp:anchor>
            </w:drawing>
          </mc:Choice>
          <mc:Fallback>
            <w:pict>
              <v:rect w14:anchorId="2584FEEA" id="_x0000_s1042" style="position:absolute;margin-left:407.85pt;margin-top:16.25pt;width:106.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" fillcolor="window" strokecolor="windowText" strokeweight="1pt">
                <v:textbox>
                  <w:txbxContent>
                    <w:p w14:paraId="71A78E89"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56 discontinued study</w:t>
                      </w:r>
                    </w:p>
                    <w:p w14:paraId="441408FE"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Death (n=40)</w:t>
                      </w:r>
                    </w:p>
                    <w:p w14:paraId="4FA9CF6A"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Completed (n=9)</w:t>
                      </w:r>
                    </w:p>
                    <w:p w14:paraId="4086F8DD" w14:textId="77777777" w:rsidR="0031288A" w:rsidRPr="005B75C5" w:rsidRDefault="0031288A" w:rsidP="0031288A">
                      <w:pPr>
                        <w:pStyle w:val="NormalWeb"/>
                        <w:spacing w:before="0" w:beforeAutospacing="0" w:after="0" w:afterAutospacing="0"/>
                        <w:jc w:val="center"/>
                        <w:rPr>
                          <w:sz w:val="16"/>
                          <w:szCs w:val="16"/>
                        </w:rPr>
                      </w:pPr>
                      <w:r w:rsidRPr="005B75C5">
                        <w:rPr>
                          <w:color w:val="000000" w:themeColor="text1"/>
                          <w:kern w:val="24"/>
                          <w:sz w:val="16"/>
                          <w:szCs w:val="16"/>
                        </w:rPr>
                        <w:t>Withdrawal by patient (n=1)</w:t>
                      </w:r>
                    </w:p>
                    <w:p w14:paraId="15060A95" w14:textId="77777777" w:rsidR="0031288A" w:rsidRPr="005B75C5" w:rsidRDefault="0031288A" w:rsidP="0031288A">
                      <w:pPr>
                        <w:pStyle w:val="NormalWeb"/>
                        <w:spacing w:before="0" w:beforeAutospacing="0" w:after="0" w:afterAutospacing="0"/>
                        <w:jc w:val="center"/>
                        <w:rPr>
                          <w:sz w:val="16"/>
                          <w:szCs w:val="16"/>
                        </w:rPr>
                      </w:pPr>
                      <w:r w:rsidRPr="0076375C">
                        <w:rPr>
                          <w:color w:val="000000" w:themeColor="text1"/>
                          <w:kern w:val="24"/>
                          <w:sz w:val="16"/>
                          <w:szCs w:val="16"/>
                        </w:rPr>
                        <w:t>Other||</w:t>
                      </w:r>
                      <w:r>
                        <w:rPr>
                          <w:color w:val="000000" w:themeColor="text1"/>
                          <w:kern w:val="24"/>
                          <w:sz w:val="16"/>
                          <w:szCs w:val="16"/>
                        </w:rPr>
                        <w:t xml:space="preserve"> </w:t>
                      </w:r>
                      <w:r w:rsidRPr="005B75C5">
                        <w:rPr>
                          <w:color w:val="000000" w:themeColor="text1"/>
                          <w:kern w:val="24"/>
                          <w:sz w:val="16"/>
                          <w:szCs w:val="16"/>
                        </w:rPr>
                        <w:t>(n=6)</w:t>
                      </w:r>
                    </w:p>
                  </w:txbxContent>
                </v:textbox>
              </v:rect>
            </w:pict>
          </mc:Fallback>
        </mc:AlternateContent>
      </w:r>
    </w:p>
    <w:p w14:paraId="78D48A0A" w14:textId="77777777" w:rsidR="00830F07" w:rsidRPr="001E0184" w:rsidRDefault="00830F07" w:rsidP="0031288A">
      <w:pPr>
        <w:rPr>
          <w:rFonts w:ascii="Times New Roman" w:hAnsi="Times New Roman" w:cs="Times New Roman"/>
          <w:bCs/>
          <w:sz w:val="20"/>
          <w:szCs w:val="20"/>
        </w:rPr>
      </w:pPr>
    </w:p>
    <w:p w14:paraId="0CC0AC2E" w14:textId="77777777" w:rsidR="00830F07" w:rsidRPr="001E0184" w:rsidRDefault="00830F07" w:rsidP="0031288A">
      <w:pPr>
        <w:rPr>
          <w:rFonts w:ascii="Times New Roman" w:hAnsi="Times New Roman" w:cs="Times New Roman"/>
          <w:bCs/>
          <w:sz w:val="20"/>
          <w:szCs w:val="20"/>
        </w:rPr>
      </w:pPr>
      <w:r w:rsidRPr="001E0184">
        <w:rPr>
          <w:noProof/>
        </w:rPr>
        <mc:AlternateContent>
          <mc:Choice Requires="wps">
            <w:drawing>
              <wp:anchor distT="0" distB="0" distL="114300" distR="114300" simplePos="0" relativeHeight="251691008" behindDoc="0" locked="0" layoutInCell="1" allowOverlap="1" wp14:anchorId="39916813" wp14:editId="1A5265C4">
                <wp:simplePos x="0" y="0"/>
                <wp:positionH relativeFrom="column">
                  <wp:posOffset>4698756</wp:posOffset>
                </wp:positionH>
                <wp:positionV relativeFrom="paragraph">
                  <wp:posOffset>13335</wp:posOffset>
                </wp:positionV>
                <wp:extent cx="485803" cy="0"/>
                <wp:effectExtent l="0" t="76200" r="9525" b="95250"/>
                <wp:wrapNone/>
                <wp:docPr id="41" name="Straight Arrow Connector 41"/>
                <wp:cNvGraphicFramePr/>
                <a:graphic xmlns:a="http://schemas.openxmlformats.org/drawingml/2006/main">
                  <a:graphicData uri="http://schemas.microsoft.com/office/word/2010/wordprocessingShape">
                    <wps:wsp>
                      <wps:cNvCnPr/>
                      <wps:spPr>
                        <a:xfrm>
                          <a:off x="0" y="0"/>
                          <a:ext cx="485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C87C27F" id="Straight Arrow Connector 41" o:spid="_x0000_s1026" type="#_x0000_t32" style="position:absolute;margin-left:370pt;margin-top:1.05pt;width:38.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" strokecolor="windowText" strokeweight=".5pt">
                <v:stroke endarrow="block" joinstyle="miter"/>
              </v:shape>
            </w:pict>
          </mc:Fallback>
        </mc:AlternateContent>
      </w:r>
      <w:r w:rsidRPr="001E0184">
        <w:rPr>
          <w:noProof/>
        </w:rPr>
        <mc:AlternateContent>
          <mc:Choice Requires="wps">
            <w:drawing>
              <wp:anchor distT="0" distB="0" distL="114300" distR="114300" simplePos="0" relativeHeight="251688960" behindDoc="0" locked="0" layoutInCell="1" allowOverlap="1" wp14:anchorId="6616C0E8" wp14:editId="11F360AC">
                <wp:simplePos x="0" y="0"/>
                <wp:positionH relativeFrom="column">
                  <wp:posOffset>1209675</wp:posOffset>
                </wp:positionH>
                <wp:positionV relativeFrom="paragraph">
                  <wp:posOffset>88265</wp:posOffset>
                </wp:positionV>
                <wp:extent cx="471986" cy="0"/>
                <wp:effectExtent l="38100" t="76200" r="0" b="95250"/>
                <wp:wrapNone/>
                <wp:docPr id="39" name="Straight Arrow Connector 39"/>
                <wp:cNvGraphicFramePr/>
                <a:graphic xmlns:a="http://schemas.openxmlformats.org/drawingml/2006/main">
                  <a:graphicData uri="http://schemas.microsoft.com/office/word/2010/wordprocessingShape">
                    <wps:wsp>
                      <wps:cNvCnPr/>
                      <wps:spPr>
                        <a:xfrm flipH="1">
                          <a:off x="0" y="0"/>
                          <a:ext cx="47198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E503D41" id="Straight Arrow Connector 39" o:spid="_x0000_s1026" type="#_x0000_t32" style="position:absolute;margin-left:95.25pt;margin-top:6.95pt;width:37.1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" strokecolor="windowText" strokeweight=".5pt">
                <v:stroke endarrow="block" joinstyle="miter"/>
              </v:shape>
            </w:pict>
          </mc:Fallback>
        </mc:AlternateContent>
      </w:r>
    </w:p>
    <w:p w14:paraId="569A0EA4"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77696" behindDoc="0" locked="0" layoutInCell="1" allowOverlap="1" wp14:anchorId="40D05889" wp14:editId="13E16680">
                <wp:simplePos x="0" y="0"/>
                <wp:positionH relativeFrom="column">
                  <wp:posOffset>-323850</wp:posOffset>
                </wp:positionH>
                <wp:positionV relativeFrom="paragraph">
                  <wp:posOffset>365768</wp:posOffset>
                </wp:positionV>
                <wp:extent cx="1543037" cy="586731"/>
                <wp:effectExtent l="0" t="0" r="19685" b="23495"/>
                <wp:wrapNone/>
                <wp:docPr id="26" name="Rectangle 28"/>
                <wp:cNvGraphicFramePr/>
                <a:graphic xmlns:a="http://schemas.openxmlformats.org/drawingml/2006/main">
                  <a:graphicData uri="http://schemas.microsoft.com/office/word/2010/wordprocessingShape">
                    <wps:wsp>
                      <wps:cNvSpPr/>
                      <wps:spPr>
                        <a:xfrm>
                          <a:off x="0" y="0"/>
                          <a:ext cx="1543037" cy="58673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043A18"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 xml:space="preserve">5 excluded from </w:t>
                            </w:r>
                            <w:proofErr w:type="spellStart"/>
                            <w:r w:rsidRPr="008B1330">
                              <w:rPr>
                                <w:b/>
                                <w:color w:val="000000" w:themeColor="text1"/>
                                <w:kern w:val="24"/>
                                <w:sz w:val="16"/>
                                <w:szCs w:val="16"/>
                                <w:lang w:val="en-IN"/>
                              </w:rPr>
                              <w:t>IHC</w:t>
                            </w:r>
                            <w:proofErr w:type="spellEnd"/>
                            <w:r w:rsidRPr="008B1330">
                              <w:rPr>
                                <w:b/>
                                <w:color w:val="000000" w:themeColor="text1"/>
                                <w:kern w:val="24"/>
                                <w:sz w:val="16"/>
                                <w:szCs w:val="16"/>
                                <w:lang w:val="en-IN"/>
                              </w:rPr>
                              <w:t xml:space="preserve"> analysis</w:t>
                            </w:r>
                          </w:p>
                          <w:p w14:paraId="52355D38" w14:textId="77777777" w:rsidR="0031288A" w:rsidRDefault="0031288A" w:rsidP="0031288A">
                            <w:pPr>
                              <w:pStyle w:val="NormalWeb"/>
                              <w:spacing w:before="0" w:beforeAutospacing="0" w:after="0" w:afterAutospacing="0"/>
                              <w:rPr>
                                <w:color w:val="000000" w:themeColor="text1"/>
                                <w:kern w:val="24"/>
                                <w:sz w:val="16"/>
                                <w:szCs w:val="16"/>
                                <w:lang w:val="en-IN"/>
                              </w:rPr>
                            </w:pPr>
                            <w:r w:rsidRPr="005B75C5">
                              <w:rPr>
                                <w:color w:val="000000" w:themeColor="text1"/>
                                <w:kern w:val="24"/>
                                <w:sz w:val="16"/>
                                <w:szCs w:val="16"/>
                                <w:lang w:val="en-IN"/>
                              </w:rPr>
                              <w:t xml:space="preserve">     Biopsy/correlative </w:t>
                            </w:r>
                          </w:p>
                          <w:p w14:paraId="64461784" w14:textId="77777777" w:rsidR="0031288A" w:rsidRPr="005B75C5" w:rsidRDefault="0031288A" w:rsidP="0031288A">
                            <w:pPr>
                              <w:pStyle w:val="NormalWeb"/>
                              <w:spacing w:before="0" w:beforeAutospacing="0" w:after="0" w:afterAutospacing="0"/>
                              <w:rPr>
                                <w:sz w:val="16"/>
                                <w:szCs w:val="16"/>
                              </w:rPr>
                            </w:pPr>
                            <w:r>
                              <w:rPr>
                                <w:color w:val="000000" w:themeColor="text1"/>
                                <w:kern w:val="24"/>
                                <w:sz w:val="16"/>
                                <w:szCs w:val="16"/>
                                <w:lang w:val="en-IN"/>
                              </w:rPr>
                              <w:t xml:space="preserve">     </w:t>
                            </w:r>
                            <w:r w:rsidRPr="005B75C5">
                              <w:rPr>
                                <w:color w:val="000000" w:themeColor="text1"/>
                                <w:kern w:val="24"/>
                                <w:sz w:val="16"/>
                                <w:szCs w:val="16"/>
                                <w:lang w:val="en-IN"/>
                              </w:rPr>
                              <w:t xml:space="preserve">endpoint not </w:t>
                            </w:r>
                            <w:r>
                              <w:rPr>
                                <w:color w:val="000000" w:themeColor="text1"/>
                                <w:kern w:val="24"/>
                                <w:sz w:val="16"/>
                                <w:szCs w:val="16"/>
                                <w:lang w:val="en-IN"/>
                              </w:rPr>
                              <w:t xml:space="preserve"> </w:t>
                            </w:r>
                            <w:r w:rsidRPr="005B75C5">
                              <w:rPr>
                                <w:color w:val="000000" w:themeColor="text1"/>
                                <w:kern w:val="24"/>
                                <w:sz w:val="16"/>
                                <w:szCs w:val="16"/>
                                <w:lang w:val="en-IN"/>
                              </w:rPr>
                              <w:t>available</w:t>
                            </w:r>
                          </w:p>
                        </w:txbxContent>
                      </wps:txbx>
                      <wps:bodyPr rtlCol="0" anchor="ctr"/>
                    </wps:wsp>
                  </a:graphicData>
                </a:graphic>
              </wp:anchor>
            </w:drawing>
          </mc:Choice>
          <mc:Fallback>
            <w:pict>
              <v:rect w14:anchorId="40D05889" id="Rectangle 28" o:spid="_x0000_s1043" style="position:absolute;margin-left:-25.5pt;margin-top:28.8pt;width:121.5pt;height:4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" fillcolor="window" strokecolor="windowText" strokeweight="1pt">
                <v:textbox>
                  <w:txbxContent>
                    <w:p w14:paraId="19043A18"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 xml:space="preserve">5 excluded from </w:t>
                      </w:r>
                      <w:proofErr w:type="spellStart"/>
                      <w:r w:rsidRPr="008B1330">
                        <w:rPr>
                          <w:b/>
                          <w:color w:val="000000" w:themeColor="text1"/>
                          <w:kern w:val="24"/>
                          <w:sz w:val="16"/>
                          <w:szCs w:val="16"/>
                          <w:lang w:val="en-IN"/>
                        </w:rPr>
                        <w:t>IHC</w:t>
                      </w:r>
                      <w:proofErr w:type="spellEnd"/>
                      <w:r w:rsidRPr="008B1330">
                        <w:rPr>
                          <w:b/>
                          <w:color w:val="000000" w:themeColor="text1"/>
                          <w:kern w:val="24"/>
                          <w:sz w:val="16"/>
                          <w:szCs w:val="16"/>
                          <w:lang w:val="en-IN"/>
                        </w:rPr>
                        <w:t xml:space="preserve"> analysis</w:t>
                      </w:r>
                    </w:p>
                    <w:p w14:paraId="52355D38" w14:textId="77777777" w:rsidR="0031288A" w:rsidRDefault="0031288A" w:rsidP="0031288A">
                      <w:pPr>
                        <w:pStyle w:val="NormalWeb"/>
                        <w:spacing w:before="0" w:beforeAutospacing="0" w:after="0" w:afterAutospacing="0"/>
                        <w:rPr>
                          <w:color w:val="000000" w:themeColor="text1"/>
                          <w:kern w:val="24"/>
                          <w:sz w:val="16"/>
                          <w:szCs w:val="16"/>
                          <w:lang w:val="en-IN"/>
                        </w:rPr>
                      </w:pPr>
                      <w:r w:rsidRPr="005B75C5">
                        <w:rPr>
                          <w:color w:val="000000" w:themeColor="text1"/>
                          <w:kern w:val="24"/>
                          <w:sz w:val="16"/>
                          <w:szCs w:val="16"/>
                          <w:lang w:val="en-IN"/>
                        </w:rPr>
                        <w:t xml:space="preserve">     Biopsy/correlative </w:t>
                      </w:r>
                    </w:p>
                    <w:p w14:paraId="64461784" w14:textId="77777777" w:rsidR="0031288A" w:rsidRPr="005B75C5" w:rsidRDefault="0031288A" w:rsidP="0031288A">
                      <w:pPr>
                        <w:pStyle w:val="NormalWeb"/>
                        <w:spacing w:before="0" w:beforeAutospacing="0" w:after="0" w:afterAutospacing="0"/>
                        <w:rPr>
                          <w:sz w:val="16"/>
                          <w:szCs w:val="16"/>
                        </w:rPr>
                      </w:pPr>
                      <w:r>
                        <w:rPr>
                          <w:color w:val="000000" w:themeColor="text1"/>
                          <w:kern w:val="24"/>
                          <w:sz w:val="16"/>
                          <w:szCs w:val="16"/>
                          <w:lang w:val="en-IN"/>
                        </w:rPr>
                        <w:t xml:space="preserve">     </w:t>
                      </w:r>
                      <w:r w:rsidRPr="005B75C5">
                        <w:rPr>
                          <w:color w:val="000000" w:themeColor="text1"/>
                          <w:kern w:val="24"/>
                          <w:sz w:val="16"/>
                          <w:szCs w:val="16"/>
                          <w:lang w:val="en-IN"/>
                        </w:rPr>
                        <w:t xml:space="preserve">endpoint not </w:t>
                      </w:r>
                      <w:r>
                        <w:rPr>
                          <w:color w:val="000000" w:themeColor="text1"/>
                          <w:kern w:val="24"/>
                          <w:sz w:val="16"/>
                          <w:szCs w:val="16"/>
                          <w:lang w:val="en-IN"/>
                        </w:rPr>
                        <w:t xml:space="preserve"> </w:t>
                      </w:r>
                      <w:r w:rsidRPr="005B75C5">
                        <w:rPr>
                          <w:color w:val="000000" w:themeColor="text1"/>
                          <w:kern w:val="24"/>
                          <w:sz w:val="16"/>
                          <w:szCs w:val="16"/>
                          <w:lang w:val="en-IN"/>
                        </w:rPr>
                        <w:t>available</w:t>
                      </w:r>
                    </w:p>
                  </w:txbxContent>
                </v:textbox>
              </v:rect>
            </w:pict>
          </mc:Fallback>
        </mc:AlternateContent>
      </w:r>
    </w:p>
    <w:p w14:paraId="6F3090AD"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71552" behindDoc="0" locked="0" layoutInCell="1" allowOverlap="1" wp14:anchorId="4925F119" wp14:editId="4F9F398D">
                <wp:simplePos x="0" y="0"/>
                <wp:positionH relativeFrom="column">
                  <wp:posOffset>1467904</wp:posOffset>
                </wp:positionH>
                <wp:positionV relativeFrom="paragraph">
                  <wp:posOffset>70238</wp:posOffset>
                </wp:positionV>
                <wp:extent cx="1525138" cy="401343"/>
                <wp:effectExtent l="0" t="0" r="18415" b="17780"/>
                <wp:wrapNone/>
                <wp:docPr id="10" name="Rectangle 10"/>
                <wp:cNvGraphicFramePr/>
                <a:graphic xmlns:a="http://schemas.openxmlformats.org/drawingml/2006/main">
                  <a:graphicData uri="http://schemas.microsoft.com/office/word/2010/wordprocessingShape">
                    <wps:wsp>
                      <wps:cNvSpPr/>
                      <wps:spPr>
                        <a:xfrm>
                          <a:off x="0" y="0"/>
                          <a:ext cx="1525138" cy="4013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250FF0"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 xml:space="preserve">77 analyzed </w:t>
                            </w:r>
                            <w:r w:rsidRPr="00097C51">
                              <w:rPr>
                                <w:b/>
                                <w:color w:val="000000" w:themeColor="text1"/>
                                <w:kern w:val="24"/>
                                <w:sz w:val="16"/>
                                <w:szCs w:val="16"/>
                              </w:rPr>
                              <w:t>for primary endpoint</w:t>
                            </w:r>
                          </w:p>
                        </w:txbxContent>
                      </wps:txbx>
                      <wps:bodyPr rtlCol="0" anchor="ctr"/>
                    </wps:wsp>
                  </a:graphicData>
                </a:graphic>
              </wp:anchor>
            </w:drawing>
          </mc:Choice>
          <mc:Fallback>
            <w:pict>
              <v:rect w14:anchorId="4925F119" id="Rectangle 10" o:spid="_x0000_s1044" style="position:absolute;margin-left:115.6pt;margin-top:5.55pt;width:120.1pt;height:31.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" fillcolor="window" strokecolor="windowText" strokeweight="1pt">
                <v:textbox>
                  <w:txbxContent>
                    <w:p w14:paraId="73250FF0"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 xml:space="preserve">77 analyzed </w:t>
                      </w:r>
                      <w:r w:rsidRPr="00097C51">
                        <w:rPr>
                          <w:b/>
                          <w:color w:val="000000" w:themeColor="text1"/>
                          <w:kern w:val="24"/>
                          <w:sz w:val="16"/>
                          <w:szCs w:val="16"/>
                        </w:rPr>
                        <w:t>for primary endpoint</w:t>
                      </w:r>
                    </w:p>
                  </w:txbxContent>
                </v:textbox>
              </v:rect>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92032" behindDoc="0" locked="0" layoutInCell="1" allowOverlap="1" wp14:anchorId="2A6FBE86" wp14:editId="1BECEE87">
                <wp:simplePos x="0" y="0"/>
                <wp:positionH relativeFrom="column">
                  <wp:posOffset>3413750</wp:posOffset>
                </wp:positionH>
                <wp:positionV relativeFrom="paragraph">
                  <wp:posOffset>70144</wp:posOffset>
                </wp:positionV>
                <wp:extent cx="1561142" cy="401343"/>
                <wp:effectExtent l="0" t="0" r="20320" b="17780"/>
                <wp:wrapNone/>
                <wp:docPr id="12" name="Rectangle 12"/>
                <wp:cNvGraphicFramePr/>
                <a:graphic xmlns:a="http://schemas.openxmlformats.org/drawingml/2006/main">
                  <a:graphicData uri="http://schemas.microsoft.com/office/word/2010/wordprocessingShape">
                    <wps:wsp>
                      <wps:cNvSpPr/>
                      <wps:spPr>
                        <a:xfrm>
                          <a:off x="0" y="0"/>
                          <a:ext cx="1561142" cy="401343"/>
                        </a:xfrm>
                        <a:prstGeom prst="rect">
                          <a:avLst/>
                        </a:prstGeom>
                        <a:solidFill>
                          <a:schemeClr val="bg1"/>
                        </a:solidFill>
                        <a:ln w="12700" cap="flat" cmpd="sng" algn="ctr">
                          <a:solidFill>
                            <a:sysClr val="windowText" lastClr="000000"/>
                          </a:solidFill>
                          <a:prstDash val="solid"/>
                          <a:miter lim="800000"/>
                        </a:ln>
                        <a:effectLst/>
                      </wps:spPr>
                      <wps:txbx>
                        <w:txbxContent>
                          <w:p w14:paraId="34BE5B75"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 xml:space="preserve">56 analyzed </w:t>
                            </w:r>
                            <w:r>
                              <w:rPr>
                                <w:b/>
                                <w:bCs/>
                                <w:color w:val="000000" w:themeColor="text1"/>
                                <w:kern w:val="24"/>
                                <w:sz w:val="16"/>
                                <w:szCs w:val="16"/>
                              </w:rPr>
                              <w:t>for primary endpoint</w:t>
                            </w:r>
                          </w:p>
                        </w:txbxContent>
                      </wps:txbx>
                      <wps:bodyPr rtlCol="0" anchor="ctr"/>
                    </wps:wsp>
                  </a:graphicData>
                </a:graphic>
              </wp:anchor>
            </w:drawing>
          </mc:Choice>
          <mc:Fallback>
            <w:pict>
              <v:rect w14:anchorId="2A6FBE86" id="Rectangle 12" o:spid="_x0000_s1045" style="position:absolute;margin-left:268.8pt;margin-top:5.5pt;width:122.9pt;height:31.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" fillcolor="white [3212]" strokecolor="windowText" strokeweight="1pt">
                <v:textbox>
                  <w:txbxContent>
                    <w:p w14:paraId="34BE5B75" w14:textId="77777777" w:rsidR="0031288A" w:rsidRPr="005B75C5" w:rsidRDefault="0031288A" w:rsidP="0031288A">
                      <w:pPr>
                        <w:pStyle w:val="NormalWeb"/>
                        <w:spacing w:before="0" w:beforeAutospacing="0" w:after="0" w:afterAutospacing="0"/>
                        <w:jc w:val="center"/>
                        <w:rPr>
                          <w:sz w:val="16"/>
                          <w:szCs w:val="16"/>
                        </w:rPr>
                      </w:pPr>
                      <w:r w:rsidRPr="005B75C5">
                        <w:rPr>
                          <w:b/>
                          <w:bCs/>
                          <w:color w:val="000000" w:themeColor="text1"/>
                          <w:kern w:val="24"/>
                          <w:sz w:val="16"/>
                          <w:szCs w:val="16"/>
                        </w:rPr>
                        <w:t xml:space="preserve">56 analyzed </w:t>
                      </w:r>
                      <w:r>
                        <w:rPr>
                          <w:b/>
                          <w:bCs/>
                          <w:color w:val="000000" w:themeColor="text1"/>
                          <w:kern w:val="24"/>
                          <w:sz w:val="16"/>
                          <w:szCs w:val="16"/>
                        </w:rPr>
                        <w:t>for primary endpoint</w:t>
                      </w:r>
                    </w:p>
                  </w:txbxContent>
                </v:textbox>
              </v:rect>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78720" behindDoc="0" locked="0" layoutInCell="1" allowOverlap="1" wp14:anchorId="6B876E55" wp14:editId="45A0A30C">
                <wp:simplePos x="0" y="0"/>
                <wp:positionH relativeFrom="column">
                  <wp:posOffset>1209675</wp:posOffset>
                </wp:positionH>
                <wp:positionV relativeFrom="paragraph">
                  <wp:posOffset>293062</wp:posOffset>
                </wp:positionV>
                <wp:extent cx="258230" cy="0"/>
                <wp:effectExtent l="38100" t="76200" r="0" b="95250"/>
                <wp:wrapNone/>
                <wp:docPr id="4"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823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90045C" id="Straight Arrow Connector 35" o:spid="_x0000_s1026" type="#_x0000_t32" style="position:absolute;margin-left:95.25pt;margin-top:23.1pt;width:20.3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" strokecolor="windowText" strokeweight=".5pt">
                <v:stroke endarrow="block" joinstyle="miter"/>
                <o:lock v:ext="edit" shapetype="f"/>
              </v:shape>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79744" behindDoc="0" locked="0" layoutInCell="1" allowOverlap="1" wp14:anchorId="3E9BDA0D" wp14:editId="7C0904A1">
                <wp:simplePos x="0" y="0"/>
                <wp:positionH relativeFrom="column">
                  <wp:posOffset>5180062</wp:posOffset>
                </wp:positionH>
                <wp:positionV relativeFrom="paragraph">
                  <wp:posOffset>72176</wp:posOffset>
                </wp:positionV>
                <wp:extent cx="1354088" cy="1890992"/>
                <wp:effectExtent l="0" t="0" r="17780" b="14605"/>
                <wp:wrapNone/>
                <wp:docPr id="25" name="Rectangle 25"/>
                <wp:cNvGraphicFramePr/>
                <a:graphic xmlns:a="http://schemas.openxmlformats.org/drawingml/2006/main">
                  <a:graphicData uri="http://schemas.microsoft.com/office/word/2010/wordprocessingShape">
                    <wps:wsp>
                      <wps:cNvSpPr/>
                      <wps:spPr>
                        <a:xfrm>
                          <a:off x="0" y="0"/>
                          <a:ext cx="1354088" cy="189099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2C2778"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 xml:space="preserve">1 excluded from </w:t>
                            </w:r>
                            <w:proofErr w:type="spellStart"/>
                            <w:r w:rsidRPr="008B1330">
                              <w:rPr>
                                <w:b/>
                                <w:color w:val="000000" w:themeColor="text1"/>
                                <w:kern w:val="24"/>
                                <w:sz w:val="16"/>
                                <w:szCs w:val="16"/>
                                <w:lang w:val="en-IN"/>
                              </w:rPr>
                              <w:t>DLT</w:t>
                            </w:r>
                            <w:proofErr w:type="spellEnd"/>
                            <w:r w:rsidRPr="008B1330">
                              <w:rPr>
                                <w:b/>
                                <w:color w:val="000000" w:themeColor="text1"/>
                                <w:kern w:val="24"/>
                                <w:sz w:val="16"/>
                                <w:szCs w:val="16"/>
                                <w:lang w:val="en-IN"/>
                              </w:rPr>
                              <w:t xml:space="preserve"> analysis</w:t>
                            </w:r>
                          </w:p>
                          <w:p w14:paraId="31F317F6" w14:textId="77777777" w:rsidR="0031288A" w:rsidRPr="005B75C5" w:rsidRDefault="0031288A" w:rsidP="0031288A">
                            <w:pPr>
                              <w:pStyle w:val="NormalWeb"/>
                              <w:spacing w:before="0" w:beforeAutospacing="0" w:after="0" w:afterAutospacing="0"/>
                              <w:ind w:left="180" w:hanging="180"/>
                              <w:rPr>
                                <w:sz w:val="16"/>
                                <w:szCs w:val="16"/>
                              </w:rPr>
                            </w:pPr>
                            <w:r w:rsidRPr="005B75C5">
                              <w:rPr>
                                <w:color w:val="000000" w:themeColor="text1"/>
                                <w:kern w:val="24"/>
                                <w:sz w:val="16"/>
                                <w:szCs w:val="16"/>
                                <w:lang w:val="en-IN"/>
                              </w:rPr>
                              <w:t xml:space="preserve">    D</w:t>
                            </w:r>
                            <w:r>
                              <w:rPr>
                                <w:color w:val="000000" w:themeColor="text1"/>
                                <w:kern w:val="24"/>
                                <w:sz w:val="16"/>
                                <w:szCs w:val="16"/>
                                <w:lang w:val="en-IN"/>
                              </w:rPr>
                              <w:t xml:space="preserve">isease progression prior to </w:t>
                            </w:r>
                            <w:r w:rsidRPr="005B75C5">
                              <w:rPr>
                                <w:color w:val="000000" w:themeColor="text1"/>
                                <w:kern w:val="24"/>
                                <w:sz w:val="16"/>
                                <w:szCs w:val="16"/>
                                <w:lang w:val="en-IN"/>
                              </w:rPr>
                              <w:t>complet</w:t>
                            </w:r>
                            <w:r>
                              <w:rPr>
                                <w:color w:val="000000" w:themeColor="text1"/>
                                <w:kern w:val="24"/>
                                <w:sz w:val="16"/>
                                <w:szCs w:val="16"/>
                                <w:lang w:val="en-IN"/>
                              </w:rPr>
                              <w:t>ion of</w:t>
                            </w:r>
                            <w:r w:rsidRPr="005B75C5">
                              <w:rPr>
                                <w:color w:val="000000" w:themeColor="text1"/>
                                <w:kern w:val="24"/>
                                <w:sz w:val="16"/>
                                <w:szCs w:val="16"/>
                                <w:lang w:val="en-IN"/>
                              </w:rPr>
                              <w:t xml:space="preserve"> DLT </w:t>
                            </w:r>
                            <w:r>
                              <w:rPr>
                                <w:color w:val="000000" w:themeColor="text1"/>
                                <w:kern w:val="24"/>
                                <w:sz w:val="16"/>
                                <w:szCs w:val="16"/>
                                <w:lang w:val="en-IN"/>
                              </w:rPr>
                              <w:t xml:space="preserve"> p</w:t>
                            </w:r>
                            <w:r w:rsidRPr="005B75C5">
                              <w:rPr>
                                <w:color w:val="000000" w:themeColor="text1"/>
                                <w:kern w:val="24"/>
                                <w:sz w:val="16"/>
                                <w:szCs w:val="16"/>
                                <w:lang w:val="en-IN"/>
                              </w:rPr>
                              <w:t>eriod</w:t>
                            </w:r>
                            <w:r>
                              <w:rPr>
                                <w:color w:val="000000" w:themeColor="text1"/>
                                <w:kern w:val="24"/>
                                <w:sz w:val="16"/>
                                <w:szCs w:val="16"/>
                                <w:lang w:val="en-IN"/>
                              </w:rPr>
                              <w:t>. No DLTs</w:t>
                            </w:r>
                          </w:p>
                          <w:p w14:paraId="55EB0B63"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3 excluded from efficacy analysis</w:t>
                            </w:r>
                            <w:r>
                              <w:rPr>
                                <w:b/>
                                <w:color w:val="000000" w:themeColor="text1"/>
                                <w:kern w:val="24"/>
                                <w:sz w:val="16"/>
                                <w:szCs w:val="16"/>
                                <w:lang w:val="en-IN"/>
                              </w:rPr>
                              <w:t>#</w:t>
                            </w:r>
                            <w:r w:rsidRPr="008B1330">
                              <w:rPr>
                                <w:b/>
                                <w:color w:val="000000" w:themeColor="text1"/>
                                <w:kern w:val="24"/>
                                <w:sz w:val="16"/>
                                <w:szCs w:val="16"/>
                                <w:lang w:val="en-IN"/>
                              </w:rPr>
                              <w:t xml:space="preserve"> </w:t>
                            </w:r>
                          </w:p>
                          <w:p w14:paraId="3520B8B2" w14:textId="77777777" w:rsidR="0031288A" w:rsidRPr="0076375C" w:rsidRDefault="0031288A" w:rsidP="0031288A">
                            <w:pPr>
                              <w:pStyle w:val="NormalWeb"/>
                              <w:spacing w:before="0" w:beforeAutospacing="0" w:after="0" w:afterAutospacing="0"/>
                              <w:rPr>
                                <w:color w:val="000000" w:themeColor="text1"/>
                                <w:kern w:val="24"/>
                                <w:sz w:val="16"/>
                                <w:szCs w:val="16"/>
                                <w:lang w:val="en-IN"/>
                              </w:rPr>
                            </w:pPr>
                            <w:r w:rsidRPr="0076375C">
                              <w:rPr>
                                <w:color w:val="000000" w:themeColor="text1"/>
                                <w:kern w:val="24"/>
                                <w:sz w:val="16"/>
                                <w:szCs w:val="16"/>
                                <w:lang w:val="en-IN"/>
                              </w:rPr>
                              <w:t xml:space="preserve">     No valid post-baseline </w:t>
                            </w:r>
                          </w:p>
                          <w:p w14:paraId="435A5570" w14:textId="77777777" w:rsidR="0031288A" w:rsidRPr="0076375C" w:rsidRDefault="0031288A" w:rsidP="0031288A">
                            <w:pPr>
                              <w:pStyle w:val="NormalWeb"/>
                              <w:spacing w:before="0" w:beforeAutospacing="0" w:after="0" w:afterAutospacing="0"/>
                              <w:rPr>
                                <w:color w:val="000000" w:themeColor="text1"/>
                                <w:kern w:val="24"/>
                                <w:sz w:val="16"/>
                                <w:szCs w:val="16"/>
                                <w:lang w:val="en-IN"/>
                              </w:rPr>
                            </w:pPr>
                            <w:r w:rsidRPr="0076375C">
                              <w:rPr>
                                <w:color w:val="000000" w:themeColor="text1"/>
                                <w:kern w:val="24"/>
                                <w:sz w:val="16"/>
                                <w:szCs w:val="16"/>
                                <w:lang w:val="en-IN"/>
                              </w:rPr>
                              <w:t xml:space="preserve">     disease assessment prior </w:t>
                            </w:r>
                          </w:p>
                          <w:p w14:paraId="7B8C7C2E" w14:textId="77777777" w:rsidR="0031288A" w:rsidRPr="005B75C5" w:rsidRDefault="0031288A" w:rsidP="0031288A">
                            <w:pPr>
                              <w:pStyle w:val="NormalWeb"/>
                              <w:spacing w:before="0" w:beforeAutospacing="0" w:after="0" w:afterAutospacing="0"/>
                              <w:rPr>
                                <w:sz w:val="16"/>
                                <w:szCs w:val="16"/>
                              </w:rPr>
                            </w:pPr>
                            <w:r w:rsidRPr="0076375C">
                              <w:rPr>
                                <w:color w:val="000000" w:themeColor="text1"/>
                                <w:kern w:val="24"/>
                                <w:sz w:val="16"/>
                                <w:szCs w:val="16"/>
                                <w:lang w:val="en-IN"/>
                              </w:rPr>
                              <w:t xml:space="preserve">     to subsequent therapy</w:t>
                            </w:r>
                          </w:p>
                          <w:p w14:paraId="5784F063"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5 excluded from IHC analysis</w:t>
                            </w:r>
                          </w:p>
                          <w:p w14:paraId="2206F396" w14:textId="77777777" w:rsidR="0031288A" w:rsidRDefault="0031288A" w:rsidP="0031288A">
                            <w:pPr>
                              <w:pStyle w:val="NormalWeb"/>
                              <w:spacing w:before="0" w:beforeAutospacing="0" w:after="0" w:afterAutospacing="0"/>
                              <w:rPr>
                                <w:color w:val="000000" w:themeColor="text1"/>
                                <w:kern w:val="24"/>
                                <w:sz w:val="16"/>
                                <w:szCs w:val="16"/>
                                <w:lang w:val="en-IN"/>
                              </w:rPr>
                            </w:pPr>
                            <w:r w:rsidRPr="005B75C5">
                              <w:rPr>
                                <w:color w:val="000000" w:themeColor="text1"/>
                                <w:kern w:val="24"/>
                                <w:sz w:val="16"/>
                                <w:szCs w:val="16"/>
                                <w:lang w:val="en-IN"/>
                              </w:rPr>
                              <w:t xml:space="preserve">      Biopsy/correlative </w:t>
                            </w:r>
                          </w:p>
                          <w:p w14:paraId="7FBB915D" w14:textId="77777777" w:rsidR="0031288A" w:rsidRPr="005B75C5" w:rsidRDefault="0031288A" w:rsidP="0031288A">
                            <w:pPr>
                              <w:pStyle w:val="NormalWeb"/>
                              <w:spacing w:before="0" w:beforeAutospacing="0" w:after="0" w:afterAutospacing="0"/>
                              <w:rPr>
                                <w:sz w:val="16"/>
                                <w:szCs w:val="16"/>
                              </w:rPr>
                            </w:pPr>
                            <w:r>
                              <w:rPr>
                                <w:color w:val="000000" w:themeColor="text1"/>
                                <w:kern w:val="24"/>
                                <w:sz w:val="16"/>
                                <w:szCs w:val="16"/>
                                <w:lang w:val="en-IN"/>
                              </w:rPr>
                              <w:t xml:space="preserve">      </w:t>
                            </w:r>
                            <w:r w:rsidRPr="005B75C5">
                              <w:rPr>
                                <w:color w:val="000000" w:themeColor="text1"/>
                                <w:kern w:val="24"/>
                                <w:sz w:val="16"/>
                                <w:szCs w:val="16"/>
                                <w:lang w:val="en-IN"/>
                              </w:rPr>
                              <w:t>endpoint</w:t>
                            </w:r>
                            <w:r>
                              <w:rPr>
                                <w:color w:val="000000" w:themeColor="text1"/>
                                <w:kern w:val="24"/>
                                <w:sz w:val="16"/>
                                <w:szCs w:val="16"/>
                                <w:lang w:val="en-IN"/>
                              </w:rPr>
                              <w:t xml:space="preserve"> </w:t>
                            </w:r>
                            <w:r w:rsidRPr="005B75C5">
                              <w:rPr>
                                <w:color w:val="000000" w:themeColor="text1"/>
                                <w:kern w:val="24"/>
                                <w:sz w:val="16"/>
                                <w:szCs w:val="16"/>
                                <w:lang w:val="en-IN"/>
                              </w:rPr>
                              <w:t>not available</w:t>
                            </w:r>
                          </w:p>
                        </w:txbxContent>
                      </wps:txbx>
                      <wps:bodyPr rtlCol="0" anchor="ctr"/>
                    </wps:wsp>
                  </a:graphicData>
                </a:graphic>
              </wp:anchor>
            </w:drawing>
          </mc:Choice>
          <mc:Fallback>
            <w:pict>
              <v:rect w14:anchorId="3E9BDA0D" id="Rectangle 25" o:spid="_x0000_s1046" style="position:absolute;margin-left:407.9pt;margin-top:5.7pt;width:106.6pt;height:148.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" fillcolor="window" strokecolor="windowText" strokeweight="1pt">
                <v:textbox>
                  <w:txbxContent>
                    <w:p w14:paraId="4D2C2778"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 xml:space="preserve">1 excluded from </w:t>
                      </w:r>
                      <w:proofErr w:type="spellStart"/>
                      <w:r w:rsidRPr="008B1330">
                        <w:rPr>
                          <w:b/>
                          <w:color w:val="000000" w:themeColor="text1"/>
                          <w:kern w:val="24"/>
                          <w:sz w:val="16"/>
                          <w:szCs w:val="16"/>
                          <w:lang w:val="en-IN"/>
                        </w:rPr>
                        <w:t>DLT</w:t>
                      </w:r>
                      <w:proofErr w:type="spellEnd"/>
                      <w:r w:rsidRPr="008B1330">
                        <w:rPr>
                          <w:b/>
                          <w:color w:val="000000" w:themeColor="text1"/>
                          <w:kern w:val="24"/>
                          <w:sz w:val="16"/>
                          <w:szCs w:val="16"/>
                          <w:lang w:val="en-IN"/>
                        </w:rPr>
                        <w:t xml:space="preserve"> analysis</w:t>
                      </w:r>
                    </w:p>
                    <w:p w14:paraId="31F317F6" w14:textId="77777777" w:rsidR="0031288A" w:rsidRPr="005B75C5" w:rsidRDefault="0031288A" w:rsidP="0031288A">
                      <w:pPr>
                        <w:pStyle w:val="NormalWeb"/>
                        <w:spacing w:before="0" w:beforeAutospacing="0" w:after="0" w:afterAutospacing="0"/>
                        <w:ind w:left="180" w:hanging="180"/>
                        <w:rPr>
                          <w:sz w:val="16"/>
                          <w:szCs w:val="16"/>
                        </w:rPr>
                      </w:pPr>
                      <w:r w:rsidRPr="005B75C5">
                        <w:rPr>
                          <w:color w:val="000000" w:themeColor="text1"/>
                          <w:kern w:val="24"/>
                          <w:sz w:val="16"/>
                          <w:szCs w:val="16"/>
                          <w:lang w:val="en-IN"/>
                        </w:rPr>
                        <w:t xml:space="preserve">    D</w:t>
                      </w:r>
                      <w:r>
                        <w:rPr>
                          <w:color w:val="000000" w:themeColor="text1"/>
                          <w:kern w:val="24"/>
                          <w:sz w:val="16"/>
                          <w:szCs w:val="16"/>
                          <w:lang w:val="en-IN"/>
                        </w:rPr>
                        <w:t xml:space="preserve">isease progression prior to </w:t>
                      </w:r>
                      <w:r w:rsidRPr="005B75C5">
                        <w:rPr>
                          <w:color w:val="000000" w:themeColor="text1"/>
                          <w:kern w:val="24"/>
                          <w:sz w:val="16"/>
                          <w:szCs w:val="16"/>
                          <w:lang w:val="en-IN"/>
                        </w:rPr>
                        <w:t>complet</w:t>
                      </w:r>
                      <w:r>
                        <w:rPr>
                          <w:color w:val="000000" w:themeColor="text1"/>
                          <w:kern w:val="24"/>
                          <w:sz w:val="16"/>
                          <w:szCs w:val="16"/>
                          <w:lang w:val="en-IN"/>
                        </w:rPr>
                        <w:t>ion of</w:t>
                      </w:r>
                      <w:r w:rsidRPr="005B75C5">
                        <w:rPr>
                          <w:color w:val="000000" w:themeColor="text1"/>
                          <w:kern w:val="24"/>
                          <w:sz w:val="16"/>
                          <w:szCs w:val="16"/>
                          <w:lang w:val="en-IN"/>
                        </w:rPr>
                        <w:t xml:space="preserve"> DLT </w:t>
                      </w:r>
                      <w:r>
                        <w:rPr>
                          <w:color w:val="000000" w:themeColor="text1"/>
                          <w:kern w:val="24"/>
                          <w:sz w:val="16"/>
                          <w:szCs w:val="16"/>
                          <w:lang w:val="en-IN"/>
                        </w:rPr>
                        <w:t xml:space="preserve"> p</w:t>
                      </w:r>
                      <w:r w:rsidRPr="005B75C5">
                        <w:rPr>
                          <w:color w:val="000000" w:themeColor="text1"/>
                          <w:kern w:val="24"/>
                          <w:sz w:val="16"/>
                          <w:szCs w:val="16"/>
                          <w:lang w:val="en-IN"/>
                        </w:rPr>
                        <w:t>eriod</w:t>
                      </w:r>
                      <w:r>
                        <w:rPr>
                          <w:color w:val="000000" w:themeColor="text1"/>
                          <w:kern w:val="24"/>
                          <w:sz w:val="16"/>
                          <w:szCs w:val="16"/>
                          <w:lang w:val="en-IN"/>
                        </w:rPr>
                        <w:t>. No DLTs</w:t>
                      </w:r>
                    </w:p>
                    <w:p w14:paraId="55EB0B63"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3 excluded from efficacy analysis</w:t>
                      </w:r>
                      <w:r>
                        <w:rPr>
                          <w:b/>
                          <w:color w:val="000000" w:themeColor="text1"/>
                          <w:kern w:val="24"/>
                          <w:sz w:val="16"/>
                          <w:szCs w:val="16"/>
                          <w:lang w:val="en-IN"/>
                        </w:rPr>
                        <w:t>#</w:t>
                      </w:r>
                      <w:r w:rsidRPr="008B1330">
                        <w:rPr>
                          <w:b/>
                          <w:color w:val="000000" w:themeColor="text1"/>
                          <w:kern w:val="24"/>
                          <w:sz w:val="16"/>
                          <w:szCs w:val="16"/>
                          <w:lang w:val="en-IN"/>
                        </w:rPr>
                        <w:t xml:space="preserve"> </w:t>
                      </w:r>
                    </w:p>
                    <w:p w14:paraId="3520B8B2" w14:textId="77777777" w:rsidR="0031288A" w:rsidRPr="0076375C" w:rsidRDefault="0031288A" w:rsidP="0031288A">
                      <w:pPr>
                        <w:pStyle w:val="NormalWeb"/>
                        <w:spacing w:before="0" w:beforeAutospacing="0" w:after="0" w:afterAutospacing="0"/>
                        <w:rPr>
                          <w:color w:val="000000" w:themeColor="text1"/>
                          <w:kern w:val="24"/>
                          <w:sz w:val="16"/>
                          <w:szCs w:val="16"/>
                          <w:lang w:val="en-IN"/>
                        </w:rPr>
                      </w:pPr>
                      <w:r w:rsidRPr="0076375C">
                        <w:rPr>
                          <w:color w:val="000000" w:themeColor="text1"/>
                          <w:kern w:val="24"/>
                          <w:sz w:val="16"/>
                          <w:szCs w:val="16"/>
                          <w:lang w:val="en-IN"/>
                        </w:rPr>
                        <w:t xml:space="preserve">     No valid post-baseline </w:t>
                      </w:r>
                    </w:p>
                    <w:p w14:paraId="435A5570" w14:textId="77777777" w:rsidR="0031288A" w:rsidRPr="0076375C" w:rsidRDefault="0031288A" w:rsidP="0031288A">
                      <w:pPr>
                        <w:pStyle w:val="NormalWeb"/>
                        <w:spacing w:before="0" w:beforeAutospacing="0" w:after="0" w:afterAutospacing="0"/>
                        <w:rPr>
                          <w:color w:val="000000" w:themeColor="text1"/>
                          <w:kern w:val="24"/>
                          <w:sz w:val="16"/>
                          <w:szCs w:val="16"/>
                          <w:lang w:val="en-IN"/>
                        </w:rPr>
                      </w:pPr>
                      <w:r w:rsidRPr="0076375C">
                        <w:rPr>
                          <w:color w:val="000000" w:themeColor="text1"/>
                          <w:kern w:val="24"/>
                          <w:sz w:val="16"/>
                          <w:szCs w:val="16"/>
                          <w:lang w:val="en-IN"/>
                        </w:rPr>
                        <w:t xml:space="preserve">     disease assessment prior </w:t>
                      </w:r>
                    </w:p>
                    <w:p w14:paraId="7B8C7C2E" w14:textId="77777777" w:rsidR="0031288A" w:rsidRPr="005B75C5" w:rsidRDefault="0031288A" w:rsidP="0031288A">
                      <w:pPr>
                        <w:pStyle w:val="NormalWeb"/>
                        <w:spacing w:before="0" w:beforeAutospacing="0" w:after="0" w:afterAutospacing="0"/>
                        <w:rPr>
                          <w:sz w:val="16"/>
                          <w:szCs w:val="16"/>
                        </w:rPr>
                      </w:pPr>
                      <w:r w:rsidRPr="0076375C">
                        <w:rPr>
                          <w:color w:val="000000" w:themeColor="text1"/>
                          <w:kern w:val="24"/>
                          <w:sz w:val="16"/>
                          <w:szCs w:val="16"/>
                          <w:lang w:val="en-IN"/>
                        </w:rPr>
                        <w:t xml:space="preserve">     to subsequent therapy</w:t>
                      </w:r>
                    </w:p>
                    <w:p w14:paraId="5784F063" w14:textId="77777777" w:rsidR="0031288A" w:rsidRPr="008B1330" w:rsidRDefault="0031288A" w:rsidP="0031288A">
                      <w:pPr>
                        <w:pStyle w:val="NormalWeb"/>
                        <w:spacing w:before="0" w:beforeAutospacing="0" w:after="0" w:afterAutospacing="0"/>
                        <w:rPr>
                          <w:b/>
                          <w:sz w:val="16"/>
                          <w:szCs w:val="16"/>
                        </w:rPr>
                      </w:pPr>
                      <w:r w:rsidRPr="008B1330">
                        <w:rPr>
                          <w:b/>
                          <w:color w:val="000000" w:themeColor="text1"/>
                          <w:kern w:val="24"/>
                          <w:sz w:val="16"/>
                          <w:szCs w:val="16"/>
                          <w:lang w:val="en-IN"/>
                        </w:rPr>
                        <w:t>5 excluded from IHC analysis</w:t>
                      </w:r>
                    </w:p>
                    <w:p w14:paraId="2206F396" w14:textId="77777777" w:rsidR="0031288A" w:rsidRDefault="0031288A" w:rsidP="0031288A">
                      <w:pPr>
                        <w:pStyle w:val="NormalWeb"/>
                        <w:spacing w:before="0" w:beforeAutospacing="0" w:after="0" w:afterAutospacing="0"/>
                        <w:rPr>
                          <w:color w:val="000000" w:themeColor="text1"/>
                          <w:kern w:val="24"/>
                          <w:sz w:val="16"/>
                          <w:szCs w:val="16"/>
                          <w:lang w:val="en-IN"/>
                        </w:rPr>
                      </w:pPr>
                      <w:r w:rsidRPr="005B75C5">
                        <w:rPr>
                          <w:color w:val="000000" w:themeColor="text1"/>
                          <w:kern w:val="24"/>
                          <w:sz w:val="16"/>
                          <w:szCs w:val="16"/>
                          <w:lang w:val="en-IN"/>
                        </w:rPr>
                        <w:t xml:space="preserve">      Biopsy/correlative </w:t>
                      </w:r>
                    </w:p>
                    <w:p w14:paraId="7FBB915D" w14:textId="77777777" w:rsidR="0031288A" w:rsidRPr="005B75C5" w:rsidRDefault="0031288A" w:rsidP="0031288A">
                      <w:pPr>
                        <w:pStyle w:val="NormalWeb"/>
                        <w:spacing w:before="0" w:beforeAutospacing="0" w:after="0" w:afterAutospacing="0"/>
                        <w:rPr>
                          <w:sz w:val="16"/>
                          <w:szCs w:val="16"/>
                        </w:rPr>
                      </w:pPr>
                      <w:r>
                        <w:rPr>
                          <w:color w:val="000000" w:themeColor="text1"/>
                          <w:kern w:val="24"/>
                          <w:sz w:val="16"/>
                          <w:szCs w:val="16"/>
                          <w:lang w:val="en-IN"/>
                        </w:rPr>
                        <w:t xml:space="preserve">      </w:t>
                      </w:r>
                      <w:r w:rsidRPr="005B75C5">
                        <w:rPr>
                          <w:color w:val="000000" w:themeColor="text1"/>
                          <w:kern w:val="24"/>
                          <w:sz w:val="16"/>
                          <w:szCs w:val="16"/>
                          <w:lang w:val="en-IN"/>
                        </w:rPr>
                        <w:t>endpoint</w:t>
                      </w:r>
                      <w:r>
                        <w:rPr>
                          <w:color w:val="000000" w:themeColor="text1"/>
                          <w:kern w:val="24"/>
                          <w:sz w:val="16"/>
                          <w:szCs w:val="16"/>
                          <w:lang w:val="en-IN"/>
                        </w:rPr>
                        <w:t xml:space="preserve"> </w:t>
                      </w:r>
                      <w:r w:rsidRPr="005B75C5">
                        <w:rPr>
                          <w:color w:val="000000" w:themeColor="text1"/>
                          <w:kern w:val="24"/>
                          <w:sz w:val="16"/>
                          <w:szCs w:val="16"/>
                          <w:lang w:val="en-IN"/>
                        </w:rPr>
                        <w:t>not available</w:t>
                      </w:r>
                    </w:p>
                  </w:txbxContent>
                </v:textbox>
              </v:rect>
            </w:pict>
          </mc:Fallback>
        </mc:AlternateContent>
      </w:r>
      <w:r>
        <w:rPr>
          <w:rFonts w:ascii="Times New Roman" w:hAnsi="Times New Roman" w:cs="Times New Roman"/>
          <w:bCs/>
          <w:noProof/>
          <w:sz w:val="20"/>
          <w:szCs w:val="20"/>
        </w:rPr>
        <mc:AlternateContent>
          <mc:Choice Requires="wps">
            <w:drawing>
              <wp:anchor distT="0" distB="0" distL="114300" distR="114300" simplePos="0" relativeHeight="251680768" behindDoc="0" locked="0" layoutInCell="1" allowOverlap="1" wp14:anchorId="01038183" wp14:editId="7E8C3D27">
                <wp:simplePos x="0" y="0"/>
                <wp:positionH relativeFrom="column">
                  <wp:posOffset>4696724</wp:posOffset>
                </wp:positionH>
                <wp:positionV relativeFrom="paragraph">
                  <wp:posOffset>288206</wp:posOffset>
                </wp:positionV>
                <wp:extent cx="485803" cy="0"/>
                <wp:effectExtent l="0" t="76200" r="9525" b="95250"/>
                <wp:wrapNone/>
                <wp:docPr id="42" name="Straight Arrow Connector 42"/>
                <wp:cNvGraphicFramePr/>
                <a:graphic xmlns:a="http://schemas.openxmlformats.org/drawingml/2006/main">
                  <a:graphicData uri="http://schemas.microsoft.com/office/word/2010/wordprocessingShape">
                    <wps:wsp>
                      <wps:cNvCnPr/>
                      <wps:spPr>
                        <a:xfrm>
                          <a:off x="0" y="0"/>
                          <a:ext cx="485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B58D32F" id="Straight Arrow Connector 42" o:spid="_x0000_s1026" type="#_x0000_t32" style="position:absolute;margin-left:369.8pt;margin-top:22.7pt;width:38.2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" strokecolor="windowText" strokeweight=".5pt">
                <v:stroke endarrow="block" joinstyle="miter"/>
              </v:shape>
            </w:pict>
          </mc:Fallback>
        </mc:AlternateContent>
      </w:r>
    </w:p>
    <w:p w14:paraId="352B3AA7" w14:textId="77777777" w:rsidR="00830F07" w:rsidRPr="001E0184" w:rsidRDefault="00830F07" w:rsidP="0031288A">
      <w:pPr>
        <w:rPr>
          <w:rFonts w:ascii="Times New Roman" w:hAnsi="Times New Roman" w:cs="Times New Roman"/>
          <w:bCs/>
          <w:sz w:val="20"/>
          <w:szCs w:val="20"/>
        </w:rPr>
      </w:pPr>
    </w:p>
    <w:p w14:paraId="5675F19B" w14:textId="77777777" w:rsidR="00830F07" w:rsidRPr="001E0184" w:rsidRDefault="00830F07" w:rsidP="0031288A">
      <w:pPr>
        <w:rPr>
          <w:rFonts w:ascii="Times New Roman" w:hAnsi="Times New Roman" w:cs="Times New Roman"/>
          <w:bCs/>
          <w:sz w:val="20"/>
          <w:szCs w:val="20"/>
        </w:rPr>
      </w:pPr>
    </w:p>
    <w:p w14:paraId="05C2B874" w14:textId="77777777" w:rsidR="00830F07" w:rsidRPr="001E0184" w:rsidRDefault="00830F07" w:rsidP="0031288A">
      <w:pPr>
        <w:rPr>
          <w:rFonts w:ascii="Times New Roman" w:hAnsi="Times New Roman" w:cs="Times New Roman"/>
          <w:bCs/>
          <w:sz w:val="20"/>
          <w:szCs w:val="20"/>
        </w:rPr>
      </w:pPr>
    </w:p>
    <w:p w14:paraId="1A2AF842" w14:textId="77777777" w:rsidR="00830F07" w:rsidRPr="001E0184" w:rsidRDefault="00830F07" w:rsidP="0031288A">
      <w:pPr>
        <w:rPr>
          <w:rFonts w:ascii="Times New Roman" w:hAnsi="Times New Roman" w:cs="Times New Roman"/>
          <w:bCs/>
          <w:sz w:val="20"/>
          <w:szCs w:val="20"/>
        </w:rPr>
      </w:pPr>
    </w:p>
    <w:bookmarkEnd w:id="52"/>
    <w:p w14:paraId="7D82C5B4" w14:textId="77777777" w:rsidR="00830F07" w:rsidRPr="001E0184" w:rsidRDefault="00830F07" w:rsidP="0031288A">
      <w:pPr>
        <w:rPr>
          <w:rFonts w:ascii="Times New Roman" w:hAnsi="Times New Roman" w:cs="Times New Roman"/>
          <w:bCs/>
          <w:sz w:val="20"/>
          <w:szCs w:val="20"/>
        </w:rPr>
      </w:pPr>
    </w:p>
    <w:p w14:paraId="1CE78068" w14:textId="77777777" w:rsidR="00830F07" w:rsidRPr="001E0184" w:rsidRDefault="00830F07" w:rsidP="0031288A">
      <w:pPr>
        <w:rPr>
          <w:rFonts w:ascii="Times New Roman" w:hAnsi="Times New Roman" w:cs="Times New Roman"/>
          <w:bCs/>
          <w:sz w:val="20"/>
          <w:szCs w:val="20"/>
        </w:rPr>
      </w:pPr>
      <w:r w:rsidRPr="001E0184">
        <w:rPr>
          <w:rFonts w:ascii="Times New Roman" w:hAnsi="Times New Roman" w:cs="Times New Roman"/>
          <w:bCs/>
          <w:sz w:val="20"/>
          <w:szCs w:val="20"/>
        </w:rPr>
        <w:lastRenderedPageBreak/>
        <w:t>*One patient received an unplanned overdose of 300 µg/kg for the first dose but continued in the study with subsequent dosing, as planned, at 30 µg/kg.</w:t>
      </w:r>
    </w:p>
    <w:p w14:paraId="7835CC8D" w14:textId="77777777" w:rsidR="00830F07" w:rsidRPr="001E0184" w:rsidRDefault="00830F07" w:rsidP="0031288A">
      <w:pPr>
        <w:rPr>
          <w:rFonts w:ascii="Times New Roman" w:hAnsi="Times New Roman" w:cs="Times New Roman"/>
          <w:bCs/>
          <w:sz w:val="20"/>
          <w:szCs w:val="20"/>
        </w:rPr>
      </w:pPr>
      <w:r w:rsidRPr="001E0184">
        <w:rPr>
          <w:rFonts w:ascii="Times New Roman" w:hAnsi="Times New Roman" w:cs="Times New Roman"/>
          <w:bCs/>
          <w:sz w:val="20"/>
          <w:szCs w:val="20"/>
        </w:rPr>
        <w:t xml:space="preserve">†Other reasons for treatment discontinuation in the cHL cohort included transition to transplant (n=7), decision by patient (n=2), per protocol temporary halt on the study (screening and dosing) (n=2), and treatment discontinuation due to GBS risk (n=1). </w:t>
      </w:r>
    </w:p>
    <w:p w14:paraId="42F534F5" w14:textId="77777777" w:rsidR="00830F07" w:rsidRPr="001E0184" w:rsidRDefault="00830F07" w:rsidP="0031288A">
      <w:pPr>
        <w:rPr>
          <w:rFonts w:ascii="Times New Roman" w:hAnsi="Times New Roman" w:cs="Times New Roman"/>
          <w:bCs/>
          <w:sz w:val="20"/>
          <w:szCs w:val="20"/>
        </w:rPr>
      </w:pPr>
      <w:r w:rsidRPr="001E0184">
        <w:rPr>
          <w:rFonts w:ascii="Times New Roman" w:hAnsi="Times New Roman" w:cs="Times New Roman"/>
          <w:bCs/>
          <w:sz w:val="20"/>
          <w:szCs w:val="20"/>
        </w:rPr>
        <w:t xml:space="preserve">‡Other reasons for treatment discontinuation in the NHL cohort included decision by patient (n=2), lack of response (n=1), and partial clinical hold by the US FDA (n=1). </w:t>
      </w:r>
    </w:p>
    <w:p w14:paraId="53FD7F08" w14:textId="77777777" w:rsidR="00830F07" w:rsidRPr="001E0184" w:rsidRDefault="00830F07" w:rsidP="0031288A">
      <w:pPr>
        <w:rPr>
          <w:rFonts w:ascii="Times New Roman" w:hAnsi="Times New Roman" w:cs="Times New Roman"/>
          <w:bCs/>
          <w:sz w:val="20"/>
          <w:szCs w:val="20"/>
        </w:rPr>
      </w:pPr>
      <w:r w:rsidRPr="001E0184">
        <w:rPr>
          <w:rFonts w:ascii="Times New Roman" w:hAnsi="Times New Roman" w:cs="Times New Roman"/>
          <w:bCs/>
          <w:sz w:val="20"/>
          <w:szCs w:val="20"/>
        </w:rPr>
        <w:t xml:space="preserve">§Other reasons for study discontinuation in the cHL cohort included study terminated by the Sponsor (n=8), toxicity (n=1), and transition to palliative care (n=1). </w:t>
      </w:r>
    </w:p>
    <w:p w14:paraId="3EFF428D" w14:textId="77777777" w:rsidR="00830F07" w:rsidRDefault="00830F07" w:rsidP="0031288A">
      <w:pPr>
        <w:rPr>
          <w:rFonts w:ascii="Times New Roman" w:hAnsi="Times New Roman" w:cs="Times New Roman"/>
          <w:bCs/>
          <w:sz w:val="20"/>
          <w:szCs w:val="20"/>
        </w:rPr>
      </w:pPr>
      <w:r w:rsidRPr="0076375C">
        <w:rPr>
          <w:rFonts w:ascii="Times New Roman" w:hAnsi="Times New Roman" w:cs="Times New Roman"/>
          <w:sz w:val="20"/>
          <w:szCs w:val="20"/>
        </w:rPr>
        <w:t>||</w:t>
      </w:r>
      <w:r w:rsidRPr="001E0184">
        <w:rPr>
          <w:rFonts w:ascii="Times New Roman" w:hAnsi="Times New Roman" w:cs="Times New Roman"/>
          <w:bCs/>
          <w:sz w:val="20"/>
          <w:szCs w:val="20"/>
        </w:rPr>
        <w:t>Other reasons for study discontinuation in the NHL cohort included decision by Sponsor (n=3), toxicity (n=1), transition to palliative care (n=1), and partial clinical hold by the US FDA (n=1).</w:t>
      </w:r>
    </w:p>
    <w:p w14:paraId="61A90399" w14:textId="77777777" w:rsidR="00830F07" w:rsidRPr="001E0184" w:rsidRDefault="00830F07" w:rsidP="0031288A">
      <w:pPr>
        <w:rPr>
          <w:rFonts w:ascii="Times New Roman" w:hAnsi="Times New Roman" w:cs="Times New Roman"/>
          <w:bCs/>
          <w:sz w:val="20"/>
          <w:szCs w:val="20"/>
        </w:rPr>
      </w:pPr>
      <w:r>
        <w:rPr>
          <w:rFonts w:ascii="Times New Roman" w:hAnsi="Times New Roman" w:cs="Times New Roman"/>
          <w:bCs/>
          <w:sz w:val="20"/>
          <w:szCs w:val="20"/>
        </w:rPr>
        <w:t>#Progressive disease or death was not reported for these three patients.</w:t>
      </w:r>
    </w:p>
    <w:p w14:paraId="2BFBDF66" w14:textId="77777777" w:rsidR="00830F07" w:rsidRDefault="00830F07" w:rsidP="0031288A">
      <w:pPr>
        <w:rPr>
          <w:rFonts w:ascii="Times New Roman" w:hAnsi="Times New Roman" w:cs="Times New Roman"/>
          <w:bCs/>
          <w:sz w:val="20"/>
          <w:szCs w:val="20"/>
        </w:rPr>
      </w:pPr>
      <w:r w:rsidRPr="001E0184">
        <w:rPr>
          <w:rFonts w:ascii="Times New Roman" w:hAnsi="Times New Roman" w:cs="Times New Roman"/>
          <w:bCs/>
          <w:sz w:val="20"/>
          <w:szCs w:val="20"/>
        </w:rPr>
        <w:t xml:space="preserve">cHL, classical Hodgkin lymphoma; </w:t>
      </w:r>
      <w:proofErr w:type="spellStart"/>
      <w:r w:rsidRPr="001E0184">
        <w:rPr>
          <w:rFonts w:ascii="Times New Roman" w:hAnsi="Times New Roman" w:cs="Times New Roman"/>
          <w:bCs/>
          <w:sz w:val="20"/>
          <w:szCs w:val="20"/>
        </w:rPr>
        <w:t>DLT</w:t>
      </w:r>
      <w:proofErr w:type="spellEnd"/>
      <w:r w:rsidRPr="001E0184">
        <w:rPr>
          <w:rFonts w:ascii="Times New Roman" w:hAnsi="Times New Roman" w:cs="Times New Roman"/>
          <w:bCs/>
          <w:sz w:val="20"/>
          <w:szCs w:val="20"/>
        </w:rPr>
        <w:t xml:space="preserve">, dose-limiting toxicity; FDA, Food and Drug Administration; GBS, Guillain–Barré syndrome; </w:t>
      </w:r>
      <w:proofErr w:type="spellStart"/>
      <w:r w:rsidRPr="001E0184">
        <w:rPr>
          <w:rFonts w:ascii="Times New Roman" w:hAnsi="Times New Roman" w:cs="Times New Roman"/>
          <w:bCs/>
          <w:sz w:val="20"/>
          <w:szCs w:val="20"/>
        </w:rPr>
        <w:t>IHC</w:t>
      </w:r>
      <w:proofErr w:type="spellEnd"/>
      <w:r w:rsidRPr="001E0184">
        <w:rPr>
          <w:rFonts w:ascii="Times New Roman" w:hAnsi="Times New Roman" w:cs="Times New Roman"/>
          <w:bCs/>
          <w:sz w:val="20"/>
          <w:szCs w:val="20"/>
        </w:rPr>
        <w:t xml:space="preserve">, immunohistochemistry; NHL, non-Hodgkin lymphoma. </w:t>
      </w:r>
    </w:p>
    <w:p w14:paraId="78B60539" w14:textId="77777777" w:rsidR="00830F07" w:rsidRDefault="00830F07" w:rsidP="00C514FA">
      <w:pPr>
        <w:rPr>
          <w:rFonts w:ascii="Times New Roman" w:hAnsi="Times New Roman" w:cs="Times New Roman"/>
          <w:b/>
          <w:sz w:val="20"/>
          <w:szCs w:val="20"/>
        </w:rPr>
      </w:pPr>
      <w:r>
        <w:rPr>
          <w:rFonts w:ascii="Times New Roman" w:hAnsi="Times New Roman" w:cs="Times New Roman"/>
          <w:b/>
          <w:sz w:val="20"/>
          <w:szCs w:val="20"/>
        </w:rPr>
        <w:br w:type="page"/>
      </w:r>
    </w:p>
    <w:bookmarkEnd w:id="53"/>
    <w:p w14:paraId="79F34C3F" w14:textId="35122AC4" w:rsidR="00830F07" w:rsidRDefault="00830F07" w:rsidP="0031288A">
      <w:pPr>
        <w:rPr>
          <w:rFonts w:ascii="Times New Roman" w:hAnsi="Times New Roman" w:cs="Times New Roman"/>
          <w:b/>
          <w:sz w:val="20"/>
          <w:szCs w:val="20"/>
        </w:rPr>
      </w:pPr>
      <w:r w:rsidRPr="00297DBE">
        <w:rPr>
          <w:rFonts w:ascii="Times New Roman" w:hAnsi="Times New Roman" w:cs="Times New Roman"/>
          <w:b/>
          <w:sz w:val="20"/>
          <w:szCs w:val="20"/>
        </w:rPr>
        <w:lastRenderedPageBreak/>
        <w:t xml:space="preserve">Figure </w:t>
      </w:r>
      <w:r>
        <w:rPr>
          <w:rFonts w:ascii="Times New Roman" w:hAnsi="Times New Roman" w:cs="Times New Roman"/>
          <w:b/>
          <w:sz w:val="20"/>
          <w:szCs w:val="20"/>
        </w:rPr>
        <w:t>2</w:t>
      </w:r>
      <w:r w:rsidRPr="00297DBE">
        <w:rPr>
          <w:rFonts w:ascii="Times New Roman" w:hAnsi="Times New Roman" w:cs="Times New Roman"/>
          <w:b/>
          <w:sz w:val="20"/>
          <w:szCs w:val="20"/>
        </w:rPr>
        <w:t>. Swimmer plot showing treatment responses for patients with (A) cHL and (B) NHL (efficacy analysis set)</w:t>
      </w:r>
      <w:bookmarkStart w:id="56" w:name="_Hlk40878878"/>
    </w:p>
    <w:p w14:paraId="05C10680" w14:textId="77777777" w:rsidR="00830F07" w:rsidRDefault="00830F07" w:rsidP="0031288A">
      <w:pPr>
        <w:rPr>
          <w:rFonts w:ascii="Times New Roman" w:hAnsi="Times New Roman" w:cs="Times New Roman"/>
          <w:b/>
          <w:sz w:val="20"/>
          <w:szCs w:val="20"/>
        </w:rPr>
      </w:pPr>
      <w:r>
        <w:rPr>
          <w:noProof/>
        </w:rPr>
        <w:drawing>
          <wp:inline distT="0" distB="0" distL="0" distR="0" wp14:anchorId="6512F4B5" wp14:editId="2342AC95">
            <wp:extent cx="5731510" cy="4076755"/>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076755"/>
                    </a:xfrm>
                    <a:prstGeom prst="rect">
                      <a:avLst/>
                    </a:prstGeom>
                  </pic:spPr>
                </pic:pic>
              </a:graphicData>
            </a:graphic>
          </wp:inline>
        </w:drawing>
      </w:r>
    </w:p>
    <w:p w14:paraId="5923087B" w14:textId="77777777" w:rsidR="00830F07" w:rsidRDefault="00830F07" w:rsidP="0031288A">
      <w:pPr>
        <w:rPr>
          <w:rFonts w:ascii="Times New Roman" w:hAnsi="Times New Roman" w:cs="Times New Roman"/>
          <w:b/>
          <w:sz w:val="20"/>
          <w:szCs w:val="20"/>
        </w:rPr>
      </w:pPr>
      <w:r>
        <w:rPr>
          <w:noProof/>
        </w:rPr>
        <w:drawing>
          <wp:inline distT="0" distB="0" distL="0" distR="0" wp14:anchorId="4FE38806" wp14:editId="66E63B59">
            <wp:extent cx="5828201" cy="3072747"/>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82" r="-1"/>
                    <a:stretch/>
                  </pic:blipFill>
                  <pic:spPr bwMode="auto">
                    <a:xfrm>
                      <a:off x="0" y="0"/>
                      <a:ext cx="5923594" cy="3123040"/>
                    </a:xfrm>
                    <a:prstGeom prst="rect">
                      <a:avLst/>
                    </a:prstGeom>
                    <a:ln>
                      <a:noFill/>
                    </a:ln>
                    <a:extLst>
                      <a:ext uri="{53640926-AAD7-44D8-BBD7-CCE9431645EC}">
                        <a14:shadowObscured xmlns:a14="http://schemas.microsoft.com/office/drawing/2010/main"/>
                      </a:ext>
                    </a:extLst>
                  </pic:spPr>
                </pic:pic>
              </a:graphicData>
            </a:graphic>
          </wp:inline>
        </w:drawing>
      </w:r>
    </w:p>
    <w:p w14:paraId="3009486D" w14:textId="77777777" w:rsidR="00830F07" w:rsidRPr="000B5499" w:rsidRDefault="00830F07" w:rsidP="0031288A">
      <w:pPr>
        <w:rPr>
          <w:rFonts w:ascii="Times New Roman" w:hAnsi="Times New Roman" w:cs="Times New Roman"/>
          <w:b/>
          <w:sz w:val="20"/>
          <w:szCs w:val="20"/>
        </w:rPr>
      </w:pPr>
    </w:p>
    <w:p w14:paraId="6F2C4D18" w14:textId="77777777" w:rsidR="00830F07" w:rsidRDefault="00830F07" w:rsidP="0031288A">
      <w:pPr>
        <w:rPr>
          <w:rFonts w:ascii="Times New Roman" w:hAnsi="Times New Roman" w:cs="Times New Roman"/>
          <w:sz w:val="20"/>
          <w:szCs w:val="20"/>
        </w:rPr>
      </w:pPr>
      <w:r w:rsidRPr="00297DBE">
        <w:rPr>
          <w:rFonts w:ascii="Times New Roman" w:hAnsi="Times New Roman" w:cs="Times New Roman"/>
          <w:sz w:val="20"/>
          <w:szCs w:val="20"/>
        </w:rPr>
        <w:lastRenderedPageBreak/>
        <w:t xml:space="preserve">Each bar represents one patient. *Only for censored patients who discontinued trial due to reasons other than progression or who go on to a different anticancer treatment. </w:t>
      </w:r>
      <w:r w:rsidRPr="00297DBE">
        <w:rPr>
          <w:rFonts w:ascii="Times New Roman" w:hAnsi="Times New Roman" w:cs="Times New Roman"/>
          <w:sz w:val="20"/>
          <w:szCs w:val="20"/>
        </w:rPr>
        <w:br/>
        <w:t>cHL, classical Hodgkin lymphoma; NHL, non-Hodgkin lymphoma</w:t>
      </w:r>
      <w:bookmarkEnd w:id="56"/>
    </w:p>
    <w:p w14:paraId="11968736" w14:textId="77777777" w:rsidR="00830F07" w:rsidRDefault="00830F07" w:rsidP="0031288A">
      <w:pPr>
        <w:rPr>
          <w:rFonts w:ascii="Times New Roman" w:hAnsi="Times New Roman" w:cs="Times New Roman"/>
          <w:b/>
          <w:sz w:val="20"/>
          <w:szCs w:val="20"/>
        </w:rPr>
      </w:pPr>
    </w:p>
    <w:p w14:paraId="56CDCEE6" w14:textId="77777777" w:rsidR="00830F07" w:rsidRDefault="00830F07">
      <w:pPr>
        <w:spacing w:after="160" w:line="259" w:lineRule="auto"/>
        <w:rPr>
          <w:rFonts w:ascii="Times New Roman" w:hAnsi="Times New Roman" w:cs="Times New Roman"/>
          <w:b/>
          <w:sz w:val="20"/>
          <w:szCs w:val="20"/>
        </w:rPr>
      </w:pPr>
      <w:r>
        <w:rPr>
          <w:rFonts w:ascii="Times New Roman" w:hAnsi="Times New Roman" w:cs="Times New Roman"/>
          <w:b/>
          <w:sz w:val="20"/>
          <w:szCs w:val="20"/>
        </w:rPr>
        <w:br w:type="page"/>
      </w:r>
    </w:p>
    <w:p w14:paraId="308734CF" w14:textId="14FF7A98" w:rsidR="00830F07" w:rsidRDefault="00830F07" w:rsidP="0031288A">
      <w:pPr>
        <w:rPr>
          <w:rFonts w:ascii="Times New Roman" w:hAnsi="Times New Roman" w:cs="Times New Roman"/>
          <w:noProof/>
          <w:sz w:val="20"/>
          <w:szCs w:val="20"/>
        </w:rPr>
      </w:pPr>
      <w:r w:rsidRPr="00297DBE">
        <w:rPr>
          <w:rFonts w:ascii="Times New Roman" w:hAnsi="Times New Roman" w:cs="Times New Roman"/>
          <w:b/>
          <w:sz w:val="20"/>
          <w:szCs w:val="20"/>
        </w:rPr>
        <w:lastRenderedPageBreak/>
        <w:t xml:space="preserve">Figure </w:t>
      </w:r>
      <w:r>
        <w:rPr>
          <w:rFonts w:ascii="Times New Roman" w:hAnsi="Times New Roman" w:cs="Times New Roman"/>
          <w:b/>
          <w:sz w:val="20"/>
          <w:szCs w:val="20"/>
        </w:rPr>
        <w:t>3</w:t>
      </w:r>
      <w:r w:rsidRPr="00297DBE">
        <w:rPr>
          <w:rFonts w:ascii="Times New Roman" w:hAnsi="Times New Roman" w:cs="Times New Roman"/>
          <w:sz w:val="20"/>
          <w:szCs w:val="20"/>
        </w:rPr>
        <w:t>.</w:t>
      </w:r>
      <w:r w:rsidRPr="00297DBE">
        <w:rPr>
          <w:rFonts w:ascii="Times New Roman" w:hAnsi="Times New Roman" w:cs="Times New Roman"/>
          <w:b/>
          <w:bCs/>
          <w:sz w:val="20"/>
          <w:szCs w:val="20"/>
        </w:rPr>
        <w:t xml:space="preserve"> Kaplan–Meier curves showing: </w:t>
      </w:r>
      <w:r w:rsidRPr="00297DBE">
        <w:rPr>
          <w:rFonts w:ascii="Times New Roman" w:hAnsi="Times New Roman" w:cs="Times New Roman"/>
          <w:b/>
          <w:sz w:val="20"/>
          <w:szCs w:val="20"/>
        </w:rPr>
        <w:t xml:space="preserve">A) median </w:t>
      </w:r>
      <w:proofErr w:type="spellStart"/>
      <w:r w:rsidRPr="00297DBE">
        <w:rPr>
          <w:rFonts w:ascii="Times New Roman" w:hAnsi="Times New Roman" w:cs="Times New Roman"/>
          <w:b/>
          <w:sz w:val="20"/>
          <w:szCs w:val="20"/>
        </w:rPr>
        <w:t>DoR</w:t>
      </w:r>
      <w:proofErr w:type="spellEnd"/>
      <w:r w:rsidRPr="00297DBE">
        <w:rPr>
          <w:rFonts w:ascii="Times New Roman" w:hAnsi="Times New Roman" w:cs="Times New Roman"/>
          <w:b/>
          <w:sz w:val="20"/>
          <w:szCs w:val="20"/>
        </w:rPr>
        <w:t xml:space="preserve"> and </w:t>
      </w:r>
      <w:r w:rsidRPr="00297DBE">
        <w:rPr>
          <w:rFonts w:ascii="Times New Roman" w:hAnsi="Times New Roman" w:cs="Times New Roman"/>
          <w:b/>
          <w:bCs/>
          <w:sz w:val="20"/>
          <w:szCs w:val="20"/>
        </w:rPr>
        <w:t>B) m</w:t>
      </w:r>
      <w:r w:rsidRPr="00297DBE">
        <w:rPr>
          <w:rFonts w:ascii="Times New Roman" w:hAnsi="Times New Roman" w:cs="Times New Roman"/>
          <w:b/>
          <w:sz w:val="20"/>
          <w:szCs w:val="20"/>
        </w:rPr>
        <w:t xml:space="preserve">edian </w:t>
      </w:r>
      <w:proofErr w:type="spellStart"/>
      <w:r w:rsidRPr="00297DBE">
        <w:rPr>
          <w:rFonts w:ascii="Times New Roman" w:hAnsi="Times New Roman" w:cs="Times New Roman"/>
          <w:b/>
          <w:sz w:val="20"/>
          <w:szCs w:val="20"/>
        </w:rPr>
        <w:t>PFS</w:t>
      </w:r>
      <w:proofErr w:type="spellEnd"/>
      <w:r w:rsidRPr="00297DBE">
        <w:rPr>
          <w:rFonts w:ascii="Times New Roman" w:hAnsi="Times New Roman" w:cs="Times New Roman"/>
          <w:b/>
          <w:sz w:val="20"/>
          <w:szCs w:val="20"/>
        </w:rPr>
        <w:t xml:space="preserve"> for all doses and for the 45</w:t>
      </w:r>
      <w:r>
        <w:rPr>
          <w:rFonts w:ascii="Times New Roman" w:hAnsi="Times New Roman" w:cs="Times New Roman"/>
          <w:b/>
          <w:sz w:val="20"/>
          <w:szCs w:val="20"/>
        </w:rPr>
        <w:t> </w:t>
      </w:r>
      <w:r w:rsidRPr="00297DBE">
        <w:rPr>
          <w:rFonts w:ascii="Times New Roman" w:hAnsi="Times New Roman" w:cs="Times New Roman"/>
          <w:b/>
          <w:sz w:val="20"/>
          <w:szCs w:val="20"/>
        </w:rPr>
        <w:t>μ</w:t>
      </w:r>
      <w:r w:rsidRPr="00297DBE">
        <w:rPr>
          <w:rFonts w:ascii="Times New Roman" w:hAnsi="Times New Roman" w:cs="Times New Roman"/>
          <w:b/>
          <w:bCs/>
          <w:sz w:val="20"/>
          <w:szCs w:val="20"/>
        </w:rPr>
        <w:t>g/kg</w:t>
      </w:r>
      <w:r w:rsidRPr="00297DBE">
        <w:rPr>
          <w:rFonts w:ascii="Times New Roman" w:hAnsi="Times New Roman" w:cs="Times New Roman"/>
          <w:b/>
          <w:sz w:val="20"/>
          <w:szCs w:val="20"/>
        </w:rPr>
        <w:t xml:space="preserve"> dose cohort; and C) median OS for all doses in patients with cHL</w:t>
      </w:r>
      <w:r w:rsidRPr="00297DBE">
        <w:rPr>
          <w:rFonts w:ascii="Times New Roman" w:hAnsi="Times New Roman" w:cs="Times New Roman"/>
          <w:noProof/>
          <w:sz w:val="20"/>
          <w:szCs w:val="20"/>
        </w:rPr>
        <w:t xml:space="preserve"> </w:t>
      </w:r>
    </w:p>
    <w:p w14:paraId="4E01A837" w14:textId="77777777" w:rsidR="00830F07" w:rsidRDefault="00830F07" w:rsidP="006B2FE8">
      <w:pPr>
        <w:jc w:val="center"/>
        <w:rPr>
          <w:rFonts w:ascii="Times New Roman" w:hAnsi="Times New Roman" w:cs="Times New Roman"/>
          <w:noProof/>
          <w:sz w:val="20"/>
          <w:szCs w:val="20"/>
        </w:rPr>
      </w:pPr>
      <w:r>
        <w:rPr>
          <w:noProof/>
        </w:rPr>
        <w:drawing>
          <wp:inline distT="0" distB="0" distL="0" distR="0" wp14:anchorId="297FB820" wp14:editId="1AF8E4C1">
            <wp:extent cx="5295014" cy="825269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36" t="664" r="976" b="652"/>
                    <a:stretch/>
                  </pic:blipFill>
                  <pic:spPr bwMode="auto">
                    <a:xfrm>
                      <a:off x="0" y="0"/>
                      <a:ext cx="5322417" cy="8295402"/>
                    </a:xfrm>
                    <a:prstGeom prst="rect">
                      <a:avLst/>
                    </a:prstGeom>
                    <a:ln>
                      <a:noFill/>
                    </a:ln>
                    <a:extLst>
                      <a:ext uri="{53640926-AAD7-44D8-BBD7-CCE9431645EC}">
                        <a14:shadowObscured xmlns:a14="http://schemas.microsoft.com/office/drawing/2010/main"/>
                      </a:ext>
                    </a:extLst>
                  </pic:spPr>
                </pic:pic>
              </a:graphicData>
            </a:graphic>
          </wp:inline>
        </w:drawing>
      </w:r>
    </w:p>
    <w:p w14:paraId="309F169B" w14:textId="280EE772" w:rsidR="00830F07" w:rsidRDefault="00830F07" w:rsidP="0031288A">
      <w:pPr>
        <w:rPr>
          <w:rFonts w:ascii="Times New Roman" w:hAnsi="Times New Roman" w:cs="Times New Roman"/>
          <w:noProof/>
          <w:sz w:val="20"/>
          <w:szCs w:val="20"/>
        </w:rPr>
      </w:pPr>
    </w:p>
    <w:bookmarkEnd w:id="54"/>
    <w:p w14:paraId="6232FCDE" w14:textId="77777777" w:rsidR="00830F07" w:rsidRDefault="00830F07" w:rsidP="0031288A">
      <w:pPr>
        <w:rPr>
          <w:rFonts w:ascii="Times New Roman" w:hAnsi="Times New Roman" w:cs="Times New Roman"/>
          <w:sz w:val="20"/>
          <w:szCs w:val="20"/>
        </w:rPr>
      </w:pPr>
      <w:r w:rsidRPr="00F7525A">
        <w:rPr>
          <w:rFonts w:ascii="Times New Roman" w:hAnsi="Times New Roman" w:cs="Times New Roman"/>
          <w:sz w:val="20"/>
          <w:szCs w:val="20"/>
        </w:rPr>
        <w:t xml:space="preserve">Number of patients at risk includes patients who remained for observation at a specific time point, while censored numbers include patients censored cumulatively prior to that time point. </w:t>
      </w:r>
    </w:p>
    <w:p w14:paraId="22A50AC8" w14:textId="16E3F936" w:rsidR="00830F07" w:rsidRPr="00D840CC" w:rsidRDefault="00830F07" w:rsidP="0031288A">
      <w:pPr>
        <w:rPr>
          <w:rFonts w:ascii="Times New Roman" w:hAnsi="Times New Roman" w:cs="Times New Roman"/>
          <w:sz w:val="18"/>
          <w:szCs w:val="18"/>
        </w:rPr>
      </w:pPr>
      <w:r w:rsidRPr="00297DBE">
        <w:rPr>
          <w:rFonts w:ascii="Times New Roman" w:hAnsi="Times New Roman" w:cs="Times New Roman"/>
          <w:sz w:val="20"/>
          <w:szCs w:val="20"/>
        </w:rPr>
        <w:t xml:space="preserve">cHL, classical Hodgkin lymphoma; </w:t>
      </w:r>
      <w:proofErr w:type="spellStart"/>
      <w:r w:rsidRPr="00297DBE">
        <w:rPr>
          <w:rFonts w:ascii="Times New Roman" w:hAnsi="Times New Roman" w:cs="Times New Roman"/>
          <w:sz w:val="20"/>
          <w:szCs w:val="20"/>
        </w:rPr>
        <w:t>DoR</w:t>
      </w:r>
      <w:proofErr w:type="spellEnd"/>
      <w:r w:rsidRPr="00297DBE">
        <w:rPr>
          <w:rFonts w:ascii="Times New Roman" w:hAnsi="Times New Roman" w:cs="Times New Roman"/>
          <w:sz w:val="20"/>
          <w:szCs w:val="20"/>
        </w:rPr>
        <w:t xml:space="preserve">, duration of response; OS, overall survival; </w:t>
      </w:r>
      <w:proofErr w:type="spellStart"/>
      <w:r w:rsidRPr="00297DBE">
        <w:rPr>
          <w:rFonts w:ascii="Times New Roman" w:hAnsi="Times New Roman" w:cs="Times New Roman"/>
          <w:sz w:val="20"/>
          <w:szCs w:val="20"/>
        </w:rPr>
        <w:t>PFS</w:t>
      </w:r>
      <w:proofErr w:type="spellEnd"/>
      <w:r w:rsidRPr="00297DBE">
        <w:rPr>
          <w:rFonts w:ascii="Times New Roman" w:hAnsi="Times New Roman" w:cs="Times New Roman"/>
          <w:sz w:val="20"/>
          <w:szCs w:val="20"/>
        </w:rPr>
        <w:t>, progression</w:t>
      </w:r>
      <w:r>
        <w:rPr>
          <w:rFonts w:ascii="Times New Roman" w:hAnsi="Times New Roman" w:cs="Times New Roman"/>
          <w:sz w:val="20"/>
          <w:szCs w:val="20"/>
        </w:rPr>
        <w:t>-</w:t>
      </w:r>
      <w:r w:rsidRPr="00297DBE">
        <w:rPr>
          <w:rFonts w:ascii="Times New Roman" w:hAnsi="Times New Roman" w:cs="Times New Roman"/>
          <w:sz w:val="20"/>
          <w:szCs w:val="20"/>
        </w:rPr>
        <w:t>free survival</w:t>
      </w:r>
      <w:r w:rsidRPr="00297DBE">
        <w:rPr>
          <w:rFonts w:ascii="Times New Roman" w:hAnsi="Times New Roman" w:cs="Times New Roman"/>
          <w:b/>
          <w:bCs/>
          <w:sz w:val="20"/>
          <w:szCs w:val="20"/>
        </w:rPr>
        <w:t xml:space="preserve">. </w:t>
      </w:r>
      <w:bookmarkEnd w:id="55"/>
    </w:p>
    <w:p w14:paraId="309B6583" w14:textId="77777777" w:rsidR="00C70560" w:rsidRDefault="00C70560"/>
    <w:sectPr w:rsidR="00C70560" w:rsidSect="0031288A">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FB81" w14:textId="77777777" w:rsidR="0031288A" w:rsidRDefault="0031288A">
      <w:pPr>
        <w:spacing w:line="240" w:lineRule="auto"/>
      </w:pPr>
      <w:r>
        <w:separator/>
      </w:r>
    </w:p>
  </w:endnote>
  <w:endnote w:type="continuationSeparator" w:id="0">
    <w:p w14:paraId="17C3AD8E" w14:textId="77777777" w:rsidR="0031288A" w:rsidRDefault="00312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85300"/>
      <w:docPartObj>
        <w:docPartGallery w:val="Page Numbers (Bottom of Page)"/>
        <w:docPartUnique/>
      </w:docPartObj>
    </w:sdtPr>
    <w:sdtEndPr>
      <w:rPr>
        <w:noProof/>
      </w:rPr>
    </w:sdtEndPr>
    <w:sdtContent>
      <w:p w14:paraId="3420B5C2" w14:textId="77777777" w:rsidR="0031288A" w:rsidRDefault="0031288A">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14:paraId="65E9A48C" w14:textId="77777777" w:rsidR="0031288A" w:rsidRDefault="003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D4185" w14:textId="77777777" w:rsidR="0031288A" w:rsidRDefault="0031288A">
      <w:pPr>
        <w:spacing w:line="240" w:lineRule="auto"/>
      </w:pPr>
      <w:r>
        <w:separator/>
      </w:r>
    </w:p>
  </w:footnote>
  <w:footnote w:type="continuationSeparator" w:id="0">
    <w:p w14:paraId="6923CB2B" w14:textId="77777777" w:rsidR="0031288A" w:rsidRDefault="003128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7829"/>
    <w:multiLevelType w:val="hybridMultilevel"/>
    <w:tmpl w:val="57B0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FC5"/>
    <w:multiLevelType w:val="hybridMultilevel"/>
    <w:tmpl w:val="24D0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A27E97"/>
    <w:multiLevelType w:val="hybridMultilevel"/>
    <w:tmpl w:val="614C0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86CEE"/>
    <w:multiLevelType w:val="hybridMultilevel"/>
    <w:tmpl w:val="C144F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6B33D6"/>
    <w:multiLevelType w:val="hybridMultilevel"/>
    <w:tmpl w:val="B7D6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F3042"/>
    <w:multiLevelType w:val="hybridMultilevel"/>
    <w:tmpl w:val="3B92C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D80D1F"/>
    <w:multiLevelType w:val="hybridMultilevel"/>
    <w:tmpl w:val="09E2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93367"/>
    <w:multiLevelType w:val="multilevel"/>
    <w:tmpl w:val="65E0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D4E26"/>
    <w:multiLevelType w:val="hybridMultilevel"/>
    <w:tmpl w:val="798EB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34DB3"/>
    <w:multiLevelType w:val="hybridMultilevel"/>
    <w:tmpl w:val="0C38439C"/>
    <w:lvl w:ilvl="0" w:tplc="49769B68">
      <w:start w:val="1"/>
      <w:numFmt w:val="bullet"/>
      <w:lvlText w:val="•"/>
      <w:lvlJc w:val="left"/>
      <w:pPr>
        <w:tabs>
          <w:tab w:val="num" w:pos="720"/>
        </w:tabs>
        <w:ind w:left="720" w:hanging="360"/>
      </w:pPr>
      <w:rPr>
        <w:rFonts w:ascii="Arial" w:hAnsi="Arial" w:cs="Times New Roman" w:hint="default"/>
      </w:rPr>
    </w:lvl>
    <w:lvl w:ilvl="1" w:tplc="9536CF94">
      <w:start w:val="1"/>
      <w:numFmt w:val="bullet"/>
      <w:lvlText w:val="•"/>
      <w:lvlJc w:val="left"/>
      <w:pPr>
        <w:tabs>
          <w:tab w:val="num" w:pos="1440"/>
        </w:tabs>
        <w:ind w:left="1440" w:hanging="360"/>
      </w:pPr>
      <w:rPr>
        <w:rFonts w:ascii="Arial" w:hAnsi="Arial" w:cs="Times New Roman" w:hint="default"/>
      </w:rPr>
    </w:lvl>
    <w:lvl w:ilvl="2" w:tplc="DDC44804">
      <w:start w:val="1"/>
      <w:numFmt w:val="bullet"/>
      <w:lvlText w:val="•"/>
      <w:lvlJc w:val="left"/>
      <w:pPr>
        <w:tabs>
          <w:tab w:val="num" w:pos="2160"/>
        </w:tabs>
        <w:ind w:left="2160" w:hanging="360"/>
      </w:pPr>
      <w:rPr>
        <w:rFonts w:ascii="Arial" w:hAnsi="Arial" w:cs="Times New Roman" w:hint="default"/>
      </w:rPr>
    </w:lvl>
    <w:lvl w:ilvl="3" w:tplc="2D6E5498">
      <w:start w:val="1"/>
      <w:numFmt w:val="bullet"/>
      <w:lvlText w:val="•"/>
      <w:lvlJc w:val="left"/>
      <w:pPr>
        <w:tabs>
          <w:tab w:val="num" w:pos="2880"/>
        </w:tabs>
        <w:ind w:left="2880" w:hanging="360"/>
      </w:pPr>
      <w:rPr>
        <w:rFonts w:ascii="Arial" w:hAnsi="Arial" w:cs="Times New Roman" w:hint="default"/>
      </w:rPr>
    </w:lvl>
    <w:lvl w:ilvl="4" w:tplc="CDA6D880">
      <w:start w:val="1"/>
      <w:numFmt w:val="bullet"/>
      <w:lvlText w:val="•"/>
      <w:lvlJc w:val="left"/>
      <w:pPr>
        <w:tabs>
          <w:tab w:val="num" w:pos="3600"/>
        </w:tabs>
        <w:ind w:left="3600" w:hanging="360"/>
      </w:pPr>
      <w:rPr>
        <w:rFonts w:ascii="Arial" w:hAnsi="Arial" w:cs="Times New Roman" w:hint="default"/>
      </w:rPr>
    </w:lvl>
    <w:lvl w:ilvl="5" w:tplc="3C0E6268">
      <w:start w:val="1"/>
      <w:numFmt w:val="bullet"/>
      <w:lvlText w:val="•"/>
      <w:lvlJc w:val="left"/>
      <w:pPr>
        <w:tabs>
          <w:tab w:val="num" w:pos="4320"/>
        </w:tabs>
        <w:ind w:left="4320" w:hanging="360"/>
      </w:pPr>
      <w:rPr>
        <w:rFonts w:ascii="Arial" w:hAnsi="Arial" w:cs="Times New Roman" w:hint="default"/>
      </w:rPr>
    </w:lvl>
    <w:lvl w:ilvl="6" w:tplc="A3441560">
      <w:start w:val="1"/>
      <w:numFmt w:val="bullet"/>
      <w:lvlText w:val="•"/>
      <w:lvlJc w:val="left"/>
      <w:pPr>
        <w:tabs>
          <w:tab w:val="num" w:pos="5040"/>
        </w:tabs>
        <w:ind w:left="5040" w:hanging="360"/>
      </w:pPr>
      <w:rPr>
        <w:rFonts w:ascii="Arial" w:hAnsi="Arial" w:cs="Times New Roman" w:hint="default"/>
      </w:rPr>
    </w:lvl>
    <w:lvl w:ilvl="7" w:tplc="7F3C9F82">
      <w:start w:val="1"/>
      <w:numFmt w:val="bullet"/>
      <w:lvlText w:val="•"/>
      <w:lvlJc w:val="left"/>
      <w:pPr>
        <w:tabs>
          <w:tab w:val="num" w:pos="5760"/>
        </w:tabs>
        <w:ind w:left="5760" w:hanging="360"/>
      </w:pPr>
      <w:rPr>
        <w:rFonts w:ascii="Arial" w:hAnsi="Arial" w:cs="Times New Roman" w:hint="default"/>
      </w:rPr>
    </w:lvl>
    <w:lvl w:ilvl="8" w:tplc="B9D261E6">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76D6BF5"/>
    <w:multiLevelType w:val="hybridMultilevel"/>
    <w:tmpl w:val="EAA4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141F1"/>
    <w:multiLevelType w:val="hybridMultilevel"/>
    <w:tmpl w:val="034A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86589"/>
    <w:multiLevelType w:val="hybridMultilevel"/>
    <w:tmpl w:val="2A6E4C3A"/>
    <w:lvl w:ilvl="0" w:tplc="CF44E04A">
      <w:start w:val="1"/>
      <w:numFmt w:val="bullet"/>
      <w:lvlText w:val="•"/>
      <w:lvlJc w:val="left"/>
      <w:pPr>
        <w:tabs>
          <w:tab w:val="num" w:pos="720"/>
        </w:tabs>
        <w:ind w:left="720" w:hanging="360"/>
      </w:pPr>
      <w:rPr>
        <w:rFonts w:ascii="Arial" w:hAnsi="Arial" w:hint="default"/>
      </w:rPr>
    </w:lvl>
    <w:lvl w:ilvl="1" w:tplc="3996BD70" w:tentative="1">
      <w:start w:val="1"/>
      <w:numFmt w:val="bullet"/>
      <w:lvlText w:val="•"/>
      <w:lvlJc w:val="left"/>
      <w:pPr>
        <w:tabs>
          <w:tab w:val="num" w:pos="1440"/>
        </w:tabs>
        <w:ind w:left="1440" w:hanging="360"/>
      </w:pPr>
      <w:rPr>
        <w:rFonts w:ascii="Arial" w:hAnsi="Arial" w:hint="default"/>
      </w:rPr>
    </w:lvl>
    <w:lvl w:ilvl="2" w:tplc="26504826" w:tentative="1">
      <w:start w:val="1"/>
      <w:numFmt w:val="bullet"/>
      <w:lvlText w:val="•"/>
      <w:lvlJc w:val="left"/>
      <w:pPr>
        <w:tabs>
          <w:tab w:val="num" w:pos="2160"/>
        </w:tabs>
        <w:ind w:left="2160" w:hanging="360"/>
      </w:pPr>
      <w:rPr>
        <w:rFonts w:ascii="Arial" w:hAnsi="Arial" w:hint="default"/>
      </w:rPr>
    </w:lvl>
    <w:lvl w:ilvl="3" w:tplc="2E5A91CC" w:tentative="1">
      <w:start w:val="1"/>
      <w:numFmt w:val="bullet"/>
      <w:lvlText w:val="•"/>
      <w:lvlJc w:val="left"/>
      <w:pPr>
        <w:tabs>
          <w:tab w:val="num" w:pos="2880"/>
        </w:tabs>
        <w:ind w:left="2880" w:hanging="360"/>
      </w:pPr>
      <w:rPr>
        <w:rFonts w:ascii="Arial" w:hAnsi="Arial" w:hint="default"/>
      </w:rPr>
    </w:lvl>
    <w:lvl w:ilvl="4" w:tplc="CA7EE6E0" w:tentative="1">
      <w:start w:val="1"/>
      <w:numFmt w:val="bullet"/>
      <w:lvlText w:val="•"/>
      <w:lvlJc w:val="left"/>
      <w:pPr>
        <w:tabs>
          <w:tab w:val="num" w:pos="3600"/>
        </w:tabs>
        <w:ind w:left="3600" w:hanging="360"/>
      </w:pPr>
      <w:rPr>
        <w:rFonts w:ascii="Arial" w:hAnsi="Arial" w:hint="default"/>
      </w:rPr>
    </w:lvl>
    <w:lvl w:ilvl="5" w:tplc="CDFCD78C" w:tentative="1">
      <w:start w:val="1"/>
      <w:numFmt w:val="bullet"/>
      <w:lvlText w:val="•"/>
      <w:lvlJc w:val="left"/>
      <w:pPr>
        <w:tabs>
          <w:tab w:val="num" w:pos="4320"/>
        </w:tabs>
        <w:ind w:left="4320" w:hanging="360"/>
      </w:pPr>
      <w:rPr>
        <w:rFonts w:ascii="Arial" w:hAnsi="Arial" w:hint="default"/>
      </w:rPr>
    </w:lvl>
    <w:lvl w:ilvl="6" w:tplc="97FABB92" w:tentative="1">
      <w:start w:val="1"/>
      <w:numFmt w:val="bullet"/>
      <w:lvlText w:val="•"/>
      <w:lvlJc w:val="left"/>
      <w:pPr>
        <w:tabs>
          <w:tab w:val="num" w:pos="5040"/>
        </w:tabs>
        <w:ind w:left="5040" w:hanging="360"/>
      </w:pPr>
      <w:rPr>
        <w:rFonts w:ascii="Arial" w:hAnsi="Arial" w:hint="default"/>
      </w:rPr>
    </w:lvl>
    <w:lvl w:ilvl="7" w:tplc="5DC23E98" w:tentative="1">
      <w:start w:val="1"/>
      <w:numFmt w:val="bullet"/>
      <w:lvlText w:val="•"/>
      <w:lvlJc w:val="left"/>
      <w:pPr>
        <w:tabs>
          <w:tab w:val="num" w:pos="5760"/>
        </w:tabs>
        <w:ind w:left="5760" w:hanging="360"/>
      </w:pPr>
      <w:rPr>
        <w:rFonts w:ascii="Arial" w:hAnsi="Arial" w:hint="default"/>
      </w:rPr>
    </w:lvl>
    <w:lvl w:ilvl="8" w:tplc="B81233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D65A62"/>
    <w:multiLevelType w:val="hybridMultilevel"/>
    <w:tmpl w:val="8A6A729E"/>
    <w:lvl w:ilvl="0" w:tplc="593E14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959A2"/>
    <w:multiLevelType w:val="multilevel"/>
    <w:tmpl w:val="E4949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D35DC"/>
    <w:multiLevelType w:val="hybridMultilevel"/>
    <w:tmpl w:val="DFAEA0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7581E"/>
    <w:multiLevelType w:val="hybridMultilevel"/>
    <w:tmpl w:val="8124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0"/>
  </w:num>
  <w:num w:numId="4">
    <w:abstractNumId w:val="13"/>
  </w:num>
  <w:num w:numId="5">
    <w:abstractNumId w:val="6"/>
  </w:num>
  <w:num w:numId="6">
    <w:abstractNumId w:val="16"/>
  </w:num>
  <w:num w:numId="7">
    <w:abstractNumId w:val="1"/>
  </w:num>
  <w:num w:numId="8">
    <w:abstractNumId w:val="2"/>
  </w:num>
  <w:num w:numId="9">
    <w:abstractNumId w:val="8"/>
  </w:num>
  <w:num w:numId="10">
    <w:abstractNumId w:val="11"/>
  </w:num>
  <w:num w:numId="11">
    <w:abstractNumId w:val="12"/>
  </w:num>
  <w:num w:numId="12">
    <w:abstractNumId w:val="4"/>
  </w:num>
  <w:num w:numId="13">
    <w:abstractNumId w:val="9"/>
  </w:num>
  <w:num w:numId="14">
    <w:abstractNumId w:val="14"/>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30F07"/>
    <w:rsid w:val="00003A0B"/>
    <w:rsid w:val="00003B82"/>
    <w:rsid w:val="00004C9F"/>
    <w:rsid w:val="000056AD"/>
    <w:rsid w:val="0000614C"/>
    <w:rsid w:val="0001089A"/>
    <w:rsid w:val="00011664"/>
    <w:rsid w:val="000132BE"/>
    <w:rsid w:val="00017501"/>
    <w:rsid w:val="00022CC9"/>
    <w:rsid w:val="000247FD"/>
    <w:rsid w:val="0002531C"/>
    <w:rsid w:val="0002662E"/>
    <w:rsid w:val="00026663"/>
    <w:rsid w:val="00026E8E"/>
    <w:rsid w:val="00031F2E"/>
    <w:rsid w:val="00040D01"/>
    <w:rsid w:val="000438CC"/>
    <w:rsid w:val="0005359C"/>
    <w:rsid w:val="000537D5"/>
    <w:rsid w:val="0005573B"/>
    <w:rsid w:val="0005664E"/>
    <w:rsid w:val="000578AE"/>
    <w:rsid w:val="00064F8A"/>
    <w:rsid w:val="00065C7B"/>
    <w:rsid w:val="000666BC"/>
    <w:rsid w:val="00074E9C"/>
    <w:rsid w:val="00076782"/>
    <w:rsid w:val="0007691E"/>
    <w:rsid w:val="000770F1"/>
    <w:rsid w:val="00077157"/>
    <w:rsid w:val="00077C48"/>
    <w:rsid w:val="00082FBE"/>
    <w:rsid w:val="00083611"/>
    <w:rsid w:val="000837E5"/>
    <w:rsid w:val="00086C4E"/>
    <w:rsid w:val="0009061F"/>
    <w:rsid w:val="000937EC"/>
    <w:rsid w:val="00093873"/>
    <w:rsid w:val="00095A5F"/>
    <w:rsid w:val="00096E09"/>
    <w:rsid w:val="000A17E0"/>
    <w:rsid w:val="000A393B"/>
    <w:rsid w:val="000A5F1D"/>
    <w:rsid w:val="000A704B"/>
    <w:rsid w:val="000A798C"/>
    <w:rsid w:val="000A7BFF"/>
    <w:rsid w:val="000B2BF5"/>
    <w:rsid w:val="000B2F45"/>
    <w:rsid w:val="000B43BD"/>
    <w:rsid w:val="000B7E61"/>
    <w:rsid w:val="000C0465"/>
    <w:rsid w:val="000C0603"/>
    <w:rsid w:val="000C0C5C"/>
    <w:rsid w:val="000C0EC5"/>
    <w:rsid w:val="000C11B7"/>
    <w:rsid w:val="000C24AF"/>
    <w:rsid w:val="000C6304"/>
    <w:rsid w:val="000C6BDA"/>
    <w:rsid w:val="000D20E2"/>
    <w:rsid w:val="000D43C4"/>
    <w:rsid w:val="000D7650"/>
    <w:rsid w:val="000E065D"/>
    <w:rsid w:val="000E2D95"/>
    <w:rsid w:val="000E563E"/>
    <w:rsid w:val="000E64C3"/>
    <w:rsid w:val="000F2ABE"/>
    <w:rsid w:val="000F3AF9"/>
    <w:rsid w:val="000F4B7A"/>
    <w:rsid w:val="000F770F"/>
    <w:rsid w:val="001021D7"/>
    <w:rsid w:val="00103062"/>
    <w:rsid w:val="001031EA"/>
    <w:rsid w:val="0010763B"/>
    <w:rsid w:val="001078E0"/>
    <w:rsid w:val="00114A48"/>
    <w:rsid w:val="0011546F"/>
    <w:rsid w:val="00117915"/>
    <w:rsid w:val="0012015B"/>
    <w:rsid w:val="00124F1C"/>
    <w:rsid w:val="00125049"/>
    <w:rsid w:val="00125C4F"/>
    <w:rsid w:val="00126153"/>
    <w:rsid w:val="001265E3"/>
    <w:rsid w:val="00133364"/>
    <w:rsid w:val="0013387D"/>
    <w:rsid w:val="00136361"/>
    <w:rsid w:val="00136382"/>
    <w:rsid w:val="00136902"/>
    <w:rsid w:val="0014040A"/>
    <w:rsid w:val="00140971"/>
    <w:rsid w:val="001416FE"/>
    <w:rsid w:val="00143369"/>
    <w:rsid w:val="001435BC"/>
    <w:rsid w:val="00143D99"/>
    <w:rsid w:val="001471FC"/>
    <w:rsid w:val="00157716"/>
    <w:rsid w:val="0016082A"/>
    <w:rsid w:val="001612B4"/>
    <w:rsid w:val="001670CC"/>
    <w:rsid w:val="00174156"/>
    <w:rsid w:val="00176336"/>
    <w:rsid w:val="00176CC9"/>
    <w:rsid w:val="00177B01"/>
    <w:rsid w:val="00186471"/>
    <w:rsid w:val="00192D99"/>
    <w:rsid w:val="00195577"/>
    <w:rsid w:val="001A01FE"/>
    <w:rsid w:val="001A04DF"/>
    <w:rsid w:val="001A1DD3"/>
    <w:rsid w:val="001A7F08"/>
    <w:rsid w:val="001B0B47"/>
    <w:rsid w:val="001B2904"/>
    <w:rsid w:val="001B5012"/>
    <w:rsid w:val="001B50EA"/>
    <w:rsid w:val="001B64AF"/>
    <w:rsid w:val="001C6731"/>
    <w:rsid w:val="001C67A8"/>
    <w:rsid w:val="001C6840"/>
    <w:rsid w:val="001C7C0C"/>
    <w:rsid w:val="001D20C2"/>
    <w:rsid w:val="001D38AA"/>
    <w:rsid w:val="001D4E3E"/>
    <w:rsid w:val="001D6A89"/>
    <w:rsid w:val="001D7BC9"/>
    <w:rsid w:val="001E1CB3"/>
    <w:rsid w:val="001E1E8C"/>
    <w:rsid w:val="001E448A"/>
    <w:rsid w:val="001E5515"/>
    <w:rsid w:val="001E60A7"/>
    <w:rsid w:val="001E6B7D"/>
    <w:rsid w:val="001E7828"/>
    <w:rsid w:val="001F2229"/>
    <w:rsid w:val="001F7DA0"/>
    <w:rsid w:val="002004CB"/>
    <w:rsid w:val="00212182"/>
    <w:rsid w:val="002122C9"/>
    <w:rsid w:val="002151DB"/>
    <w:rsid w:val="0021651B"/>
    <w:rsid w:val="00216C7E"/>
    <w:rsid w:val="00216F38"/>
    <w:rsid w:val="00217AD8"/>
    <w:rsid w:val="00217CD5"/>
    <w:rsid w:val="0022023E"/>
    <w:rsid w:val="00221208"/>
    <w:rsid w:val="00226761"/>
    <w:rsid w:val="0022692F"/>
    <w:rsid w:val="00226B61"/>
    <w:rsid w:val="00226C17"/>
    <w:rsid w:val="00226F83"/>
    <w:rsid w:val="00231DD0"/>
    <w:rsid w:val="00232080"/>
    <w:rsid w:val="00232721"/>
    <w:rsid w:val="00232ED2"/>
    <w:rsid w:val="00235F9C"/>
    <w:rsid w:val="002366E9"/>
    <w:rsid w:val="0025733D"/>
    <w:rsid w:val="00260458"/>
    <w:rsid w:val="00260710"/>
    <w:rsid w:val="00274405"/>
    <w:rsid w:val="00275BB9"/>
    <w:rsid w:val="00282F25"/>
    <w:rsid w:val="00285493"/>
    <w:rsid w:val="00285EC0"/>
    <w:rsid w:val="0028626F"/>
    <w:rsid w:val="0029336D"/>
    <w:rsid w:val="002969FF"/>
    <w:rsid w:val="002A2CFD"/>
    <w:rsid w:val="002A2FD8"/>
    <w:rsid w:val="002A4B3F"/>
    <w:rsid w:val="002A7EB2"/>
    <w:rsid w:val="002B273D"/>
    <w:rsid w:val="002B36A7"/>
    <w:rsid w:val="002B37D7"/>
    <w:rsid w:val="002B3F42"/>
    <w:rsid w:val="002B44D2"/>
    <w:rsid w:val="002C36B8"/>
    <w:rsid w:val="002D0BB6"/>
    <w:rsid w:val="002D38BD"/>
    <w:rsid w:val="002D4337"/>
    <w:rsid w:val="002E0E49"/>
    <w:rsid w:val="002E6D0D"/>
    <w:rsid w:val="002E7EE5"/>
    <w:rsid w:val="002F3803"/>
    <w:rsid w:val="002F6167"/>
    <w:rsid w:val="002F63E4"/>
    <w:rsid w:val="002F7976"/>
    <w:rsid w:val="0030203E"/>
    <w:rsid w:val="00302B72"/>
    <w:rsid w:val="00304D68"/>
    <w:rsid w:val="0031288A"/>
    <w:rsid w:val="0031647E"/>
    <w:rsid w:val="0032036E"/>
    <w:rsid w:val="003223AF"/>
    <w:rsid w:val="00323BC9"/>
    <w:rsid w:val="0032425B"/>
    <w:rsid w:val="00326314"/>
    <w:rsid w:val="00327AEF"/>
    <w:rsid w:val="00330BB1"/>
    <w:rsid w:val="00332502"/>
    <w:rsid w:val="0033685E"/>
    <w:rsid w:val="00336DFF"/>
    <w:rsid w:val="00340E53"/>
    <w:rsid w:val="00342281"/>
    <w:rsid w:val="00342932"/>
    <w:rsid w:val="003436F6"/>
    <w:rsid w:val="00344C92"/>
    <w:rsid w:val="003452CE"/>
    <w:rsid w:val="003458FF"/>
    <w:rsid w:val="003517B1"/>
    <w:rsid w:val="00357EDC"/>
    <w:rsid w:val="0036024A"/>
    <w:rsid w:val="00360FA4"/>
    <w:rsid w:val="003635A2"/>
    <w:rsid w:val="0036409A"/>
    <w:rsid w:val="003646EE"/>
    <w:rsid w:val="003657D5"/>
    <w:rsid w:val="0036691C"/>
    <w:rsid w:val="00370A76"/>
    <w:rsid w:val="00370AE0"/>
    <w:rsid w:val="00372E57"/>
    <w:rsid w:val="00380581"/>
    <w:rsid w:val="00380F8C"/>
    <w:rsid w:val="0039188E"/>
    <w:rsid w:val="003922CC"/>
    <w:rsid w:val="00395B19"/>
    <w:rsid w:val="00396297"/>
    <w:rsid w:val="003968F6"/>
    <w:rsid w:val="003A0F6F"/>
    <w:rsid w:val="003A45F6"/>
    <w:rsid w:val="003A491B"/>
    <w:rsid w:val="003B049F"/>
    <w:rsid w:val="003B1008"/>
    <w:rsid w:val="003B1574"/>
    <w:rsid w:val="003B32EA"/>
    <w:rsid w:val="003D320A"/>
    <w:rsid w:val="003D4494"/>
    <w:rsid w:val="003D4D17"/>
    <w:rsid w:val="003E362E"/>
    <w:rsid w:val="003E5E81"/>
    <w:rsid w:val="003F1FBA"/>
    <w:rsid w:val="003F2DB9"/>
    <w:rsid w:val="003F4568"/>
    <w:rsid w:val="003F60EF"/>
    <w:rsid w:val="004068F1"/>
    <w:rsid w:val="00407A40"/>
    <w:rsid w:val="00410FDF"/>
    <w:rsid w:val="004149A8"/>
    <w:rsid w:val="00420303"/>
    <w:rsid w:val="00424BE6"/>
    <w:rsid w:val="00431E8C"/>
    <w:rsid w:val="0043215B"/>
    <w:rsid w:val="00435979"/>
    <w:rsid w:val="00435D48"/>
    <w:rsid w:val="00437717"/>
    <w:rsid w:val="004414F4"/>
    <w:rsid w:val="00450637"/>
    <w:rsid w:val="00450F39"/>
    <w:rsid w:val="00454B06"/>
    <w:rsid w:val="00455B9F"/>
    <w:rsid w:val="004565D9"/>
    <w:rsid w:val="00460E9C"/>
    <w:rsid w:val="00461E9D"/>
    <w:rsid w:val="004624CF"/>
    <w:rsid w:val="00462523"/>
    <w:rsid w:val="0046460A"/>
    <w:rsid w:val="00467544"/>
    <w:rsid w:val="00467564"/>
    <w:rsid w:val="004700D3"/>
    <w:rsid w:val="004739C0"/>
    <w:rsid w:val="0047598A"/>
    <w:rsid w:val="00475F2B"/>
    <w:rsid w:val="00476C3D"/>
    <w:rsid w:val="0048083D"/>
    <w:rsid w:val="00491999"/>
    <w:rsid w:val="00492FE7"/>
    <w:rsid w:val="004935AF"/>
    <w:rsid w:val="00493CEF"/>
    <w:rsid w:val="004A2512"/>
    <w:rsid w:val="004A2E31"/>
    <w:rsid w:val="004B3954"/>
    <w:rsid w:val="004B47F7"/>
    <w:rsid w:val="004C1FF1"/>
    <w:rsid w:val="004C2594"/>
    <w:rsid w:val="004D2D2C"/>
    <w:rsid w:val="004D2FC0"/>
    <w:rsid w:val="004E6708"/>
    <w:rsid w:val="004E6C4B"/>
    <w:rsid w:val="004E6F54"/>
    <w:rsid w:val="004F0897"/>
    <w:rsid w:val="004F12D6"/>
    <w:rsid w:val="004F143D"/>
    <w:rsid w:val="004F2633"/>
    <w:rsid w:val="004F279B"/>
    <w:rsid w:val="004F71B1"/>
    <w:rsid w:val="00505874"/>
    <w:rsid w:val="00506C52"/>
    <w:rsid w:val="00511E9A"/>
    <w:rsid w:val="005134A5"/>
    <w:rsid w:val="00514278"/>
    <w:rsid w:val="00515A98"/>
    <w:rsid w:val="00527A14"/>
    <w:rsid w:val="00532A1B"/>
    <w:rsid w:val="00532E63"/>
    <w:rsid w:val="0054181D"/>
    <w:rsid w:val="005424E1"/>
    <w:rsid w:val="00542B76"/>
    <w:rsid w:val="00544438"/>
    <w:rsid w:val="00544617"/>
    <w:rsid w:val="00545141"/>
    <w:rsid w:val="00545EE4"/>
    <w:rsid w:val="0054667D"/>
    <w:rsid w:val="00546E80"/>
    <w:rsid w:val="005518B7"/>
    <w:rsid w:val="0055503F"/>
    <w:rsid w:val="00561191"/>
    <w:rsid w:val="00561228"/>
    <w:rsid w:val="00564D38"/>
    <w:rsid w:val="0056625C"/>
    <w:rsid w:val="00570D2B"/>
    <w:rsid w:val="005746FF"/>
    <w:rsid w:val="00575430"/>
    <w:rsid w:val="00585531"/>
    <w:rsid w:val="00586CD5"/>
    <w:rsid w:val="00590355"/>
    <w:rsid w:val="00595F4F"/>
    <w:rsid w:val="00596507"/>
    <w:rsid w:val="005A7416"/>
    <w:rsid w:val="005B35A5"/>
    <w:rsid w:val="005B386C"/>
    <w:rsid w:val="005C02E6"/>
    <w:rsid w:val="005C0CFF"/>
    <w:rsid w:val="005C194B"/>
    <w:rsid w:val="005D001D"/>
    <w:rsid w:val="005D38B8"/>
    <w:rsid w:val="005D53B2"/>
    <w:rsid w:val="005D6A8C"/>
    <w:rsid w:val="005F38A9"/>
    <w:rsid w:val="005F4B7F"/>
    <w:rsid w:val="005F4DF3"/>
    <w:rsid w:val="005F77F7"/>
    <w:rsid w:val="005F7975"/>
    <w:rsid w:val="00605361"/>
    <w:rsid w:val="00606E98"/>
    <w:rsid w:val="00613128"/>
    <w:rsid w:val="006152A5"/>
    <w:rsid w:val="00617517"/>
    <w:rsid w:val="00621BC1"/>
    <w:rsid w:val="00623163"/>
    <w:rsid w:val="006275BC"/>
    <w:rsid w:val="0063159E"/>
    <w:rsid w:val="00632F56"/>
    <w:rsid w:val="006359F1"/>
    <w:rsid w:val="006363B5"/>
    <w:rsid w:val="00637B2D"/>
    <w:rsid w:val="006404F8"/>
    <w:rsid w:val="0064728A"/>
    <w:rsid w:val="00651771"/>
    <w:rsid w:val="00654ED3"/>
    <w:rsid w:val="006619A8"/>
    <w:rsid w:val="00670F2C"/>
    <w:rsid w:val="006805E2"/>
    <w:rsid w:val="006851EB"/>
    <w:rsid w:val="0069166C"/>
    <w:rsid w:val="00691992"/>
    <w:rsid w:val="00691EF5"/>
    <w:rsid w:val="006944ED"/>
    <w:rsid w:val="00694B6B"/>
    <w:rsid w:val="0069721F"/>
    <w:rsid w:val="006A150F"/>
    <w:rsid w:val="006B04B7"/>
    <w:rsid w:val="006B2FE8"/>
    <w:rsid w:val="006B558E"/>
    <w:rsid w:val="006C00F7"/>
    <w:rsid w:val="006C6051"/>
    <w:rsid w:val="006C69EB"/>
    <w:rsid w:val="006D1DE5"/>
    <w:rsid w:val="006D2ACB"/>
    <w:rsid w:val="006D4126"/>
    <w:rsid w:val="006D668D"/>
    <w:rsid w:val="006D70F2"/>
    <w:rsid w:val="006E3F56"/>
    <w:rsid w:val="006E4FAA"/>
    <w:rsid w:val="006E758E"/>
    <w:rsid w:val="006F1269"/>
    <w:rsid w:val="006F247E"/>
    <w:rsid w:val="006F64B5"/>
    <w:rsid w:val="0070110C"/>
    <w:rsid w:val="00701598"/>
    <w:rsid w:val="0070177F"/>
    <w:rsid w:val="007040EE"/>
    <w:rsid w:val="00715B24"/>
    <w:rsid w:val="00715D67"/>
    <w:rsid w:val="00727FE7"/>
    <w:rsid w:val="007323E0"/>
    <w:rsid w:val="00742358"/>
    <w:rsid w:val="007443C0"/>
    <w:rsid w:val="00745AAE"/>
    <w:rsid w:val="00745B1F"/>
    <w:rsid w:val="00751B57"/>
    <w:rsid w:val="00751D6D"/>
    <w:rsid w:val="00752F62"/>
    <w:rsid w:val="0075304A"/>
    <w:rsid w:val="007530BB"/>
    <w:rsid w:val="0075481E"/>
    <w:rsid w:val="007548C1"/>
    <w:rsid w:val="00755D1B"/>
    <w:rsid w:val="00761FAA"/>
    <w:rsid w:val="007622D2"/>
    <w:rsid w:val="00762A7B"/>
    <w:rsid w:val="007748A3"/>
    <w:rsid w:val="00781400"/>
    <w:rsid w:val="007836D4"/>
    <w:rsid w:val="007857F3"/>
    <w:rsid w:val="007869CA"/>
    <w:rsid w:val="0079111C"/>
    <w:rsid w:val="007A12B8"/>
    <w:rsid w:val="007A25FB"/>
    <w:rsid w:val="007A4334"/>
    <w:rsid w:val="007A50A5"/>
    <w:rsid w:val="007A70E4"/>
    <w:rsid w:val="007A779E"/>
    <w:rsid w:val="007B0D4B"/>
    <w:rsid w:val="007B1B77"/>
    <w:rsid w:val="007B28DA"/>
    <w:rsid w:val="007B3225"/>
    <w:rsid w:val="007B437B"/>
    <w:rsid w:val="007B6D69"/>
    <w:rsid w:val="007C20F4"/>
    <w:rsid w:val="007C3C01"/>
    <w:rsid w:val="007C465E"/>
    <w:rsid w:val="007C79F5"/>
    <w:rsid w:val="007D0410"/>
    <w:rsid w:val="007D3054"/>
    <w:rsid w:val="007D3F72"/>
    <w:rsid w:val="007D4801"/>
    <w:rsid w:val="007D5F82"/>
    <w:rsid w:val="007D6384"/>
    <w:rsid w:val="007D6ED0"/>
    <w:rsid w:val="007E2CFA"/>
    <w:rsid w:val="007E4656"/>
    <w:rsid w:val="007E7298"/>
    <w:rsid w:val="007F0CB5"/>
    <w:rsid w:val="007F6B07"/>
    <w:rsid w:val="00800AC9"/>
    <w:rsid w:val="00800F5E"/>
    <w:rsid w:val="008018FD"/>
    <w:rsid w:val="00802BFF"/>
    <w:rsid w:val="00805F0A"/>
    <w:rsid w:val="008064C6"/>
    <w:rsid w:val="00807A55"/>
    <w:rsid w:val="008115CD"/>
    <w:rsid w:val="00812CD8"/>
    <w:rsid w:val="00815225"/>
    <w:rsid w:val="00817535"/>
    <w:rsid w:val="00817FEF"/>
    <w:rsid w:val="00820506"/>
    <w:rsid w:val="00821E4D"/>
    <w:rsid w:val="00822DB5"/>
    <w:rsid w:val="00823190"/>
    <w:rsid w:val="0082641E"/>
    <w:rsid w:val="00826D1C"/>
    <w:rsid w:val="00830F07"/>
    <w:rsid w:val="008358CF"/>
    <w:rsid w:val="00836036"/>
    <w:rsid w:val="00841805"/>
    <w:rsid w:val="00841E55"/>
    <w:rsid w:val="00842EEF"/>
    <w:rsid w:val="00842F2E"/>
    <w:rsid w:val="008442CC"/>
    <w:rsid w:val="00847769"/>
    <w:rsid w:val="008513BA"/>
    <w:rsid w:val="008521C3"/>
    <w:rsid w:val="00854711"/>
    <w:rsid w:val="00854A20"/>
    <w:rsid w:val="00855A3F"/>
    <w:rsid w:val="00860195"/>
    <w:rsid w:val="00861356"/>
    <w:rsid w:val="00861411"/>
    <w:rsid w:val="008616E4"/>
    <w:rsid w:val="008629E2"/>
    <w:rsid w:val="00865C64"/>
    <w:rsid w:val="00867F25"/>
    <w:rsid w:val="00870149"/>
    <w:rsid w:val="00873283"/>
    <w:rsid w:val="00886797"/>
    <w:rsid w:val="008923AC"/>
    <w:rsid w:val="008924BA"/>
    <w:rsid w:val="00893B02"/>
    <w:rsid w:val="00894D98"/>
    <w:rsid w:val="00896A71"/>
    <w:rsid w:val="008978C9"/>
    <w:rsid w:val="008A36B6"/>
    <w:rsid w:val="008B35C6"/>
    <w:rsid w:val="008B6A8B"/>
    <w:rsid w:val="008C0543"/>
    <w:rsid w:val="008C114A"/>
    <w:rsid w:val="008C2E0B"/>
    <w:rsid w:val="008C46F1"/>
    <w:rsid w:val="008C4DB8"/>
    <w:rsid w:val="008C5335"/>
    <w:rsid w:val="008C5396"/>
    <w:rsid w:val="008C7D89"/>
    <w:rsid w:val="008C7FA2"/>
    <w:rsid w:val="008E3479"/>
    <w:rsid w:val="008E3A61"/>
    <w:rsid w:val="008E742B"/>
    <w:rsid w:val="008E7792"/>
    <w:rsid w:val="008F1E68"/>
    <w:rsid w:val="008F2B92"/>
    <w:rsid w:val="00900E3B"/>
    <w:rsid w:val="00905665"/>
    <w:rsid w:val="00913D6C"/>
    <w:rsid w:val="00915E6B"/>
    <w:rsid w:val="00917B2A"/>
    <w:rsid w:val="0092031B"/>
    <w:rsid w:val="00922D30"/>
    <w:rsid w:val="009251FA"/>
    <w:rsid w:val="009259EF"/>
    <w:rsid w:val="00926351"/>
    <w:rsid w:val="0093290D"/>
    <w:rsid w:val="00932C03"/>
    <w:rsid w:val="0094345D"/>
    <w:rsid w:val="0094424E"/>
    <w:rsid w:val="00947E14"/>
    <w:rsid w:val="009512FC"/>
    <w:rsid w:val="0095249D"/>
    <w:rsid w:val="009567EB"/>
    <w:rsid w:val="00957449"/>
    <w:rsid w:val="00964DBA"/>
    <w:rsid w:val="00967586"/>
    <w:rsid w:val="00967D27"/>
    <w:rsid w:val="00971BE4"/>
    <w:rsid w:val="009735DC"/>
    <w:rsid w:val="00974D80"/>
    <w:rsid w:val="00977298"/>
    <w:rsid w:val="00982D7D"/>
    <w:rsid w:val="00983AB4"/>
    <w:rsid w:val="0098576D"/>
    <w:rsid w:val="00985F46"/>
    <w:rsid w:val="00987BAE"/>
    <w:rsid w:val="00996203"/>
    <w:rsid w:val="009966BB"/>
    <w:rsid w:val="009A423C"/>
    <w:rsid w:val="009A76C2"/>
    <w:rsid w:val="009B12B4"/>
    <w:rsid w:val="009B1DEB"/>
    <w:rsid w:val="009C50CC"/>
    <w:rsid w:val="009C6879"/>
    <w:rsid w:val="009C7EAC"/>
    <w:rsid w:val="009D23FC"/>
    <w:rsid w:val="009D345B"/>
    <w:rsid w:val="009D5C05"/>
    <w:rsid w:val="009E1549"/>
    <w:rsid w:val="009E1B30"/>
    <w:rsid w:val="009E4776"/>
    <w:rsid w:val="009F1CC9"/>
    <w:rsid w:val="009F5048"/>
    <w:rsid w:val="009F5103"/>
    <w:rsid w:val="00A01D33"/>
    <w:rsid w:val="00A02852"/>
    <w:rsid w:val="00A0310D"/>
    <w:rsid w:val="00A0415F"/>
    <w:rsid w:val="00A0544C"/>
    <w:rsid w:val="00A06A73"/>
    <w:rsid w:val="00A10FB9"/>
    <w:rsid w:val="00A11803"/>
    <w:rsid w:val="00A148F1"/>
    <w:rsid w:val="00A20C7B"/>
    <w:rsid w:val="00A21833"/>
    <w:rsid w:val="00A2196B"/>
    <w:rsid w:val="00A2236F"/>
    <w:rsid w:val="00A23027"/>
    <w:rsid w:val="00A23D14"/>
    <w:rsid w:val="00A27C72"/>
    <w:rsid w:val="00A30482"/>
    <w:rsid w:val="00A366E4"/>
    <w:rsid w:val="00A415BB"/>
    <w:rsid w:val="00A44C4F"/>
    <w:rsid w:val="00A44F71"/>
    <w:rsid w:val="00A458A3"/>
    <w:rsid w:val="00A46947"/>
    <w:rsid w:val="00A47FDC"/>
    <w:rsid w:val="00A6102C"/>
    <w:rsid w:val="00A65564"/>
    <w:rsid w:val="00A65999"/>
    <w:rsid w:val="00A66347"/>
    <w:rsid w:val="00A66413"/>
    <w:rsid w:val="00A676A9"/>
    <w:rsid w:val="00A67899"/>
    <w:rsid w:val="00A734EC"/>
    <w:rsid w:val="00A75EB4"/>
    <w:rsid w:val="00A76313"/>
    <w:rsid w:val="00A82580"/>
    <w:rsid w:val="00A829B4"/>
    <w:rsid w:val="00A84F83"/>
    <w:rsid w:val="00A86A89"/>
    <w:rsid w:val="00A933FA"/>
    <w:rsid w:val="00A96D77"/>
    <w:rsid w:val="00A97D45"/>
    <w:rsid w:val="00AA2122"/>
    <w:rsid w:val="00AA21AF"/>
    <w:rsid w:val="00AA228E"/>
    <w:rsid w:val="00AA4770"/>
    <w:rsid w:val="00AA4935"/>
    <w:rsid w:val="00AA58F4"/>
    <w:rsid w:val="00AB2A08"/>
    <w:rsid w:val="00AB3638"/>
    <w:rsid w:val="00AB38AC"/>
    <w:rsid w:val="00AB75C2"/>
    <w:rsid w:val="00AB7832"/>
    <w:rsid w:val="00AC3065"/>
    <w:rsid w:val="00AC4B3F"/>
    <w:rsid w:val="00AC63EE"/>
    <w:rsid w:val="00AC770F"/>
    <w:rsid w:val="00AD556F"/>
    <w:rsid w:val="00AD71D8"/>
    <w:rsid w:val="00AE1EDA"/>
    <w:rsid w:val="00AE29DA"/>
    <w:rsid w:val="00AE4F1B"/>
    <w:rsid w:val="00AE58F8"/>
    <w:rsid w:val="00AF1FA5"/>
    <w:rsid w:val="00AF2A61"/>
    <w:rsid w:val="00AF2DFB"/>
    <w:rsid w:val="00AF53C6"/>
    <w:rsid w:val="00AF5A18"/>
    <w:rsid w:val="00AF665B"/>
    <w:rsid w:val="00AF73D5"/>
    <w:rsid w:val="00B01FEC"/>
    <w:rsid w:val="00B0434D"/>
    <w:rsid w:val="00B0652B"/>
    <w:rsid w:val="00B066C9"/>
    <w:rsid w:val="00B14530"/>
    <w:rsid w:val="00B150BF"/>
    <w:rsid w:val="00B168B3"/>
    <w:rsid w:val="00B211AA"/>
    <w:rsid w:val="00B217BA"/>
    <w:rsid w:val="00B230AB"/>
    <w:rsid w:val="00B23B59"/>
    <w:rsid w:val="00B25CF4"/>
    <w:rsid w:val="00B30137"/>
    <w:rsid w:val="00B32084"/>
    <w:rsid w:val="00B326BD"/>
    <w:rsid w:val="00B338B9"/>
    <w:rsid w:val="00B35484"/>
    <w:rsid w:val="00B364C0"/>
    <w:rsid w:val="00B36BC2"/>
    <w:rsid w:val="00B415C4"/>
    <w:rsid w:val="00B4494C"/>
    <w:rsid w:val="00B50383"/>
    <w:rsid w:val="00B51364"/>
    <w:rsid w:val="00B51F7D"/>
    <w:rsid w:val="00B536DD"/>
    <w:rsid w:val="00B557A8"/>
    <w:rsid w:val="00B574C1"/>
    <w:rsid w:val="00B6797D"/>
    <w:rsid w:val="00B712BC"/>
    <w:rsid w:val="00B71348"/>
    <w:rsid w:val="00B7251A"/>
    <w:rsid w:val="00B72929"/>
    <w:rsid w:val="00B74097"/>
    <w:rsid w:val="00B740FB"/>
    <w:rsid w:val="00B76052"/>
    <w:rsid w:val="00B77F76"/>
    <w:rsid w:val="00B82688"/>
    <w:rsid w:val="00B85CE7"/>
    <w:rsid w:val="00B9786B"/>
    <w:rsid w:val="00BA07CF"/>
    <w:rsid w:val="00BA0C52"/>
    <w:rsid w:val="00BA33C0"/>
    <w:rsid w:val="00BA4191"/>
    <w:rsid w:val="00BB0424"/>
    <w:rsid w:val="00BB1BF7"/>
    <w:rsid w:val="00BB4BD2"/>
    <w:rsid w:val="00BB6760"/>
    <w:rsid w:val="00BC228A"/>
    <w:rsid w:val="00BC4CBC"/>
    <w:rsid w:val="00BD19EB"/>
    <w:rsid w:val="00BD3B7F"/>
    <w:rsid w:val="00BD7D8E"/>
    <w:rsid w:val="00BE0497"/>
    <w:rsid w:val="00BE16A4"/>
    <w:rsid w:val="00BE1A5D"/>
    <w:rsid w:val="00BE20FD"/>
    <w:rsid w:val="00BE3C4E"/>
    <w:rsid w:val="00BE4B71"/>
    <w:rsid w:val="00BE699D"/>
    <w:rsid w:val="00BF06C5"/>
    <w:rsid w:val="00BF1980"/>
    <w:rsid w:val="00BF425B"/>
    <w:rsid w:val="00BF70DA"/>
    <w:rsid w:val="00C03B9E"/>
    <w:rsid w:val="00C05040"/>
    <w:rsid w:val="00C05CBC"/>
    <w:rsid w:val="00C106FC"/>
    <w:rsid w:val="00C108ED"/>
    <w:rsid w:val="00C17217"/>
    <w:rsid w:val="00C3262B"/>
    <w:rsid w:val="00C35A28"/>
    <w:rsid w:val="00C43A3C"/>
    <w:rsid w:val="00C4718B"/>
    <w:rsid w:val="00C47D56"/>
    <w:rsid w:val="00C514FA"/>
    <w:rsid w:val="00C600C3"/>
    <w:rsid w:val="00C629F4"/>
    <w:rsid w:val="00C639A8"/>
    <w:rsid w:val="00C655BD"/>
    <w:rsid w:val="00C65B33"/>
    <w:rsid w:val="00C6651E"/>
    <w:rsid w:val="00C66938"/>
    <w:rsid w:val="00C70560"/>
    <w:rsid w:val="00C708D2"/>
    <w:rsid w:val="00C71526"/>
    <w:rsid w:val="00C73829"/>
    <w:rsid w:val="00C77517"/>
    <w:rsid w:val="00C87035"/>
    <w:rsid w:val="00C915C8"/>
    <w:rsid w:val="00C921F5"/>
    <w:rsid w:val="00C9243E"/>
    <w:rsid w:val="00C97531"/>
    <w:rsid w:val="00C97D63"/>
    <w:rsid w:val="00CA2D32"/>
    <w:rsid w:val="00CA37E7"/>
    <w:rsid w:val="00CA3A94"/>
    <w:rsid w:val="00CB7A4E"/>
    <w:rsid w:val="00CC2452"/>
    <w:rsid w:val="00CC28EC"/>
    <w:rsid w:val="00CC44C3"/>
    <w:rsid w:val="00CC560D"/>
    <w:rsid w:val="00CC6169"/>
    <w:rsid w:val="00CD5938"/>
    <w:rsid w:val="00CD5A26"/>
    <w:rsid w:val="00CE0316"/>
    <w:rsid w:val="00CE48D0"/>
    <w:rsid w:val="00CE702C"/>
    <w:rsid w:val="00CF17CE"/>
    <w:rsid w:val="00CF1ED6"/>
    <w:rsid w:val="00CF2AC8"/>
    <w:rsid w:val="00CF2D96"/>
    <w:rsid w:val="00CF2F74"/>
    <w:rsid w:val="00CF53C4"/>
    <w:rsid w:val="00CF57F6"/>
    <w:rsid w:val="00CF706B"/>
    <w:rsid w:val="00D022D6"/>
    <w:rsid w:val="00D0528A"/>
    <w:rsid w:val="00D073E8"/>
    <w:rsid w:val="00D07471"/>
    <w:rsid w:val="00D075EA"/>
    <w:rsid w:val="00D079D9"/>
    <w:rsid w:val="00D14149"/>
    <w:rsid w:val="00D17C42"/>
    <w:rsid w:val="00D21085"/>
    <w:rsid w:val="00D220E6"/>
    <w:rsid w:val="00D22A25"/>
    <w:rsid w:val="00D26175"/>
    <w:rsid w:val="00D26779"/>
    <w:rsid w:val="00D32FE4"/>
    <w:rsid w:val="00D33496"/>
    <w:rsid w:val="00D3389B"/>
    <w:rsid w:val="00D37050"/>
    <w:rsid w:val="00D37A86"/>
    <w:rsid w:val="00D45B67"/>
    <w:rsid w:val="00D47E3F"/>
    <w:rsid w:val="00D5070D"/>
    <w:rsid w:val="00D51CFD"/>
    <w:rsid w:val="00D54CED"/>
    <w:rsid w:val="00D56E92"/>
    <w:rsid w:val="00D57E4C"/>
    <w:rsid w:val="00D57F46"/>
    <w:rsid w:val="00D62CDE"/>
    <w:rsid w:val="00D64481"/>
    <w:rsid w:val="00D6524C"/>
    <w:rsid w:val="00D65C33"/>
    <w:rsid w:val="00D6625D"/>
    <w:rsid w:val="00D671EC"/>
    <w:rsid w:val="00D724B7"/>
    <w:rsid w:val="00D73A9D"/>
    <w:rsid w:val="00D747C2"/>
    <w:rsid w:val="00D76B65"/>
    <w:rsid w:val="00D77A93"/>
    <w:rsid w:val="00D77AB5"/>
    <w:rsid w:val="00D82BF5"/>
    <w:rsid w:val="00D82FB1"/>
    <w:rsid w:val="00D83668"/>
    <w:rsid w:val="00D86E6B"/>
    <w:rsid w:val="00D87BD5"/>
    <w:rsid w:val="00D90927"/>
    <w:rsid w:val="00D91DBA"/>
    <w:rsid w:val="00D94E12"/>
    <w:rsid w:val="00D96AA2"/>
    <w:rsid w:val="00DA1444"/>
    <w:rsid w:val="00DA2012"/>
    <w:rsid w:val="00DA2E54"/>
    <w:rsid w:val="00DA4B82"/>
    <w:rsid w:val="00DA56E6"/>
    <w:rsid w:val="00DB0D10"/>
    <w:rsid w:val="00DB3762"/>
    <w:rsid w:val="00DB3993"/>
    <w:rsid w:val="00DB4556"/>
    <w:rsid w:val="00DB45EB"/>
    <w:rsid w:val="00DB4649"/>
    <w:rsid w:val="00DB524A"/>
    <w:rsid w:val="00DC1D63"/>
    <w:rsid w:val="00DC1DC7"/>
    <w:rsid w:val="00DC2675"/>
    <w:rsid w:val="00DC3BD4"/>
    <w:rsid w:val="00DC52CF"/>
    <w:rsid w:val="00DC74DE"/>
    <w:rsid w:val="00DD2D96"/>
    <w:rsid w:val="00DD3CA4"/>
    <w:rsid w:val="00DD55CF"/>
    <w:rsid w:val="00DE0672"/>
    <w:rsid w:val="00DE0C2D"/>
    <w:rsid w:val="00DE1570"/>
    <w:rsid w:val="00DE3BCA"/>
    <w:rsid w:val="00DE5A10"/>
    <w:rsid w:val="00DE6945"/>
    <w:rsid w:val="00DE760C"/>
    <w:rsid w:val="00DF267F"/>
    <w:rsid w:val="00DF2A1D"/>
    <w:rsid w:val="00DF31DE"/>
    <w:rsid w:val="00DF39E6"/>
    <w:rsid w:val="00DF435F"/>
    <w:rsid w:val="00DF52A0"/>
    <w:rsid w:val="00DF5553"/>
    <w:rsid w:val="00DF641F"/>
    <w:rsid w:val="00DF7F90"/>
    <w:rsid w:val="00E005C5"/>
    <w:rsid w:val="00E02557"/>
    <w:rsid w:val="00E046A4"/>
    <w:rsid w:val="00E07F9D"/>
    <w:rsid w:val="00E1341B"/>
    <w:rsid w:val="00E14EAD"/>
    <w:rsid w:val="00E211A3"/>
    <w:rsid w:val="00E23046"/>
    <w:rsid w:val="00E2733E"/>
    <w:rsid w:val="00E27C95"/>
    <w:rsid w:val="00E37C5A"/>
    <w:rsid w:val="00E41EE6"/>
    <w:rsid w:val="00E43D5E"/>
    <w:rsid w:val="00E45837"/>
    <w:rsid w:val="00E51D4B"/>
    <w:rsid w:val="00E53A3F"/>
    <w:rsid w:val="00E55221"/>
    <w:rsid w:val="00E55C54"/>
    <w:rsid w:val="00E57ACA"/>
    <w:rsid w:val="00E61946"/>
    <w:rsid w:val="00E65C30"/>
    <w:rsid w:val="00E66C52"/>
    <w:rsid w:val="00E70FBA"/>
    <w:rsid w:val="00E71191"/>
    <w:rsid w:val="00E71551"/>
    <w:rsid w:val="00E72039"/>
    <w:rsid w:val="00E745D4"/>
    <w:rsid w:val="00E77AC9"/>
    <w:rsid w:val="00E87FD7"/>
    <w:rsid w:val="00E918DF"/>
    <w:rsid w:val="00E92A47"/>
    <w:rsid w:val="00E9532F"/>
    <w:rsid w:val="00E96879"/>
    <w:rsid w:val="00EA0937"/>
    <w:rsid w:val="00EA6281"/>
    <w:rsid w:val="00EB163B"/>
    <w:rsid w:val="00EB357D"/>
    <w:rsid w:val="00EB659B"/>
    <w:rsid w:val="00EC0EC6"/>
    <w:rsid w:val="00EC1E0E"/>
    <w:rsid w:val="00EC6ED4"/>
    <w:rsid w:val="00EC7A4A"/>
    <w:rsid w:val="00ED0A6A"/>
    <w:rsid w:val="00ED0FBE"/>
    <w:rsid w:val="00ED3C0C"/>
    <w:rsid w:val="00ED4451"/>
    <w:rsid w:val="00ED46E6"/>
    <w:rsid w:val="00EE3583"/>
    <w:rsid w:val="00EE4501"/>
    <w:rsid w:val="00EF182A"/>
    <w:rsid w:val="00EF38B5"/>
    <w:rsid w:val="00F0164B"/>
    <w:rsid w:val="00F029D4"/>
    <w:rsid w:val="00F03E02"/>
    <w:rsid w:val="00F06D50"/>
    <w:rsid w:val="00F1695D"/>
    <w:rsid w:val="00F178F0"/>
    <w:rsid w:val="00F25CB0"/>
    <w:rsid w:val="00F31697"/>
    <w:rsid w:val="00F356EC"/>
    <w:rsid w:val="00F376A7"/>
    <w:rsid w:val="00F40305"/>
    <w:rsid w:val="00F40D0D"/>
    <w:rsid w:val="00F4270C"/>
    <w:rsid w:val="00F451C2"/>
    <w:rsid w:val="00F4654A"/>
    <w:rsid w:val="00F50FA3"/>
    <w:rsid w:val="00F5675D"/>
    <w:rsid w:val="00F6482A"/>
    <w:rsid w:val="00F71185"/>
    <w:rsid w:val="00F7325F"/>
    <w:rsid w:val="00F740B1"/>
    <w:rsid w:val="00F770D2"/>
    <w:rsid w:val="00F81767"/>
    <w:rsid w:val="00F8189E"/>
    <w:rsid w:val="00F82257"/>
    <w:rsid w:val="00F90497"/>
    <w:rsid w:val="00F91226"/>
    <w:rsid w:val="00F93506"/>
    <w:rsid w:val="00F9350A"/>
    <w:rsid w:val="00F96B2E"/>
    <w:rsid w:val="00F97C21"/>
    <w:rsid w:val="00FA08D9"/>
    <w:rsid w:val="00FA2263"/>
    <w:rsid w:val="00FA3433"/>
    <w:rsid w:val="00FA3E3F"/>
    <w:rsid w:val="00FA571C"/>
    <w:rsid w:val="00FB1530"/>
    <w:rsid w:val="00FB3988"/>
    <w:rsid w:val="00FB4816"/>
    <w:rsid w:val="00FB7DE0"/>
    <w:rsid w:val="00FC4DD4"/>
    <w:rsid w:val="00FC6BFA"/>
    <w:rsid w:val="00FC6CCE"/>
    <w:rsid w:val="00FC73F7"/>
    <w:rsid w:val="00FC74D8"/>
    <w:rsid w:val="00FD06A9"/>
    <w:rsid w:val="00FD0C6C"/>
    <w:rsid w:val="00FD28DF"/>
    <w:rsid w:val="00FD3B12"/>
    <w:rsid w:val="00FD499C"/>
    <w:rsid w:val="00FD4E86"/>
    <w:rsid w:val="00FD52B0"/>
    <w:rsid w:val="00FE0FCA"/>
    <w:rsid w:val="00FE2BF2"/>
    <w:rsid w:val="00FE341A"/>
    <w:rsid w:val="00FE3DE7"/>
    <w:rsid w:val="00FE50DC"/>
    <w:rsid w:val="00FF2BFF"/>
    <w:rsid w:val="00FF3790"/>
    <w:rsid w:val="00FF3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D7E7"/>
  <w15:chartTrackingRefBased/>
  <w15:docId w15:val="{04D9B0C3-76E3-4DAD-9C03-81166DC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07"/>
    <w:pPr>
      <w:spacing w:after="0" w:line="480" w:lineRule="auto"/>
    </w:pPr>
    <w:rPr>
      <w:rFonts w:ascii="Arial" w:hAnsi="Arial"/>
      <w:lang w:val="en-US"/>
    </w:rPr>
  </w:style>
  <w:style w:type="paragraph" w:styleId="Heading1">
    <w:name w:val="heading 1"/>
    <w:basedOn w:val="Normal"/>
    <w:next w:val="Normal"/>
    <w:link w:val="Heading1Char"/>
    <w:uiPriority w:val="9"/>
    <w:qFormat/>
    <w:rsid w:val="00830F07"/>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30F07"/>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30F07"/>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830F07"/>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F07"/>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9"/>
    <w:rsid w:val="00830F07"/>
    <w:rPr>
      <w:rFonts w:ascii="Arial" w:eastAsiaTheme="majorEastAsia" w:hAnsi="Arial" w:cstheme="majorBidi"/>
      <w:b/>
      <w:sz w:val="28"/>
      <w:szCs w:val="26"/>
      <w:lang w:val="en-US"/>
    </w:rPr>
  </w:style>
  <w:style w:type="character" w:customStyle="1" w:styleId="Heading3Char">
    <w:name w:val="Heading 3 Char"/>
    <w:basedOn w:val="DefaultParagraphFont"/>
    <w:link w:val="Heading3"/>
    <w:uiPriority w:val="9"/>
    <w:rsid w:val="00830F07"/>
    <w:rPr>
      <w:rFonts w:ascii="Arial" w:eastAsiaTheme="majorEastAsia" w:hAnsi="Arial" w:cstheme="majorBidi"/>
      <w:b/>
      <w:sz w:val="24"/>
      <w:szCs w:val="24"/>
      <w:lang w:val="en-US"/>
    </w:rPr>
  </w:style>
  <w:style w:type="character" w:customStyle="1" w:styleId="Heading4Char">
    <w:name w:val="Heading 4 Char"/>
    <w:basedOn w:val="DefaultParagraphFont"/>
    <w:link w:val="Heading4"/>
    <w:uiPriority w:val="9"/>
    <w:rsid w:val="00830F07"/>
    <w:rPr>
      <w:rFonts w:ascii="Arial" w:eastAsiaTheme="majorEastAsia" w:hAnsi="Arial" w:cstheme="majorBidi"/>
      <w:i/>
      <w:iCs/>
      <w:lang w:val="en-US"/>
    </w:rPr>
  </w:style>
  <w:style w:type="character" w:styleId="CommentReference">
    <w:name w:val="annotation reference"/>
    <w:basedOn w:val="DefaultParagraphFont"/>
    <w:uiPriority w:val="99"/>
    <w:unhideWhenUsed/>
    <w:rsid w:val="00830F07"/>
    <w:rPr>
      <w:sz w:val="16"/>
      <w:szCs w:val="16"/>
    </w:rPr>
  </w:style>
  <w:style w:type="paragraph" w:styleId="CommentText">
    <w:name w:val="annotation text"/>
    <w:basedOn w:val="Normal"/>
    <w:link w:val="CommentTextChar"/>
    <w:uiPriority w:val="99"/>
    <w:unhideWhenUsed/>
    <w:rsid w:val="00830F07"/>
    <w:pPr>
      <w:spacing w:line="240" w:lineRule="auto"/>
    </w:pPr>
    <w:rPr>
      <w:sz w:val="20"/>
      <w:szCs w:val="20"/>
    </w:rPr>
  </w:style>
  <w:style w:type="character" w:customStyle="1" w:styleId="CommentTextChar">
    <w:name w:val="Comment Text Char"/>
    <w:basedOn w:val="DefaultParagraphFont"/>
    <w:link w:val="CommentText"/>
    <w:uiPriority w:val="99"/>
    <w:rsid w:val="00830F07"/>
    <w:rPr>
      <w:rFonts w:ascii="Arial" w:hAnsi="Arial"/>
      <w:sz w:val="20"/>
      <w:szCs w:val="20"/>
      <w:lang w:val="en-US"/>
    </w:rPr>
  </w:style>
  <w:style w:type="paragraph" w:customStyle="1" w:styleId="Default">
    <w:name w:val="Default"/>
    <w:rsid w:val="00830F07"/>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830F07"/>
    <w:rPr>
      <w:color w:val="FFFFFF"/>
      <w:sz w:val="16"/>
      <w:szCs w:val="16"/>
    </w:rPr>
  </w:style>
  <w:style w:type="character" w:customStyle="1" w:styleId="A5">
    <w:name w:val="A5"/>
    <w:uiPriority w:val="99"/>
    <w:rsid w:val="00830F07"/>
    <w:rPr>
      <w:color w:val="FFFFFF"/>
      <w:sz w:val="9"/>
      <w:szCs w:val="9"/>
    </w:rPr>
  </w:style>
  <w:style w:type="paragraph" w:styleId="ListParagraph">
    <w:name w:val="List Paragraph"/>
    <w:basedOn w:val="Normal"/>
    <w:link w:val="ListParagraphChar"/>
    <w:uiPriority w:val="34"/>
    <w:qFormat/>
    <w:rsid w:val="00830F07"/>
    <w:pPr>
      <w:ind w:left="720"/>
      <w:contextualSpacing/>
    </w:pPr>
  </w:style>
  <w:style w:type="character" w:customStyle="1" w:styleId="ListParagraphChar">
    <w:name w:val="List Paragraph Char"/>
    <w:basedOn w:val="DefaultParagraphFont"/>
    <w:link w:val="ListParagraph"/>
    <w:uiPriority w:val="34"/>
    <w:rsid w:val="00830F07"/>
    <w:rPr>
      <w:rFonts w:ascii="Arial" w:hAnsi="Arial"/>
      <w:lang w:val="en-US"/>
    </w:rPr>
  </w:style>
  <w:style w:type="paragraph" w:styleId="BalloonText">
    <w:name w:val="Balloon Text"/>
    <w:basedOn w:val="Normal"/>
    <w:link w:val="BalloonTextChar"/>
    <w:uiPriority w:val="99"/>
    <w:semiHidden/>
    <w:unhideWhenUsed/>
    <w:rsid w:val="00830F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F07"/>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830F07"/>
    <w:rPr>
      <w:b/>
      <w:bCs/>
    </w:rPr>
  </w:style>
  <w:style w:type="character" w:customStyle="1" w:styleId="CommentSubjectChar">
    <w:name w:val="Comment Subject Char"/>
    <w:basedOn w:val="CommentTextChar"/>
    <w:link w:val="CommentSubject"/>
    <w:uiPriority w:val="99"/>
    <w:semiHidden/>
    <w:rsid w:val="00830F07"/>
    <w:rPr>
      <w:rFonts w:ascii="Arial" w:hAnsi="Arial"/>
      <w:b/>
      <w:bCs/>
      <w:sz w:val="20"/>
      <w:szCs w:val="20"/>
      <w:lang w:val="en-US"/>
    </w:rPr>
  </w:style>
  <w:style w:type="paragraph" w:styleId="NormalWeb">
    <w:name w:val="Normal (Web)"/>
    <w:basedOn w:val="Normal"/>
    <w:uiPriority w:val="99"/>
    <w:unhideWhenUsed/>
    <w:rsid w:val="00830F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830F07"/>
    <w:pPr>
      <w:spacing w:after="220"/>
    </w:pPr>
    <w:rPr>
      <w:rFonts w:eastAsia="Times New Roman" w:cs="Arial"/>
      <w:noProof/>
      <w:szCs w:val="24"/>
      <w:lang w:eastAsia="en-GB"/>
    </w:rPr>
  </w:style>
  <w:style w:type="character" w:customStyle="1" w:styleId="EndNoteBibliographyChar">
    <w:name w:val="EndNote Bibliography Char"/>
    <w:basedOn w:val="ListParagraphChar"/>
    <w:link w:val="EndNoteBibliography"/>
    <w:rsid w:val="00830F07"/>
    <w:rPr>
      <w:rFonts w:ascii="Arial" w:eastAsia="Times New Roman" w:hAnsi="Arial" w:cs="Arial"/>
      <w:noProof/>
      <w:szCs w:val="24"/>
      <w:lang w:val="en-US" w:eastAsia="en-GB"/>
    </w:rPr>
  </w:style>
  <w:style w:type="table" w:customStyle="1" w:styleId="GridTable1Light1">
    <w:name w:val="Grid Table 1 Light1"/>
    <w:basedOn w:val="TableNormal"/>
    <w:uiPriority w:val="46"/>
    <w:rsid w:val="00830F07"/>
    <w:pPr>
      <w:spacing w:after="0" w:line="240" w:lineRule="auto"/>
    </w:pPr>
    <w:rPr>
      <w:rFonts w:ascii="Calibri" w:eastAsia="Times New Roman" w:hAnsi="Calibri" w:cs="Calibri"/>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830F07"/>
    <w:rPr>
      <w:color w:val="0000FF"/>
      <w:u w:val="single"/>
    </w:rPr>
  </w:style>
  <w:style w:type="paragraph" w:customStyle="1" w:styleId="EndNoteBibliographyTitle">
    <w:name w:val="EndNote Bibliography Title"/>
    <w:basedOn w:val="Normal"/>
    <w:link w:val="EndNoteBibliographyTitleChar"/>
    <w:rsid w:val="00830F07"/>
    <w:pPr>
      <w:jc w:val="center"/>
    </w:pPr>
    <w:rPr>
      <w:rFonts w:cs="Arial"/>
      <w:noProof/>
    </w:rPr>
  </w:style>
  <w:style w:type="character" w:customStyle="1" w:styleId="EndNoteBibliographyTitleChar">
    <w:name w:val="EndNote Bibliography Title Char"/>
    <w:basedOn w:val="DefaultParagraphFont"/>
    <w:link w:val="EndNoteBibliographyTitle"/>
    <w:rsid w:val="00830F07"/>
    <w:rPr>
      <w:rFonts w:ascii="Arial" w:hAnsi="Arial" w:cs="Arial"/>
      <w:noProof/>
      <w:lang w:val="en-US"/>
    </w:rPr>
  </w:style>
  <w:style w:type="table" w:styleId="TableGrid">
    <w:name w:val="Table Grid"/>
    <w:basedOn w:val="TableNormal"/>
    <w:uiPriority w:val="39"/>
    <w:rsid w:val="00830F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99"/>
    <w:rsid w:val="00830F07"/>
    <w:pPr>
      <w:spacing w:after="0" w:line="240" w:lineRule="auto"/>
    </w:pPr>
    <w:rPr>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rsid w:val="00830F07"/>
    <w:pPr>
      <w:spacing w:line="240" w:lineRule="auto"/>
    </w:pPr>
    <w:rPr>
      <w:rFonts w:eastAsia="Times New Roman" w:cs="Times New Roman"/>
      <w:sz w:val="20"/>
      <w:szCs w:val="20"/>
      <w:lang w:eastAsia="en-GB" w:bidi="en-GB"/>
    </w:rPr>
  </w:style>
  <w:style w:type="character" w:customStyle="1" w:styleId="FootnoteTextChar">
    <w:name w:val="Footnote Text Char"/>
    <w:basedOn w:val="DefaultParagraphFont"/>
    <w:link w:val="FootnoteText"/>
    <w:uiPriority w:val="99"/>
    <w:semiHidden/>
    <w:rsid w:val="00830F07"/>
    <w:rPr>
      <w:rFonts w:ascii="Arial" w:eastAsia="Times New Roman" w:hAnsi="Arial" w:cs="Times New Roman"/>
      <w:sz w:val="20"/>
      <w:szCs w:val="20"/>
      <w:lang w:val="en-US" w:eastAsia="en-GB" w:bidi="en-GB"/>
    </w:rPr>
  </w:style>
  <w:style w:type="character" w:styleId="FootnoteReference">
    <w:name w:val="footnote reference"/>
    <w:uiPriority w:val="99"/>
    <w:semiHidden/>
    <w:rsid w:val="00830F07"/>
    <w:rPr>
      <w:vertAlign w:val="superscript"/>
    </w:rPr>
  </w:style>
  <w:style w:type="paragraph" w:styleId="Bibliography">
    <w:name w:val="Bibliography"/>
    <w:basedOn w:val="Normal"/>
    <w:next w:val="Normal"/>
    <w:uiPriority w:val="37"/>
    <w:semiHidden/>
    <w:unhideWhenUsed/>
    <w:rsid w:val="00830F07"/>
  </w:style>
  <w:style w:type="character" w:customStyle="1" w:styleId="inlineblock">
    <w:name w:val="inlineblock"/>
    <w:basedOn w:val="DefaultParagraphFont"/>
    <w:rsid w:val="00830F07"/>
  </w:style>
  <w:style w:type="character" w:styleId="Emphasis">
    <w:name w:val="Emphasis"/>
    <w:basedOn w:val="DefaultParagraphFont"/>
    <w:uiPriority w:val="20"/>
    <w:qFormat/>
    <w:rsid w:val="00830F07"/>
    <w:rPr>
      <w:i/>
      <w:iCs/>
    </w:rPr>
  </w:style>
  <w:style w:type="character" w:customStyle="1" w:styleId="hlfld-contribauthor">
    <w:name w:val="hlfld-contribauthor"/>
    <w:basedOn w:val="DefaultParagraphFont"/>
    <w:rsid w:val="00830F07"/>
  </w:style>
  <w:style w:type="character" w:customStyle="1" w:styleId="singlehighlightclass">
    <w:name w:val="single_highlight_class"/>
    <w:basedOn w:val="DefaultParagraphFont"/>
    <w:rsid w:val="00830F07"/>
  </w:style>
  <w:style w:type="character" w:customStyle="1" w:styleId="nlm-given-names">
    <w:name w:val="nlm-given-names"/>
    <w:basedOn w:val="DefaultParagraphFont"/>
    <w:rsid w:val="00830F07"/>
  </w:style>
  <w:style w:type="character" w:customStyle="1" w:styleId="nlm-surname">
    <w:name w:val="nlm-surname"/>
    <w:basedOn w:val="DefaultParagraphFont"/>
    <w:rsid w:val="00830F07"/>
  </w:style>
  <w:style w:type="paragraph" w:styleId="Header">
    <w:name w:val="header"/>
    <w:basedOn w:val="Normal"/>
    <w:link w:val="HeaderChar"/>
    <w:uiPriority w:val="99"/>
    <w:unhideWhenUsed/>
    <w:rsid w:val="00830F07"/>
    <w:pPr>
      <w:tabs>
        <w:tab w:val="center" w:pos="4513"/>
        <w:tab w:val="right" w:pos="9026"/>
      </w:tabs>
      <w:spacing w:line="240" w:lineRule="auto"/>
    </w:pPr>
  </w:style>
  <w:style w:type="character" w:customStyle="1" w:styleId="HeaderChar">
    <w:name w:val="Header Char"/>
    <w:basedOn w:val="DefaultParagraphFont"/>
    <w:link w:val="Header"/>
    <w:uiPriority w:val="99"/>
    <w:rsid w:val="00830F07"/>
    <w:rPr>
      <w:rFonts w:ascii="Arial" w:hAnsi="Arial"/>
      <w:lang w:val="en-US"/>
    </w:rPr>
  </w:style>
  <w:style w:type="paragraph" w:styleId="Footer">
    <w:name w:val="footer"/>
    <w:basedOn w:val="Normal"/>
    <w:link w:val="FooterChar"/>
    <w:uiPriority w:val="99"/>
    <w:unhideWhenUsed/>
    <w:rsid w:val="00830F07"/>
    <w:pPr>
      <w:tabs>
        <w:tab w:val="center" w:pos="4513"/>
        <w:tab w:val="right" w:pos="9026"/>
      </w:tabs>
      <w:spacing w:line="240" w:lineRule="auto"/>
    </w:pPr>
  </w:style>
  <w:style w:type="character" w:customStyle="1" w:styleId="FooterChar">
    <w:name w:val="Footer Char"/>
    <w:basedOn w:val="DefaultParagraphFont"/>
    <w:link w:val="Footer"/>
    <w:uiPriority w:val="99"/>
    <w:rsid w:val="00830F07"/>
    <w:rPr>
      <w:rFonts w:ascii="Arial" w:hAnsi="Arial"/>
      <w:lang w:val="en-US"/>
    </w:rPr>
  </w:style>
  <w:style w:type="paragraph" w:styleId="Revision">
    <w:name w:val="Revision"/>
    <w:hidden/>
    <w:uiPriority w:val="99"/>
    <w:semiHidden/>
    <w:rsid w:val="00830F07"/>
    <w:pPr>
      <w:spacing w:after="0" w:line="240" w:lineRule="auto"/>
    </w:pPr>
  </w:style>
  <w:style w:type="character" w:customStyle="1" w:styleId="highlight">
    <w:name w:val="highlight"/>
    <w:basedOn w:val="DefaultParagraphFont"/>
    <w:rsid w:val="00830F07"/>
  </w:style>
  <w:style w:type="character" w:customStyle="1" w:styleId="UnresolvedMention1">
    <w:name w:val="Unresolved Mention1"/>
    <w:basedOn w:val="DefaultParagraphFont"/>
    <w:uiPriority w:val="99"/>
    <w:semiHidden/>
    <w:unhideWhenUsed/>
    <w:rsid w:val="00830F07"/>
    <w:rPr>
      <w:color w:val="605E5C"/>
      <w:shd w:val="clear" w:color="auto" w:fill="E1DFDD"/>
    </w:rPr>
  </w:style>
  <w:style w:type="character" w:styleId="FollowedHyperlink">
    <w:name w:val="FollowedHyperlink"/>
    <w:basedOn w:val="DefaultParagraphFont"/>
    <w:uiPriority w:val="99"/>
    <w:semiHidden/>
    <w:unhideWhenUsed/>
    <w:rsid w:val="00830F07"/>
    <w:rPr>
      <w:color w:val="954F72" w:themeColor="followedHyperlink"/>
      <w:u w:val="single"/>
    </w:rPr>
  </w:style>
  <w:style w:type="paragraph" w:styleId="Title">
    <w:name w:val="Title"/>
    <w:basedOn w:val="Normal"/>
    <w:next w:val="Normal"/>
    <w:link w:val="TitleChar"/>
    <w:uiPriority w:val="10"/>
    <w:qFormat/>
    <w:rsid w:val="00830F0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F07"/>
    <w:rPr>
      <w:rFonts w:asciiTheme="majorHAnsi" w:eastAsiaTheme="majorEastAsia" w:hAnsiTheme="majorHAnsi" w:cstheme="majorBidi"/>
      <w:spacing w:val="-10"/>
      <w:kern w:val="28"/>
      <w:sz w:val="56"/>
      <w:szCs w:val="56"/>
      <w:lang w:val="en-US"/>
    </w:rPr>
  </w:style>
  <w:style w:type="paragraph" w:styleId="BodyText">
    <w:name w:val="Body Text"/>
    <w:basedOn w:val="Normal"/>
    <w:link w:val="BodyTextChar"/>
    <w:unhideWhenUsed/>
    <w:rsid w:val="00830F07"/>
    <w:pPr>
      <w:spacing w:after="220" w:line="360" w:lineRule="auto"/>
    </w:pPr>
    <w:rPr>
      <w:rFonts w:ascii="Calibri" w:eastAsia="Times New Roman" w:hAnsi="Calibri" w:cs="Calibri"/>
      <w:szCs w:val="24"/>
      <w:lang w:eastAsia="en-GB"/>
    </w:rPr>
  </w:style>
  <w:style w:type="character" w:customStyle="1" w:styleId="BodyTextChar">
    <w:name w:val="Body Text Char"/>
    <w:basedOn w:val="DefaultParagraphFont"/>
    <w:link w:val="BodyText"/>
    <w:rsid w:val="00830F07"/>
    <w:rPr>
      <w:rFonts w:ascii="Calibri" w:eastAsia="Times New Roman" w:hAnsi="Calibri" w:cs="Calibri"/>
      <w:szCs w:val="24"/>
      <w:lang w:val="en-US" w:eastAsia="en-GB"/>
    </w:rPr>
  </w:style>
  <w:style w:type="character" w:customStyle="1" w:styleId="number-bullet">
    <w:name w:val="number-bullet"/>
    <w:basedOn w:val="DefaultParagraphFont"/>
    <w:rsid w:val="00830F07"/>
  </w:style>
  <w:style w:type="character" w:styleId="Strong">
    <w:name w:val="Strong"/>
    <w:basedOn w:val="DefaultParagraphFont"/>
    <w:uiPriority w:val="22"/>
    <w:qFormat/>
    <w:rsid w:val="00830F07"/>
    <w:rPr>
      <w:b/>
      <w:bCs/>
    </w:rPr>
  </w:style>
  <w:style w:type="paragraph" w:customStyle="1" w:styleId="TableCaption">
    <w:name w:val="Table Caption"/>
    <w:basedOn w:val="Normal"/>
    <w:link w:val="TableCaptionChar"/>
    <w:autoRedefine/>
    <w:qFormat/>
    <w:rsid w:val="00830F07"/>
    <w:pPr>
      <w:spacing w:after="120" w:line="240" w:lineRule="auto"/>
      <w:ind w:left="900"/>
    </w:pPr>
    <w:rPr>
      <w:rFonts w:ascii="Times New Roman" w:hAnsi="Times New Roman"/>
      <w:color w:val="000000"/>
      <w:sz w:val="18"/>
      <w:szCs w:val="18"/>
    </w:rPr>
  </w:style>
  <w:style w:type="character" w:customStyle="1" w:styleId="TableCaptionChar">
    <w:name w:val="Table Caption Char"/>
    <w:basedOn w:val="DefaultParagraphFont"/>
    <w:link w:val="TableCaption"/>
    <w:rsid w:val="00830F07"/>
    <w:rPr>
      <w:rFonts w:ascii="Times New Roman" w:hAnsi="Times New Roman"/>
      <w:color w:val="000000"/>
      <w:sz w:val="18"/>
      <w:szCs w:val="18"/>
      <w:lang w:val="en-US"/>
    </w:rPr>
  </w:style>
  <w:style w:type="paragraph" w:customStyle="1" w:styleId="BodyText12">
    <w:name w:val="Body Text 12"/>
    <w:qFormat/>
    <w:rsid w:val="00830F07"/>
    <w:pPr>
      <w:spacing w:after="240" w:line="264" w:lineRule="auto"/>
      <w:jc w:val="both"/>
    </w:pPr>
    <w:rPr>
      <w:rFonts w:ascii="Times New Roman" w:eastAsia="SimSun" w:hAnsi="Times New Roman" w:cs="Times New Roman"/>
      <w:sz w:val="24"/>
      <w:szCs w:val="20"/>
      <w:lang w:val="en-US"/>
    </w:rPr>
  </w:style>
  <w:style w:type="character" w:customStyle="1" w:styleId="UnresolvedMention2">
    <w:name w:val="Unresolved Mention2"/>
    <w:basedOn w:val="DefaultParagraphFont"/>
    <w:uiPriority w:val="99"/>
    <w:semiHidden/>
    <w:unhideWhenUsed/>
    <w:rsid w:val="00830F07"/>
    <w:rPr>
      <w:color w:val="605E5C"/>
      <w:shd w:val="clear" w:color="auto" w:fill="E1DFDD"/>
    </w:rPr>
  </w:style>
  <w:style w:type="character" w:customStyle="1" w:styleId="UnresolvedMention3">
    <w:name w:val="Unresolved Mention3"/>
    <w:basedOn w:val="DefaultParagraphFont"/>
    <w:uiPriority w:val="99"/>
    <w:semiHidden/>
    <w:unhideWhenUsed/>
    <w:rsid w:val="00830F07"/>
    <w:rPr>
      <w:color w:val="605E5C"/>
      <w:shd w:val="clear" w:color="auto" w:fill="E1DFDD"/>
    </w:rPr>
  </w:style>
  <w:style w:type="character" w:styleId="LineNumber">
    <w:name w:val="line number"/>
    <w:basedOn w:val="DefaultParagraphFont"/>
    <w:uiPriority w:val="99"/>
    <w:semiHidden/>
    <w:unhideWhenUsed/>
    <w:rsid w:val="00830F07"/>
  </w:style>
  <w:style w:type="character" w:customStyle="1" w:styleId="UnresolvedMention4">
    <w:name w:val="Unresolved Mention4"/>
    <w:basedOn w:val="DefaultParagraphFont"/>
    <w:uiPriority w:val="99"/>
    <w:semiHidden/>
    <w:unhideWhenUsed/>
    <w:rsid w:val="00830F07"/>
    <w:rPr>
      <w:color w:val="605E5C"/>
      <w:shd w:val="clear" w:color="auto" w:fill="E1DFDD"/>
    </w:rPr>
  </w:style>
  <w:style w:type="character" w:customStyle="1" w:styleId="author">
    <w:name w:val="author"/>
    <w:basedOn w:val="DefaultParagraphFont"/>
    <w:rsid w:val="00830F07"/>
  </w:style>
  <w:style w:type="character" w:customStyle="1" w:styleId="articletitle">
    <w:name w:val="articletitle"/>
    <w:basedOn w:val="DefaultParagraphFont"/>
    <w:rsid w:val="00830F07"/>
  </w:style>
  <w:style w:type="character" w:customStyle="1" w:styleId="journaltitle">
    <w:name w:val="journaltitle"/>
    <w:basedOn w:val="DefaultParagraphFont"/>
    <w:rsid w:val="00830F07"/>
  </w:style>
  <w:style w:type="character" w:customStyle="1" w:styleId="pubyear">
    <w:name w:val="pubyear"/>
    <w:basedOn w:val="DefaultParagraphFont"/>
    <w:rsid w:val="00830F07"/>
  </w:style>
  <w:style w:type="character" w:customStyle="1" w:styleId="vol">
    <w:name w:val="vol"/>
    <w:basedOn w:val="DefaultParagraphFont"/>
    <w:rsid w:val="00830F07"/>
  </w:style>
  <w:style w:type="character" w:customStyle="1" w:styleId="pagefirst">
    <w:name w:val="pagefirst"/>
    <w:basedOn w:val="DefaultParagraphFont"/>
    <w:rsid w:val="00830F07"/>
  </w:style>
  <w:style w:type="character" w:customStyle="1" w:styleId="pagelast">
    <w:name w:val="pagelast"/>
    <w:basedOn w:val="DefaultParagraphFont"/>
    <w:rsid w:val="00830F07"/>
  </w:style>
  <w:style w:type="character" w:customStyle="1" w:styleId="UnresolvedMention5">
    <w:name w:val="Unresolved Mention5"/>
    <w:basedOn w:val="DefaultParagraphFont"/>
    <w:uiPriority w:val="99"/>
    <w:semiHidden/>
    <w:unhideWhenUsed/>
    <w:rsid w:val="00830F07"/>
    <w:rPr>
      <w:color w:val="605E5C"/>
      <w:shd w:val="clear" w:color="auto" w:fill="E1DFDD"/>
    </w:rPr>
  </w:style>
  <w:style w:type="paragraph" w:customStyle="1" w:styleId="Pa5">
    <w:name w:val="Pa5"/>
    <w:basedOn w:val="Default"/>
    <w:next w:val="Default"/>
    <w:uiPriority w:val="99"/>
    <w:rsid w:val="00830F07"/>
    <w:pPr>
      <w:spacing w:line="167" w:lineRule="atLeast"/>
    </w:pPr>
    <w:rPr>
      <w:rFonts w:ascii="Shaker 2 Lancet Regular" w:hAnsi="Shaker 2 Lancet Regular" w:cstheme="minorBidi"/>
      <w:color w:val="auto"/>
    </w:rPr>
  </w:style>
  <w:style w:type="paragraph" w:customStyle="1" w:styleId="Pa3">
    <w:name w:val="Pa3"/>
    <w:basedOn w:val="Default"/>
    <w:next w:val="Default"/>
    <w:uiPriority w:val="99"/>
    <w:rsid w:val="00830F07"/>
    <w:pPr>
      <w:spacing w:line="187" w:lineRule="atLeast"/>
    </w:pPr>
    <w:rPr>
      <w:rFonts w:ascii="Shaker 2 Lancet Regular" w:hAnsi="Shaker 2 Lancet Regular" w:cstheme="minorBidi"/>
      <w:color w:val="auto"/>
    </w:rPr>
  </w:style>
  <w:style w:type="character" w:customStyle="1" w:styleId="A4">
    <w:name w:val="A4"/>
    <w:uiPriority w:val="99"/>
    <w:rsid w:val="00830F07"/>
    <w:rPr>
      <w:rFonts w:cs="Shaker 2 Lancet Regular"/>
      <w:color w:val="221E1F"/>
      <w:sz w:val="16"/>
      <w:szCs w:val="16"/>
    </w:rPr>
  </w:style>
  <w:style w:type="paragraph" w:customStyle="1" w:styleId="Pa17">
    <w:name w:val="Pa17"/>
    <w:basedOn w:val="Default"/>
    <w:next w:val="Default"/>
    <w:uiPriority w:val="99"/>
    <w:rsid w:val="00830F07"/>
    <w:pPr>
      <w:spacing w:line="187" w:lineRule="atLeast"/>
    </w:pPr>
    <w:rPr>
      <w:rFonts w:ascii="Shaker 2 Lancet Regular" w:hAnsi="Shaker 2 Lancet Regular" w:cstheme="minorBidi"/>
      <w:color w:val="auto"/>
    </w:rPr>
  </w:style>
  <w:style w:type="character" w:customStyle="1" w:styleId="A9">
    <w:name w:val="A9"/>
    <w:uiPriority w:val="99"/>
    <w:rsid w:val="00830F07"/>
    <w:rPr>
      <w:rFonts w:cs="Shaker 2 Lancet Regular"/>
      <w:color w:val="211D1E"/>
      <w:sz w:val="16"/>
      <w:szCs w:val="16"/>
    </w:rPr>
  </w:style>
  <w:style w:type="character" w:customStyle="1" w:styleId="UnresolvedMention6">
    <w:name w:val="Unresolved Mention6"/>
    <w:basedOn w:val="DefaultParagraphFont"/>
    <w:uiPriority w:val="99"/>
    <w:semiHidden/>
    <w:unhideWhenUsed/>
    <w:rsid w:val="00830F07"/>
    <w:rPr>
      <w:color w:val="605E5C"/>
      <w:shd w:val="clear" w:color="auto" w:fill="E1DFDD"/>
    </w:rPr>
  </w:style>
  <w:style w:type="character" w:customStyle="1" w:styleId="docsum-pmid">
    <w:name w:val="docsum-pmid"/>
    <w:basedOn w:val="DefaultParagraphFont"/>
    <w:rsid w:val="00830F07"/>
  </w:style>
  <w:style w:type="character" w:customStyle="1" w:styleId="UnresolvedMention7">
    <w:name w:val="Unresolved Mention7"/>
    <w:basedOn w:val="DefaultParagraphFont"/>
    <w:uiPriority w:val="99"/>
    <w:semiHidden/>
    <w:unhideWhenUsed/>
    <w:rsid w:val="00830F07"/>
    <w:rPr>
      <w:color w:val="605E5C"/>
      <w:shd w:val="clear" w:color="auto" w:fill="E1DFDD"/>
    </w:rPr>
  </w:style>
  <w:style w:type="character" w:styleId="UnresolvedMention">
    <w:name w:val="Unresolved Mention"/>
    <w:basedOn w:val="DefaultParagraphFont"/>
    <w:uiPriority w:val="99"/>
    <w:semiHidden/>
    <w:unhideWhenUsed/>
    <w:rsid w:val="0083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cy_SCjqVjsjNRYvURA0U1?domain=clinicaltrial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rwitzs@MSKCC.ORG"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linical.trials@adctherapeutic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8077</Words>
  <Characters>46039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Fishawack (St Michael)</dc:creator>
  <cp:keywords/>
  <dc:description/>
  <cp:lastModifiedBy>Fishawack (St Michael)</cp:lastModifiedBy>
  <cp:revision>5</cp:revision>
  <dcterms:created xsi:type="dcterms:W3CDTF">2021-03-17T13:19:00Z</dcterms:created>
  <dcterms:modified xsi:type="dcterms:W3CDTF">2021-03-17T13:37:00Z</dcterms:modified>
</cp:coreProperties>
</file>