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30E80" w14:textId="2B0EBE21" w:rsidR="00D01050" w:rsidRDefault="00D01050" w:rsidP="00733B5D">
      <w:pPr>
        <w:spacing w:after="0" w:line="240" w:lineRule="auto"/>
        <w:jc w:val="center"/>
        <w:rPr>
          <w:rFonts w:ascii="Times New Roman" w:hAnsi="Times New Roman" w:cs="Times New Roman"/>
          <w:b/>
          <w:bCs/>
          <w:sz w:val="28"/>
          <w:szCs w:val="28"/>
        </w:rPr>
      </w:pPr>
      <w:r w:rsidRPr="00733B5D">
        <w:rPr>
          <w:rFonts w:ascii="Times New Roman" w:hAnsi="Times New Roman" w:cs="Times New Roman"/>
          <w:b/>
          <w:bCs/>
          <w:sz w:val="28"/>
          <w:szCs w:val="28"/>
        </w:rPr>
        <w:t>Consumers’ propensity for rollover service contracts: the influences of perceived value, convenience and trust on service loyalty</w:t>
      </w:r>
    </w:p>
    <w:p w14:paraId="6FA0CED4" w14:textId="77777777" w:rsidR="00733B5D" w:rsidRPr="00733B5D" w:rsidRDefault="00733B5D" w:rsidP="00733B5D">
      <w:pPr>
        <w:spacing w:after="0" w:line="240" w:lineRule="auto"/>
        <w:jc w:val="center"/>
        <w:rPr>
          <w:rFonts w:ascii="Times New Roman" w:hAnsi="Times New Roman" w:cs="Times New Roman"/>
          <w:b/>
          <w:bCs/>
        </w:rPr>
      </w:pPr>
    </w:p>
    <w:p w14:paraId="53701472" w14:textId="3D5443EE" w:rsidR="00E8318B" w:rsidRDefault="00E8318B" w:rsidP="00733B5D">
      <w:pPr>
        <w:spacing w:after="0" w:line="240" w:lineRule="auto"/>
        <w:jc w:val="center"/>
        <w:rPr>
          <w:rFonts w:ascii="Times New Roman" w:hAnsi="Times New Roman" w:cs="Times New Roman"/>
          <w:sz w:val="24"/>
          <w:szCs w:val="24"/>
          <w:vertAlign w:val="superscript"/>
        </w:rPr>
      </w:pPr>
      <w:r w:rsidRPr="00E8318B">
        <w:rPr>
          <w:rFonts w:ascii="Times New Roman" w:hAnsi="Times New Roman" w:cs="Times New Roman"/>
          <w:sz w:val="24"/>
          <w:szCs w:val="24"/>
        </w:rPr>
        <w:t>Stephen Wilkins</w:t>
      </w:r>
      <w:r w:rsidRPr="00E8318B">
        <w:rPr>
          <w:rFonts w:ascii="Times New Roman" w:hAnsi="Times New Roman" w:cs="Times New Roman"/>
          <w:sz w:val="24"/>
          <w:szCs w:val="24"/>
          <w:vertAlign w:val="superscript"/>
        </w:rPr>
        <w:t>a</w:t>
      </w:r>
      <w:r w:rsidRPr="00E8318B">
        <w:rPr>
          <w:rFonts w:ascii="Times New Roman" w:hAnsi="Times New Roman" w:cs="Times New Roman"/>
          <w:sz w:val="24"/>
          <w:szCs w:val="24"/>
        </w:rPr>
        <w:t>, Joe Hazzam</w:t>
      </w:r>
      <w:r w:rsidRPr="00E8318B">
        <w:rPr>
          <w:rFonts w:ascii="Times New Roman" w:hAnsi="Times New Roman" w:cs="Times New Roman"/>
          <w:sz w:val="24"/>
          <w:szCs w:val="24"/>
          <w:vertAlign w:val="superscript"/>
        </w:rPr>
        <w:t>a</w:t>
      </w:r>
      <w:r w:rsidRPr="00E8318B">
        <w:rPr>
          <w:rFonts w:ascii="Times New Roman" w:hAnsi="Times New Roman" w:cs="Times New Roman"/>
          <w:sz w:val="24"/>
          <w:szCs w:val="24"/>
        </w:rPr>
        <w:t xml:space="preserve"> and Phil Megicks</w:t>
      </w:r>
      <w:r w:rsidRPr="00E8318B">
        <w:rPr>
          <w:rFonts w:ascii="Times New Roman" w:hAnsi="Times New Roman" w:cs="Times New Roman"/>
          <w:sz w:val="24"/>
          <w:szCs w:val="24"/>
          <w:vertAlign w:val="superscript"/>
        </w:rPr>
        <w:t>b</w:t>
      </w:r>
    </w:p>
    <w:p w14:paraId="64BEE198" w14:textId="77777777" w:rsidR="00733B5D" w:rsidRPr="00E8318B" w:rsidRDefault="00733B5D" w:rsidP="00733B5D">
      <w:pPr>
        <w:spacing w:after="0" w:line="240" w:lineRule="auto"/>
        <w:jc w:val="center"/>
        <w:rPr>
          <w:rFonts w:ascii="Times New Roman" w:hAnsi="Times New Roman" w:cs="Times New Roman"/>
          <w:sz w:val="24"/>
          <w:szCs w:val="24"/>
        </w:rPr>
      </w:pPr>
    </w:p>
    <w:p w14:paraId="625C0EDE" w14:textId="77777777" w:rsidR="00733B5D" w:rsidRDefault="00E8318B" w:rsidP="00733B5D">
      <w:pPr>
        <w:spacing w:after="0" w:line="240" w:lineRule="auto"/>
        <w:jc w:val="both"/>
        <w:rPr>
          <w:rFonts w:ascii="Times New Roman" w:hAnsi="Times New Roman" w:cs="Times New Roman"/>
          <w:i/>
          <w:iCs/>
          <w:sz w:val="20"/>
          <w:szCs w:val="20"/>
        </w:rPr>
      </w:pPr>
      <w:r w:rsidRPr="00733B5D">
        <w:rPr>
          <w:rFonts w:ascii="Times New Roman" w:hAnsi="Times New Roman" w:cs="Times New Roman"/>
          <w:sz w:val="20"/>
          <w:szCs w:val="20"/>
          <w:vertAlign w:val="superscript"/>
        </w:rPr>
        <w:t>a</w:t>
      </w:r>
      <w:r w:rsidRPr="00733B5D">
        <w:rPr>
          <w:rFonts w:ascii="Times New Roman" w:hAnsi="Times New Roman" w:cs="Times New Roman"/>
          <w:i/>
          <w:iCs/>
          <w:sz w:val="20"/>
          <w:szCs w:val="20"/>
        </w:rPr>
        <w:t xml:space="preserve">Faculty of Business and Law, The British University in Dubai, Dubai, United Arab Emirates </w:t>
      </w:r>
    </w:p>
    <w:p w14:paraId="15C33CEF" w14:textId="1FE9AB44" w:rsidR="00AC3C8A" w:rsidRPr="00733B5D" w:rsidRDefault="00E8318B" w:rsidP="00733B5D">
      <w:pPr>
        <w:spacing w:line="240" w:lineRule="auto"/>
        <w:jc w:val="both"/>
        <w:rPr>
          <w:rFonts w:ascii="Times New Roman" w:hAnsi="Times New Roman" w:cs="Times New Roman"/>
          <w:i/>
          <w:iCs/>
          <w:sz w:val="20"/>
          <w:szCs w:val="20"/>
        </w:rPr>
      </w:pPr>
      <w:r w:rsidRPr="00733B5D">
        <w:rPr>
          <w:rFonts w:ascii="Times New Roman" w:hAnsi="Times New Roman" w:cs="Times New Roman"/>
          <w:sz w:val="20"/>
          <w:szCs w:val="20"/>
          <w:vertAlign w:val="superscript"/>
        </w:rPr>
        <w:t>b</w:t>
      </w:r>
      <w:r w:rsidRPr="00733B5D">
        <w:rPr>
          <w:rFonts w:ascii="Times New Roman" w:hAnsi="Times New Roman" w:cs="Times New Roman"/>
          <w:i/>
          <w:iCs/>
          <w:sz w:val="20"/>
          <w:szCs w:val="20"/>
        </w:rPr>
        <w:t>Southampton Business School, University of Southampton, Southampton, United Kingdom</w:t>
      </w:r>
    </w:p>
    <w:p w14:paraId="18CD9BA9" w14:textId="7F086267" w:rsidR="00D13A27" w:rsidRDefault="00D13A27" w:rsidP="00733B5D">
      <w:pPr>
        <w:spacing w:line="240" w:lineRule="auto"/>
        <w:jc w:val="both"/>
        <w:rPr>
          <w:rFonts w:ascii="Times New Roman" w:hAnsi="Times New Roman" w:cs="Times New Roman"/>
          <w:b/>
          <w:bCs/>
          <w:sz w:val="24"/>
          <w:szCs w:val="24"/>
        </w:rPr>
      </w:pPr>
    </w:p>
    <w:p w14:paraId="0C89BC12" w14:textId="3244E9E4" w:rsidR="009C1026" w:rsidRPr="00AC3C8A" w:rsidRDefault="009C1026" w:rsidP="00733B5D">
      <w:pPr>
        <w:spacing w:line="240" w:lineRule="auto"/>
        <w:jc w:val="both"/>
        <w:rPr>
          <w:rFonts w:ascii="Times New Roman" w:hAnsi="Times New Roman" w:cs="Times New Roman"/>
          <w:b/>
          <w:bCs/>
          <w:sz w:val="24"/>
          <w:szCs w:val="24"/>
        </w:rPr>
      </w:pPr>
      <w:r w:rsidRPr="00AC3C8A">
        <w:rPr>
          <w:rFonts w:ascii="Times New Roman" w:hAnsi="Times New Roman" w:cs="Times New Roman"/>
          <w:b/>
          <w:bCs/>
          <w:sz w:val="24"/>
          <w:szCs w:val="24"/>
        </w:rPr>
        <w:t>Abstract</w:t>
      </w:r>
    </w:p>
    <w:p w14:paraId="1B00BB29" w14:textId="19E1A105" w:rsidR="009C1026" w:rsidRPr="009C1026" w:rsidRDefault="005A0F73" w:rsidP="00733B5D">
      <w:pPr>
        <w:spacing w:line="240" w:lineRule="auto"/>
        <w:jc w:val="both"/>
        <w:rPr>
          <w:rFonts w:ascii="Times New Roman" w:hAnsi="Times New Roman" w:cs="Times New Roman"/>
          <w:sz w:val="24"/>
          <w:szCs w:val="24"/>
        </w:rPr>
      </w:pPr>
      <w:r w:rsidRPr="00C414B4">
        <w:rPr>
          <w:rFonts w:ascii="Times New Roman" w:hAnsi="Times New Roman" w:cs="Times New Roman"/>
          <w:sz w:val="24"/>
          <w:szCs w:val="24"/>
        </w:rPr>
        <w:t xml:space="preserve">Rollover </w:t>
      </w:r>
      <w:r w:rsidR="001802E9" w:rsidRPr="00C414B4">
        <w:rPr>
          <w:rFonts w:ascii="Times New Roman" w:hAnsi="Times New Roman" w:cs="Times New Roman"/>
          <w:sz w:val="24"/>
          <w:szCs w:val="24"/>
        </w:rPr>
        <w:t xml:space="preserve">contracts </w:t>
      </w:r>
      <w:r w:rsidRPr="00C414B4">
        <w:rPr>
          <w:rFonts w:ascii="Times New Roman" w:hAnsi="Times New Roman" w:cs="Times New Roman"/>
          <w:sz w:val="24"/>
          <w:szCs w:val="24"/>
        </w:rPr>
        <w:t xml:space="preserve">are becoming increasingly commonplace in a range of service markets. </w:t>
      </w:r>
      <w:r w:rsidR="009C1026" w:rsidRPr="00C414B4">
        <w:rPr>
          <w:rFonts w:ascii="Times New Roman" w:hAnsi="Times New Roman" w:cs="Times New Roman"/>
          <w:sz w:val="24"/>
          <w:szCs w:val="24"/>
        </w:rPr>
        <w:t xml:space="preserve">Such </w:t>
      </w:r>
      <w:r w:rsidR="00E440E5" w:rsidRPr="00C414B4">
        <w:rPr>
          <w:rFonts w:ascii="Times New Roman" w:hAnsi="Times New Roman" w:cs="Times New Roman"/>
          <w:sz w:val="24"/>
          <w:szCs w:val="24"/>
        </w:rPr>
        <w:t>contract</w:t>
      </w:r>
      <w:r w:rsidRPr="00C414B4">
        <w:rPr>
          <w:rFonts w:ascii="Times New Roman" w:hAnsi="Times New Roman" w:cs="Times New Roman"/>
          <w:sz w:val="24"/>
          <w:szCs w:val="24"/>
        </w:rPr>
        <w:t xml:space="preserve">s </w:t>
      </w:r>
      <w:r w:rsidR="009C1026" w:rsidRPr="00C414B4">
        <w:rPr>
          <w:rFonts w:ascii="Times New Roman" w:hAnsi="Times New Roman" w:cs="Times New Roman"/>
          <w:sz w:val="24"/>
          <w:szCs w:val="24"/>
        </w:rPr>
        <w:t xml:space="preserve">automatically renew for a further term when a contractual period comes to an end. Rollover </w:t>
      </w:r>
      <w:r w:rsidR="00E440E5" w:rsidRPr="00C414B4">
        <w:rPr>
          <w:rFonts w:ascii="Times New Roman" w:hAnsi="Times New Roman" w:cs="Times New Roman"/>
          <w:sz w:val="24"/>
          <w:szCs w:val="24"/>
        </w:rPr>
        <w:t>contract</w:t>
      </w:r>
      <w:r w:rsidR="009C1026" w:rsidRPr="00C414B4">
        <w:rPr>
          <w:rFonts w:ascii="Times New Roman" w:hAnsi="Times New Roman" w:cs="Times New Roman"/>
          <w:sz w:val="24"/>
          <w:szCs w:val="24"/>
        </w:rPr>
        <w:t>s represent a unique form of loyalty, because a consumer who signs a rollover contract at the time of initial purchase, signals a commitment to stay loyal to the firm before they have even experienced the service delivery. Prior studies</w:t>
      </w:r>
      <w:r w:rsidR="00C414B4" w:rsidRPr="00C414B4">
        <w:rPr>
          <w:rFonts w:ascii="Times New Roman" w:hAnsi="Times New Roman" w:cs="Times New Roman"/>
          <w:sz w:val="24"/>
          <w:szCs w:val="24"/>
        </w:rPr>
        <w:t xml:space="preserve"> of automatic renewal</w:t>
      </w:r>
      <w:r w:rsidR="009C1026" w:rsidRPr="00C414B4">
        <w:rPr>
          <w:rFonts w:ascii="Times New Roman" w:hAnsi="Times New Roman" w:cs="Times New Roman"/>
          <w:sz w:val="24"/>
          <w:szCs w:val="24"/>
        </w:rPr>
        <w:t xml:space="preserve"> have predominantly been undertaken in the domain of consumer economics, and the psychological dimension of buyer decision making has yet to be explored. The desire for convenience was found to have the strongest influence </w:t>
      </w:r>
      <w:r w:rsidR="00C414B4" w:rsidRPr="00C414B4">
        <w:rPr>
          <w:rFonts w:ascii="Times New Roman" w:hAnsi="Times New Roman" w:cs="Times New Roman"/>
          <w:sz w:val="24"/>
          <w:szCs w:val="24"/>
        </w:rPr>
        <w:t>on consumers’ propensity for</w:t>
      </w:r>
      <w:r w:rsidR="009C1026" w:rsidRPr="00C414B4">
        <w:rPr>
          <w:rFonts w:ascii="Times New Roman" w:hAnsi="Times New Roman" w:cs="Times New Roman"/>
          <w:sz w:val="24"/>
          <w:szCs w:val="24"/>
        </w:rPr>
        <w:t xml:space="preserve"> rollover </w:t>
      </w:r>
      <w:r w:rsidR="00C414B4" w:rsidRPr="00C414B4">
        <w:rPr>
          <w:rFonts w:ascii="Times New Roman" w:hAnsi="Times New Roman" w:cs="Times New Roman"/>
          <w:sz w:val="24"/>
          <w:szCs w:val="24"/>
        </w:rPr>
        <w:t xml:space="preserve">service </w:t>
      </w:r>
      <w:r w:rsidR="009C1026" w:rsidRPr="00C414B4">
        <w:rPr>
          <w:rFonts w:ascii="Times New Roman" w:hAnsi="Times New Roman" w:cs="Times New Roman"/>
          <w:sz w:val="24"/>
          <w:szCs w:val="24"/>
        </w:rPr>
        <w:t>contracts</w:t>
      </w:r>
      <w:r w:rsidR="000460AB">
        <w:rPr>
          <w:rFonts w:ascii="Times New Roman" w:hAnsi="Times New Roman" w:cs="Times New Roman"/>
          <w:sz w:val="24"/>
          <w:szCs w:val="24"/>
        </w:rPr>
        <w:t>.</w:t>
      </w:r>
      <w:r w:rsidR="009C1026" w:rsidRPr="00C414B4">
        <w:rPr>
          <w:rFonts w:ascii="Times New Roman" w:hAnsi="Times New Roman" w:cs="Times New Roman"/>
          <w:sz w:val="24"/>
          <w:szCs w:val="24"/>
        </w:rPr>
        <w:t xml:space="preserve"> </w:t>
      </w:r>
      <w:r w:rsidR="000460AB">
        <w:rPr>
          <w:rFonts w:ascii="Times New Roman" w:hAnsi="Times New Roman" w:cs="Times New Roman"/>
          <w:sz w:val="24"/>
          <w:szCs w:val="24"/>
        </w:rPr>
        <w:t xml:space="preserve">Additionally, </w:t>
      </w:r>
      <w:r w:rsidR="009C1026" w:rsidRPr="00C414B4">
        <w:rPr>
          <w:rFonts w:ascii="Times New Roman" w:hAnsi="Times New Roman" w:cs="Times New Roman"/>
          <w:sz w:val="24"/>
          <w:szCs w:val="24"/>
        </w:rPr>
        <w:t xml:space="preserve">trust </w:t>
      </w:r>
      <w:r w:rsidR="000460AB">
        <w:rPr>
          <w:rFonts w:ascii="Times New Roman" w:hAnsi="Times New Roman" w:cs="Times New Roman"/>
          <w:sz w:val="24"/>
          <w:szCs w:val="24"/>
        </w:rPr>
        <w:t xml:space="preserve">as a mediator of reputation, </w:t>
      </w:r>
      <w:r w:rsidR="009C1026" w:rsidRPr="00C414B4">
        <w:rPr>
          <w:rFonts w:ascii="Times New Roman" w:hAnsi="Times New Roman" w:cs="Times New Roman"/>
          <w:sz w:val="24"/>
          <w:szCs w:val="24"/>
        </w:rPr>
        <w:t>and perceived value also influence consumers’ attitudes and behavior</w:t>
      </w:r>
      <w:r w:rsidR="00857738" w:rsidRPr="00C414B4">
        <w:rPr>
          <w:rFonts w:ascii="Times New Roman" w:hAnsi="Times New Roman" w:cs="Times New Roman"/>
          <w:sz w:val="24"/>
          <w:szCs w:val="24"/>
        </w:rPr>
        <w:t>al intentions</w:t>
      </w:r>
      <w:r w:rsidR="000460AB">
        <w:rPr>
          <w:rFonts w:ascii="Times New Roman" w:hAnsi="Times New Roman" w:cs="Times New Roman"/>
          <w:sz w:val="24"/>
          <w:szCs w:val="24"/>
        </w:rPr>
        <w:t xml:space="preserve"> for selecting these products</w:t>
      </w:r>
      <w:r w:rsidR="00857738" w:rsidRPr="00C414B4">
        <w:rPr>
          <w:rFonts w:ascii="Times New Roman" w:hAnsi="Times New Roman" w:cs="Times New Roman"/>
          <w:sz w:val="24"/>
          <w:szCs w:val="24"/>
        </w:rPr>
        <w:t>.</w:t>
      </w:r>
      <w:r w:rsidR="009C1026" w:rsidRPr="00C414B4">
        <w:rPr>
          <w:rFonts w:ascii="Times New Roman" w:hAnsi="Times New Roman" w:cs="Times New Roman"/>
          <w:sz w:val="24"/>
          <w:szCs w:val="24"/>
        </w:rPr>
        <w:t xml:space="preserve"> </w:t>
      </w:r>
      <w:r w:rsidR="00C414B4">
        <w:rPr>
          <w:rFonts w:ascii="Times New Roman" w:hAnsi="Times New Roman" w:cs="Times New Roman"/>
          <w:sz w:val="24"/>
          <w:szCs w:val="24"/>
        </w:rPr>
        <w:t xml:space="preserve">It is concluded that </w:t>
      </w:r>
      <w:r w:rsidR="000460AB">
        <w:rPr>
          <w:rFonts w:ascii="Times New Roman" w:hAnsi="Times New Roman" w:cs="Times New Roman"/>
          <w:sz w:val="24"/>
          <w:szCs w:val="24"/>
        </w:rPr>
        <w:t xml:space="preserve">service providers should ensure that </w:t>
      </w:r>
      <w:r w:rsidR="007C057C">
        <w:rPr>
          <w:rFonts w:ascii="Times New Roman" w:hAnsi="Times New Roman" w:cs="Times New Roman"/>
          <w:sz w:val="24"/>
          <w:szCs w:val="24"/>
        </w:rPr>
        <w:t>consumers recogni</w:t>
      </w:r>
      <w:r w:rsidR="00A64DAA">
        <w:rPr>
          <w:rFonts w:ascii="Times New Roman" w:hAnsi="Times New Roman" w:cs="Times New Roman"/>
          <w:sz w:val="24"/>
          <w:szCs w:val="24"/>
        </w:rPr>
        <w:t>z</w:t>
      </w:r>
      <w:r w:rsidR="007C057C">
        <w:rPr>
          <w:rFonts w:ascii="Times New Roman" w:hAnsi="Times New Roman" w:cs="Times New Roman"/>
          <w:sz w:val="24"/>
          <w:szCs w:val="24"/>
        </w:rPr>
        <w:t xml:space="preserve">e </w:t>
      </w:r>
      <w:r w:rsidR="00AE4D3A">
        <w:rPr>
          <w:rFonts w:ascii="Times New Roman" w:hAnsi="Times New Roman" w:cs="Times New Roman"/>
          <w:sz w:val="24"/>
          <w:szCs w:val="24"/>
        </w:rPr>
        <w:t xml:space="preserve">that </w:t>
      </w:r>
      <w:r w:rsidR="000460AB">
        <w:rPr>
          <w:rFonts w:ascii="Times New Roman" w:hAnsi="Times New Roman" w:cs="Times New Roman"/>
          <w:sz w:val="24"/>
          <w:szCs w:val="24"/>
        </w:rPr>
        <w:t xml:space="preserve">there is an element of reciprocity which is mutually beneficial </w:t>
      </w:r>
      <w:r w:rsidR="007C057C">
        <w:rPr>
          <w:rFonts w:ascii="Times New Roman" w:hAnsi="Times New Roman" w:cs="Times New Roman"/>
          <w:sz w:val="24"/>
          <w:szCs w:val="24"/>
        </w:rPr>
        <w:t>to both parties in the provision of such contracts.</w:t>
      </w:r>
    </w:p>
    <w:p w14:paraId="0618C55A" w14:textId="77777777" w:rsidR="009C1026" w:rsidRPr="009C1026" w:rsidRDefault="009C1026" w:rsidP="00733B5D">
      <w:pPr>
        <w:spacing w:line="240" w:lineRule="auto"/>
        <w:jc w:val="both"/>
        <w:rPr>
          <w:rFonts w:ascii="Times New Roman" w:hAnsi="Times New Roman" w:cs="Times New Roman"/>
          <w:sz w:val="24"/>
          <w:szCs w:val="24"/>
        </w:rPr>
      </w:pPr>
    </w:p>
    <w:p w14:paraId="4240977D" w14:textId="77777777" w:rsidR="00733B5D" w:rsidRDefault="009C1026" w:rsidP="00733B5D">
      <w:pPr>
        <w:spacing w:line="240" w:lineRule="auto"/>
        <w:jc w:val="both"/>
        <w:rPr>
          <w:rFonts w:ascii="Times New Roman" w:hAnsi="Times New Roman" w:cs="Times New Roman"/>
          <w:sz w:val="24"/>
          <w:szCs w:val="24"/>
        </w:rPr>
      </w:pPr>
      <w:r w:rsidRPr="00AC3C8A">
        <w:rPr>
          <w:rFonts w:ascii="Times New Roman" w:hAnsi="Times New Roman" w:cs="Times New Roman"/>
          <w:b/>
          <w:bCs/>
          <w:sz w:val="24"/>
          <w:szCs w:val="24"/>
        </w:rPr>
        <w:t>Keywords</w:t>
      </w:r>
      <w:r w:rsidRPr="009C1026">
        <w:rPr>
          <w:rFonts w:ascii="Times New Roman" w:hAnsi="Times New Roman" w:cs="Times New Roman"/>
          <w:sz w:val="24"/>
          <w:szCs w:val="24"/>
        </w:rPr>
        <w:t xml:space="preserve"> </w:t>
      </w:r>
    </w:p>
    <w:p w14:paraId="7F57BCAC" w14:textId="6AE3DA74" w:rsidR="009C1026" w:rsidRPr="009C1026" w:rsidRDefault="009C1026" w:rsidP="00733B5D">
      <w:pPr>
        <w:spacing w:line="240" w:lineRule="auto"/>
        <w:jc w:val="both"/>
        <w:rPr>
          <w:rFonts w:ascii="Times New Roman" w:hAnsi="Times New Roman" w:cs="Times New Roman"/>
          <w:sz w:val="24"/>
          <w:szCs w:val="24"/>
        </w:rPr>
      </w:pPr>
      <w:r w:rsidRPr="009C1026">
        <w:rPr>
          <w:rFonts w:ascii="Times New Roman" w:hAnsi="Times New Roman" w:cs="Times New Roman"/>
          <w:sz w:val="24"/>
          <w:szCs w:val="24"/>
        </w:rPr>
        <w:t xml:space="preserve">Service </w:t>
      </w:r>
      <w:r w:rsidR="001802E9">
        <w:rPr>
          <w:rFonts w:ascii="Times New Roman" w:hAnsi="Times New Roman" w:cs="Times New Roman"/>
          <w:sz w:val="24"/>
          <w:szCs w:val="24"/>
        </w:rPr>
        <w:t>contracts</w:t>
      </w:r>
      <w:r w:rsidRPr="009C1026">
        <w:rPr>
          <w:rFonts w:ascii="Times New Roman" w:hAnsi="Times New Roman" w:cs="Times New Roman"/>
          <w:sz w:val="24"/>
          <w:szCs w:val="24"/>
        </w:rPr>
        <w:t xml:space="preserve">; </w:t>
      </w:r>
      <w:r w:rsidR="00AC3C8A">
        <w:rPr>
          <w:rFonts w:ascii="Times New Roman" w:hAnsi="Times New Roman" w:cs="Times New Roman"/>
          <w:sz w:val="24"/>
          <w:szCs w:val="24"/>
        </w:rPr>
        <w:t>A</w:t>
      </w:r>
      <w:r w:rsidRPr="009C1026">
        <w:rPr>
          <w:rFonts w:ascii="Times New Roman" w:hAnsi="Times New Roman" w:cs="Times New Roman"/>
          <w:sz w:val="24"/>
          <w:szCs w:val="24"/>
        </w:rPr>
        <w:t xml:space="preserve">utomatic renewal; </w:t>
      </w:r>
      <w:r w:rsidR="00AC3C8A">
        <w:rPr>
          <w:rFonts w:ascii="Times New Roman" w:hAnsi="Times New Roman" w:cs="Times New Roman"/>
          <w:sz w:val="24"/>
          <w:szCs w:val="24"/>
        </w:rPr>
        <w:t>C</w:t>
      </w:r>
      <w:r w:rsidRPr="009C1026">
        <w:rPr>
          <w:rFonts w:ascii="Times New Roman" w:hAnsi="Times New Roman" w:cs="Times New Roman"/>
          <w:sz w:val="24"/>
          <w:szCs w:val="24"/>
        </w:rPr>
        <w:t xml:space="preserve">onvenience; </w:t>
      </w:r>
      <w:r w:rsidR="00AC3C8A">
        <w:rPr>
          <w:rFonts w:ascii="Times New Roman" w:hAnsi="Times New Roman" w:cs="Times New Roman"/>
          <w:sz w:val="24"/>
          <w:szCs w:val="24"/>
        </w:rPr>
        <w:t>T</w:t>
      </w:r>
      <w:r w:rsidRPr="009C1026">
        <w:rPr>
          <w:rFonts w:ascii="Times New Roman" w:hAnsi="Times New Roman" w:cs="Times New Roman"/>
          <w:sz w:val="24"/>
          <w:szCs w:val="24"/>
        </w:rPr>
        <w:t xml:space="preserve">rust; </w:t>
      </w:r>
      <w:r w:rsidR="00AC3C8A">
        <w:rPr>
          <w:rFonts w:ascii="Times New Roman" w:hAnsi="Times New Roman" w:cs="Times New Roman"/>
          <w:sz w:val="24"/>
          <w:szCs w:val="24"/>
        </w:rPr>
        <w:t>P</w:t>
      </w:r>
      <w:r w:rsidRPr="009C1026">
        <w:rPr>
          <w:rFonts w:ascii="Times New Roman" w:hAnsi="Times New Roman" w:cs="Times New Roman"/>
          <w:sz w:val="24"/>
          <w:szCs w:val="24"/>
        </w:rPr>
        <w:t xml:space="preserve">erceived value; </w:t>
      </w:r>
      <w:r w:rsidR="00AC3C8A">
        <w:rPr>
          <w:rFonts w:ascii="Times New Roman" w:hAnsi="Times New Roman" w:cs="Times New Roman"/>
          <w:sz w:val="24"/>
          <w:szCs w:val="24"/>
        </w:rPr>
        <w:t>S</w:t>
      </w:r>
      <w:r w:rsidRPr="009C1026">
        <w:rPr>
          <w:rFonts w:ascii="Times New Roman" w:hAnsi="Times New Roman" w:cs="Times New Roman"/>
          <w:sz w:val="24"/>
          <w:szCs w:val="24"/>
        </w:rPr>
        <w:t>ervice loyalty</w:t>
      </w:r>
    </w:p>
    <w:p w14:paraId="63EE0E6A" w14:textId="77777777" w:rsidR="009C1026" w:rsidRPr="009C1026" w:rsidRDefault="009C1026" w:rsidP="00733B5D">
      <w:pPr>
        <w:spacing w:line="240" w:lineRule="auto"/>
        <w:jc w:val="both"/>
        <w:rPr>
          <w:rFonts w:ascii="Times New Roman" w:hAnsi="Times New Roman" w:cs="Times New Roman"/>
          <w:sz w:val="24"/>
          <w:szCs w:val="24"/>
        </w:rPr>
      </w:pPr>
    </w:p>
    <w:p w14:paraId="3EABE322" w14:textId="1177F031" w:rsidR="009C1026" w:rsidRPr="00AC3C8A" w:rsidRDefault="00AC3C8A" w:rsidP="00733B5D">
      <w:pPr>
        <w:spacing w:line="240" w:lineRule="auto"/>
        <w:jc w:val="both"/>
        <w:rPr>
          <w:rFonts w:ascii="Times New Roman" w:hAnsi="Times New Roman" w:cs="Times New Roman"/>
          <w:b/>
          <w:bCs/>
          <w:sz w:val="24"/>
          <w:szCs w:val="24"/>
        </w:rPr>
      </w:pPr>
      <w:r w:rsidRPr="00AC3C8A">
        <w:rPr>
          <w:rFonts w:ascii="Times New Roman" w:hAnsi="Times New Roman" w:cs="Times New Roman"/>
          <w:b/>
          <w:bCs/>
          <w:sz w:val="24"/>
          <w:szCs w:val="24"/>
        </w:rPr>
        <w:t>Introduction</w:t>
      </w:r>
    </w:p>
    <w:p w14:paraId="39FF0CC2" w14:textId="5C56613B" w:rsidR="009C1026" w:rsidRPr="009C1026" w:rsidRDefault="009C1026" w:rsidP="00733B5D">
      <w:pPr>
        <w:spacing w:after="0" w:line="240" w:lineRule="auto"/>
        <w:jc w:val="both"/>
        <w:rPr>
          <w:rFonts w:ascii="Times New Roman" w:hAnsi="Times New Roman" w:cs="Times New Roman"/>
          <w:sz w:val="24"/>
          <w:szCs w:val="24"/>
        </w:rPr>
      </w:pPr>
      <w:r w:rsidRPr="009C1026">
        <w:rPr>
          <w:rFonts w:ascii="Times New Roman" w:hAnsi="Times New Roman" w:cs="Times New Roman"/>
          <w:sz w:val="24"/>
          <w:szCs w:val="24"/>
        </w:rPr>
        <w:t xml:space="preserve">Most consumers in the developed world have entered into rollover service </w:t>
      </w:r>
      <w:r w:rsidR="001802E9">
        <w:rPr>
          <w:rFonts w:ascii="Times New Roman" w:hAnsi="Times New Roman" w:cs="Times New Roman"/>
          <w:sz w:val="24"/>
          <w:szCs w:val="24"/>
        </w:rPr>
        <w:t xml:space="preserve">contracts </w:t>
      </w:r>
      <w:r w:rsidRPr="009C1026">
        <w:rPr>
          <w:rFonts w:ascii="Times New Roman" w:hAnsi="Times New Roman" w:cs="Times New Roman"/>
          <w:sz w:val="24"/>
          <w:szCs w:val="24"/>
        </w:rPr>
        <w:t>(RS</w:t>
      </w:r>
      <w:r w:rsidR="001802E9">
        <w:rPr>
          <w:rFonts w:ascii="Times New Roman" w:hAnsi="Times New Roman" w:cs="Times New Roman"/>
          <w:sz w:val="24"/>
          <w:szCs w:val="24"/>
        </w:rPr>
        <w:t>C</w:t>
      </w:r>
      <w:r w:rsidRPr="009C1026">
        <w:rPr>
          <w:rFonts w:ascii="Times New Roman" w:hAnsi="Times New Roman" w:cs="Times New Roman"/>
          <w:sz w:val="24"/>
          <w:szCs w:val="24"/>
        </w:rPr>
        <w:t xml:space="preserve">s) (Kovač &amp; Vandenberghe, 2015), with many having done so without giving it much thought, or even realizing what they have done. A rollover clause in a service </w:t>
      </w:r>
      <w:r w:rsidR="00E440E5">
        <w:rPr>
          <w:rFonts w:ascii="Times New Roman" w:hAnsi="Times New Roman" w:cs="Times New Roman"/>
          <w:sz w:val="24"/>
          <w:szCs w:val="24"/>
        </w:rPr>
        <w:t>contract</w:t>
      </w:r>
      <w:r w:rsidRPr="009C1026">
        <w:rPr>
          <w:rFonts w:ascii="Times New Roman" w:hAnsi="Times New Roman" w:cs="Times New Roman"/>
          <w:sz w:val="24"/>
          <w:szCs w:val="24"/>
        </w:rPr>
        <w:t xml:space="preserve"> relates to the contract being automatically renewed for a further term</w:t>
      </w:r>
      <w:r w:rsidR="002E15AE">
        <w:rPr>
          <w:rFonts w:ascii="Times New Roman" w:hAnsi="Times New Roman" w:cs="Times New Roman"/>
          <w:sz w:val="24"/>
          <w:szCs w:val="24"/>
        </w:rPr>
        <w:t>,</w:t>
      </w:r>
      <w:r w:rsidRPr="009C1026">
        <w:rPr>
          <w:rFonts w:ascii="Times New Roman" w:hAnsi="Times New Roman" w:cs="Times New Roman"/>
          <w:sz w:val="24"/>
          <w:szCs w:val="24"/>
        </w:rPr>
        <w:t xml:space="preserve"> unless the consumer gives notice to terminate before the cancelation deadline. It has become common practice for service providers to offer the option of rollover into subsequent contract periods</w:t>
      </w:r>
      <w:r w:rsidR="001F410C">
        <w:rPr>
          <w:rFonts w:ascii="Times New Roman" w:hAnsi="Times New Roman" w:cs="Times New Roman"/>
          <w:sz w:val="24"/>
          <w:szCs w:val="24"/>
        </w:rPr>
        <w:t>,</w:t>
      </w:r>
      <w:r w:rsidRPr="009C1026">
        <w:rPr>
          <w:rFonts w:ascii="Times New Roman" w:hAnsi="Times New Roman" w:cs="Times New Roman"/>
          <w:sz w:val="24"/>
          <w:szCs w:val="24"/>
        </w:rPr>
        <w:t xml:space="preserve"> which is normally enacted </w:t>
      </w:r>
      <w:r w:rsidR="00D21E96">
        <w:rPr>
          <w:rFonts w:ascii="Times New Roman" w:hAnsi="Times New Roman" w:cs="Times New Roman"/>
          <w:sz w:val="24"/>
          <w:szCs w:val="24"/>
        </w:rPr>
        <w:t>with</w:t>
      </w:r>
      <w:r w:rsidRPr="009C1026">
        <w:rPr>
          <w:rFonts w:ascii="Times New Roman" w:hAnsi="Times New Roman" w:cs="Times New Roman"/>
          <w:sz w:val="24"/>
          <w:szCs w:val="24"/>
        </w:rPr>
        <w:t xml:space="preserve"> automatic payment from the </w:t>
      </w:r>
      <w:r w:rsidR="00F7532D">
        <w:rPr>
          <w:rFonts w:ascii="Times New Roman" w:hAnsi="Times New Roman" w:cs="Times New Roman"/>
          <w:sz w:val="24"/>
          <w:szCs w:val="24"/>
        </w:rPr>
        <w:t xml:space="preserve">bank or credit card </w:t>
      </w:r>
      <w:r w:rsidRPr="009C1026">
        <w:rPr>
          <w:rFonts w:ascii="Times New Roman" w:hAnsi="Times New Roman" w:cs="Times New Roman"/>
          <w:sz w:val="24"/>
          <w:szCs w:val="24"/>
        </w:rPr>
        <w:t>account</w:t>
      </w:r>
      <w:r w:rsidR="00F7532D">
        <w:rPr>
          <w:rFonts w:ascii="Times New Roman" w:hAnsi="Times New Roman" w:cs="Times New Roman"/>
          <w:sz w:val="24"/>
          <w:szCs w:val="24"/>
        </w:rPr>
        <w:t xml:space="preserve"> used for the initial purchase</w:t>
      </w:r>
      <w:r w:rsidRPr="009C1026">
        <w:rPr>
          <w:rFonts w:ascii="Times New Roman" w:hAnsi="Times New Roman" w:cs="Times New Roman"/>
          <w:sz w:val="24"/>
          <w:szCs w:val="24"/>
        </w:rPr>
        <w:t>. RS</w:t>
      </w:r>
      <w:r w:rsidR="001802E9">
        <w:rPr>
          <w:rFonts w:ascii="Times New Roman" w:hAnsi="Times New Roman" w:cs="Times New Roman"/>
          <w:sz w:val="24"/>
          <w:szCs w:val="24"/>
        </w:rPr>
        <w:t>C</w:t>
      </w:r>
      <w:r w:rsidRPr="009C1026">
        <w:rPr>
          <w:rFonts w:ascii="Times New Roman" w:hAnsi="Times New Roman" w:cs="Times New Roman"/>
          <w:sz w:val="24"/>
          <w:szCs w:val="24"/>
        </w:rPr>
        <w:t xml:space="preserve">s are available for a wide range of </w:t>
      </w:r>
      <w:r w:rsidR="00360273">
        <w:rPr>
          <w:rFonts w:ascii="Times New Roman" w:hAnsi="Times New Roman" w:cs="Times New Roman"/>
          <w:sz w:val="24"/>
          <w:szCs w:val="24"/>
        </w:rPr>
        <w:t>products,</w:t>
      </w:r>
      <w:r w:rsidRPr="009C1026">
        <w:rPr>
          <w:rFonts w:ascii="Times New Roman" w:hAnsi="Times New Roman" w:cs="Times New Roman"/>
          <w:sz w:val="24"/>
          <w:szCs w:val="24"/>
        </w:rPr>
        <w:t xml:space="preserve"> including </w:t>
      </w:r>
      <w:r w:rsidR="00360273">
        <w:rPr>
          <w:rFonts w:ascii="Times New Roman" w:hAnsi="Times New Roman" w:cs="Times New Roman"/>
          <w:sz w:val="24"/>
          <w:szCs w:val="24"/>
        </w:rPr>
        <w:t>cell phone services</w:t>
      </w:r>
      <w:r w:rsidRPr="009C1026">
        <w:rPr>
          <w:rFonts w:ascii="Times New Roman" w:hAnsi="Times New Roman" w:cs="Times New Roman"/>
          <w:sz w:val="24"/>
          <w:szCs w:val="24"/>
        </w:rPr>
        <w:t xml:space="preserve">, broadband, insurance, gym membership, and anti-virus software. Service providers can benefit from higher retention rates and increased revenues from consumers entering into these </w:t>
      </w:r>
      <w:r w:rsidR="00E440E5">
        <w:rPr>
          <w:rFonts w:ascii="Times New Roman" w:hAnsi="Times New Roman" w:cs="Times New Roman"/>
          <w:sz w:val="24"/>
          <w:szCs w:val="24"/>
        </w:rPr>
        <w:t>contract</w:t>
      </w:r>
      <w:r w:rsidRPr="009C1026">
        <w:rPr>
          <w:rFonts w:ascii="Times New Roman" w:hAnsi="Times New Roman" w:cs="Times New Roman"/>
          <w:sz w:val="24"/>
          <w:szCs w:val="24"/>
        </w:rPr>
        <w:t xml:space="preserve">s, and in order to strengthen firm-consumer relationships they may reward consumers </w:t>
      </w:r>
      <w:r w:rsidR="005A0F73">
        <w:rPr>
          <w:rFonts w:ascii="Times New Roman" w:hAnsi="Times New Roman" w:cs="Times New Roman"/>
          <w:sz w:val="24"/>
          <w:szCs w:val="24"/>
        </w:rPr>
        <w:t xml:space="preserve">for doing this </w:t>
      </w:r>
      <w:r w:rsidRPr="009C1026">
        <w:rPr>
          <w:rFonts w:ascii="Times New Roman" w:hAnsi="Times New Roman" w:cs="Times New Roman"/>
          <w:sz w:val="24"/>
          <w:szCs w:val="24"/>
        </w:rPr>
        <w:t>with price reductions, gifts or benefits (Calvo-Porral et al., 2017).</w:t>
      </w:r>
    </w:p>
    <w:p w14:paraId="08994B04" w14:textId="3AD60107" w:rsidR="009C1026" w:rsidRP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However, customers may also be exploited at the time of contract renewal</w:t>
      </w:r>
      <w:r w:rsidR="00550212">
        <w:rPr>
          <w:rFonts w:ascii="Times New Roman" w:hAnsi="Times New Roman" w:cs="Times New Roman"/>
          <w:sz w:val="24"/>
          <w:szCs w:val="24"/>
        </w:rPr>
        <w:t>,</w:t>
      </w:r>
      <w:r w:rsidRPr="009C1026">
        <w:rPr>
          <w:rFonts w:ascii="Times New Roman" w:hAnsi="Times New Roman" w:cs="Times New Roman"/>
          <w:sz w:val="24"/>
          <w:szCs w:val="24"/>
        </w:rPr>
        <w:t xml:space="preserve"> by being charged higher prices, or offered less attractive products than were previously provided (Gray et al., 2017). Through prior experience, word-of-mouth and media coverage, many consumers are aware that providers often implement contractual practices that are disadvantageous </w:t>
      </w:r>
      <w:r w:rsidR="005A0F73">
        <w:rPr>
          <w:rFonts w:ascii="Times New Roman" w:hAnsi="Times New Roman" w:cs="Times New Roman"/>
          <w:sz w:val="24"/>
          <w:szCs w:val="24"/>
        </w:rPr>
        <w:t xml:space="preserve">to them </w:t>
      </w:r>
      <w:r w:rsidRPr="009C1026">
        <w:rPr>
          <w:rFonts w:ascii="Times New Roman" w:hAnsi="Times New Roman" w:cs="Times New Roman"/>
          <w:sz w:val="24"/>
          <w:szCs w:val="24"/>
        </w:rPr>
        <w:t xml:space="preserve">(Peachey, 2018), yet they still agree to take on </w:t>
      </w:r>
      <w:r w:rsidR="001802E9">
        <w:rPr>
          <w:rFonts w:ascii="Times New Roman" w:hAnsi="Times New Roman" w:cs="Times New Roman"/>
          <w:sz w:val="24"/>
          <w:szCs w:val="24"/>
        </w:rPr>
        <w:t>RSC</w:t>
      </w:r>
      <w:r w:rsidR="00571C41">
        <w:rPr>
          <w:rFonts w:ascii="Times New Roman" w:hAnsi="Times New Roman" w:cs="Times New Roman"/>
          <w:sz w:val="24"/>
          <w:szCs w:val="24"/>
        </w:rPr>
        <w:t xml:space="preserve">s </w:t>
      </w:r>
      <w:r w:rsidRPr="009C1026">
        <w:rPr>
          <w:rFonts w:ascii="Times New Roman" w:hAnsi="Times New Roman" w:cs="Times New Roman"/>
          <w:sz w:val="24"/>
          <w:szCs w:val="24"/>
        </w:rPr>
        <w:t xml:space="preserve">when purchasing services. In this paper we seek </w:t>
      </w:r>
      <w:r w:rsidR="00C31A88">
        <w:rPr>
          <w:rFonts w:ascii="Times New Roman" w:hAnsi="Times New Roman" w:cs="Times New Roman"/>
          <w:sz w:val="24"/>
          <w:szCs w:val="24"/>
        </w:rPr>
        <w:t xml:space="preserve">to </w:t>
      </w:r>
      <w:r w:rsidR="00D65026">
        <w:rPr>
          <w:rFonts w:ascii="Times New Roman" w:hAnsi="Times New Roman" w:cs="Times New Roman"/>
          <w:sz w:val="24"/>
          <w:szCs w:val="24"/>
        </w:rPr>
        <w:t xml:space="preserve">shed light on </w:t>
      </w:r>
      <w:r w:rsidRPr="009C1026">
        <w:rPr>
          <w:rFonts w:ascii="Times New Roman" w:hAnsi="Times New Roman" w:cs="Times New Roman"/>
          <w:sz w:val="24"/>
          <w:szCs w:val="24"/>
        </w:rPr>
        <w:t xml:space="preserve">this </w:t>
      </w:r>
      <w:r w:rsidR="00D65026">
        <w:rPr>
          <w:rFonts w:ascii="Times New Roman" w:hAnsi="Times New Roman" w:cs="Times New Roman"/>
          <w:sz w:val="24"/>
          <w:szCs w:val="24"/>
        </w:rPr>
        <w:t xml:space="preserve">behavior </w:t>
      </w:r>
      <w:r w:rsidR="005A1F0F">
        <w:rPr>
          <w:rFonts w:ascii="Times New Roman" w:hAnsi="Times New Roman" w:cs="Times New Roman"/>
          <w:sz w:val="24"/>
          <w:szCs w:val="24"/>
        </w:rPr>
        <w:t xml:space="preserve">through </w:t>
      </w:r>
      <w:r w:rsidR="00D65026">
        <w:rPr>
          <w:rFonts w:ascii="Times New Roman" w:hAnsi="Times New Roman" w:cs="Times New Roman"/>
          <w:sz w:val="24"/>
          <w:szCs w:val="24"/>
        </w:rPr>
        <w:t>investigati</w:t>
      </w:r>
      <w:r w:rsidR="005A1F0F">
        <w:rPr>
          <w:rFonts w:ascii="Times New Roman" w:hAnsi="Times New Roman" w:cs="Times New Roman"/>
          <w:sz w:val="24"/>
          <w:szCs w:val="24"/>
        </w:rPr>
        <w:t xml:space="preserve">ng </w:t>
      </w:r>
      <w:r w:rsidR="00D65026">
        <w:rPr>
          <w:rFonts w:ascii="Times New Roman" w:hAnsi="Times New Roman" w:cs="Times New Roman"/>
          <w:sz w:val="24"/>
          <w:szCs w:val="24"/>
        </w:rPr>
        <w:t xml:space="preserve">consumers’ propensity for </w:t>
      </w:r>
      <w:r w:rsidR="001802E9">
        <w:rPr>
          <w:rFonts w:ascii="Times New Roman" w:hAnsi="Times New Roman" w:cs="Times New Roman"/>
          <w:sz w:val="24"/>
          <w:szCs w:val="24"/>
        </w:rPr>
        <w:t>RSC</w:t>
      </w:r>
      <w:r>
        <w:rPr>
          <w:rFonts w:ascii="Times New Roman" w:hAnsi="Times New Roman" w:cs="Times New Roman"/>
          <w:sz w:val="24"/>
          <w:szCs w:val="24"/>
        </w:rPr>
        <w:t>s</w:t>
      </w:r>
      <w:r w:rsidR="00A5014B">
        <w:rPr>
          <w:rFonts w:ascii="Times New Roman" w:hAnsi="Times New Roman" w:cs="Times New Roman"/>
          <w:sz w:val="24"/>
          <w:szCs w:val="24"/>
        </w:rPr>
        <w:t xml:space="preserve"> and the factors that </w:t>
      </w:r>
      <w:r w:rsidR="008F5970">
        <w:rPr>
          <w:rFonts w:ascii="Times New Roman" w:hAnsi="Times New Roman" w:cs="Times New Roman"/>
          <w:sz w:val="24"/>
          <w:szCs w:val="24"/>
        </w:rPr>
        <w:t>influence it</w:t>
      </w:r>
      <w:r w:rsidR="005A1F0F">
        <w:rPr>
          <w:rFonts w:ascii="Times New Roman" w:hAnsi="Times New Roman" w:cs="Times New Roman"/>
          <w:sz w:val="24"/>
          <w:szCs w:val="24"/>
        </w:rPr>
        <w:t>,</w:t>
      </w:r>
      <w:r w:rsidR="008F5970">
        <w:rPr>
          <w:rFonts w:ascii="Times New Roman" w:hAnsi="Times New Roman" w:cs="Times New Roman"/>
          <w:sz w:val="24"/>
          <w:szCs w:val="24"/>
        </w:rPr>
        <w:t xml:space="preserve"> from a s</w:t>
      </w:r>
      <w:r w:rsidR="00B6757F">
        <w:rPr>
          <w:rFonts w:ascii="Times New Roman" w:hAnsi="Times New Roman" w:cs="Times New Roman"/>
          <w:sz w:val="24"/>
          <w:szCs w:val="24"/>
        </w:rPr>
        <w:t>ervice loyalty perspective.</w:t>
      </w:r>
      <w:r>
        <w:rPr>
          <w:rFonts w:ascii="Times New Roman" w:hAnsi="Times New Roman" w:cs="Times New Roman"/>
          <w:sz w:val="24"/>
          <w:szCs w:val="24"/>
        </w:rPr>
        <w:t xml:space="preserve"> </w:t>
      </w:r>
      <w:r w:rsidRPr="009C1026">
        <w:rPr>
          <w:rFonts w:ascii="Times New Roman" w:hAnsi="Times New Roman" w:cs="Times New Roman"/>
          <w:sz w:val="24"/>
          <w:szCs w:val="24"/>
        </w:rPr>
        <w:t xml:space="preserve">Ostensibly, </w:t>
      </w:r>
      <w:r w:rsidR="00B6757F">
        <w:rPr>
          <w:rFonts w:ascii="Times New Roman" w:hAnsi="Times New Roman" w:cs="Times New Roman"/>
          <w:sz w:val="24"/>
          <w:szCs w:val="24"/>
        </w:rPr>
        <w:t>consumers</w:t>
      </w:r>
      <w:r w:rsidRPr="009C1026">
        <w:rPr>
          <w:rFonts w:ascii="Times New Roman" w:hAnsi="Times New Roman" w:cs="Times New Roman"/>
          <w:sz w:val="24"/>
          <w:szCs w:val="24"/>
        </w:rPr>
        <w:t xml:space="preserve"> are behaving rationally by avoiding the search and switching costs of moving to another provider (Murooka &amp; Schwartz, 201</w:t>
      </w:r>
      <w:r w:rsidR="00DA7406">
        <w:rPr>
          <w:rFonts w:ascii="Times New Roman" w:hAnsi="Times New Roman" w:cs="Times New Roman"/>
          <w:sz w:val="24"/>
          <w:szCs w:val="24"/>
        </w:rPr>
        <w:t>9</w:t>
      </w:r>
      <w:r w:rsidRPr="009C1026">
        <w:rPr>
          <w:rFonts w:ascii="Times New Roman" w:hAnsi="Times New Roman" w:cs="Times New Roman"/>
          <w:sz w:val="24"/>
          <w:szCs w:val="24"/>
        </w:rPr>
        <w:t xml:space="preserve">), particularly when they are prone to </w:t>
      </w:r>
      <w:r w:rsidR="00C2583E">
        <w:rPr>
          <w:rFonts w:ascii="Times New Roman" w:hAnsi="Times New Roman" w:cs="Times New Roman"/>
          <w:sz w:val="24"/>
          <w:szCs w:val="24"/>
        </w:rPr>
        <w:t xml:space="preserve">inertia </w:t>
      </w:r>
      <w:r w:rsidR="00DA7406">
        <w:rPr>
          <w:rFonts w:ascii="Times New Roman" w:hAnsi="Times New Roman" w:cs="Times New Roman"/>
          <w:sz w:val="24"/>
          <w:szCs w:val="24"/>
        </w:rPr>
        <w:t xml:space="preserve">and procrastination </w:t>
      </w:r>
      <w:r w:rsidRPr="009C1026">
        <w:rPr>
          <w:rFonts w:ascii="Times New Roman" w:hAnsi="Times New Roman" w:cs="Times New Roman"/>
          <w:sz w:val="24"/>
          <w:szCs w:val="24"/>
        </w:rPr>
        <w:t>(</w:t>
      </w:r>
      <w:r w:rsidR="00DA7406">
        <w:rPr>
          <w:rFonts w:ascii="Times New Roman" w:hAnsi="Times New Roman" w:cs="Times New Roman"/>
          <w:sz w:val="24"/>
          <w:szCs w:val="24"/>
        </w:rPr>
        <w:t xml:space="preserve">Henderson et al., 2021; </w:t>
      </w:r>
      <w:r w:rsidRPr="009C1026">
        <w:rPr>
          <w:rFonts w:ascii="Times New Roman" w:hAnsi="Times New Roman" w:cs="Times New Roman"/>
          <w:sz w:val="24"/>
          <w:szCs w:val="24"/>
        </w:rPr>
        <w:t>Johnen, 201</w:t>
      </w:r>
      <w:r w:rsidR="00784A37">
        <w:rPr>
          <w:rFonts w:ascii="Times New Roman" w:hAnsi="Times New Roman" w:cs="Times New Roman"/>
          <w:sz w:val="24"/>
          <w:szCs w:val="24"/>
        </w:rPr>
        <w:t>9</w:t>
      </w:r>
      <w:r w:rsidRPr="009C1026">
        <w:rPr>
          <w:rFonts w:ascii="Times New Roman" w:hAnsi="Times New Roman" w:cs="Times New Roman"/>
          <w:sz w:val="24"/>
          <w:szCs w:val="24"/>
        </w:rPr>
        <w:t>)</w:t>
      </w:r>
      <w:r w:rsidR="00357A00">
        <w:rPr>
          <w:rFonts w:ascii="Times New Roman" w:hAnsi="Times New Roman" w:cs="Times New Roman"/>
          <w:sz w:val="24"/>
          <w:szCs w:val="24"/>
        </w:rPr>
        <w:t xml:space="preserve">, which may offset any perceived shortcomings </w:t>
      </w:r>
      <w:r w:rsidR="00256830">
        <w:rPr>
          <w:rFonts w:ascii="Times New Roman" w:hAnsi="Times New Roman" w:cs="Times New Roman"/>
          <w:sz w:val="24"/>
          <w:szCs w:val="24"/>
        </w:rPr>
        <w:t xml:space="preserve">of </w:t>
      </w:r>
      <w:r w:rsidR="001802E9">
        <w:rPr>
          <w:rFonts w:ascii="Times New Roman" w:hAnsi="Times New Roman" w:cs="Times New Roman"/>
          <w:sz w:val="24"/>
          <w:szCs w:val="24"/>
        </w:rPr>
        <w:t>RSC</w:t>
      </w:r>
      <w:r w:rsidR="00C2583E">
        <w:rPr>
          <w:rFonts w:ascii="Times New Roman" w:hAnsi="Times New Roman" w:cs="Times New Roman"/>
          <w:sz w:val="24"/>
          <w:szCs w:val="24"/>
        </w:rPr>
        <w:t>s</w:t>
      </w:r>
      <w:r w:rsidRPr="009C1026">
        <w:rPr>
          <w:rFonts w:ascii="Times New Roman" w:hAnsi="Times New Roman" w:cs="Times New Roman"/>
          <w:sz w:val="24"/>
          <w:szCs w:val="24"/>
        </w:rPr>
        <w:t xml:space="preserve">. This </w:t>
      </w:r>
      <w:r w:rsidR="00996467">
        <w:rPr>
          <w:rFonts w:ascii="Times New Roman" w:hAnsi="Times New Roman" w:cs="Times New Roman"/>
          <w:sz w:val="24"/>
          <w:szCs w:val="24"/>
        </w:rPr>
        <w:t xml:space="preserve">study </w:t>
      </w:r>
      <w:r w:rsidR="009F2A25">
        <w:rPr>
          <w:rFonts w:ascii="Times New Roman" w:hAnsi="Times New Roman" w:cs="Times New Roman"/>
          <w:sz w:val="24"/>
          <w:szCs w:val="24"/>
        </w:rPr>
        <w:t xml:space="preserve">therefore </w:t>
      </w:r>
      <w:r w:rsidRPr="009C1026">
        <w:rPr>
          <w:rFonts w:ascii="Times New Roman" w:hAnsi="Times New Roman" w:cs="Times New Roman"/>
          <w:sz w:val="24"/>
          <w:szCs w:val="24"/>
        </w:rPr>
        <w:t xml:space="preserve">fills </w:t>
      </w:r>
      <w:r w:rsidR="003D1279">
        <w:rPr>
          <w:rFonts w:ascii="Times New Roman" w:hAnsi="Times New Roman" w:cs="Times New Roman"/>
          <w:sz w:val="24"/>
          <w:szCs w:val="24"/>
        </w:rPr>
        <w:t>a</w:t>
      </w:r>
      <w:r w:rsidRPr="009C1026">
        <w:rPr>
          <w:rFonts w:ascii="Times New Roman" w:hAnsi="Times New Roman" w:cs="Times New Roman"/>
          <w:sz w:val="24"/>
          <w:szCs w:val="24"/>
        </w:rPr>
        <w:t xml:space="preserve"> gap in </w:t>
      </w:r>
      <w:r w:rsidR="004A7137">
        <w:rPr>
          <w:rFonts w:ascii="Times New Roman" w:hAnsi="Times New Roman" w:cs="Times New Roman"/>
          <w:sz w:val="24"/>
          <w:szCs w:val="24"/>
        </w:rPr>
        <w:t>understanding</w:t>
      </w:r>
      <w:r w:rsidRPr="009C1026">
        <w:rPr>
          <w:rFonts w:ascii="Times New Roman" w:hAnsi="Times New Roman" w:cs="Times New Roman"/>
          <w:sz w:val="24"/>
          <w:szCs w:val="24"/>
        </w:rPr>
        <w:t xml:space="preserve"> </w:t>
      </w:r>
      <w:r w:rsidR="00F27EDC">
        <w:rPr>
          <w:rFonts w:ascii="Times New Roman" w:hAnsi="Times New Roman" w:cs="Times New Roman"/>
          <w:sz w:val="24"/>
          <w:szCs w:val="24"/>
        </w:rPr>
        <w:t xml:space="preserve">services </w:t>
      </w:r>
      <w:r w:rsidR="00F402DF">
        <w:rPr>
          <w:rFonts w:ascii="Times New Roman" w:hAnsi="Times New Roman" w:cs="Times New Roman"/>
          <w:sz w:val="24"/>
          <w:szCs w:val="24"/>
        </w:rPr>
        <w:t xml:space="preserve">consumer </w:t>
      </w:r>
      <w:r w:rsidR="009047C0">
        <w:rPr>
          <w:rFonts w:ascii="Times New Roman" w:hAnsi="Times New Roman" w:cs="Times New Roman"/>
          <w:sz w:val="24"/>
          <w:szCs w:val="24"/>
        </w:rPr>
        <w:t>behavior</w:t>
      </w:r>
      <w:r w:rsidR="001C108A">
        <w:rPr>
          <w:rFonts w:ascii="Times New Roman" w:hAnsi="Times New Roman" w:cs="Times New Roman"/>
          <w:sz w:val="24"/>
          <w:szCs w:val="24"/>
        </w:rPr>
        <w:t>,</w:t>
      </w:r>
      <w:r w:rsidR="009047C0" w:rsidRPr="009C1026">
        <w:rPr>
          <w:rFonts w:ascii="Times New Roman" w:hAnsi="Times New Roman" w:cs="Times New Roman"/>
          <w:sz w:val="24"/>
          <w:szCs w:val="24"/>
        </w:rPr>
        <w:t xml:space="preserve"> </w:t>
      </w:r>
      <w:r w:rsidRPr="009C1026">
        <w:rPr>
          <w:rFonts w:ascii="Times New Roman" w:hAnsi="Times New Roman" w:cs="Times New Roman"/>
          <w:sz w:val="24"/>
          <w:szCs w:val="24"/>
        </w:rPr>
        <w:t>as this form of contract is now widely offered by providers</w:t>
      </w:r>
      <w:r w:rsidR="00F402DF">
        <w:rPr>
          <w:rFonts w:ascii="Times New Roman" w:hAnsi="Times New Roman" w:cs="Times New Roman"/>
          <w:sz w:val="24"/>
          <w:szCs w:val="24"/>
        </w:rPr>
        <w:t xml:space="preserve"> and taken up by buyers</w:t>
      </w:r>
      <w:r w:rsidR="00996467">
        <w:rPr>
          <w:rFonts w:ascii="Times New Roman" w:hAnsi="Times New Roman" w:cs="Times New Roman"/>
          <w:sz w:val="24"/>
          <w:szCs w:val="24"/>
        </w:rPr>
        <w:t>.</w:t>
      </w:r>
      <w:r w:rsidRPr="009C1026">
        <w:rPr>
          <w:rFonts w:ascii="Times New Roman" w:hAnsi="Times New Roman" w:cs="Times New Roman"/>
          <w:sz w:val="24"/>
          <w:szCs w:val="24"/>
        </w:rPr>
        <w:t xml:space="preserve"> Indeed, </w:t>
      </w:r>
      <w:r w:rsidR="00F402DF">
        <w:rPr>
          <w:rFonts w:ascii="Times New Roman" w:hAnsi="Times New Roman" w:cs="Times New Roman"/>
          <w:sz w:val="24"/>
          <w:szCs w:val="24"/>
        </w:rPr>
        <w:t xml:space="preserve">although </w:t>
      </w:r>
      <w:r w:rsidRPr="009C1026">
        <w:rPr>
          <w:rFonts w:ascii="Times New Roman" w:hAnsi="Times New Roman" w:cs="Times New Roman"/>
          <w:sz w:val="24"/>
          <w:szCs w:val="24"/>
        </w:rPr>
        <w:t xml:space="preserve">prior studies have been undertaken in the domain of consumer economics, the </w:t>
      </w:r>
      <w:r w:rsidR="00015F5B">
        <w:rPr>
          <w:rFonts w:ascii="Times New Roman" w:hAnsi="Times New Roman" w:cs="Times New Roman"/>
          <w:sz w:val="24"/>
          <w:szCs w:val="24"/>
        </w:rPr>
        <w:t xml:space="preserve">motivational </w:t>
      </w:r>
      <w:r w:rsidRPr="009C1026">
        <w:rPr>
          <w:rFonts w:ascii="Times New Roman" w:hAnsi="Times New Roman" w:cs="Times New Roman"/>
          <w:sz w:val="24"/>
          <w:szCs w:val="24"/>
        </w:rPr>
        <w:t>dimension</w:t>
      </w:r>
      <w:r w:rsidR="00106263">
        <w:rPr>
          <w:rFonts w:ascii="Times New Roman" w:hAnsi="Times New Roman" w:cs="Times New Roman"/>
          <w:sz w:val="24"/>
          <w:szCs w:val="24"/>
        </w:rPr>
        <w:t xml:space="preserve"> </w:t>
      </w:r>
      <w:r w:rsidRPr="009C1026">
        <w:rPr>
          <w:rFonts w:ascii="Times New Roman" w:hAnsi="Times New Roman" w:cs="Times New Roman"/>
          <w:sz w:val="24"/>
          <w:szCs w:val="24"/>
        </w:rPr>
        <w:t xml:space="preserve">of buyer decision making </w:t>
      </w:r>
      <w:r w:rsidR="003F6033">
        <w:rPr>
          <w:rFonts w:ascii="Times New Roman" w:hAnsi="Times New Roman" w:cs="Times New Roman"/>
          <w:sz w:val="24"/>
          <w:szCs w:val="24"/>
        </w:rPr>
        <w:t xml:space="preserve">for </w:t>
      </w:r>
      <w:r w:rsidR="001802E9">
        <w:rPr>
          <w:rFonts w:ascii="Times New Roman" w:hAnsi="Times New Roman" w:cs="Times New Roman"/>
          <w:sz w:val="24"/>
          <w:szCs w:val="24"/>
        </w:rPr>
        <w:t>RSC</w:t>
      </w:r>
      <w:r w:rsidR="003F6033">
        <w:rPr>
          <w:rFonts w:ascii="Times New Roman" w:hAnsi="Times New Roman" w:cs="Times New Roman"/>
          <w:sz w:val="24"/>
          <w:szCs w:val="24"/>
        </w:rPr>
        <w:t xml:space="preserve">s </w:t>
      </w:r>
      <w:r w:rsidRPr="009C1026">
        <w:rPr>
          <w:rFonts w:ascii="Times New Roman" w:hAnsi="Times New Roman" w:cs="Times New Roman"/>
          <w:sz w:val="24"/>
          <w:szCs w:val="24"/>
        </w:rPr>
        <w:t xml:space="preserve">has yet to be explored. Moreover, the research presented here adds to the literature on service loyalty by examining </w:t>
      </w:r>
      <w:r w:rsidR="006B2FB5">
        <w:rPr>
          <w:rFonts w:ascii="Times New Roman" w:hAnsi="Times New Roman" w:cs="Times New Roman"/>
          <w:sz w:val="24"/>
          <w:szCs w:val="24"/>
        </w:rPr>
        <w:t xml:space="preserve">antecedents </w:t>
      </w:r>
      <w:r w:rsidR="00C60466">
        <w:rPr>
          <w:rFonts w:ascii="Times New Roman" w:hAnsi="Times New Roman" w:cs="Times New Roman"/>
          <w:sz w:val="24"/>
          <w:szCs w:val="24"/>
        </w:rPr>
        <w:t xml:space="preserve">to </w:t>
      </w:r>
      <w:r w:rsidR="006B2FB5">
        <w:rPr>
          <w:rFonts w:ascii="Times New Roman" w:hAnsi="Times New Roman" w:cs="Times New Roman"/>
          <w:sz w:val="24"/>
          <w:szCs w:val="24"/>
        </w:rPr>
        <w:t xml:space="preserve">the </w:t>
      </w:r>
      <w:r w:rsidR="006D644E">
        <w:rPr>
          <w:rFonts w:ascii="Times New Roman" w:hAnsi="Times New Roman" w:cs="Times New Roman"/>
          <w:sz w:val="24"/>
          <w:szCs w:val="24"/>
        </w:rPr>
        <w:t>future</w:t>
      </w:r>
      <w:r w:rsidR="00412274">
        <w:rPr>
          <w:rFonts w:ascii="Times New Roman" w:hAnsi="Times New Roman" w:cs="Times New Roman"/>
          <w:sz w:val="24"/>
          <w:szCs w:val="24"/>
        </w:rPr>
        <w:t xml:space="preserve"> retention</w:t>
      </w:r>
      <w:r w:rsidR="006B2FB5">
        <w:rPr>
          <w:rFonts w:ascii="Times New Roman" w:hAnsi="Times New Roman" w:cs="Times New Roman"/>
          <w:sz w:val="24"/>
          <w:szCs w:val="24"/>
        </w:rPr>
        <w:t xml:space="preserve"> of customers</w:t>
      </w:r>
      <w:r w:rsidR="002E43C1">
        <w:rPr>
          <w:rFonts w:ascii="Times New Roman" w:hAnsi="Times New Roman" w:cs="Times New Roman"/>
          <w:sz w:val="24"/>
          <w:szCs w:val="24"/>
        </w:rPr>
        <w:t xml:space="preserve"> based upon </w:t>
      </w:r>
      <w:r w:rsidR="00A152E5">
        <w:rPr>
          <w:rFonts w:ascii="Times New Roman" w:hAnsi="Times New Roman" w:cs="Times New Roman"/>
          <w:sz w:val="24"/>
          <w:szCs w:val="24"/>
        </w:rPr>
        <w:t>the</w:t>
      </w:r>
      <w:r w:rsidR="00761C56">
        <w:rPr>
          <w:rFonts w:ascii="Times New Roman" w:hAnsi="Times New Roman" w:cs="Times New Roman"/>
          <w:sz w:val="24"/>
          <w:szCs w:val="24"/>
        </w:rPr>
        <w:t xml:space="preserve"> </w:t>
      </w:r>
      <w:r w:rsidR="00A152E5">
        <w:rPr>
          <w:rFonts w:ascii="Times New Roman" w:hAnsi="Times New Roman" w:cs="Times New Roman"/>
          <w:sz w:val="24"/>
          <w:szCs w:val="24"/>
        </w:rPr>
        <w:t xml:space="preserve">expected rather than actual </w:t>
      </w:r>
      <w:r w:rsidR="00761C56">
        <w:rPr>
          <w:rFonts w:ascii="Times New Roman" w:hAnsi="Times New Roman" w:cs="Times New Roman"/>
          <w:sz w:val="24"/>
          <w:szCs w:val="24"/>
        </w:rPr>
        <w:t>outcomes of their service experience.</w:t>
      </w:r>
    </w:p>
    <w:p w14:paraId="7960279A" w14:textId="7D24429B" w:rsidR="00F67F21" w:rsidRDefault="00523278" w:rsidP="00C8027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F57F1C">
        <w:rPr>
          <w:rFonts w:ascii="Times New Roman" w:hAnsi="Times New Roman" w:cs="Times New Roman"/>
          <w:sz w:val="24"/>
          <w:szCs w:val="24"/>
        </w:rPr>
        <w:t>purpose of this research</w:t>
      </w:r>
      <w:r w:rsidR="00C942A3">
        <w:rPr>
          <w:rFonts w:ascii="Times New Roman" w:hAnsi="Times New Roman" w:cs="Times New Roman"/>
          <w:sz w:val="24"/>
          <w:szCs w:val="24"/>
        </w:rPr>
        <w:t xml:space="preserve"> is to </w:t>
      </w:r>
      <w:r w:rsidR="00C1711A">
        <w:rPr>
          <w:rFonts w:ascii="Times New Roman" w:hAnsi="Times New Roman" w:cs="Times New Roman"/>
          <w:sz w:val="24"/>
          <w:szCs w:val="24"/>
        </w:rPr>
        <w:t xml:space="preserve">offer preliminary </w:t>
      </w:r>
      <w:r w:rsidR="00310846">
        <w:rPr>
          <w:rFonts w:ascii="Times New Roman" w:hAnsi="Times New Roman" w:cs="Times New Roman"/>
          <w:sz w:val="24"/>
          <w:szCs w:val="24"/>
        </w:rPr>
        <w:t>insights into</w:t>
      </w:r>
      <w:r w:rsidR="00F57F1C">
        <w:rPr>
          <w:rFonts w:ascii="Times New Roman" w:hAnsi="Times New Roman" w:cs="Times New Roman"/>
          <w:sz w:val="24"/>
          <w:szCs w:val="24"/>
        </w:rPr>
        <w:t xml:space="preserve"> </w:t>
      </w:r>
      <w:r w:rsidR="00FB6510">
        <w:rPr>
          <w:rFonts w:ascii="Times New Roman" w:hAnsi="Times New Roman" w:cs="Times New Roman"/>
          <w:sz w:val="24"/>
          <w:szCs w:val="24"/>
        </w:rPr>
        <w:t xml:space="preserve">the factors affecting </w:t>
      </w:r>
      <w:r w:rsidR="009C1026" w:rsidRPr="009C1026">
        <w:rPr>
          <w:rFonts w:ascii="Times New Roman" w:hAnsi="Times New Roman" w:cs="Times New Roman"/>
          <w:sz w:val="24"/>
          <w:szCs w:val="24"/>
        </w:rPr>
        <w:t>consumers</w:t>
      </w:r>
      <w:r w:rsidR="005C0BC6">
        <w:rPr>
          <w:rFonts w:ascii="Times New Roman" w:hAnsi="Times New Roman" w:cs="Times New Roman"/>
          <w:sz w:val="24"/>
          <w:szCs w:val="24"/>
        </w:rPr>
        <w:t>’</w:t>
      </w:r>
      <w:r w:rsidR="009C1026" w:rsidRPr="009C1026">
        <w:rPr>
          <w:rFonts w:ascii="Times New Roman" w:hAnsi="Times New Roman" w:cs="Times New Roman"/>
          <w:sz w:val="24"/>
          <w:szCs w:val="24"/>
        </w:rPr>
        <w:t xml:space="preserve"> initial decision </w:t>
      </w:r>
      <w:r w:rsidR="005C0BC6">
        <w:rPr>
          <w:rFonts w:ascii="Times New Roman" w:hAnsi="Times New Roman" w:cs="Times New Roman"/>
          <w:sz w:val="24"/>
          <w:szCs w:val="24"/>
        </w:rPr>
        <w:t xml:space="preserve">to </w:t>
      </w:r>
      <w:r w:rsidR="00310846">
        <w:rPr>
          <w:rFonts w:ascii="Times New Roman" w:hAnsi="Times New Roman" w:cs="Times New Roman"/>
          <w:sz w:val="24"/>
          <w:szCs w:val="24"/>
        </w:rPr>
        <w:t xml:space="preserve">enter into </w:t>
      </w:r>
      <w:r w:rsidR="001802E9">
        <w:rPr>
          <w:rFonts w:ascii="Times New Roman" w:hAnsi="Times New Roman" w:cs="Times New Roman"/>
          <w:sz w:val="24"/>
          <w:szCs w:val="24"/>
        </w:rPr>
        <w:t>RSC</w:t>
      </w:r>
      <w:r w:rsidR="005C0BC6">
        <w:rPr>
          <w:rFonts w:ascii="Times New Roman" w:hAnsi="Times New Roman" w:cs="Times New Roman"/>
          <w:sz w:val="24"/>
          <w:szCs w:val="24"/>
        </w:rPr>
        <w:t>s</w:t>
      </w:r>
      <w:r w:rsidR="00310846">
        <w:rPr>
          <w:rFonts w:ascii="Times New Roman" w:hAnsi="Times New Roman" w:cs="Times New Roman"/>
          <w:sz w:val="24"/>
          <w:szCs w:val="24"/>
        </w:rPr>
        <w:t xml:space="preserve">, and </w:t>
      </w:r>
      <w:r w:rsidR="00751301">
        <w:rPr>
          <w:rFonts w:ascii="Times New Roman" w:hAnsi="Times New Roman" w:cs="Times New Roman"/>
          <w:sz w:val="24"/>
          <w:szCs w:val="24"/>
        </w:rPr>
        <w:t xml:space="preserve">their </w:t>
      </w:r>
      <w:r w:rsidR="009C1026" w:rsidRPr="009C1026">
        <w:rPr>
          <w:rFonts w:ascii="Times New Roman" w:hAnsi="Times New Roman" w:cs="Times New Roman"/>
          <w:sz w:val="24"/>
          <w:szCs w:val="24"/>
        </w:rPr>
        <w:t xml:space="preserve">attitudes </w:t>
      </w:r>
      <w:r w:rsidR="000F5D85">
        <w:rPr>
          <w:rFonts w:ascii="Times New Roman" w:hAnsi="Times New Roman" w:cs="Times New Roman"/>
          <w:sz w:val="24"/>
          <w:szCs w:val="24"/>
        </w:rPr>
        <w:t xml:space="preserve">and behavioral intentions </w:t>
      </w:r>
      <w:r w:rsidR="009C1026" w:rsidRPr="009C1026">
        <w:rPr>
          <w:rFonts w:ascii="Times New Roman" w:hAnsi="Times New Roman" w:cs="Times New Roman"/>
          <w:sz w:val="24"/>
          <w:szCs w:val="24"/>
        </w:rPr>
        <w:t xml:space="preserve">toward </w:t>
      </w:r>
      <w:r w:rsidR="000F5D85">
        <w:rPr>
          <w:rFonts w:ascii="Times New Roman" w:hAnsi="Times New Roman" w:cs="Times New Roman"/>
          <w:sz w:val="24"/>
          <w:szCs w:val="24"/>
        </w:rPr>
        <w:t>the provision of services in this way</w:t>
      </w:r>
      <w:r w:rsidR="009C1026" w:rsidRPr="009C1026">
        <w:rPr>
          <w:rFonts w:ascii="Times New Roman" w:hAnsi="Times New Roman" w:cs="Times New Roman"/>
          <w:sz w:val="24"/>
          <w:szCs w:val="24"/>
        </w:rPr>
        <w:t xml:space="preserve">. </w:t>
      </w:r>
      <w:r w:rsidR="00EA27AE">
        <w:rPr>
          <w:rFonts w:ascii="Times New Roman" w:hAnsi="Times New Roman" w:cs="Times New Roman"/>
          <w:sz w:val="24"/>
          <w:szCs w:val="24"/>
        </w:rPr>
        <w:t xml:space="preserve">When considering </w:t>
      </w:r>
      <w:r w:rsidR="006F14A7">
        <w:rPr>
          <w:rFonts w:ascii="Times New Roman" w:hAnsi="Times New Roman" w:cs="Times New Roman"/>
          <w:sz w:val="24"/>
          <w:szCs w:val="24"/>
        </w:rPr>
        <w:t>this</w:t>
      </w:r>
      <w:r w:rsidR="00F74387">
        <w:rPr>
          <w:rFonts w:ascii="Times New Roman" w:hAnsi="Times New Roman" w:cs="Times New Roman"/>
          <w:sz w:val="24"/>
          <w:szCs w:val="24"/>
        </w:rPr>
        <w:t>,</w:t>
      </w:r>
      <w:r w:rsidR="009C1026" w:rsidRPr="009C1026">
        <w:rPr>
          <w:rFonts w:ascii="Times New Roman" w:hAnsi="Times New Roman" w:cs="Times New Roman"/>
          <w:sz w:val="24"/>
          <w:szCs w:val="24"/>
        </w:rPr>
        <w:t xml:space="preserve"> </w:t>
      </w:r>
      <w:r w:rsidR="00165678">
        <w:rPr>
          <w:rFonts w:ascii="Times New Roman" w:hAnsi="Times New Roman" w:cs="Times New Roman"/>
          <w:sz w:val="24"/>
          <w:szCs w:val="24"/>
        </w:rPr>
        <w:t xml:space="preserve">we </w:t>
      </w:r>
      <w:r w:rsidR="00DD3B49">
        <w:rPr>
          <w:rFonts w:ascii="Times New Roman" w:hAnsi="Times New Roman" w:cs="Times New Roman"/>
          <w:sz w:val="24"/>
          <w:szCs w:val="24"/>
        </w:rPr>
        <w:t>take a new perspective on service loyalty</w:t>
      </w:r>
      <w:r w:rsidR="004D6293">
        <w:rPr>
          <w:rFonts w:ascii="Times New Roman" w:hAnsi="Times New Roman" w:cs="Times New Roman"/>
          <w:sz w:val="24"/>
          <w:szCs w:val="24"/>
        </w:rPr>
        <w:t>,</w:t>
      </w:r>
      <w:r w:rsidR="00DD3B49">
        <w:rPr>
          <w:rFonts w:ascii="Times New Roman" w:hAnsi="Times New Roman" w:cs="Times New Roman"/>
          <w:sz w:val="24"/>
          <w:szCs w:val="24"/>
        </w:rPr>
        <w:t xml:space="preserve"> as </w:t>
      </w:r>
      <w:r w:rsidR="006E5FCD">
        <w:rPr>
          <w:rFonts w:ascii="Times New Roman" w:hAnsi="Times New Roman" w:cs="Times New Roman"/>
          <w:sz w:val="24"/>
          <w:szCs w:val="24"/>
        </w:rPr>
        <w:t xml:space="preserve">at the </w:t>
      </w:r>
      <w:r w:rsidR="009C1026" w:rsidRPr="009C1026">
        <w:rPr>
          <w:rFonts w:ascii="Times New Roman" w:hAnsi="Times New Roman" w:cs="Times New Roman"/>
          <w:sz w:val="24"/>
          <w:szCs w:val="24"/>
        </w:rPr>
        <w:t>time of initial purchase</w:t>
      </w:r>
      <w:r w:rsidR="00C778A5">
        <w:rPr>
          <w:rFonts w:ascii="Times New Roman" w:hAnsi="Times New Roman" w:cs="Times New Roman"/>
          <w:sz w:val="24"/>
          <w:szCs w:val="24"/>
        </w:rPr>
        <w:t xml:space="preserve"> </w:t>
      </w:r>
      <w:r w:rsidR="003B3DB2">
        <w:rPr>
          <w:rFonts w:ascii="Times New Roman" w:hAnsi="Times New Roman" w:cs="Times New Roman"/>
          <w:sz w:val="24"/>
          <w:szCs w:val="24"/>
        </w:rPr>
        <w:t xml:space="preserve">consumers </w:t>
      </w:r>
      <w:r w:rsidR="002C43A0">
        <w:rPr>
          <w:rFonts w:ascii="Times New Roman" w:hAnsi="Times New Roman" w:cs="Times New Roman"/>
          <w:sz w:val="24"/>
          <w:szCs w:val="24"/>
        </w:rPr>
        <w:t xml:space="preserve">are </w:t>
      </w:r>
      <w:r w:rsidR="009C1026" w:rsidRPr="009C1026">
        <w:rPr>
          <w:rFonts w:ascii="Times New Roman" w:hAnsi="Times New Roman" w:cs="Times New Roman"/>
          <w:sz w:val="24"/>
          <w:szCs w:val="24"/>
        </w:rPr>
        <w:t>signal</w:t>
      </w:r>
      <w:r w:rsidR="002C43A0">
        <w:rPr>
          <w:rFonts w:ascii="Times New Roman" w:hAnsi="Times New Roman" w:cs="Times New Roman"/>
          <w:sz w:val="24"/>
          <w:szCs w:val="24"/>
        </w:rPr>
        <w:t>ling</w:t>
      </w:r>
      <w:r w:rsidR="009C1026" w:rsidRPr="009C1026">
        <w:rPr>
          <w:rFonts w:ascii="Times New Roman" w:hAnsi="Times New Roman" w:cs="Times New Roman"/>
          <w:sz w:val="24"/>
          <w:szCs w:val="24"/>
        </w:rPr>
        <w:t xml:space="preserve"> a commitment to stay loyal to the firm before they </w:t>
      </w:r>
      <w:r w:rsidR="00A20A0A">
        <w:rPr>
          <w:rFonts w:ascii="Times New Roman" w:hAnsi="Times New Roman" w:cs="Times New Roman"/>
          <w:sz w:val="24"/>
          <w:szCs w:val="24"/>
        </w:rPr>
        <w:t xml:space="preserve">have </w:t>
      </w:r>
      <w:r w:rsidR="009C1026" w:rsidRPr="009C1026">
        <w:rPr>
          <w:rFonts w:ascii="Times New Roman" w:hAnsi="Times New Roman" w:cs="Times New Roman"/>
          <w:sz w:val="24"/>
          <w:szCs w:val="24"/>
        </w:rPr>
        <w:t>experience</w:t>
      </w:r>
      <w:r w:rsidR="00A20A0A">
        <w:rPr>
          <w:rFonts w:ascii="Times New Roman" w:hAnsi="Times New Roman" w:cs="Times New Roman"/>
          <w:sz w:val="24"/>
          <w:szCs w:val="24"/>
        </w:rPr>
        <w:t>d</w:t>
      </w:r>
      <w:r w:rsidR="009C1026" w:rsidRPr="009C1026">
        <w:rPr>
          <w:rFonts w:ascii="Times New Roman" w:hAnsi="Times New Roman" w:cs="Times New Roman"/>
          <w:sz w:val="24"/>
          <w:szCs w:val="24"/>
        </w:rPr>
        <w:t xml:space="preserve"> the service delivery.</w:t>
      </w:r>
    </w:p>
    <w:p w14:paraId="731C3B67" w14:textId="77777777" w:rsidR="00733B5D" w:rsidRPr="009C1026" w:rsidRDefault="00733B5D" w:rsidP="00733B5D">
      <w:pPr>
        <w:spacing w:after="0" w:line="240" w:lineRule="auto"/>
        <w:ind w:firstLine="720"/>
        <w:jc w:val="both"/>
        <w:rPr>
          <w:rFonts w:ascii="Times New Roman" w:hAnsi="Times New Roman" w:cs="Times New Roman"/>
          <w:sz w:val="24"/>
          <w:szCs w:val="24"/>
        </w:rPr>
      </w:pPr>
    </w:p>
    <w:p w14:paraId="1F29348F" w14:textId="34D1DE69" w:rsidR="009C1026" w:rsidRPr="00AC3C8A" w:rsidRDefault="00AC3C8A" w:rsidP="00733B5D">
      <w:pPr>
        <w:spacing w:line="240" w:lineRule="auto"/>
        <w:rPr>
          <w:rFonts w:ascii="Times New Roman" w:hAnsi="Times New Roman" w:cs="Times New Roman"/>
          <w:sz w:val="24"/>
          <w:szCs w:val="24"/>
        </w:rPr>
      </w:pPr>
      <w:r>
        <w:rPr>
          <w:rFonts w:ascii="Times New Roman" w:hAnsi="Times New Roman" w:cs="Times New Roman"/>
          <w:b/>
          <w:bCs/>
          <w:sz w:val="24"/>
          <w:szCs w:val="24"/>
        </w:rPr>
        <w:t>Rollover service contracts</w:t>
      </w:r>
    </w:p>
    <w:p w14:paraId="0AD218FC" w14:textId="7FEAF456" w:rsidR="009C1026" w:rsidRPr="009C1026" w:rsidRDefault="009C1026" w:rsidP="00733B5D">
      <w:pPr>
        <w:spacing w:after="0" w:line="240" w:lineRule="auto"/>
        <w:jc w:val="both"/>
        <w:rPr>
          <w:rFonts w:ascii="Times New Roman" w:hAnsi="Times New Roman" w:cs="Times New Roman"/>
          <w:sz w:val="24"/>
          <w:szCs w:val="24"/>
        </w:rPr>
      </w:pPr>
      <w:r w:rsidRPr="009C1026">
        <w:rPr>
          <w:rFonts w:ascii="Times New Roman" w:hAnsi="Times New Roman" w:cs="Times New Roman"/>
          <w:sz w:val="24"/>
          <w:szCs w:val="24"/>
        </w:rPr>
        <w:t xml:space="preserve">Service providers that retain their existing consumers can look forward to receiving future revenues (Gremler &amp; Brown, 1996), which offers an incentive to implement policies that result in consumers renewing their service </w:t>
      </w:r>
      <w:r w:rsidR="00E440E5">
        <w:rPr>
          <w:rFonts w:ascii="Times New Roman" w:hAnsi="Times New Roman" w:cs="Times New Roman"/>
          <w:sz w:val="24"/>
          <w:szCs w:val="24"/>
        </w:rPr>
        <w:t>contract</w:t>
      </w:r>
      <w:r w:rsidRPr="009C1026">
        <w:rPr>
          <w:rFonts w:ascii="Times New Roman" w:hAnsi="Times New Roman" w:cs="Times New Roman"/>
          <w:sz w:val="24"/>
          <w:szCs w:val="24"/>
        </w:rPr>
        <w:t xml:space="preserve">s. Firms </w:t>
      </w:r>
      <w:r w:rsidR="004D6293">
        <w:rPr>
          <w:rFonts w:ascii="Times New Roman" w:hAnsi="Times New Roman" w:cs="Times New Roman"/>
          <w:sz w:val="24"/>
          <w:szCs w:val="24"/>
        </w:rPr>
        <w:t xml:space="preserve">may </w:t>
      </w:r>
      <w:r w:rsidRPr="009C1026">
        <w:rPr>
          <w:rFonts w:ascii="Times New Roman" w:hAnsi="Times New Roman" w:cs="Times New Roman"/>
          <w:sz w:val="24"/>
          <w:szCs w:val="24"/>
        </w:rPr>
        <w:t xml:space="preserve">encourage consumers to accept automatic renewal by offering low introductory prices (Ru &amp; Schoar, 2016), or promising price discounts in future contractual periods. Consumers may subscribe to contracts with </w:t>
      </w:r>
      <w:r w:rsidR="008B0EBA">
        <w:rPr>
          <w:rFonts w:ascii="Times New Roman" w:hAnsi="Times New Roman" w:cs="Times New Roman"/>
          <w:sz w:val="24"/>
          <w:szCs w:val="24"/>
        </w:rPr>
        <w:t>low</w:t>
      </w:r>
      <w:r w:rsidR="00E2230D">
        <w:rPr>
          <w:rFonts w:ascii="Times New Roman" w:hAnsi="Times New Roman" w:cs="Times New Roman"/>
          <w:sz w:val="24"/>
          <w:szCs w:val="24"/>
        </w:rPr>
        <w:t xml:space="preserve">er </w:t>
      </w:r>
      <w:r w:rsidRPr="009C1026">
        <w:rPr>
          <w:rFonts w:ascii="Times New Roman" w:hAnsi="Times New Roman" w:cs="Times New Roman"/>
          <w:sz w:val="24"/>
          <w:szCs w:val="24"/>
        </w:rPr>
        <w:t xml:space="preserve">rates, but without the promise of future price discounts, because they are confident </w:t>
      </w:r>
      <w:r w:rsidR="00784A37">
        <w:rPr>
          <w:rFonts w:ascii="Times New Roman" w:hAnsi="Times New Roman" w:cs="Times New Roman"/>
          <w:sz w:val="24"/>
          <w:szCs w:val="24"/>
        </w:rPr>
        <w:t xml:space="preserve">that </w:t>
      </w:r>
      <w:r w:rsidRPr="009C1026">
        <w:rPr>
          <w:rFonts w:ascii="Times New Roman" w:hAnsi="Times New Roman" w:cs="Times New Roman"/>
          <w:sz w:val="24"/>
          <w:szCs w:val="24"/>
        </w:rPr>
        <w:t>they will cancel the contract at the end of the initial term if they no longer find it attractive. Based on the expectation that the service provider will want to develop a relationship that offers benefits and value for both parties (Roig et al., 2006), some consumers assume that their loyalty will be rewarded with preferable contractual terms and superior services (Wieseke, Alavi, &amp; Habel, 2014).</w:t>
      </w:r>
    </w:p>
    <w:p w14:paraId="39153684" w14:textId="12DCF8A3" w:rsidR="009C1026" w:rsidRP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However, previous research has found that loyalty leads to lower price sensitivity (e.g. Guadagni &amp; Little, 2008; Srinivasan, Anderson, &amp; Ponnavolu, 2002), which often results in consumers paying high or uncompetitive prices (Chaudhuri &amp; Holbrook, 2001). Indeed, Johnen (201</w:t>
      </w:r>
      <w:r w:rsidR="00784A37">
        <w:rPr>
          <w:rFonts w:ascii="Times New Roman" w:hAnsi="Times New Roman" w:cs="Times New Roman"/>
          <w:sz w:val="24"/>
          <w:szCs w:val="24"/>
        </w:rPr>
        <w:t>9</w:t>
      </w:r>
      <w:r w:rsidRPr="009C1026">
        <w:rPr>
          <w:rFonts w:ascii="Times New Roman" w:hAnsi="Times New Roman" w:cs="Times New Roman"/>
          <w:sz w:val="24"/>
          <w:szCs w:val="24"/>
        </w:rPr>
        <w:t xml:space="preserve">) found that providers frequently rely on back-loaded pricing, whereby they offer consumers large discounts for the initial contractual term, with the intention of charging higher rates in subsequent periods. This strategy is generally successful because consumers are overconfident about their future probability to cancel after the initial contractual period. </w:t>
      </w:r>
    </w:p>
    <w:p w14:paraId="1B99139D" w14:textId="77777777" w:rsidR="00110A1B"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Additionally, providers create complex </w:t>
      </w:r>
      <w:r w:rsidR="00E440E5">
        <w:rPr>
          <w:rFonts w:ascii="Times New Roman" w:hAnsi="Times New Roman" w:cs="Times New Roman"/>
          <w:sz w:val="24"/>
          <w:szCs w:val="24"/>
        </w:rPr>
        <w:t>contract</w:t>
      </w:r>
      <w:r w:rsidRPr="009C1026">
        <w:rPr>
          <w:rFonts w:ascii="Times New Roman" w:hAnsi="Times New Roman" w:cs="Times New Roman"/>
          <w:sz w:val="24"/>
          <w:szCs w:val="24"/>
        </w:rPr>
        <w:t xml:space="preserve">s </w:t>
      </w:r>
      <w:r w:rsidR="00FE606C" w:rsidRPr="00FE606C">
        <w:rPr>
          <w:rFonts w:ascii="Times New Roman" w:hAnsi="Times New Roman" w:cs="Times New Roman"/>
          <w:sz w:val="24"/>
          <w:szCs w:val="24"/>
        </w:rPr>
        <w:t>containing technical language</w:t>
      </w:r>
      <w:r w:rsidR="00FE606C">
        <w:rPr>
          <w:rFonts w:ascii="Times New Roman" w:hAnsi="Times New Roman" w:cs="Times New Roman"/>
          <w:sz w:val="24"/>
          <w:szCs w:val="24"/>
        </w:rPr>
        <w:t>,</w:t>
      </w:r>
      <w:r w:rsidR="00FE606C" w:rsidRPr="00FE606C">
        <w:rPr>
          <w:rFonts w:ascii="Times New Roman" w:hAnsi="Times New Roman" w:cs="Times New Roman"/>
          <w:sz w:val="24"/>
          <w:szCs w:val="24"/>
        </w:rPr>
        <w:t xml:space="preserve"> </w:t>
      </w:r>
      <w:r w:rsidR="00FE606C">
        <w:rPr>
          <w:rFonts w:ascii="Times New Roman" w:hAnsi="Times New Roman" w:cs="Times New Roman"/>
          <w:sz w:val="24"/>
          <w:szCs w:val="24"/>
        </w:rPr>
        <w:t>which</w:t>
      </w:r>
      <w:r w:rsidRPr="009C1026">
        <w:rPr>
          <w:rFonts w:ascii="Times New Roman" w:hAnsi="Times New Roman" w:cs="Times New Roman"/>
          <w:sz w:val="24"/>
          <w:szCs w:val="24"/>
        </w:rPr>
        <w:t xml:space="preserve"> are </w:t>
      </w:r>
      <w:r w:rsidR="003A173D" w:rsidRPr="003A173D">
        <w:rPr>
          <w:rFonts w:ascii="Times New Roman" w:hAnsi="Times New Roman" w:cs="Times New Roman"/>
          <w:sz w:val="24"/>
          <w:szCs w:val="24"/>
        </w:rPr>
        <w:t xml:space="preserve">overly-long </w:t>
      </w:r>
      <w:r w:rsidR="003A173D">
        <w:rPr>
          <w:rFonts w:ascii="Times New Roman" w:hAnsi="Times New Roman" w:cs="Times New Roman"/>
          <w:sz w:val="24"/>
          <w:szCs w:val="24"/>
        </w:rPr>
        <w:t xml:space="preserve">and </w:t>
      </w:r>
      <w:r w:rsidRPr="009C1026">
        <w:rPr>
          <w:rFonts w:ascii="Times New Roman" w:hAnsi="Times New Roman" w:cs="Times New Roman"/>
          <w:sz w:val="24"/>
          <w:szCs w:val="24"/>
        </w:rPr>
        <w:t xml:space="preserve">difficult to understand. Evidence suggests that only 4-5% of consumers read a contract in full before signing, and they may therefore not even be aware of agreeing to automatic renewal (Hillman, 2006). To terminate a service </w:t>
      </w:r>
      <w:r w:rsidR="00E440E5">
        <w:rPr>
          <w:rFonts w:ascii="Times New Roman" w:hAnsi="Times New Roman" w:cs="Times New Roman"/>
          <w:sz w:val="24"/>
          <w:szCs w:val="24"/>
        </w:rPr>
        <w:t>contract</w:t>
      </w:r>
      <w:r w:rsidRPr="009C1026">
        <w:rPr>
          <w:rFonts w:ascii="Times New Roman" w:hAnsi="Times New Roman" w:cs="Times New Roman"/>
          <w:sz w:val="24"/>
          <w:szCs w:val="24"/>
        </w:rPr>
        <w:t>, consumers usually have to give a specified period of notice</w:t>
      </w:r>
      <w:r w:rsidR="00991210">
        <w:rPr>
          <w:rFonts w:ascii="Times New Roman" w:hAnsi="Times New Roman" w:cs="Times New Roman"/>
          <w:sz w:val="24"/>
          <w:szCs w:val="24"/>
        </w:rPr>
        <w:t>,</w:t>
      </w:r>
      <w:r w:rsidRPr="009C1026">
        <w:rPr>
          <w:rFonts w:ascii="Times New Roman" w:hAnsi="Times New Roman" w:cs="Times New Roman"/>
          <w:sz w:val="24"/>
          <w:szCs w:val="24"/>
        </w:rPr>
        <w:t xml:space="preserve"> using an approved communication</w:t>
      </w:r>
      <w:r w:rsidR="000A114D">
        <w:rPr>
          <w:rFonts w:ascii="Times New Roman" w:hAnsi="Times New Roman" w:cs="Times New Roman"/>
          <w:sz w:val="24"/>
          <w:szCs w:val="24"/>
        </w:rPr>
        <w:t xml:space="preserve"> method</w:t>
      </w:r>
      <w:r w:rsidRPr="009C1026">
        <w:rPr>
          <w:rFonts w:ascii="Times New Roman" w:hAnsi="Times New Roman" w:cs="Times New Roman"/>
          <w:sz w:val="24"/>
          <w:szCs w:val="24"/>
        </w:rPr>
        <w:t xml:space="preserve">. Consumers may fail to terminate a </w:t>
      </w:r>
      <w:r w:rsidR="00E440E5">
        <w:rPr>
          <w:rFonts w:ascii="Times New Roman" w:hAnsi="Times New Roman" w:cs="Times New Roman"/>
          <w:sz w:val="24"/>
          <w:szCs w:val="24"/>
        </w:rPr>
        <w:t>contract</w:t>
      </w:r>
      <w:r w:rsidRPr="009C1026">
        <w:rPr>
          <w:rFonts w:ascii="Times New Roman" w:hAnsi="Times New Roman" w:cs="Times New Roman"/>
          <w:sz w:val="24"/>
          <w:szCs w:val="24"/>
        </w:rPr>
        <w:t xml:space="preserve"> when this is actually what they would have liked to do, because they procrastinated or simply forgot to </w:t>
      </w:r>
      <w:r w:rsidR="00B255D1">
        <w:rPr>
          <w:rFonts w:ascii="Times New Roman" w:hAnsi="Times New Roman" w:cs="Times New Roman"/>
          <w:sz w:val="24"/>
          <w:szCs w:val="24"/>
        </w:rPr>
        <w:t xml:space="preserve">decide </w:t>
      </w:r>
      <w:r w:rsidRPr="009C1026">
        <w:rPr>
          <w:rFonts w:ascii="Times New Roman" w:hAnsi="Times New Roman" w:cs="Times New Roman"/>
          <w:sz w:val="24"/>
          <w:szCs w:val="24"/>
        </w:rPr>
        <w:t xml:space="preserve">by the required time (O’Donoghue </w:t>
      </w:r>
      <w:r w:rsidR="00784A37">
        <w:rPr>
          <w:rFonts w:ascii="Times New Roman" w:hAnsi="Times New Roman" w:cs="Times New Roman"/>
          <w:sz w:val="24"/>
          <w:szCs w:val="24"/>
        </w:rPr>
        <w:t>&amp;</w:t>
      </w:r>
      <w:r w:rsidRPr="009C1026">
        <w:rPr>
          <w:rFonts w:ascii="Times New Roman" w:hAnsi="Times New Roman" w:cs="Times New Roman"/>
          <w:sz w:val="24"/>
          <w:szCs w:val="24"/>
        </w:rPr>
        <w:t xml:space="preserve"> Rabin, 2001). Alternatively, consumers may be sent a reminder indicating that unless they give notice to terminate a contract by a specified date, then the </w:t>
      </w:r>
      <w:r w:rsidR="00E440E5">
        <w:rPr>
          <w:rFonts w:ascii="Times New Roman" w:hAnsi="Times New Roman" w:cs="Times New Roman"/>
          <w:sz w:val="24"/>
          <w:szCs w:val="24"/>
        </w:rPr>
        <w:t>contract</w:t>
      </w:r>
      <w:r w:rsidRPr="009C1026">
        <w:rPr>
          <w:rFonts w:ascii="Times New Roman" w:hAnsi="Times New Roman" w:cs="Times New Roman"/>
          <w:sz w:val="24"/>
          <w:szCs w:val="24"/>
        </w:rPr>
        <w:t xml:space="preserve"> will automatically renew.</w:t>
      </w:r>
    </w:p>
    <w:p w14:paraId="54152B11" w14:textId="40EABAF7" w:rsid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Consumers may be inhibited from terminating contracts by deliberately inflating transaction costs (Sovern, 2006). If suitably high, these costs will discourage rational, self-interested, risk-averse and wealth-maximi</w:t>
      </w:r>
      <w:r w:rsidR="00213CB4">
        <w:rPr>
          <w:rFonts w:ascii="Times New Roman" w:hAnsi="Times New Roman" w:cs="Times New Roman"/>
          <w:sz w:val="24"/>
          <w:szCs w:val="24"/>
        </w:rPr>
        <w:t>z</w:t>
      </w:r>
      <w:r w:rsidRPr="009C1026">
        <w:rPr>
          <w:rFonts w:ascii="Times New Roman" w:hAnsi="Times New Roman" w:cs="Times New Roman"/>
          <w:sz w:val="24"/>
          <w:szCs w:val="24"/>
        </w:rPr>
        <w:t xml:space="preserve">ing consumers from canceling their contracts and switching to another supplier. Yet, in practice, consumers do not always act rationally, and sometimes appear to behave in a way that does not optimize their own best interests due to a range of other considerations (Kovač &amp; Vandenberghe, 2015). Thus, this research explores consumers’ propensity to rollover service contracts from a behavioral decision making perspective, specifically examining the role of service loyalty and its underpinning contributors that relate to attitudinal as well as purchasing </w:t>
      </w:r>
      <w:r w:rsidR="00F131C8">
        <w:rPr>
          <w:rFonts w:ascii="Times New Roman" w:hAnsi="Times New Roman" w:cs="Times New Roman"/>
          <w:sz w:val="24"/>
          <w:szCs w:val="24"/>
        </w:rPr>
        <w:t>intentions.</w:t>
      </w:r>
    </w:p>
    <w:p w14:paraId="081362C3" w14:textId="77777777" w:rsidR="00733B5D" w:rsidRDefault="00733B5D" w:rsidP="00733B5D">
      <w:pPr>
        <w:spacing w:after="0" w:line="240" w:lineRule="auto"/>
        <w:ind w:firstLine="360"/>
        <w:jc w:val="both"/>
        <w:rPr>
          <w:rFonts w:ascii="Times New Roman" w:hAnsi="Times New Roman" w:cs="Times New Roman"/>
          <w:sz w:val="24"/>
          <w:szCs w:val="24"/>
        </w:rPr>
      </w:pPr>
    </w:p>
    <w:p w14:paraId="52E2F099" w14:textId="367C39EF" w:rsidR="00AC3C8A" w:rsidRDefault="00C87044" w:rsidP="00733B5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AC3C8A">
        <w:rPr>
          <w:rFonts w:ascii="Times New Roman" w:hAnsi="Times New Roman" w:cs="Times New Roman"/>
          <w:b/>
          <w:bCs/>
          <w:sz w:val="24"/>
          <w:szCs w:val="24"/>
        </w:rPr>
        <w:t>ollover service contracts and service loyalty</w:t>
      </w:r>
    </w:p>
    <w:p w14:paraId="0010A410" w14:textId="46C6C791" w:rsidR="00C96404" w:rsidRPr="00AC3C8A" w:rsidRDefault="009C1026" w:rsidP="00733B5D">
      <w:pPr>
        <w:spacing w:after="0" w:line="240" w:lineRule="auto"/>
        <w:jc w:val="both"/>
        <w:rPr>
          <w:rFonts w:ascii="Times New Roman" w:hAnsi="Times New Roman" w:cs="Times New Roman"/>
          <w:b/>
          <w:bCs/>
          <w:sz w:val="24"/>
          <w:szCs w:val="24"/>
        </w:rPr>
      </w:pPr>
      <w:r w:rsidRPr="009C1026">
        <w:rPr>
          <w:rFonts w:ascii="Times New Roman" w:hAnsi="Times New Roman" w:cs="Times New Roman"/>
          <w:sz w:val="24"/>
          <w:szCs w:val="24"/>
        </w:rPr>
        <w:t xml:space="preserve">A consumer who </w:t>
      </w:r>
      <w:r w:rsidR="008E3D79">
        <w:rPr>
          <w:rFonts w:ascii="Times New Roman" w:hAnsi="Times New Roman" w:cs="Times New Roman"/>
          <w:sz w:val="24"/>
          <w:szCs w:val="24"/>
        </w:rPr>
        <w:t xml:space="preserve">enters into a </w:t>
      </w:r>
      <w:r w:rsidR="001802E9">
        <w:rPr>
          <w:rFonts w:ascii="Times New Roman" w:hAnsi="Times New Roman" w:cs="Times New Roman"/>
          <w:sz w:val="24"/>
          <w:szCs w:val="24"/>
        </w:rPr>
        <w:t>RSC</w:t>
      </w:r>
      <w:r w:rsidR="008E3D79">
        <w:rPr>
          <w:rFonts w:ascii="Times New Roman" w:hAnsi="Times New Roman" w:cs="Times New Roman"/>
          <w:sz w:val="24"/>
          <w:szCs w:val="24"/>
        </w:rPr>
        <w:t xml:space="preserve"> </w:t>
      </w:r>
      <w:r w:rsidRPr="009C1026">
        <w:rPr>
          <w:rFonts w:ascii="Times New Roman" w:hAnsi="Times New Roman" w:cs="Times New Roman"/>
          <w:sz w:val="24"/>
          <w:szCs w:val="24"/>
        </w:rPr>
        <w:t>signals to the service provider their commitment to remain loyal</w:t>
      </w:r>
      <w:r w:rsidR="00784A37">
        <w:rPr>
          <w:rFonts w:ascii="Times New Roman" w:hAnsi="Times New Roman" w:cs="Times New Roman"/>
          <w:sz w:val="24"/>
          <w:szCs w:val="24"/>
        </w:rPr>
        <w:t xml:space="preserve"> in the future</w:t>
      </w:r>
      <w:r w:rsidRPr="009C1026">
        <w:rPr>
          <w:rFonts w:ascii="Times New Roman" w:hAnsi="Times New Roman" w:cs="Times New Roman"/>
          <w:sz w:val="24"/>
          <w:szCs w:val="24"/>
        </w:rPr>
        <w:t xml:space="preserve">. A small proportion of such consumers may intend to terminate the contract before it renews, but in practice, the majority of consumers allow their contract to rollover. Thus, the research presented here is grounded in repeat purchase behavior and the service loyalty literature. Although loyalty can be regarded as a complex, multi-faceted phenomenon, </w:t>
      </w:r>
      <w:r w:rsidR="000B7689" w:rsidRPr="000B7689">
        <w:rPr>
          <w:rFonts w:ascii="Times New Roman" w:hAnsi="Times New Roman" w:cs="Times New Roman"/>
          <w:sz w:val="24"/>
          <w:szCs w:val="24"/>
        </w:rPr>
        <w:t xml:space="preserve">Han, Kwortnik &amp; Wang </w:t>
      </w:r>
      <w:r w:rsidRPr="009C1026">
        <w:rPr>
          <w:rFonts w:ascii="Times New Roman" w:hAnsi="Times New Roman" w:cs="Times New Roman"/>
          <w:sz w:val="24"/>
          <w:szCs w:val="24"/>
        </w:rPr>
        <w:t>(2008) establish that it is the result of a dynamic learning and decision process, with a range of factors contributing to attitudinal and behavioral responses. Essentially, they perceive service loyalty as a composite construct with behavioral loyalty emanating from a sequence of effects associated with attitude formation.</w:t>
      </w:r>
      <w:r w:rsidR="007F1BCC">
        <w:rPr>
          <w:rFonts w:ascii="Times New Roman" w:hAnsi="Times New Roman" w:cs="Times New Roman"/>
          <w:sz w:val="24"/>
          <w:szCs w:val="24"/>
        </w:rPr>
        <w:t xml:space="preserve"> </w:t>
      </w:r>
      <w:r w:rsidRPr="009C1026">
        <w:rPr>
          <w:rFonts w:ascii="Times New Roman" w:hAnsi="Times New Roman" w:cs="Times New Roman"/>
          <w:sz w:val="24"/>
          <w:szCs w:val="24"/>
        </w:rPr>
        <w:t xml:space="preserve">Further, Jones and Taylor (2007) identify that loyalty is related to the psychological connection </w:t>
      </w:r>
      <w:r w:rsidR="00BB0653">
        <w:rPr>
          <w:rFonts w:ascii="Times New Roman" w:hAnsi="Times New Roman" w:cs="Times New Roman"/>
          <w:sz w:val="24"/>
          <w:szCs w:val="24"/>
        </w:rPr>
        <w:t>between the consumer and the</w:t>
      </w:r>
      <w:r w:rsidRPr="009C1026">
        <w:rPr>
          <w:rFonts w:ascii="Times New Roman" w:hAnsi="Times New Roman" w:cs="Times New Roman"/>
          <w:sz w:val="24"/>
          <w:szCs w:val="24"/>
        </w:rPr>
        <w:t xml:space="preserve"> provider, </w:t>
      </w:r>
      <w:r w:rsidR="00FA2FA3">
        <w:rPr>
          <w:rFonts w:ascii="Times New Roman" w:hAnsi="Times New Roman" w:cs="Times New Roman"/>
          <w:sz w:val="24"/>
          <w:szCs w:val="24"/>
        </w:rPr>
        <w:t>which is</w:t>
      </w:r>
      <w:r w:rsidRPr="009C1026">
        <w:rPr>
          <w:rFonts w:ascii="Times New Roman" w:hAnsi="Times New Roman" w:cs="Times New Roman"/>
          <w:sz w:val="24"/>
          <w:szCs w:val="24"/>
        </w:rPr>
        <w:t xml:space="preserve"> manifested both attitudinally and behaviorally. </w:t>
      </w:r>
      <w:r w:rsidR="00746CA7">
        <w:rPr>
          <w:rFonts w:ascii="Times New Roman" w:hAnsi="Times New Roman" w:cs="Times New Roman"/>
          <w:sz w:val="24"/>
          <w:szCs w:val="24"/>
        </w:rPr>
        <w:t>Therefore</w:t>
      </w:r>
      <w:r w:rsidRPr="009C1026">
        <w:rPr>
          <w:rFonts w:ascii="Times New Roman" w:hAnsi="Times New Roman" w:cs="Times New Roman"/>
          <w:sz w:val="24"/>
          <w:szCs w:val="24"/>
        </w:rPr>
        <w:t xml:space="preserve">, it is important to view service loyalty as more than a simple outcome variable measured by repeat purchase behavior (Cronin &amp; Taylor, 1992), and conceive it in a more holistic way that also recognizes the significance of the affective attitudinal aspect of the </w:t>
      </w:r>
      <w:r w:rsidR="000464B0">
        <w:rPr>
          <w:rFonts w:ascii="Times New Roman" w:hAnsi="Times New Roman" w:cs="Times New Roman"/>
          <w:sz w:val="24"/>
          <w:szCs w:val="24"/>
        </w:rPr>
        <w:t xml:space="preserve">dyadic affiliations of </w:t>
      </w:r>
      <w:r w:rsidRPr="009C1026">
        <w:rPr>
          <w:rFonts w:ascii="Times New Roman" w:hAnsi="Times New Roman" w:cs="Times New Roman"/>
          <w:sz w:val="24"/>
          <w:szCs w:val="24"/>
        </w:rPr>
        <w:t>service consumer</w:t>
      </w:r>
      <w:r w:rsidR="00784A37">
        <w:rPr>
          <w:rFonts w:ascii="Times New Roman" w:hAnsi="Times New Roman" w:cs="Times New Roman"/>
          <w:sz w:val="24"/>
          <w:szCs w:val="24"/>
        </w:rPr>
        <w:t>s</w:t>
      </w:r>
      <w:r w:rsidRPr="009C1026">
        <w:rPr>
          <w:rFonts w:ascii="Times New Roman" w:hAnsi="Times New Roman" w:cs="Times New Roman"/>
          <w:sz w:val="24"/>
          <w:szCs w:val="24"/>
        </w:rPr>
        <w:t xml:space="preserve"> and provider</w:t>
      </w:r>
      <w:r w:rsidR="00784A37">
        <w:rPr>
          <w:rFonts w:ascii="Times New Roman" w:hAnsi="Times New Roman" w:cs="Times New Roman"/>
          <w:sz w:val="24"/>
          <w:szCs w:val="24"/>
        </w:rPr>
        <w:t>s</w:t>
      </w:r>
      <w:r w:rsidRPr="009C1026">
        <w:rPr>
          <w:rFonts w:ascii="Times New Roman" w:hAnsi="Times New Roman" w:cs="Times New Roman"/>
          <w:sz w:val="24"/>
          <w:szCs w:val="24"/>
        </w:rPr>
        <w:t xml:space="preserve">, and the potential benefits </w:t>
      </w:r>
      <w:r w:rsidR="004602E1">
        <w:rPr>
          <w:rFonts w:ascii="Times New Roman" w:hAnsi="Times New Roman" w:cs="Times New Roman"/>
          <w:sz w:val="24"/>
          <w:szCs w:val="24"/>
        </w:rPr>
        <w:t>offered to</w:t>
      </w:r>
      <w:r w:rsidRPr="009C1026">
        <w:rPr>
          <w:rFonts w:ascii="Times New Roman" w:hAnsi="Times New Roman" w:cs="Times New Roman"/>
          <w:sz w:val="24"/>
          <w:szCs w:val="24"/>
        </w:rPr>
        <w:t xml:space="preserve"> both parties (Dick &amp; Basu, 1994).</w:t>
      </w:r>
    </w:p>
    <w:p w14:paraId="54F65B39" w14:textId="77777777" w:rsidR="00AD0405"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When purchasing a service, consumers typically consider the extent to which a particular product</w:t>
      </w:r>
      <w:r w:rsidR="007901DD">
        <w:rPr>
          <w:rFonts w:ascii="Times New Roman" w:hAnsi="Times New Roman" w:cs="Times New Roman"/>
          <w:sz w:val="24"/>
          <w:szCs w:val="24"/>
        </w:rPr>
        <w:t xml:space="preserve"> or provider</w:t>
      </w:r>
      <w:r w:rsidRPr="009C1026">
        <w:rPr>
          <w:rFonts w:ascii="Times New Roman" w:hAnsi="Times New Roman" w:cs="Times New Roman"/>
          <w:sz w:val="24"/>
          <w:szCs w:val="24"/>
        </w:rPr>
        <w:t xml:space="preserve"> will satisfy their personal needs. However, consumers’ purchasing decisions are </w:t>
      </w:r>
      <w:r w:rsidR="002A762D">
        <w:rPr>
          <w:rFonts w:ascii="Times New Roman" w:hAnsi="Times New Roman" w:cs="Times New Roman"/>
          <w:sz w:val="24"/>
          <w:szCs w:val="24"/>
        </w:rPr>
        <w:t>often</w:t>
      </w:r>
      <w:r w:rsidRPr="009C1026">
        <w:rPr>
          <w:rFonts w:ascii="Times New Roman" w:hAnsi="Times New Roman" w:cs="Times New Roman"/>
          <w:sz w:val="24"/>
          <w:szCs w:val="24"/>
        </w:rPr>
        <w:t xml:space="preserve"> influenced by price and quality more than any other factors (Wilkins &amp; Ireland, 2020). An individual’s perception of the trade-off between price and quality determines the perceived value to the individual. When purchasing services, consumers are often concerned with reliability and dependability as aspects of quality (Saroha &amp; Diwan, 2020). The intangibility of services presents risks and uncertainties for consumers, and as a result, individuals often consider price and reputation as indicators of product quality (Wirtz &amp; Lovelock, 2016). Compared to fast moving consumer goods, many services have higher monetary value and longer</w:t>
      </w:r>
      <w:r w:rsidR="00C959B0">
        <w:rPr>
          <w:rFonts w:ascii="Times New Roman" w:hAnsi="Times New Roman" w:cs="Times New Roman"/>
          <w:sz w:val="24"/>
          <w:szCs w:val="24"/>
        </w:rPr>
        <w:t>-</w:t>
      </w:r>
      <w:r w:rsidRPr="009C1026">
        <w:rPr>
          <w:rFonts w:ascii="Times New Roman" w:hAnsi="Times New Roman" w:cs="Times New Roman"/>
          <w:sz w:val="24"/>
          <w:szCs w:val="24"/>
        </w:rPr>
        <w:t xml:space="preserve">term consequences. </w:t>
      </w:r>
    </w:p>
    <w:p w14:paraId="290989D3" w14:textId="6CA15D53" w:rsid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When a service is delivered over an extended period of time, a service </w:t>
      </w:r>
      <w:r w:rsidR="00E440E5">
        <w:rPr>
          <w:rFonts w:ascii="Times New Roman" w:hAnsi="Times New Roman" w:cs="Times New Roman"/>
          <w:sz w:val="24"/>
          <w:szCs w:val="24"/>
        </w:rPr>
        <w:t>contract</w:t>
      </w:r>
      <w:r w:rsidRPr="009C1026">
        <w:rPr>
          <w:rFonts w:ascii="Times New Roman" w:hAnsi="Times New Roman" w:cs="Times New Roman"/>
          <w:sz w:val="24"/>
          <w:szCs w:val="24"/>
        </w:rPr>
        <w:t xml:space="preserve"> </w:t>
      </w:r>
      <w:r w:rsidR="00381E40">
        <w:rPr>
          <w:rFonts w:ascii="Times New Roman" w:hAnsi="Times New Roman" w:cs="Times New Roman"/>
          <w:sz w:val="24"/>
          <w:szCs w:val="24"/>
        </w:rPr>
        <w:t>usually</w:t>
      </w:r>
      <w:r w:rsidRPr="009C1026">
        <w:rPr>
          <w:rFonts w:ascii="Times New Roman" w:hAnsi="Times New Roman" w:cs="Times New Roman"/>
          <w:sz w:val="24"/>
          <w:szCs w:val="24"/>
        </w:rPr>
        <w:t xml:space="preserve"> exist</w:t>
      </w:r>
      <w:r w:rsidR="00381E40">
        <w:rPr>
          <w:rFonts w:ascii="Times New Roman" w:hAnsi="Times New Roman" w:cs="Times New Roman"/>
          <w:sz w:val="24"/>
          <w:szCs w:val="24"/>
        </w:rPr>
        <w:t>s</w:t>
      </w:r>
      <w:r w:rsidRPr="009C1026">
        <w:rPr>
          <w:rFonts w:ascii="Times New Roman" w:hAnsi="Times New Roman" w:cs="Times New Roman"/>
          <w:sz w:val="24"/>
          <w:szCs w:val="24"/>
        </w:rPr>
        <w:t xml:space="preserve"> between the </w:t>
      </w:r>
      <w:r w:rsidR="00381E40">
        <w:rPr>
          <w:rFonts w:ascii="Times New Roman" w:hAnsi="Times New Roman" w:cs="Times New Roman"/>
          <w:sz w:val="24"/>
          <w:szCs w:val="24"/>
        </w:rPr>
        <w:t>provider</w:t>
      </w:r>
      <w:r w:rsidRPr="009C1026">
        <w:rPr>
          <w:rFonts w:ascii="Times New Roman" w:hAnsi="Times New Roman" w:cs="Times New Roman"/>
          <w:sz w:val="24"/>
          <w:szCs w:val="24"/>
        </w:rPr>
        <w:t xml:space="preserve"> and consumer</w:t>
      </w:r>
      <w:r w:rsidR="00D426F9">
        <w:rPr>
          <w:rFonts w:ascii="Times New Roman" w:hAnsi="Times New Roman" w:cs="Times New Roman"/>
          <w:sz w:val="24"/>
          <w:szCs w:val="24"/>
        </w:rPr>
        <w:t xml:space="preserve">, and </w:t>
      </w:r>
      <w:r w:rsidR="0095110A">
        <w:rPr>
          <w:rFonts w:ascii="Times New Roman" w:hAnsi="Times New Roman" w:cs="Times New Roman"/>
          <w:sz w:val="24"/>
          <w:szCs w:val="24"/>
        </w:rPr>
        <w:t xml:space="preserve">consumers </w:t>
      </w:r>
      <w:r w:rsidR="00D353C2">
        <w:rPr>
          <w:rFonts w:ascii="Times New Roman" w:hAnsi="Times New Roman" w:cs="Times New Roman"/>
          <w:sz w:val="24"/>
          <w:szCs w:val="24"/>
        </w:rPr>
        <w:t xml:space="preserve">are </w:t>
      </w:r>
      <w:r w:rsidRPr="009C1026">
        <w:rPr>
          <w:rFonts w:ascii="Times New Roman" w:hAnsi="Times New Roman" w:cs="Times New Roman"/>
          <w:sz w:val="24"/>
          <w:szCs w:val="24"/>
        </w:rPr>
        <w:t>likely</w:t>
      </w:r>
      <w:r w:rsidR="0095110A">
        <w:rPr>
          <w:rFonts w:ascii="Times New Roman" w:hAnsi="Times New Roman" w:cs="Times New Roman"/>
          <w:sz w:val="24"/>
          <w:szCs w:val="24"/>
        </w:rPr>
        <w:t xml:space="preserve"> to be more</w:t>
      </w:r>
      <w:r w:rsidRPr="009C1026">
        <w:rPr>
          <w:rFonts w:ascii="Times New Roman" w:hAnsi="Times New Roman" w:cs="Times New Roman"/>
          <w:sz w:val="24"/>
          <w:szCs w:val="24"/>
        </w:rPr>
        <w:t xml:space="preserve"> comfortable signing service </w:t>
      </w:r>
      <w:r w:rsidR="00E440E5">
        <w:rPr>
          <w:rFonts w:ascii="Times New Roman" w:hAnsi="Times New Roman" w:cs="Times New Roman"/>
          <w:sz w:val="24"/>
          <w:szCs w:val="24"/>
        </w:rPr>
        <w:t>contract</w:t>
      </w:r>
      <w:r w:rsidRPr="009C1026">
        <w:rPr>
          <w:rFonts w:ascii="Times New Roman" w:hAnsi="Times New Roman" w:cs="Times New Roman"/>
          <w:sz w:val="24"/>
          <w:szCs w:val="24"/>
        </w:rPr>
        <w:t xml:space="preserve">s only with </w:t>
      </w:r>
      <w:r w:rsidR="00381E40">
        <w:rPr>
          <w:rFonts w:ascii="Times New Roman" w:hAnsi="Times New Roman" w:cs="Times New Roman"/>
          <w:sz w:val="24"/>
          <w:szCs w:val="24"/>
        </w:rPr>
        <w:t>providers</w:t>
      </w:r>
      <w:r w:rsidRPr="009C1026">
        <w:rPr>
          <w:rFonts w:ascii="Times New Roman" w:hAnsi="Times New Roman" w:cs="Times New Roman"/>
          <w:sz w:val="24"/>
          <w:szCs w:val="24"/>
        </w:rPr>
        <w:t xml:space="preserve"> that they trust. The risks and uncertainties associated with credence services – which have qualities that consumers may be unable to observe or assess even after purchase – encourage consumers to seek information for product evaluation from a greater number of sources (Chocarro, Cortinas, &amp; Villanueva, 2021). Services often have a high time cost for consumers, in terms of information searching, complex purchase transaction processes, and switching barriers. For time poor consumers, or individuals that are sensitive to time use, convenience may be an important influence in their decision making. </w:t>
      </w:r>
      <w:r w:rsidR="00D55032">
        <w:rPr>
          <w:rFonts w:ascii="Times New Roman" w:hAnsi="Times New Roman" w:cs="Times New Roman"/>
          <w:sz w:val="24"/>
          <w:szCs w:val="24"/>
        </w:rPr>
        <w:t>So</w:t>
      </w:r>
      <w:r w:rsidR="000E44A6">
        <w:rPr>
          <w:rFonts w:ascii="Times New Roman" w:hAnsi="Times New Roman" w:cs="Times New Roman"/>
          <w:sz w:val="24"/>
          <w:szCs w:val="24"/>
        </w:rPr>
        <w:t>,</w:t>
      </w:r>
      <w:r w:rsidRPr="009C1026">
        <w:rPr>
          <w:rFonts w:ascii="Times New Roman" w:hAnsi="Times New Roman" w:cs="Times New Roman"/>
          <w:sz w:val="24"/>
          <w:szCs w:val="24"/>
        </w:rPr>
        <w:t xml:space="preserve"> in the context of services that are delivered over time, perceived value, reputation</w:t>
      </w:r>
      <w:r w:rsidR="00AA260F">
        <w:rPr>
          <w:rFonts w:ascii="Times New Roman" w:hAnsi="Times New Roman" w:cs="Times New Roman"/>
          <w:sz w:val="24"/>
          <w:szCs w:val="24"/>
        </w:rPr>
        <w:t xml:space="preserve">, </w:t>
      </w:r>
      <w:r w:rsidRPr="009C1026">
        <w:rPr>
          <w:rFonts w:ascii="Times New Roman" w:hAnsi="Times New Roman" w:cs="Times New Roman"/>
          <w:sz w:val="24"/>
          <w:szCs w:val="24"/>
        </w:rPr>
        <w:t>trust</w:t>
      </w:r>
      <w:r w:rsidR="00F7798B">
        <w:rPr>
          <w:rFonts w:ascii="Times New Roman" w:hAnsi="Times New Roman" w:cs="Times New Roman"/>
          <w:sz w:val="24"/>
          <w:szCs w:val="24"/>
        </w:rPr>
        <w:t>,</w:t>
      </w:r>
      <w:r w:rsidRPr="009C1026">
        <w:rPr>
          <w:rFonts w:ascii="Times New Roman" w:hAnsi="Times New Roman" w:cs="Times New Roman"/>
          <w:sz w:val="24"/>
          <w:szCs w:val="24"/>
        </w:rPr>
        <w:t xml:space="preserve"> and convenience </w:t>
      </w:r>
      <w:r w:rsidR="007F1BCC">
        <w:rPr>
          <w:rFonts w:ascii="Times New Roman" w:hAnsi="Times New Roman" w:cs="Times New Roman"/>
          <w:sz w:val="24"/>
          <w:szCs w:val="24"/>
        </w:rPr>
        <w:t xml:space="preserve">have been identified </w:t>
      </w:r>
      <w:r w:rsidRPr="009C1026">
        <w:rPr>
          <w:rFonts w:ascii="Times New Roman" w:hAnsi="Times New Roman" w:cs="Times New Roman"/>
          <w:sz w:val="24"/>
          <w:szCs w:val="24"/>
        </w:rPr>
        <w:t xml:space="preserve">as key determinants in consumers’ services purchasing decisions. </w:t>
      </w:r>
    </w:p>
    <w:p w14:paraId="1CF656BD" w14:textId="77777777" w:rsidR="00733B5D" w:rsidRDefault="00733B5D" w:rsidP="00733B5D">
      <w:pPr>
        <w:spacing w:after="0" w:line="240" w:lineRule="auto"/>
        <w:ind w:firstLine="360"/>
        <w:jc w:val="both"/>
        <w:rPr>
          <w:rFonts w:ascii="Times New Roman" w:hAnsi="Times New Roman" w:cs="Times New Roman"/>
          <w:sz w:val="24"/>
          <w:szCs w:val="24"/>
        </w:rPr>
      </w:pPr>
    </w:p>
    <w:p w14:paraId="2E7EA4DC" w14:textId="77777777" w:rsidR="00AC3C8A" w:rsidRDefault="00AC3C8A" w:rsidP="00733B5D">
      <w:pPr>
        <w:spacing w:line="240" w:lineRule="auto"/>
        <w:jc w:val="both"/>
        <w:rPr>
          <w:rFonts w:ascii="Times New Roman" w:hAnsi="Times New Roman" w:cs="Times New Roman"/>
          <w:b/>
          <w:bCs/>
          <w:i/>
          <w:iCs/>
          <w:sz w:val="24"/>
          <w:szCs w:val="24"/>
        </w:rPr>
      </w:pPr>
      <w:r w:rsidRPr="00AC3C8A">
        <w:rPr>
          <w:rFonts w:ascii="Times New Roman" w:hAnsi="Times New Roman" w:cs="Times New Roman"/>
          <w:b/>
          <w:bCs/>
          <w:i/>
          <w:iCs/>
          <w:sz w:val="24"/>
          <w:szCs w:val="24"/>
        </w:rPr>
        <w:t>Perceived value</w:t>
      </w:r>
    </w:p>
    <w:p w14:paraId="7052291D" w14:textId="7604BAC9" w:rsidR="00D0034F" w:rsidRPr="00AC3C8A" w:rsidRDefault="009C1026" w:rsidP="00733B5D">
      <w:pPr>
        <w:spacing w:after="0" w:line="240" w:lineRule="auto"/>
        <w:jc w:val="both"/>
        <w:rPr>
          <w:rFonts w:ascii="Times New Roman" w:hAnsi="Times New Roman" w:cs="Times New Roman"/>
          <w:b/>
          <w:bCs/>
          <w:i/>
          <w:iCs/>
          <w:sz w:val="24"/>
          <w:szCs w:val="24"/>
        </w:rPr>
      </w:pPr>
      <w:r w:rsidRPr="009C1026">
        <w:rPr>
          <w:rFonts w:ascii="Times New Roman" w:hAnsi="Times New Roman" w:cs="Times New Roman"/>
          <w:sz w:val="24"/>
          <w:szCs w:val="24"/>
        </w:rPr>
        <w:t xml:space="preserve">Price is typically perceived by consumers as a cost, and for the price they pay, consumers expect benefits which deliver value (Lee &amp; Cunningham, 2001). Price and value are particularly influential in services marketing because transaction and switching costs are often high and/or noticed by consumers (Tanford, Raab, &amp; Kim, 2011); consumers expect price discounts as a reward for their loyalty (Wieseke et al., 2014); and loyalty schemes employed by service providers, actually cause consumers to place more importance on price and less importance on rewards and convenience (Umashankar, Bhagwat, &amp; Kumar, 2017). Most consumers consider price in relation to perceived quality (Chiang &amp; Jang, 2006), with the relationship between price and quality determining perceived value. A consumer will perceive that a product delivers value if they obtain the service that they require at a price that they consider </w:t>
      </w:r>
      <w:r w:rsidR="00CE14E1">
        <w:rPr>
          <w:rFonts w:ascii="Times New Roman" w:hAnsi="Times New Roman" w:cs="Times New Roman"/>
          <w:sz w:val="24"/>
          <w:szCs w:val="24"/>
        </w:rPr>
        <w:t>acceptable</w:t>
      </w:r>
      <w:r w:rsidRPr="009C1026">
        <w:rPr>
          <w:rFonts w:ascii="Times New Roman" w:hAnsi="Times New Roman" w:cs="Times New Roman"/>
          <w:sz w:val="24"/>
          <w:szCs w:val="24"/>
        </w:rPr>
        <w:t>, and value may be regarded as ‘getting what you paid for’ (Sirohi, McLaughlin, &amp; Wittink, 1998).</w:t>
      </w:r>
    </w:p>
    <w:p w14:paraId="01EB3B78" w14:textId="546E2868" w:rsidR="009C1026" w:rsidRPr="00D0034F" w:rsidRDefault="00746BD2" w:rsidP="00733B5D">
      <w:pPr>
        <w:spacing w:line="240" w:lineRule="auto"/>
        <w:ind w:firstLine="360"/>
        <w:jc w:val="both"/>
        <w:rPr>
          <w:rFonts w:ascii="Times New Roman" w:hAnsi="Times New Roman" w:cs="Times New Roman"/>
          <w:i/>
          <w:iCs/>
          <w:sz w:val="24"/>
          <w:szCs w:val="24"/>
        </w:rPr>
      </w:pPr>
      <w:r>
        <w:rPr>
          <w:rFonts w:ascii="Times New Roman" w:hAnsi="Times New Roman" w:cs="Times New Roman"/>
          <w:sz w:val="24"/>
          <w:szCs w:val="24"/>
        </w:rPr>
        <w:t>Certainty</w:t>
      </w:r>
      <w:r w:rsidR="009C1026" w:rsidRPr="009C1026">
        <w:rPr>
          <w:rFonts w:ascii="Times New Roman" w:hAnsi="Times New Roman" w:cs="Times New Roman"/>
          <w:sz w:val="24"/>
          <w:szCs w:val="24"/>
        </w:rPr>
        <w:t xml:space="preserve"> in a transaction with a service supplier increases aversion of losses and the desirability of gains</w:t>
      </w:r>
      <w:r w:rsidR="00E72151">
        <w:rPr>
          <w:rFonts w:ascii="Times New Roman" w:hAnsi="Times New Roman" w:cs="Times New Roman"/>
          <w:sz w:val="24"/>
          <w:szCs w:val="24"/>
        </w:rPr>
        <w:t>,</w:t>
      </w:r>
      <w:r>
        <w:rPr>
          <w:rFonts w:ascii="Times New Roman" w:hAnsi="Times New Roman" w:cs="Times New Roman"/>
          <w:sz w:val="24"/>
          <w:szCs w:val="24"/>
        </w:rPr>
        <w:t xml:space="preserve"> leading </w:t>
      </w:r>
      <w:r w:rsidR="009C1026" w:rsidRPr="009C1026">
        <w:rPr>
          <w:rFonts w:ascii="Times New Roman" w:hAnsi="Times New Roman" w:cs="Times New Roman"/>
          <w:sz w:val="24"/>
          <w:szCs w:val="24"/>
        </w:rPr>
        <w:t xml:space="preserve">repeat consumers </w:t>
      </w:r>
      <w:r>
        <w:rPr>
          <w:rFonts w:ascii="Times New Roman" w:hAnsi="Times New Roman" w:cs="Times New Roman"/>
          <w:sz w:val="24"/>
          <w:szCs w:val="24"/>
        </w:rPr>
        <w:t>to</w:t>
      </w:r>
      <w:r w:rsidR="009C1026" w:rsidRPr="009C1026">
        <w:rPr>
          <w:rFonts w:ascii="Times New Roman" w:hAnsi="Times New Roman" w:cs="Times New Roman"/>
          <w:sz w:val="24"/>
          <w:szCs w:val="24"/>
        </w:rPr>
        <w:t xml:space="preserve"> </w:t>
      </w:r>
      <w:r w:rsidR="00690174">
        <w:rPr>
          <w:rFonts w:ascii="Times New Roman" w:hAnsi="Times New Roman" w:cs="Times New Roman"/>
          <w:sz w:val="24"/>
          <w:szCs w:val="24"/>
        </w:rPr>
        <w:t>seek</w:t>
      </w:r>
      <w:r w:rsidR="009C1026" w:rsidRPr="009C1026">
        <w:rPr>
          <w:rFonts w:ascii="Times New Roman" w:hAnsi="Times New Roman" w:cs="Times New Roman"/>
          <w:sz w:val="24"/>
          <w:szCs w:val="24"/>
        </w:rPr>
        <w:t xml:space="preserve"> </w:t>
      </w:r>
      <w:r w:rsidR="005624B5">
        <w:rPr>
          <w:rFonts w:ascii="Times New Roman" w:hAnsi="Times New Roman" w:cs="Times New Roman"/>
          <w:sz w:val="24"/>
          <w:szCs w:val="24"/>
        </w:rPr>
        <w:t>benefits</w:t>
      </w:r>
      <w:r w:rsidR="00E72151">
        <w:rPr>
          <w:rFonts w:ascii="Times New Roman" w:hAnsi="Times New Roman" w:cs="Times New Roman"/>
          <w:sz w:val="24"/>
          <w:szCs w:val="24"/>
        </w:rPr>
        <w:t>,</w:t>
      </w:r>
      <w:r w:rsidR="009C1026" w:rsidRPr="009C1026">
        <w:rPr>
          <w:rFonts w:ascii="Times New Roman" w:hAnsi="Times New Roman" w:cs="Times New Roman"/>
          <w:sz w:val="24"/>
          <w:szCs w:val="24"/>
        </w:rPr>
        <w:t xml:space="preserve"> such as </w:t>
      </w:r>
      <w:r w:rsidR="00690174">
        <w:rPr>
          <w:rFonts w:ascii="Times New Roman" w:hAnsi="Times New Roman" w:cs="Times New Roman"/>
          <w:sz w:val="24"/>
          <w:szCs w:val="24"/>
        </w:rPr>
        <w:t>lower</w:t>
      </w:r>
      <w:r w:rsidR="009C1026" w:rsidRPr="009C1026">
        <w:rPr>
          <w:rFonts w:ascii="Times New Roman" w:hAnsi="Times New Roman" w:cs="Times New Roman"/>
          <w:sz w:val="24"/>
          <w:szCs w:val="24"/>
        </w:rPr>
        <w:t xml:space="preserve"> price</w:t>
      </w:r>
      <w:r w:rsidR="005624B5">
        <w:rPr>
          <w:rFonts w:ascii="Times New Roman" w:hAnsi="Times New Roman" w:cs="Times New Roman"/>
          <w:sz w:val="24"/>
          <w:szCs w:val="24"/>
        </w:rPr>
        <w:t>s</w:t>
      </w:r>
      <w:r w:rsidR="009C1026" w:rsidRPr="009C1026">
        <w:rPr>
          <w:rFonts w:ascii="Times New Roman" w:hAnsi="Times New Roman" w:cs="Times New Roman"/>
          <w:sz w:val="24"/>
          <w:szCs w:val="24"/>
        </w:rPr>
        <w:t xml:space="preserve"> than </w:t>
      </w:r>
      <w:r w:rsidR="00690174">
        <w:rPr>
          <w:rFonts w:ascii="Times New Roman" w:hAnsi="Times New Roman" w:cs="Times New Roman"/>
          <w:sz w:val="24"/>
          <w:szCs w:val="24"/>
        </w:rPr>
        <w:t>th</w:t>
      </w:r>
      <w:r w:rsidR="008A6F36">
        <w:rPr>
          <w:rFonts w:ascii="Times New Roman" w:hAnsi="Times New Roman" w:cs="Times New Roman"/>
          <w:sz w:val="24"/>
          <w:szCs w:val="24"/>
        </w:rPr>
        <w:t>ose</w:t>
      </w:r>
      <w:r w:rsidR="00690174">
        <w:rPr>
          <w:rFonts w:ascii="Times New Roman" w:hAnsi="Times New Roman" w:cs="Times New Roman"/>
          <w:sz w:val="24"/>
          <w:szCs w:val="24"/>
        </w:rPr>
        <w:t xml:space="preserve"> paid by </w:t>
      </w:r>
      <w:r w:rsidR="009C1026" w:rsidRPr="009C1026">
        <w:rPr>
          <w:rFonts w:ascii="Times New Roman" w:hAnsi="Times New Roman" w:cs="Times New Roman"/>
          <w:sz w:val="24"/>
          <w:szCs w:val="24"/>
        </w:rPr>
        <w:t>new or potential consumers (Kim, Xu, &amp; Gupta, 2012). On the other hand, there are consumers who perceive value in relation to the reduction of time and effort when evaluating alternatives, and these consumers may be prepared, either consciously or unconsciously, to pay a higher price. We therefore hypothesize that:</w:t>
      </w:r>
    </w:p>
    <w:p w14:paraId="385517DA" w14:textId="2A65812B" w:rsidR="009C1026" w:rsidRPr="00EA03E0" w:rsidRDefault="009C1026" w:rsidP="000164D8">
      <w:pPr>
        <w:spacing w:after="0" w:line="240" w:lineRule="auto"/>
        <w:ind w:left="540" w:hanging="180"/>
        <w:jc w:val="both"/>
        <w:rPr>
          <w:rFonts w:ascii="Times New Roman" w:hAnsi="Times New Roman" w:cs="Times New Roman"/>
          <w:i/>
          <w:iCs/>
          <w:sz w:val="24"/>
          <w:szCs w:val="24"/>
        </w:rPr>
      </w:pPr>
      <w:r w:rsidRPr="00EA03E0">
        <w:rPr>
          <w:rFonts w:ascii="Times New Roman" w:hAnsi="Times New Roman" w:cs="Times New Roman"/>
          <w:i/>
          <w:iCs/>
          <w:sz w:val="24"/>
          <w:szCs w:val="24"/>
        </w:rPr>
        <w:t xml:space="preserve">H1. Perceived value is positively associated with consumers’ propensity </w:t>
      </w:r>
      <w:r w:rsidR="00A207D6" w:rsidRPr="00EA03E0">
        <w:rPr>
          <w:rFonts w:ascii="Times New Roman" w:hAnsi="Times New Roman" w:cs="Times New Roman"/>
          <w:i/>
          <w:iCs/>
          <w:sz w:val="24"/>
          <w:szCs w:val="24"/>
        </w:rPr>
        <w:t xml:space="preserve">for </w:t>
      </w:r>
      <w:r w:rsidR="001802E9">
        <w:rPr>
          <w:rFonts w:ascii="Times New Roman" w:hAnsi="Times New Roman" w:cs="Times New Roman"/>
          <w:i/>
          <w:iCs/>
          <w:sz w:val="24"/>
          <w:szCs w:val="24"/>
        </w:rPr>
        <w:t>RSC</w:t>
      </w:r>
      <w:r w:rsidR="00A207D6" w:rsidRPr="00EA03E0">
        <w:rPr>
          <w:rFonts w:ascii="Times New Roman" w:hAnsi="Times New Roman" w:cs="Times New Roman"/>
          <w:i/>
          <w:iCs/>
          <w:sz w:val="24"/>
          <w:szCs w:val="24"/>
        </w:rPr>
        <w:t>s</w:t>
      </w:r>
    </w:p>
    <w:p w14:paraId="2CDAF9B8" w14:textId="77777777" w:rsidR="00733B5D" w:rsidRDefault="00733B5D" w:rsidP="00733B5D">
      <w:pPr>
        <w:spacing w:line="240" w:lineRule="auto"/>
        <w:jc w:val="both"/>
        <w:rPr>
          <w:rFonts w:ascii="Times New Roman" w:hAnsi="Times New Roman" w:cs="Times New Roman"/>
          <w:sz w:val="24"/>
          <w:szCs w:val="24"/>
        </w:rPr>
      </w:pPr>
    </w:p>
    <w:p w14:paraId="0D3AB599" w14:textId="279C28EE" w:rsidR="00AC3C8A" w:rsidRPr="00AC3C8A" w:rsidRDefault="00AC3C8A" w:rsidP="00733B5D">
      <w:pPr>
        <w:spacing w:line="240" w:lineRule="auto"/>
        <w:jc w:val="both"/>
        <w:rPr>
          <w:rFonts w:ascii="Times New Roman" w:hAnsi="Times New Roman" w:cs="Times New Roman"/>
          <w:i/>
          <w:iCs/>
          <w:sz w:val="24"/>
          <w:szCs w:val="24"/>
        </w:rPr>
      </w:pPr>
      <w:r w:rsidRPr="00AC3C8A">
        <w:rPr>
          <w:rFonts w:ascii="Times New Roman" w:hAnsi="Times New Roman" w:cs="Times New Roman"/>
          <w:b/>
          <w:bCs/>
          <w:i/>
          <w:iCs/>
          <w:sz w:val="24"/>
          <w:szCs w:val="24"/>
        </w:rPr>
        <w:t>Reputation and trust</w:t>
      </w:r>
    </w:p>
    <w:p w14:paraId="01DF596C" w14:textId="3986E3CE" w:rsidR="009C1026" w:rsidRPr="007A4273" w:rsidRDefault="009C1026" w:rsidP="00733B5D">
      <w:pPr>
        <w:spacing w:after="0" w:line="240" w:lineRule="auto"/>
        <w:jc w:val="both"/>
        <w:rPr>
          <w:rFonts w:ascii="Times New Roman" w:hAnsi="Times New Roman" w:cs="Times New Roman"/>
          <w:i/>
          <w:iCs/>
          <w:sz w:val="24"/>
          <w:szCs w:val="24"/>
        </w:rPr>
      </w:pPr>
      <w:r w:rsidRPr="009C1026">
        <w:rPr>
          <w:rFonts w:ascii="Times New Roman" w:hAnsi="Times New Roman" w:cs="Times New Roman"/>
          <w:sz w:val="24"/>
          <w:szCs w:val="24"/>
        </w:rPr>
        <w:t xml:space="preserve">Several studies suggest that a provider’s reputation has a positive effect on consumer loyalty (e.g. </w:t>
      </w:r>
      <w:r w:rsidR="00224BD9">
        <w:rPr>
          <w:rFonts w:ascii="Times New Roman" w:hAnsi="Times New Roman" w:cs="Times New Roman"/>
          <w:sz w:val="24"/>
          <w:szCs w:val="24"/>
        </w:rPr>
        <w:t>Caruana &amp; Ewing</w:t>
      </w:r>
      <w:r w:rsidR="00CA3BE1">
        <w:rPr>
          <w:rFonts w:ascii="Times New Roman" w:hAnsi="Times New Roman" w:cs="Times New Roman"/>
          <w:sz w:val="24"/>
          <w:szCs w:val="24"/>
        </w:rPr>
        <w:t>,</w:t>
      </w:r>
      <w:r w:rsidR="00224BD9">
        <w:rPr>
          <w:rFonts w:ascii="Times New Roman" w:hAnsi="Times New Roman" w:cs="Times New Roman"/>
          <w:sz w:val="24"/>
          <w:szCs w:val="24"/>
        </w:rPr>
        <w:t xml:space="preserve"> 20</w:t>
      </w:r>
      <w:r w:rsidR="00AA0EAB">
        <w:rPr>
          <w:rFonts w:ascii="Times New Roman" w:hAnsi="Times New Roman" w:cs="Times New Roman"/>
          <w:sz w:val="24"/>
          <w:szCs w:val="24"/>
        </w:rPr>
        <w:t>10</w:t>
      </w:r>
      <w:r w:rsidRPr="009C1026">
        <w:rPr>
          <w:rFonts w:ascii="Times New Roman" w:hAnsi="Times New Roman" w:cs="Times New Roman"/>
          <w:sz w:val="24"/>
          <w:szCs w:val="24"/>
        </w:rPr>
        <w:t>). Because services are intangible, reputation is used by consumers to minimize perceived risks and uncertainty. Reputation acts as a powerful extrinsic cue</w:t>
      </w:r>
      <w:r w:rsidR="008A60B6">
        <w:rPr>
          <w:rFonts w:ascii="Times New Roman" w:hAnsi="Times New Roman" w:cs="Times New Roman"/>
          <w:sz w:val="24"/>
          <w:szCs w:val="24"/>
        </w:rPr>
        <w:t>,</w:t>
      </w:r>
      <w:r w:rsidRPr="009C1026">
        <w:rPr>
          <w:rFonts w:ascii="Times New Roman" w:hAnsi="Times New Roman" w:cs="Times New Roman"/>
          <w:sz w:val="24"/>
          <w:szCs w:val="24"/>
        </w:rPr>
        <w:t xml:space="preserve"> as it cannot be easily changed or manipulated, and usually there is wide consensus among consumers about which organizations have strong reputations (Bensebaa, 2004). Reputation may be regarded as the overall evaluations of an organization’s stakeholders over time</w:t>
      </w:r>
      <w:r w:rsidR="007C1C48">
        <w:rPr>
          <w:rFonts w:ascii="Times New Roman" w:hAnsi="Times New Roman" w:cs="Times New Roman"/>
          <w:sz w:val="24"/>
          <w:szCs w:val="24"/>
        </w:rPr>
        <w:t>,</w:t>
      </w:r>
      <w:r w:rsidR="001340F2">
        <w:rPr>
          <w:rFonts w:ascii="Times New Roman" w:hAnsi="Times New Roman" w:cs="Times New Roman"/>
          <w:sz w:val="24"/>
          <w:szCs w:val="24"/>
        </w:rPr>
        <w:t xml:space="preserve"> which are</w:t>
      </w:r>
      <w:r w:rsidRPr="009C1026">
        <w:rPr>
          <w:rFonts w:ascii="Times New Roman" w:hAnsi="Times New Roman" w:cs="Times New Roman"/>
          <w:sz w:val="24"/>
          <w:szCs w:val="24"/>
        </w:rPr>
        <w:t xml:space="preserve"> based on direct experiences, any form of communication </w:t>
      </w:r>
      <w:r w:rsidR="007C1C48">
        <w:rPr>
          <w:rFonts w:ascii="Times New Roman" w:hAnsi="Times New Roman" w:cs="Times New Roman"/>
          <w:sz w:val="24"/>
          <w:szCs w:val="24"/>
        </w:rPr>
        <w:t xml:space="preserve">that </w:t>
      </w:r>
      <w:r w:rsidRPr="009C1026">
        <w:rPr>
          <w:rFonts w:ascii="Times New Roman" w:hAnsi="Times New Roman" w:cs="Times New Roman"/>
          <w:sz w:val="24"/>
          <w:szCs w:val="24"/>
        </w:rPr>
        <w:t>provides information, and comparisons with key competitors (Arbratt &amp; Kleyn, 2012).</w:t>
      </w:r>
    </w:p>
    <w:p w14:paraId="03D680B1" w14:textId="3E72104C" w:rsidR="009C1026" w:rsidRP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Due to the intangibility of services, quality is generally more difficult for consumers to evaluate, and so </w:t>
      </w:r>
      <w:r w:rsidR="005778D7">
        <w:rPr>
          <w:rFonts w:ascii="Times New Roman" w:hAnsi="Times New Roman" w:cs="Times New Roman"/>
          <w:sz w:val="24"/>
          <w:szCs w:val="24"/>
        </w:rPr>
        <w:t xml:space="preserve">they </w:t>
      </w:r>
      <w:r w:rsidRPr="009C1026">
        <w:rPr>
          <w:rFonts w:ascii="Times New Roman" w:hAnsi="Times New Roman" w:cs="Times New Roman"/>
          <w:sz w:val="24"/>
          <w:szCs w:val="24"/>
        </w:rPr>
        <w:t xml:space="preserve">are more likely to rely on reputation to influence purchase decisions (Walsh &amp; Beatty, 2007). </w:t>
      </w:r>
      <w:r w:rsidR="001340F2">
        <w:rPr>
          <w:rFonts w:ascii="Times New Roman" w:hAnsi="Times New Roman" w:cs="Times New Roman"/>
          <w:sz w:val="24"/>
          <w:szCs w:val="24"/>
        </w:rPr>
        <w:t>R</w:t>
      </w:r>
      <w:r w:rsidRPr="009C1026">
        <w:rPr>
          <w:rFonts w:ascii="Times New Roman" w:hAnsi="Times New Roman" w:cs="Times New Roman"/>
          <w:sz w:val="24"/>
          <w:szCs w:val="24"/>
        </w:rPr>
        <w:t xml:space="preserve">eputation </w:t>
      </w:r>
      <w:r w:rsidR="001340F2">
        <w:rPr>
          <w:rFonts w:ascii="Times New Roman" w:hAnsi="Times New Roman" w:cs="Times New Roman"/>
          <w:sz w:val="24"/>
          <w:szCs w:val="24"/>
        </w:rPr>
        <w:t xml:space="preserve">has been </w:t>
      </w:r>
      <w:r w:rsidRPr="009C1026">
        <w:rPr>
          <w:rFonts w:ascii="Times New Roman" w:hAnsi="Times New Roman" w:cs="Times New Roman"/>
          <w:sz w:val="24"/>
          <w:szCs w:val="24"/>
        </w:rPr>
        <w:t>positively associated with its ability to attract new consumers (e.g. Gotsi &amp; Wilson, 2001)</w:t>
      </w:r>
      <w:r w:rsidR="0012169A">
        <w:rPr>
          <w:rFonts w:ascii="Times New Roman" w:hAnsi="Times New Roman" w:cs="Times New Roman"/>
          <w:sz w:val="24"/>
          <w:szCs w:val="24"/>
        </w:rPr>
        <w:t xml:space="preserve">, and </w:t>
      </w:r>
      <w:r w:rsidRPr="009C1026">
        <w:rPr>
          <w:rFonts w:ascii="Times New Roman" w:hAnsi="Times New Roman" w:cs="Times New Roman"/>
          <w:sz w:val="24"/>
          <w:szCs w:val="24"/>
        </w:rPr>
        <w:t>build and maintain successful consumer relationships (e.g. Jurisic &amp; Azevedo, 2011</w:t>
      </w:r>
      <w:r w:rsidR="0012169A">
        <w:rPr>
          <w:rFonts w:ascii="Times New Roman" w:hAnsi="Times New Roman" w:cs="Times New Roman"/>
          <w:sz w:val="24"/>
          <w:szCs w:val="24"/>
        </w:rPr>
        <w:t>)</w:t>
      </w:r>
      <w:r w:rsidR="00C04188">
        <w:rPr>
          <w:rFonts w:ascii="Times New Roman" w:hAnsi="Times New Roman" w:cs="Times New Roman"/>
          <w:sz w:val="24"/>
          <w:szCs w:val="24"/>
        </w:rPr>
        <w:t xml:space="preserve">. </w:t>
      </w:r>
      <w:r w:rsidRPr="009C1026">
        <w:rPr>
          <w:rFonts w:ascii="Times New Roman" w:hAnsi="Times New Roman" w:cs="Times New Roman"/>
          <w:sz w:val="24"/>
          <w:szCs w:val="24"/>
        </w:rPr>
        <w:t>Consumers typically expect</w:t>
      </w:r>
      <w:r w:rsidR="007941B6">
        <w:rPr>
          <w:rFonts w:ascii="Times New Roman" w:hAnsi="Times New Roman" w:cs="Times New Roman"/>
          <w:sz w:val="24"/>
          <w:szCs w:val="24"/>
        </w:rPr>
        <w:t xml:space="preserve"> to pay </w:t>
      </w:r>
      <w:r w:rsidRPr="009C1026">
        <w:rPr>
          <w:rFonts w:ascii="Times New Roman" w:hAnsi="Times New Roman" w:cs="Times New Roman"/>
          <w:sz w:val="24"/>
          <w:szCs w:val="24"/>
        </w:rPr>
        <w:t xml:space="preserve">a price premium when </w:t>
      </w:r>
      <w:r w:rsidR="00D55032">
        <w:rPr>
          <w:rFonts w:ascii="Times New Roman" w:hAnsi="Times New Roman" w:cs="Times New Roman"/>
          <w:sz w:val="24"/>
          <w:szCs w:val="24"/>
        </w:rPr>
        <w:t>purchasing</w:t>
      </w:r>
      <w:r w:rsidRPr="009C1026">
        <w:rPr>
          <w:rFonts w:ascii="Times New Roman" w:hAnsi="Times New Roman" w:cs="Times New Roman"/>
          <w:sz w:val="24"/>
          <w:szCs w:val="24"/>
        </w:rPr>
        <w:t xml:space="preserve"> services from firms with the most favorable reputations</w:t>
      </w:r>
      <w:r w:rsidR="001340F2">
        <w:rPr>
          <w:rFonts w:ascii="Times New Roman" w:hAnsi="Times New Roman" w:cs="Times New Roman"/>
          <w:sz w:val="24"/>
          <w:szCs w:val="24"/>
        </w:rPr>
        <w:t>,</w:t>
      </w:r>
      <w:r w:rsidRPr="009C1026">
        <w:rPr>
          <w:rFonts w:ascii="Times New Roman" w:hAnsi="Times New Roman" w:cs="Times New Roman"/>
          <w:sz w:val="24"/>
          <w:szCs w:val="24"/>
        </w:rPr>
        <w:t xml:space="preserve"> </w:t>
      </w:r>
      <w:r w:rsidR="001340F2">
        <w:rPr>
          <w:rFonts w:ascii="Times New Roman" w:hAnsi="Times New Roman" w:cs="Times New Roman"/>
          <w:sz w:val="24"/>
          <w:szCs w:val="24"/>
        </w:rPr>
        <w:t>and</w:t>
      </w:r>
      <w:r w:rsidRPr="009C1026">
        <w:rPr>
          <w:rFonts w:ascii="Times New Roman" w:hAnsi="Times New Roman" w:cs="Times New Roman"/>
          <w:sz w:val="24"/>
          <w:szCs w:val="24"/>
        </w:rPr>
        <w:t xml:space="preserve"> many consumers rate company reputation ahead of price when choosing a provider</w:t>
      </w:r>
      <w:r w:rsidR="001340F2">
        <w:rPr>
          <w:rFonts w:ascii="Times New Roman" w:hAnsi="Times New Roman" w:cs="Times New Roman"/>
          <w:sz w:val="24"/>
          <w:szCs w:val="24"/>
        </w:rPr>
        <w:t xml:space="preserve"> </w:t>
      </w:r>
      <w:r w:rsidR="001340F2" w:rsidRPr="009C1026">
        <w:rPr>
          <w:rFonts w:ascii="Times New Roman" w:hAnsi="Times New Roman" w:cs="Times New Roman"/>
          <w:sz w:val="24"/>
          <w:szCs w:val="24"/>
        </w:rPr>
        <w:t>(Keh &amp; Xie, 2009)</w:t>
      </w:r>
      <w:r w:rsidRPr="009C1026">
        <w:rPr>
          <w:rFonts w:ascii="Times New Roman" w:hAnsi="Times New Roman" w:cs="Times New Roman"/>
          <w:sz w:val="24"/>
          <w:szCs w:val="24"/>
        </w:rPr>
        <w:t>.</w:t>
      </w:r>
      <w:r w:rsidR="001340F2" w:rsidRPr="001340F2">
        <w:rPr>
          <w:rFonts w:ascii="Times New Roman" w:hAnsi="Times New Roman" w:cs="Times New Roman"/>
          <w:sz w:val="24"/>
          <w:szCs w:val="24"/>
        </w:rPr>
        <w:t xml:space="preserve"> </w:t>
      </w:r>
      <w:r w:rsidR="001340F2" w:rsidRPr="009C1026">
        <w:rPr>
          <w:rFonts w:ascii="Times New Roman" w:hAnsi="Times New Roman" w:cs="Times New Roman"/>
          <w:sz w:val="24"/>
          <w:szCs w:val="24"/>
        </w:rPr>
        <w:t>Furthermore</w:t>
      </w:r>
      <w:r w:rsidR="001340F2">
        <w:rPr>
          <w:rFonts w:ascii="Times New Roman" w:hAnsi="Times New Roman" w:cs="Times New Roman"/>
          <w:sz w:val="24"/>
          <w:szCs w:val="24"/>
        </w:rPr>
        <w:t>, w</w:t>
      </w:r>
      <w:r w:rsidRPr="009C1026">
        <w:rPr>
          <w:rFonts w:ascii="Times New Roman" w:hAnsi="Times New Roman" w:cs="Times New Roman"/>
          <w:sz w:val="24"/>
          <w:szCs w:val="24"/>
        </w:rPr>
        <w:t xml:space="preserve">hen consumers are familiar with a firm’s name and products, they may spend less time and effort on information searching </w:t>
      </w:r>
      <w:r w:rsidR="001340F2">
        <w:rPr>
          <w:rFonts w:ascii="Times New Roman" w:hAnsi="Times New Roman" w:cs="Times New Roman"/>
          <w:sz w:val="24"/>
          <w:szCs w:val="24"/>
        </w:rPr>
        <w:t xml:space="preserve">and </w:t>
      </w:r>
      <w:r w:rsidR="001340F2" w:rsidRPr="009C1026">
        <w:rPr>
          <w:rFonts w:ascii="Times New Roman" w:hAnsi="Times New Roman" w:cs="Times New Roman"/>
          <w:sz w:val="24"/>
          <w:szCs w:val="24"/>
        </w:rPr>
        <w:t>evaluating competing firms</w:t>
      </w:r>
      <w:r w:rsidR="0067031E">
        <w:rPr>
          <w:rFonts w:ascii="Times New Roman" w:hAnsi="Times New Roman" w:cs="Times New Roman"/>
          <w:sz w:val="24"/>
          <w:szCs w:val="24"/>
        </w:rPr>
        <w:t>,</w:t>
      </w:r>
      <w:r w:rsidR="001340F2" w:rsidRPr="009C1026">
        <w:rPr>
          <w:rFonts w:ascii="Times New Roman" w:hAnsi="Times New Roman" w:cs="Times New Roman"/>
          <w:sz w:val="24"/>
          <w:szCs w:val="24"/>
        </w:rPr>
        <w:t xml:space="preserve"> </w:t>
      </w:r>
      <w:r w:rsidRPr="009C1026">
        <w:rPr>
          <w:rFonts w:ascii="Times New Roman" w:hAnsi="Times New Roman" w:cs="Times New Roman"/>
          <w:sz w:val="24"/>
          <w:szCs w:val="24"/>
        </w:rPr>
        <w:t xml:space="preserve">as </w:t>
      </w:r>
      <w:r w:rsidR="001340F2">
        <w:rPr>
          <w:rFonts w:ascii="Times New Roman" w:hAnsi="Times New Roman" w:cs="Times New Roman"/>
          <w:sz w:val="24"/>
          <w:szCs w:val="24"/>
        </w:rPr>
        <w:t>they</w:t>
      </w:r>
      <w:r w:rsidRPr="009C1026">
        <w:rPr>
          <w:rFonts w:ascii="Times New Roman" w:hAnsi="Times New Roman" w:cs="Times New Roman"/>
          <w:sz w:val="24"/>
          <w:szCs w:val="24"/>
        </w:rPr>
        <w:t xml:space="preserve"> perceive that a firm’s reputation reduces future risks and uncertainties (</w:t>
      </w:r>
      <w:r w:rsidR="001340F2" w:rsidRPr="009C1026">
        <w:rPr>
          <w:rFonts w:ascii="Times New Roman" w:hAnsi="Times New Roman" w:cs="Times New Roman"/>
          <w:sz w:val="24"/>
          <w:szCs w:val="24"/>
        </w:rPr>
        <w:t>Arora &amp; Stoner, 1996</w:t>
      </w:r>
      <w:r w:rsidRPr="009C1026">
        <w:rPr>
          <w:rFonts w:ascii="Times New Roman" w:hAnsi="Times New Roman" w:cs="Times New Roman"/>
          <w:sz w:val="24"/>
          <w:szCs w:val="24"/>
        </w:rPr>
        <w:t xml:space="preserve">). </w:t>
      </w:r>
    </w:p>
    <w:p w14:paraId="376EF9D4" w14:textId="1BA3870A" w:rsidR="009C1026" w:rsidRP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Increasingly, consumers are aware that service providers act in unfair and unreasonable ways, which may involve deceptive practices and/or confusion marketing (Kasabov, 2015). A provider may have a reputation for delivering high quality services, but consumers may prefer to avoid this firm if it is also known to treat its consumers unfairly and/or without integrity. Thus, consumers are more likely to buy services from providers that have a favorable reputation and which they also trust.</w:t>
      </w:r>
      <w:r w:rsidR="00F839A7">
        <w:rPr>
          <w:rFonts w:ascii="Times New Roman" w:hAnsi="Times New Roman" w:cs="Times New Roman"/>
          <w:sz w:val="24"/>
          <w:szCs w:val="24"/>
        </w:rPr>
        <w:t xml:space="preserve"> </w:t>
      </w:r>
      <w:r w:rsidR="000B7689">
        <w:rPr>
          <w:rFonts w:ascii="Times New Roman" w:hAnsi="Times New Roman" w:cs="Times New Roman"/>
          <w:sz w:val="24"/>
          <w:szCs w:val="24"/>
        </w:rPr>
        <w:t>Consumers have trust in providers that are</w:t>
      </w:r>
      <w:r w:rsidRPr="009C1026">
        <w:rPr>
          <w:rFonts w:ascii="Times New Roman" w:hAnsi="Times New Roman" w:cs="Times New Roman"/>
          <w:sz w:val="24"/>
          <w:szCs w:val="24"/>
        </w:rPr>
        <w:t xml:space="preserve"> competent, </w:t>
      </w:r>
      <w:r w:rsidR="0016401D" w:rsidRPr="009C1026">
        <w:rPr>
          <w:rFonts w:ascii="Times New Roman" w:hAnsi="Times New Roman" w:cs="Times New Roman"/>
          <w:sz w:val="24"/>
          <w:szCs w:val="24"/>
        </w:rPr>
        <w:t>reliable,</w:t>
      </w:r>
      <w:r w:rsidRPr="009C1026">
        <w:rPr>
          <w:rFonts w:ascii="Times New Roman" w:hAnsi="Times New Roman" w:cs="Times New Roman"/>
          <w:sz w:val="24"/>
          <w:szCs w:val="24"/>
        </w:rPr>
        <w:t xml:space="preserve"> and benevolent, and </w:t>
      </w:r>
      <w:r w:rsidR="000B7689">
        <w:rPr>
          <w:rFonts w:ascii="Times New Roman" w:hAnsi="Times New Roman" w:cs="Times New Roman"/>
          <w:sz w:val="24"/>
          <w:szCs w:val="24"/>
        </w:rPr>
        <w:t xml:space="preserve">when they believe that they </w:t>
      </w:r>
      <w:r w:rsidRPr="009C1026">
        <w:rPr>
          <w:rFonts w:ascii="Times New Roman" w:hAnsi="Times New Roman" w:cs="Times New Roman"/>
          <w:sz w:val="24"/>
          <w:szCs w:val="24"/>
        </w:rPr>
        <w:t xml:space="preserve">will act with integrity in all future dealings (Kim et al., 2012). The more a consumer perceives risks and uncertainties, the more influential trust is likely to be </w:t>
      </w:r>
      <w:r w:rsidR="00EF6FB7">
        <w:rPr>
          <w:rFonts w:ascii="Times New Roman" w:hAnsi="Times New Roman" w:cs="Times New Roman"/>
          <w:sz w:val="24"/>
          <w:szCs w:val="24"/>
        </w:rPr>
        <w:t>in</w:t>
      </w:r>
      <w:r w:rsidRPr="009C1026">
        <w:rPr>
          <w:rFonts w:ascii="Times New Roman" w:hAnsi="Times New Roman" w:cs="Times New Roman"/>
          <w:sz w:val="24"/>
          <w:szCs w:val="24"/>
        </w:rPr>
        <w:t xml:space="preserve"> the final purchase decision, as </w:t>
      </w:r>
      <w:r w:rsidR="000B1635">
        <w:rPr>
          <w:rFonts w:ascii="Times New Roman" w:hAnsi="Times New Roman" w:cs="Times New Roman"/>
          <w:sz w:val="24"/>
          <w:szCs w:val="24"/>
        </w:rPr>
        <w:t xml:space="preserve">it </w:t>
      </w:r>
      <w:r w:rsidRPr="009C1026">
        <w:rPr>
          <w:rFonts w:ascii="Times New Roman" w:hAnsi="Times New Roman" w:cs="Times New Roman"/>
          <w:sz w:val="24"/>
          <w:szCs w:val="24"/>
        </w:rPr>
        <w:t xml:space="preserve">becomes a </w:t>
      </w:r>
      <w:r w:rsidR="000B1635">
        <w:rPr>
          <w:rFonts w:ascii="Times New Roman" w:hAnsi="Times New Roman" w:cs="Times New Roman"/>
          <w:sz w:val="24"/>
          <w:szCs w:val="24"/>
        </w:rPr>
        <w:t xml:space="preserve">mitigation </w:t>
      </w:r>
      <w:r w:rsidRPr="009C1026">
        <w:rPr>
          <w:rFonts w:ascii="Times New Roman" w:hAnsi="Times New Roman" w:cs="Times New Roman"/>
          <w:sz w:val="24"/>
          <w:szCs w:val="24"/>
        </w:rPr>
        <w:t>mechanism (Sichtmann, 2007). A consumer’s perceptions of service quality may be influenced by the extent to which the individual trusts the firm, and th</w:t>
      </w:r>
      <w:r w:rsidR="005D129F">
        <w:rPr>
          <w:rFonts w:ascii="Times New Roman" w:hAnsi="Times New Roman" w:cs="Times New Roman"/>
          <w:sz w:val="24"/>
          <w:szCs w:val="24"/>
        </w:rPr>
        <w:t>is</w:t>
      </w:r>
      <w:r w:rsidRPr="009C1026">
        <w:rPr>
          <w:rFonts w:ascii="Times New Roman" w:hAnsi="Times New Roman" w:cs="Times New Roman"/>
          <w:sz w:val="24"/>
          <w:szCs w:val="24"/>
        </w:rPr>
        <w:t xml:space="preserve"> may then</w:t>
      </w:r>
      <w:r w:rsidR="000B7689">
        <w:rPr>
          <w:rFonts w:ascii="Times New Roman" w:hAnsi="Times New Roman" w:cs="Times New Roman"/>
          <w:sz w:val="24"/>
          <w:szCs w:val="24"/>
        </w:rPr>
        <w:t xml:space="preserve"> affect</w:t>
      </w:r>
      <w:r w:rsidRPr="009C1026">
        <w:rPr>
          <w:rFonts w:ascii="Times New Roman" w:hAnsi="Times New Roman" w:cs="Times New Roman"/>
          <w:sz w:val="24"/>
          <w:szCs w:val="24"/>
        </w:rPr>
        <w:t xml:space="preserve"> future purchase behavior (Schlosser, White, &amp; Lloyd, 2006). This is </w:t>
      </w:r>
      <w:r w:rsidR="00EF6FB7">
        <w:rPr>
          <w:rFonts w:ascii="Times New Roman" w:hAnsi="Times New Roman" w:cs="Times New Roman"/>
          <w:sz w:val="24"/>
          <w:szCs w:val="24"/>
        </w:rPr>
        <w:t>consistent with</w:t>
      </w:r>
      <w:r w:rsidRPr="009C1026">
        <w:rPr>
          <w:rFonts w:ascii="Times New Roman" w:hAnsi="Times New Roman" w:cs="Times New Roman"/>
          <w:sz w:val="24"/>
          <w:szCs w:val="24"/>
        </w:rPr>
        <w:t xml:space="preserve"> other research that has found loyalty to be positively related to trust, particularly in online service contexts (Al-Hawari, 2018). </w:t>
      </w:r>
    </w:p>
    <w:p w14:paraId="3773191A" w14:textId="502C8AB8" w:rsidR="009C1026" w:rsidRPr="009C1026" w:rsidRDefault="009C1026" w:rsidP="00733B5D">
      <w:pPr>
        <w:spacing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Additionally, the relationship between reputation and trust is regarded as being key to the way in which rollover decisions are made, and that providers with a strong reputation achieve this through being highly trusted. </w:t>
      </w:r>
      <w:r w:rsidR="00EF6FB7">
        <w:rPr>
          <w:rFonts w:ascii="Times New Roman" w:hAnsi="Times New Roman" w:cs="Times New Roman"/>
          <w:sz w:val="24"/>
          <w:szCs w:val="24"/>
        </w:rPr>
        <w:t>C</w:t>
      </w:r>
      <w:r w:rsidRPr="009C1026">
        <w:rPr>
          <w:rFonts w:ascii="Times New Roman" w:hAnsi="Times New Roman" w:cs="Times New Roman"/>
          <w:sz w:val="24"/>
          <w:szCs w:val="24"/>
        </w:rPr>
        <w:t>onfidence is an important factor in developing trust in relationships, and a strong reputation can build customers’ confidence and reduce their risk perceptions when they make judgements on the quality of products or services</w:t>
      </w:r>
      <w:r w:rsidR="00EF6FB7">
        <w:rPr>
          <w:rFonts w:ascii="Times New Roman" w:hAnsi="Times New Roman" w:cs="Times New Roman"/>
          <w:sz w:val="24"/>
          <w:szCs w:val="24"/>
        </w:rPr>
        <w:t xml:space="preserve"> (</w:t>
      </w:r>
      <w:r w:rsidR="00EF6FB7" w:rsidRPr="009C1026">
        <w:rPr>
          <w:rFonts w:ascii="Times New Roman" w:hAnsi="Times New Roman" w:cs="Times New Roman"/>
          <w:sz w:val="24"/>
          <w:szCs w:val="24"/>
        </w:rPr>
        <w:t>Morgan and Hunt</w:t>
      </w:r>
      <w:r w:rsidR="00EF6FB7">
        <w:rPr>
          <w:rFonts w:ascii="Times New Roman" w:hAnsi="Times New Roman" w:cs="Times New Roman"/>
          <w:sz w:val="24"/>
          <w:szCs w:val="24"/>
        </w:rPr>
        <w:t xml:space="preserve">, </w:t>
      </w:r>
      <w:r w:rsidR="00EF6FB7" w:rsidRPr="009C1026">
        <w:rPr>
          <w:rFonts w:ascii="Times New Roman" w:hAnsi="Times New Roman" w:cs="Times New Roman"/>
          <w:sz w:val="24"/>
          <w:szCs w:val="24"/>
        </w:rPr>
        <w:t>1994</w:t>
      </w:r>
      <w:r w:rsidR="00EF6FB7">
        <w:rPr>
          <w:rFonts w:ascii="Times New Roman" w:hAnsi="Times New Roman" w:cs="Times New Roman"/>
          <w:sz w:val="24"/>
          <w:szCs w:val="24"/>
        </w:rPr>
        <w:t>)</w:t>
      </w:r>
      <w:r w:rsidRPr="009C1026">
        <w:rPr>
          <w:rFonts w:ascii="Times New Roman" w:hAnsi="Times New Roman" w:cs="Times New Roman"/>
          <w:sz w:val="24"/>
          <w:szCs w:val="24"/>
        </w:rPr>
        <w:t xml:space="preserve">. Customers are more likely to regard providers with strong reputations as trustworthy. Furthermore, customers are likely to perceive providers with good reputations through a number of inter-related features, including trust, that contribute to their expectations in delivering excellent products or services, and integrity in fulfilling contracts or keeping promises (Keh &amp; Xie, 2009). Thus, </w:t>
      </w:r>
      <w:r w:rsidR="00EF6FB7">
        <w:rPr>
          <w:rFonts w:ascii="Times New Roman" w:hAnsi="Times New Roman" w:cs="Times New Roman"/>
          <w:sz w:val="24"/>
          <w:szCs w:val="24"/>
        </w:rPr>
        <w:t>we offer the</w:t>
      </w:r>
      <w:r w:rsidR="00527A34">
        <w:rPr>
          <w:rFonts w:ascii="Times New Roman" w:hAnsi="Times New Roman" w:cs="Times New Roman"/>
          <w:sz w:val="24"/>
          <w:szCs w:val="24"/>
        </w:rPr>
        <w:t xml:space="preserve"> following</w:t>
      </w:r>
      <w:r w:rsidR="00EF6FB7">
        <w:rPr>
          <w:rFonts w:ascii="Times New Roman" w:hAnsi="Times New Roman" w:cs="Times New Roman"/>
          <w:sz w:val="24"/>
          <w:szCs w:val="24"/>
        </w:rPr>
        <w:t xml:space="preserve"> hypotheses</w:t>
      </w:r>
      <w:r w:rsidRPr="009C1026">
        <w:rPr>
          <w:rFonts w:ascii="Times New Roman" w:hAnsi="Times New Roman" w:cs="Times New Roman"/>
          <w:sz w:val="24"/>
          <w:szCs w:val="24"/>
        </w:rPr>
        <w:t>:</w:t>
      </w:r>
    </w:p>
    <w:p w14:paraId="5596C12D" w14:textId="4A22B2E7" w:rsidR="009C1026" w:rsidRPr="00EA03E0" w:rsidRDefault="00594E0E" w:rsidP="00F272DC">
      <w:pPr>
        <w:spacing w:line="240" w:lineRule="auto"/>
        <w:ind w:left="360"/>
        <w:jc w:val="both"/>
        <w:rPr>
          <w:rFonts w:ascii="Times New Roman" w:hAnsi="Times New Roman" w:cs="Times New Roman"/>
          <w:i/>
          <w:iCs/>
          <w:sz w:val="24"/>
          <w:szCs w:val="24"/>
        </w:rPr>
      </w:pPr>
      <w:r w:rsidRPr="00EA03E0">
        <w:rPr>
          <w:rFonts w:ascii="Times New Roman" w:hAnsi="Times New Roman" w:cs="Times New Roman"/>
          <w:i/>
          <w:iCs/>
          <w:sz w:val="24"/>
          <w:szCs w:val="24"/>
        </w:rPr>
        <w:t xml:space="preserve">H2a. Reputation is positively associated with consumers’ propensity </w:t>
      </w:r>
      <w:r w:rsidR="00150EAA">
        <w:rPr>
          <w:rFonts w:ascii="Times New Roman" w:hAnsi="Times New Roman" w:cs="Times New Roman"/>
          <w:i/>
          <w:iCs/>
          <w:sz w:val="24"/>
          <w:szCs w:val="24"/>
        </w:rPr>
        <w:t xml:space="preserve">for </w:t>
      </w:r>
      <w:r w:rsidR="001802E9">
        <w:rPr>
          <w:rFonts w:ascii="Times New Roman" w:hAnsi="Times New Roman" w:cs="Times New Roman"/>
          <w:i/>
          <w:iCs/>
          <w:sz w:val="24"/>
          <w:szCs w:val="24"/>
        </w:rPr>
        <w:t>RSC</w:t>
      </w:r>
      <w:r w:rsidR="00150EAA">
        <w:rPr>
          <w:rFonts w:ascii="Times New Roman" w:hAnsi="Times New Roman" w:cs="Times New Roman"/>
          <w:i/>
          <w:iCs/>
          <w:sz w:val="24"/>
          <w:szCs w:val="24"/>
        </w:rPr>
        <w:t>s</w:t>
      </w:r>
      <w:r w:rsidRPr="00EA03E0">
        <w:rPr>
          <w:rFonts w:ascii="Times New Roman" w:hAnsi="Times New Roman" w:cs="Times New Roman"/>
          <w:i/>
          <w:iCs/>
          <w:sz w:val="24"/>
          <w:szCs w:val="24"/>
        </w:rPr>
        <w:t xml:space="preserve"> </w:t>
      </w:r>
    </w:p>
    <w:p w14:paraId="6FABB192" w14:textId="26EAEA76" w:rsidR="00150EAA" w:rsidRDefault="00594E0E" w:rsidP="00F272DC">
      <w:pPr>
        <w:spacing w:line="240" w:lineRule="auto"/>
        <w:ind w:left="360"/>
        <w:jc w:val="both"/>
        <w:rPr>
          <w:rFonts w:ascii="Times New Roman" w:hAnsi="Times New Roman" w:cs="Times New Roman"/>
          <w:i/>
          <w:iCs/>
          <w:sz w:val="24"/>
          <w:szCs w:val="24"/>
        </w:rPr>
      </w:pPr>
      <w:r w:rsidRPr="00EA03E0">
        <w:rPr>
          <w:rFonts w:ascii="Times New Roman" w:hAnsi="Times New Roman" w:cs="Times New Roman"/>
          <w:i/>
          <w:iCs/>
          <w:sz w:val="24"/>
          <w:szCs w:val="24"/>
        </w:rPr>
        <w:t>H2b. Trust is positively related to consumers’ propensity</w:t>
      </w:r>
      <w:r w:rsidR="00150EAA" w:rsidRPr="00EA03E0">
        <w:rPr>
          <w:rFonts w:ascii="Times New Roman" w:hAnsi="Times New Roman" w:cs="Times New Roman"/>
          <w:i/>
          <w:iCs/>
          <w:sz w:val="24"/>
          <w:szCs w:val="24"/>
        </w:rPr>
        <w:t xml:space="preserve"> </w:t>
      </w:r>
      <w:r w:rsidR="00150EAA">
        <w:rPr>
          <w:rFonts w:ascii="Times New Roman" w:hAnsi="Times New Roman" w:cs="Times New Roman"/>
          <w:i/>
          <w:iCs/>
          <w:sz w:val="24"/>
          <w:szCs w:val="24"/>
        </w:rPr>
        <w:t xml:space="preserve">for </w:t>
      </w:r>
      <w:r w:rsidR="001802E9">
        <w:rPr>
          <w:rFonts w:ascii="Times New Roman" w:hAnsi="Times New Roman" w:cs="Times New Roman"/>
          <w:i/>
          <w:iCs/>
          <w:sz w:val="24"/>
          <w:szCs w:val="24"/>
        </w:rPr>
        <w:t>RSC</w:t>
      </w:r>
      <w:r w:rsidR="00150EAA">
        <w:rPr>
          <w:rFonts w:ascii="Times New Roman" w:hAnsi="Times New Roman" w:cs="Times New Roman"/>
          <w:i/>
          <w:iCs/>
          <w:sz w:val="24"/>
          <w:szCs w:val="24"/>
        </w:rPr>
        <w:t>s</w:t>
      </w:r>
      <w:r w:rsidR="00150EAA" w:rsidRPr="00EA03E0">
        <w:rPr>
          <w:rFonts w:ascii="Times New Roman" w:hAnsi="Times New Roman" w:cs="Times New Roman"/>
          <w:i/>
          <w:iCs/>
          <w:sz w:val="24"/>
          <w:szCs w:val="24"/>
        </w:rPr>
        <w:t xml:space="preserve"> </w:t>
      </w:r>
    </w:p>
    <w:p w14:paraId="137DC72C" w14:textId="0F0AE5CB" w:rsidR="009C1026" w:rsidRPr="00EA03E0" w:rsidRDefault="009C1026" w:rsidP="00F272DC">
      <w:pPr>
        <w:spacing w:after="0" w:line="240" w:lineRule="auto"/>
        <w:ind w:left="360"/>
        <w:jc w:val="both"/>
        <w:rPr>
          <w:rFonts w:ascii="Times New Roman" w:hAnsi="Times New Roman" w:cs="Times New Roman"/>
          <w:i/>
          <w:iCs/>
          <w:sz w:val="24"/>
          <w:szCs w:val="24"/>
        </w:rPr>
      </w:pPr>
      <w:r w:rsidRPr="00EA03E0">
        <w:rPr>
          <w:rFonts w:ascii="Times New Roman" w:hAnsi="Times New Roman" w:cs="Times New Roman"/>
          <w:i/>
          <w:iCs/>
          <w:sz w:val="24"/>
          <w:szCs w:val="24"/>
        </w:rPr>
        <w:t xml:space="preserve">H2c. Trust mediates the relationship between reputation and consumers’ propensity </w:t>
      </w:r>
      <w:r w:rsidR="00150EAA">
        <w:rPr>
          <w:rFonts w:ascii="Times New Roman" w:hAnsi="Times New Roman" w:cs="Times New Roman"/>
          <w:i/>
          <w:iCs/>
          <w:sz w:val="24"/>
          <w:szCs w:val="24"/>
        </w:rPr>
        <w:t xml:space="preserve">for </w:t>
      </w:r>
      <w:r w:rsidR="001802E9">
        <w:rPr>
          <w:rFonts w:ascii="Times New Roman" w:hAnsi="Times New Roman" w:cs="Times New Roman"/>
          <w:i/>
          <w:iCs/>
          <w:sz w:val="24"/>
          <w:szCs w:val="24"/>
        </w:rPr>
        <w:t>RSC</w:t>
      </w:r>
      <w:r w:rsidR="00150EAA">
        <w:rPr>
          <w:rFonts w:ascii="Times New Roman" w:hAnsi="Times New Roman" w:cs="Times New Roman"/>
          <w:i/>
          <w:iCs/>
          <w:sz w:val="24"/>
          <w:szCs w:val="24"/>
        </w:rPr>
        <w:t>s</w:t>
      </w:r>
    </w:p>
    <w:p w14:paraId="4DBD416B" w14:textId="77777777" w:rsidR="00733B5D" w:rsidRDefault="00733B5D" w:rsidP="00733B5D">
      <w:pPr>
        <w:spacing w:line="240" w:lineRule="auto"/>
        <w:jc w:val="both"/>
        <w:rPr>
          <w:rFonts w:ascii="Times New Roman" w:hAnsi="Times New Roman" w:cs="Times New Roman"/>
          <w:sz w:val="24"/>
          <w:szCs w:val="24"/>
        </w:rPr>
      </w:pPr>
    </w:p>
    <w:p w14:paraId="664CC1AB" w14:textId="1A8A7BD4" w:rsidR="00AC3C8A" w:rsidRPr="00AC3C8A" w:rsidRDefault="009C1026" w:rsidP="00733B5D">
      <w:pPr>
        <w:spacing w:line="240" w:lineRule="auto"/>
        <w:jc w:val="both"/>
        <w:rPr>
          <w:rFonts w:ascii="Times New Roman" w:hAnsi="Times New Roman" w:cs="Times New Roman"/>
          <w:b/>
          <w:bCs/>
          <w:i/>
          <w:iCs/>
          <w:sz w:val="24"/>
          <w:szCs w:val="24"/>
        </w:rPr>
      </w:pPr>
      <w:r w:rsidRPr="00AC3C8A">
        <w:rPr>
          <w:rFonts w:ascii="Times New Roman" w:hAnsi="Times New Roman" w:cs="Times New Roman"/>
          <w:b/>
          <w:bCs/>
          <w:i/>
          <w:iCs/>
          <w:sz w:val="24"/>
          <w:szCs w:val="24"/>
        </w:rPr>
        <w:t>Convenience</w:t>
      </w:r>
    </w:p>
    <w:p w14:paraId="1B4A7634" w14:textId="1F6AFBDB" w:rsidR="009C1026" w:rsidRPr="007A4273" w:rsidRDefault="009C1026" w:rsidP="00733B5D">
      <w:pPr>
        <w:spacing w:after="0" w:line="240" w:lineRule="auto"/>
        <w:jc w:val="both"/>
        <w:rPr>
          <w:rFonts w:ascii="Times New Roman" w:hAnsi="Times New Roman" w:cs="Times New Roman"/>
          <w:i/>
          <w:iCs/>
          <w:sz w:val="24"/>
          <w:szCs w:val="24"/>
        </w:rPr>
      </w:pPr>
      <w:r w:rsidRPr="00AC3C8A">
        <w:rPr>
          <w:rFonts w:ascii="Times New Roman" w:hAnsi="Times New Roman" w:cs="Times New Roman"/>
          <w:sz w:val="24"/>
          <w:szCs w:val="24"/>
        </w:rPr>
        <w:t>Regardless</w:t>
      </w:r>
      <w:r w:rsidRPr="009C1026">
        <w:rPr>
          <w:rFonts w:ascii="Times New Roman" w:hAnsi="Times New Roman" w:cs="Times New Roman"/>
          <w:sz w:val="24"/>
          <w:szCs w:val="24"/>
        </w:rPr>
        <w:t xml:space="preserve"> of the perceived time availability of individuals, convenience is something potentially sought and valued by all consumers. Marketers have long known that convenience is important to many consumers, as they prefer to conserve time and effort whenever possible (Berry, Seiders, &amp; Grewal, 2002). In the context of product selection or undertaking a purchase transaction, convenience may be regarded in terms of the time and effort required of consumers rather than the characteristics or attributes of a product.</w:t>
      </w:r>
    </w:p>
    <w:p w14:paraId="64DBF7F6" w14:textId="21622CD4" w:rsidR="009C1026" w:rsidRPr="009C1026" w:rsidRDefault="009C1026" w:rsidP="00733B5D">
      <w:pPr>
        <w:spacing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Consumers have different convenience orientations, as they value time differently, and this may be influenced by perceived time scarcity and sensitivity to time-related issues, as well as the individual’s personal values (Thuy, 2011). Consumer evaluations of service convenience may be difficult to undertake because it can be measured in different ways and requires high quality information; but in practice, consumers generally purchase services with incomplete and/or substandard information (Tellis &amp; Gaeth, 1990). A rational consumer may evaluate service convenience each time a contract ends, as the consumer has to make a purchase decision and choose between contract renewal, extension or termination. At such times, avoiding switching costs may be considered a form of convenience, as such costs are commonly perceived to comprise of the monetary cost, </w:t>
      </w:r>
      <w:r w:rsidR="000503E2">
        <w:rPr>
          <w:rFonts w:ascii="Times New Roman" w:hAnsi="Times New Roman" w:cs="Times New Roman"/>
          <w:sz w:val="24"/>
          <w:szCs w:val="24"/>
        </w:rPr>
        <w:t xml:space="preserve">and the </w:t>
      </w:r>
      <w:r w:rsidRPr="009C1026">
        <w:rPr>
          <w:rFonts w:ascii="Times New Roman" w:hAnsi="Times New Roman" w:cs="Times New Roman"/>
          <w:sz w:val="24"/>
          <w:szCs w:val="24"/>
        </w:rPr>
        <w:t>time and effort associated with switching to a new service provider (Tanford et al., 2011). Evidence from previous research suggests that convenience may affect consumer loyalty to service firms (e.g. Martínez &amp; del Bosque, 2013), with convenience influencing both consumers’ evaluations of services and consumers’ purchasing behavior (Umashankar et al., 2017). This leads us to hypothesize that:</w:t>
      </w:r>
    </w:p>
    <w:p w14:paraId="02CD7B51" w14:textId="47D340F4" w:rsidR="00217718" w:rsidRDefault="009C1026" w:rsidP="00F272DC">
      <w:pPr>
        <w:spacing w:after="0" w:line="240" w:lineRule="auto"/>
        <w:ind w:left="360"/>
        <w:jc w:val="both"/>
        <w:rPr>
          <w:rFonts w:ascii="Times New Roman" w:hAnsi="Times New Roman" w:cs="Times New Roman"/>
          <w:i/>
          <w:iCs/>
          <w:sz w:val="24"/>
          <w:szCs w:val="24"/>
        </w:rPr>
      </w:pPr>
      <w:r w:rsidRPr="00EA03E0">
        <w:rPr>
          <w:rFonts w:ascii="Times New Roman" w:hAnsi="Times New Roman" w:cs="Times New Roman"/>
          <w:i/>
          <w:iCs/>
          <w:sz w:val="24"/>
          <w:szCs w:val="24"/>
        </w:rPr>
        <w:t xml:space="preserve">H3. Convenience is positively related to consumers’ propensity </w:t>
      </w:r>
      <w:r w:rsidR="00150EAA">
        <w:rPr>
          <w:rFonts w:ascii="Times New Roman" w:hAnsi="Times New Roman" w:cs="Times New Roman"/>
          <w:i/>
          <w:iCs/>
          <w:sz w:val="24"/>
          <w:szCs w:val="24"/>
        </w:rPr>
        <w:t xml:space="preserve">for </w:t>
      </w:r>
      <w:r w:rsidR="001802E9">
        <w:rPr>
          <w:rFonts w:ascii="Times New Roman" w:hAnsi="Times New Roman" w:cs="Times New Roman"/>
          <w:i/>
          <w:iCs/>
          <w:sz w:val="24"/>
          <w:szCs w:val="24"/>
        </w:rPr>
        <w:t>RSC</w:t>
      </w:r>
      <w:r w:rsidR="00150EAA">
        <w:rPr>
          <w:rFonts w:ascii="Times New Roman" w:hAnsi="Times New Roman" w:cs="Times New Roman"/>
          <w:i/>
          <w:iCs/>
          <w:sz w:val="24"/>
          <w:szCs w:val="24"/>
        </w:rPr>
        <w:t>s</w:t>
      </w:r>
    </w:p>
    <w:p w14:paraId="28AB8025" w14:textId="77777777" w:rsidR="00733B5D" w:rsidRDefault="00733B5D" w:rsidP="00733B5D">
      <w:pPr>
        <w:spacing w:line="240" w:lineRule="auto"/>
        <w:rPr>
          <w:rFonts w:ascii="Times New Roman" w:hAnsi="Times New Roman" w:cs="Times New Roman"/>
          <w:i/>
          <w:iCs/>
          <w:sz w:val="24"/>
          <w:szCs w:val="24"/>
        </w:rPr>
      </w:pPr>
    </w:p>
    <w:p w14:paraId="44655717" w14:textId="461EDA5A" w:rsidR="009C1026" w:rsidRPr="00E63FDF" w:rsidRDefault="00AC3C8A" w:rsidP="00733B5D">
      <w:pPr>
        <w:spacing w:line="240" w:lineRule="auto"/>
        <w:rPr>
          <w:rFonts w:ascii="Times New Roman" w:hAnsi="Times New Roman" w:cs="Times New Roman"/>
          <w:i/>
          <w:iCs/>
          <w:sz w:val="24"/>
          <w:szCs w:val="24"/>
        </w:rPr>
      </w:pPr>
      <w:r>
        <w:rPr>
          <w:rFonts w:ascii="Times New Roman" w:hAnsi="Times New Roman" w:cs="Times New Roman"/>
          <w:b/>
          <w:bCs/>
          <w:sz w:val="24"/>
          <w:szCs w:val="24"/>
        </w:rPr>
        <w:t>Method</w:t>
      </w:r>
    </w:p>
    <w:p w14:paraId="7ECAF700" w14:textId="728C6169" w:rsidR="009C1026" w:rsidRPr="00AC3C8A" w:rsidRDefault="000458DB" w:rsidP="00733B5D">
      <w:pPr>
        <w:spacing w:line="240" w:lineRule="auto"/>
        <w:jc w:val="both"/>
        <w:rPr>
          <w:rFonts w:ascii="Times New Roman" w:hAnsi="Times New Roman" w:cs="Times New Roman"/>
          <w:b/>
          <w:bCs/>
          <w:i/>
          <w:iCs/>
          <w:sz w:val="24"/>
          <w:szCs w:val="24"/>
        </w:rPr>
      </w:pPr>
      <w:r w:rsidRPr="00AC3C8A">
        <w:rPr>
          <w:rFonts w:ascii="Times New Roman" w:hAnsi="Times New Roman" w:cs="Times New Roman"/>
          <w:b/>
          <w:bCs/>
          <w:i/>
          <w:iCs/>
          <w:sz w:val="24"/>
          <w:szCs w:val="24"/>
        </w:rPr>
        <w:t xml:space="preserve">Data </w:t>
      </w:r>
      <w:r w:rsidR="00BE1947">
        <w:rPr>
          <w:rFonts w:ascii="Times New Roman" w:hAnsi="Times New Roman" w:cs="Times New Roman"/>
          <w:b/>
          <w:bCs/>
          <w:i/>
          <w:iCs/>
          <w:sz w:val="24"/>
          <w:szCs w:val="24"/>
        </w:rPr>
        <w:t>c</w:t>
      </w:r>
      <w:r w:rsidRPr="00AC3C8A">
        <w:rPr>
          <w:rFonts w:ascii="Times New Roman" w:hAnsi="Times New Roman" w:cs="Times New Roman"/>
          <w:b/>
          <w:bCs/>
          <w:i/>
          <w:iCs/>
          <w:sz w:val="24"/>
          <w:szCs w:val="24"/>
        </w:rPr>
        <w:t>ollection</w:t>
      </w:r>
      <w:r w:rsidR="00F95CD6" w:rsidRPr="00AC3C8A">
        <w:rPr>
          <w:rFonts w:ascii="Times New Roman" w:hAnsi="Times New Roman" w:cs="Times New Roman"/>
          <w:b/>
          <w:bCs/>
          <w:i/>
          <w:iCs/>
          <w:sz w:val="24"/>
          <w:szCs w:val="24"/>
        </w:rPr>
        <w:t xml:space="preserve"> and</w:t>
      </w:r>
      <w:r w:rsidRPr="00AC3C8A">
        <w:rPr>
          <w:rFonts w:ascii="Times New Roman" w:hAnsi="Times New Roman" w:cs="Times New Roman"/>
          <w:b/>
          <w:bCs/>
          <w:i/>
          <w:iCs/>
          <w:sz w:val="24"/>
          <w:szCs w:val="24"/>
        </w:rPr>
        <w:t xml:space="preserve"> </w:t>
      </w:r>
      <w:r w:rsidR="00BE1947">
        <w:rPr>
          <w:rFonts w:ascii="Times New Roman" w:hAnsi="Times New Roman" w:cs="Times New Roman"/>
          <w:b/>
          <w:bCs/>
          <w:i/>
          <w:iCs/>
          <w:sz w:val="24"/>
          <w:szCs w:val="24"/>
        </w:rPr>
        <w:t>s</w:t>
      </w:r>
      <w:r w:rsidR="00072AFC" w:rsidRPr="00AC3C8A">
        <w:rPr>
          <w:rFonts w:ascii="Times New Roman" w:hAnsi="Times New Roman" w:cs="Times New Roman"/>
          <w:b/>
          <w:bCs/>
          <w:i/>
          <w:iCs/>
          <w:sz w:val="24"/>
          <w:szCs w:val="24"/>
        </w:rPr>
        <w:t>ampling</w:t>
      </w:r>
    </w:p>
    <w:p w14:paraId="600CD291" w14:textId="6663E7B3" w:rsidR="009C1026" w:rsidRPr="009C1026" w:rsidRDefault="005A457A" w:rsidP="00733B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9C1026" w:rsidRPr="001E657A">
        <w:rPr>
          <w:rFonts w:ascii="Times New Roman" w:hAnsi="Times New Roman" w:cs="Times New Roman"/>
          <w:sz w:val="24"/>
          <w:szCs w:val="24"/>
        </w:rPr>
        <w:t>erceived value, reputation</w:t>
      </w:r>
      <w:r w:rsidR="009E1F85">
        <w:rPr>
          <w:rFonts w:ascii="Times New Roman" w:hAnsi="Times New Roman" w:cs="Times New Roman"/>
          <w:sz w:val="24"/>
          <w:szCs w:val="24"/>
        </w:rPr>
        <w:t xml:space="preserve">, </w:t>
      </w:r>
      <w:r w:rsidR="009C1026" w:rsidRPr="001E657A">
        <w:rPr>
          <w:rFonts w:ascii="Times New Roman" w:hAnsi="Times New Roman" w:cs="Times New Roman"/>
          <w:sz w:val="24"/>
          <w:szCs w:val="24"/>
        </w:rPr>
        <w:t>trust</w:t>
      </w:r>
      <w:r w:rsidR="00920AD3">
        <w:rPr>
          <w:rFonts w:ascii="Times New Roman" w:hAnsi="Times New Roman" w:cs="Times New Roman"/>
          <w:sz w:val="24"/>
          <w:szCs w:val="24"/>
        </w:rPr>
        <w:t>,</w:t>
      </w:r>
      <w:r w:rsidR="009C1026" w:rsidRPr="001E657A">
        <w:rPr>
          <w:rFonts w:ascii="Times New Roman" w:hAnsi="Times New Roman" w:cs="Times New Roman"/>
          <w:sz w:val="24"/>
          <w:szCs w:val="24"/>
        </w:rPr>
        <w:t xml:space="preserve"> and convenience represent the four independent variables</w:t>
      </w:r>
      <w:r w:rsidR="009E1F85">
        <w:rPr>
          <w:rFonts w:ascii="Times New Roman" w:hAnsi="Times New Roman" w:cs="Times New Roman"/>
          <w:sz w:val="24"/>
          <w:szCs w:val="24"/>
        </w:rPr>
        <w:t xml:space="preserve">, </w:t>
      </w:r>
      <w:r w:rsidR="009C1026" w:rsidRPr="001E657A">
        <w:rPr>
          <w:rFonts w:ascii="Times New Roman" w:hAnsi="Times New Roman" w:cs="Times New Roman"/>
          <w:sz w:val="24"/>
          <w:szCs w:val="24"/>
        </w:rPr>
        <w:t xml:space="preserve">and propensity </w:t>
      </w:r>
      <w:r w:rsidR="00BF385A">
        <w:rPr>
          <w:rFonts w:ascii="Times New Roman" w:hAnsi="Times New Roman" w:cs="Times New Roman"/>
          <w:sz w:val="24"/>
          <w:szCs w:val="24"/>
        </w:rPr>
        <w:t>for</w:t>
      </w:r>
      <w:r w:rsidR="009C1026" w:rsidRPr="001E657A">
        <w:rPr>
          <w:rFonts w:ascii="Times New Roman" w:hAnsi="Times New Roman" w:cs="Times New Roman"/>
          <w:sz w:val="24"/>
          <w:szCs w:val="24"/>
        </w:rPr>
        <w:t xml:space="preserve"> </w:t>
      </w:r>
      <w:r w:rsidR="001802E9">
        <w:rPr>
          <w:rFonts w:ascii="Times New Roman" w:hAnsi="Times New Roman" w:cs="Times New Roman"/>
          <w:sz w:val="24"/>
          <w:szCs w:val="24"/>
        </w:rPr>
        <w:t>RSC</w:t>
      </w:r>
      <w:r w:rsidR="009C1026" w:rsidRPr="001E657A">
        <w:rPr>
          <w:rFonts w:ascii="Times New Roman" w:hAnsi="Times New Roman" w:cs="Times New Roman"/>
          <w:sz w:val="24"/>
          <w:szCs w:val="24"/>
        </w:rPr>
        <w:t xml:space="preserve"> is the dependent variable. All of the independent variables used measurement scales that were </w:t>
      </w:r>
      <w:r w:rsidR="00D81A24">
        <w:rPr>
          <w:rFonts w:ascii="Times New Roman" w:hAnsi="Times New Roman" w:cs="Times New Roman"/>
          <w:sz w:val="24"/>
          <w:szCs w:val="24"/>
        </w:rPr>
        <w:t>adopted</w:t>
      </w:r>
      <w:r w:rsidR="009C1026" w:rsidRPr="001E657A">
        <w:rPr>
          <w:rFonts w:ascii="Times New Roman" w:hAnsi="Times New Roman" w:cs="Times New Roman"/>
          <w:sz w:val="24"/>
          <w:szCs w:val="24"/>
        </w:rPr>
        <w:t xml:space="preserve"> or adapted from pre-existing scales. Perceived value is conceptualized as referring to functional value, i.e. the utility derived from the product in terms of the price paid. The four-item scale for functional value proposed by Sweeney and Soutar (2001) was adopted. </w:t>
      </w:r>
      <w:r w:rsidR="00BD7788">
        <w:rPr>
          <w:rFonts w:ascii="Times New Roman" w:hAnsi="Times New Roman" w:cs="Times New Roman"/>
          <w:sz w:val="24"/>
          <w:szCs w:val="24"/>
        </w:rPr>
        <w:t>Re</w:t>
      </w:r>
      <w:r w:rsidR="005F06A7">
        <w:rPr>
          <w:rFonts w:ascii="Times New Roman" w:hAnsi="Times New Roman" w:cs="Times New Roman"/>
          <w:sz w:val="24"/>
          <w:szCs w:val="24"/>
        </w:rPr>
        <w:t>p</w:t>
      </w:r>
      <w:r w:rsidR="00BD7788">
        <w:rPr>
          <w:rFonts w:ascii="Times New Roman" w:hAnsi="Times New Roman" w:cs="Times New Roman"/>
          <w:sz w:val="24"/>
          <w:szCs w:val="24"/>
        </w:rPr>
        <w:t>utation was measured using</w:t>
      </w:r>
      <w:r w:rsidR="009C1026" w:rsidRPr="001E657A">
        <w:rPr>
          <w:rFonts w:ascii="Times New Roman" w:hAnsi="Times New Roman" w:cs="Times New Roman"/>
          <w:sz w:val="24"/>
          <w:szCs w:val="24"/>
        </w:rPr>
        <w:t xml:space="preserve"> the three-item scale </w:t>
      </w:r>
      <w:r w:rsidR="00BD7788">
        <w:rPr>
          <w:rFonts w:ascii="Times New Roman" w:hAnsi="Times New Roman" w:cs="Times New Roman"/>
          <w:sz w:val="24"/>
          <w:szCs w:val="24"/>
        </w:rPr>
        <w:t>developed</w:t>
      </w:r>
      <w:r w:rsidR="009C1026" w:rsidRPr="001E657A">
        <w:rPr>
          <w:rFonts w:ascii="Times New Roman" w:hAnsi="Times New Roman" w:cs="Times New Roman"/>
          <w:sz w:val="24"/>
          <w:szCs w:val="24"/>
        </w:rPr>
        <w:t xml:space="preserve"> by Keh and Xie (2009)</w:t>
      </w:r>
      <w:r w:rsidR="00A35219">
        <w:rPr>
          <w:rFonts w:ascii="Times New Roman" w:hAnsi="Times New Roman" w:cs="Times New Roman"/>
          <w:sz w:val="24"/>
          <w:szCs w:val="24"/>
        </w:rPr>
        <w:t>;</w:t>
      </w:r>
      <w:r w:rsidR="00BD7788">
        <w:rPr>
          <w:rFonts w:ascii="Times New Roman" w:hAnsi="Times New Roman" w:cs="Times New Roman"/>
          <w:sz w:val="24"/>
          <w:szCs w:val="24"/>
        </w:rPr>
        <w:t xml:space="preserve"> t</w:t>
      </w:r>
      <w:r w:rsidR="009C1026" w:rsidRPr="001E657A">
        <w:rPr>
          <w:rFonts w:ascii="Times New Roman" w:hAnsi="Times New Roman" w:cs="Times New Roman"/>
          <w:sz w:val="24"/>
          <w:szCs w:val="24"/>
        </w:rPr>
        <w:t xml:space="preserve">rust was measured </w:t>
      </w:r>
      <w:r w:rsidR="00BD7788">
        <w:rPr>
          <w:rFonts w:ascii="Times New Roman" w:hAnsi="Times New Roman" w:cs="Times New Roman"/>
          <w:sz w:val="24"/>
          <w:szCs w:val="24"/>
        </w:rPr>
        <w:t>using</w:t>
      </w:r>
      <w:r w:rsidR="009C1026" w:rsidRPr="001E657A">
        <w:rPr>
          <w:rFonts w:ascii="Times New Roman" w:hAnsi="Times New Roman" w:cs="Times New Roman"/>
          <w:sz w:val="24"/>
          <w:szCs w:val="24"/>
        </w:rPr>
        <w:t xml:space="preserve"> </w:t>
      </w:r>
      <w:r w:rsidR="00BD7788" w:rsidRPr="00BD7788">
        <w:rPr>
          <w:rFonts w:ascii="Times New Roman" w:hAnsi="Times New Roman" w:cs="Times New Roman"/>
          <w:sz w:val="24"/>
          <w:szCs w:val="24"/>
        </w:rPr>
        <w:t>Sichtmann</w:t>
      </w:r>
      <w:r w:rsidR="00BD7788">
        <w:rPr>
          <w:rFonts w:ascii="Times New Roman" w:hAnsi="Times New Roman" w:cs="Times New Roman"/>
          <w:sz w:val="24"/>
          <w:szCs w:val="24"/>
        </w:rPr>
        <w:t>’s</w:t>
      </w:r>
      <w:r w:rsidR="00BD7788" w:rsidRPr="00BD7788">
        <w:rPr>
          <w:rFonts w:ascii="Times New Roman" w:hAnsi="Times New Roman" w:cs="Times New Roman"/>
          <w:sz w:val="24"/>
          <w:szCs w:val="24"/>
        </w:rPr>
        <w:t xml:space="preserve"> (2007)</w:t>
      </w:r>
      <w:r w:rsidR="009C1026" w:rsidRPr="001E657A">
        <w:rPr>
          <w:rFonts w:ascii="Times New Roman" w:hAnsi="Times New Roman" w:cs="Times New Roman"/>
          <w:sz w:val="24"/>
          <w:szCs w:val="24"/>
        </w:rPr>
        <w:t xml:space="preserve"> four-item scale</w:t>
      </w:r>
      <w:r w:rsidR="00A35219">
        <w:rPr>
          <w:rFonts w:ascii="Times New Roman" w:hAnsi="Times New Roman" w:cs="Times New Roman"/>
          <w:sz w:val="24"/>
          <w:szCs w:val="24"/>
        </w:rPr>
        <w:t xml:space="preserve">; and </w:t>
      </w:r>
      <w:r w:rsidR="009C1026" w:rsidRPr="001E657A">
        <w:rPr>
          <w:rFonts w:ascii="Times New Roman" w:hAnsi="Times New Roman" w:cs="Times New Roman"/>
          <w:sz w:val="24"/>
          <w:szCs w:val="24"/>
        </w:rPr>
        <w:t xml:space="preserve">convenience </w:t>
      </w:r>
      <w:r w:rsidR="00A35219">
        <w:rPr>
          <w:rFonts w:ascii="Times New Roman" w:hAnsi="Times New Roman" w:cs="Times New Roman"/>
          <w:sz w:val="24"/>
          <w:szCs w:val="24"/>
        </w:rPr>
        <w:t>was measured using a</w:t>
      </w:r>
      <w:r w:rsidR="00E92243">
        <w:rPr>
          <w:rFonts w:ascii="Times New Roman" w:hAnsi="Times New Roman" w:cs="Times New Roman"/>
          <w:sz w:val="24"/>
          <w:szCs w:val="24"/>
        </w:rPr>
        <w:t>n</w:t>
      </w:r>
      <w:r w:rsidR="00A35219">
        <w:rPr>
          <w:rFonts w:ascii="Times New Roman" w:hAnsi="Times New Roman" w:cs="Times New Roman"/>
          <w:sz w:val="24"/>
          <w:szCs w:val="24"/>
        </w:rPr>
        <w:t xml:space="preserve"> eight-item scale</w:t>
      </w:r>
      <w:r w:rsidR="00D25E66">
        <w:rPr>
          <w:rFonts w:ascii="Times New Roman" w:hAnsi="Times New Roman" w:cs="Times New Roman"/>
          <w:sz w:val="24"/>
          <w:szCs w:val="24"/>
        </w:rPr>
        <w:t xml:space="preserve"> </w:t>
      </w:r>
      <w:r w:rsidR="009C1026" w:rsidRPr="001E657A">
        <w:rPr>
          <w:rFonts w:ascii="Times New Roman" w:hAnsi="Times New Roman" w:cs="Times New Roman"/>
          <w:sz w:val="24"/>
          <w:szCs w:val="24"/>
        </w:rPr>
        <w:t>from Colwell et al. (2008) and Seiders et al. (2007).</w:t>
      </w:r>
      <w:r w:rsidR="00DD6F8A">
        <w:rPr>
          <w:rFonts w:ascii="Times New Roman" w:hAnsi="Times New Roman" w:cs="Times New Roman"/>
          <w:sz w:val="24"/>
          <w:szCs w:val="24"/>
        </w:rPr>
        <w:t xml:space="preserve"> Additionally</w:t>
      </w:r>
      <w:r w:rsidR="008711AE">
        <w:rPr>
          <w:rFonts w:ascii="Times New Roman" w:hAnsi="Times New Roman" w:cs="Times New Roman"/>
          <w:sz w:val="24"/>
          <w:szCs w:val="24"/>
        </w:rPr>
        <w:t>, a scale was developed for rollover propensity</w:t>
      </w:r>
      <w:r w:rsidR="00BD7788">
        <w:rPr>
          <w:rFonts w:ascii="Times New Roman" w:hAnsi="Times New Roman" w:cs="Times New Roman"/>
          <w:sz w:val="24"/>
          <w:szCs w:val="24"/>
        </w:rPr>
        <w:t>,</w:t>
      </w:r>
      <w:r w:rsidR="008711AE">
        <w:rPr>
          <w:rFonts w:ascii="Times New Roman" w:hAnsi="Times New Roman" w:cs="Times New Roman"/>
          <w:sz w:val="24"/>
          <w:szCs w:val="24"/>
        </w:rPr>
        <w:t xml:space="preserve"> </w:t>
      </w:r>
      <w:r w:rsidR="007533F8">
        <w:rPr>
          <w:rFonts w:ascii="Times New Roman" w:hAnsi="Times New Roman" w:cs="Times New Roman"/>
          <w:sz w:val="24"/>
          <w:szCs w:val="24"/>
        </w:rPr>
        <w:t xml:space="preserve">to measure </w:t>
      </w:r>
      <w:r w:rsidR="009C1026" w:rsidRPr="001E657A">
        <w:rPr>
          <w:rFonts w:ascii="Times New Roman" w:hAnsi="Times New Roman" w:cs="Times New Roman"/>
          <w:sz w:val="24"/>
          <w:szCs w:val="24"/>
        </w:rPr>
        <w:t xml:space="preserve">consumers’ attitudes and behavioral intentions toward </w:t>
      </w:r>
      <w:r w:rsidR="001802E9">
        <w:rPr>
          <w:rFonts w:ascii="Times New Roman" w:hAnsi="Times New Roman" w:cs="Times New Roman"/>
          <w:sz w:val="24"/>
          <w:szCs w:val="24"/>
        </w:rPr>
        <w:t>RSC</w:t>
      </w:r>
      <w:r w:rsidR="00EB41E5">
        <w:rPr>
          <w:rFonts w:ascii="Times New Roman" w:hAnsi="Times New Roman" w:cs="Times New Roman"/>
          <w:sz w:val="24"/>
          <w:szCs w:val="24"/>
        </w:rPr>
        <w:t>s.</w:t>
      </w:r>
      <w:r w:rsidR="009C1026" w:rsidRPr="001E657A">
        <w:rPr>
          <w:rFonts w:ascii="Times New Roman" w:hAnsi="Times New Roman" w:cs="Times New Roman"/>
          <w:sz w:val="24"/>
          <w:szCs w:val="24"/>
        </w:rPr>
        <w:t xml:space="preserve"> </w:t>
      </w:r>
      <w:r w:rsidR="00646D3F">
        <w:rPr>
          <w:rFonts w:ascii="Times New Roman" w:hAnsi="Times New Roman" w:cs="Times New Roman"/>
          <w:sz w:val="24"/>
          <w:szCs w:val="24"/>
        </w:rPr>
        <w:t xml:space="preserve">Two </w:t>
      </w:r>
      <w:r w:rsidR="009C1026" w:rsidRPr="001E657A">
        <w:rPr>
          <w:rFonts w:ascii="Times New Roman" w:hAnsi="Times New Roman" w:cs="Times New Roman"/>
          <w:sz w:val="24"/>
          <w:szCs w:val="24"/>
        </w:rPr>
        <w:t xml:space="preserve">focus groups </w:t>
      </w:r>
      <w:r w:rsidR="00646D3F">
        <w:rPr>
          <w:rFonts w:ascii="Times New Roman" w:hAnsi="Times New Roman" w:cs="Times New Roman"/>
          <w:sz w:val="24"/>
          <w:szCs w:val="24"/>
        </w:rPr>
        <w:t>of service</w:t>
      </w:r>
      <w:r w:rsidR="009779D5">
        <w:rPr>
          <w:rFonts w:ascii="Times New Roman" w:hAnsi="Times New Roman" w:cs="Times New Roman"/>
          <w:sz w:val="24"/>
          <w:szCs w:val="24"/>
        </w:rPr>
        <w:t xml:space="preserve"> consumers were </w:t>
      </w:r>
      <w:r w:rsidR="00AE46C5">
        <w:rPr>
          <w:rFonts w:ascii="Times New Roman" w:hAnsi="Times New Roman" w:cs="Times New Roman"/>
          <w:sz w:val="24"/>
          <w:szCs w:val="24"/>
        </w:rPr>
        <w:t>convened</w:t>
      </w:r>
      <w:r w:rsidR="009C1026" w:rsidRPr="001E657A">
        <w:rPr>
          <w:rFonts w:ascii="Times New Roman" w:hAnsi="Times New Roman" w:cs="Times New Roman"/>
          <w:sz w:val="24"/>
          <w:szCs w:val="24"/>
        </w:rPr>
        <w:t xml:space="preserve"> for scale generation and scale refinement</w:t>
      </w:r>
      <w:r w:rsidR="00AE46C5">
        <w:rPr>
          <w:rFonts w:ascii="Times New Roman" w:hAnsi="Times New Roman" w:cs="Times New Roman"/>
          <w:sz w:val="24"/>
          <w:szCs w:val="24"/>
        </w:rPr>
        <w:t xml:space="preserve"> purposes. </w:t>
      </w:r>
      <w:r w:rsidR="00BC0D95">
        <w:rPr>
          <w:rFonts w:ascii="Times New Roman" w:hAnsi="Times New Roman" w:cs="Times New Roman"/>
          <w:sz w:val="24"/>
          <w:szCs w:val="24"/>
        </w:rPr>
        <w:t>T</w:t>
      </w:r>
      <w:r w:rsidR="009C1026" w:rsidRPr="001E657A">
        <w:rPr>
          <w:rFonts w:ascii="Times New Roman" w:hAnsi="Times New Roman" w:cs="Times New Roman"/>
          <w:sz w:val="24"/>
          <w:szCs w:val="24"/>
        </w:rPr>
        <w:t xml:space="preserve">he </w:t>
      </w:r>
      <w:r w:rsidR="000F31CC">
        <w:rPr>
          <w:rFonts w:ascii="Times New Roman" w:hAnsi="Times New Roman" w:cs="Times New Roman"/>
          <w:sz w:val="24"/>
          <w:szCs w:val="24"/>
        </w:rPr>
        <w:t xml:space="preserve">resultant </w:t>
      </w:r>
      <w:r w:rsidR="009C1026" w:rsidRPr="001E657A">
        <w:rPr>
          <w:rFonts w:ascii="Times New Roman" w:hAnsi="Times New Roman" w:cs="Times New Roman"/>
          <w:sz w:val="24"/>
          <w:szCs w:val="24"/>
        </w:rPr>
        <w:t xml:space="preserve">scale </w:t>
      </w:r>
      <w:r w:rsidR="00BC0D95">
        <w:rPr>
          <w:rFonts w:ascii="Times New Roman" w:hAnsi="Times New Roman" w:cs="Times New Roman"/>
          <w:sz w:val="24"/>
          <w:szCs w:val="24"/>
        </w:rPr>
        <w:t xml:space="preserve">combined </w:t>
      </w:r>
      <w:r w:rsidR="009C1026" w:rsidRPr="001E657A">
        <w:rPr>
          <w:rFonts w:ascii="Times New Roman" w:hAnsi="Times New Roman" w:cs="Times New Roman"/>
          <w:sz w:val="24"/>
          <w:szCs w:val="24"/>
        </w:rPr>
        <w:t xml:space="preserve">measures </w:t>
      </w:r>
      <w:r w:rsidR="00ED4BAA">
        <w:rPr>
          <w:rFonts w:ascii="Times New Roman" w:hAnsi="Times New Roman" w:cs="Times New Roman"/>
          <w:sz w:val="24"/>
          <w:szCs w:val="24"/>
        </w:rPr>
        <w:t xml:space="preserve">for </w:t>
      </w:r>
      <w:r w:rsidR="009C1026" w:rsidRPr="001E657A">
        <w:rPr>
          <w:rFonts w:ascii="Times New Roman" w:hAnsi="Times New Roman" w:cs="Times New Roman"/>
          <w:sz w:val="24"/>
          <w:szCs w:val="24"/>
        </w:rPr>
        <w:t>both consumer attitudes (e.g. “I think rollover contracts are a good idea”) and intended behaviors (“I would sign automatically renewing contracts”), the two theoretical elements of consumer loyalty (Watson et al., 2015).</w:t>
      </w:r>
      <w:r w:rsidR="00ED4BAA">
        <w:rPr>
          <w:rFonts w:ascii="Times New Roman" w:hAnsi="Times New Roman" w:cs="Times New Roman"/>
          <w:sz w:val="24"/>
          <w:szCs w:val="24"/>
        </w:rPr>
        <w:t xml:space="preserve"> </w:t>
      </w:r>
      <w:r w:rsidR="009C1026" w:rsidRPr="009C1026">
        <w:rPr>
          <w:rFonts w:ascii="Times New Roman" w:hAnsi="Times New Roman" w:cs="Times New Roman"/>
          <w:sz w:val="24"/>
          <w:szCs w:val="24"/>
        </w:rPr>
        <w:t xml:space="preserve">Likert scale statements were used to measure all variables, where 1 = strongly disagree and 7 = strongly agree. </w:t>
      </w:r>
      <w:r w:rsidR="000F31CC">
        <w:rPr>
          <w:rFonts w:ascii="Times New Roman" w:hAnsi="Times New Roman" w:cs="Times New Roman"/>
          <w:sz w:val="24"/>
          <w:szCs w:val="24"/>
        </w:rPr>
        <w:t>All the scales used in the study were tested for internal reliability</w:t>
      </w:r>
      <w:r w:rsidR="0004708A">
        <w:rPr>
          <w:rFonts w:ascii="Times New Roman" w:hAnsi="Times New Roman" w:cs="Times New Roman"/>
          <w:sz w:val="24"/>
          <w:szCs w:val="24"/>
        </w:rPr>
        <w:t>,</w:t>
      </w:r>
      <w:r w:rsidR="000F31CC">
        <w:rPr>
          <w:rFonts w:ascii="Times New Roman" w:hAnsi="Times New Roman" w:cs="Times New Roman"/>
          <w:sz w:val="24"/>
          <w:szCs w:val="24"/>
        </w:rPr>
        <w:t xml:space="preserve"> </w:t>
      </w:r>
      <w:r w:rsidR="0004708A">
        <w:rPr>
          <w:rFonts w:ascii="Times New Roman" w:hAnsi="Times New Roman" w:cs="Times New Roman"/>
          <w:sz w:val="24"/>
          <w:szCs w:val="24"/>
        </w:rPr>
        <w:t>and</w:t>
      </w:r>
      <w:r w:rsidR="00B34E6A">
        <w:rPr>
          <w:rFonts w:ascii="Times New Roman" w:hAnsi="Times New Roman" w:cs="Times New Roman"/>
          <w:sz w:val="24"/>
          <w:szCs w:val="24"/>
        </w:rPr>
        <w:t xml:space="preserve"> very good outcomes </w:t>
      </w:r>
      <w:r w:rsidR="0004708A">
        <w:rPr>
          <w:rFonts w:ascii="Times New Roman" w:hAnsi="Times New Roman" w:cs="Times New Roman"/>
          <w:sz w:val="24"/>
          <w:szCs w:val="24"/>
        </w:rPr>
        <w:t xml:space="preserve">were </w:t>
      </w:r>
      <w:r w:rsidR="00B34E6A">
        <w:rPr>
          <w:rFonts w:ascii="Times New Roman" w:hAnsi="Times New Roman" w:cs="Times New Roman"/>
          <w:sz w:val="24"/>
          <w:szCs w:val="24"/>
        </w:rPr>
        <w:t xml:space="preserve">achieved </w:t>
      </w:r>
      <w:r w:rsidR="000F31CC">
        <w:rPr>
          <w:rFonts w:ascii="Times New Roman" w:hAnsi="Times New Roman" w:cs="Times New Roman"/>
          <w:sz w:val="24"/>
          <w:szCs w:val="24"/>
        </w:rPr>
        <w:t>(</w:t>
      </w:r>
      <w:r w:rsidR="000F31CC" w:rsidRPr="00100EA3">
        <w:rPr>
          <w:rFonts w:ascii="Times New Roman" w:hAnsi="Times New Roman" w:cs="Times New Roman"/>
          <w:sz w:val="24"/>
          <w:szCs w:val="24"/>
        </w:rPr>
        <w:t>Cronbach’s alpha</w:t>
      </w:r>
      <w:r w:rsidR="000F31CC">
        <w:rPr>
          <w:rFonts w:ascii="Times New Roman" w:hAnsi="Times New Roman" w:cs="Times New Roman"/>
          <w:sz w:val="24"/>
          <w:szCs w:val="24"/>
        </w:rPr>
        <w:t xml:space="preserve"> scores rang</w:t>
      </w:r>
      <w:r w:rsidR="0004708A">
        <w:rPr>
          <w:rFonts w:ascii="Times New Roman" w:hAnsi="Times New Roman" w:cs="Times New Roman"/>
          <w:sz w:val="24"/>
          <w:szCs w:val="24"/>
        </w:rPr>
        <w:t>ed</w:t>
      </w:r>
      <w:r w:rsidR="000F31CC">
        <w:rPr>
          <w:rFonts w:ascii="Times New Roman" w:hAnsi="Times New Roman" w:cs="Times New Roman"/>
          <w:sz w:val="24"/>
          <w:szCs w:val="24"/>
        </w:rPr>
        <w:t xml:space="preserve"> from .82</w:t>
      </w:r>
      <w:r w:rsidR="00AC6219">
        <w:rPr>
          <w:rFonts w:ascii="Times New Roman" w:hAnsi="Times New Roman" w:cs="Times New Roman"/>
          <w:sz w:val="24"/>
          <w:szCs w:val="24"/>
        </w:rPr>
        <w:t xml:space="preserve"> to </w:t>
      </w:r>
      <w:r w:rsidR="000F31CC">
        <w:rPr>
          <w:rFonts w:ascii="Times New Roman" w:hAnsi="Times New Roman" w:cs="Times New Roman"/>
          <w:sz w:val="24"/>
          <w:szCs w:val="24"/>
        </w:rPr>
        <w:t>.95).</w:t>
      </w:r>
    </w:p>
    <w:p w14:paraId="35FDA10D" w14:textId="621E303C" w:rsidR="00F95CD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To identify the influences of a number of contributors to service loyalty on consumers’ attitudes and </w:t>
      </w:r>
      <w:r w:rsidR="00857738">
        <w:rPr>
          <w:rFonts w:ascii="Times New Roman" w:hAnsi="Times New Roman" w:cs="Times New Roman"/>
          <w:sz w:val="24"/>
          <w:szCs w:val="24"/>
        </w:rPr>
        <w:t xml:space="preserve">intended </w:t>
      </w:r>
      <w:r w:rsidRPr="009C1026">
        <w:rPr>
          <w:rFonts w:ascii="Times New Roman" w:hAnsi="Times New Roman" w:cs="Times New Roman"/>
          <w:sz w:val="24"/>
          <w:szCs w:val="24"/>
        </w:rPr>
        <w:t xml:space="preserve">behavior toward </w:t>
      </w:r>
      <w:r w:rsidR="001802E9">
        <w:rPr>
          <w:rFonts w:ascii="Times New Roman" w:hAnsi="Times New Roman" w:cs="Times New Roman"/>
          <w:sz w:val="24"/>
          <w:szCs w:val="24"/>
        </w:rPr>
        <w:t>RSC</w:t>
      </w:r>
      <w:r w:rsidR="00BB1E15">
        <w:rPr>
          <w:rFonts w:ascii="Times New Roman" w:hAnsi="Times New Roman" w:cs="Times New Roman"/>
          <w:sz w:val="24"/>
          <w:szCs w:val="24"/>
        </w:rPr>
        <w:t>s</w:t>
      </w:r>
      <w:r w:rsidRPr="009C1026">
        <w:rPr>
          <w:rFonts w:ascii="Times New Roman" w:hAnsi="Times New Roman" w:cs="Times New Roman"/>
          <w:sz w:val="24"/>
          <w:szCs w:val="24"/>
        </w:rPr>
        <w:t xml:space="preserve"> (rollover propensity), a sample of adult consumers</w:t>
      </w:r>
      <w:r w:rsidR="002346EC">
        <w:rPr>
          <w:rFonts w:ascii="Times New Roman" w:hAnsi="Times New Roman" w:cs="Times New Roman"/>
          <w:sz w:val="24"/>
          <w:szCs w:val="24"/>
        </w:rPr>
        <w:t xml:space="preserve"> </w:t>
      </w:r>
      <w:r w:rsidRPr="009C1026">
        <w:rPr>
          <w:rFonts w:ascii="Times New Roman" w:hAnsi="Times New Roman" w:cs="Times New Roman"/>
          <w:sz w:val="24"/>
          <w:szCs w:val="24"/>
        </w:rPr>
        <w:t xml:space="preserve">in the Emirate of Dubai </w:t>
      </w:r>
      <w:r w:rsidR="00900207">
        <w:rPr>
          <w:rFonts w:ascii="Times New Roman" w:hAnsi="Times New Roman" w:cs="Times New Roman"/>
          <w:sz w:val="24"/>
          <w:szCs w:val="24"/>
        </w:rPr>
        <w:t>(N = 425; 54% female)</w:t>
      </w:r>
      <w:r w:rsidR="00900207" w:rsidRPr="009C1026">
        <w:rPr>
          <w:rFonts w:ascii="Times New Roman" w:hAnsi="Times New Roman" w:cs="Times New Roman"/>
          <w:sz w:val="24"/>
          <w:szCs w:val="24"/>
        </w:rPr>
        <w:t xml:space="preserve"> </w:t>
      </w:r>
      <w:r w:rsidRPr="009C1026">
        <w:rPr>
          <w:rFonts w:ascii="Times New Roman" w:hAnsi="Times New Roman" w:cs="Times New Roman"/>
          <w:sz w:val="24"/>
          <w:szCs w:val="24"/>
        </w:rPr>
        <w:t>completed a questionnaire</w:t>
      </w:r>
      <w:r w:rsidR="008030AD">
        <w:rPr>
          <w:rFonts w:ascii="Times New Roman" w:hAnsi="Times New Roman" w:cs="Times New Roman"/>
          <w:sz w:val="24"/>
          <w:szCs w:val="24"/>
        </w:rPr>
        <w:t>,</w:t>
      </w:r>
      <w:r w:rsidR="007D1224">
        <w:rPr>
          <w:rFonts w:ascii="Times New Roman" w:hAnsi="Times New Roman" w:cs="Times New Roman"/>
          <w:sz w:val="24"/>
          <w:szCs w:val="24"/>
        </w:rPr>
        <w:t xml:space="preserve"> using a combination of postal and online </w:t>
      </w:r>
      <w:r w:rsidR="0055081D">
        <w:rPr>
          <w:rFonts w:ascii="Times New Roman" w:hAnsi="Times New Roman" w:cs="Times New Roman"/>
          <w:sz w:val="24"/>
          <w:szCs w:val="24"/>
        </w:rPr>
        <w:t>survey methods.</w:t>
      </w:r>
      <w:r w:rsidR="00BB1E15">
        <w:rPr>
          <w:rFonts w:ascii="Times New Roman" w:hAnsi="Times New Roman" w:cs="Times New Roman"/>
          <w:sz w:val="24"/>
          <w:szCs w:val="24"/>
        </w:rPr>
        <w:t xml:space="preserve"> </w:t>
      </w:r>
      <w:r w:rsidRPr="009C1026">
        <w:rPr>
          <w:rFonts w:ascii="Times New Roman" w:hAnsi="Times New Roman" w:cs="Times New Roman"/>
          <w:sz w:val="24"/>
          <w:szCs w:val="24"/>
        </w:rPr>
        <w:t xml:space="preserve">The chain referral technique was employed </w:t>
      </w:r>
      <w:r w:rsidR="00217718" w:rsidRPr="009C1026">
        <w:rPr>
          <w:rFonts w:ascii="Times New Roman" w:hAnsi="Times New Roman" w:cs="Times New Roman"/>
          <w:sz w:val="24"/>
          <w:szCs w:val="24"/>
        </w:rPr>
        <w:t>to maximize sample size and to increase respondent diversity</w:t>
      </w:r>
      <w:r w:rsidR="00217718">
        <w:rPr>
          <w:rFonts w:ascii="Times New Roman" w:hAnsi="Times New Roman" w:cs="Times New Roman"/>
          <w:sz w:val="24"/>
          <w:szCs w:val="24"/>
        </w:rPr>
        <w:t>.</w:t>
      </w:r>
    </w:p>
    <w:p w14:paraId="3B2D5892" w14:textId="77777777" w:rsidR="00733B5D" w:rsidRDefault="00733B5D" w:rsidP="00733B5D">
      <w:pPr>
        <w:spacing w:after="0" w:line="240" w:lineRule="auto"/>
        <w:ind w:firstLine="360"/>
        <w:jc w:val="both"/>
        <w:rPr>
          <w:rFonts w:ascii="Times New Roman" w:hAnsi="Times New Roman" w:cs="Times New Roman"/>
          <w:sz w:val="24"/>
          <w:szCs w:val="24"/>
        </w:rPr>
      </w:pPr>
    </w:p>
    <w:p w14:paraId="628924FA" w14:textId="7A695401" w:rsidR="00F95CD6" w:rsidRPr="00AC3C8A" w:rsidRDefault="00F95CD6" w:rsidP="00733B5D">
      <w:pPr>
        <w:spacing w:line="240" w:lineRule="auto"/>
        <w:jc w:val="both"/>
        <w:rPr>
          <w:rFonts w:ascii="Times New Roman" w:hAnsi="Times New Roman" w:cs="Times New Roman"/>
          <w:b/>
          <w:bCs/>
          <w:i/>
          <w:iCs/>
          <w:sz w:val="24"/>
          <w:szCs w:val="24"/>
        </w:rPr>
      </w:pPr>
      <w:r w:rsidRPr="00AC3C8A">
        <w:rPr>
          <w:rFonts w:ascii="Times New Roman" w:hAnsi="Times New Roman" w:cs="Times New Roman"/>
          <w:b/>
          <w:bCs/>
          <w:i/>
          <w:iCs/>
          <w:sz w:val="24"/>
          <w:szCs w:val="24"/>
        </w:rPr>
        <w:t xml:space="preserve">Preliminary </w:t>
      </w:r>
      <w:r w:rsidR="004975D9">
        <w:rPr>
          <w:rFonts w:ascii="Times New Roman" w:hAnsi="Times New Roman" w:cs="Times New Roman"/>
          <w:b/>
          <w:bCs/>
          <w:i/>
          <w:iCs/>
          <w:sz w:val="24"/>
          <w:szCs w:val="24"/>
        </w:rPr>
        <w:t>t</w:t>
      </w:r>
      <w:r w:rsidRPr="00AC3C8A">
        <w:rPr>
          <w:rFonts w:ascii="Times New Roman" w:hAnsi="Times New Roman" w:cs="Times New Roman"/>
          <w:b/>
          <w:bCs/>
          <w:i/>
          <w:iCs/>
          <w:sz w:val="24"/>
          <w:szCs w:val="24"/>
        </w:rPr>
        <w:t>ests</w:t>
      </w:r>
    </w:p>
    <w:p w14:paraId="6C0E07F9" w14:textId="15E651E7" w:rsidR="004975D9" w:rsidRDefault="00217718" w:rsidP="00733B5D">
      <w:pPr>
        <w:spacing w:after="0" w:line="240" w:lineRule="auto"/>
        <w:jc w:val="both"/>
        <w:rPr>
          <w:rFonts w:ascii="Times New Roman" w:hAnsi="Times New Roman" w:cs="Times New Roman"/>
          <w:sz w:val="24"/>
          <w:szCs w:val="24"/>
        </w:rPr>
      </w:pPr>
      <w:r w:rsidRPr="009C1026">
        <w:rPr>
          <w:rFonts w:ascii="Times New Roman" w:hAnsi="Times New Roman" w:cs="Times New Roman"/>
          <w:sz w:val="24"/>
          <w:szCs w:val="24"/>
        </w:rPr>
        <w:t>To determine whether common method bias may pose a serious threat to the interpretation of the study’s findings</w:t>
      </w:r>
      <w:r>
        <w:rPr>
          <w:rFonts w:ascii="Times New Roman" w:hAnsi="Times New Roman" w:cs="Times New Roman"/>
          <w:sz w:val="24"/>
          <w:szCs w:val="24"/>
        </w:rPr>
        <w:t xml:space="preserve"> (Podsakoff, et al. 2003)</w:t>
      </w:r>
      <w:r w:rsidRPr="009C1026">
        <w:rPr>
          <w:rFonts w:ascii="Times New Roman" w:hAnsi="Times New Roman" w:cs="Times New Roman"/>
          <w:sz w:val="24"/>
          <w:szCs w:val="24"/>
        </w:rPr>
        <w:t>, Harman’s single factor test was used</w:t>
      </w:r>
      <w:r>
        <w:rPr>
          <w:sz w:val="23"/>
          <w:szCs w:val="23"/>
        </w:rPr>
        <w:t xml:space="preserve">. </w:t>
      </w:r>
      <w:r w:rsidRPr="009C1026">
        <w:rPr>
          <w:rFonts w:ascii="Times New Roman" w:hAnsi="Times New Roman" w:cs="Times New Roman"/>
          <w:sz w:val="24"/>
          <w:szCs w:val="24"/>
        </w:rPr>
        <w:t xml:space="preserve">The results indicate that </w:t>
      </w:r>
      <w:r>
        <w:rPr>
          <w:rFonts w:ascii="Times New Roman" w:hAnsi="Times New Roman" w:cs="Times New Roman"/>
          <w:sz w:val="24"/>
          <w:szCs w:val="24"/>
        </w:rPr>
        <w:t xml:space="preserve">the </w:t>
      </w:r>
      <w:r w:rsidRPr="009C1026">
        <w:rPr>
          <w:rFonts w:ascii="Times New Roman" w:hAnsi="Times New Roman" w:cs="Times New Roman"/>
          <w:sz w:val="24"/>
          <w:szCs w:val="24"/>
        </w:rPr>
        <w:t xml:space="preserve">one factor </w:t>
      </w:r>
      <w:r>
        <w:rPr>
          <w:rFonts w:ascii="Times New Roman" w:hAnsi="Times New Roman" w:cs="Times New Roman"/>
          <w:sz w:val="24"/>
          <w:szCs w:val="24"/>
        </w:rPr>
        <w:t xml:space="preserve">solution </w:t>
      </w:r>
      <w:r w:rsidRPr="009C1026">
        <w:rPr>
          <w:rFonts w:ascii="Times New Roman" w:hAnsi="Times New Roman" w:cs="Times New Roman"/>
          <w:sz w:val="24"/>
          <w:szCs w:val="24"/>
        </w:rPr>
        <w:t xml:space="preserve">explains </w:t>
      </w:r>
      <w:r>
        <w:rPr>
          <w:rFonts w:ascii="Times New Roman" w:hAnsi="Times New Roman" w:cs="Times New Roman"/>
          <w:sz w:val="24"/>
          <w:szCs w:val="24"/>
        </w:rPr>
        <w:t>&lt; 50% variance, suggesting</w:t>
      </w:r>
      <w:r w:rsidRPr="009C1026">
        <w:rPr>
          <w:rFonts w:ascii="Times New Roman" w:hAnsi="Times New Roman" w:cs="Times New Roman"/>
          <w:sz w:val="24"/>
          <w:szCs w:val="24"/>
        </w:rPr>
        <w:t xml:space="preserve"> common method bias </w:t>
      </w:r>
      <w:r w:rsidR="00824F81">
        <w:rPr>
          <w:rFonts w:ascii="Times New Roman" w:hAnsi="Times New Roman" w:cs="Times New Roman"/>
          <w:sz w:val="24"/>
          <w:szCs w:val="24"/>
        </w:rPr>
        <w:t xml:space="preserve">is </w:t>
      </w:r>
      <w:r>
        <w:rPr>
          <w:rFonts w:ascii="Times New Roman" w:hAnsi="Times New Roman" w:cs="Times New Roman"/>
          <w:sz w:val="24"/>
          <w:szCs w:val="24"/>
        </w:rPr>
        <w:t>not a</w:t>
      </w:r>
      <w:r w:rsidRPr="009C1026">
        <w:rPr>
          <w:rFonts w:ascii="Times New Roman" w:hAnsi="Times New Roman" w:cs="Times New Roman"/>
          <w:sz w:val="24"/>
          <w:szCs w:val="24"/>
        </w:rPr>
        <w:t xml:space="preserve"> problem in our data</w:t>
      </w:r>
      <w:r>
        <w:rPr>
          <w:rFonts w:ascii="Times New Roman" w:hAnsi="Times New Roman" w:cs="Times New Roman"/>
          <w:sz w:val="24"/>
          <w:szCs w:val="24"/>
        </w:rPr>
        <w:t>.</w:t>
      </w:r>
      <w:r w:rsidR="00897844">
        <w:rPr>
          <w:rFonts w:ascii="Times New Roman" w:hAnsi="Times New Roman" w:cs="Times New Roman"/>
          <w:sz w:val="24"/>
          <w:szCs w:val="24"/>
        </w:rPr>
        <w:t xml:space="preserve"> </w:t>
      </w:r>
      <w:r w:rsidR="002E72A2">
        <w:rPr>
          <w:rFonts w:ascii="Times New Roman" w:hAnsi="Times New Roman" w:cs="Times New Roman"/>
          <w:sz w:val="24"/>
          <w:szCs w:val="24"/>
        </w:rPr>
        <w:t>C</w:t>
      </w:r>
      <w:r w:rsidR="003F3DA1">
        <w:rPr>
          <w:rFonts w:ascii="Times New Roman" w:hAnsi="Times New Roman" w:cs="Times New Roman"/>
          <w:sz w:val="24"/>
          <w:szCs w:val="24"/>
        </w:rPr>
        <w:t xml:space="preserve">onstruct validity and reliability </w:t>
      </w:r>
      <w:r w:rsidR="00B334BE">
        <w:rPr>
          <w:rFonts w:ascii="Times New Roman" w:hAnsi="Times New Roman" w:cs="Times New Roman"/>
          <w:sz w:val="24"/>
          <w:szCs w:val="24"/>
        </w:rPr>
        <w:t xml:space="preserve">were </w:t>
      </w:r>
      <w:r w:rsidR="00C5011E">
        <w:rPr>
          <w:rFonts w:ascii="Times New Roman" w:hAnsi="Times New Roman" w:cs="Times New Roman"/>
          <w:sz w:val="24"/>
          <w:szCs w:val="24"/>
        </w:rPr>
        <w:t>evaluated</w:t>
      </w:r>
      <w:r w:rsidR="00B334BE">
        <w:rPr>
          <w:rFonts w:ascii="Times New Roman" w:hAnsi="Times New Roman" w:cs="Times New Roman"/>
          <w:sz w:val="24"/>
          <w:szCs w:val="24"/>
        </w:rPr>
        <w:t xml:space="preserve"> using </w:t>
      </w:r>
      <w:r w:rsidR="003F3DA1">
        <w:rPr>
          <w:rFonts w:ascii="Times New Roman" w:hAnsi="Times New Roman" w:cs="Times New Roman"/>
          <w:sz w:val="24"/>
          <w:szCs w:val="24"/>
        </w:rPr>
        <w:t>c</w:t>
      </w:r>
      <w:r w:rsidR="00B334BE">
        <w:rPr>
          <w:rFonts w:ascii="Times New Roman" w:hAnsi="Times New Roman" w:cs="Times New Roman"/>
          <w:sz w:val="24"/>
          <w:szCs w:val="24"/>
        </w:rPr>
        <w:t xml:space="preserve">onfirmatory </w:t>
      </w:r>
      <w:r w:rsidR="003F3DA1">
        <w:rPr>
          <w:rFonts w:ascii="Times New Roman" w:hAnsi="Times New Roman" w:cs="Times New Roman"/>
          <w:sz w:val="24"/>
          <w:szCs w:val="24"/>
        </w:rPr>
        <w:t>f</w:t>
      </w:r>
      <w:r w:rsidR="00B334BE">
        <w:rPr>
          <w:rFonts w:ascii="Times New Roman" w:hAnsi="Times New Roman" w:cs="Times New Roman"/>
          <w:sz w:val="24"/>
          <w:szCs w:val="24"/>
        </w:rPr>
        <w:t>actor analysis (CFA).</w:t>
      </w:r>
      <w:r w:rsidR="002D075C">
        <w:rPr>
          <w:rFonts w:ascii="Times New Roman" w:hAnsi="Times New Roman" w:cs="Times New Roman"/>
          <w:sz w:val="24"/>
          <w:szCs w:val="24"/>
        </w:rPr>
        <w:t xml:space="preserve"> </w:t>
      </w:r>
      <w:r w:rsidRPr="009C1026">
        <w:rPr>
          <w:rFonts w:ascii="Times New Roman" w:hAnsi="Times New Roman" w:cs="Times New Roman"/>
          <w:sz w:val="24"/>
          <w:szCs w:val="24"/>
        </w:rPr>
        <w:t>Convergent validity was assessed, to ensure that the items in each construct have a high proportion of variance in common. One item in the convenience construct</w:t>
      </w:r>
      <w:r>
        <w:rPr>
          <w:rFonts w:ascii="Times New Roman" w:hAnsi="Times New Roman" w:cs="Times New Roman"/>
          <w:sz w:val="24"/>
          <w:szCs w:val="24"/>
        </w:rPr>
        <w:t xml:space="preserve"> </w:t>
      </w:r>
      <w:r w:rsidRPr="009C1026">
        <w:rPr>
          <w:rFonts w:ascii="Times New Roman" w:hAnsi="Times New Roman" w:cs="Times New Roman"/>
          <w:sz w:val="24"/>
          <w:szCs w:val="24"/>
        </w:rPr>
        <w:t>had a loading slightly lower than .50, so this item was deleted. All of the remaining standardized factor loadings exceed the .50 threshold value (Hair et al., 2014). Composite reliability is an indicator of the shared variance among the set of observed variables for each construct</w:t>
      </w:r>
      <w:r w:rsidR="000C2B05">
        <w:rPr>
          <w:rFonts w:ascii="Times New Roman" w:hAnsi="Times New Roman" w:cs="Times New Roman"/>
          <w:sz w:val="24"/>
          <w:szCs w:val="24"/>
        </w:rPr>
        <w:t xml:space="preserve">. </w:t>
      </w:r>
      <w:r w:rsidRPr="009C1026">
        <w:rPr>
          <w:rFonts w:ascii="Times New Roman" w:hAnsi="Times New Roman" w:cs="Times New Roman"/>
          <w:sz w:val="24"/>
          <w:szCs w:val="24"/>
        </w:rPr>
        <w:t xml:space="preserve">The composite reliability value for each latent construct is shown in Table </w:t>
      </w:r>
      <w:r>
        <w:rPr>
          <w:rFonts w:ascii="Times New Roman" w:hAnsi="Times New Roman" w:cs="Times New Roman"/>
          <w:sz w:val="24"/>
          <w:szCs w:val="24"/>
        </w:rPr>
        <w:t>1</w:t>
      </w:r>
      <w:r w:rsidRPr="009C1026">
        <w:rPr>
          <w:rFonts w:ascii="Times New Roman" w:hAnsi="Times New Roman" w:cs="Times New Roman"/>
          <w:sz w:val="24"/>
          <w:szCs w:val="24"/>
        </w:rPr>
        <w:t>. The smallest value is .83, which exceeds the .70 threshold. Thus, convergent validity and reliability for each construct is acceptable.</w:t>
      </w:r>
      <w:r w:rsidR="002E72A2">
        <w:rPr>
          <w:rFonts w:ascii="Times New Roman" w:hAnsi="Times New Roman" w:cs="Times New Roman"/>
          <w:sz w:val="24"/>
          <w:szCs w:val="24"/>
        </w:rPr>
        <w:t xml:space="preserve"> </w:t>
      </w:r>
    </w:p>
    <w:p w14:paraId="33B7A47B" w14:textId="7032EB82" w:rsidR="00F95CD6" w:rsidRDefault="00217718"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Discriminant validity was assessed to ensure that each construct is distinct from the others. Fornell and Larcker’s (1981) method compares the square root of the average variance extracted (AVE) with the correlations between the latent constructs. For discriminant validity to be acceptable, the square root of each construct’s AVE should exceed the correlations with other latent constructs. Table </w:t>
      </w:r>
      <w:r>
        <w:rPr>
          <w:rFonts w:ascii="Times New Roman" w:hAnsi="Times New Roman" w:cs="Times New Roman"/>
          <w:sz w:val="24"/>
          <w:szCs w:val="24"/>
        </w:rPr>
        <w:t>1</w:t>
      </w:r>
      <w:r w:rsidRPr="009C1026">
        <w:rPr>
          <w:rFonts w:ascii="Times New Roman" w:hAnsi="Times New Roman" w:cs="Times New Roman"/>
          <w:sz w:val="24"/>
          <w:szCs w:val="24"/>
        </w:rPr>
        <w:t xml:space="preserve"> confirms that this criterion is satisfied.</w:t>
      </w:r>
      <w:r>
        <w:rPr>
          <w:rFonts w:ascii="Times New Roman" w:hAnsi="Times New Roman" w:cs="Times New Roman"/>
          <w:sz w:val="24"/>
          <w:szCs w:val="24"/>
        </w:rPr>
        <w:t xml:space="preserve"> </w:t>
      </w:r>
      <w:r w:rsidRPr="009C1026">
        <w:rPr>
          <w:rFonts w:ascii="Times New Roman" w:hAnsi="Times New Roman" w:cs="Times New Roman"/>
          <w:sz w:val="24"/>
          <w:szCs w:val="24"/>
        </w:rPr>
        <w:t xml:space="preserve">Finally, a battery of fit indices were used to assess how well the data fits the hypothesized model. The results suggest a good fit between the data and the five factor model: </w:t>
      </w:r>
      <w:r w:rsidRPr="00482071">
        <w:rPr>
          <w:rFonts w:ascii="Times New Roman" w:hAnsi="Times New Roman" w:cs="Times New Roman"/>
          <w:i/>
          <w:iCs/>
          <w:sz w:val="24"/>
          <w:szCs w:val="24"/>
        </w:rPr>
        <w:t>χ</w:t>
      </w:r>
      <w:r w:rsidRPr="00482071">
        <w:rPr>
          <w:rFonts w:ascii="Times New Roman" w:hAnsi="Times New Roman" w:cs="Times New Roman"/>
          <w:sz w:val="24"/>
          <w:szCs w:val="24"/>
          <w:vertAlign w:val="superscript"/>
        </w:rPr>
        <w:t>2</w:t>
      </w:r>
      <w:r w:rsidRPr="009C1026">
        <w:rPr>
          <w:rFonts w:ascii="Times New Roman" w:hAnsi="Times New Roman" w:cs="Times New Roman"/>
          <w:sz w:val="24"/>
          <w:szCs w:val="24"/>
        </w:rPr>
        <w:t xml:space="preserve">(174) = 344.37, </w:t>
      </w:r>
      <w:r w:rsidRPr="00482071">
        <w:rPr>
          <w:rFonts w:ascii="Times New Roman" w:hAnsi="Times New Roman" w:cs="Times New Roman"/>
          <w:i/>
          <w:iCs/>
          <w:sz w:val="24"/>
          <w:szCs w:val="24"/>
        </w:rPr>
        <w:t>p</w:t>
      </w:r>
      <w:r w:rsidRPr="009C1026">
        <w:rPr>
          <w:rFonts w:ascii="Times New Roman" w:hAnsi="Times New Roman" w:cs="Times New Roman"/>
          <w:sz w:val="24"/>
          <w:szCs w:val="24"/>
        </w:rPr>
        <w:t xml:space="preserve"> &lt; .001; </w:t>
      </w:r>
      <w:r w:rsidRPr="00482071">
        <w:rPr>
          <w:rFonts w:ascii="Times New Roman" w:hAnsi="Times New Roman" w:cs="Times New Roman"/>
          <w:i/>
          <w:iCs/>
          <w:sz w:val="24"/>
          <w:szCs w:val="24"/>
        </w:rPr>
        <w:t>χ</w:t>
      </w:r>
      <w:r w:rsidRPr="00482071">
        <w:rPr>
          <w:rFonts w:ascii="Times New Roman" w:hAnsi="Times New Roman" w:cs="Times New Roman"/>
          <w:sz w:val="24"/>
          <w:szCs w:val="24"/>
          <w:vertAlign w:val="superscript"/>
        </w:rPr>
        <w:t>2</w:t>
      </w:r>
      <w:r w:rsidRPr="009C1026">
        <w:rPr>
          <w:rFonts w:ascii="Times New Roman" w:hAnsi="Times New Roman" w:cs="Times New Roman"/>
          <w:sz w:val="24"/>
          <w:szCs w:val="24"/>
        </w:rPr>
        <w:t>/</w:t>
      </w:r>
      <w:r w:rsidRPr="00482071">
        <w:rPr>
          <w:rFonts w:ascii="Times New Roman" w:hAnsi="Times New Roman" w:cs="Times New Roman"/>
          <w:i/>
          <w:iCs/>
          <w:sz w:val="24"/>
          <w:szCs w:val="24"/>
        </w:rPr>
        <w:t>df</w:t>
      </w:r>
      <w:r w:rsidRPr="009C1026">
        <w:rPr>
          <w:rFonts w:ascii="Times New Roman" w:hAnsi="Times New Roman" w:cs="Times New Roman"/>
          <w:sz w:val="24"/>
          <w:szCs w:val="24"/>
        </w:rPr>
        <w:t xml:space="preserve"> = 1.98; goodness-of-fit index (GFI) = .927; Tucker-Lewis index (TLI) = .970; comparative fit index (CFI) = .975; and root mean square error of approximation (RMSEA) = .048.</w:t>
      </w:r>
    </w:p>
    <w:p w14:paraId="6C81DBC6" w14:textId="77777777" w:rsidR="00733B5D" w:rsidRDefault="00733B5D" w:rsidP="00733B5D">
      <w:pPr>
        <w:spacing w:after="0" w:line="240" w:lineRule="auto"/>
        <w:ind w:firstLine="360"/>
        <w:jc w:val="both"/>
        <w:rPr>
          <w:rFonts w:ascii="Times New Roman" w:hAnsi="Times New Roman" w:cs="Times New Roman"/>
          <w:sz w:val="24"/>
          <w:szCs w:val="24"/>
        </w:rPr>
      </w:pPr>
    </w:p>
    <w:p w14:paraId="638D6A47" w14:textId="1680BF3E" w:rsidR="00F01E5B" w:rsidRPr="00AC3C8A" w:rsidRDefault="00AC3C8A" w:rsidP="00733B5D">
      <w:pPr>
        <w:spacing w:line="240" w:lineRule="auto"/>
        <w:rPr>
          <w:rFonts w:ascii="Times New Roman" w:hAnsi="Times New Roman" w:cs="Times New Roman"/>
          <w:b/>
          <w:bCs/>
          <w:sz w:val="24"/>
          <w:szCs w:val="24"/>
        </w:rPr>
      </w:pPr>
      <w:r w:rsidRPr="00AC3C8A">
        <w:rPr>
          <w:rFonts w:ascii="Times New Roman" w:hAnsi="Times New Roman" w:cs="Times New Roman"/>
          <w:b/>
          <w:bCs/>
          <w:sz w:val="24"/>
          <w:szCs w:val="24"/>
        </w:rPr>
        <w:t>Results</w:t>
      </w:r>
    </w:p>
    <w:p w14:paraId="1206733F" w14:textId="0DFFC5E1" w:rsidR="00B051DA" w:rsidRDefault="00F01E5B" w:rsidP="00733B5D">
      <w:pPr>
        <w:spacing w:after="0" w:line="240" w:lineRule="auto"/>
        <w:jc w:val="both"/>
        <w:rPr>
          <w:rFonts w:ascii="Times New Roman" w:hAnsi="Times New Roman" w:cs="Times New Roman"/>
          <w:sz w:val="24"/>
          <w:szCs w:val="24"/>
        </w:rPr>
      </w:pPr>
      <w:r w:rsidRPr="009C1026">
        <w:rPr>
          <w:rFonts w:ascii="Times New Roman" w:hAnsi="Times New Roman" w:cs="Times New Roman"/>
          <w:sz w:val="24"/>
          <w:szCs w:val="24"/>
        </w:rPr>
        <w:t>Hierarchical regression analysis was conducted to assess the extent to which perceived value, reputatio</w:t>
      </w:r>
      <w:r w:rsidR="008F48BA">
        <w:rPr>
          <w:rFonts w:ascii="Times New Roman" w:hAnsi="Times New Roman" w:cs="Times New Roman"/>
          <w:sz w:val="24"/>
          <w:szCs w:val="24"/>
        </w:rPr>
        <w:t xml:space="preserve">n, </w:t>
      </w:r>
      <w:r w:rsidRPr="009C1026">
        <w:rPr>
          <w:rFonts w:ascii="Times New Roman" w:hAnsi="Times New Roman" w:cs="Times New Roman"/>
          <w:sz w:val="24"/>
          <w:szCs w:val="24"/>
        </w:rPr>
        <w:t>trust</w:t>
      </w:r>
      <w:r w:rsidR="008F48BA">
        <w:rPr>
          <w:rFonts w:ascii="Times New Roman" w:hAnsi="Times New Roman" w:cs="Times New Roman"/>
          <w:sz w:val="24"/>
          <w:szCs w:val="24"/>
        </w:rPr>
        <w:t>,</w:t>
      </w:r>
      <w:r w:rsidRPr="009C1026">
        <w:rPr>
          <w:rFonts w:ascii="Times New Roman" w:hAnsi="Times New Roman" w:cs="Times New Roman"/>
          <w:sz w:val="24"/>
          <w:szCs w:val="24"/>
        </w:rPr>
        <w:t xml:space="preserve"> and convenience are associated with consumer</w:t>
      </w:r>
      <w:r>
        <w:rPr>
          <w:rFonts w:ascii="Times New Roman" w:hAnsi="Times New Roman" w:cs="Times New Roman"/>
          <w:sz w:val="24"/>
          <w:szCs w:val="24"/>
        </w:rPr>
        <w:t>s’</w:t>
      </w:r>
      <w:r w:rsidRPr="009C1026">
        <w:rPr>
          <w:rFonts w:ascii="Times New Roman" w:hAnsi="Times New Roman" w:cs="Times New Roman"/>
          <w:sz w:val="24"/>
          <w:szCs w:val="24"/>
        </w:rPr>
        <w:t xml:space="preserve"> attitudes and intended behavior toward </w:t>
      </w:r>
      <w:r w:rsidR="001802E9">
        <w:rPr>
          <w:rFonts w:ascii="Times New Roman" w:hAnsi="Times New Roman" w:cs="Times New Roman"/>
          <w:sz w:val="24"/>
          <w:szCs w:val="24"/>
        </w:rPr>
        <w:t>RSC</w:t>
      </w:r>
      <w:r>
        <w:rPr>
          <w:rFonts w:ascii="Times New Roman" w:hAnsi="Times New Roman" w:cs="Times New Roman"/>
          <w:sz w:val="24"/>
          <w:szCs w:val="24"/>
        </w:rPr>
        <w:t xml:space="preserve">s. </w:t>
      </w:r>
      <w:r w:rsidRPr="009C1026">
        <w:rPr>
          <w:rFonts w:ascii="Times New Roman" w:hAnsi="Times New Roman" w:cs="Times New Roman"/>
          <w:sz w:val="24"/>
          <w:szCs w:val="24"/>
        </w:rPr>
        <w:t>This approach enables the researcher to evaluate the relationships between the independent variables and the dependent variable, establish mediation effects, and</w:t>
      </w:r>
      <w:r>
        <w:rPr>
          <w:rFonts w:ascii="Times New Roman" w:hAnsi="Times New Roman" w:cs="Times New Roman"/>
          <w:sz w:val="24"/>
          <w:szCs w:val="24"/>
        </w:rPr>
        <w:t xml:space="preserve"> </w:t>
      </w:r>
      <w:r w:rsidRPr="009C1026">
        <w:rPr>
          <w:rFonts w:ascii="Times New Roman" w:hAnsi="Times New Roman" w:cs="Times New Roman"/>
          <w:sz w:val="24"/>
          <w:szCs w:val="24"/>
        </w:rPr>
        <w:t xml:space="preserve">assess the extent to which each group of variables contributed to the explanatory value of the model. </w:t>
      </w:r>
    </w:p>
    <w:p w14:paraId="332C68E7" w14:textId="6930381D" w:rsidR="00C414B4" w:rsidRDefault="00D119F0"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The demographic variables of gender, education and income are used as the control variables in the initial model (Model 1)</w:t>
      </w:r>
      <w:r w:rsidR="001E30A8">
        <w:rPr>
          <w:rFonts w:ascii="Times New Roman" w:hAnsi="Times New Roman" w:cs="Times New Roman"/>
          <w:sz w:val="24"/>
          <w:szCs w:val="24"/>
        </w:rPr>
        <w:t>,</w:t>
      </w:r>
      <w:r w:rsidRPr="009C1026">
        <w:rPr>
          <w:rFonts w:ascii="Times New Roman" w:hAnsi="Times New Roman" w:cs="Times New Roman"/>
          <w:sz w:val="24"/>
          <w:szCs w:val="24"/>
        </w:rPr>
        <w:t xml:space="preserve"> which explains 9.7% (</w:t>
      </w:r>
      <w:r w:rsidRPr="00EC2485">
        <w:rPr>
          <w:rFonts w:ascii="Times New Roman" w:hAnsi="Times New Roman" w:cs="Times New Roman"/>
          <w:i/>
          <w:iCs/>
          <w:sz w:val="24"/>
          <w:szCs w:val="24"/>
        </w:rPr>
        <w:t>R</w:t>
      </w:r>
      <w:r w:rsidRPr="00EC2485">
        <w:rPr>
          <w:rFonts w:ascii="Times New Roman" w:hAnsi="Times New Roman" w:cs="Times New Roman"/>
          <w:sz w:val="24"/>
          <w:szCs w:val="24"/>
          <w:vertAlign w:val="superscript"/>
        </w:rPr>
        <w:t>2</w:t>
      </w:r>
      <w:r w:rsidRPr="009C1026">
        <w:rPr>
          <w:rFonts w:ascii="Times New Roman" w:hAnsi="Times New Roman" w:cs="Times New Roman"/>
          <w:sz w:val="24"/>
          <w:szCs w:val="24"/>
        </w:rPr>
        <w:t xml:space="preserve"> = .097) of the variance in the dependent variable. </w:t>
      </w:r>
      <w:r w:rsidR="00C414B4" w:rsidRPr="009C1026">
        <w:rPr>
          <w:rFonts w:ascii="Times New Roman" w:hAnsi="Times New Roman" w:cs="Times New Roman"/>
          <w:sz w:val="24"/>
          <w:szCs w:val="24"/>
        </w:rPr>
        <w:t>The addition of perceived value in Model 2 results in a modest improvement in the predictive ability of the model (</w:t>
      </w:r>
      <w:r w:rsidR="00C414B4" w:rsidRPr="00EC2485">
        <w:rPr>
          <w:rFonts w:ascii="Times New Roman" w:hAnsi="Times New Roman" w:cs="Times New Roman"/>
          <w:i/>
          <w:iCs/>
          <w:sz w:val="24"/>
          <w:szCs w:val="24"/>
        </w:rPr>
        <w:t>R</w:t>
      </w:r>
      <w:r w:rsidR="00C414B4" w:rsidRPr="00EC2485">
        <w:rPr>
          <w:rFonts w:ascii="Times New Roman" w:hAnsi="Times New Roman" w:cs="Times New Roman"/>
          <w:sz w:val="24"/>
          <w:szCs w:val="24"/>
          <w:vertAlign w:val="superscript"/>
        </w:rPr>
        <w:t>2</w:t>
      </w:r>
      <w:r w:rsidR="00C414B4" w:rsidRPr="009C1026">
        <w:rPr>
          <w:rFonts w:ascii="Times New Roman" w:hAnsi="Times New Roman" w:cs="Times New Roman"/>
          <w:sz w:val="24"/>
          <w:szCs w:val="24"/>
        </w:rPr>
        <w:t xml:space="preserve"> = .112). In addition to gender (</w:t>
      </w:r>
      <w:r w:rsidR="00C414B4" w:rsidRPr="00EC2485">
        <w:rPr>
          <w:rFonts w:ascii="Times New Roman" w:hAnsi="Times New Roman" w:cs="Times New Roman"/>
          <w:i/>
          <w:iCs/>
          <w:sz w:val="24"/>
          <w:szCs w:val="24"/>
        </w:rPr>
        <w:t>β</w:t>
      </w:r>
      <w:r w:rsidR="00C414B4" w:rsidRPr="009C1026">
        <w:rPr>
          <w:rFonts w:ascii="Times New Roman" w:hAnsi="Times New Roman" w:cs="Times New Roman"/>
          <w:sz w:val="24"/>
          <w:szCs w:val="24"/>
        </w:rPr>
        <w:t xml:space="preserve"> = .17, </w:t>
      </w:r>
      <w:r w:rsidR="00C414B4" w:rsidRPr="00EC2485">
        <w:rPr>
          <w:rFonts w:ascii="Times New Roman" w:hAnsi="Times New Roman" w:cs="Times New Roman"/>
          <w:i/>
          <w:iCs/>
          <w:sz w:val="24"/>
          <w:szCs w:val="24"/>
        </w:rPr>
        <w:t>p</w:t>
      </w:r>
      <w:r w:rsidR="00C414B4" w:rsidRPr="009C1026">
        <w:rPr>
          <w:rFonts w:ascii="Times New Roman" w:hAnsi="Times New Roman" w:cs="Times New Roman"/>
          <w:sz w:val="24"/>
          <w:szCs w:val="24"/>
        </w:rPr>
        <w:t xml:space="preserve"> &lt; .001) and income (</w:t>
      </w:r>
      <w:r w:rsidR="00C414B4" w:rsidRPr="00EC2485">
        <w:rPr>
          <w:rFonts w:ascii="Times New Roman" w:hAnsi="Times New Roman" w:cs="Times New Roman"/>
          <w:i/>
          <w:iCs/>
          <w:sz w:val="24"/>
          <w:szCs w:val="24"/>
        </w:rPr>
        <w:t>β</w:t>
      </w:r>
      <w:r w:rsidR="00C414B4" w:rsidRPr="009C1026">
        <w:rPr>
          <w:rFonts w:ascii="Times New Roman" w:hAnsi="Times New Roman" w:cs="Times New Roman"/>
          <w:sz w:val="24"/>
          <w:szCs w:val="24"/>
        </w:rPr>
        <w:t xml:space="preserve"> = .24, </w:t>
      </w:r>
      <w:r w:rsidR="00C414B4" w:rsidRPr="00EC2485">
        <w:rPr>
          <w:rFonts w:ascii="Times New Roman" w:hAnsi="Times New Roman" w:cs="Times New Roman"/>
          <w:i/>
          <w:iCs/>
          <w:sz w:val="24"/>
          <w:szCs w:val="24"/>
        </w:rPr>
        <w:t>p</w:t>
      </w:r>
      <w:r w:rsidR="00C414B4" w:rsidRPr="009C1026">
        <w:rPr>
          <w:rFonts w:ascii="Times New Roman" w:hAnsi="Times New Roman" w:cs="Times New Roman"/>
          <w:sz w:val="24"/>
          <w:szCs w:val="24"/>
        </w:rPr>
        <w:t xml:space="preserve"> &lt; .001) as demographic variables, perceived value is a significant predictor of rollover propensity (</w:t>
      </w:r>
      <w:r w:rsidR="00C414B4" w:rsidRPr="00EC2485">
        <w:rPr>
          <w:rFonts w:ascii="Times New Roman" w:hAnsi="Times New Roman" w:cs="Times New Roman"/>
          <w:i/>
          <w:iCs/>
          <w:sz w:val="24"/>
          <w:szCs w:val="24"/>
        </w:rPr>
        <w:t>β</w:t>
      </w:r>
      <w:r w:rsidR="00C414B4" w:rsidRPr="009C1026">
        <w:rPr>
          <w:rFonts w:ascii="Times New Roman" w:hAnsi="Times New Roman" w:cs="Times New Roman"/>
          <w:sz w:val="24"/>
          <w:szCs w:val="24"/>
        </w:rPr>
        <w:t xml:space="preserve"> = .13, </w:t>
      </w:r>
      <w:r w:rsidR="00C414B4" w:rsidRPr="00EC2485">
        <w:rPr>
          <w:rFonts w:ascii="Times New Roman" w:hAnsi="Times New Roman" w:cs="Times New Roman"/>
          <w:i/>
          <w:iCs/>
          <w:sz w:val="24"/>
          <w:szCs w:val="24"/>
        </w:rPr>
        <w:t>p</w:t>
      </w:r>
      <w:r w:rsidR="00C414B4" w:rsidRPr="009C1026">
        <w:rPr>
          <w:rFonts w:ascii="Times New Roman" w:hAnsi="Times New Roman" w:cs="Times New Roman"/>
          <w:sz w:val="24"/>
          <w:szCs w:val="24"/>
        </w:rPr>
        <w:t xml:space="preserve"> &lt; .01). In Model 3, reputation and trust are added to the demographic variables and perceived value. A consumer may perceive that a firm has a generally positive reputation, but they may be willing to sign a rollover contract only if they also trust the firm, hence the rationale for adding these two variables together. Adding reputation and trust to the model increases </w:t>
      </w:r>
      <w:r w:rsidR="00C414B4" w:rsidRPr="00EC2485">
        <w:rPr>
          <w:rFonts w:ascii="Times New Roman" w:hAnsi="Times New Roman" w:cs="Times New Roman"/>
          <w:i/>
          <w:iCs/>
          <w:sz w:val="24"/>
          <w:szCs w:val="24"/>
        </w:rPr>
        <w:t>R</w:t>
      </w:r>
      <w:r w:rsidR="00C414B4" w:rsidRPr="00EC2485">
        <w:rPr>
          <w:rFonts w:ascii="Times New Roman" w:hAnsi="Times New Roman" w:cs="Times New Roman"/>
          <w:sz w:val="24"/>
          <w:szCs w:val="24"/>
          <w:vertAlign w:val="superscript"/>
        </w:rPr>
        <w:t>2</w:t>
      </w:r>
      <w:r w:rsidR="00C414B4" w:rsidRPr="009C1026">
        <w:rPr>
          <w:rFonts w:ascii="Times New Roman" w:hAnsi="Times New Roman" w:cs="Times New Roman"/>
          <w:sz w:val="24"/>
          <w:szCs w:val="24"/>
        </w:rPr>
        <w:t xml:space="preserve"> to .278 (Δ</w:t>
      </w:r>
      <w:r w:rsidR="00C414B4" w:rsidRPr="00EC2485">
        <w:rPr>
          <w:rFonts w:ascii="Times New Roman" w:hAnsi="Times New Roman" w:cs="Times New Roman"/>
          <w:i/>
          <w:iCs/>
          <w:sz w:val="24"/>
          <w:szCs w:val="24"/>
        </w:rPr>
        <w:t>R</w:t>
      </w:r>
      <w:r w:rsidR="00C414B4" w:rsidRPr="00EC2485">
        <w:rPr>
          <w:rFonts w:ascii="Times New Roman" w:hAnsi="Times New Roman" w:cs="Times New Roman"/>
          <w:sz w:val="24"/>
          <w:szCs w:val="24"/>
          <w:vertAlign w:val="superscript"/>
        </w:rPr>
        <w:t>2</w:t>
      </w:r>
      <w:r w:rsidR="00C414B4" w:rsidRPr="009C1026">
        <w:rPr>
          <w:rFonts w:ascii="Times New Roman" w:hAnsi="Times New Roman" w:cs="Times New Roman"/>
          <w:sz w:val="24"/>
          <w:szCs w:val="24"/>
        </w:rPr>
        <w:t xml:space="preserve"> = .165, </w:t>
      </w:r>
      <w:r w:rsidR="00C414B4" w:rsidRPr="00EC2485">
        <w:rPr>
          <w:rFonts w:ascii="Times New Roman" w:hAnsi="Times New Roman" w:cs="Times New Roman"/>
          <w:i/>
          <w:iCs/>
          <w:sz w:val="24"/>
          <w:szCs w:val="24"/>
        </w:rPr>
        <w:t>p</w:t>
      </w:r>
      <w:r w:rsidR="00C414B4" w:rsidRPr="009C1026">
        <w:rPr>
          <w:rFonts w:ascii="Times New Roman" w:hAnsi="Times New Roman" w:cs="Times New Roman"/>
          <w:sz w:val="24"/>
          <w:szCs w:val="24"/>
        </w:rPr>
        <w:t xml:space="preserve"> &lt; .001), meaning that the model explains </w:t>
      </w:r>
      <w:r w:rsidR="00733B5D" w:rsidRPr="00733B5D">
        <w:rPr>
          <w:rFonts w:ascii="Times New Roman" w:hAnsi="Times New Roman" w:cs="Times New Roman"/>
          <w:sz w:val="24"/>
          <w:szCs w:val="24"/>
        </w:rPr>
        <w:t>27.8</w:t>
      </w:r>
      <w:r w:rsidR="00C414B4" w:rsidRPr="00733B5D">
        <w:rPr>
          <w:rFonts w:ascii="Times New Roman" w:hAnsi="Times New Roman" w:cs="Times New Roman"/>
          <w:sz w:val="24"/>
          <w:szCs w:val="24"/>
        </w:rPr>
        <w:t xml:space="preserve">% </w:t>
      </w:r>
      <w:r w:rsidR="00C414B4" w:rsidRPr="009C1026">
        <w:rPr>
          <w:rFonts w:ascii="Times New Roman" w:hAnsi="Times New Roman" w:cs="Times New Roman"/>
          <w:sz w:val="24"/>
          <w:szCs w:val="24"/>
        </w:rPr>
        <w:t>of the variance in rollover propensity. However, reputation is not a significant predictor of rollover, and perceived value turns from being significant in Model 2 to not significant in Model 3.</w:t>
      </w:r>
    </w:p>
    <w:p w14:paraId="48B7D958" w14:textId="77777777" w:rsidR="00034089" w:rsidRDefault="00C414B4"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Regression analysis was used to investigate whether trust mediates the effect of reputation on rollover propensity. The results indicate that reputation is a significant predictor of trust (</w:t>
      </w:r>
      <w:r w:rsidRPr="00EC2485">
        <w:rPr>
          <w:rFonts w:ascii="Times New Roman" w:hAnsi="Times New Roman" w:cs="Times New Roman"/>
          <w:i/>
          <w:iCs/>
          <w:sz w:val="24"/>
          <w:szCs w:val="24"/>
        </w:rPr>
        <w:t>β</w:t>
      </w:r>
      <w:r w:rsidRPr="009C1026">
        <w:rPr>
          <w:rFonts w:ascii="Times New Roman" w:hAnsi="Times New Roman" w:cs="Times New Roman"/>
          <w:sz w:val="24"/>
          <w:szCs w:val="24"/>
        </w:rPr>
        <w:t xml:space="preserve"> = .424, SE = .041, </w:t>
      </w:r>
      <w:r w:rsidRPr="00EC2485">
        <w:rPr>
          <w:rFonts w:ascii="Times New Roman" w:hAnsi="Times New Roman" w:cs="Times New Roman"/>
          <w:i/>
          <w:iCs/>
          <w:sz w:val="24"/>
          <w:szCs w:val="24"/>
        </w:rPr>
        <w:t>p</w:t>
      </w:r>
      <w:r w:rsidRPr="009C1026">
        <w:rPr>
          <w:rFonts w:ascii="Times New Roman" w:hAnsi="Times New Roman" w:cs="Times New Roman"/>
          <w:sz w:val="24"/>
          <w:szCs w:val="24"/>
        </w:rPr>
        <w:t xml:space="preserve"> &lt; .001), and that trust is a significant predictor of rollover (</w:t>
      </w:r>
      <w:r w:rsidRPr="00EC2485">
        <w:rPr>
          <w:rFonts w:ascii="Times New Roman" w:hAnsi="Times New Roman" w:cs="Times New Roman"/>
          <w:i/>
          <w:iCs/>
          <w:sz w:val="24"/>
          <w:szCs w:val="24"/>
        </w:rPr>
        <w:t>β</w:t>
      </w:r>
      <w:r w:rsidRPr="009C1026">
        <w:rPr>
          <w:rFonts w:ascii="Times New Roman" w:hAnsi="Times New Roman" w:cs="Times New Roman"/>
          <w:sz w:val="24"/>
          <w:szCs w:val="24"/>
        </w:rPr>
        <w:t xml:space="preserve"> = </w:t>
      </w:r>
      <w:r w:rsidR="000C4E9D" w:rsidRPr="009C1026">
        <w:rPr>
          <w:rFonts w:ascii="Times New Roman" w:hAnsi="Times New Roman" w:cs="Times New Roman"/>
          <w:sz w:val="24"/>
          <w:szCs w:val="24"/>
        </w:rPr>
        <w:t xml:space="preserve">.733, SE = .081, </w:t>
      </w:r>
      <w:r w:rsidR="000C4E9D" w:rsidRPr="00EC2485">
        <w:rPr>
          <w:rFonts w:ascii="Times New Roman" w:hAnsi="Times New Roman" w:cs="Times New Roman"/>
          <w:i/>
          <w:iCs/>
          <w:sz w:val="24"/>
          <w:szCs w:val="24"/>
        </w:rPr>
        <w:t>p</w:t>
      </w:r>
      <w:r w:rsidR="000C4E9D" w:rsidRPr="009C1026">
        <w:rPr>
          <w:rFonts w:ascii="Times New Roman" w:hAnsi="Times New Roman" w:cs="Times New Roman"/>
          <w:sz w:val="24"/>
          <w:szCs w:val="24"/>
        </w:rPr>
        <w:t xml:space="preserve"> &lt; .001). Thus, it can be concluded that trust mediates the effect of reputation on rollover propensity.</w:t>
      </w:r>
      <w:r w:rsidR="000C4E9D">
        <w:rPr>
          <w:rFonts w:ascii="Times New Roman" w:hAnsi="Times New Roman" w:cs="Times New Roman"/>
          <w:sz w:val="24"/>
          <w:szCs w:val="24"/>
        </w:rPr>
        <w:t xml:space="preserve"> </w:t>
      </w:r>
      <w:r w:rsidR="000C4E9D" w:rsidRPr="009C1026">
        <w:rPr>
          <w:rFonts w:ascii="Times New Roman" w:hAnsi="Times New Roman" w:cs="Times New Roman"/>
          <w:sz w:val="24"/>
          <w:szCs w:val="24"/>
        </w:rPr>
        <w:t>After controlling for trust as the mediator, reputation is no longer a significant predictor of rollover (</w:t>
      </w:r>
      <w:r w:rsidR="000C4E9D" w:rsidRPr="00EC2485">
        <w:rPr>
          <w:rFonts w:ascii="Times New Roman" w:hAnsi="Times New Roman" w:cs="Times New Roman"/>
          <w:i/>
          <w:iCs/>
          <w:sz w:val="24"/>
          <w:szCs w:val="24"/>
        </w:rPr>
        <w:t>β</w:t>
      </w:r>
      <w:r w:rsidR="000C4E9D" w:rsidRPr="009C1026">
        <w:rPr>
          <w:rFonts w:ascii="Times New Roman" w:hAnsi="Times New Roman" w:cs="Times New Roman"/>
          <w:sz w:val="24"/>
          <w:szCs w:val="24"/>
        </w:rPr>
        <w:t xml:space="preserve"> = .105, SE = .076, </w:t>
      </w:r>
      <w:r w:rsidR="000C4E9D" w:rsidRPr="00EC2485">
        <w:rPr>
          <w:rFonts w:ascii="Times New Roman" w:hAnsi="Times New Roman" w:cs="Times New Roman"/>
          <w:i/>
          <w:iCs/>
          <w:sz w:val="24"/>
          <w:szCs w:val="24"/>
        </w:rPr>
        <w:t>p</w:t>
      </w:r>
      <w:r w:rsidR="000C4E9D" w:rsidRPr="009C1026">
        <w:rPr>
          <w:rFonts w:ascii="Times New Roman" w:hAnsi="Times New Roman" w:cs="Times New Roman"/>
          <w:sz w:val="24"/>
          <w:szCs w:val="24"/>
        </w:rPr>
        <w:t xml:space="preserve"> = .168), consistent with full mediation. Approximately 20% of the variance in rollover is accounted for by the predictors (</w:t>
      </w:r>
      <w:r w:rsidR="000C4E9D" w:rsidRPr="00EC2485">
        <w:rPr>
          <w:rFonts w:ascii="Times New Roman" w:hAnsi="Times New Roman" w:cs="Times New Roman"/>
          <w:i/>
          <w:iCs/>
          <w:sz w:val="24"/>
          <w:szCs w:val="24"/>
        </w:rPr>
        <w:t>R</w:t>
      </w:r>
      <w:r w:rsidR="000C4E9D" w:rsidRPr="00EC2485">
        <w:rPr>
          <w:rFonts w:ascii="Times New Roman" w:hAnsi="Times New Roman" w:cs="Times New Roman"/>
          <w:sz w:val="24"/>
          <w:szCs w:val="24"/>
          <w:vertAlign w:val="superscript"/>
        </w:rPr>
        <w:t>2</w:t>
      </w:r>
      <w:r w:rsidR="000C4E9D" w:rsidRPr="009C1026">
        <w:rPr>
          <w:rFonts w:ascii="Times New Roman" w:hAnsi="Times New Roman" w:cs="Times New Roman"/>
          <w:sz w:val="24"/>
          <w:szCs w:val="24"/>
        </w:rPr>
        <w:t xml:space="preserve"> = .204). The indirect effect was tested using a percentile bootstrap estimation approach with 5,000 samples, implemented with the PROCESS macro, SPSS version 3.5. The results indicate a significant indirect effect of reputation on rollover propensity through trust (</w:t>
      </w:r>
      <w:r w:rsidR="000C4E9D" w:rsidRPr="00EC2485">
        <w:rPr>
          <w:rFonts w:ascii="Times New Roman" w:hAnsi="Times New Roman" w:cs="Times New Roman"/>
          <w:i/>
          <w:iCs/>
          <w:sz w:val="24"/>
          <w:szCs w:val="24"/>
        </w:rPr>
        <w:t>β</w:t>
      </w:r>
      <w:r w:rsidR="000C4E9D" w:rsidRPr="009C1026">
        <w:rPr>
          <w:rFonts w:ascii="Times New Roman" w:hAnsi="Times New Roman" w:cs="Times New Roman"/>
          <w:sz w:val="24"/>
          <w:szCs w:val="24"/>
        </w:rPr>
        <w:t xml:space="preserve"> = .311, SE = .054, 95% CI = .213, .424). In the final model (Model 4), convenience is added. Again, the </w:t>
      </w:r>
      <w:r w:rsidR="000C4E9D" w:rsidRPr="002A5FCB">
        <w:rPr>
          <w:rFonts w:ascii="Times New Roman" w:hAnsi="Times New Roman" w:cs="Times New Roman"/>
          <w:i/>
          <w:iCs/>
          <w:sz w:val="24"/>
          <w:szCs w:val="24"/>
        </w:rPr>
        <w:t>R</w:t>
      </w:r>
      <w:r w:rsidR="000C4E9D" w:rsidRPr="002A5FCB">
        <w:rPr>
          <w:rFonts w:ascii="Times New Roman" w:hAnsi="Times New Roman" w:cs="Times New Roman"/>
          <w:sz w:val="24"/>
          <w:szCs w:val="24"/>
          <w:vertAlign w:val="superscript"/>
        </w:rPr>
        <w:t>2</w:t>
      </w:r>
      <w:r w:rsidR="000C4E9D" w:rsidRPr="009C1026">
        <w:rPr>
          <w:rFonts w:ascii="Times New Roman" w:hAnsi="Times New Roman" w:cs="Times New Roman"/>
          <w:sz w:val="24"/>
          <w:szCs w:val="24"/>
        </w:rPr>
        <w:t xml:space="preserve"> increases, to .377 (Δ</w:t>
      </w:r>
      <w:r w:rsidR="000C4E9D" w:rsidRPr="00EC2485">
        <w:rPr>
          <w:rFonts w:ascii="Times New Roman" w:hAnsi="Times New Roman" w:cs="Times New Roman"/>
          <w:i/>
          <w:iCs/>
          <w:sz w:val="24"/>
          <w:szCs w:val="24"/>
        </w:rPr>
        <w:t>R</w:t>
      </w:r>
      <w:r w:rsidR="000C4E9D" w:rsidRPr="00EC2485">
        <w:rPr>
          <w:rFonts w:ascii="Times New Roman" w:hAnsi="Times New Roman" w:cs="Times New Roman"/>
          <w:sz w:val="24"/>
          <w:szCs w:val="24"/>
          <w:vertAlign w:val="superscript"/>
        </w:rPr>
        <w:t>2</w:t>
      </w:r>
      <w:r w:rsidR="000C4E9D" w:rsidRPr="009C1026">
        <w:rPr>
          <w:rFonts w:ascii="Times New Roman" w:hAnsi="Times New Roman" w:cs="Times New Roman"/>
          <w:sz w:val="24"/>
          <w:szCs w:val="24"/>
        </w:rPr>
        <w:t xml:space="preserve"> = .099, </w:t>
      </w:r>
      <w:r w:rsidR="000C4E9D" w:rsidRPr="00EC2485">
        <w:rPr>
          <w:rFonts w:ascii="Times New Roman" w:hAnsi="Times New Roman" w:cs="Times New Roman"/>
          <w:i/>
          <w:iCs/>
          <w:sz w:val="24"/>
          <w:szCs w:val="24"/>
        </w:rPr>
        <w:t>p</w:t>
      </w:r>
      <w:r w:rsidR="000C4E9D" w:rsidRPr="009C1026">
        <w:rPr>
          <w:rFonts w:ascii="Times New Roman" w:hAnsi="Times New Roman" w:cs="Times New Roman"/>
          <w:sz w:val="24"/>
          <w:szCs w:val="24"/>
        </w:rPr>
        <w:t xml:space="preserve"> &lt; .001), meaning that the final model explains 37.7% of the variance in rollover propensity (see Table </w:t>
      </w:r>
      <w:r w:rsidR="000C4E9D">
        <w:rPr>
          <w:rFonts w:ascii="Times New Roman" w:hAnsi="Times New Roman" w:cs="Times New Roman"/>
          <w:sz w:val="24"/>
          <w:szCs w:val="24"/>
        </w:rPr>
        <w:t>2</w:t>
      </w:r>
      <w:r w:rsidR="000C4E9D" w:rsidRPr="009C1026">
        <w:rPr>
          <w:rFonts w:ascii="Times New Roman" w:hAnsi="Times New Roman" w:cs="Times New Roman"/>
          <w:sz w:val="24"/>
          <w:szCs w:val="24"/>
        </w:rPr>
        <w:t xml:space="preserve">). </w:t>
      </w:r>
    </w:p>
    <w:p w14:paraId="77564299" w14:textId="1A5E2EEB" w:rsidR="000C4E9D" w:rsidRDefault="000C4E9D"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The following variables are significant predictors of rollover: gender</w:t>
      </w:r>
      <w:r>
        <w:rPr>
          <w:rFonts w:ascii="Times New Roman" w:hAnsi="Times New Roman" w:cs="Times New Roman"/>
          <w:sz w:val="24"/>
          <w:szCs w:val="24"/>
        </w:rPr>
        <w:t xml:space="preserve"> </w:t>
      </w:r>
      <w:r w:rsidRPr="009C1026">
        <w:rPr>
          <w:rFonts w:ascii="Times New Roman" w:hAnsi="Times New Roman" w:cs="Times New Roman"/>
          <w:sz w:val="24"/>
          <w:szCs w:val="24"/>
        </w:rPr>
        <w:t>(</w:t>
      </w:r>
      <w:r w:rsidRPr="00EC2485">
        <w:rPr>
          <w:rFonts w:ascii="Times New Roman" w:hAnsi="Times New Roman" w:cs="Times New Roman"/>
          <w:i/>
          <w:iCs/>
          <w:sz w:val="24"/>
          <w:szCs w:val="24"/>
        </w:rPr>
        <w:t>β</w:t>
      </w:r>
      <w:r w:rsidRPr="009C1026">
        <w:rPr>
          <w:rFonts w:ascii="Times New Roman" w:hAnsi="Times New Roman" w:cs="Times New Roman"/>
          <w:sz w:val="24"/>
          <w:szCs w:val="24"/>
        </w:rPr>
        <w:t xml:space="preserve"> = .10, </w:t>
      </w:r>
      <w:r w:rsidRPr="00EC2485">
        <w:rPr>
          <w:rFonts w:ascii="Times New Roman" w:hAnsi="Times New Roman" w:cs="Times New Roman"/>
          <w:i/>
          <w:iCs/>
          <w:sz w:val="24"/>
          <w:szCs w:val="24"/>
        </w:rPr>
        <w:t xml:space="preserve">p </w:t>
      </w:r>
      <w:r w:rsidRPr="009C1026">
        <w:rPr>
          <w:rFonts w:ascii="Times New Roman" w:hAnsi="Times New Roman" w:cs="Times New Roman"/>
          <w:sz w:val="24"/>
          <w:szCs w:val="24"/>
        </w:rPr>
        <w:t>&lt; .05); education (</w:t>
      </w:r>
      <w:r w:rsidRPr="00EC2485">
        <w:rPr>
          <w:rFonts w:ascii="Times New Roman" w:hAnsi="Times New Roman" w:cs="Times New Roman"/>
          <w:i/>
          <w:iCs/>
          <w:sz w:val="24"/>
          <w:szCs w:val="24"/>
        </w:rPr>
        <w:t>β</w:t>
      </w:r>
      <w:r w:rsidRPr="009C1026">
        <w:rPr>
          <w:rFonts w:ascii="Times New Roman" w:hAnsi="Times New Roman" w:cs="Times New Roman"/>
          <w:sz w:val="24"/>
          <w:szCs w:val="24"/>
        </w:rPr>
        <w:t xml:space="preserve"> = .10, </w:t>
      </w:r>
      <w:r w:rsidRPr="00EC2485">
        <w:rPr>
          <w:rFonts w:ascii="Times New Roman" w:hAnsi="Times New Roman" w:cs="Times New Roman"/>
          <w:i/>
          <w:iCs/>
          <w:sz w:val="24"/>
          <w:szCs w:val="24"/>
        </w:rPr>
        <w:t>p</w:t>
      </w:r>
      <w:r w:rsidRPr="009C1026">
        <w:rPr>
          <w:rFonts w:ascii="Times New Roman" w:hAnsi="Times New Roman" w:cs="Times New Roman"/>
          <w:sz w:val="24"/>
          <w:szCs w:val="24"/>
        </w:rPr>
        <w:t xml:space="preserve"> &lt; .05); income (</w:t>
      </w:r>
      <w:r w:rsidRPr="00EC2485">
        <w:rPr>
          <w:rFonts w:ascii="Times New Roman" w:hAnsi="Times New Roman" w:cs="Times New Roman"/>
          <w:i/>
          <w:iCs/>
          <w:sz w:val="24"/>
          <w:szCs w:val="24"/>
        </w:rPr>
        <w:t>β</w:t>
      </w:r>
      <w:r w:rsidRPr="009C1026">
        <w:rPr>
          <w:rFonts w:ascii="Times New Roman" w:hAnsi="Times New Roman" w:cs="Times New Roman"/>
          <w:sz w:val="24"/>
          <w:szCs w:val="24"/>
        </w:rPr>
        <w:t xml:space="preserve"> = .22, </w:t>
      </w:r>
      <w:r w:rsidRPr="00EC2485">
        <w:rPr>
          <w:rFonts w:ascii="Times New Roman" w:hAnsi="Times New Roman" w:cs="Times New Roman"/>
          <w:i/>
          <w:iCs/>
          <w:sz w:val="24"/>
          <w:szCs w:val="24"/>
        </w:rPr>
        <w:t>p</w:t>
      </w:r>
      <w:r w:rsidRPr="009C1026">
        <w:rPr>
          <w:rFonts w:ascii="Times New Roman" w:hAnsi="Times New Roman" w:cs="Times New Roman"/>
          <w:sz w:val="24"/>
          <w:szCs w:val="24"/>
        </w:rPr>
        <w:t xml:space="preserve"> &lt; .001); perceived value (</w:t>
      </w:r>
      <w:r w:rsidRPr="00EC2485">
        <w:rPr>
          <w:rFonts w:ascii="Times New Roman" w:hAnsi="Times New Roman" w:cs="Times New Roman"/>
          <w:i/>
          <w:iCs/>
          <w:sz w:val="24"/>
          <w:szCs w:val="24"/>
        </w:rPr>
        <w:t>β</w:t>
      </w:r>
      <w:r w:rsidRPr="009C1026">
        <w:rPr>
          <w:rFonts w:ascii="Times New Roman" w:hAnsi="Times New Roman" w:cs="Times New Roman"/>
          <w:sz w:val="24"/>
          <w:szCs w:val="24"/>
        </w:rPr>
        <w:t xml:space="preserve"> = .09, </w:t>
      </w:r>
      <w:r w:rsidRPr="00EC2485">
        <w:rPr>
          <w:rFonts w:ascii="Times New Roman" w:hAnsi="Times New Roman" w:cs="Times New Roman"/>
          <w:i/>
          <w:iCs/>
          <w:sz w:val="24"/>
          <w:szCs w:val="24"/>
        </w:rPr>
        <w:t>p</w:t>
      </w:r>
      <w:r w:rsidRPr="009C1026">
        <w:rPr>
          <w:rFonts w:ascii="Times New Roman" w:hAnsi="Times New Roman" w:cs="Times New Roman"/>
          <w:sz w:val="24"/>
          <w:szCs w:val="24"/>
        </w:rPr>
        <w:t xml:space="preserve"> &lt; .05); trust (</w:t>
      </w:r>
      <w:r w:rsidRPr="00EC2485">
        <w:rPr>
          <w:rFonts w:ascii="Times New Roman" w:hAnsi="Times New Roman" w:cs="Times New Roman"/>
          <w:i/>
          <w:iCs/>
          <w:sz w:val="24"/>
          <w:szCs w:val="24"/>
        </w:rPr>
        <w:t>β</w:t>
      </w:r>
      <w:r w:rsidRPr="009C1026">
        <w:rPr>
          <w:rFonts w:ascii="Times New Roman" w:hAnsi="Times New Roman" w:cs="Times New Roman"/>
          <w:sz w:val="24"/>
          <w:szCs w:val="24"/>
        </w:rPr>
        <w:t xml:space="preserve"> = .18, </w:t>
      </w:r>
      <w:r w:rsidRPr="00EC2485">
        <w:rPr>
          <w:rFonts w:ascii="Times New Roman" w:hAnsi="Times New Roman" w:cs="Times New Roman"/>
          <w:i/>
          <w:iCs/>
          <w:sz w:val="24"/>
          <w:szCs w:val="24"/>
        </w:rPr>
        <w:t>p</w:t>
      </w:r>
      <w:r w:rsidRPr="009C1026">
        <w:rPr>
          <w:rFonts w:ascii="Times New Roman" w:hAnsi="Times New Roman" w:cs="Times New Roman"/>
          <w:sz w:val="24"/>
          <w:szCs w:val="24"/>
        </w:rPr>
        <w:t xml:space="preserve"> &lt; .01); and convenience (</w:t>
      </w:r>
      <w:r w:rsidRPr="00EC2485">
        <w:rPr>
          <w:rFonts w:ascii="Times New Roman" w:hAnsi="Times New Roman" w:cs="Times New Roman"/>
          <w:i/>
          <w:iCs/>
          <w:sz w:val="24"/>
          <w:szCs w:val="24"/>
        </w:rPr>
        <w:t>β</w:t>
      </w:r>
      <w:r w:rsidRPr="009C1026">
        <w:rPr>
          <w:rFonts w:ascii="Times New Roman" w:hAnsi="Times New Roman" w:cs="Times New Roman"/>
          <w:sz w:val="24"/>
          <w:szCs w:val="24"/>
        </w:rPr>
        <w:t xml:space="preserve"> = .48, </w:t>
      </w:r>
      <w:r w:rsidRPr="00EC2485">
        <w:rPr>
          <w:rFonts w:ascii="Times New Roman" w:hAnsi="Times New Roman" w:cs="Times New Roman"/>
          <w:i/>
          <w:iCs/>
          <w:sz w:val="24"/>
          <w:szCs w:val="24"/>
        </w:rPr>
        <w:t>p</w:t>
      </w:r>
      <w:r w:rsidRPr="009C1026">
        <w:rPr>
          <w:rFonts w:ascii="Times New Roman" w:hAnsi="Times New Roman" w:cs="Times New Roman"/>
          <w:sz w:val="24"/>
          <w:szCs w:val="24"/>
        </w:rPr>
        <w:t xml:space="preserve"> &lt; .001). For the main study variables, it can be concluded that convenience has by far the greatest influence on consumers’ propensity </w:t>
      </w:r>
      <w:r w:rsidR="009E25FC">
        <w:rPr>
          <w:rFonts w:ascii="Times New Roman" w:hAnsi="Times New Roman" w:cs="Times New Roman"/>
          <w:sz w:val="24"/>
          <w:szCs w:val="24"/>
        </w:rPr>
        <w:t>for</w:t>
      </w:r>
      <w:r w:rsidRPr="009C1026">
        <w:rPr>
          <w:rFonts w:ascii="Times New Roman" w:hAnsi="Times New Roman" w:cs="Times New Roman"/>
          <w:sz w:val="24"/>
          <w:szCs w:val="24"/>
        </w:rPr>
        <w:t xml:space="preserve"> </w:t>
      </w:r>
      <w:r>
        <w:rPr>
          <w:rFonts w:ascii="Times New Roman" w:hAnsi="Times New Roman" w:cs="Times New Roman"/>
          <w:sz w:val="24"/>
          <w:szCs w:val="24"/>
        </w:rPr>
        <w:t>RSCs</w:t>
      </w:r>
      <w:r w:rsidRPr="009C1026">
        <w:rPr>
          <w:rFonts w:ascii="Times New Roman" w:hAnsi="Times New Roman" w:cs="Times New Roman"/>
          <w:sz w:val="24"/>
          <w:szCs w:val="24"/>
        </w:rPr>
        <w:t>, followed by trust and perceived value. Reputation is the only variable hypothesized as having a positive association with perceived rollover that is not significant, although it is established that trust does mediate the proposed relationship.</w:t>
      </w:r>
    </w:p>
    <w:p w14:paraId="2A3AB754" w14:textId="2997CFB5" w:rsidR="00733B5D" w:rsidRDefault="00733B5D" w:rsidP="00733B5D">
      <w:pPr>
        <w:spacing w:after="0" w:line="240" w:lineRule="auto"/>
        <w:ind w:firstLine="360"/>
        <w:jc w:val="both"/>
        <w:rPr>
          <w:rFonts w:ascii="Times New Roman" w:hAnsi="Times New Roman" w:cs="Times New Roman"/>
          <w:sz w:val="24"/>
          <w:szCs w:val="24"/>
        </w:rPr>
      </w:pPr>
    </w:p>
    <w:p w14:paraId="6A5EE8F8" w14:textId="77777777" w:rsidR="00733B5D" w:rsidRPr="000C4E9D" w:rsidRDefault="00733B5D" w:rsidP="00733B5D">
      <w:pPr>
        <w:spacing w:line="240" w:lineRule="auto"/>
        <w:rPr>
          <w:rFonts w:ascii="Times New Roman" w:hAnsi="Times New Roman" w:cs="Times New Roman"/>
          <w:sz w:val="24"/>
          <w:szCs w:val="24"/>
        </w:rPr>
      </w:pPr>
      <w:r>
        <w:rPr>
          <w:rFonts w:ascii="Times New Roman" w:hAnsi="Times New Roman" w:cs="Times New Roman"/>
          <w:b/>
          <w:bCs/>
          <w:sz w:val="24"/>
          <w:szCs w:val="24"/>
        </w:rPr>
        <w:t>Discussion and implications</w:t>
      </w:r>
    </w:p>
    <w:p w14:paraId="561C524D" w14:textId="73CBF488" w:rsidR="00733B5D" w:rsidRPr="009C1026" w:rsidRDefault="00733B5D" w:rsidP="00733B5D">
      <w:pPr>
        <w:spacing w:line="240" w:lineRule="auto"/>
        <w:jc w:val="both"/>
        <w:rPr>
          <w:rFonts w:ascii="Times New Roman" w:hAnsi="Times New Roman" w:cs="Times New Roman"/>
          <w:sz w:val="24"/>
          <w:szCs w:val="24"/>
        </w:rPr>
      </w:pPr>
      <w:r w:rsidRPr="009C1026">
        <w:rPr>
          <w:rFonts w:ascii="Times New Roman" w:hAnsi="Times New Roman" w:cs="Times New Roman"/>
          <w:sz w:val="24"/>
          <w:szCs w:val="24"/>
        </w:rPr>
        <w:t>This study investigates the influences on consumers’ attitudes and behavior</w:t>
      </w:r>
      <w:r>
        <w:rPr>
          <w:rFonts w:ascii="Times New Roman" w:hAnsi="Times New Roman" w:cs="Times New Roman"/>
          <w:sz w:val="24"/>
          <w:szCs w:val="24"/>
        </w:rPr>
        <w:t>al intentions</w:t>
      </w:r>
      <w:r w:rsidRPr="009C1026">
        <w:rPr>
          <w:rFonts w:ascii="Times New Roman" w:hAnsi="Times New Roman" w:cs="Times New Roman"/>
          <w:sz w:val="24"/>
          <w:szCs w:val="24"/>
        </w:rPr>
        <w:t xml:space="preserve"> toward </w:t>
      </w:r>
      <w:r>
        <w:rPr>
          <w:rFonts w:ascii="Times New Roman" w:hAnsi="Times New Roman" w:cs="Times New Roman"/>
          <w:sz w:val="24"/>
          <w:szCs w:val="24"/>
        </w:rPr>
        <w:t>RSCs</w:t>
      </w:r>
      <w:r w:rsidRPr="009C1026">
        <w:rPr>
          <w:rFonts w:ascii="Times New Roman" w:hAnsi="Times New Roman" w:cs="Times New Roman"/>
          <w:sz w:val="24"/>
          <w:szCs w:val="24"/>
        </w:rPr>
        <w:t>. It adopts a perspective that examines how a series of contributors to service loyalty are associated with rollover propensity. In effect, it regards automatic renewal as a form of service loyalty involving repeat purchase, taking account of its attitudinal and behavioral components (Han et al., 2008). In respect to the hypotheses presented, H1, H2b, H2c, and H3 are supported</w:t>
      </w:r>
      <w:r>
        <w:rPr>
          <w:rFonts w:ascii="Times New Roman" w:hAnsi="Times New Roman" w:cs="Times New Roman"/>
          <w:sz w:val="24"/>
          <w:szCs w:val="24"/>
        </w:rPr>
        <w:t>,</w:t>
      </w:r>
      <w:r w:rsidRPr="009C1026">
        <w:rPr>
          <w:rFonts w:ascii="Times New Roman" w:hAnsi="Times New Roman" w:cs="Times New Roman"/>
          <w:sz w:val="24"/>
          <w:szCs w:val="24"/>
        </w:rPr>
        <w:t xml:space="preserve"> whilst H2a is rejected. </w:t>
      </w:r>
    </w:p>
    <w:p w14:paraId="40082374" w14:textId="77777777" w:rsidR="00733B5D" w:rsidRDefault="00733B5D" w:rsidP="00733B5D">
      <w:pPr>
        <w:spacing w:after="0" w:line="240" w:lineRule="auto"/>
        <w:jc w:val="both"/>
        <w:rPr>
          <w:rFonts w:ascii="Times New Roman" w:hAnsi="Times New Roman" w:cs="Times New Roman"/>
          <w:sz w:val="24"/>
          <w:szCs w:val="24"/>
        </w:rPr>
      </w:pPr>
    </w:p>
    <w:p w14:paraId="7C29B1DD" w14:textId="77777777" w:rsidR="009C05A5" w:rsidRDefault="009C05A5" w:rsidP="00733B5D">
      <w:pPr>
        <w:spacing w:line="240" w:lineRule="auto"/>
        <w:jc w:val="both"/>
        <w:rPr>
          <w:rFonts w:ascii="Times New Roman" w:hAnsi="Times New Roman" w:cs="Times New Roman"/>
          <w:sz w:val="24"/>
          <w:szCs w:val="24"/>
        </w:rPr>
        <w:sectPr w:rsidR="009C05A5">
          <w:headerReference w:type="default" r:id="rId10"/>
          <w:footerReference w:type="default" r:id="rId11"/>
          <w:pgSz w:w="11906" w:h="16838"/>
          <w:pgMar w:top="1440" w:right="1440" w:bottom="1440" w:left="1440" w:header="708" w:footer="708" w:gutter="0"/>
          <w:cols w:space="708"/>
          <w:docGrid w:linePitch="360"/>
        </w:sectPr>
      </w:pPr>
    </w:p>
    <w:p w14:paraId="38A1257D" w14:textId="77777777" w:rsidR="00D32964" w:rsidRDefault="00D32964" w:rsidP="00733B5D">
      <w:pPr>
        <w:spacing w:after="0" w:line="240" w:lineRule="auto"/>
        <w:rPr>
          <w:rFonts w:ascii="Times New Roman" w:hAnsi="Times New Roman" w:cs="Times New Roman"/>
          <w:b/>
          <w:bCs/>
          <w:sz w:val="24"/>
          <w:szCs w:val="24"/>
        </w:rPr>
      </w:pPr>
    </w:p>
    <w:p w14:paraId="18C883F7" w14:textId="28D2C375" w:rsidR="008E3146" w:rsidRPr="00D24FE5" w:rsidRDefault="008E3146" w:rsidP="00733B5D">
      <w:pPr>
        <w:spacing w:after="0" w:line="240" w:lineRule="auto"/>
        <w:rPr>
          <w:rFonts w:ascii="Times New Roman" w:hAnsi="Times New Roman" w:cs="Times New Roman"/>
          <w:b/>
          <w:bCs/>
          <w:sz w:val="24"/>
          <w:szCs w:val="24"/>
        </w:rPr>
      </w:pPr>
      <w:r w:rsidRPr="00D24FE5">
        <w:rPr>
          <w:rFonts w:ascii="Times New Roman" w:hAnsi="Times New Roman" w:cs="Times New Roman"/>
          <w:b/>
          <w:bCs/>
          <w:sz w:val="24"/>
          <w:szCs w:val="24"/>
        </w:rPr>
        <w:t xml:space="preserve">Table </w:t>
      </w:r>
      <w:r w:rsidR="00D24FE5">
        <w:rPr>
          <w:rFonts w:ascii="Times New Roman" w:hAnsi="Times New Roman" w:cs="Times New Roman"/>
          <w:b/>
          <w:bCs/>
          <w:sz w:val="24"/>
          <w:szCs w:val="24"/>
        </w:rPr>
        <w:t>1</w:t>
      </w:r>
      <w:r w:rsidRPr="00D24FE5">
        <w:rPr>
          <w:rFonts w:ascii="Times New Roman" w:hAnsi="Times New Roman" w:cs="Times New Roman"/>
          <w:b/>
          <w:bCs/>
          <w:sz w:val="24"/>
          <w:szCs w:val="24"/>
        </w:rPr>
        <w:t xml:space="preserve">. </w:t>
      </w:r>
      <w:r w:rsidRPr="00D24FE5">
        <w:rPr>
          <w:rFonts w:ascii="Times New Roman" w:hAnsi="Times New Roman" w:cs="Times New Roman"/>
          <w:sz w:val="24"/>
          <w:szCs w:val="24"/>
        </w:rPr>
        <w:t>Construct correlations, composite reliability and average variance extracted.</w:t>
      </w:r>
    </w:p>
    <w:tbl>
      <w:tblPr>
        <w:tblStyle w:val="TableGrid"/>
        <w:tblW w:w="12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953"/>
        <w:gridCol w:w="984"/>
        <w:gridCol w:w="864"/>
        <w:gridCol w:w="864"/>
        <w:gridCol w:w="1289"/>
        <w:gridCol w:w="1363"/>
        <w:gridCol w:w="1296"/>
        <w:gridCol w:w="1523"/>
        <w:gridCol w:w="1296"/>
      </w:tblGrid>
      <w:tr w:rsidR="008E3146" w:rsidRPr="00D24FE5" w14:paraId="1DF60EF6" w14:textId="77777777" w:rsidTr="00E440E5">
        <w:tc>
          <w:tcPr>
            <w:tcW w:w="2281" w:type="dxa"/>
            <w:tcBorders>
              <w:top w:val="single" w:sz="6" w:space="0" w:color="auto"/>
              <w:bottom w:val="single" w:sz="6" w:space="0" w:color="auto"/>
            </w:tcBorders>
          </w:tcPr>
          <w:p w14:paraId="5F7B540D" w14:textId="77777777" w:rsidR="008E3146" w:rsidRPr="00D24FE5" w:rsidRDefault="008E3146" w:rsidP="00733B5D">
            <w:pPr>
              <w:rPr>
                <w:rFonts w:ascii="Times New Roman" w:hAnsi="Times New Roman" w:cs="Times New Roman"/>
              </w:rPr>
            </w:pPr>
            <w:r w:rsidRPr="00D24FE5">
              <w:rPr>
                <w:rFonts w:ascii="Times New Roman" w:hAnsi="Times New Roman" w:cs="Times New Roman"/>
              </w:rPr>
              <w:t>Construct</w:t>
            </w:r>
          </w:p>
        </w:tc>
        <w:tc>
          <w:tcPr>
            <w:tcW w:w="953" w:type="dxa"/>
            <w:tcBorders>
              <w:top w:val="single" w:sz="6" w:space="0" w:color="auto"/>
              <w:bottom w:val="single" w:sz="6" w:space="0" w:color="auto"/>
            </w:tcBorders>
          </w:tcPr>
          <w:p w14:paraId="19544ED7"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Mean</w:t>
            </w:r>
          </w:p>
        </w:tc>
        <w:tc>
          <w:tcPr>
            <w:tcW w:w="984" w:type="dxa"/>
            <w:tcBorders>
              <w:top w:val="single" w:sz="6" w:space="0" w:color="auto"/>
              <w:bottom w:val="single" w:sz="6" w:space="0" w:color="auto"/>
            </w:tcBorders>
          </w:tcPr>
          <w:p w14:paraId="526158F5"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SD</w:t>
            </w:r>
          </w:p>
        </w:tc>
        <w:tc>
          <w:tcPr>
            <w:tcW w:w="864" w:type="dxa"/>
            <w:tcBorders>
              <w:top w:val="single" w:sz="6" w:space="0" w:color="auto"/>
              <w:bottom w:val="single" w:sz="6" w:space="0" w:color="auto"/>
            </w:tcBorders>
          </w:tcPr>
          <w:p w14:paraId="7B9E9A73"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CR</w:t>
            </w:r>
          </w:p>
        </w:tc>
        <w:tc>
          <w:tcPr>
            <w:tcW w:w="864" w:type="dxa"/>
            <w:tcBorders>
              <w:top w:val="single" w:sz="6" w:space="0" w:color="auto"/>
              <w:bottom w:val="single" w:sz="6" w:space="0" w:color="auto"/>
            </w:tcBorders>
          </w:tcPr>
          <w:p w14:paraId="0E9819C1"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AVE</w:t>
            </w:r>
          </w:p>
        </w:tc>
        <w:tc>
          <w:tcPr>
            <w:tcW w:w="1289" w:type="dxa"/>
            <w:tcBorders>
              <w:top w:val="single" w:sz="6" w:space="0" w:color="auto"/>
              <w:bottom w:val="single" w:sz="6" w:space="0" w:color="auto"/>
            </w:tcBorders>
          </w:tcPr>
          <w:p w14:paraId="7C20AAD8"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Perceived value</w:t>
            </w:r>
          </w:p>
        </w:tc>
        <w:tc>
          <w:tcPr>
            <w:tcW w:w="1363" w:type="dxa"/>
            <w:tcBorders>
              <w:top w:val="single" w:sz="6" w:space="0" w:color="auto"/>
              <w:bottom w:val="single" w:sz="6" w:space="0" w:color="auto"/>
            </w:tcBorders>
          </w:tcPr>
          <w:p w14:paraId="0C472758"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Reputation</w:t>
            </w:r>
          </w:p>
        </w:tc>
        <w:tc>
          <w:tcPr>
            <w:tcW w:w="1296" w:type="dxa"/>
            <w:tcBorders>
              <w:top w:val="single" w:sz="6" w:space="0" w:color="auto"/>
              <w:bottom w:val="single" w:sz="6" w:space="0" w:color="auto"/>
            </w:tcBorders>
          </w:tcPr>
          <w:p w14:paraId="20BD0CA6"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Trust</w:t>
            </w:r>
          </w:p>
        </w:tc>
        <w:tc>
          <w:tcPr>
            <w:tcW w:w="1523" w:type="dxa"/>
            <w:tcBorders>
              <w:top w:val="single" w:sz="6" w:space="0" w:color="auto"/>
              <w:bottom w:val="single" w:sz="6" w:space="0" w:color="auto"/>
            </w:tcBorders>
          </w:tcPr>
          <w:p w14:paraId="0F9B0031"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Convenience</w:t>
            </w:r>
          </w:p>
        </w:tc>
        <w:tc>
          <w:tcPr>
            <w:tcW w:w="1296" w:type="dxa"/>
            <w:tcBorders>
              <w:top w:val="single" w:sz="6" w:space="0" w:color="auto"/>
              <w:bottom w:val="single" w:sz="6" w:space="0" w:color="auto"/>
            </w:tcBorders>
          </w:tcPr>
          <w:p w14:paraId="48632101"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Rollover propensity</w:t>
            </w:r>
          </w:p>
        </w:tc>
      </w:tr>
      <w:tr w:rsidR="008E3146" w:rsidRPr="00D24FE5" w14:paraId="40573CFB" w14:textId="77777777" w:rsidTr="00E440E5">
        <w:tc>
          <w:tcPr>
            <w:tcW w:w="2281" w:type="dxa"/>
            <w:tcBorders>
              <w:top w:val="single" w:sz="6" w:space="0" w:color="auto"/>
            </w:tcBorders>
          </w:tcPr>
          <w:p w14:paraId="03A8C6EB" w14:textId="77777777" w:rsidR="008E3146" w:rsidRPr="00D24FE5" w:rsidRDefault="008E3146" w:rsidP="00733B5D">
            <w:pPr>
              <w:rPr>
                <w:rFonts w:ascii="Times New Roman" w:hAnsi="Times New Roman" w:cs="Times New Roman"/>
              </w:rPr>
            </w:pPr>
            <w:r w:rsidRPr="00D24FE5">
              <w:rPr>
                <w:rFonts w:ascii="Times New Roman" w:hAnsi="Times New Roman" w:cs="Times New Roman"/>
              </w:rPr>
              <w:t>Perceived value</w:t>
            </w:r>
          </w:p>
        </w:tc>
        <w:tc>
          <w:tcPr>
            <w:tcW w:w="953" w:type="dxa"/>
            <w:tcBorders>
              <w:top w:val="single" w:sz="6" w:space="0" w:color="auto"/>
            </w:tcBorders>
          </w:tcPr>
          <w:p w14:paraId="7CE3C6C9"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5.87</w:t>
            </w:r>
          </w:p>
        </w:tc>
        <w:tc>
          <w:tcPr>
            <w:tcW w:w="984" w:type="dxa"/>
            <w:tcBorders>
              <w:top w:val="single" w:sz="6" w:space="0" w:color="auto"/>
            </w:tcBorders>
          </w:tcPr>
          <w:p w14:paraId="494E0DAC" w14:textId="77777777" w:rsidR="008E3146" w:rsidRPr="00D24FE5" w:rsidRDefault="008E3146" w:rsidP="00733B5D">
            <w:pPr>
              <w:ind w:right="288"/>
              <w:jc w:val="right"/>
              <w:rPr>
                <w:rFonts w:ascii="Times New Roman" w:hAnsi="Times New Roman" w:cs="Times New Roman"/>
              </w:rPr>
            </w:pPr>
            <w:r w:rsidRPr="00D24FE5">
              <w:rPr>
                <w:rFonts w:ascii="Times New Roman" w:hAnsi="Times New Roman" w:cs="Times New Roman"/>
              </w:rPr>
              <w:t>.77</w:t>
            </w:r>
          </w:p>
        </w:tc>
        <w:tc>
          <w:tcPr>
            <w:tcW w:w="864" w:type="dxa"/>
            <w:tcBorders>
              <w:top w:val="single" w:sz="6" w:space="0" w:color="auto"/>
            </w:tcBorders>
          </w:tcPr>
          <w:p w14:paraId="526F54AD"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.83</w:t>
            </w:r>
          </w:p>
        </w:tc>
        <w:tc>
          <w:tcPr>
            <w:tcW w:w="864" w:type="dxa"/>
            <w:tcBorders>
              <w:top w:val="single" w:sz="6" w:space="0" w:color="auto"/>
            </w:tcBorders>
          </w:tcPr>
          <w:p w14:paraId="14105ED8"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.55</w:t>
            </w:r>
          </w:p>
        </w:tc>
        <w:tc>
          <w:tcPr>
            <w:tcW w:w="1289" w:type="dxa"/>
            <w:tcBorders>
              <w:top w:val="single" w:sz="6" w:space="0" w:color="auto"/>
            </w:tcBorders>
          </w:tcPr>
          <w:p w14:paraId="531350D2"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w:t>
            </w:r>
            <w:r w:rsidRPr="00D24FE5">
              <w:rPr>
                <w:rFonts w:ascii="Times New Roman" w:hAnsi="Times New Roman" w:cs="Times New Roman"/>
                <w:i/>
                <w:iCs/>
              </w:rPr>
              <w:t>74</w:t>
            </w:r>
          </w:p>
        </w:tc>
        <w:tc>
          <w:tcPr>
            <w:tcW w:w="1363" w:type="dxa"/>
            <w:tcBorders>
              <w:top w:val="single" w:sz="6" w:space="0" w:color="auto"/>
            </w:tcBorders>
          </w:tcPr>
          <w:p w14:paraId="271065A7" w14:textId="77777777" w:rsidR="008E3146" w:rsidRPr="00D24FE5" w:rsidRDefault="008E3146" w:rsidP="00733B5D">
            <w:pPr>
              <w:ind w:left="288"/>
              <w:rPr>
                <w:rFonts w:ascii="Times New Roman" w:hAnsi="Times New Roman" w:cs="Times New Roman"/>
              </w:rPr>
            </w:pPr>
          </w:p>
        </w:tc>
        <w:tc>
          <w:tcPr>
            <w:tcW w:w="1296" w:type="dxa"/>
            <w:tcBorders>
              <w:top w:val="single" w:sz="6" w:space="0" w:color="auto"/>
            </w:tcBorders>
          </w:tcPr>
          <w:p w14:paraId="3B187795" w14:textId="77777777" w:rsidR="008E3146" w:rsidRPr="00D24FE5" w:rsidRDefault="008E3146" w:rsidP="00733B5D">
            <w:pPr>
              <w:rPr>
                <w:rFonts w:ascii="Times New Roman" w:hAnsi="Times New Roman" w:cs="Times New Roman"/>
              </w:rPr>
            </w:pPr>
          </w:p>
        </w:tc>
        <w:tc>
          <w:tcPr>
            <w:tcW w:w="1523" w:type="dxa"/>
            <w:tcBorders>
              <w:top w:val="single" w:sz="6" w:space="0" w:color="auto"/>
            </w:tcBorders>
          </w:tcPr>
          <w:p w14:paraId="34B066A5" w14:textId="77777777" w:rsidR="008E3146" w:rsidRPr="00D24FE5" w:rsidRDefault="008E3146" w:rsidP="00733B5D">
            <w:pPr>
              <w:ind w:left="432"/>
              <w:rPr>
                <w:rFonts w:ascii="Times New Roman" w:hAnsi="Times New Roman" w:cs="Times New Roman"/>
              </w:rPr>
            </w:pPr>
          </w:p>
        </w:tc>
        <w:tc>
          <w:tcPr>
            <w:tcW w:w="1296" w:type="dxa"/>
            <w:tcBorders>
              <w:top w:val="single" w:sz="6" w:space="0" w:color="auto"/>
            </w:tcBorders>
          </w:tcPr>
          <w:p w14:paraId="6E5EA7C6" w14:textId="77777777" w:rsidR="008E3146" w:rsidRPr="00D24FE5" w:rsidRDefault="008E3146" w:rsidP="00733B5D">
            <w:pPr>
              <w:ind w:left="288"/>
              <w:rPr>
                <w:rFonts w:ascii="Times New Roman" w:hAnsi="Times New Roman" w:cs="Times New Roman"/>
              </w:rPr>
            </w:pPr>
          </w:p>
        </w:tc>
      </w:tr>
      <w:tr w:rsidR="008E3146" w:rsidRPr="00D24FE5" w14:paraId="213B760E" w14:textId="77777777" w:rsidTr="00E440E5">
        <w:tc>
          <w:tcPr>
            <w:tcW w:w="2281" w:type="dxa"/>
          </w:tcPr>
          <w:p w14:paraId="6DCB524E" w14:textId="77777777" w:rsidR="008E3146" w:rsidRPr="00D24FE5" w:rsidRDefault="008E3146" w:rsidP="00733B5D">
            <w:pPr>
              <w:rPr>
                <w:rFonts w:ascii="Times New Roman" w:hAnsi="Times New Roman" w:cs="Times New Roman"/>
              </w:rPr>
            </w:pPr>
            <w:r w:rsidRPr="00D24FE5">
              <w:rPr>
                <w:rFonts w:ascii="Times New Roman" w:hAnsi="Times New Roman" w:cs="Times New Roman"/>
              </w:rPr>
              <w:t>Reputation</w:t>
            </w:r>
          </w:p>
        </w:tc>
        <w:tc>
          <w:tcPr>
            <w:tcW w:w="953" w:type="dxa"/>
          </w:tcPr>
          <w:p w14:paraId="2C217478"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5.56</w:t>
            </w:r>
          </w:p>
        </w:tc>
        <w:tc>
          <w:tcPr>
            <w:tcW w:w="984" w:type="dxa"/>
          </w:tcPr>
          <w:p w14:paraId="1A7DFC6F" w14:textId="77777777" w:rsidR="008E3146" w:rsidRPr="00D24FE5" w:rsidRDefault="008E3146" w:rsidP="00733B5D">
            <w:pPr>
              <w:ind w:right="288"/>
              <w:jc w:val="right"/>
              <w:rPr>
                <w:rFonts w:ascii="Times New Roman" w:hAnsi="Times New Roman" w:cs="Times New Roman"/>
              </w:rPr>
            </w:pPr>
            <w:r w:rsidRPr="00D24FE5">
              <w:rPr>
                <w:rFonts w:ascii="Times New Roman" w:hAnsi="Times New Roman" w:cs="Times New Roman"/>
              </w:rPr>
              <w:t>.91</w:t>
            </w:r>
          </w:p>
        </w:tc>
        <w:tc>
          <w:tcPr>
            <w:tcW w:w="864" w:type="dxa"/>
          </w:tcPr>
          <w:p w14:paraId="6E49E3D2"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.83</w:t>
            </w:r>
          </w:p>
        </w:tc>
        <w:tc>
          <w:tcPr>
            <w:tcW w:w="864" w:type="dxa"/>
          </w:tcPr>
          <w:p w14:paraId="23B5E3A8"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.63</w:t>
            </w:r>
          </w:p>
        </w:tc>
        <w:tc>
          <w:tcPr>
            <w:tcW w:w="1289" w:type="dxa"/>
          </w:tcPr>
          <w:p w14:paraId="13EB5AF5"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.46**</w:t>
            </w:r>
          </w:p>
        </w:tc>
        <w:tc>
          <w:tcPr>
            <w:tcW w:w="1363" w:type="dxa"/>
          </w:tcPr>
          <w:p w14:paraId="470D21F3"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w:t>
            </w:r>
            <w:r w:rsidRPr="00D24FE5">
              <w:rPr>
                <w:rFonts w:ascii="Times New Roman" w:hAnsi="Times New Roman" w:cs="Times New Roman"/>
                <w:i/>
                <w:iCs/>
              </w:rPr>
              <w:t>79</w:t>
            </w:r>
          </w:p>
        </w:tc>
        <w:tc>
          <w:tcPr>
            <w:tcW w:w="1296" w:type="dxa"/>
          </w:tcPr>
          <w:p w14:paraId="5DDC42EA" w14:textId="77777777" w:rsidR="008E3146" w:rsidRPr="00D24FE5" w:rsidRDefault="008E3146" w:rsidP="00733B5D">
            <w:pPr>
              <w:ind w:left="288"/>
              <w:rPr>
                <w:rFonts w:ascii="Times New Roman" w:hAnsi="Times New Roman" w:cs="Times New Roman"/>
              </w:rPr>
            </w:pPr>
          </w:p>
        </w:tc>
        <w:tc>
          <w:tcPr>
            <w:tcW w:w="1523" w:type="dxa"/>
          </w:tcPr>
          <w:p w14:paraId="65FFEA77" w14:textId="77777777" w:rsidR="008E3146" w:rsidRPr="00D24FE5" w:rsidRDefault="008E3146" w:rsidP="00733B5D">
            <w:pPr>
              <w:ind w:left="432"/>
              <w:rPr>
                <w:rFonts w:ascii="Times New Roman" w:hAnsi="Times New Roman" w:cs="Times New Roman"/>
              </w:rPr>
            </w:pPr>
          </w:p>
        </w:tc>
        <w:tc>
          <w:tcPr>
            <w:tcW w:w="1296" w:type="dxa"/>
          </w:tcPr>
          <w:p w14:paraId="25D2C0CE" w14:textId="77777777" w:rsidR="008E3146" w:rsidRPr="00D24FE5" w:rsidRDefault="008E3146" w:rsidP="00733B5D">
            <w:pPr>
              <w:ind w:left="288"/>
              <w:rPr>
                <w:rFonts w:ascii="Times New Roman" w:hAnsi="Times New Roman" w:cs="Times New Roman"/>
              </w:rPr>
            </w:pPr>
          </w:p>
        </w:tc>
      </w:tr>
      <w:tr w:rsidR="008E3146" w:rsidRPr="00D24FE5" w14:paraId="40426B32" w14:textId="77777777" w:rsidTr="00E440E5">
        <w:tc>
          <w:tcPr>
            <w:tcW w:w="2281" w:type="dxa"/>
          </w:tcPr>
          <w:p w14:paraId="012CBB0D" w14:textId="77777777" w:rsidR="008E3146" w:rsidRPr="00D24FE5" w:rsidRDefault="008E3146" w:rsidP="00733B5D">
            <w:pPr>
              <w:rPr>
                <w:rFonts w:ascii="Times New Roman" w:hAnsi="Times New Roman" w:cs="Times New Roman"/>
              </w:rPr>
            </w:pPr>
            <w:r w:rsidRPr="00D24FE5">
              <w:rPr>
                <w:rFonts w:ascii="Times New Roman" w:hAnsi="Times New Roman" w:cs="Times New Roman"/>
              </w:rPr>
              <w:t>Trust</w:t>
            </w:r>
          </w:p>
        </w:tc>
        <w:tc>
          <w:tcPr>
            <w:tcW w:w="953" w:type="dxa"/>
          </w:tcPr>
          <w:p w14:paraId="2C108B89"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5.82</w:t>
            </w:r>
          </w:p>
        </w:tc>
        <w:tc>
          <w:tcPr>
            <w:tcW w:w="984" w:type="dxa"/>
          </w:tcPr>
          <w:p w14:paraId="11C5C7E3" w14:textId="77777777" w:rsidR="008E3146" w:rsidRPr="00D24FE5" w:rsidRDefault="008E3146" w:rsidP="00733B5D">
            <w:pPr>
              <w:ind w:right="288"/>
              <w:jc w:val="right"/>
              <w:rPr>
                <w:rFonts w:ascii="Times New Roman" w:hAnsi="Times New Roman" w:cs="Times New Roman"/>
              </w:rPr>
            </w:pPr>
            <w:r w:rsidRPr="00D24FE5">
              <w:rPr>
                <w:rFonts w:ascii="Times New Roman" w:hAnsi="Times New Roman" w:cs="Times New Roman"/>
              </w:rPr>
              <w:t>.95</w:t>
            </w:r>
          </w:p>
        </w:tc>
        <w:tc>
          <w:tcPr>
            <w:tcW w:w="864" w:type="dxa"/>
          </w:tcPr>
          <w:p w14:paraId="6B920885"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.90</w:t>
            </w:r>
          </w:p>
        </w:tc>
        <w:tc>
          <w:tcPr>
            <w:tcW w:w="864" w:type="dxa"/>
          </w:tcPr>
          <w:p w14:paraId="5C5DCF96"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.70</w:t>
            </w:r>
          </w:p>
        </w:tc>
        <w:tc>
          <w:tcPr>
            <w:tcW w:w="1289" w:type="dxa"/>
          </w:tcPr>
          <w:p w14:paraId="15F19A11"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.27**</w:t>
            </w:r>
          </w:p>
        </w:tc>
        <w:tc>
          <w:tcPr>
            <w:tcW w:w="1363" w:type="dxa"/>
          </w:tcPr>
          <w:p w14:paraId="70B03937"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.50**</w:t>
            </w:r>
          </w:p>
        </w:tc>
        <w:tc>
          <w:tcPr>
            <w:tcW w:w="1296" w:type="dxa"/>
          </w:tcPr>
          <w:p w14:paraId="338FF847"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w:t>
            </w:r>
            <w:r w:rsidRPr="00D24FE5">
              <w:rPr>
                <w:rFonts w:ascii="Times New Roman" w:hAnsi="Times New Roman" w:cs="Times New Roman"/>
                <w:i/>
                <w:iCs/>
              </w:rPr>
              <w:t>84</w:t>
            </w:r>
          </w:p>
        </w:tc>
        <w:tc>
          <w:tcPr>
            <w:tcW w:w="1523" w:type="dxa"/>
          </w:tcPr>
          <w:p w14:paraId="35349B07" w14:textId="77777777" w:rsidR="008E3146" w:rsidRPr="00D24FE5" w:rsidRDefault="008E3146" w:rsidP="00733B5D">
            <w:pPr>
              <w:ind w:left="432"/>
              <w:rPr>
                <w:rFonts w:ascii="Times New Roman" w:hAnsi="Times New Roman" w:cs="Times New Roman"/>
              </w:rPr>
            </w:pPr>
          </w:p>
        </w:tc>
        <w:tc>
          <w:tcPr>
            <w:tcW w:w="1296" w:type="dxa"/>
          </w:tcPr>
          <w:p w14:paraId="3E2C3036" w14:textId="77777777" w:rsidR="008E3146" w:rsidRPr="00D24FE5" w:rsidRDefault="008E3146" w:rsidP="00733B5D">
            <w:pPr>
              <w:ind w:left="288"/>
              <w:rPr>
                <w:rFonts w:ascii="Times New Roman" w:hAnsi="Times New Roman" w:cs="Times New Roman"/>
              </w:rPr>
            </w:pPr>
          </w:p>
        </w:tc>
      </w:tr>
      <w:tr w:rsidR="008E3146" w:rsidRPr="00D24FE5" w14:paraId="1529D3AA" w14:textId="77777777" w:rsidTr="00E440E5">
        <w:tc>
          <w:tcPr>
            <w:tcW w:w="2281" w:type="dxa"/>
          </w:tcPr>
          <w:p w14:paraId="4F17465D" w14:textId="77777777" w:rsidR="008E3146" w:rsidRPr="00D24FE5" w:rsidRDefault="008E3146" w:rsidP="00733B5D">
            <w:pPr>
              <w:rPr>
                <w:rFonts w:ascii="Times New Roman" w:hAnsi="Times New Roman" w:cs="Times New Roman"/>
              </w:rPr>
            </w:pPr>
            <w:r w:rsidRPr="00D24FE5">
              <w:rPr>
                <w:rFonts w:ascii="Times New Roman" w:hAnsi="Times New Roman" w:cs="Times New Roman"/>
              </w:rPr>
              <w:t>Convenience</w:t>
            </w:r>
          </w:p>
        </w:tc>
        <w:tc>
          <w:tcPr>
            <w:tcW w:w="953" w:type="dxa"/>
          </w:tcPr>
          <w:p w14:paraId="4AF33886"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5.64</w:t>
            </w:r>
          </w:p>
        </w:tc>
        <w:tc>
          <w:tcPr>
            <w:tcW w:w="984" w:type="dxa"/>
          </w:tcPr>
          <w:p w14:paraId="6FCC453E" w14:textId="77777777" w:rsidR="008E3146" w:rsidRPr="00D24FE5" w:rsidRDefault="008E3146" w:rsidP="00733B5D">
            <w:pPr>
              <w:ind w:right="288"/>
              <w:jc w:val="right"/>
              <w:rPr>
                <w:rFonts w:ascii="Times New Roman" w:hAnsi="Times New Roman" w:cs="Times New Roman"/>
              </w:rPr>
            </w:pPr>
            <w:r w:rsidRPr="00D24FE5">
              <w:rPr>
                <w:rFonts w:ascii="Times New Roman" w:hAnsi="Times New Roman" w:cs="Times New Roman"/>
              </w:rPr>
              <w:t>.94</w:t>
            </w:r>
          </w:p>
        </w:tc>
        <w:tc>
          <w:tcPr>
            <w:tcW w:w="864" w:type="dxa"/>
          </w:tcPr>
          <w:p w14:paraId="0A895031"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.94</w:t>
            </w:r>
          </w:p>
        </w:tc>
        <w:tc>
          <w:tcPr>
            <w:tcW w:w="864" w:type="dxa"/>
          </w:tcPr>
          <w:p w14:paraId="50D6143C"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.68</w:t>
            </w:r>
          </w:p>
        </w:tc>
        <w:tc>
          <w:tcPr>
            <w:tcW w:w="1289" w:type="dxa"/>
          </w:tcPr>
          <w:p w14:paraId="3FD3109F"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.41**</w:t>
            </w:r>
          </w:p>
        </w:tc>
        <w:tc>
          <w:tcPr>
            <w:tcW w:w="1363" w:type="dxa"/>
          </w:tcPr>
          <w:p w14:paraId="1F3180E6"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.53**</w:t>
            </w:r>
          </w:p>
        </w:tc>
        <w:tc>
          <w:tcPr>
            <w:tcW w:w="1296" w:type="dxa"/>
          </w:tcPr>
          <w:p w14:paraId="492AC8ED"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.65**</w:t>
            </w:r>
          </w:p>
        </w:tc>
        <w:tc>
          <w:tcPr>
            <w:tcW w:w="1523" w:type="dxa"/>
          </w:tcPr>
          <w:p w14:paraId="096B0FFB" w14:textId="77777777" w:rsidR="008E3146" w:rsidRPr="00D24FE5" w:rsidRDefault="008E3146" w:rsidP="00733B5D">
            <w:pPr>
              <w:ind w:left="432"/>
              <w:rPr>
                <w:rFonts w:ascii="Times New Roman" w:hAnsi="Times New Roman" w:cs="Times New Roman"/>
              </w:rPr>
            </w:pPr>
            <w:r w:rsidRPr="00D24FE5">
              <w:rPr>
                <w:rFonts w:ascii="Times New Roman" w:hAnsi="Times New Roman" w:cs="Times New Roman"/>
              </w:rPr>
              <w:t>.</w:t>
            </w:r>
            <w:r w:rsidRPr="00D24FE5">
              <w:rPr>
                <w:rFonts w:ascii="Times New Roman" w:hAnsi="Times New Roman" w:cs="Times New Roman"/>
                <w:i/>
                <w:iCs/>
              </w:rPr>
              <w:t>82</w:t>
            </w:r>
          </w:p>
        </w:tc>
        <w:tc>
          <w:tcPr>
            <w:tcW w:w="1296" w:type="dxa"/>
          </w:tcPr>
          <w:p w14:paraId="6B50C887" w14:textId="77777777" w:rsidR="008E3146" w:rsidRPr="00D24FE5" w:rsidRDefault="008E3146" w:rsidP="00733B5D">
            <w:pPr>
              <w:ind w:left="288"/>
              <w:rPr>
                <w:rFonts w:ascii="Times New Roman" w:hAnsi="Times New Roman" w:cs="Times New Roman"/>
              </w:rPr>
            </w:pPr>
          </w:p>
        </w:tc>
      </w:tr>
      <w:tr w:rsidR="008E3146" w:rsidRPr="00D24FE5" w14:paraId="5DEA8F85" w14:textId="77777777" w:rsidTr="00E440E5">
        <w:tc>
          <w:tcPr>
            <w:tcW w:w="2281" w:type="dxa"/>
            <w:tcBorders>
              <w:bottom w:val="single" w:sz="6" w:space="0" w:color="auto"/>
            </w:tcBorders>
          </w:tcPr>
          <w:p w14:paraId="00A9D48A" w14:textId="77777777" w:rsidR="008E3146" w:rsidRPr="00D24FE5" w:rsidRDefault="008E3146" w:rsidP="00733B5D">
            <w:pPr>
              <w:rPr>
                <w:rFonts w:ascii="Times New Roman" w:hAnsi="Times New Roman" w:cs="Times New Roman"/>
              </w:rPr>
            </w:pPr>
            <w:r w:rsidRPr="00D24FE5">
              <w:rPr>
                <w:rFonts w:ascii="Times New Roman" w:hAnsi="Times New Roman" w:cs="Times New Roman"/>
              </w:rPr>
              <w:t>Rollover propensity</w:t>
            </w:r>
          </w:p>
        </w:tc>
        <w:tc>
          <w:tcPr>
            <w:tcW w:w="953" w:type="dxa"/>
            <w:tcBorders>
              <w:bottom w:val="single" w:sz="6" w:space="0" w:color="auto"/>
            </w:tcBorders>
          </w:tcPr>
          <w:p w14:paraId="0E4B52F4"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4.83</w:t>
            </w:r>
          </w:p>
        </w:tc>
        <w:tc>
          <w:tcPr>
            <w:tcW w:w="984" w:type="dxa"/>
            <w:tcBorders>
              <w:bottom w:val="single" w:sz="6" w:space="0" w:color="auto"/>
            </w:tcBorders>
          </w:tcPr>
          <w:p w14:paraId="7ABA238B" w14:textId="77777777" w:rsidR="008E3146" w:rsidRPr="00D24FE5" w:rsidRDefault="008E3146" w:rsidP="00733B5D">
            <w:pPr>
              <w:ind w:right="288"/>
              <w:jc w:val="right"/>
              <w:rPr>
                <w:rFonts w:ascii="Times New Roman" w:hAnsi="Times New Roman" w:cs="Times New Roman"/>
              </w:rPr>
            </w:pPr>
            <w:r w:rsidRPr="00D24FE5">
              <w:rPr>
                <w:rFonts w:ascii="Times New Roman" w:hAnsi="Times New Roman" w:cs="Times New Roman"/>
              </w:rPr>
              <w:t>1.62</w:t>
            </w:r>
          </w:p>
        </w:tc>
        <w:tc>
          <w:tcPr>
            <w:tcW w:w="864" w:type="dxa"/>
            <w:tcBorders>
              <w:bottom w:val="single" w:sz="6" w:space="0" w:color="auto"/>
            </w:tcBorders>
          </w:tcPr>
          <w:p w14:paraId="51F28D15"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.95</w:t>
            </w:r>
          </w:p>
        </w:tc>
        <w:tc>
          <w:tcPr>
            <w:tcW w:w="864" w:type="dxa"/>
            <w:tcBorders>
              <w:bottom w:val="single" w:sz="6" w:space="0" w:color="auto"/>
            </w:tcBorders>
          </w:tcPr>
          <w:p w14:paraId="611B5158" w14:textId="77777777" w:rsidR="008E3146" w:rsidRPr="00D24FE5" w:rsidRDefault="008E3146" w:rsidP="00733B5D">
            <w:pPr>
              <w:jc w:val="center"/>
              <w:rPr>
                <w:rFonts w:ascii="Times New Roman" w:hAnsi="Times New Roman" w:cs="Times New Roman"/>
              </w:rPr>
            </w:pPr>
            <w:r w:rsidRPr="00D24FE5">
              <w:rPr>
                <w:rFonts w:ascii="Times New Roman" w:hAnsi="Times New Roman" w:cs="Times New Roman"/>
              </w:rPr>
              <w:t>.88</w:t>
            </w:r>
          </w:p>
        </w:tc>
        <w:tc>
          <w:tcPr>
            <w:tcW w:w="1289" w:type="dxa"/>
            <w:tcBorders>
              <w:bottom w:val="single" w:sz="6" w:space="0" w:color="auto"/>
            </w:tcBorders>
          </w:tcPr>
          <w:p w14:paraId="700C7A54"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.11*</w:t>
            </w:r>
          </w:p>
        </w:tc>
        <w:tc>
          <w:tcPr>
            <w:tcW w:w="1363" w:type="dxa"/>
            <w:tcBorders>
              <w:bottom w:val="single" w:sz="6" w:space="0" w:color="auto"/>
            </w:tcBorders>
          </w:tcPr>
          <w:p w14:paraId="29BDCECB"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.29**</w:t>
            </w:r>
          </w:p>
        </w:tc>
        <w:tc>
          <w:tcPr>
            <w:tcW w:w="1296" w:type="dxa"/>
            <w:tcBorders>
              <w:bottom w:val="single" w:sz="6" w:space="0" w:color="auto"/>
            </w:tcBorders>
          </w:tcPr>
          <w:p w14:paraId="71B31956"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.48**</w:t>
            </w:r>
          </w:p>
        </w:tc>
        <w:tc>
          <w:tcPr>
            <w:tcW w:w="1523" w:type="dxa"/>
            <w:tcBorders>
              <w:bottom w:val="single" w:sz="6" w:space="0" w:color="auto"/>
            </w:tcBorders>
          </w:tcPr>
          <w:p w14:paraId="7EDFDF0A" w14:textId="77777777" w:rsidR="008E3146" w:rsidRPr="00D24FE5" w:rsidRDefault="008E3146" w:rsidP="00733B5D">
            <w:pPr>
              <w:ind w:left="432"/>
              <w:rPr>
                <w:rFonts w:ascii="Times New Roman" w:hAnsi="Times New Roman" w:cs="Times New Roman"/>
              </w:rPr>
            </w:pPr>
            <w:r w:rsidRPr="00D24FE5">
              <w:rPr>
                <w:rFonts w:ascii="Times New Roman" w:hAnsi="Times New Roman" w:cs="Times New Roman"/>
              </w:rPr>
              <w:t>.54**</w:t>
            </w:r>
          </w:p>
        </w:tc>
        <w:tc>
          <w:tcPr>
            <w:tcW w:w="1296" w:type="dxa"/>
            <w:tcBorders>
              <w:bottom w:val="single" w:sz="6" w:space="0" w:color="auto"/>
            </w:tcBorders>
          </w:tcPr>
          <w:p w14:paraId="6D7C8AED" w14:textId="77777777" w:rsidR="008E3146" w:rsidRPr="00D24FE5" w:rsidRDefault="008E3146" w:rsidP="00733B5D">
            <w:pPr>
              <w:ind w:left="288"/>
              <w:rPr>
                <w:rFonts w:ascii="Times New Roman" w:hAnsi="Times New Roman" w:cs="Times New Roman"/>
              </w:rPr>
            </w:pPr>
            <w:r w:rsidRPr="00D24FE5">
              <w:rPr>
                <w:rFonts w:ascii="Times New Roman" w:hAnsi="Times New Roman" w:cs="Times New Roman"/>
              </w:rPr>
              <w:t>.</w:t>
            </w:r>
            <w:r w:rsidRPr="00D24FE5">
              <w:rPr>
                <w:rFonts w:ascii="Times New Roman" w:hAnsi="Times New Roman" w:cs="Times New Roman"/>
                <w:i/>
                <w:iCs/>
              </w:rPr>
              <w:t>94</w:t>
            </w:r>
          </w:p>
        </w:tc>
      </w:tr>
    </w:tbl>
    <w:p w14:paraId="0A90D10A" w14:textId="77777777" w:rsidR="008E3146" w:rsidRPr="00D24FE5" w:rsidRDefault="008E3146" w:rsidP="00733B5D">
      <w:pPr>
        <w:spacing w:after="0" w:line="240" w:lineRule="auto"/>
        <w:rPr>
          <w:rFonts w:ascii="Times New Roman" w:hAnsi="Times New Roman" w:cs="Times New Roman"/>
          <w:sz w:val="20"/>
          <w:szCs w:val="20"/>
        </w:rPr>
      </w:pPr>
      <w:r w:rsidRPr="00D24FE5">
        <w:rPr>
          <w:rFonts w:ascii="Times New Roman" w:hAnsi="Times New Roman" w:cs="Times New Roman"/>
          <w:sz w:val="20"/>
          <w:szCs w:val="20"/>
        </w:rPr>
        <w:t>Notes: SD = standard deviation; CR = composite reliability; AVE = average variance extracted; Correlation significant at *</w:t>
      </w:r>
      <w:r w:rsidRPr="00D24FE5">
        <w:rPr>
          <w:rFonts w:ascii="Times New Roman" w:hAnsi="Times New Roman" w:cs="Times New Roman"/>
          <w:i/>
          <w:iCs/>
          <w:sz w:val="20"/>
          <w:szCs w:val="20"/>
        </w:rPr>
        <w:t>p</w:t>
      </w:r>
      <w:r w:rsidRPr="00D24FE5">
        <w:rPr>
          <w:rFonts w:ascii="Times New Roman" w:hAnsi="Times New Roman" w:cs="Times New Roman"/>
          <w:sz w:val="20"/>
          <w:szCs w:val="20"/>
        </w:rPr>
        <w:t xml:space="preserve"> &lt; .05, **</w:t>
      </w:r>
      <w:r w:rsidRPr="00D24FE5">
        <w:rPr>
          <w:rFonts w:ascii="Times New Roman" w:hAnsi="Times New Roman" w:cs="Times New Roman"/>
          <w:i/>
          <w:iCs/>
          <w:sz w:val="20"/>
          <w:szCs w:val="20"/>
        </w:rPr>
        <w:t>p</w:t>
      </w:r>
      <w:r w:rsidRPr="00D24FE5">
        <w:rPr>
          <w:rFonts w:ascii="Times New Roman" w:hAnsi="Times New Roman" w:cs="Times New Roman"/>
          <w:sz w:val="20"/>
          <w:szCs w:val="20"/>
        </w:rPr>
        <w:t xml:space="preserve"> &lt; .01(2-tailed). </w:t>
      </w:r>
    </w:p>
    <w:p w14:paraId="2756AF4B" w14:textId="32B7FC51" w:rsidR="00D24FE5" w:rsidRDefault="008E3146" w:rsidP="00733B5D">
      <w:pPr>
        <w:spacing w:after="0" w:line="240" w:lineRule="auto"/>
        <w:rPr>
          <w:rFonts w:ascii="Times New Roman" w:hAnsi="Times New Roman" w:cs="Times New Roman"/>
          <w:sz w:val="20"/>
          <w:szCs w:val="20"/>
        </w:rPr>
      </w:pPr>
      <w:r w:rsidRPr="00D24FE5">
        <w:rPr>
          <w:rFonts w:ascii="Times New Roman" w:hAnsi="Times New Roman" w:cs="Times New Roman"/>
          <w:sz w:val="20"/>
          <w:szCs w:val="20"/>
        </w:rPr>
        <w:t>The values in italics on the diagonal are the square root of AVE, and the values under the diagonal are the correlations between constructs.</w:t>
      </w:r>
    </w:p>
    <w:p w14:paraId="1B6F7C92" w14:textId="77777777" w:rsidR="000C4E9D" w:rsidRDefault="000C4E9D" w:rsidP="00733B5D">
      <w:pPr>
        <w:spacing w:after="0" w:line="240" w:lineRule="auto"/>
        <w:rPr>
          <w:rFonts w:ascii="Times New Roman" w:hAnsi="Times New Roman" w:cs="Times New Roman"/>
          <w:sz w:val="20"/>
          <w:szCs w:val="20"/>
        </w:rPr>
      </w:pPr>
    </w:p>
    <w:p w14:paraId="756C3D3E" w14:textId="77777777" w:rsidR="000C4E9D" w:rsidRDefault="000C4E9D" w:rsidP="00733B5D">
      <w:pPr>
        <w:spacing w:after="0" w:line="240" w:lineRule="auto"/>
        <w:rPr>
          <w:rFonts w:ascii="Times New Roman" w:hAnsi="Times New Roman" w:cs="Times New Roman"/>
          <w:sz w:val="20"/>
          <w:szCs w:val="20"/>
        </w:rPr>
      </w:pPr>
    </w:p>
    <w:p w14:paraId="5F3CB893" w14:textId="77777777" w:rsidR="000C4E9D" w:rsidRDefault="000C4E9D" w:rsidP="00733B5D">
      <w:pPr>
        <w:spacing w:after="0" w:line="240" w:lineRule="auto"/>
        <w:rPr>
          <w:rFonts w:ascii="Times New Roman" w:hAnsi="Times New Roman" w:cs="Times New Roman"/>
          <w:sz w:val="20"/>
          <w:szCs w:val="20"/>
        </w:rPr>
      </w:pPr>
    </w:p>
    <w:p w14:paraId="08E297B9" w14:textId="77777777" w:rsidR="000C4E9D" w:rsidRDefault="000C4E9D" w:rsidP="00733B5D">
      <w:pPr>
        <w:spacing w:after="0" w:line="240" w:lineRule="auto"/>
        <w:rPr>
          <w:rFonts w:ascii="Times New Roman" w:hAnsi="Times New Roman" w:cs="Times New Roman"/>
          <w:sz w:val="20"/>
          <w:szCs w:val="20"/>
        </w:rPr>
      </w:pPr>
    </w:p>
    <w:p w14:paraId="644201C1" w14:textId="77777777" w:rsidR="000C4E9D" w:rsidRDefault="000C4E9D" w:rsidP="00733B5D">
      <w:pPr>
        <w:spacing w:after="0" w:line="240" w:lineRule="auto"/>
        <w:rPr>
          <w:rFonts w:ascii="Times New Roman" w:hAnsi="Times New Roman" w:cs="Times New Roman"/>
          <w:sz w:val="20"/>
          <w:szCs w:val="20"/>
        </w:rPr>
      </w:pPr>
    </w:p>
    <w:p w14:paraId="534A3815" w14:textId="77777777" w:rsidR="000C4E9D" w:rsidRPr="00D24FE5" w:rsidRDefault="000C4E9D" w:rsidP="00733B5D">
      <w:pPr>
        <w:spacing w:after="0" w:line="240" w:lineRule="auto"/>
        <w:rPr>
          <w:rFonts w:ascii="Times New Roman" w:hAnsi="Times New Roman" w:cs="Times New Roman"/>
          <w:b/>
          <w:bCs/>
          <w:sz w:val="24"/>
          <w:szCs w:val="24"/>
        </w:rPr>
      </w:pPr>
      <w:r w:rsidRPr="00D24FE5">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D24FE5">
        <w:rPr>
          <w:rFonts w:ascii="Times New Roman" w:hAnsi="Times New Roman" w:cs="Times New Roman"/>
          <w:b/>
          <w:bCs/>
          <w:sz w:val="24"/>
          <w:szCs w:val="24"/>
        </w:rPr>
        <w:t xml:space="preserve">. </w:t>
      </w:r>
      <w:r w:rsidRPr="00D24FE5">
        <w:rPr>
          <w:rFonts w:ascii="Times New Roman" w:hAnsi="Times New Roman" w:cs="Times New Roman"/>
          <w:sz w:val="24"/>
          <w:szCs w:val="24"/>
        </w:rPr>
        <w:t>Results of hierarchical regression analysis, with rollover propensity as the dependent variable.</w:t>
      </w:r>
    </w:p>
    <w:tbl>
      <w:tblPr>
        <w:tblStyle w:val="TableGrid"/>
        <w:tblW w:w="13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142"/>
        <w:gridCol w:w="515"/>
        <w:gridCol w:w="512"/>
        <w:gridCol w:w="875"/>
        <w:gridCol w:w="766"/>
        <w:gridCol w:w="513"/>
        <w:gridCol w:w="532"/>
        <w:gridCol w:w="844"/>
        <w:gridCol w:w="1073"/>
        <w:gridCol w:w="513"/>
        <w:gridCol w:w="505"/>
        <w:gridCol w:w="1010"/>
        <w:gridCol w:w="1265"/>
        <w:gridCol w:w="514"/>
        <w:gridCol w:w="541"/>
        <w:gridCol w:w="1160"/>
      </w:tblGrid>
      <w:tr w:rsidR="000C4E9D" w:rsidRPr="00D24FE5" w14:paraId="38165DA2" w14:textId="77777777" w:rsidTr="00462F53">
        <w:tc>
          <w:tcPr>
            <w:tcW w:w="1584" w:type="dxa"/>
            <w:tcBorders>
              <w:top w:val="single" w:sz="6" w:space="0" w:color="auto"/>
            </w:tcBorders>
          </w:tcPr>
          <w:p w14:paraId="615657D7" w14:textId="77777777" w:rsidR="000C4E9D" w:rsidRPr="00D24FE5" w:rsidRDefault="000C4E9D" w:rsidP="00733B5D">
            <w:pPr>
              <w:rPr>
                <w:rFonts w:ascii="Times New Roman" w:hAnsi="Times New Roman" w:cs="Times New Roman"/>
                <w:sz w:val="20"/>
                <w:szCs w:val="20"/>
              </w:rPr>
            </w:pPr>
          </w:p>
        </w:tc>
        <w:tc>
          <w:tcPr>
            <w:tcW w:w="3044" w:type="dxa"/>
            <w:gridSpan w:val="4"/>
            <w:tcBorders>
              <w:top w:val="single" w:sz="6" w:space="0" w:color="auto"/>
            </w:tcBorders>
          </w:tcPr>
          <w:p w14:paraId="4874C79E"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Model 1</w:t>
            </w:r>
          </w:p>
        </w:tc>
        <w:tc>
          <w:tcPr>
            <w:tcW w:w="2655" w:type="dxa"/>
            <w:gridSpan w:val="4"/>
            <w:tcBorders>
              <w:top w:val="single" w:sz="6" w:space="0" w:color="auto"/>
            </w:tcBorders>
          </w:tcPr>
          <w:p w14:paraId="431AE38C"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Model 2</w:t>
            </w:r>
          </w:p>
        </w:tc>
        <w:tc>
          <w:tcPr>
            <w:tcW w:w="3101" w:type="dxa"/>
            <w:gridSpan w:val="4"/>
            <w:tcBorders>
              <w:top w:val="single" w:sz="6" w:space="0" w:color="auto"/>
            </w:tcBorders>
          </w:tcPr>
          <w:p w14:paraId="799841F4"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Model 3</w:t>
            </w:r>
          </w:p>
        </w:tc>
        <w:tc>
          <w:tcPr>
            <w:tcW w:w="3480" w:type="dxa"/>
            <w:gridSpan w:val="4"/>
            <w:tcBorders>
              <w:top w:val="single" w:sz="6" w:space="0" w:color="auto"/>
            </w:tcBorders>
          </w:tcPr>
          <w:p w14:paraId="61273483"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Model 4</w:t>
            </w:r>
          </w:p>
        </w:tc>
      </w:tr>
      <w:tr w:rsidR="000C4E9D" w:rsidRPr="00D24FE5" w14:paraId="7E641737" w14:textId="77777777" w:rsidTr="00462F53">
        <w:tc>
          <w:tcPr>
            <w:tcW w:w="1584" w:type="dxa"/>
            <w:tcBorders>
              <w:bottom w:val="single" w:sz="6" w:space="0" w:color="auto"/>
            </w:tcBorders>
          </w:tcPr>
          <w:p w14:paraId="4D12D3BC" w14:textId="77777777" w:rsidR="000C4E9D" w:rsidRPr="00D24FE5" w:rsidRDefault="000C4E9D" w:rsidP="00733B5D">
            <w:pPr>
              <w:rPr>
                <w:rFonts w:ascii="Times New Roman" w:hAnsi="Times New Roman" w:cs="Times New Roman"/>
                <w:sz w:val="20"/>
                <w:szCs w:val="20"/>
              </w:rPr>
            </w:pPr>
          </w:p>
        </w:tc>
        <w:tc>
          <w:tcPr>
            <w:tcW w:w="1142" w:type="dxa"/>
            <w:tcBorders>
              <w:bottom w:val="single" w:sz="6" w:space="0" w:color="auto"/>
            </w:tcBorders>
          </w:tcPr>
          <w:p w14:paraId="6651C2DD"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B</w:t>
            </w:r>
          </w:p>
        </w:tc>
        <w:tc>
          <w:tcPr>
            <w:tcW w:w="515" w:type="dxa"/>
            <w:tcBorders>
              <w:bottom w:val="single" w:sz="6" w:space="0" w:color="auto"/>
            </w:tcBorders>
          </w:tcPr>
          <w:p w14:paraId="69AD83E1"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SE</w:t>
            </w:r>
          </w:p>
        </w:tc>
        <w:tc>
          <w:tcPr>
            <w:tcW w:w="512" w:type="dxa"/>
            <w:tcBorders>
              <w:bottom w:val="single" w:sz="6" w:space="0" w:color="auto"/>
            </w:tcBorders>
          </w:tcPr>
          <w:p w14:paraId="40A948A6"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β</w:t>
            </w:r>
          </w:p>
        </w:tc>
        <w:tc>
          <w:tcPr>
            <w:tcW w:w="875" w:type="dxa"/>
            <w:tcBorders>
              <w:bottom w:val="single" w:sz="6" w:space="0" w:color="auto"/>
            </w:tcBorders>
          </w:tcPr>
          <w:p w14:paraId="3954D016"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t</w:t>
            </w:r>
          </w:p>
        </w:tc>
        <w:tc>
          <w:tcPr>
            <w:tcW w:w="766" w:type="dxa"/>
            <w:tcBorders>
              <w:bottom w:val="single" w:sz="6" w:space="0" w:color="auto"/>
            </w:tcBorders>
          </w:tcPr>
          <w:p w14:paraId="05BFB649"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B</w:t>
            </w:r>
          </w:p>
        </w:tc>
        <w:tc>
          <w:tcPr>
            <w:tcW w:w="513" w:type="dxa"/>
            <w:tcBorders>
              <w:bottom w:val="single" w:sz="6" w:space="0" w:color="auto"/>
            </w:tcBorders>
          </w:tcPr>
          <w:p w14:paraId="26C0BD47"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SE</w:t>
            </w:r>
          </w:p>
        </w:tc>
        <w:tc>
          <w:tcPr>
            <w:tcW w:w="532" w:type="dxa"/>
            <w:tcBorders>
              <w:bottom w:val="single" w:sz="6" w:space="0" w:color="auto"/>
            </w:tcBorders>
          </w:tcPr>
          <w:p w14:paraId="4B2A0D75"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β</w:t>
            </w:r>
          </w:p>
        </w:tc>
        <w:tc>
          <w:tcPr>
            <w:tcW w:w="844" w:type="dxa"/>
            <w:tcBorders>
              <w:bottom w:val="single" w:sz="6" w:space="0" w:color="auto"/>
            </w:tcBorders>
          </w:tcPr>
          <w:p w14:paraId="275311FB"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t</w:t>
            </w:r>
          </w:p>
        </w:tc>
        <w:tc>
          <w:tcPr>
            <w:tcW w:w="1073" w:type="dxa"/>
            <w:tcBorders>
              <w:bottom w:val="single" w:sz="6" w:space="0" w:color="auto"/>
            </w:tcBorders>
          </w:tcPr>
          <w:p w14:paraId="38E580CF"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B</w:t>
            </w:r>
          </w:p>
        </w:tc>
        <w:tc>
          <w:tcPr>
            <w:tcW w:w="513" w:type="dxa"/>
            <w:tcBorders>
              <w:bottom w:val="single" w:sz="6" w:space="0" w:color="auto"/>
            </w:tcBorders>
          </w:tcPr>
          <w:p w14:paraId="578B48A2"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SE</w:t>
            </w:r>
          </w:p>
        </w:tc>
        <w:tc>
          <w:tcPr>
            <w:tcW w:w="505" w:type="dxa"/>
            <w:tcBorders>
              <w:bottom w:val="single" w:sz="6" w:space="0" w:color="auto"/>
            </w:tcBorders>
          </w:tcPr>
          <w:p w14:paraId="156E5AFA"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β</w:t>
            </w:r>
          </w:p>
        </w:tc>
        <w:tc>
          <w:tcPr>
            <w:tcW w:w="1010" w:type="dxa"/>
            <w:tcBorders>
              <w:bottom w:val="single" w:sz="6" w:space="0" w:color="auto"/>
            </w:tcBorders>
          </w:tcPr>
          <w:p w14:paraId="45A4E06B"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t</w:t>
            </w:r>
          </w:p>
        </w:tc>
        <w:tc>
          <w:tcPr>
            <w:tcW w:w="1265" w:type="dxa"/>
            <w:tcBorders>
              <w:bottom w:val="single" w:sz="6" w:space="0" w:color="auto"/>
            </w:tcBorders>
          </w:tcPr>
          <w:p w14:paraId="61423A2B"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B</w:t>
            </w:r>
          </w:p>
        </w:tc>
        <w:tc>
          <w:tcPr>
            <w:tcW w:w="514" w:type="dxa"/>
            <w:tcBorders>
              <w:bottom w:val="single" w:sz="6" w:space="0" w:color="auto"/>
            </w:tcBorders>
          </w:tcPr>
          <w:p w14:paraId="44BE6088"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SE</w:t>
            </w:r>
          </w:p>
        </w:tc>
        <w:tc>
          <w:tcPr>
            <w:tcW w:w="541" w:type="dxa"/>
            <w:tcBorders>
              <w:bottom w:val="single" w:sz="6" w:space="0" w:color="auto"/>
            </w:tcBorders>
          </w:tcPr>
          <w:p w14:paraId="568A243C"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β</w:t>
            </w:r>
          </w:p>
        </w:tc>
        <w:tc>
          <w:tcPr>
            <w:tcW w:w="1160" w:type="dxa"/>
            <w:tcBorders>
              <w:bottom w:val="single" w:sz="6" w:space="0" w:color="auto"/>
            </w:tcBorders>
          </w:tcPr>
          <w:p w14:paraId="0C9D020B" w14:textId="77777777" w:rsidR="000C4E9D" w:rsidRPr="00D24FE5" w:rsidRDefault="000C4E9D" w:rsidP="00733B5D">
            <w:pPr>
              <w:jc w:val="center"/>
              <w:rPr>
                <w:rFonts w:ascii="Times New Roman" w:hAnsi="Times New Roman" w:cs="Times New Roman"/>
                <w:i/>
                <w:iCs/>
                <w:sz w:val="20"/>
                <w:szCs w:val="20"/>
              </w:rPr>
            </w:pPr>
            <w:r w:rsidRPr="00D24FE5">
              <w:rPr>
                <w:rFonts w:ascii="Times New Roman" w:hAnsi="Times New Roman" w:cs="Times New Roman"/>
                <w:i/>
                <w:iCs/>
                <w:sz w:val="20"/>
                <w:szCs w:val="20"/>
              </w:rPr>
              <w:t>t</w:t>
            </w:r>
          </w:p>
        </w:tc>
      </w:tr>
      <w:tr w:rsidR="000C4E9D" w:rsidRPr="00D24FE5" w14:paraId="53BB8B58" w14:textId="77777777" w:rsidTr="00462F53">
        <w:tc>
          <w:tcPr>
            <w:tcW w:w="1584" w:type="dxa"/>
            <w:tcBorders>
              <w:top w:val="single" w:sz="6" w:space="0" w:color="auto"/>
            </w:tcBorders>
          </w:tcPr>
          <w:p w14:paraId="60DB9429"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Gender</w:t>
            </w:r>
          </w:p>
        </w:tc>
        <w:tc>
          <w:tcPr>
            <w:tcW w:w="1142" w:type="dxa"/>
            <w:tcBorders>
              <w:top w:val="single" w:sz="6" w:space="0" w:color="auto"/>
            </w:tcBorders>
          </w:tcPr>
          <w:p w14:paraId="62CFDA69" w14:textId="77777777" w:rsidR="000C4E9D" w:rsidRPr="00D24FE5" w:rsidRDefault="000C4E9D" w:rsidP="00733B5D">
            <w:pPr>
              <w:ind w:right="144"/>
              <w:jc w:val="center"/>
              <w:rPr>
                <w:rFonts w:ascii="Times New Roman" w:hAnsi="Times New Roman" w:cs="Times New Roman"/>
                <w:sz w:val="20"/>
                <w:szCs w:val="20"/>
              </w:rPr>
            </w:pPr>
            <w:r w:rsidRPr="00D24FE5">
              <w:rPr>
                <w:rFonts w:ascii="Times New Roman" w:hAnsi="Times New Roman" w:cs="Times New Roman"/>
                <w:sz w:val="20"/>
                <w:szCs w:val="20"/>
              </w:rPr>
              <w:t>.57</w:t>
            </w:r>
          </w:p>
        </w:tc>
        <w:tc>
          <w:tcPr>
            <w:tcW w:w="515" w:type="dxa"/>
            <w:tcBorders>
              <w:top w:val="single" w:sz="6" w:space="0" w:color="auto"/>
            </w:tcBorders>
          </w:tcPr>
          <w:p w14:paraId="5AFACF1A"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.15</w:t>
            </w:r>
          </w:p>
        </w:tc>
        <w:tc>
          <w:tcPr>
            <w:tcW w:w="512" w:type="dxa"/>
            <w:tcBorders>
              <w:top w:val="single" w:sz="6" w:space="0" w:color="auto"/>
            </w:tcBorders>
          </w:tcPr>
          <w:p w14:paraId="62E7F3EE"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.18</w:t>
            </w:r>
          </w:p>
        </w:tc>
        <w:tc>
          <w:tcPr>
            <w:tcW w:w="875" w:type="dxa"/>
            <w:tcBorders>
              <w:top w:val="single" w:sz="6" w:space="0" w:color="auto"/>
            </w:tcBorders>
          </w:tcPr>
          <w:p w14:paraId="7785E958"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3.73***</w:t>
            </w:r>
          </w:p>
        </w:tc>
        <w:tc>
          <w:tcPr>
            <w:tcW w:w="766" w:type="dxa"/>
            <w:tcBorders>
              <w:top w:val="single" w:sz="6" w:space="0" w:color="auto"/>
            </w:tcBorders>
          </w:tcPr>
          <w:p w14:paraId="6755C6C8" w14:textId="77777777" w:rsidR="000C4E9D" w:rsidRPr="00D24FE5" w:rsidRDefault="000C4E9D" w:rsidP="00733B5D">
            <w:pPr>
              <w:ind w:right="144"/>
              <w:jc w:val="center"/>
              <w:rPr>
                <w:rFonts w:ascii="Times New Roman" w:hAnsi="Times New Roman" w:cs="Times New Roman"/>
                <w:sz w:val="20"/>
                <w:szCs w:val="20"/>
              </w:rPr>
            </w:pPr>
            <w:r w:rsidRPr="00D24FE5">
              <w:rPr>
                <w:rFonts w:ascii="Times New Roman" w:hAnsi="Times New Roman" w:cs="Times New Roman"/>
                <w:sz w:val="20"/>
                <w:szCs w:val="20"/>
              </w:rPr>
              <w:t>.54</w:t>
            </w:r>
          </w:p>
        </w:tc>
        <w:tc>
          <w:tcPr>
            <w:tcW w:w="513" w:type="dxa"/>
            <w:tcBorders>
              <w:top w:val="single" w:sz="6" w:space="0" w:color="auto"/>
            </w:tcBorders>
          </w:tcPr>
          <w:p w14:paraId="60B7E38F"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.15</w:t>
            </w:r>
          </w:p>
        </w:tc>
        <w:tc>
          <w:tcPr>
            <w:tcW w:w="532" w:type="dxa"/>
            <w:tcBorders>
              <w:top w:val="single" w:sz="6" w:space="0" w:color="auto"/>
            </w:tcBorders>
          </w:tcPr>
          <w:p w14:paraId="09A1DD4A"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.17</w:t>
            </w:r>
          </w:p>
        </w:tc>
        <w:tc>
          <w:tcPr>
            <w:tcW w:w="844" w:type="dxa"/>
            <w:tcBorders>
              <w:top w:val="single" w:sz="6" w:space="0" w:color="auto"/>
            </w:tcBorders>
          </w:tcPr>
          <w:p w14:paraId="21B3086C" w14:textId="77777777" w:rsidR="000C4E9D" w:rsidRPr="00D24FE5" w:rsidRDefault="000C4E9D" w:rsidP="00733B5D">
            <w:pPr>
              <w:tabs>
                <w:tab w:val="left" w:pos="-23"/>
              </w:tabs>
              <w:ind w:hanging="23"/>
              <w:jc w:val="both"/>
              <w:rPr>
                <w:rFonts w:ascii="Times New Roman" w:hAnsi="Times New Roman" w:cs="Times New Roman"/>
                <w:sz w:val="20"/>
                <w:szCs w:val="20"/>
              </w:rPr>
            </w:pPr>
            <w:r w:rsidRPr="00D24FE5">
              <w:rPr>
                <w:rFonts w:ascii="Times New Roman" w:hAnsi="Times New Roman" w:cs="Times New Roman"/>
                <w:sz w:val="20"/>
                <w:szCs w:val="20"/>
              </w:rPr>
              <w:t>3.57***</w:t>
            </w:r>
          </w:p>
        </w:tc>
        <w:tc>
          <w:tcPr>
            <w:tcW w:w="1073" w:type="dxa"/>
            <w:tcBorders>
              <w:top w:val="single" w:sz="6" w:space="0" w:color="auto"/>
            </w:tcBorders>
          </w:tcPr>
          <w:p w14:paraId="6C56D4F9" w14:textId="77777777" w:rsidR="000C4E9D" w:rsidRPr="00D24FE5" w:rsidRDefault="000C4E9D" w:rsidP="00733B5D">
            <w:pPr>
              <w:ind w:right="288"/>
              <w:jc w:val="right"/>
              <w:rPr>
                <w:rFonts w:ascii="Times New Roman" w:hAnsi="Times New Roman" w:cs="Times New Roman"/>
                <w:sz w:val="20"/>
                <w:szCs w:val="20"/>
              </w:rPr>
            </w:pPr>
            <w:r w:rsidRPr="00D24FE5">
              <w:rPr>
                <w:rFonts w:ascii="Times New Roman" w:hAnsi="Times New Roman" w:cs="Times New Roman"/>
                <w:sz w:val="20"/>
                <w:szCs w:val="20"/>
              </w:rPr>
              <w:t>.34</w:t>
            </w:r>
          </w:p>
        </w:tc>
        <w:tc>
          <w:tcPr>
            <w:tcW w:w="513" w:type="dxa"/>
            <w:tcBorders>
              <w:top w:val="single" w:sz="6" w:space="0" w:color="auto"/>
            </w:tcBorders>
          </w:tcPr>
          <w:p w14:paraId="5A354812"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.14</w:t>
            </w:r>
          </w:p>
        </w:tc>
        <w:tc>
          <w:tcPr>
            <w:tcW w:w="505" w:type="dxa"/>
            <w:tcBorders>
              <w:top w:val="single" w:sz="6" w:space="0" w:color="auto"/>
            </w:tcBorders>
          </w:tcPr>
          <w:p w14:paraId="491ABEDE"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.11</w:t>
            </w:r>
          </w:p>
        </w:tc>
        <w:tc>
          <w:tcPr>
            <w:tcW w:w="1010" w:type="dxa"/>
            <w:tcBorders>
              <w:top w:val="single" w:sz="6" w:space="0" w:color="auto"/>
            </w:tcBorders>
          </w:tcPr>
          <w:p w14:paraId="22192CCF" w14:textId="77777777" w:rsidR="000C4E9D" w:rsidRPr="00D24FE5" w:rsidRDefault="000C4E9D" w:rsidP="00733B5D">
            <w:pPr>
              <w:tabs>
                <w:tab w:val="left" w:pos="269"/>
              </w:tabs>
              <w:ind w:left="144"/>
              <w:rPr>
                <w:rFonts w:ascii="Times New Roman" w:hAnsi="Times New Roman" w:cs="Times New Roman"/>
                <w:sz w:val="20"/>
                <w:szCs w:val="20"/>
              </w:rPr>
            </w:pPr>
            <w:r w:rsidRPr="00D24FE5">
              <w:rPr>
                <w:rFonts w:ascii="Times New Roman" w:hAnsi="Times New Roman" w:cs="Times New Roman"/>
                <w:sz w:val="20"/>
                <w:szCs w:val="20"/>
              </w:rPr>
              <w:t>2.45*</w:t>
            </w:r>
          </w:p>
        </w:tc>
        <w:tc>
          <w:tcPr>
            <w:tcW w:w="1265" w:type="dxa"/>
            <w:tcBorders>
              <w:top w:val="single" w:sz="6" w:space="0" w:color="auto"/>
            </w:tcBorders>
          </w:tcPr>
          <w:p w14:paraId="3AD8B2BA" w14:textId="77777777" w:rsidR="000C4E9D" w:rsidRPr="00D24FE5" w:rsidRDefault="000C4E9D" w:rsidP="00733B5D">
            <w:pPr>
              <w:tabs>
                <w:tab w:val="decimal" w:pos="352"/>
              </w:tabs>
              <w:ind w:right="46"/>
              <w:rPr>
                <w:rFonts w:ascii="Times New Roman" w:hAnsi="Times New Roman" w:cs="Times New Roman"/>
                <w:sz w:val="20"/>
                <w:szCs w:val="20"/>
              </w:rPr>
            </w:pPr>
            <w:r w:rsidRPr="00D24FE5">
              <w:rPr>
                <w:rFonts w:ascii="Times New Roman" w:hAnsi="Times New Roman" w:cs="Times New Roman"/>
                <w:sz w:val="20"/>
                <w:szCs w:val="20"/>
              </w:rPr>
              <w:t>.34</w:t>
            </w:r>
          </w:p>
        </w:tc>
        <w:tc>
          <w:tcPr>
            <w:tcW w:w="514" w:type="dxa"/>
            <w:tcBorders>
              <w:top w:val="single" w:sz="6" w:space="0" w:color="auto"/>
            </w:tcBorders>
          </w:tcPr>
          <w:p w14:paraId="264D65E2"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.13</w:t>
            </w:r>
          </w:p>
        </w:tc>
        <w:tc>
          <w:tcPr>
            <w:tcW w:w="541" w:type="dxa"/>
            <w:tcBorders>
              <w:top w:val="single" w:sz="6" w:space="0" w:color="auto"/>
            </w:tcBorders>
          </w:tcPr>
          <w:p w14:paraId="024A608D"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.10</w:t>
            </w:r>
          </w:p>
        </w:tc>
        <w:tc>
          <w:tcPr>
            <w:tcW w:w="1160" w:type="dxa"/>
            <w:tcBorders>
              <w:top w:val="single" w:sz="6" w:space="0" w:color="auto"/>
            </w:tcBorders>
          </w:tcPr>
          <w:p w14:paraId="7A66C5B4" w14:textId="77777777" w:rsidR="000C4E9D" w:rsidRPr="00D24FE5" w:rsidRDefault="000C4E9D" w:rsidP="00733B5D">
            <w:pPr>
              <w:tabs>
                <w:tab w:val="decimal" w:pos="250"/>
              </w:tabs>
              <w:ind w:right="288"/>
              <w:rPr>
                <w:rFonts w:ascii="Times New Roman" w:hAnsi="Times New Roman" w:cs="Times New Roman"/>
                <w:sz w:val="20"/>
                <w:szCs w:val="20"/>
              </w:rPr>
            </w:pPr>
            <w:r w:rsidRPr="00D24FE5">
              <w:rPr>
                <w:rFonts w:ascii="Times New Roman" w:hAnsi="Times New Roman" w:cs="Times New Roman"/>
                <w:sz w:val="20"/>
                <w:szCs w:val="20"/>
              </w:rPr>
              <w:t>2.58*</w:t>
            </w:r>
          </w:p>
        </w:tc>
      </w:tr>
      <w:tr w:rsidR="000C4E9D" w:rsidRPr="00D24FE5" w14:paraId="427404CB" w14:textId="77777777" w:rsidTr="00462F53">
        <w:tc>
          <w:tcPr>
            <w:tcW w:w="1584" w:type="dxa"/>
          </w:tcPr>
          <w:p w14:paraId="5CDD9099"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Education</w:t>
            </w:r>
          </w:p>
        </w:tc>
        <w:tc>
          <w:tcPr>
            <w:tcW w:w="1142" w:type="dxa"/>
          </w:tcPr>
          <w:p w14:paraId="3B01316C" w14:textId="77777777" w:rsidR="000C4E9D" w:rsidRPr="00D24FE5" w:rsidRDefault="000C4E9D" w:rsidP="00733B5D">
            <w:pPr>
              <w:ind w:right="144"/>
              <w:jc w:val="center"/>
              <w:rPr>
                <w:rFonts w:ascii="Times New Roman" w:hAnsi="Times New Roman" w:cs="Times New Roman"/>
                <w:sz w:val="20"/>
                <w:szCs w:val="20"/>
              </w:rPr>
            </w:pPr>
            <w:r w:rsidRPr="00D24FE5">
              <w:rPr>
                <w:rFonts w:ascii="Times New Roman" w:hAnsi="Times New Roman" w:cs="Times New Roman"/>
                <w:sz w:val="20"/>
                <w:szCs w:val="20"/>
              </w:rPr>
              <w:t>.11</w:t>
            </w:r>
          </w:p>
        </w:tc>
        <w:tc>
          <w:tcPr>
            <w:tcW w:w="515" w:type="dxa"/>
          </w:tcPr>
          <w:p w14:paraId="37D1CF08"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.09</w:t>
            </w:r>
          </w:p>
        </w:tc>
        <w:tc>
          <w:tcPr>
            <w:tcW w:w="512" w:type="dxa"/>
          </w:tcPr>
          <w:p w14:paraId="070034BC"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.07</w:t>
            </w:r>
          </w:p>
        </w:tc>
        <w:tc>
          <w:tcPr>
            <w:tcW w:w="875" w:type="dxa"/>
          </w:tcPr>
          <w:p w14:paraId="2DF3C712"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1.26</w:t>
            </w:r>
          </w:p>
        </w:tc>
        <w:tc>
          <w:tcPr>
            <w:tcW w:w="766" w:type="dxa"/>
          </w:tcPr>
          <w:p w14:paraId="7C28CEE8" w14:textId="77777777" w:rsidR="000C4E9D" w:rsidRPr="00D24FE5" w:rsidRDefault="000C4E9D" w:rsidP="00733B5D">
            <w:pPr>
              <w:ind w:right="144"/>
              <w:jc w:val="center"/>
              <w:rPr>
                <w:rFonts w:ascii="Times New Roman" w:hAnsi="Times New Roman" w:cs="Times New Roman"/>
                <w:sz w:val="20"/>
                <w:szCs w:val="20"/>
              </w:rPr>
            </w:pPr>
            <w:r w:rsidRPr="00D24FE5">
              <w:rPr>
                <w:rFonts w:ascii="Times New Roman" w:hAnsi="Times New Roman" w:cs="Times New Roman"/>
                <w:sz w:val="20"/>
                <w:szCs w:val="20"/>
              </w:rPr>
              <w:t>.11</w:t>
            </w:r>
          </w:p>
        </w:tc>
        <w:tc>
          <w:tcPr>
            <w:tcW w:w="513" w:type="dxa"/>
          </w:tcPr>
          <w:p w14:paraId="4496A486"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.09</w:t>
            </w:r>
          </w:p>
        </w:tc>
        <w:tc>
          <w:tcPr>
            <w:tcW w:w="532" w:type="dxa"/>
          </w:tcPr>
          <w:p w14:paraId="62328776"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.07</w:t>
            </w:r>
          </w:p>
        </w:tc>
        <w:tc>
          <w:tcPr>
            <w:tcW w:w="844" w:type="dxa"/>
          </w:tcPr>
          <w:p w14:paraId="4783B174" w14:textId="77777777" w:rsidR="000C4E9D" w:rsidRPr="00D24FE5" w:rsidRDefault="000C4E9D" w:rsidP="00733B5D">
            <w:pPr>
              <w:tabs>
                <w:tab w:val="left" w:pos="-23"/>
                <w:tab w:val="left" w:pos="382"/>
              </w:tabs>
              <w:ind w:hanging="23"/>
              <w:jc w:val="both"/>
              <w:rPr>
                <w:rFonts w:ascii="Times New Roman" w:hAnsi="Times New Roman" w:cs="Times New Roman"/>
                <w:sz w:val="20"/>
                <w:szCs w:val="20"/>
              </w:rPr>
            </w:pPr>
            <w:r w:rsidRPr="00D24FE5">
              <w:rPr>
                <w:rFonts w:ascii="Times New Roman" w:hAnsi="Times New Roman" w:cs="Times New Roman"/>
                <w:sz w:val="20"/>
                <w:szCs w:val="20"/>
              </w:rPr>
              <w:t>1.31</w:t>
            </w:r>
          </w:p>
        </w:tc>
        <w:tc>
          <w:tcPr>
            <w:tcW w:w="1073" w:type="dxa"/>
          </w:tcPr>
          <w:p w14:paraId="223B8516" w14:textId="77777777" w:rsidR="000C4E9D" w:rsidRPr="00D24FE5" w:rsidRDefault="000C4E9D" w:rsidP="00733B5D">
            <w:pPr>
              <w:ind w:right="288"/>
              <w:jc w:val="right"/>
              <w:rPr>
                <w:rFonts w:ascii="Times New Roman" w:hAnsi="Times New Roman" w:cs="Times New Roman"/>
                <w:sz w:val="20"/>
                <w:szCs w:val="20"/>
              </w:rPr>
            </w:pPr>
            <w:r w:rsidRPr="00D24FE5">
              <w:rPr>
                <w:rFonts w:ascii="Times New Roman" w:hAnsi="Times New Roman" w:cs="Times New Roman"/>
                <w:sz w:val="20"/>
                <w:szCs w:val="20"/>
              </w:rPr>
              <w:t>.01</w:t>
            </w:r>
          </w:p>
        </w:tc>
        <w:tc>
          <w:tcPr>
            <w:tcW w:w="513" w:type="dxa"/>
          </w:tcPr>
          <w:p w14:paraId="606D5D94"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.08</w:t>
            </w:r>
          </w:p>
        </w:tc>
        <w:tc>
          <w:tcPr>
            <w:tcW w:w="505" w:type="dxa"/>
          </w:tcPr>
          <w:p w14:paraId="5EABE6A2"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.01</w:t>
            </w:r>
          </w:p>
        </w:tc>
        <w:tc>
          <w:tcPr>
            <w:tcW w:w="1010" w:type="dxa"/>
          </w:tcPr>
          <w:p w14:paraId="03BBB5F6" w14:textId="77777777" w:rsidR="000C4E9D" w:rsidRPr="00D24FE5" w:rsidRDefault="000C4E9D" w:rsidP="00733B5D">
            <w:pPr>
              <w:tabs>
                <w:tab w:val="left" w:pos="269"/>
              </w:tabs>
              <w:ind w:left="144"/>
              <w:rPr>
                <w:rFonts w:ascii="Times New Roman" w:hAnsi="Times New Roman" w:cs="Times New Roman"/>
                <w:sz w:val="20"/>
                <w:szCs w:val="20"/>
              </w:rPr>
            </w:pPr>
            <w:r w:rsidRPr="00D24FE5">
              <w:rPr>
                <w:rFonts w:ascii="Times New Roman" w:hAnsi="Times New Roman" w:cs="Times New Roman"/>
                <w:sz w:val="20"/>
                <w:szCs w:val="20"/>
              </w:rPr>
              <w:t>0.12</w:t>
            </w:r>
          </w:p>
        </w:tc>
        <w:tc>
          <w:tcPr>
            <w:tcW w:w="1265" w:type="dxa"/>
          </w:tcPr>
          <w:p w14:paraId="5340616D" w14:textId="77777777" w:rsidR="000C4E9D" w:rsidRPr="00D24FE5" w:rsidRDefault="000C4E9D" w:rsidP="00733B5D">
            <w:pPr>
              <w:tabs>
                <w:tab w:val="decimal" w:pos="352"/>
              </w:tabs>
              <w:ind w:right="46"/>
              <w:rPr>
                <w:rFonts w:ascii="Times New Roman" w:hAnsi="Times New Roman" w:cs="Times New Roman"/>
                <w:sz w:val="20"/>
                <w:szCs w:val="20"/>
              </w:rPr>
            </w:pPr>
            <w:r w:rsidRPr="00D24FE5">
              <w:rPr>
                <w:rFonts w:ascii="Times New Roman" w:hAnsi="Times New Roman" w:cs="Times New Roman"/>
                <w:sz w:val="20"/>
                <w:szCs w:val="20"/>
              </w:rPr>
              <w:t>.15</w:t>
            </w:r>
          </w:p>
        </w:tc>
        <w:tc>
          <w:tcPr>
            <w:tcW w:w="514" w:type="dxa"/>
          </w:tcPr>
          <w:p w14:paraId="67E6823D"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.08</w:t>
            </w:r>
          </w:p>
        </w:tc>
        <w:tc>
          <w:tcPr>
            <w:tcW w:w="541" w:type="dxa"/>
          </w:tcPr>
          <w:p w14:paraId="111F50BB"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.10</w:t>
            </w:r>
          </w:p>
        </w:tc>
        <w:tc>
          <w:tcPr>
            <w:tcW w:w="1160" w:type="dxa"/>
          </w:tcPr>
          <w:p w14:paraId="7968BEFE" w14:textId="77777777" w:rsidR="000C4E9D" w:rsidRPr="00D24FE5" w:rsidRDefault="000C4E9D" w:rsidP="00733B5D">
            <w:pPr>
              <w:tabs>
                <w:tab w:val="decimal" w:pos="250"/>
              </w:tabs>
              <w:ind w:right="288"/>
              <w:rPr>
                <w:rFonts w:ascii="Times New Roman" w:hAnsi="Times New Roman" w:cs="Times New Roman"/>
                <w:sz w:val="20"/>
                <w:szCs w:val="20"/>
              </w:rPr>
            </w:pPr>
            <w:r w:rsidRPr="00D24FE5">
              <w:rPr>
                <w:rFonts w:ascii="Times New Roman" w:hAnsi="Times New Roman" w:cs="Times New Roman"/>
                <w:sz w:val="20"/>
                <w:szCs w:val="20"/>
              </w:rPr>
              <w:t>2.02*</w:t>
            </w:r>
          </w:p>
        </w:tc>
      </w:tr>
      <w:tr w:rsidR="000C4E9D" w:rsidRPr="00D24FE5" w14:paraId="4721C3E3" w14:textId="77777777" w:rsidTr="00462F53">
        <w:tc>
          <w:tcPr>
            <w:tcW w:w="1584" w:type="dxa"/>
          </w:tcPr>
          <w:p w14:paraId="77E8B696"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Income</w:t>
            </w:r>
          </w:p>
        </w:tc>
        <w:tc>
          <w:tcPr>
            <w:tcW w:w="1142" w:type="dxa"/>
          </w:tcPr>
          <w:p w14:paraId="35B18657" w14:textId="77777777" w:rsidR="000C4E9D" w:rsidRPr="00D24FE5" w:rsidRDefault="000C4E9D" w:rsidP="00733B5D">
            <w:pPr>
              <w:ind w:right="144"/>
              <w:jc w:val="center"/>
              <w:rPr>
                <w:rFonts w:ascii="Times New Roman" w:hAnsi="Times New Roman" w:cs="Times New Roman"/>
                <w:sz w:val="20"/>
                <w:szCs w:val="20"/>
              </w:rPr>
            </w:pPr>
            <w:r w:rsidRPr="00D24FE5">
              <w:rPr>
                <w:rFonts w:ascii="Times New Roman" w:hAnsi="Times New Roman" w:cs="Times New Roman"/>
                <w:sz w:val="20"/>
                <w:szCs w:val="20"/>
              </w:rPr>
              <w:t>.17</w:t>
            </w:r>
          </w:p>
        </w:tc>
        <w:tc>
          <w:tcPr>
            <w:tcW w:w="515" w:type="dxa"/>
          </w:tcPr>
          <w:p w14:paraId="767B762B"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.04</w:t>
            </w:r>
          </w:p>
        </w:tc>
        <w:tc>
          <w:tcPr>
            <w:tcW w:w="512" w:type="dxa"/>
          </w:tcPr>
          <w:p w14:paraId="79714328"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.22</w:t>
            </w:r>
          </w:p>
        </w:tc>
        <w:tc>
          <w:tcPr>
            <w:tcW w:w="875" w:type="dxa"/>
          </w:tcPr>
          <w:p w14:paraId="092A5955"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4.15***</w:t>
            </w:r>
          </w:p>
        </w:tc>
        <w:tc>
          <w:tcPr>
            <w:tcW w:w="766" w:type="dxa"/>
          </w:tcPr>
          <w:p w14:paraId="38B1D8D6" w14:textId="77777777" w:rsidR="000C4E9D" w:rsidRPr="00D24FE5" w:rsidRDefault="000C4E9D" w:rsidP="00733B5D">
            <w:pPr>
              <w:ind w:right="144"/>
              <w:jc w:val="center"/>
              <w:rPr>
                <w:rFonts w:ascii="Times New Roman" w:hAnsi="Times New Roman" w:cs="Times New Roman"/>
                <w:sz w:val="20"/>
                <w:szCs w:val="20"/>
              </w:rPr>
            </w:pPr>
            <w:r w:rsidRPr="00D24FE5">
              <w:rPr>
                <w:rFonts w:ascii="Times New Roman" w:hAnsi="Times New Roman" w:cs="Times New Roman"/>
                <w:sz w:val="20"/>
                <w:szCs w:val="20"/>
              </w:rPr>
              <w:t>.19</w:t>
            </w:r>
          </w:p>
        </w:tc>
        <w:tc>
          <w:tcPr>
            <w:tcW w:w="513" w:type="dxa"/>
          </w:tcPr>
          <w:p w14:paraId="19D8641C"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.04</w:t>
            </w:r>
          </w:p>
        </w:tc>
        <w:tc>
          <w:tcPr>
            <w:tcW w:w="532" w:type="dxa"/>
          </w:tcPr>
          <w:p w14:paraId="1D853BE6"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.24</w:t>
            </w:r>
          </w:p>
        </w:tc>
        <w:tc>
          <w:tcPr>
            <w:tcW w:w="844" w:type="dxa"/>
          </w:tcPr>
          <w:p w14:paraId="1B57A319" w14:textId="77777777" w:rsidR="000C4E9D" w:rsidRPr="00D24FE5" w:rsidRDefault="000C4E9D" w:rsidP="00733B5D">
            <w:pPr>
              <w:tabs>
                <w:tab w:val="left" w:pos="-23"/>
              </w:tabs>
              <w:ind w:hanging="23"/>
              <w:jc w:val="both"/>
              <w:rPr>
                <w:rFonts w:ascii="Times New Roman" w:hAnsi="Times New Roman" w:cs="Times New Roman"/>
                <w:sz w:val="20"/>
                <w:szCs w:val="20"/>
              </w:rPr>
            </w:pPr>
            <w:r w:rsidRPr="00D24FE5">
              <w:rPr>
                <w:rFonts w:ascii="Times New Roman" w:hAnsi="Times New Roman" w:cs="Times New Roman"/>
                <w:sz w:val="20"/>
                <w:szCs w:val="20"/>
              </w:rPr>
              <w:t>4.47***</w:t>
            </w:r>
          </w:p>
        </w:tc>
        <w:tc>
          <w:tcPr>
            <w:tcW w:w="1073" w:type="dxa"/>
          </w:tcPr>
          <w:p w14:paraId="0C18C6EF" w14:textId="77777777" w:rsidR="000C4E9D" w:rsidRPr="00D24FE5" w:rsidRDefault="000C4E9D" w:rsidP="00733B5D">
            <w:pPr>
              <w:ind w:right="288"/>
              <w:jc w:val="right"/>
              <w:rPr>
                <w:rFonts w:ascii="Times New Roman" w:hAnsi="Times New Roman" w:cs="Times New Roman"/>
                <w:sz w:val="20"/>
                <w:szCs w:val="20"/>
              </w:rPr>
            </w:pPr>
            <w:r w:rsidRPr="00D24FE5">
              <w:rPr>
                <w:rFonts w:ascii="Times New Roman" w:hAnsi="Times New Roman" w:cs="Times New Roman"/>
                <w:sz w:val="20"/>
                <w:szCs w:val="20"/>
              </w:rPr>
              <w:t>.17</w:t>
            </w:r>
          </w:p>
        </w:tc>
        <w:tc>
          <w:tcPr>
            <w:tcW w:w="513" w:type="dxa"/>
          </w:tcPr>
          <w:p w14:paraId="2D9471ED"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.04</w:t>
            </w:r>
          </w:p>
        </w:tc>
        <w:tc>
          <w:tcPr>
            <w:tcW w:w="505" w:type="dxa"/>
          </w:tcPr>
          <w:p w14:paraId="32E3664B"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.22</w:t>
            </w:r>
          </w:p>
        </w:tc>
        <w:tc>
          <w:tcPr>
            <w:tcW w:w="1010" w:type="dxa"/>
          </w:tcPr>
          <w:p w14:paraId="58D812E0" w14:textId="77777777" w:rsidR="000C4E9D" w:rsidRPr="00D24FE5" w:rsidRDefault="000C4E9D" w:rsidP="00733B5D">
            <w:pPr>
              <w:tabs>
                <w:tab w:val="left" w:pos="269"/>
              </w:tabs>
              <w:ind w:left="144"/>
              <w:rPr>
                <w:rFonts w:ascii="Times New Roman" w:hAnsi="Times New Roman" w:cs="Times New Roman"/>
                <w:sz w:val="20"/>
                <w:szCs w:val="20"/>
              </w:rPr>
            </w:pPr>
            <w:r w:rsidRPr="00D24FE5">
              <w:rPr>
                <w:rFonts w:ascii="Times New Roman" w:hAnsi="Times New Roman" w:cs="Times New Roman"/>
                <w:sz w:val="20"/>
                <w:szCs w:val="20"/>
              </w:rPr>
              <w:t>4.54***</w:t>
            </w:r>
          </w:p>
        </w:tc>
        <w:tc>
          <w:tcPr>
            <w:tcW w:w="1265" w:type="dxa"/>
          </w:tcPr>
          <w:p w14:paraId="74590E16" w14:textId="77777777" w:rsidR="000C4E9D" w:rsidRPr="00D24FE5" w:rsidRDefault="000C4E9D" w:rsidP="00733B5D">
            <w:pPr>
              <w:tabs>
                <w:tab w:val="decimal" w:pos="352"/>
              </w:tabs>
              <w:ind w:right="46"/>
              <w:rPr>
                <w:rFonts w:ascii="Times New Roman" w:hAnsi="Times New Roman" w:cs="Times New Roman"/>
                <w:sz w:val="20"/>
                <w:szCs w:val="20"/>
              </w:rPr>
            </w:pPr>
            <w:r w:rsidRPr="00D24FE5">
              <w:rPr>
                <w:rFonts w:ascii="Times New Roman" w:hAnsi="Times New Roman" w:cs="Times New Roman"/>
                <w:sz w:val="20"/>
                <w:szCs w:val="20"/>
              </w:rPr>
              <w:t>.17</w:t>
            </w:r>
          </w:p>
        </w:tc>
        <w:tc>
          <w:tcPr>
            <w:tcW w:w="514" w:type="dxa"/>
          </w:tcPr>
          <w:p w14:paraId="177E65B8"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.04</w:t>
            </w:r>
          </w:p>
        </w:tc>
        <w:tc>
          <w:tcPr>
            <w:tcW w:w="541" w:type="dxa"/>
          </w:tcPr>
          <w:p w14:paraId="671103E8"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.22</w:t>
            </w:r>
          </w:p>
        </w:tc>
        <w:tc>
          <w:tcPr>
            <w:tcW w:w="1160" w:type="dxa"/>
          </w:tcPr>
          <w:p w14:paraId="12CFC0BD" w14:textId="77777777" w:rsidR="000C4E9D" w:rsidRPr="00D24FE5" w:rsidRDefault="000C4E9D" w:rsidP="00733B5D">
            <w:pPr>
              <w:tabs>
                <w:tab w:val="decimal" w:pos="250"/>
              </w:tabs>
              <w:ind w:right="144"/>
              <w:rPr>
                <w:rFonts w:ascii="Times New Roman" w:hAnsi="Times New Roman" w:cs="Times New Roman"/>
                <w:sz w:val="20"/>
                <w:szCs w:val="20"/>
              </w:rPr>
            </w:pPr>
            <w:r w:rsidRPr="00D24FE5">
              <w:rPr>
                <w:rFonts w:ascii="Times New Roman" w:hAnsi="Times New Roman" w:cs="Times New Roman"/>
                <w:sz w:val="20"/>
                <w:szCs w:val="20"/>
              </w:rPr>
              <w:t>4.82***</w:t>
            </w:r>
          </w:p>
        </w:tc>
      </w:tr>
      <w:tr w:rsidR="000C4E9D" w:rsidRPr="00D24FE5" w14:paraId="4EC10158" w14:textId="77777777" w:rsidTr="00462F53">
        <w:tc>
          <w:tcPr>
            <w:tcW w:w="1584" w:type="dxa"/>
          </w:tcPr>
          <w:p w14:paraId="7564C243"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Perceived value</w:t>
            </w:r>
          </w:p>
        </w:tc>
        <w:tc>
          <w:tcPr>
            <w:tcW w:w="1142" w:type="dxa"/>
          </w:tcPr>
          <w:p w14:paraId="357D8CA3" w14:textId="77777777" w:rsidR="000C4E9D" w:rsidRPr="00D24FE5" w:rsidRDefault="000C4E9D" w:rsidP="00733B5D">
            <w:pPr>
              <w:ind w:right="144"/>
              <w:rPr>
                <w:rFonts w:ascii="Times New Roman" w:hAnsi="Times New Roman" w:cs="Times New Roman"/>
                <w:sz w:val="20"/>
                <w:szCs w:val="20"/>
              </w:rPr>
            </w:pPr>
          </w:p>
        </w:tc>
        <w:tc>
          <w:tcPr>
            <w:tcW w:w="515" w:type="dxa"/>
          </w:tcPr>
          <w:p w14:paraId="2C890C47" w14:textId="77777777" w:rsidR="000C4E9D" w:rsidRPr="00D24FE5" w:rsidRDefault="000C4E9D" w:rsidP="00733B5D">
            <w:pPr>
              <w:rPr>
                <w:rFonts w:ascii="Times New Roman" w:hAnsi="Times New Roman" w:cs="Times New Roman"/>
                <w:sz w:val="20"/>
                <w:szCs w:val="20"/>
              </w:rPr>
            </w:pPr>
          </w:p>
        </w:tc>
        <w:tc>
          <w:tcPr>
            <w:tcW w:w="512" w:type="dxa"/>
          </w:tcPr>
          <w:p w14:paraId="20A8C913" w14:textId="77777777" w:rsidR="000C4E9D" w:rsidRPr="00D24FE5" w:rsidRDefault="000C4E9D" w:rsidP="00733B5D">
            <w:pPr>
              <w:rPr>
                <w:rFonts w:ascii="Times New Roman" w:hAnsi="Times New Roman" w:cs="Times New Roman"/>
                <w:sz w:val="20"/>
                <w:szCs w:val="20"/>
              </w:rPr>
            </w:pPr>
          </w:p>
        </w:tc>
        <w:tc>
          <w:tcPr>
            <w:tcW w:w="875" w:type="dxa"/>
          </w:tcPr>
          <w:p w14:paraId="0636AA1C" w14:textId="77777777" w:rsidR="000C4E9D" w:rsidRPr="00D24FE5" w:rsidRDefault="000C4E9D" w:rsidP="00733B5D">
            <w:pPr>
              <w:rPr>
                <w:rFonts w:ascii="Times New Roman" w:hAnsi="Times New Roman" w:cs="Times New Roman"/>
                <w:sz w:val="20"/>
                <w:szCs w:val="20"/>
              </w:rPr>
            </w:pPr>
          </w:p>
        </w:tc>
        <w:tc>
          <w:tcPr>
            <w:tcW w:w="766" w:type="dxa"/>
          </w:tcPr>
          <w:p w14:paraId="7A289D3B" w14:textId="77777777" w:rsidR="000C4E9D" w:rsidRPr="00D24FE5" w:rsidRDefault="000C4E9D" w:rsidP="00733B5D">
            <w:pPr>
              <w:ind w:right="144"/>
              <w:jc w:val="center"/>
              <w:rPr>
                <w:rFonts w:ascii="Times New Roman" w:hAnsi="Times New Roman" w:cs="Times New Roman"/>
                <w:sz w:val="20"/>
                <w:szCs w:val="20"/>
              </w:rPr>
            </w:pPr>
            <w:r w:rsidRPr="00D24FE5">
              <w:rPr>
                <w:rFonts w:ascii="Times New Roman" w:hAnsi="Times New Roman" w:cs="Times New Roman"/>
                <w:sz w:val="20"/>
                <w:szCs w:val="20"/>
              </w:rPr>
              <w:t>.21</w:t>
            </w:r>
          </w:p>
        </w:tc>
        <w:tc>
          <w:tcPr>
            <w:tcW w:w="513" w:type="dxa"/>
          </w:tcPr>
          <w:p w14:paraId="0324CEF5"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.08</w:t>
            </w:r>
          </w:p>
        </w:tc>
        <w:tc>
          <w:tcPr>
            <w:tcW w:w="532" w:type="dxa"/>
          </w:tcPr>
          <w:p w14:paraId="36243D7C"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.13</w:t>
            </w:r>
          </w:p>
        </w:tc>
        <w:tc>
          <w:tcPr>
            <w:tcW w:w="844" w:type="dxa"/>
          </w:tcPr>
          <w:p w14:paraId="27578588" w14:textId="77777777" w:rsidR="000C4E9D" w:rsidRPr="00D24FE5" w:rsidRDefault="000C4E9D" w:rsidP="00733B5D">
            <w:pPr>
              <w:tabs>
                <w:tab w:val="left" w:pos="-23"/>
              </w:tabs>
              <w:ind w:hanging="23"/>
              <w:jc w:val="both"/>
              <w:rPr>
                <w:rFonts w:ascii="Times New Roman" w:hAnsi="Times New Roman" w:cs="Times New Roman"/>
                <w:sz w:val="20"/>
                <w:szCs w:val="20"/>
              </w:rPr>
            </w:pPr>
            <w:r w:rsidRPr="00D24FE5">
              <w:rPr>
                <w:rFonts w:ascii="Times New Roman" w:hAnsi="Times New Roman" w:cs="Times New Roman"/>
                <w:sz w:val="20"/>
                <w:szCs w:val="20"/>
              </w:rPr>
              <w:t>2.74**</w:t>
            </w:r>
          </w:p>
        </w:tc>
        <w:tc>
          <w:tcPr>
            <w:tcW w:w="1073" w:type="dxa"/>
          </w:tcPr>
          <w:p w14:paraId="63AA87D3" w14:textId="77777777" w:rsidR="000C4E9D" w:rsidRPr="00D24FE5" w:rsidRDefault="000C4E9D" w:rsidP="00733B5D">
            <w:pPr>
              <w:ind w:right="288"/>
              <w:jc w:val="right"/>
              <w:rPr>
                <w:rFonts w:ascii="Times New Roman" w:hAnsi="Times New Roman" w:cs="Times New Roman"/>
                <w:sz w:val="20"/>
                <w:szCs w:val="20"/>
              </w:rPr>
            </w:pPr>
            <w:r w:rsidRPr="00D24FE5">
              <w:rPr>
                <w:rFonts w:ascii="Times New Roman" w:hAnsi="Times New Roman" w:cs="Times New Roman"/>
                <w:sz w:val="20"/>
                <w:szCs w:val="20"/>
              </w:rPr>
              <w:t>.02</w:t>
            </w:r>
          </w:p>
        </w:tc>
        <w:tc>
          <w:tcPr>
            <w:tcW w:w="513" w:type="dxa"/>
          </w:tcPr>
          <w:p w14:paraId="20298631"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.08</w:t>
            </w:r>
          </w:p>
        </w:tc>
        <w:tc>
          <w:tcPr>
            <w:tcW w:w="505" w:type="dxa"/>
          </w:tcPr>
          <w:p w14:paraId="740DC5C9"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.01</w:t>
            </w:r>
          </w:p>
        </w:tc>
        <w:tc>
          <w:tcPr>
            <w:tcW w:w="1010" w:type="dxa"/>
          </w:tcPr>
          <w:p w14:paraId="4F69B4DE" w14:textId="77777777" w:rsidR="000C4E9D" w:rsidRPr="00D24FE5" w:rsidRDefault="000C4E9D" w:rsidP="00733B5D">
            <w:pPr>
              <w:tabs>
                <w:tab w:val="left" w:pos="269"/>
              </w:tabs>
              <w:ind w:left="144"/>
              <w:rPr>
                <w:rFonts w:ascii="Times New Roman" w:hAnsi="Times New Roman" w:cs="Times New Roman"/>
                <w:sz w:val="20"/>
                <w:szCs w:val="20"/>
              </w:rPr>
            </w:pPr>
            <w:r w:rsidRPr="00D24FE5">
              <w:rPr>
                <w:rFonts w:ascii="Times New Roman" w:hAnsi="Times New Roman" w:cs="Times New Roman"/>
                <w:sz w:val="20"/>
                <w:szCs w:val="20"/>
              </w:rPr>
              <w:t>0.31</w:t>
            </w:r>
          </w:p>
        </w:tc>
        <w:tc>
          <w:tcPr>
            <w:tcW w:w="1265" w:type="dxa"/>
          </w:tcPr>
          <w:p w14:paraId="254C8470" w14:textId="77777777" w:rsidR="000C4E9D" w:rsidRPr="00D24FE5" w:rsidRDefault="000C4E9D" w:rsidP="00733B5D">
            <w:pPr>
              <w:tabs>
                <w:tab w:val="decimal" w:pos="352"/>
              </w:tabs>
              <w:ind w:right="46"/>
              <w:rPr>
                <w:rFonts w:ascii="Times New Roman" w:hAnsi="Times New Roman" w:cs="Times New Roman"/>
                <w:sz w:val="20"/>
                <w:szCs w:val="20"/>
              </w:rPr>
            </w:pPr>
            <w:r w:rsidRPr="00D24FE5">
              <w:rPr>
                <w:rFonts w:ascii="Times New Roman" w:hAnsi="Times New Roman" w:cs="Times New Roman"/>
                <w:sz w:val="20"/>
                <w:szCs w:val="20"/>
              </w:rPr>
              <w:t>.15</w:t>
            </w:r>
          </w:p>
        </w:tc>
        <w:tc>
          <w:tcPr>
            <w:tcW w:w="514" w:type="dxa"/>
          </w:tcPr>
          <w:p w14:paraId="038183B9"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.07</w:t>
            </w:r>
          </w:p>
        </w:tc>
        <w:tc>
          <w:tcPr>
            <w:tcW w:w="541" w:type="dxa"/>
          </w:tcPr>
          <w:p w14:paraId="1AA70B2E"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.09</w:t>
            </w:r>
          </w:p>
        </w:tc>
        <w:tc>
          <w:tcPr>
            <w:tcW w:w="1160" w:type="dxa"/>
          </w:tcPr>
          <w:p w14:paraId="15649551" w14:textId="77777777" w:rsidR="000C4E9D" w:rsidRPr="00D24FE5" w:rsidRDefault="000C4E9D" w:rsidP="00733B5D">
            <w:pPr>
              <w:tabs>
                <w:tab w:val="decimal" w:pos="250"/>
              </w:tabs>
              <w:ind w:right="288"/>
              <w:rPr>
                <w:rFonts w:ascii="Times New Roman" w:hAnsi="Times New Roman" w:cs="Times New Roman"/>
                <w:sz w:val="20"/>
                <w:szCs w:val="20"/>
              </w:rPr>
            </w:pPr>
            <w:r w:rsidRPr="00D24FE5">
              <w:rPr>
                <w:rFonts w:ascii="Times New Roman" w:hAnsi="Times New Roman" w:cs="Times New Roman"/>
                <w:sz w:val="20"/>
                <w:szCs w:val="20"/>
              </w:rPr>
              <w:t>2.03*</w:t>
            </w:r>
          </w:p>
        </w:tc>
      </w:tr>
      <w:tr w:rsidR="000C4E9D" w:rsidRPr="00D24FE5" w14:paraId="1A269E40" w14:textId="77777777" w:rsidTr="00462F53">
        <w:tc>
          <w:tcPr>
            <w:tcW w:w="1584" w:type="dxa"/>
          </w:tcPr>
          <w:p w14:paraId="5D5D5A4B"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Reputation</w:t>
            </w:r>
          </w:p>
        </w:tc>
        <w:tc>
          <w:tcPr>
            <w:tcW w:w="1142" w:type="dxa"/>
          </w:tcPr>
          <w:p w14:paraId="615DDA77" w14:textId="77777777" w:rsidR="000C4E9D" w:rsidRPr="00D24FE5" w:rsidRDefault="000C4E9D" w:rsidP="00733B5D">
            <w:pPr>
              <w:ind w:right="144"/>
              <w:rPr>
                <w:rFonts w:ascii="Times New Roman" w:hAnsi="Times New Roman" w:cs="Times New Roman"/>
                <w:sz w:val="20"/>
                <w:szCs w:val="20"/>
              </w:rPr>
            </w:pPr>
          </w:p>
        </w:tc>
        <w:tc>
          <w:tcPr>
            <w:tcW w:w="515" w:type="dxa"/>
          </w:tcPr>
          <w:p w14:paraId="689304A9" w14:textId="77777777" w:rsidR="000C4E9D" w:rsidRPr="00D24FE5" w:rsidRDefault="000C4E9D" w:rsidP="00733B5D">
            <w:pPr>
              <w:rPr>
                <w:rFonts w:ascii="Times New Roman" w:hAnsi="Times New Roman" w:cs="Times New Roman"/>
                <w:sz w:val="20"/>
                <w:szCs w:val="20"/>
              </w:rPr>
            </w:pPr>
          </w:p>
        </w:tc>
        <w:tc>
          <w:tcPr>
            <w:tcW w:w="512" w:type="dxa"/>
          </w:tcPr>
          <w:p w14:paraId="6B26A3C7" w14:textId="77777777" w:rsidR="000C4E9D" w:rsidRPr="00D24FE5" w:rsidRDefault="000C4E9D" w:rsidP="00733B5D">
            <w:pPr>
              <w:rPr>
                <w:rFonts w:ascii="Times New Roman" w:hAnsi="Times New Roman" w:cs="Times New Roman"/>
                <w:sz w:val="20"/>
                <w:szCs w:val="20"/>
              </w:rPr>
            </w:pPr>
          </w:p>
        </w:tc>
        <w:tc>
          <w:tcPr>
            <w:tcW w:w="875" w:type="dxa"/>
          </w:tcPr>
          <w:p w14:paraId="44660812" w14:textId="77777777" w:rsidR="000C4E9D" w:rsidRPr="00D24FE5" w:rsidRDefault="000C4E9D" w:rsidP="00733B5D">
            <w:pPr>
              <w:rPr>
                <w:rFonts w:ascii="Times New Roman" w:hAnsi="Times New Roman" w:cs="Times New Roman"/>
                <w:sz w:val="20"/>
                <w:szCs w:val="20"/>
              </w:rPr>
            </w:pPr>
          </w:p>
        </w:tc>
        <w:tc>
          <w:tcPr>
            <w:tcW w:w="766" w:type="dxa"/>
          </w:tcPr>
          <w:p w14:paraId="19508145" w14:textId="77777777" w:rsidR="000C4E9D" w:rsidRPr="00D24FE5" w:rsidRDefault="000C4E9D" w:rsidP="00733B5D">
            <w:pPr>
              <w:ind w:right="144"/>
              <w:rPr>
                <w:rFonts w:ascii="Times New Roman" w:hAnsi="Times New Roman" w:cs="Times New Roman"/>
                <w:sz w:val="20"/>
                <w:szCs w:val="20"/>
              </w:rPr>
            </w:pPr>
          </w:p>
        </w:tc>
        <w:tc>
          <w:tcPr>
            <w:tcW w:w="513" w:type="dxa"/>
          </w:tcPr>
          <w:p w14:paraId="407BE8AB" w14:textId="77777777" w:rsidR="000C4E9D" w:rsidRPr="00D24FE5" w:rsidRDefault="000C4E9D" w:rsidP="00733B5D">
            <w:pPr>
              <w:jc w:val="center"/>
              <w:rPr>
                <w:rFonts w:ascii="Times New Roman" w:hAnsi="Times New Roman" w:cs="Times New Roman"/>
                <w:sz w:val="20"/>
                <w:szCs w:val="20"/>
              </w:rPr>
            </w:pPr>
          </w:p>
        </w:tc>
        <w:tc>
          <w:tcPr>
            <w:tcW w:w="532" w:type="dxa"/>
          </w:tcPr>
          <w:p w14:paraId="6C99AF3A" w14:textId="77777777" w:rsidR="000C4E9D" w:rsidRPr="00D24FE5" w:rsidRDefault="000C4E9D" w:rsidP="00733B5D">
            <w:pPr>
              <w:jc w:val="center"/>
              <w:rPr>
                <w:rFonts w:ascii="Times New Roman" w:hAnsi="Times New Roman" w:cs="Times New Roman"/>
                <w:sz w:val="20"/>
                <w:szCs w:val="20"/>
              </w:rPr>
            </w:pPr>
          </w:p>
        </w:tc>
        <w:tc>
          <w:tcPr>
            <w:tcW w:w="844" w:type="dxa"/>
          </w:tcPr>
          <w:p w14:paraId="5EE42C5E" w14:textId="77777777" w:rsidR="000C4E9D" w:rsidRPr="00D24FE5" w:rsidRDefault="000C4E9D" w:rsidP="00733B5D">
            <w:pPr>
              <w:rPr>
                <w:rFonts w:ascii="Times New Roman" w:hAnsi="Times New Roman" w:cs="Times New Roman"/>
                <w:sz w:val="20"/>
                <w:szCs w:val="20"/>
              </w:rPr>
            </w:pPr>
          </w:p>
        </w:tc>
        <w:tc>
          <w:tcPr>
            <w:tcW w:w="1073" w:type="dxa"/>
          </w:tcPr>
          <w:p w14:paraId="72870C5B" w14:textId="77777777" w:rsidR="000C4E9D" w:rsidRPr="00D24FE5" w:rsidRDefault="000C4E9D" w:rsidP="00733B5D">
            <w:pPr>
              <w:ind w:right="288"/>
              <w:jc w:val="right"/>
              <w:rPr>
                <w:rFonts w:ascii="Times New Roman" w:hAnsi="Times New Roman" w:cs="Times New Roman"/>
                <w:sz w:val="20"/>
                <w:szCs w:val="20"/>
              </w:rPr>
            </w:pPr>
            <w:r w:rsidRPr="00D24FE5">
              <w:rPr>
                <w:rFonts w:ascii="Times New Roman" w:hAnsi="Times New Roman" w:cs="Times New Roman"/>
                <w:sz w:val="20"/>
                <w:szCs w:val="20"/>
              </w:rPr>
              <w:t>.09</w:t>
            </w:r>
          </w:p>
        </w:tc>
        <w:tc>
          <w:tcPr>
            <w:tcW w:w="513" w:type="dxa"/>
          </w:tcPr>
          <w:p w14:paraId="41F1E2B7"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.08</w:t>
            </w:r>
          </w:p>
        </w:tc>
        <w:tc>
          <w:tcPr>
            <w:tcW w:w="505" w:type="dxa"/>
          </w:tcPr>
          <w:p w14:paraId="7793506E"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.06</w:t>
            </w:r>
          </w:p>
        </w:tc>
        <w:tc>
          <w:tcPr>
            <w:tcW w:w="1010" w:type="dxa"/>
          </w:tcPr>
          <w:p w14:paraId="698196E0" w14:textId="77777777" w:rsidR="000C4E9D" w:rsidRPr="00D24FE5" w:rsidRDefault="000C4E9D" w:rsidP="00733B5D">
            <w:pPr>
              <w:tabs>
                <w:tab w:val="left" w:pos="269"/>
              </w:tabs>
              <w:ind w:left="144"/>
              <w:rPr>
                <w:rFonts w:ascii="Times New Roman" w:hAnsi="Times New Roman" w:cs="Times New Roman"/>
                <w:sz w:val="20"/>
                <w:szCs w:val="20"/>
              </w:rPr>
            </w:pPr>
            <w:r w:rsidRPr="00D24FE5">
              <w:rPr>
                <w:rFonts w:ascii="Times New Roman" w:hAnsi="Times New Roman" w:cs="Times New Roman"/>
                <w:sz w:val="20"/>
                <w:szCs w:val="20"/>
              </w:rPr>
              <w:t>1.14</w:t>
            </w:r>
          </w:p>
        </w:tc>
        <w:tc>
          <w:tcPr>
            <w:tcW w:w="1265" w:type="dxa"/>
          </w:tcPr>
          <w:p w14:paraId="2B860696" w14:textId="77777777" w:rsidR="000C4E9D" w:rsidRPr="00D24FE5" w:rsidRDefault="000C4E9D" w:rsidP="00733B5D">
            <w:pPr>
              <w:tabs>
                <w:tab w:val="decimal" w:pos="352"/>
              </w:tabs>
              <w:ind w:right="46"/>
              <w:rPr>
                <w:rFonts w:ascii="Times New Roman" w:hAnsi="Times New Roman" w:cs="Times New Roman"/>
                <w:sz w:val="20"/>
                <w:szCs w:val="20"/>
              </w:rPr>
            </w:pPr>
            <w:r w:rsidRPr="00D24FE5">
              <w:rPr>
                <w:rFonts w:ascii="Times New Roman" w:hAnsi="Times New Roman" w:cs="Times New Roman"/>
                <w:sz w:val="20"/>
                <w:szCs w:val="20"/>
              </w:rPr>
              <w:t>.08</w:t>
            </w:r>
          </w:p>
        </w:tc>
        <w:tc>
          <w:tcPr>
            <w:tcW w:w="514" w:type="dxa"/>
          </w:tcPr>
          <w:p w14:paraId="4FB781F5"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.08</w:t>
            </w:r>
          </w:p>
        </w:tc>
        <w:tc>
          <w:tcPr>
            <w:tcW w:w="541" w:type="dxa"/>
          </w:tcPr>
          <w:p w14:paraId="4E016932"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.05</w:t>
            </w:r>
          </w:p>
        </w:tc>
        <w:tc>
          <w:tcPr>
            <w:tcW w:w="1160" w:type="dxa"/>
          </w:tcPr>
          <w:p w14:paraId="272D9129" w14:textId="77777777" w:rsidR="000C4E9D" w:rsidRPr="00D24FE5" w:rsidRDefault="000C4E9D" w:rsidP="00733B5D">
            <w:pPr>
              <w:tabs>
                <w:tab w:val="decimal" w:pos="250"/>
              </w:tabs>
              <w:ind w:right="144"/>
              <w:rPr>
                <w:rFonts w:ascii="Times New Roman" w:hAnsi="Times New Roman" w:cs="Times New Roman"/>
                <w:sz w:val="20"/>
                <w:szCs w:val="20"/>
              </w:rPr>
            </w:pPr>
            <w:r w:rsidRPr="00D24FE5">
              <w:rPr>
                <w:rFonts w:ascii="Times New Roman" w:hAnsi="Times New Roman" w:cs="Times New Roman"/>
                <w:sz w:val="20"/>
                <w:szCs w:val="20"/>
              </w:rPr>
              <w:t>1.02</w:t>
            </w:r>
          </w:p>
        </w:tc>
      </w:tr>
      <w:tr w:rsidR="000C4E9D" w:rsidRPr="00D24FE5" w14:paraId="0E24DCA6" w14:textId="77777777" w:rsidTr="00462F53">
        <w:tc>
          <w:tcPr>
            <w:tcW w:w="1584" w:type="dxa"/>
          </w:tcPr>
          <w:p w14:paraId="5691B43F"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Trust</w:t>
            </w:r>
          </w:p>
        </w:tc>
        <w:tc>
          <w:tcPr>
            <w:tcW w:w="1142" w:type="dxa"/>
          </w:tcPr>
          <w:p w14:paraId="2EBCBB2A" w14:textId="77777777" w:rsidR="000C4E9D" w:rsidRPr="00D24FE5" w:rsidRDefault="000C4E9D" w:rsidP="00733B5D">
            <w:pPr>
              <w:ind w:right="144"/>
              <w:rPr>
                <w:rFonts w:ascii="Times New Roman" w:hAnsi="Times New Roman" w:cs="Times New Roman"/>
                <w:sz w:val="20"/>
                <w:szCs w:val="20"/>
              </w:rPr>
            </w:pPr>
          </w:p>
        </w:tc>
        <w:tc>
          <w:tcPr>
            <w:tcW w:w="515" w:type="dxa"/>
          </w:tcPr>
          <w:p w14:paraId="196511C7" w14:textId="77777777" w:rsidR="000C4E9D" w:rsidRPr="00D24FE5" w:rsidRDefault="000C4E9D" w:rsidP="00733B5D">
            <w:pPr>
              <w:rPr>
                <w:rFonts w:ascii="Times New Roman" w:hAnsi="Times New Roman" w:cs="Times New Roman"/>
                <w:sz w:val="20"/>
                <w:szCs w:val="20"/>
              </w:rPr>
            </w:pPr>
          </w:p>
        </w:tc>
        <w:tc>
          <w:tcPr>
            <w:tcW w:w="512" w:type="dxa"/>
          </w:tcPr>
          <w:p w14:paraId="5567B8C3" w14:textId="77777777" w:rsidR="000C4E9D" w:rsidRPr="00D24FE5" w:rsidRDefault="000C4E9D" w:rsidP="00733B5D">
            <w:pPr>
              <w:rPr>
                <w:rFonts w:ascii="Times New Roman" w:hAnsi="Times New Roman" w:cs="Times New Roman"/>
                <w:sz w:val="20"/>
                <w:szCs w:val="20"/>
              </w:rPr>
            </w:pPr>
          </w:p>
        </w:tc>
        <w:tc>
          <w:tcPr>
            <w:tcW w:w="875" w:type="dxa"/>
          </w:tcPr>
          <w:p w14:paraId="0727F6E5" w14:textId="77777777" w:rsidR="000C4E9D" w:rsidRPr="00D24FE5" w:rsidRDefault="000C4E9D" w:rsidP="00733B5D">
            <w:pPr>
              <w:rPr>
                <w:rFonts w:ascii="Times New Roman" w:hAnsi="Times New Roman" w:cs="Times New Roman"/>
                <w:sz w:val="20"/>
                <w:szCs w:val="20"/>
              </w:rPr>
            </w:pPr>
          </w:p>
        </w:tc>
        <w:tc>
          <w:tcPr>
            <w:tcW w:w="766" w:type="dxa"/>
          </w:tcPr>
          <w:p w14:paraId="233771CE" w14:textId="77777777" w:rsidR="000C4E9D" w:rsidRPr="00D24FE5" w:rsidRDefault="000C4E9D" w:rsidP="00733B5D">
            <w:pPr>
              <w:ind w:right="144"/>
              <w:rPr>
                <w:rFonts w:ascii="Times New Roman" w:hAnsi="Times New Roman" w:cs="Times New Roman"/>
                <w:sz w:val="20"/>
                <w:szCs w:val="20"/>
              </w:rPr>
            </w:pPr>
          </w:p>
        </w:tc>
        <w:tc>
          <w:tcPr>
            <w:tcW w:w="513" w:type="dxa"/>
          </w:tcPr>
          <w:p w14:paraId="2115B1AC" w14:textId="77777777" w:rsidR="000C4E9D" w:rsidRPr="00D24FE5" w:rsidRDefault="000C4E9D" w:rsidP="00733B5D">
            <w:pPr>
              <w:jc w:val="center"/>
              <w:rPr>
                <w:rFonts w:ascii="Times New Roman" w:hAnsi="Times New Roman" w:cs="Times New Roman"/>
                <w:sz w:val="20"/>
                <w:szCs w:val="20"/>
              </w:rPr>
            </w:pPr>
          </w:p>
        </w:tc>
        <w:tc>
          <w:tcPr>
            <w:tcW w:w="532" w:type="dxa"/>
          </w:tcPr>
          <w:p w14:paraId="584DD20C" w14:textId="77777777" w:rsidR="000C4E9D" w:rsidRPr="00D24FE5" w:rsidRDefault="000C4E9D" w:rsidP="00733B5D">
            <w:pPr>
              <w:jc w:val="center"/>
              <w:rPr>
                <w:rFonts w:ascii="Times New Roman" w:hAnsi="Times New Roman" w:cs="Times New Roman"/>
                <w:sz w:val="20"/>
                <w:szCs w:val="20"/>
              </w:rPr>
            </w:pPr>
          </w:p>
        </w:tc>
        <w:tc>
          <w:tcPr>
            <w:tcW w:w="844" w:type="dxa"/>
          </w:tcPr>
          <w:p w14:paraId="3C8009E6" w14:textId="77777777" w:rsidR="000C4E9D" w:rsidRPr="00D24FE5" w:rsidRDefault="000C4E9D" w:rsidP="00733B5D">
            <w:pPr>
              <w:rPr>
                <w:rFonts w:ascii="Times New Roman" w:hAnsi="Times New Roman" w:cs="Times New Roman"/>
                <w:sz w:val="20"/>
                <w:szCs w:val="20"/>
              </w:rPr>
            </w:pPr>
          </w:p>
        </w:tc>
        <w:tc>
          <w:tcPr>
            <w:tcW w:w="1073" w:type="dxa"/>
          </w:tcPr>
          <w:p w14:paraId="170899D8" w14:textId="77777777" w:rsidR="000C4E9D" w:rsidRPr="00D24FE5" w:rsidRDefault="000C4E9D" w:rsidP="00733B5D">
            <w:pPr>
              <w:ind w:right="288"/>
              <w:jc w:val="right"/>
              <w:rPr>
                <w:rFonts w:ascii="Times New Roman" w:hAnsi="Times New Roman" w:cs="Times New Roman"/>
                <w:sz w:val="20"/>
                <w:szCs w:val="20"/>
              </w:rPr>
            </w:pPr>
            <w:r w:rsidRPr="00D24FE5">
              <w:rPr>
                <w:rFonts w:ascii="Times New Roman" w:hAnsi="Times New Roman" w:cs="Times New Roman"/>
                <w:sz w:val="20"/>
                <w:szCs w:val="20"/>
              </w:rPr>
              <w:t>.70</w:t>
            </w:r>
          </w:p>
        </w:tc>
        <w:tc>
          <w:tcPr>
            <w:tcW w:w="513" w:type="dxa"/>
          </w:tcPr>
          <w:p w14:paraId="4002AC6A"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.08</w:t>
            </w:r>
          </w:p>
        </w:tc>
        <w:tc>
          <w:tcPr>
            <w:tcW w:w="505" w:type="dxa"/>
          </w:tcPr>
          <w:p w14:paraId="419D3A25"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.41</w:t>
            </w:r>
          </w:p>
        </w:tc>
        <w:tc>
          <w:tcPr>
            <w:tcW w:w="1010" w:type="dxa"/>
          </w:tcPr>
          <w:p w14:paraId="47CC7CE6" w14:textId="77777777" w:rsidR="000C4E9D" w:rsidRPr="00D24FE5" w:rsidRDefault="000C4E9D" w:rsidP="00733B5D">
            <w:pPr>
              <w:tabs>
                <w:tab w:val="left" w:pos="269"/>
              </w:tabs>
              <w:ind w:left="144"/>
              <w:rPr>
                <w:rFonts w:ascii="Times New Roman" w:hAnsi="Times New Roman" w:cs="Times New Roman"/>
                <w:sz w:val="20"/>
                <w:szCs w:val="20"/>
              </w:rPr>
            </w:pPr>
            <w:r w:rsidRPr="00D24FE5">
              <w:rPr>
                <w:rFonts w:ascii="Times New Roman" w:hAnsi="Times New Roman" w:cs="Times New Roman"/>
                <w:sz w:val="20"/>
                <w:szCs w:val="20"/>
              </w:rPr>
              <w:t>8.62***</w:t>
            </w:r>
          </w:p>
        </w:tc>
        <w:tc>
          <w:tcPr>
            <w:tcW w:w="1265" w:type="dxa"/>
          </w:tcPr>
          <w:p w14:paraId="0AE06D22" w14:textId="77777777" w:rsidR="000C4E9D" w:rsidRPr="00D24FE5" w:rsidRDefault="000C4E9D" w:rsidP="00733B5D">
            <w:pPr>
              <w:tabs>
                <w:tab w:val="decimal" w:pos="352"/>
              </w:tabs>
              <w:ind w:right="46"/>
              <w:rPr>
                <w:rFonts w:ascii="Times New Roman" w:hAnsi="Times New Roman" w:cs="Times New Roman"/>
                <w:sz w:val="20"/>
                <w:szCs w:val="20"/>
              </w:rPr>
            </w:pPr>
            <w:r w:rsidRPr="00D24FE5">
              <w:rPr>
                <w:rFonts w:ascii="Times New Roman" w:hAnsi="Times New Roman" w:cs="Times New Roman"/>
                <w:sz w:val="20"/>
                <w:szCs w:val="20"/>
              </w:rPr>
              <w:t>.30</w:t>
            </w:r>
          </w:p>
        </w:tc>
        <w:tc>
          <w:tcPr>
            <w:tcW w:w="514" w:type="dxa"/>
          </w:tcPr>
          <w:p w14:paraId="5EC76234"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.09</w:t>
            </w:r>
          </w:p>
        </w:tc>
        <w:tc>
          <w:tcPr>
            <w:tcW w:w="541" w:type="dxa"/>
          </w:tcPr>
          <w:p w14:paraId="220F4F37"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.18</w:t>
            </w:r>
          </w:p>
        </w:tc>
        <w:tc>
          <w:tcPr>
            <w:tcW w:w="1160" w:type="dxa"/>
          </w:tcPr>
          <w:p w14:paraId="405EC127" w14:textId="77777777" w:rsidR="000C4E9D" w:rsidRPr="00D24FE5" w:rsidRDefault="000C4E9D" w:rsidP="00733B5D">
            <w:pPr>
              <w:tabs>
                <w:tab w:val="decimal" w:pos="250"/>
              </w:tabs>
              <w:rPr>
                <w:rFonts w:ascii="Times New Roman" w:hAnsi="Times New Roman" w:cs="Times New Roman"/>
                <w:sz w:val="20"/>
                <w:szCs w:val="20"/>
              </w:rPr>
            </w:pPr>
            <w:r w:rsidRPr="00D24FE5">
              <w:rPr>
                <w:rFonts w:ascii="Times New Roman" w:hAnsi="Times New Roman" w:cs="Times New Roman"/>
                <w:sz w:val="20"/>
                <w:szCs w:val="20"/>
              </w:rPr>
              <w:t>3.37**</w:t>
            </w:r>
          </w:p>
        </w:tc>
      </w:tr>
      <w:tr w:rsidR="000C4E9D" w:rsidRPr="00D24FE5" w14:paraId="473F5787" w14:textId="77777777" w:rsidTr="00462F53">
        <w:tc>
          <w:tcPr>
            <w:tcW w:w="1584" w:type="dxa"/>
          </w:tcPr>
          <w:p w14:paraId="373179DD"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Convenience</w:t>
            </w:r>
          </w:p>
        </w:tc>
        <w:tc>
          <w:tcPr>
            <w:tcW w:w="1142" w:type="dxa"/>
          </w:tcPr>
          <w:p w14:paraId="001CD78D" w14:textId="77777777" w:rsidR="000C4E9D" w:rsidRPr="00D24FE5" w:rsidRDefault="000C4E9D" w:rsidP="00733B5D">
            <w:pPr>
              <w:ind w:right="144"/>
              <w:rPr>
                <w:rFonts w:ascii="Times New Roman" w:hAnsi="Times New Roman" w:cs="Times New Roman"/>
                <w:sz w:val="20"/>
                <w:szCs w:val="20"/>
              </w:rPr>
            </w:pPr>
          </w:p>
        </w:tc>
        <w:tc>
          <w:tcPr>
            <w:tcW w:w="515" w:type="dxa"/>
          </w:tcPr>
          <w:p w14:paraId="6D85DB8A" w14:textId="77777777" w:rsidR="000C4E9D" w:rsidRPr="00D24FE5" w:rsidRDefault="000C4E9D" w:rsidP="00733B5D">
            <w:pPr>
              <w:rPr>
                <w:rFonts w:ascii="Times New Roman" w:hAnsi="Times New Roman" w:cs="Times New Roman"/>
                <w:sz w:val="20"/>
                <w:szCs w:val="20"/>
              </w:rPr>
            </w:pPr>
          </w:p>
        </w:tc>
        <w:tc>
          <w:tcPr>
            <w:tcW w:w="512" w:type="dxa"/>
          </w:tcPr>
          <w:p w14:paraId="43443A7D" w14:textId="77777777" w:rsidR="000C4E9D" w:rsidRPr="00D24FE5" w:rsidRDefault="000C4E9D" w:rsidP="00733B5D">
            <w:pPr>
              <w:rPr>
                <w:rFonts w:ascii="Times New Roman" w:hAnsi="Times New Roman" w:cs="Times New Roman"/>
                <w:sz w:val="20"/>
                <w:szCs w:val="20"/>
              </w:rPr>
            </w:pPr>
          </w:p>
        </w:tc>
        <w:tc>
          <w:tcPr>
            <w:tcW w:w="875" w:type="dxa"/>
          </w:tcPr>
          <w:p w14:paraId="2B84B14B" w14:textId="77777777" w:rsidR="000C4E9D" w:rsidRPr="00D24FE5" w:rsidRDefault="000C4E9D" w:rsidP="00733B5D">
            <w:pPr>
              <w:rPr>
                <w:rFonts w:ascii="Times New Roman" w:hAnsi="Times New Roman" w:cs="Times New Roman"/>
                <w:sz w:val="20"/>
                <w:szCs w:val="20"/>
              </w:rPr>
            </w:pPr>
          </w:p>
        </w:tc>
        <w:tc>
          <w:tcPr>
            <w:tcW w:w="766" w:type="dxa"/>
          </w:tcPr>
          <w:p w14:paraId="1C924298" w14:textId="77777777" w:rsidR="000C4E9D" w:rsidRPr="00D24FE5" w:rsidRDefault="000C4E9D" w:rsidP="00733B5D">
            <w:pPr>
              <w:ind w:right="144"/>
              <w:rPr>
                <w:rFonts w:ascii="Times New Roman" w:hAnsi="Times New Roman" w:cs="Times New Roman"/>
                <w:sz w:val="20"/>
                <w:szCs w:val="20"/>
              </w:rPr>
            </w:pPr>
          </w:p>
        </w:tc>
        <w:tc>
          <w:tcPr>
            <w:tcW w:w="513" w:type="dxa"/>
          </w:tcPr>
          <w:p w14:paraId="32118B79" w14:textId="77777777" w:rsidR="000C4E9D" w:rsidRPr="00D24FE5" w:rsidRDefault="000C4E9D" w:rsidP="00733B5D">
            <w:pPr>
              <w:jc w:val="center"/>
              <w:rPr>
                <w:rFonts w:ascii="Times New Roman" w:hAnsi="Times New Roman" w:cs="Times New Roman"/>
                <w:sz w:val="20"/>
                <w:szCs w:val="20"/>
              </w:rPr>
            </w:pPr>
          </w:p>
        </w:tc>
        <w:tc>
          <w:tcPr>
            <w:tcW w:w="532" w:type="dxa"/>
          </w:tcPr>
          <w:p w14:paraId="66207B05" w14:textId="77777777" w:rsidR="000C4E9D" w:rsidRPr="00D24FE5" w:rsidRDefault="000C4E9D" w:rsidP="00733B5D">
            <w:pPr>
              <w:jc w:val="center"/>
              <w:rPr>
                <w:rFonts w:ascii="Times New Roman" w:hAnsi="Times New Roman" w:cs="Times New Roman"/>
                <w:sz w:val="20"/>
                <w:szCs w:val="20"/>
              </w:rPr>
            </w:pPr>
          </w:p>
        </w:tc>
        <w:tc>
          <w:tcPr>
            <w:tcW w:w="844" w:type="dxa"/>
          </w:tcPr>
          <w:p w14:paraId="071C5566" w14:textId="77777777" w:rsidR="000C4E9D" w:rsidRPr="00D24FE5" w:rsidRDefault="000C4E9D" w:rsidP="00733B5D">
            <w:pPr>
              <w:rPr>
                <w:rFonts w:ascii="Times New Roman" w:hAnsi="Times New Roman" w:cs="Times New Roman"/>
                <w:sz w:val="20"/>
                <w:szCs w:val="20"/>
              </w:rPr>
            </w:pPr>
          </w:p>
        </w:tc>
        <w:tc>
          <w:tcPr>
            <w:tcW w:w="1073" w:type="dxa"/>
          </w:tcPr>
          <w:p w14:paraId="6504D0B7" w14:textId="77777777" w:rsidR="000C4E9D" w:rsidRPr="00D24FE5" w:rsidRDefault="000C4E9D" w:rsidP="00733B5D">
            <w:pPr>
              <w:rPr>
                <w:rFonts w:ascii="Times New Roman" w:hAnsi="Times New Roman" w:cs="Times New Roman"/>
                <w:sz w:val="20"/>
                <w:szCs w:val="20"/>
              </w:rPr>
            </w:pPr>
          </w:p>
        </w:tc>
        <w:tc>
          <w:tcPr>
            <w:tcW w:w="513" w:type="dxa"/>
          </w:tcPr>
          <w:p w14:paraId="04C7F232" w14:textId="77777777" w:rsidR="000C4E9D" w:rsidRPr="00D24FE5" w:rsidRDefault="000C4E9D" w:rsidP="00733B5D">
            <w:pPr>
              <w:rPr>
                <w:rFonts w:ascii="Times New Roman" w:hAnsi="Times New Roman" w:cs="Times New Roman"/>
                <w:sz w:val="20"/>
                <w:szCs w:val="20"/>
              </w:rPr>
            </w:pPr>
          </w:p>
        </w:tc>
        <w:tc>
          <w:tcPr>
            <w:tcW w:w="505" w:type="dxa"/>
          </w:tcPr>
          <w:p w14:paraId="05A3295B" w14:textId="77777777" w:rsidR="000C4E9D" w:rsidRPr="00D24FE5" w:rsidRDefault="000C4E9D" w:rsidP="00733B5D">
            <w:pPr>
              <w:rPr>
                <w:rFonts w:ascii="Times New Roman" w:hAnsi="Times New Roman" w:cs="Times New Roman"/>
                <w:sz w:val="20"/>
                <w:szCs w:val="20"/>
              </w:rPr>
            </w:pPr>
          </w:p>
        </w:tc>
        <w:tc>
          <w:tcPr>
            <w:tcW w:w="1010" w:type="dxa"/>
          </w:tcPr>
          <w:p w14:paraId="5F763C95" w14:textId="77777777" w:rsidR="000C4E9D" w:rsidRPr="00D24FE5" w:rsidRDefault="000C4E9D" w:rsidP="00733B5D">
            <w:pPr>
              <w:rPr>
                <w:rFonts w:ascii="Times New Roman" w:hAnsi="Times New Roman" w:cs="Times New Roman"/>
                <w:sz w:val="20"/>
                <w:szCs w:val="20"/>
              </w:rPr>
            </w:pPr>
          </w:p>
        </w:tc>
        <w:tc>
          <w:tcPr>
            <w:tcW w:w="1265" w:type="dxa"/>
          </w:tcPr>
          <w:p w14:paraId="55FF06A1" w14:textId="77777777" w:rsidR="000C4E9D" w:rsidRPr="00D24FE5" w:rsidRDefault="000C4E9D" w:rsidP="00733B5D">
            <w:pPr>
              <w:tabs>
                <w:tab w:val="decimal" w:pos="352"/>
              </w:tabs>
              <w:ind w:right="46"/>
              <w:rPr>
                <w:rFonts w:ascii="Times New Roman" w:hAnsi="Times New Roman" w:cs="Times New Roman"/>
                <w:sz w:val="20"/>
                <w:szCs w:val="20"/>
              </w:rPr>
            </w:pPr>
            <w:r w:rsidRPr="00D24FE5">
              <w:rPr>
                <w:rFonts w:ascii="Times New Roman" w:hAnsi="Times New Roman" w:cs="Times New Roman"/>
                <w:sz w:val="20"/>
                <w:szCs w:val="20"/>
              </w:rPr>
              <w:t>.77</w:t>
            </w:r>
          </w:p>
        </w:tc>
        <w:tc>
          <w:tcPr>
            <w:tcW w:w="514" w:type="dxa"/>
          </w:tcPr>
          <w:p w14:paraId="33AE3AE9"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.09</w:t>
            </w:r>
          </w:p>
        </w:tc>
        <w:tc>
          <w:tcPr>
            <w:tcW w:w="541" w:type="dxa"/>
          </w:tcPr>
          <w:p w14:paraId="3E16D01D"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.48</w:t>
            </w:r>
          </w:p>
        </w:tc>
        <w:tc>
          <w:tcPr>
            <w:tcW w:w="1160" w:type="dxa"/>
          </w:tcPr>
          <w:p w14:paraId="0C3ACFB7" w14:textId="77777777" w:rsidR="000C4E9D" w:rsidRPr="00D24FE5" w:rsidRDefault="000C4E9D" w:rsidP="00733B5D">
            <w:pPr>
              <w:tabs>
                <w:tab w:val="decimal" w:pos="250"/>
              </w:tabs>
              <w:rPr>
                <w:rFonts w:ascii="Times New Roman" w:hAnsi="Times New Roman" w:cs="Times New Roman"/>
                <w:sz w:val="20"/>
                <w:szCs w:val="20"/>
              </w:rPr>
            </w:pPr>
            <w:r w:rsidRPr="00D24FE5">
              <w:rPr>
                <w:rFonts w:ascii="Times New Roman" w:hAnsi="Times New Roman" w:cs="Times New Roman"/>
                <w:sz w:val="20"/>
                <w:szCs w:val="20"/>
              </w:rPr>
              <w:t>8.13***</w:t>
            </w:r>
          </w:p>
        </w:tc>
      </w:tr>
      <w:tr w:rsidR="000C4E9D" w:rsidRPr="00D24FE5" w14:paraId="5359FBD2" w14:textId="77777777" w:rsidTr="00462F53">
        <w:tc>
          <w:tcPr>
            <w:tcW w:w="1584" w:type="dxa"/>
          </w:tcPr>
          <w:p w14:paraId="640DAAC9"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i/>
                <w:iCs/>
                <w:sz w:val="20"/>
                <w:szCs w:val="20"/>
              </w:rPr>
              <w:t>R</w:t>
            </w:r>
            <w:r w:rsidRPr="00D24FE5">
              <w:rPr>
                <w:rFonts w:ascii="Times New Roman" w:hAnsi="Times New Roman" w:cs="Times New Roman"/>
                <w:sz w:val="20"/>
                <w:szCs w:val="20"/>
                <w:vertAlign w:val="superscript"/>
              </w:rPr>
              <w:t>2</w:t>
            </w:r>
          </w:p>
        </w:tc>
        <w:tc>
          <w:tcPr>
            <w:tcW w:w="1142" w:type="dxa"/>
          </w:tcPr>
          <w:p w14:paraId="7B5DCB90" w14:textId="77777777" w:rsidR="000C4E9D" w:rsidRPr="00D24FE5" w:rsidRDefault="000C4E9D" w:rsidP="00733B5D">
            <w:pPr>
              <w:ind w:left="288" w:right="288"/>
              <w:rPr>
                <w:rFonts w:ascii="Times New Roman" w:hAnsi="Times New Roman" w:cs="Times New Roman"/>
                <w:sz w:val="20"/>
                <w:szCs w:val="20"/>
              </w:rPr>
            </w:pPr>
            <w:r w:rsidRPr="00D24FE5">
              <w:rPr>
                <w:rFonts w:ascii="Times New Roman" w:hAnsi="Times New Roman" w:cs="Times New Roman"/>
                <w:sz w:val="20"/>
                <w:szCs w:val="20"/>
              </w:rPr>
              <w:t>.097</w:t>
            </w:r>
          </w:p>
        </w:tc>
        <w:tc>
          <w:tcPr>
            <w:tcW w:w="515" w:type="dxa"/>
          </w:tcPr>
          <w:p w14:paraId="58575EC1" w14:textId="77777777" w:rsidR="000C4E9D" w:rsidRPr="00D24FE5" w:rsidRDefault="000C4E9D" w:rsidP="00733B5D">
            <w:pPr>
              <w:rPr>
                <w:rFonts w:ascii="Times New Roman" w:hAnsi="Times New Roman" w:cs="Times New Roman"/>
                <w:sz w:val="20"/>
                <w:szCs w:val="20"/>
              </w:rPr>
            </w:pPr>
          </w:p>
        </w:tc>
        <w:tc>
          <w:tcPr>
            <w:tcW w:w="512" w:type="dxa"/>
          </w:tcPr>
          <w:p w14:paraId="2ADAED4D" w14:textId="77777777" w:rsidR="000C4E9D" w:rsidRPr="00D24FE5" w:rsidRDefault="000C4E9D" w:rsidP="00733B5D">
            <w:pPr>
              <w:rPr>
                <w:rFonts w:ascii="Times New Roman" w:hAnsi="Times New Roman" w:cs="Times New Roman"/>
                <w:sz w:val="20"/>
                <w:szCs w:val="20"/>
              </w:rPr>
            </w:pPr>
          </w:p>
        </w:tc>
        <w:tc>
          <w:tcPr>
            <w:tcW w:w="875" w:type="dxa"/>
          </w:tcPr>
          <w:p w14:paraId="2BCE7EFC" w14:textId="77777777" w:rsidR="000C4E9D" w:rsidRPr="00D24FE5" w:rsidRDefault="000C4E9D" w:rsidP="00733B5D">
            <w:pPr>
              <w:rPr>
                <w:rFonts w:ascii="Times New Roman" w:hAnsi="Times New Roman" w:cs="Times New Roman"/>
                <w:sz w:val="20"/>
                <w:szCs w:val="20"/>
              </w:rPr>
            </w:pPr>
          </w:p>
        </w:tc>
        <w:tc>
          <w:tcPr>
            <w:tcW w:w="766" w:type="dxa"/>
          </w:tcPr>
          <w:p w14:paraId="2BEA657C" w14:textId="77777777" w:rsidR="000C4E9D" w:rsidRPr="00D24FE5" w:rsidRDefault="000C4E9D" w:rsidP="00733B5D">
            <w:pPr>
              <w:ind w:right="144"/>
              <w:jc w:val="center"/>
              <w:rPr>
                <w:rFonts w:ascii="Times New Roman" w:hAnsi="Times New Roman" w:cs="Times New Roman"/>
                <w:sz w:val="20"/>
                <w:szCs w:val="20"/>
              </w:rPr>
            </w:pPr>
            <w:r w:rsidRPr="00D24FE5">
              <w:rPr>
                <w:rFonts w:ascii="Times New Roman" w:hAnsi="Times New Roman" w:cs="Times New Roman"/>
                <w:sz w:val="20"/>
                <w:szCs w:val="20"/>
              </w:rPr>
              <w:t>.112</w:t>
            </w:r>
          </w:p>
        </w:tc>
        <w:tc>
          <w:tcPr>
            <w:tcW w:w="513" w:type="dxa"/>
          </w:tcPr>
          <w:p w14:paraId="5A441B04" w14:textId="77777777" w:rsidR="000C4E9D" w:rsidRPr="00D24FE5" w:rsidRDefault="000C4E9D" w:rsidP="00733B5D">
            <w:pPr>
              <w:jc w:val="center"/>
              <w:rPr>
                <w:rFonts w:ascii="Times New Roman" w:hAnsi="Times New Roman" w:cs="Times New Roman"/>
                <w:sz w:val="20"/>
                <w:szCs w:val="20"/>
              </w:rPr>
            </w:pPr>
          </w:p>
        </w:tc>
        <w:tc>
          <w:tcPr>
            <w:tcW w:w="532" w:type="dxa"/>
          </w:tcPr>
          <w:p w14:paraId="01CD418C" w14:textId="77777777" w:rsidR="000C4E9D" w:rsidRPr="00D24FE5" w:rsidRDefault="000C4E9D" w:rsidP="00733B5D">
            <w:pPr>
              <w:jc w:val="center"/>
              <w:rPr>
                <w:rFonts w:ascii="Times New Roman" w:hAnsi="Times New Roman" w:cs="Times New Roman"/>
                <w:sz w:val="20"/>
                <w:szCs w:val="20"/>
              </w:rPr>
            </w:pPr>
          </w:p>
        </w:tc>
        <w:tc>
          <w:tcPr>
            <w:tcW w:w="844" w:type="dxa"/>
          </w:tcPr>
          <w:p w14:paraId="3A584A36" w14:textId="77777777" w:rsidR="000C4E9D" w:rsidRPr="00D24FE5" w:rsidRDefault="000C4E9D" w:rsidP="00733B5D">
            <w:pPr>
              <w:rPr>
                <w:rFonts w:ascii="Times New Roman" w:hAnsi="Times New Roman" w:cs="Times New Roman"/>
                <w:sz w:val="20"/>
                <w:szCs w:val="20"/>
              </w:rPr>
            </w:pPr>
          </w:p>
        </w:tc>
        <w:tc>
          <w:tcPr>
            <w:tcW w:w="1073" w:type="dxa"/>
          </w:tcPr>
          <w:p w14:paraId="6823D5DB" w14:textId="77777777" w:rsidR="000C4E9D" w:rsidRPr="00D24FE5" w:rsidRDefault="000C4E9D" w:rsidP="00733B5D">
            <w:pPr>
              <w:ind w:right="46"/>
              <w:rPr>
                <w:rFonts w:ascii="Times New Roman" w:hAnsi="Times New Roman" w:cs="Times New Roman"/>
                <w:sz w:val="20"/>
                <w:szCs w:val="20"/>
              </w:rPr>
            </w:pPr>
            <w:r w:rsidRPr="00D24FE5">
              <w:rPr>
                <w:rFonts w:ascii="Times New Roman" w:hAnsi="Times New Roman" w:cs="Times New Roman"/>
                <w:sz w:val="20"/>
                <w:szCs w:val="20"/>
              </w:rPr>
              <w:t xml:space="preserve">    .278</w:t>
            </w:r>
          </w:p>
        </w:tc>
        <w:tc>
          <w:tcPr>
            <w:tcW w:w="513" w:type="dxa"/>
          </w:tcPr>
          <w:p w14:paraId="41D0140A" w14:textId="77777777" w:rsidR="000C4E9D" w:rsidRPr="00D24FE5" w:rsidRDefault="000C4E9D" w:rsidP="00733B5D">
            <w:pPr>
              <w:rPr>
                <w:rFonts w:ascii="Times New Roman" w:hAnsi="Times New Roman" w:cs="Times New Roman"/>
                <w:sz w:val="20"/>
                <w:szCs w:val="20"/>
              </w:rPr>
            </w:pPr>
          </w:p>
        </w:tc>
        <w:tc>
          <w:tcPr>
            <w:tcW w:w="505" w:type="dxa"/>
          </w:tcPr>
          <w:p w14:paraId="669DA989" w14:textId="77777777" w:rsidR="000C4E9D" w:rsidRPr="00D24FE5" w:rsidRDefault="000C4E9D" w:rsidP="00733B5D">
            <w:pPr>
              <w:rPr>
                <w:rFonts w:ascii="Times New Roman" w:hAnsi="Times New Roman" w:cs="Times New Roman"/>
                <w:sz w:val="20"/>
                <w:szCs w:val="20"/>
              </w:rPr>
            </w:pPr>
          </w:p>
        </w:tc>
        <w:tc>
          <w:tcPr>
            <w:tcW w:w="1010" w:type="dxa"/>
          </w:tcPr>
          <w:p w14:paraId="497DC7CF" w14:textId="77777777" w:rsidR="000C4E9D" w:rsidRPr="00D24FE5" w:rsidRDefault="000C4E9D" w:rsidP="00733B5D">
            <w:pPr>
              <w:rPr>
                <w:rFonts w:ascii="Times New Roman" w:hAnsi="Times New Roman" w:cs="Times New Roman"/>
                <w:sz w:val="20"/>
                <w:szCs w:val="20"/>
              </w:rPr>
            </w:pPr>
          </w:p>
        </w:tc>
        <w:tc>
          <w:tcPr>
            <w:tcW w:w="1265" w:type="dxa"/>
          </w:tcPr>
          <w:p w14:paraId="79671E45" w14:textId="77777777" w:rsidR="000C4E9D" w:rsidRPr="00D24FE5" w:rsidRDefault="000C4E9D" w:rsidP="00733B5D">
            <w:pPr>
              <w:tabs>
                <w:tab w:val="decimal" w:pos="352"/>
              </w:tabs>
              <w:ind w:left="288" w:right="46"/>
              <w:rPr>
                <w:rFonts w:ascii="Times New Roman" w:hAnsi="Times New Roman" w:cs="Times New Roman"/>
                <w:sz w:val="20"/>
                <w:szCs w:val="20"/>
              </w:rPr>
            </w:pPr>
            <w:r w:rsidRPr="00D24FE5">
              <w:rPr>
                <w:rFonts w:ascii="Times New Roman" w:hAnsi="Times New Roman" w:cs="Times New Roman"/>
                <w:sz w:val="20"/>
                <w:szCs w:val="20"/>
              </w:rPr>
              <w:t>.377</w:t>
            </w:r>
          </w:p>
        </w:tc>
        <w:tc>
          <w:tcPr>
            <w:tcW w:w="514" w:type="dxa"/>
          </w:tcPr>
          <w:p w14:paraId="0401479D" w14:textId="77777777" w:rsidR="000C4E9D" w:rsidRPr="00D24FE5" w:rsidRDefault="000C4E9D" w:rsidP="00733B5D">
            <w:pPr>
              <w:jc w:val="center"/>
              <w:rPr>
                <w:rFonts w:ascii="Times New Roman" w:hAnsi="Times New Roman" w:cs="Times New Roman"/>
                <w:sz w:val="20"/>
                <w:szCs w:val="20"/>
              </w:rPr>
            </w:pPr>
          </w:p>
        </w:tc>
        <w:tc>
          <w:tcPr>
            <w:tcW w:w="541" w:type="dxa"/>
          </w:tcPr>
          <w:p w14:paraId="4024FFF7" w14:textId="77777777" w:rsidR="000C4E9D" w:rsidRPr="00D24FE5" w:rsidRDefault="000C4E9D" w:rsidP="00733B5D">
            <w:pPr>
              <w:rPr>
                <w:rFonts w:ascii="Times New Roman" w:hAnsi="Times New Roman" w:cs="Times New Roman"/>
                <w:sz w:val="20"/>
                <w:szCs w:val="20"/>
              </w:rPr>
            </w:pPr>
          </w:p>
        </w:tc>
        <w:tc>
          <w:tcPr>
            <w:tcW w:w="1160" w:type="dxa"/>
          </w:tcPr>
          <w:p w14:paraId="667C8DD4" w14:textId="77777777" w:rsidR="000C4E9D" w:rsidRPr="00D24FE5" w:rsidRDefault="000C4E9D" w:rsidP="00733B5D">
            <w:pPr>
              <w:rPr>
                <w:rFonts w:ascii="Times New Roman" w:hAnsi="Times New Roman" w:cs="Times New Roman"/>
                <w:sz w:val="20"/>
                <w:szCs w:val="20"/>
              </w:rPr>
            </w:pPr>
          </w:p>
        </w:tc>
      </w:tr>
      <w:tr w:rsidR="000C4E9D" w:rsidRPr="00D24FE5" w14:paraId="726C07A0" w14:textId="77777777" w:rsidTr="00462F53">
        <w:tc>
          <w:tcPr>
            <w:tcW w:w="1584" w:type="dxa"/>
          </w:tcPr>
          <w:p w14:paraId="3E1E8028"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Δ</w:t>
            </w:r>
            <w:r w:rsidRPr="00D24FE5">
              <w:rPr>
                <w:rFonts w:ascii="Times New Roman" w:hAnsi="Times New Roman" w:cs="Times New Roman"/>
                <w:i/>
                <w:iCs/>
                <w:sz w:val="20"/>
                <w:szCs w:val="20"/>
              </w:rPr>
              <w:t>R</w:t>
            </w:r>
            <w:r w:rsidRPr="00D24FE5">
              <w:rPr>
                <w:rFonts w:ascii="Times New Roman" w:hAnsi="Times New Roman" w:cs="Times New Roman"/>
                <w:sz w:val="20"/>
                <w:szCs w:val="20"/>
                <w:vertAlign w:val="superscript"/>
              </w:rPr>
              <w:t>2</w:t>
            </w:r>
          </w:p>
        </w:tc>
        <w:tc>
          <w:tcPr>
            <w:tcW w:w="1142" w:type="dxa"/>
          </w:tcPr>
          <w:p w14:paraId="33274258" w14:textId="77777777" w:rsidR="000C4E9D" w:rsidRPr="00D24FE5" w:rsidRDefault="000C4E9D" w:rsidP="00733B5D">
            <w:pPr>
              <w:ind w:left="288" w:right="288"/>
              <w:rPr>
                <w:rFonts w:ascii="Times New Roman" w:hAnsi="Times New Roman" w:cs="Times New Roman"/>
                <w:sz w:val="20"/>
                <w:szCs w:val="20"/>
              </w:rPr>
            </w:pPr>
            <w:r w:rsidRPr="00D24FE5">
              <w:rPr>
                <w:rFonts w:ascii="Times New Roman" w:hAnsi="Times New Roman" w:cs="Times New Roman"/>
                <w:sz w:val="20"/>
                <w:szCs w:val="20"/>
              </w:rPr>
              <w:t>.097</w:t>
            </w:r>
          </w:p>
        </w:tc>
        <w:tc>
          <w:tcPr>
            <w:tcW w:w="515" w:type="dxa"/>
          </w:tcPr>
          <w:p w14:paraId="0428EC36" w14:textId="77777777" w:rsidR="000C4E9D" w:rsidRPr="00D24FE5" w:rsidRDefault="000C4E9D" w:rsidP="00733B5D">
            <w:pPr>
              <w:rPr>
                <w:rFonts w:ascii="Times New Roman" w:hAnsi="Times New Roman" w:cs="Times New Roman"/>
                <w:sz w:val="20"/>
                <w:szCs w:val="20"/>
              </w:rPr>
            </w:pPr>
          </w:p>
        </w:tc>
        <w:tc>
          <w:tcPr>
            <w:tcW w:w="512" w:type="dxa"/>
          </w:tcPr>
          <w:p w14:paraId="30FA769C" w14:textId="77777777" w:rsidR="000C4E9D" w:rsidRPr="00D24FE5" w:rsidRDefault="000C4E9D" w:rsidP="00733B5D">
            <w:pPr>
              <w:rPr>
                <w:rFonts w:ascii="Times New Roman" w:hAnsi="Times New Roman" w:cs="Times New Roman"/>
                <w:sz w:val="20"/>
                <w:szCs w:val="20"/>
              </w:rPr>
            </w:pPr>
          </w:p>
        </w:tc>
        <w:tc>
          <w:tcPr>
            <w:tcW w:w="875" w:type="dxa"/>
          </w:tcPr>
          <w:p w14:paraId="13A511D8" w14:textId="77777777" w:rsidR="000C4E9D" w:rsidRPr="00D24FE5" w:rsidRDefault="000C4E9D" w:rsidP="00733B5D">
            <w:pPr>
              <w:rPr>
                <w:rFonts w:ascii="Times New Roman" w:hAnsi="Times New Roman" w:cs="Times New Roman"/>
                <w:sz w:val="20"/>
                <w:szCs w:val="20"/>
              </w:rPr>
            </w:pPr>
          </w:p>
        </w:tc>
        <w:tc>
          <w:tcPr>
            <w:tcW w:w="766" w:type="dxa"/>
          </w:tcPr>
          <w:p w14:paraId="3EAA56C6" w14:textId="77777777" w:rsidR="000C4E9D" w:rsidRPr="00D24FE5" w:rsidRDefault="000C4E9D" w:rsidP="00733B5D">
            <w:pPr>
              <w:ind w:right="144"/>
              <w:jc w:val="center"/>
              <w:rPr>
                <w:rFonts w:ascii="Times New Roman" w:hAnsi="Times New Roman" w:cs="Times New Roman"/>
                <w:sz w:val="20"/>
                <w:szCs w:val="20"/>
              </w:rPr>
            </w:pPr>
            <w:r w:rsidRPr="00D24FE5">
              <w:rPr>
                <w:rFonts w:ascii="Times New Roman" w:hAnsi="Times New Roman" w:cs="Times New Roman"/>
                <w:sz w:val="20"/>
                <w:szCs w:val="20"/>
              </w:rPr>
              <w:t>.016</w:t>
            </w:r>
          </w:p>
        </w:tc>
        <w:tc>
          <w:tcPr>
            <w:tcW w:w="513" w:type="dxa"/>
          </w:tcPr>
          <w:p w14:paraId="27CFB276" w14:textId="77777777" w:rsidR="000C4E9D" w:rsidRPr="00D24FE5" w:rsidRDefault="000C4E9D" w:rsidP="00733B5D">
            <w:pPr>
              <w:jc w:val="center"/>
              <w:rPr>
                <w:rFonts w:ascii="Times New Roman" w:hAnsi="Times New Roman" w:cs="Times New Roman"/>
                <w:sz w:val="20"/>
                <w:szCs w:val="20"/>
              </w:rPr>
            </w:pPr>
          </w:p>
        </w:tc>
        <w:tc>
          <w:tcPr>
            <w:tcW w:w="532" w:type="dxa"/>
          </w:tcPr>
          <w:p w14:paraId="65FE2C1C" w14:textId="77777777" w:rsidR="000C4E9D" w:rsidRPr="00D24FE5" w:rsidRDefault="000C4E9D" w:rsidP="00733B5D">
            <w:pPr>
              <w:jc w:val="center"/>
              <w:rPr>
                <w:rFonts w:ascii="Times New Roman" w:hAnsi="Times New Roman" w:cs="Times New Roman"/>
                <w:sz w:val="20"/>
                <w:szCs w:val="20"/>
              </w:rPr>
            </w:pPr>
          </w:p>
        </w:tc>
        <w:tc>
          <w:tcPr>
            <w:tcW w:w="844" w:type="dxa"/>
          </w:tcPr>
          <w:p w14:paraId="62EF26CE" w14:textId="77777777" w:rsidR="000C4E9D" w:rsidRPr="00D24FE5" w:rsidRDefault="000C4E9D" w:rsidP="00733B5D">
            <w:pPr>
              <w:rPr>
                <w:rFonts w:ascii="Times New Roman" w:hAnsi="Times New Roman" w:cs="Times New Roman"/>
                <w:sz w:val="20"/>
                <w:szCs w:val="20"/>
              </w:rPr>
            </w:pPr>
          </w:p>
        </w:tc>
        <w:tc>
          <w:tcPr>
            <w:tcW w:w="1073" w:type="dxa"/>
          </w:tcPr>
          <w:p w14:paraId="0BB0979D" w14:textId="77777777" w:rsidR="000C4E9D" w:rsidRPr="00D24FE5" w:rsidRDefault="000C4E9D" w:rsidP="00733B5D">
            <w:pPr>
              <w:ind w:right="46"/>
              <w:rPr>
                <w:rFonts w:ascii="Times New Roman" w:hAnsi="Times New Roman" w:cs="Times New Roman"/>
                <w:sz w:val="20"/>
                <w:szCs w:val="20"/>
              </w:rPr>
            </w:pPr>
            <w:r w:rsidRPr="00D24FE5">
              <w:rPr>
                <w:rFonts w:ascii="Times New Roman" w:hAnsi="Times New Roman" w:cs="Times New Roman"/>
                <w:sz w:val="20"/>
                <w:szCs w:val="20"/>
              </w:rPr>
              <w:t xml:space="preserve">    .165</w:t>
            </w:r>
          </w:p>
        </w:tc>
        <w:tc>
          <w:tcPr>
            <w:tcW w:w="513" w:type="dxa"/>
          </w:tcPr>
          <w:p w14:paraId="10B50F4C" w14:textId="77777777" w:rsidR="000C4E9D" w:rsidRPr="00D24FE5" w:rsidRDefault="000C4E9D" w:rsidP="00733B5D">
            <w:pPr>
              <w:rPr>
                <w:rFonts w:ascii="Times New Roman" w:hAnsi="Times New Roman" w:cs="Times New Roman"/>
                <w:sz w:val="20"/>
                <w:szCs w:val="20"/>
              </w:rPr>
            </w:pPr>
          </w:p>
        </w:tc>
        <w:tc>
          <w:tcPr>
            <w:tcW w:w="505" w:type="dxa"/>
          </w:tcPr>
          <w:p w14:paraId="0D187F00" w14:textId="77777777" w:rsidR="000C4E9D" w:rsidRPr="00D24FE5" w:rsidRDefault="000C4E9D" w:rsidP="00733B5D">
            <w:pPr>
              <w:rPr>
                <w:rFonts w:ascii="Times New Roman" w:hAnsi="Times New Roman" w:cs="Times New Roman"/>
                <w:sz w:val="20"/>
                <w:szCs w:val="20"/>
              </w:rPr>
            </w:pPr>
          </w:p>
        </w:tc>
        <w:tc>
          <w:tcPr>
            <w:tcW w:w="1010" w:type="dxa"/>
          </w:tcPr>
          <w:p w14:paraId="7FCCD2CD" w14:textId="77777777" w:rsidR="000C4E9D" w:rsidRPr="00D24FE5" w:rsidRDefault="000C4E9D" w:rsidP="00733B5D">
            <w:pPr>
              <w:rPr>
                <w:rFonts w:ascii="Times New Roman" w:hAnsi="Times New Roman" w:cs="Times New Roman"/>
                <w:sz w:val="20"/>
                <w:szCs w:val="20"/>
              </w:rPr>
            </w:pPr>
          </w:p>
        </w:tc>
        <w:tc>
          <w:tcPr>
            <w:tcW w:w="1265" w:type="dxa"/>
          </w:tcPr>
          <w:p w14:paraId="6FBFFE54" w14:textId="77777777" w:rsidR="000C4E9D" w:rsidRPr="00D24FE5" w:rsidRDefault="000C4E9D" w:rsidP="00733B5D">
            <w:pPr>
              <w:tabs>
                <w:tab w:val="decimal" w:pos="352"/>
              </w:tabs>
              <w:ind w:left="288" w:right="46"/>
              <w:rPr>
                <w:rFonts w:ascii="Times New Roman" w:hAnsi="Times New Roman" w:cs="Times New Roman"/>
                <w:sz w:val="20"/>
                <w:szCs w:val="20"/>
              </w:rPr>
            </w:pPr>
            <w:r w:rsidRPr="00D24FE5">
              <w:rPr>
                <w:rFonts w:ascii="Times New Roman" w:hAnsi="Times New Roman" w:cs="Times New Roman"/>
                <w:sz w:val="20"/>
                <w:szCs w:val="20"/>
              </w:rPr>
              <w:t>.099</w:t>
            </w:r>
          </w:p>
        </w:tc>
        <w:tc>
          <w:tcPr>
            <w:tcW w:w="514" w:type="dxa"/>
          </w:tcPr>
          <w:p w14:paraId="338CC019" w14:textId="77777777" w:rsidR="000C4E9D" w:rsidRPr="00D24FE5" w:rsidRDefault="000C4E9D" w:rsidP="00733B5D">
            <w:pPr>
              <w:jc w:val="center"/>
              <w:rPr>
                <w:rFonts w:ascii="Times New Roman" w:hAnsi="Times New Roman" w:cs="Times New Roman"/>
                <w:sz w:val="20"/>
                <w:szCs w:val="20"/>
              </w:rPr>
            </w:pPr>
          </w:p>
        </w:tc>
        <w:tc>
          <w:tcPr>
            <w:tcW w:w="541" w:type="dxa"/>
          </w:tcPr>
          <w:p w14:paraId="39B241FE" w14:textId="77777777" w:rsidR="000C4E9D" w:rsidRPr="00D24FE5" w:rsidRDefault="000C4E9D" w:rsidP="00733B5D">
            <w:pPr>
              <w:rPr>
                <w:rFonts w:ascii="Times New Roman" w:hAnsi="Times New Roman" w:cs="Times New Roman"/>
                <w:sz w:val="20"/>
                <w:szCs w:val="20"/>
              </w:rPr>
            </w:pPr>
          </w:p>
        </w:tc>
        <w:tc>
          <w:tcPr>
            <w:tcW w:w="1160" w:type="dxa"/>
          </w:tcPr>
          <w:p w14:paraId="069A8EFC" w14:textId="77777777" w:rsidR="000C4E9D" w:rsidRPr="00D24FE5" w:rsidRDefault="000C4E9D" w:rsidP="00733B5D">
            <w:pPr>
              <w:rPr>
                <w:rFonts w:ascii="Times New Roman" w:hAnsi="Times New Roman" w:cs="Times New Roman"/>
                <w:sz w:val="20"/>
                <w:szCs w:val="20"/>
              </w:rPr>
            </w:pPr>
          </w:p>
        </w:tc>
      </w:tr>
      <w:tr w:rsidR="000C4E9D" w:rsidRPr="00D24FE5" w14:paraId="7BC68ADA" w14:textId="77777777" w:rsidTr="00462F53">
        <w:tc>
          <w:tcPr>
            <w:tcW w:w="1584" w:type="dxa"/>
            <w:tcBorders>
              <w:bottom w:val="single" w:sz="6" w:space="0" w:color="auto"/>
            </w:tcBorders>
          </w:tcPr>
          <w:p w14:paraId="356D7A2A"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Δ</w:t>
            </w:r>
            <w:r w:rsidRPr="00D24FE5">
              <w:rPr>
                <w:rFonts w:ascii="Times New Roman" w:hAnsi="Times New Roman" w:cs="Times New Roman"/>
                <w:i/>
                <w:iCs/>
                <w:sz w:val="20"/>
                <w:szCs w:val="20"/>
              </w:rPr>
              <w:t>F</w:t>
            </w:r>
          </w:p>
        </w:tc>
        <w:tc>
          <w:tcPr>
            <w:tcW w:w="1142" w:type="dxa"/>
            <w:tcBorders>
              <w:bottom w:val="single" w:sz="6" w:space="0" w:color="auto"/>
            </w:tcBorders>
          </w:tcPr>
          <w:p w14:paraId="43F46C9B" w14:textId="77777777" w:rsidR="000C4E9D" w:rsidRPr="00D24FE5" w:rsidRDefault="000C4E9D" w:rsidP="00733B5D">
            <w:pPr>
              <w:jc w:val="right"/>
              <w:rPr>
                <w:rFonts w:ascii="Times New Roman" w:hAnsi="Times New Roman" w:cs="Times New Roman"/>
                <w:sz w:val="20"/>
                <w:szCs w:val="20"/>
              </w:rPr>
            </w:pPr>
            <w:r w:rsidRPr="00D24FE5">
              <w:rPr>
                <w:rFonts w:ascii="Times New Roman" w:hAnsi="Times New Roman" w:cs="Times New Roman"/>
                <w:sz w:val="20"/>
                <w:szCs w:val="20"/>
              </w:rPr>
              <w:t>14.993***</w:t>
            </w:r>
          </w:p>
        </w:tc>
        <w:tc>
          <w:tcPr>
            <w:tcW w:w="515" w:type="dxa"/>
            <w:tcBorders>
              <w:bottom w:val="single" w:sz="6" w:space="0" w:color="auto"/>
            </w:tcBorders>
          </w:tcPr>
          <w:p w14:paraId="12F75DDD" w14:textId="77777777" w:rsidR="000C4E9D" w:rsidRPr="00D24FE5" w:rsidRDefault="000C4E9D" w:rsidP="00733B5D">
            <w:pPr>
              <w:rPr>
                <w:rFonts w:ascii="Times New Roman" w:hAnsi="Times New Roman" w:cs="Times New Roman"/>
                <w:sz w:val="20"/>
                <w:szCs w:val="20"/>
              </w:rPr>
            </w:pPr>
          </w:p>
        </w:tc>
        <w:tc>
          <w:tcPr>
            <w:tcW w:w="512" w:type="dxa"/>
            <w:tcBorders>
              <w:bottom w:val="single" w:sz="6" w:space="0" w:color="auto"/>
            </w:tcBorders>
          </w:tcPr>
          <w:p w14:paraId="36D89BD0" w14:textId="77777777" w:rsidR="000C4E9D" w:rsidRPr="00D24FE5" w:rsidRDefault="000C4E9D" w:rsidP="00733B5D">
            <w:pPr>
              <w:rPr>
                <w:rFonts w:ascii="Times New Roman" w:hAnsi="Times New Roman" w:cs="Times New Roman"/>
                <w:sz w:val="20"/>
                <w:szCs w:val="20"/>
              </w:rPr>
            </w:pPr>
          </w:p>
        </w:tc>
        <w:tc>
          <w:tcPr>
            <w:tcW w:w="875" w:type="dxa"/>
            <w:tcBorders>
              <w:bottom w:val="single" w:sz="6" w:space="0" w:color="auto"/>
            </w:tcBorders>
          </w:tcPr>
          <w:p w14:paraId="2EDE3AB4" w14:textId="77777777" w:rsidR="000C4E9D" w:rsidRPr="00D24FE5" w:rsidRDefault="000C4E9D" w:rsidP="00733B5D">
            <w:pPr>
              <w:rPr>
                <w:rFonts w:ascii="Times New Roman" w:hAnsi="Times New Roman" w:cs="Times New Roman"/>
                <w:sz w:val="20"/>
                <w:szCs w:val="20"/>
              </w:rPr>
            </w:pPr>
          </w:p>
        </w:tc>
        <w:tc>
          <w:tcPr>
            <w:tcW w:w="766" w:type="dxa"/>
            <w:tcBorders>
              <w:bottom w:val="single" w:sz="6" w:space="0" w:color="auto"/>
            </w:tcBorders>
          </w:tcPr>
          <w:p w14:paraId="1E7ED173" w14:textId="77777777" w:rsidR="000C4E9D" w:rsidRPr="00D24FE5" w:rsidRDefault="000C4E9D" w:rsidP="00733B5D">
            <w:pPr>
              <w:jc w:val="center"/>
              <w:rPr>
                <w:rFonts w:ascii="Times New Roman" w:hAnsi="Times New Roman" w:cs="Times New Roman"/>
                <w:sz w:val="20"/>
                <w:szCs w:val="20"/>
              </w:rPr>
            </w:pPr>
            <w:r w:rsidRPr="00D24FE5">
              <w:rPr>
                <w:rFonts w:ascii="Times New Roman" w:hAnsi="Times New Roman" w:cs="Times New Roman"/>
                <w:sz w:val="20"/>
                <w:szCs w:val="20"/>
              </w:rPr>
              <w:t>.749**</w:t>
            </w:r>
          </w:p>
        </w:tc>
        <w:tc>
          <w:tcPr>
            <w:tcW w:w="513" w:type="dxa"/>
            <w:tcBorders>
              <w:bottom w:val="single" w:sz="6" w:space="0" w:color="auto"/>
            </w:tcBorders>
          </w:tcPr>
          <w:p w14:paraId="0235FC40" w14:textId="77777777" w:rsidR="000C4E9D" w:rsidRPr="00D24FE5" w:rsidRDefault="000C4E9D" w:rsidP="00733B5D">
            <w:pPr>
              <w:jc w:val="center"/>
              <w:rPr>
                <w:rFonts w:ascii="Times New Roman" w:hAnsi="Times New Roman" w:cs="Times New Roman"/>
                <w:sz w:val="20"/>
                <w:szCs w:val="20"/>
              </w:rPr>
            </w:pPr>
          </w:p>
        </w:tc>
        <w:tc>
          <w:tcPr>
            <w:tcW w:w="532" w:type="dxa"/>
            <w:tcBorders>
              <w:bottom w:val="single" w:sz="6" w:space="0" w:color="auto"/>
            </w:tcBorders>
          </w:tcPr>
          <w:p w14:paraId="6C1AE410" w14:textId="77777777" w:rsidR="000C4E9D" w:rsidRPr="00D24FE5" w:rsidRDefault="000C4E9D" w:rsidP="00733B5D">
            <w:pPr>
              <w:jc w:val="center"/>
              <w:rPr>
                <w:rFonts w:ascii="Times New Roman" w:hAnsi="Times New Roman" w:cs="Times New Roman"/>
                <w:sz w:val="20"/>
                <w:szCs w:val="20"/>
              </w:rPr>
            </w:pPr>
          </w:p>
        </w:tc>
        <w:tc>
          <w:tcPr>
            <w:tcW w:w="844" w:type="dxa"/>
            <w:tcBorders>
              <w:bottom w:val="single" w:sz="6" w:space="0" w:color="auto"/>
            </w:tcBorders>
          </w:tcPr>
          <w:p w14:paraId="5EAC1839" w14:textId="77777777" w:rsidR="000C4E9D" w:rsidRPr="00D24FE5" w:rsidRDefault="000C4E9D" w:rsidP="00733B5D">
            <w:pPr>
              <w:rPr>
                <w:rFonts w:ascii="Times New Roman" w:hAnsi="Times New Roman" w:cs="Times New Roman"/>
                <w:sz w:val="20"/>
                <w:szCs w:val="20"/>
              </w:rPr>
            </w:pPr>
          </w:p>
        </w:tc>
        <w:tc>
          <w:tcPr>
            <w:tcW w:w="1073" w:type="dxa"/>
            <w:tcBorders>
              <w:bottom w:val="single" w:sz="6" w:space="0" w:color="auto"/>
            </w:tcBorders>
          </w:tcPr>
          <w:p w14:paraId="0B2A2E88" w14:textId="77777777" w:rsidR="000C4E9D" w:rsidRPr="00D24FE5" w:rsidRDefault="000C4E9D" w:rsidP="00733B5D">
            <w:pPr>
              <w:rPr>
                <w:rFonts w:ascii="Times New Roman" w:hAnsi="Times New Roman" w:cs="Times New Roman"/>
                <w:sz w:val="20"/>
                <w:szCs w:val="20"/>
              </w:rPr>
            </w:pPr>
            <w:r w:rsidRPr="00D24FE5">
              <w:rPr>
                <w:rFonts w:ascii="Times New Roman" w:hAnsi="Times New Roman" w:cs="Times New Roman"/>
                <w:sz w:val="20"/>
                <w:szCs w:val="20"/>
              </w:rPr>
              <w:t>47.854***</w:t>
            </w:r>
          </w:p>
        </w:tc>
        <w:tc>
          <w:tcPr>
            <w:tcW w:w="513" w:type="dxa"/>
            <w:tcBorders>
              <w:bottom w:val="single" w:sz="6" w:space="0" w:color="auto"/>
            </w:tcBorders>
          </w:tcPr>
          <w:p w14:paraId="6C47D97E" w14:textId="77777777" w:rsidR="000C4E9D" w:rsidRPr="00D24FE5" w:rsidRDefault="000C4E9D" w:rsidP="00733B5D">
            <w:pPr>
              <w:rPr>
                <w:rFonts w:ascii="Times New Roman" w:hAnsi="Times New Roman" w:cs="Times New Roman"/>
                <w:sz w:val="20"/>
                <w:szCs w:val="20"/>
              </w:rPr>
            </w:pPr>
          </w:p>
        </w:tc>
        <w:tc>
          <w:tcPr>
            <w:tcW w:w="505" w:type="dxa"/>
            <w:tcBorders>
              <w:bottom w:val="single" w:sz="6" w:space="0" w:color="auto"/>
            </w:tcBorders>
          </w:tcPr>
          <w:p w14:paraId="1B6F988F" w14:textId="77777777" w:rsidR="000C4E9D" w:rsidRPr="00D24FE5" w:rsidRDefault="000C4E9D" w:rsidP="00733B5D">
            <w:pPr>
              <w:rPr>
                <w:rFonts w:ascii="Times New Roman" w:hAnsi="Times New Roman" w:cs="Times New Roman"/>
                <w:sz w:val="20"/>
                <w:szCs w:val="20"/>
              </w:rPr>
            </w:pPr>
          </w:p>
        </w:tc>
        <w:tc>
          <w:tcPr>
            <w:tcW w:w="1010" w:type="dxa"/>
            <w:tcBorders>
              <w:bottom w:val="single" w:sz="6" w:space="0" w:color="auto"/>
            </w:tcBorders>
          </w:tcPr>
          <w:p w14:paraId="233C5B13" w14:textId="77777777" w:rsidR="000C4E9D" w:rsidRPr="00D24FE5" w:rsidRDefault="000C4E9D" w:rsidP="00733B5D">
            <w:pPr>
              <w:rPr>
                <w:rFonts w:ascii="Times New Roman" w:hAnsi="Times New Roman" w:cs="Times New Roman"/>
                <w:sz w:val="20"/>
                <w:szCs w:val="20"/>
              </w:rPr>
            </w:pPr>
          </w:p>
        </w:tc>
        <w:tc>
          <w:tcPr>
            <w:tcW w:w="1265" w:type="dxa"/>
            <w:tcBorders>
              <w:bottom w:val="single" w:sz="6" w:space="0" w:color="auto"/>
            </w:tcBorders>
          </w:tcPr>
          <w:p w14:paraId="5D7EB96C" w14:textId="77777777" w:rsidR="000C4E9D" w:rsidRPr="00D24FE5" w:rsidRDefault="000C4E9D" w:rsidP="00733B5D">
            <w:pPr>
              <w:tabs>
                <w:tab w:val="decimal" w:pos="352"/>
              </w:tabs>
              <w:ind w:right="46"/>
              <w:rPr>
                <w:rFonts w:ascii="Times New Roman" w:hAnsi="Times New Roman" w:cs="Times New Roman"/>
                <w:sz w:val="20"/>
                <w:szCs w:val="20"/>
              </w:rPr>
            </w:pPr>
            <w:r w:rsidRPr="00D24FE5">
              <w:rPr>
                <w:rFonts w:ascii="Times New Roman" w:hAnsi="Times New Roman" w:cs="Times New Roman"/>
                <w:sz w:val="20"/>
                <w:szCs w:val="20"/>
              </w:rPr>
              <w:t>66.153***</w:t>
            </w:r>
          </w:p>
        </w:tc>
        <w:tc>
          <w:tcPr>
            <w:tcW w:w="514" w:type="dxa"/>
            <w:tcBorders>
              <w:bottom w:val="single" w:sz="6" w:space="0" w:color="auto"/>
            </w:tcBorders>
          </w:tcPr>
          <w:p w14:paraId="619C560C" w14:textId="77777777" w:rsidR="000C4E9D" w:rsidRPr="00D24FE5" w:rsidRDefault="000C4E9D" w:rsidP="00733B5D">
            <w:pPr>
              <w:rPr>
                <w:rFonts w:ascii="Times New Roman" w:hAnsi="Times New Roman" w:cs="Times New Roman"/>
                <w:sz w:val="20"/>
                <w:szCs w:val="20"/>
              </w:rPr>
            </w:pPr>
          </w:p>
        </w:tc>
        <w:tc>
          <w:tcPr>
            <w:tcW w:w="541" w:type="dxa"/>
            <w:tcBorders>
              <w:bottom w:val="single" w:sz="6" w:space="0" w:color="auto"/>
            </w:tcBorders>
          </w:tcPr>
          <w:p w14:paraId="459E0731" w14:textId="77777777" w:rsidR="000C4E9D" w:rsidRPr="00D24FE5" w:rsidRDefault="000C4E9D" w:rsidP="00733B5D">
            <w:pPr>
              <w:rPr>
                <w:rFonts w:ascii="Times New Roman" w:hAnsi="Times New Roman" w:cs="Times New Roman"/>
                <w:sz w:val="20"/>
                <w:szCs w:val="20"/>
              </w:rPr>
            </w:pPr>
          </w:p>
        </w:tc>
        <w:tc>
          <w:tcPr>
            <w:tcW w:w="1160" w:type="dxa"/>
            <w:tcBorders>
              <w:bottom w:val="single" w:sz="6" w:space="0" w:color="auto"/>
            </w:tcBorders>
          </w:tcPr>
          <w:p w14:paraId="5A86ADCD" w14:textId="77777777" w:rsidR="000C4E9D" w:rsidRPr="00D24FE5" w:rsidRDefault="000C4E9D" w:rsidP="00733B5D">
            <w:pPr>
              <w:rPr>
                <w:rFonts w:ascii="Times New Roman" w:hAnsi="Times New Roman" w:cs="Times New Roman"/>
                <w:sz w:val="20"/>
                <w:szCs w:val="20"/>
              </w:rPr>
            </w:pPr>
          </w:p>
        </w:tc>
      </w:tr>
    </w:tbl>
    <w:p w14:paraId="0AC9D74B" w14:textId="77777777" w:rsidR="000C4E9D" w:rsidRPr="00D24FE5" w:rsidRDefault="000C4E9D" w:rsidP="00733B5D">
      <w:pPr>
        <w:spacing w:after="0" w:line="240" w:lineRule="auto"/>
        <w:rPr>
          <w:rFonts w:ascii="Times New Roman" w:hAnsi="Times New Roman" w:cs="Times New Roman"/>
          <w:sz w:val="20"/>
          <w:szCs w:val="20"/>
        </w:rPr>
      </w:pPr>
      <w:r w:rsidRPr="00D24FE5">
        <w:rPr>
          <w:rFonts w:ascii="Times New Roman" w:hAnsi="Times New Roman" w:cs="Times New Roman"/>
          <w:sz w:val="20"/>
          <w:szCs w:val="20"/>
        </w:rPr>
        <w:t>Notes: *</w:t>
      </w:r>
      <w:r w:rsidRPr="00D24FE5">
        <w:rPr>
          <w:rFonts w:ascii="Times New Roman" w:hAnsi="Times New Roman" w:cs="Times New Roman"/>
          <w:i/>
          <w:iCs/>
          <w:sz w:val="20"/>
          <w:szCs w:val="20"/>
        </w:rPr>
        <w:t>p</w:t>
      </w:r>
      <w:r w:rsidRPr="00D24FE5">
        <w:rPr>
          <w:rFonts w:ascii="Times New Roman" w:hAnsi="Times New Roman" w:cs="Times New Roman"/>
          <w:sz w:val="20"/>
          <w:szCs w:val="20"/>
        </w:rPr>
        <w:t xml:space="preserve"> &lt; .05; **</w:t>
      </w:r>
      <w:r w:rsidRPr="00D24FE5">
        <w:rPr>
          <w:rFonts w:ascii="Times New Roman" w:hAnsi="Times New Roman" w:cs="Times New Roman"/>
          <w:i/>
          <w:iCs/>
          <w:sz w:val="20"/>
          <w:szCs w:val="20"/>
        </w:rPr>
        <w:t>p</w:t>
      </w:r>
      <w:r w:rsidRPr="00D24FE5">
        <w:rPr>
          <w:rFonts w:ascii="Times New Roman" w:hAnsi="Times New Roman" w:cs="Times New Roman"/>
          <w:sz w:val="20"/>
          <w:szCs w:val="20"/>
        </w:rPr>
        <w:t xml:space="preserve"> &lt; .01; ***</w:t>
      </w:r>
      <w:r w:rsidRPr="00D24FE5">
        <w:rPr>
          <w:rFonts w:ascii="Times New Roman" w:hAnsi="Times New Roman" w:cs="Times New Roman"/>
          <w:i/>
          <w:iCs/>
          <w:sz w:val="20"/>
          <w:szCs w:val="20"/>
        </w:rPr>
        <w:t>p</w:t>
      </w:r>
      <w:r w:rsidRPr="00D24FE5">
        <w:rPr>
          <w:rFonts w:ascii="Times New Roman" w:hAnsi="Times New Roman" w:cs="Times New Roman"/>
          <w:sz w:val="20"/>
          <w:szCs w:val="20"/>
        </w:rPr>
        <w:t xml:space="preserve"> &lt; .001</w:t>
      </w:r>
    </w:p>
    <w:p w14:paraId="7A44EA74" w14:textId="77E34103" w:rsidR="000C4E9D" w:rsidRPr="00C414B4" w:rsidRDefault="000C4E9D" w:rsidP="00733B5D">
      <w:pPr>
        <w:spacing w:after="0" w:line="240" w:lineRule="auto"/>
        <w:rPr>
          <w:rFonts w:ascii="Times New Roman" w:hAnsi="Times New Roman" w:cs="Times New Roman"/>
          <w:sz w:val="20"/>
          <w:szCs w:val="20"/>
        </w:rPr>
        <w:sectPr w:rsidR="000C4E9D" w:rsidRPr="00C414B4" w:rsidSect="009C05A5">
          <w:pgSz w:w="16838" w:h="11906" w:orient="landscape"/>
          <w:pgMar w:top="1440" w:right="1440" w:bottom="1440" w:left="1440" w:header="708" w:footer="708" w:gutter="0"/>
          <w:cols w:space="708"/>
          <w:docGrid w:linePitch="360"/>
        </w:sectPr>
      </w:pPr>
    </w:p>
    <w:p w14:paraId="564B1008" w14:textId="044A1F61" w:rsidR="00816209" w:rsidRDefault="00816209" w:rsidP="00816209">
      <w:pPr>
        <w:spacing w:after="0" w:line="240" w:lineRule="auto"/>
        <w:jc w:val="both"/>
        <w:rPr>
          <w:rFonts w:ascii="Times New Roman" w:hAnsi="Times New Roman" w:cs="Times New Roman"/>
          <w:sz w:val="24"/>
          <w:szCs w:val="24"/>
        </w:rPr>
      </w:pPr>
      <w:r w:rsidRPr="009C1026">
        <w:rPr>
          <w:rFonts w:ascii="Times New Roman" w:hAnsi="Times New Roman" w:cs="Times New Roman"/>
          <w:sz w:val="24"/>
          <w:szCs w:val="24"/>
        </w:rPr>
        <w:t>Therefore, we can establish that perceived value, trust and convenience are all significantly and positively associated with consumers’ rollover propensity, and that whilst reputation is not in our models directly associated with propensity to rollover, it is indirectly related through the mediator of trust.</w:t>
      </w:r>
    </w:p>
    <w:p w14:paraId="2AA2900D" w14:textId="77777777" w:rsidR="00816209" w:rsidRDefault="00816209" w:rsidP="00816209">
      <w:pPr>
        <w:spacing w:after="0" w:line="240" w:lineRule="auto"/>
        <w:jc w:val="both"/>
        <w:rPr>
          <w:rFonts w:ascii="Times New Roman" w:hAnsi="Times New Roman" w:cs="Times New Roman"/>
          <w:sz w:val="24"/>
          <w:szCs w:val="24"/>
        </w:rPr>
      </w:pPr>
    </w:p>
    <w:p w14:paraId="14B56076" w14:textId="5FFF0AB8" w:rsidR="009C1026" w:rsidRPr="00816209" w:rsidRDefault="009C1026" w:rsidP="00733B5D">
      <w:pPr>
        <w:spacing w:line="240" w:lineRule="auto"/>
        <w:jc w:val="both"/>
        <w:rPr>
          <w:rFonts w:ascii="Times New Roman" w:hAnsi="Times New Roman" w:cs="Times New Roman"/>
          <w:sz w:val="24"/>
          <w:szCs w:val="24"/>
        </w:rPr>
      </w:pPr>
      <w:r w:rsidRPr="000C4E9D">
        <w:rPr>
          <w:rFonts w:ascii="Times New Roman" w:hAnsi="Times New Roman" w:cs="Times New Roman"/>
          <w:b/>
          <w:bCs/>
          <w:i/>
          <w:iCs/>
          <w:sz w:val="24"/>
          <w:szCs w:val="24"/>
        </w:rPr>
        <w:t xml:space="preserve">Implications for </w:t>
      </w:r>
      <w:r w:rsidR="000C4E9D">
        <w:rPr>
          <w:rFonts w:ascii="Times New Roman" w:hAnsi="Times New Roman" w:cs="Times New Roman"/>
          <w:b/>
          <w:bCs/>
          <w:i/>
          <w:iCs/>
          <w:sz w:val="24"/>
          <w:szCs w:val="24"/>
        </w:rPr>
        <w:t>r</w:t>
      </w:r>
      <w:r w:rsidRPr="000C4E9D">
        <w:rPr>
          <w:rFonts w:ascii="Times New Roman" w:hAnsi="Times New Roman" w:cs="Times New Roman"/>
          <w:b/>
          <w:bCs/>
          <w:i/>
          <w:iCs/>
          <w:sz w:val="24"/>
          <w:szCs w:val="24"/>
        </w:rPr>
        <w:t>esearch</w:t>
      </w:r>
    </w:p>
    <w:p w14:paraId="4142E3CA" w14:textId="1A93E59B" w:rsidR="009C1026" w:rsidRPr="009C1026" w:rsidRDefault="009C1026" w:rsidP="00733B5D">
      <w:pPr>
        <w:spacing w:after="0" w:line="240" w:lineRule="auto"/>
        <w:jc w:val="both"/>
        <w:rPr>
          <w:rFonts w:ascii="Times New Roman" w:hAnsi="Times New Roman" w:cs="Times New Roman"/>
          <w:sz w:val="24"/>
          <w:szCs w:val="24"/>
        </w:rPr>
      </w:pPr>
      <w:r w:rsidRPr="009C1026">
        <w:rPr>
          <w:rFonts w:ascii="Times New Roman" w:hAnsi="Times New Roman" w:cs="Times New Roman"/>
          <w:sz w:val="24"/>
          <w:szCs w:val="24"/>
        </w:rPr>
        <w:t xml:space="preserve">An initial contribution to theory of this research is the development of further understanding of consumers’ behavior when faced with </w:t>
      </w:r>
      <w:r w:rsidR="001802E9">
        <w:rPr>
          <w:rFonts w:ascii="Times New Roman" w:hAnsi="Times New Roman" w:cs="Times New Roman"/>
          <w:sz w:val="24"/>
          <w:szCs w:val="24"/>
        </w:rPr>
        <w:t>RSC</w:t>
      </w:r>
      <w:r w:rsidR="0043387C">
        <w:rPr>
          <w:rFonts w:ascii="Times New Roman" w:hAnsi="Times New Roman" w:cs="Times New Roman"/>
          <w:sz w:val="24"/>
          <w:szCs w:val="24"/>
        </w:rPr>
        <w:t>s</w:t>
      </w:r>
      <w:r w:rsidRPr="009C1026">
        <w:rPr>
          <w:rFonts w:ascii="Times New Roman" w:hAnsi="Times New Roman" w:cs="Times New Roman"/>
          <w:sz w:val="24"/>
          <w:szCs w:val="24"/>
        </w:rPr>
        <w:t xml:space="preserve">, an increasingly prominent form of service </w:t>
      </w:r>
      <w:r w:rsidR="00EF6FB7">
        <w:rPr>
          <w:rFonts w:ascii="Times New Roman" w:hAnsi="Times New Roman" w:cs="Times New Roman"/>
          <w:sz w:val="24"/>
          <w:szCs w:val="24"/>
        </w:rPr>
        <w:t>provision</w:t>
      </w:r>
      <w:r w:rsidRPr="009C1026">
        <w:rPr>
          <w:rFonts w:ascii="Times New Roman" w:hAnsi="Times New Roman" w:cs="Times New Roman"/>
          <w:sz w:val="24"/>
          <w:szCs w:val="24"/>
        </w:rPr>
        <w:t xml:space="preserve">. The study clearly indicates that convenience is the key factor in influencing consumer behavior in rollover decisions, which is consistent with prior service loyalty literature (Kaura, Prasad, &amp; Sharma, 2015). An important aspect of this relates to the existence of switching costs, which make moving away from the current provider inconvenient (Lee &amp; Cunningham, 2001), </w:t>
      </w:r>
      <w:r w:rsidR="00C2583E">
        <w:rPr>
          <w:rFonts w:ascii="Times New Roman" w:hAnsi="Times New Roman" w:cs="Times New Roman"/>
          <w:sz w:val="24"/>
          <w:szCs w:val="24"/>
        </w:rPr>
        <w:t xml:space="preserve">or inertia </w:t>
      </w:r>
      <w:r w:rsidRPr="009C1026">
        <w:rPr>
          <w:rFonts w:ascii="Times New Roman" w:hAnsi="Times New Roman" w:cs="Times New Roman"/>
          <w:sz w:val="24"/>
          <w:szCs w:val="24"/>
        </w:rPr>
        <w:t>thus presenting barrier</w:t>
      </w:r>
      <w:r w:rsidR="00C2583E">
        <w:rPr>
          <w:rFonts w:ascii="Times New Roman" w:hAnsi="Times New Roman" w:cs="Times New Roman"/>
          <w:sz w:val="24"/>
          <w:szCs w:val="24"/>
        </w:rPr>
        <w:t>s</w:t>
      </w:r>
      <w:r w:rsidRPr="009C1026">
        <w:rPr>
          <w:rFonts w:ascii="Times New Roman" w:hAnsi="Times New Roman" w:cs="Times New Roman"/>
          <w:sz w:val="24"/>
          <w:szCs w:val="24"/>
        </w:rPr>
        <w:t xml:space="preserve"> to leaving </w:t>
      </w:r>
      <w:r w:rsidR="001802E9">
        <w:rPr>
          <w:rFonts w:ascii="Times New Roman" w:hAnsi="Times New Roman" w:cs="Times New Roman"/>
          <w:sz w:val="24"/>
          <w:szCs w:val="24"/>
        </w:rPr>
        <w:t>RSC</w:t>
      </w:r>
      <w:r w:rsidR="00571C41">
        <w:rPr>
          <w:rFonts w:ascii="Times New Roman" w:hAnsi="Times New Roman" w:cs="Times New Roman"/>
          <w:sz w:val="24"/>
          <w:szCs w:val="24"/>
        </w:rPr>
        <w:t>s</w:t>
      </w:r>
      <w:r w:rsidRPr="009C1026">
        <w:rPr>
          <w:rFonts w:ascii="Times New Roman" w:hAnsi="Times New Roman" w:cs="Times New Roman"/>
          <w:sz w:val="24"/>
          <w:szCs w:val="24"/>
        </w:rPr>
        <w:t>, and therefore increasing the tendency for rollover to be the preferred option. A number of dimensions of convenience are captured in this, particularly a reluctance to spend time and effort looking for new providers, and finding suitable alternatives to the existing service product and provider with which the customer already has a relationship. These are in line with the view that convenience is multi-faceted and that decision making in relation to it is therefore complex (</w:t>
      </w:r>
      <w:r w:rsidR="0013639B">
        <w:rPr>
          <w:rFonts w:ascii="Times New Roman" w:hAnsi="Times New Roman" w:cs="Times New Roman"/>
          <w:sz w:val="24"/>
          <w:szCs w:val="24"/>
        </w:rPr>
        <w:t>Walsh et al., 2010</w:t>
      </w:r>
      <w:r w:rsidRPr="009C1026">
        <w:rPr>
          <w:rFonts w:ascii="Times New Roman" w:hAnsi="Times New Roman" w:cs="Times New Roman"/>
          <w:sz w:val="24"/>
          <w:szCs w:val="24"/>
        </w:rPr>
        <w:t>). In exploring this notion, it is possible to envisage that the consumer may also incur emotional costs of breaking with the current provider, where the relationship becomes an object of positive value for the customer, so influencing the rollover decision (Hennig-Thurau, Gwinner, &amp; Gremler, 2002). This may be particularly pertinent in the setting of service products, where their unique characteristics such as intangibility and heterogeneity may involve greater relative exposure to risk (</w:t>
      </w:r>
      <w:r w:rsidR="00E440E5">
        <w:rPr>
          <w:rFonts w:ascii="Times New Roman" w:hAnsi="Times New Roman" w:cs="Times New Roman"/>
          <w:sz w:val="24"/>
          <w:szCs w:val="24"/>
        </w:rPr>
        <w:t>Laroche et al., 2004</w:t>
      </w:r>
      <w:r w:rsidRPr="009C1026">
        <w:rPr>
          <w:rFonts w:ascii="Times New Roman" w:hAnsi="Times New Roman" w:cs="Times New Roman"/>
          <w:sz w:val="24"/>
          <w:szCs w:val="24"/>
        </w:rPr>
        <w:t>), hence potentially increasing the switching costs.</w:t>
      </w:r>
    </w:p>
    <w:p w14:paraId="3E298CDB" w14:textId="4409D9F5" w:rsidR="009C1026" w:rsidRP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Consumers’ trust in a provider is also an important influence on </w:t>
      </w:r>
      <w:r w:rsidR="00EF6FB7">
        <w:rPr>
          <w:rFonts w:ascii="Times New Roman" w:hAnsi="Times New Roman" w:cs="Times New Roman"/>
          <w:sz w:val="24"/>
          <w:szCs w:val="24"/>
        </w:rPr>
        <w:t xml:space="preserve">RSC </w:t>
      </w:r>
      <w:r w:rsidRPr="009C1026">
        <w:rPr>
          <w:rFonts w:ascii="Times New Roman" w:hAnsi="Times New Roman" w:cs="Times New Roman"/>
          <w:sz w:val="24"/>
          <w:szCs w:val="24"/>
        </w:rPr>
        <w:t xml:space="preserve">decisions. Congruent with previous studies in service loyalty (Han et al., 2008; Harris &amp; Goode, 2004), trust is positively associated with contract rollover propensity. When deciding whether to automatically renew, the level of trust that a consumer has built with </w:t>
      </w:r>
      <w:r w:rsidR="006F4FB4">
        <w:rPr>
          <w:rFonts w:ascii="Times New Roman" w:hAnsi="Times New Roman" w:cs="Times New Roman"/>
          <w:sz w:val="24"/>
          <w:szCs w:val="24"/>
        </w:rPr>
        <w:t>their</w:t>
      </w:r>
      <w:r w:rsidRPr="009C1026">
        <w:rPr>
          <w:rFonts w:ascii="Times New Roman" w:hAnsi="Times New Roman" w:cs="Times New Roman"/>
          <w:sz w:val="24"/>
          <w:szCs w:val="24"/>
        </w:rPr>
        <w:t xml:space="preserve"> provider will influence the</w:t>
      </w:r>
      <w:r w:rsidR="006F4FB4">
        <w:rPr>
          <w:rFonts w:ascii="Times New Roman" w:hAnsi="Times New Roman" w:cs="Times New Roman"/>
          <w:sz w:val="24"/>
          <w:szCs w:val="24"/>
        </w:rPr>
        <w:t xml:space="preserve"> </w:t>
      </w:r>
      <w:r w:rsidRPr="009C1026">
        <w:rPr>
          <w:rFonts w:ascii="Times New Roman" w:hAnsi="Times New Roman" w:cs="Times New Roman"/>
          <w:sz w:val="24"/>
          <w:szCs w:val="24"/>
        </w:rPr>
        <w:t xml:space="preserve">decision. So, it is apparent that the extent to which a consumer believes the provider to be trustworthy, through displaying the requisite qualities in their relationship – such as competence, reliability, benevolence, and integrity – will influence the likelihood of automatic contract renewal. Similar to convenience, this can relate to risk and uncertainty reduction in consumers’ services </w:t>
      </w:r>
      <w:r w:rsidR="00A3494A">
        <w:rPr>
          <w:rFonts w:ascii="Times New Roman" w:hAnsi="Times New Roman" w:cs="Times New Roman"/>
          <w:sz w:val="24"/>
          <w:szCs w:val="24"/>
        </w:rPr>
        <w:t>purchasing</w:t>
      </w:r>
      <w:r w:rsidRPr="009C1026">
        <w:rPr>
          <w:rFonts w:ascii="Times New Roman" w:hAnsi="Times New Roman" w:cs="Times New Roman"/>
          <w:sz w:val="24"/>
          <w:szCs w:val="24"/>
        </w:rPr>
        <w:t xml:space="preserve"> decisions (Kim et al., 2004). Further to this, trust is identified as playing a mediating role in the relationship between reputation and rollover propensity. </w:t>
      </w:r>
    </w:p>
    <w:p w14:paraId="6B11895E" w14:textId="3406A909" w:rsid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Although it is posited that reputation directly influences </w:t>
      </w:r>
      <w:r w:rsidR="003D5711">
        <w:rPr>
          <w:rFonts w:ascii="Times New Roman" w:hAnsi="Times New Roman" w:cs="Times New Roman"/>
          <w:sz w:val="24"/>
          <w:szCs w:val="24"/>
        </w:rPr>
        <w:t xml:space="preserve">consumer acceptance of </w:t>
      </w:r>
      <w:r w:rsidRPr="009C1026">
        <w:rPr>
          <w:rFonts w:ascii="Times New Roman" w:hAnsi="Times New Roman" w:cs="Times New Roman"/>
          <w:sz w:val="24"/>
          <w:szCs w:val="24"/>
        </w:rPr>
        <w:t>automatic renewal</w:t>
      </w:r>
      <w:r w:rsidR="003D5711">
        <w:rPr>
          <w:rFonts w:ascii="Times New Roman" w:hAnsi="Times New Roman" w:cs="Times New Roman"/>
          <w:sz w:val="24"/>
          <w:szCs w:val="24"/>
        </w:rPr>
        <w:t xml:space="preserve"> contracts</w:t>
      </w:r>
      <w:r w:rsidRPr="009C1026">
        <w:rPr>
          <w:rFonts w:ascii="Times New Roman" w:hAnsi="Times New Roman" w:cs="Times New Roman"/>
          <w:sz w:val="24"/>
          <w:szCs w:val="24"/>
        </w:rPr>
        <w:t xml:space="preserve">, </w:t>
      </w:r>
      <w:r w:rsidR="003D5711">
        <w:rPr>
          <w:rFonts w:ascii="Times New Roman" w:hAnsi="Times New Roman" w:cs="Times New Roman"/>
          <w:sz w:val="24"/>
          <w:szCs w:val="24"/>
        </w:rPr>
        <w:t xml:space="preserve">our </w:t>
      </w:r>
      <w:r w:rsidRPr="009C1026">
        <w:rPr>
          <w:rFonts w:ascii="Times New Roman" w:hAnsi="Times New Roman" w:cs="Times New Roman"/>
          <w:sz w:val="24"/>
          <w:szCs w:val="24"/>
        </w:rPr>
        <w:t xml:space="preserve">results indicate that the effect is indirectly associated with rollover </w:t>
      </w:r>
      <w:r w:rsidR="0090128A">
        <w:rPr>
          <w:rFonts w:ascii="Times New Roman" w:hAnsi="Times New Roman" w:cs="Times New Roman"/>
          <w:sz w:val="24"/>
          <w:szCs w:val="24"/>
        </w:rPr>
        <w:t xml:space="preserve">intended </w:t>
      </w:r>
      <w:r w:rsidRPr="009C1026">
        <w:rPr>
          <w:rFonts w:ascii="Times New Roman" w:hAnsi="Times New Roman" w:cs="Times New Roman"/>
          <w:sz w:val="24"/>
          <w:szCs w:val="24"/>
        </w:rPr>
        <w:t>behavior and attitudes through trust, which supports the findings of previous service loyalty studies (e.g. Auh, 2005). Finally, the effect of consumers’ perceived value in rollover decisions was examined and found to be positively associated with automatic renewal behavior. These findings reflect previous studies in service loyalty (e.g. Yang &amp; Peterson, 2004), particularly in regard to any benefits ensuing from ongoing relationships with partners (Lam et al., 2004).</w:t>
      </w:r>
      <w:r w:rsidR="00F95CD6">
        <w:rPr>
          <w:rFonts w:ascii="Times New Roman" w:hAnsi="Times New Roman" w:cs="Times New Roman"/>
          <w:sz w:val="24"/>
          <w:szCs w:val="24"/>
        </w:rPr>
        <w:t xml:space="preserve"> </w:t>
      </w:r>
      <w:r w:rsidRPr="009C1026">
        <w:rPr>
          <w:rFonts w:ascii="Times New Roman" w:hAnsi="Times New Roman" w:cs="Times New Roman"/>
          <w:sz w:val="24"/>
          <w:szCs w:val="24"/>
        </w:rPr>
        <w:t>Taken together, these findings contribute to service loyalty research</w:t>
      </w:r>
      <w:r w:rsidR="00613701">
        <w:rPr>
          <w:rFonts w:ascii="Times New Roman" w:hAnsi="Times New Roman" w:cs="Times New Roman"/>
          <w:sz w:val="24"/>
          <w:szCs w:val="24"/>
        </w:rPr>
        <w:t>,</w:t>
      </w:r>
      <w:r w:rsidRPr="009C1026">
        <w:rPr>
          <w:rFonts w:ascii="Times New Roman" w:hAnsi="Times New Roman" w:cs="Times New Roman"/>
          <w:sz w:val="24"/>
          <w:szCs w:val="24"/>
        </w:rPr>
        <w:t xml:space="preserve"> as they provide empirical insights into the specific loyalty scenario offered by the automatic renewal of contracts, and how consumers address this both attitudinally and behaviorally. </w:t>
      </w:r>
    </w:p>
    <w:p w14:paraId="636818AC" w14:textId="77777777" w:rsidR="00733B5D" w:rsidRPr="009C1026" w:rsidRDefault="00733B5D" w:rsidP="00733B5D">
      <w:pPr>
        <w:spacing w:after="0" w:line="240" w:lineRule="auto"/>
        <w:ind w:firstLine="360"/>
        <w:jc w:val="both"/>
        <w:rPr>
          <w:rFonts w:ascii="Times New Roman" w:hAnsi="Times New Roman" w:cs="Times New Roman"/>
          <w:sz w:val="24"/>
          <w:szCs w:val="24"/>
        </w:rPr>
      </w:pPr>
    </w:p>
    <w:p w14:paraId="1ACFB91C" w14:textId="59786650" w:rsidR="009C1026" w:rsidRPr="000C4E9D" w:rsidRDefault="009C1026" w:rsidP="00733B5D">
      <w:pPr>
        <w:spacing w:line="240" w:lineRule="auto"/>
        <w:jc w:val="both"/>
        <w:rPr>
          <w:rFonts w:ascii="Times New Roman" w:hAnsi="Times New Roman" w:cs="Times New Roman"/>
          <w:b/>
          <w:bCs/>
          <w:i/>
          <w:iCs/>
          <w:sz w:val="24"/>
          <w:szCs w:val="24"/>
        </w:rPr>
      </w:pPr>
      <w:r w:rsidRPr="000C4E9D">
        <w:rPr>
          <w:rFonts w:ascii="Times New Roman" w:hAnsi="Times New Roman" w:cs="Times New Roman"/>
          <w:b/>
          <w:bCs/>
          <w:i/>
          <w:iCs/>
          <w:sz w:val="24"/>
          <w:szCs w:val="24"/>
        </w:rPr>
        <w:t xml:space="preserve">Implications for </w:t>
      </w:r>
      <w:r w:rsidR="000C4E9D">
        <w:rPr>
          <w:rFonts w:ascii="Times New Roman" w:hAnsi="Times New Roman" w:cs="Times New Roman"/>
          <w:b/>
          <w:bCs/>
          <w:i/>
          <w:iCs/>
          <w:sz w:val="24"/>
          <w:szCs w:val="24"/>
        </w:rPr>
        <w:t>p</w:t>
      </w:r>
      <w:r w:rsidRPr="000C4E9D">
        <w:rPr>
          <w:rFonts w:ascii="Times New Roman" w:hAnsi="Times New Roman" w:cs="Times New Roman"/>
          <w:b/>
          <w:bCs/>
          <w:i/>
          <w:iCs/>
          <w:sz w:val="24"/>
          <w:szCs w:val="24"/>
        </w:rPr>
        <w:t>ractice</w:t>
      </w:r>
    </w:p>
    <w:p w14:paraId="2DFD389F" w14:textId="6A31A5EC" w:rsidR="009C1026" w:rsidRPr="009C1026" w:rsidRDefault="00F95CD6" w:rsidP="00733B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Providers </w:t>
      </w:r>
      <w:r w:rsidR="009C1026" w:rsidRPr="009C1026">
        <w:rPr>
          <w:rFonts w:ascii="Times New Roman" w:hAnsi="Times New Roman" w:cs="Times New Roman"/>
          <w:sz w:val="24"/>
          <w:szCs w:val="24"/>
        </w:rPr>
        <w:t>need to understand what consumers desire and expect</w:t>
      </w:r>
      <w:r>
        <w:rPr>
          <w:rFonts w:ascii="Times New Roman" w:hAnsi="Times New Roman" w:cs="Times New Roman"/>
          <w:sz w:val="24"/>
          <w:szCs w:val="24"/>
        </w:rPr>
        <w:t xml:space="preserve"> when entering into RSCs</w:t>
      </w:r>
      <w:r w:rsidR="009C1026" w:rsidRPr="009C1026">
        <w:rPr>
          <w:rFonts w:ascii="Times New Roman" w:hAnsi="Times New Roman" w:cs="Times New Roman"/>
          <w:sz w:val="24"/>
          <w:szCs w:val="24"/>
        </w:rPr>
        <w:t xml:space="preserve">, as individuals will only put into the relationship what they </w:t>
      </w:r>
      <w:r>
        <w:rPr>
          <w:rFonts w:ascii="Times New Roman" w:hAnsi="Times New Roman" w:cs="Times New Roman"/>
          <w:sz w:val="24"/>
          <w:szCs w:val="24"/>
        </w:rPr>
        <w:t>anticipate getting out of it</w:t>
      </w:r>
      <w:r w:rsidR="009C1026" w:rsidRPr="009C1026">
        <w:rPr>
          <w:rFonts w:ascii="Times New Roman" w:hAnsi="Times New Roman" w:cs="Times New Roman"/>
          <w:sz w:val="24"/>
          <w:szCs w:val="24"/>
        </w:rPr>
        <w:t xml:space="preserve">, with the hope of maximizing satisfaction (Lee at al., 2014). Thus, it is important for firms to determine how an individual consumer perceives and values price, product features, convenience and incentives, to ensure that each </w:t>
      </w:r>
      <w:r w:rsidR="00E440E5">
        <w:rPr>
          <w:rFonts w:ascii="Times New Roman" w:hAnsi="Times New Roman" w:cs="Times New Roman"/>
          <w:sz w:val="24"/>
          <w:szCs w:val="24"/>
        </w:rPr>
        <w:t>contract</w:t>
      </w:r>
      <w:r w:rsidR="009C1026" w:rsidRPr="009C1026">
        <w:rPr>
          <w:rFonts w:ascii="Times New Roman" w:hAnsi="Times New Roman" w:cs="Times New Roman"/>
          <w:sz w:val="24"/>
          <w:szCs w:val="24"/>
        </w:rPr>
        <w:t xml:space="preserve"> has an element of reciprocity that is mutually beneficial. </w:t>
      </w:r>
    </w:p>
    <w:p w14:paraId="6671F03F" w14:textId="6397A2C3" w:rsidR="009C1026" w:rsidRP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If firms want to retain consumers using </w:t>
      </w:r>
      <w:r w:rsidR="001802E9">
        <w:rPr>
          <w:rFonts w:ascii="Times New Roman" w:hAnsi="Times New Roman" w:cs="Times New Roman"/>
          <w:sz w:val="24"/>
          <w:szCs w:val="24"/>
        </w:rPr>
        <w:t>RSC</w:t>
      </w:r>
      <w:r w:rsidR="008A726C">
        <w:rPr>
          <w:rFonts w:ascii="Times New Roman" w:hAnsi="Times New Roman" w:cs="Times New Roman"/>
          <w:sz w:val="24"/>
          <w:szCs w:val="24"/>
        </w:rPr>
        <w:t>s</w:t>
      </w:r>
      <w:r w:rsidRPr="009C1026">
        <w:rPr>
          <w:rFonts w:ascii="Times New Roman" w:hAnsi="Times New Roman" w:cs="Times New Roman"/>
          <w:sz w:val="24"/>
          <w:szCs w:val="24"/>
        </w:rPr>
        <w:t xml:space="preserve">, the results of this study suggest that they should offer services that deliver convenience, ensure trust and provide perceived value. Understanding the core issues underlying convenience, such as process and relational switching costs, is critical to improving service convenience. Service providers can do much to improve consumers’ actual and perceived convenience. For example, they can make product descriptions and service </w:t>
      </w:r>
      <w:r w:rsidR="00E440E5">
        <w:rPr>
          <w:rFonts w:ascii="Times New Roman" w:hAnsi="Times New Roman" w:cs="Times New Roman"/>
          <w:sz w:val="24"/>
          <w:szCs w:val="24"/>
        </w:rPr>
        <w:t>contract</w:t>
      </w:r>
      <w:r w:rsidRPr="009C1026">
        <w:rPr>
          <w:rFonts w:ascii="Times New Roman" w:hAnsi="Times New Roman" w:cs="Times New Roman"/>
          <w:sz w:val="24"/>
          <w:szCs w:val="24"/>
        </w:rPr>
        <w:t xml:space="preserve">s concise and clearly written, make transactions quicker and easier, and deal with problems and queries quicker and more effectively. Conducting market research may obtain valuable intelligence about consumers’ needs, preferences and expectations, as well as enabling benchmarking against competitors. </w:t>
      </w:r>
    </w:p>
    <w:p w14:paraId="3C1A7B7A" w14:textId="2C9D1049" w:rsidR="009C1026" w:rsidRP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Service convenience is often a strong determinant of perceived service quality (Thuy, 2011), and consumers who perceive that they are receiving a high-quality service are more likely to remain loyal to their service provider and accept automatic renewal. Furthermore, many of these consumers will spread positive word-of-mouth, which may bring new consumers to the firm. It is well-known that being regarded as a trusted provider is important in services marketing, but the trend towards more online purchases is likely to make this influence on consumers’ </w:t>
      </w:r>
      <w:r w:rsidR="00A3494A">
        <w:rPr>
          <w:rFonts w:ascii="Times New Roman" w:hAnsi="Times New Roman" w:cs="Times New Roman"/>
          <w:sz w:val="24"/>
          <w:szCs w:val="24"/>
        </w:rPr>
        <w:t>purchasing</w:t>
      </w:r>
      <w:r w:rsidRPr="009C1026">
        <w:rPr>
          <w:rFonts w:ascii="Times New Roman" w:hAnsi="Times New Roman" w:cs="Times New Roman"/>
          <w:sz w:val="24"/>
          <w:szCs w:val="24"/>
        </w:rPr>
        <w:t xml:space="preserve"> decisions even stronger in the future. It is therefore imperative that marketing communications are carefully crafted to convey the utility of the relationship with a service provider, based on perceptions of the costs incurred and benefits received</w:t>
      </w:r>
      <w:r w:rsidR="006F4FB4">
        <w:rPr>
          <w:rFonts w:ascii="Times New Roman" w:hAnsi="Times New Roman" w:cs="Times New Roman"/>
          <w:sz w:val="24"/>
          <w:szCs w:val="24"/>
        </w:rPr>
        <w:t>.</w:t>
      </w:r>
    </w:p>
    <w:p w14:paraId="2678DD37" w14:textId="77777777" w:rsidR="00733B5D" w:rsidRDefault="00733B5D" w:rsidP="00733B5D">
      <w:pPr>
        <w:spacing w:line="240" w:lineRule="auto"/>
        <w:rPr>
          <w:rFonts w:ascii="Times New Roman" w:hAnsi="Times New Roman" w:cs="Times New Roman"/>
          <w:sz w:val="24"/>
          <w:szCs w:val="24"/>
        </w:rPr>
      </w:pPr>
    </w:p>
    <w:p w14:paraId="14C05DD3" w14:textId="478DD032" w:rsidR="009C1026" w:rsidRPr="0053039C" w:rsidRDefault="000C4E9D" w:rsidP="00733B5D">
      <w:pPr>
        <w:spacing w:line="240" w:lineRule="auto"/>
        <w:rPr>
          <w:rFonts w:ascii="Times New Roman" w:hAnsi="Times New Roman" w:cs="Times New Roman"/>
          <w:i/>
          <w:iCs/>
          <w:sz w:val="24"/>
          <w:szCs w:val="24"/>
        </w:rPr>
      </w:pPr>
      <w:r>
        <w:rPr>
          <w:rFonts w:ascii="Times New Roman" w:hAnsi="Times New Roman" w:cs="Times New Roman"/>
          <w:b/>
          <w:bCs/>
          <w:sz w:val="24"/>
          <w:szCs w:val="24"/>
        </w:rPr>
        <w:t>Limitations and further research</w:t>
      </w:r>
    </w:p>
    <w:p w14:paraId="6C6AC843" w14:textId="3C2CB8E8" w:rsidR="009C1026" w:rsidRPr="009C1026" w:rsidRDefault="009C1026" w:rsidP="00733B5D">
      <w:pPr>
        <w:spacing w:after="0" w:line="240" w:lineRule="auto"/>
        <w:jc w:val="both"/>
        <w:rPr>
          <w:rFonts w:ascii="Times New Roman" w:hAnsi="Times New Roman" w:cs="Times New Roman"/>
          <w:sz w:val="24"/>
          <w:szCs w:val="24"/>
        </w:rPr>
      </w:pPr>
      <w:r w:rsidRPr="009C1026">
        <w:rPr>
          <w:rFonts w:ascii="Times New Roman" w:hAnsi="Times New Roman" w:cs="Times New Roman"/>
          <w:sz w:val="24"/>
          <w:szCs w:val="24"/>
        </w:rPr>
        <w:t xml:space="preserve">The sample used </w:t>
      </w:r>
      <w:r w:rsidR="006F4FB4">
        <w:rPr>
          <w:rFonts w:ascii="Times New Roman" w:hAnsi="Times New Roman" w:cs="Times New Roman"/>
          <w:sz w:val="24"/>
          <w:szCs w:val="24"/>
        </w:rPr>
        <w:t xml:space="preserve">for this study </w:t>
      </w:r>
      <w:r w:rsidRPr="009C1026">
        <w:rPr>
          <w:rFonts w:ascii="Times New Roman" w:hAnsi="Times New Roman" w:cs="Times New Roman"/>
          <w:sz w:val="24"/>
          <w:szCs w:val="24"/>
        </w:rPr>
        <w:t>was obtained in a single country, so the results may not be generalizable globally. Furthermore, the cross-sectional research design is not able to capture possible changes in consumer attitudes and behavioral intentions over time, or establish causality in the revealed relationships. Consumers are likely to be more confident in their evaluations of alternative products/providers when they have previous experience of firms’ actual service quality. Thus, a longitudinal research design could incorporate consumers’ responses to experience, as well as situational changes, such as new competitors entering the market and firms’ marketing initiatives.</w:t>
      </w:r>
      <w:r w:rsidR="002D2C3D">
        <w:rPr>
          <w:rFonts w:ascii="Times New Roman" w:hAnsi="Times New Roman" w:cs="Times New Roman"/>
          <w:sz w:val="24"/>
          <w:szCs w:val="24"/>
        </w:rPr>
        <w:t xml:space="preserve"> Future studies</w:t>
      </w:r>
      <w:r w:rsidRPr="009C1026">
        <w:rPr>
          <w:rFonts w:ascii="Times New Roman" w:hAnsi="Times New Roman" w:cs="Times New Roman"/>
          <w:sz w:val="24"/>
          <w:szCs w:val="24"/>
        </w:rPr>
        <w:t xml:space="preserve"> could also investigate which particular dimensions of convenience have the greatest influence on consumer satisfaction, loyalty and the willingness to sign </w:t>
      </w:r>
      <w:r w:rsidR="002D2C3D">
        <w:rPr>
          <w:rFonts w:ascii="Times New Roman" w:hAnsi="Times New Roman" w:cs="Times New Roman"/>
          <w:sz w:val="24"/>
          <w:szCs w:val="24"/>
        </w:rPr>
        <w:t>RSCs</w:t>
      </w:r>
      <w:r w:rsidRPr="009C1026">
        <w:rPr>
          <w:rFonts w:ascii="Times New Roman" w:hAnsi="Times New Roman" w:cs="Times New Roman"/>
          <w:sz w:val="24"/>
          <w:szCs w:val="24"/>
        </w:rPr>
        <w:t xml:space="preserve">. For example, decision convenience is central to consequential and labor intensive services, whereas access convenience is particularly important for inseparable services (Berry et al., 2002). It is possible that consumers make purchase decisions based more on perceptions of actual or likely inconvenience, rather than on judgements about convenience (Farquhar &amp; Rowley, 2009). Thus, marketers should consider how their policies, procedures and operations may cause inconvenience as well as how they deliver convenience. </w:t>
      </w:r>
    </w:p>
    <w:p w14:paraId="5791A5F4" w14:textId="12BF6B75" w:rsidR="009C1026" w:rsidRPr="009C1026" w:rsidRDefault="009C1026" w:rsidP="00733B5D">
      <w:pPr>
        <w:spacing w:after="0"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 xml:space="preserve">Although a number of important variables were included in the analysis of </w:t>
      </w:r>
      <w:r w:rsidR="002D2C3D">
        <w:rPr>
          <w:rFonts w:ascii="Times New Roman" w:hAnsi="Times New Roman" w:cs="Times New Roman"/>
          <w:sz w:val="24"/>
          <w:szCs w:val="24"/>
        </w:rPr>
        <w:t>consumers’ RSC decisions</w:t>
      </w:r>
      <w:r w:rsidRPr="009C1026">
        <w:rPr>
          <w:rFonts w:ascii="Times New Roman" w:hAnsi="Times New Roman" w:cs="Times New Roman"/>
          <w:sz w:val="24"/>
          <w:szCs w:val="24"/>
        </w:rPr>
        <w:t xml:space="preserve">, there is scope in further studies to examine the effects of other key contributors to service loyalty. It would be particularly pertinent to look at the effects of factors such as service quality and satisfaction on rollover </w:t>
      </w:r>
      <w:r w:rsidR="002D2C3D">
        <w:rPr>
          <w:rFonts w:ascii="Times New Roman" w:hAnsi="Times New Roman" w:cs="Times New Roman"/>
          <w:sz w:val="24"/>
          <w:szCs w:val="24"/>
        </w:rPr>
        <w:t xml:space="preserve">propensity </w:t>
      </w:r>
      <w:r w:rsidRPr="009C1026">
        <w:rPr>
          <w:rFonts w:ascii="Times New Roman" w:hAnsi="Times New Roman" w:cs="Times New Roman"/>
          <w:sz w:val="24"/>
          <w:szCs w:val="24"/>
        </w:rPr>
        <w:t xml:space="preserve">both directly and as mediators, and indeed consider service loyalty itself as having a mediating effect on rollover attitudes and </w:t>
      </w:r>
      <w:r w:rsidR="00E50C72">
        <w:rPr>
          <w:rFonts w:ascii="Times New Roman" w:hAnsi="Times New Roman" w:cs="Times New Roman"/>
          <w:sz w:val="24"/>
          <w:szCs w:val="24"/>
        </w:rPr>
        <w:t xml:space="preserve">intended </w:t>
      </w:r>
      <w:r w:rsidRPr="009C1026">
        <w:rPr>
          <w:rFonts w:ascii="Times New Roman" w:hAnsi="Times New Roman" w:cs="Times New Roman"/>
          <w:sz w:val="24"/>
          <w:szCs w:val="24"/>
        </w:rPr>
        <w:t>behavior. It would be interesting to investigate the influences of such factors on different categories of product, as the nature of a product may impact upon perceived value, trust, customer satisfaction and loyalty (Pandey et al., 2020).</w:t>
      </w:r>
    </w:p>
    <w:p w14:paraId="099865F9" w14:textId="36DC2D06" w:rsidR="009C1026" w:rsidRPr="009C1026" w:rsidRDefault="009C1026" w:rsidP="00733B5D">
      <w:pPr>
        <w:spacing w:line="240" w:lineRule="auto"/>
        <w:ind w:firstLine="360"/>
        <w:jc w:val="both"/>
        <w:rPr>
          <w:rFonts w:ascii="Times New Roman" w:hAnsi="Times New Roman" w:cs="Times New Roman"/>
          <w:sz w:val="24"/>
          <w:szCs w:val="24"/>
        </w:rPr>
      </w:pPr>
      <w:r w:rsidRPr="009C1026">
        <w:rPr>
          <w:rFonts w:ascii="Times New Roman" w:hAnsi="Times New Roman" w:cs="Times New Roman"/>
          <w:sz w:val="24"/>
          <w:szCs w:val="24"/>
        </w:rPr>
        <w:t>Whereas this research was concerned with a consumer’s initial decision to sign or not sign a rollover contract at the time of initial purchase, future studies could examine a consumer’s renewal/extension decision when a contractual term comes to the end. Such research may consider additional factors such as switching costs/barriers, consumer inertia and habits</w:t>
      </w:r>
      <w:r w:rsidR="002D2C3D">
        <w:rPr>
          <w:rFonts w:ascii="Times New Roman" w:hAnsi="Times New Roman" w:cs="Times New Roman"/>
          <w:sz w:val="24"/>
          <w:szCs w:val="24"/>
        </w:rPr>
        <w:t xml:space="preserve">, and </w:t>
      </w:r>
      <w:r w:rsidRPr="009C1026">
        <w:rPr>
          <w:rFonts w:ascii="Times New Roman" w:hAnsi="Times New Roman" w:cs="Times New Roman"/>
          <w:sz w:val="24"/>
          <w:szCs w:val="24"/>
        </w:rPr>
        <w:t xml:space="preserve">the extent to which convenience motivations drive </w:t>
      </w:r>
      <w:r w:rsidR="002D2C3D">
        <w:rPr>
          <w:rFonts w:ascii="Times New Roman" w:hAnsi="Times New Roman" w:cs="Times New Roman"/>
          <w:sz w:val="24"/>
          <w:szCs w:val="24"/>
        </w:rPr>
        <w:t>these</w:t>
      </w:r>
      <w:r w:rsidRPr="009C1026">
        <w:rPr>
          <w:rFonts w:ascii="Times New Roman" w:hAnsi="Times New Roman" w:cs="Times New Roman"/>
          <w:sz w:val="24"/>
          <w:szCs w:val="24"/>
        </w:rPr>
        <w:t>. Finally, it would be useful to develop further insights into consumers’ rollover behavior through exploring the effects of some potential moderator variables such as consumers’</w:t>
      </w:r>
      <w:r w:rsidR="00DE05A7">
        <w:rPr>
          <w:rFonts w:ascii="Times New Roman" w:hAnsi="Times New Roman" w:cs="Times New Roman"/>
          <w:sz w:val="24"/>
          <w:szCs w:val="24"/>
        </w:rPr>
        <w:t xml:space="preserve"> personal characteristics like</w:t>
      </w:r>
      <w:r w:rsidRPr="009C1026">
        <w:rPr>
          <w:rFonts w:ascii="Times New Roman" w:hAnsi="Times New Roman" w:cs="Times New Roman"/>
          <w:sz w:val="24"/>
          <w:szCs w:val="24"/>
        </w:rPr>
        <w:t xml:space="preserve"> proclivity to risk</w:t>
      </w:r>
      <w:r w:rsidR="002D2C3D">
        <w:rPr>
          <w:rFonts w:ascii="Times New Roman" w:hAnsi="Times New Roman" w:cs="Times New Roman"/>
          <w:sz w:val="24"/>
          <w:szCs w:val="24"/>
        </w:rPr>
        <w:t xml:space="preserve">, and </w:t>
      </w:r>
      <w:r w:rsidR="00DE05A7">
        <w:rPr>
          <w:rFonts w:ascii="Times New Roman" w:hAnsi="Times New Roman" w:cs="Times New Roman"/>
          <w:sz w:val="24"/>
          <w:szCs w:val="24"/>
        </w:rPr>
        <w:t>the length of the relationship the consumer has with the service provider.</w:t>
      </w:r>
    </w:p>
    <w:p w14:paraId="4FCA0D9A" w14:textId="77777777" w:rsidR="000C4E9D" w:rsidRDefault="000C4E9D" w:rsidP="00733B5D">
      <w:pPr>
        <w:spacing w:line="240" w:lineRule="auto"/>
        <w:rPr>
          <w:rFonts w:ascii="Times New Roman" w:hAnsi="Times New Roman" w:cs="Times New Roman"/>
          <w:sz w:val="24"/>
          <w:szCs w:val="24"/>
        </w:rPr>
      </w:pPr>
    </w:p>
    <w:p w14:paraId="50451824" w14:textId="15C317B7" w:rsidR="009C1026" w:rsidRDefault="000C4E9D" w:rsidP="00733B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787178A1" w14:textId="77777777" w:rsidR="00733B5D" w:rsidRPr="009C1026" w:rsidRDefault="00733B5D" w:rsidP="00733B5D">
      <w:pPr>
        <w:spacing w:after="0" w:line="240" w:lineRule="auto"/>
        <w:rPr>
          <w:rFonts w:ascii="Times New Roman" w:hAnsi="Times New Roman" w:cs="Times New Roman"/>
          <w:sz w:val="24"/>
          <w:szCs w:val="24"/>
        </w:rPr>
      </w:pPr>
    </w:p>
    <w:p w14:paraId="175B42C7" w14:textId="6EC2810A"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Al-Hawari, M. A. (2018). Online customer relationships: Switching cost drivers for different relationship lengths. </w:t>
      </w:r>
      <w:r w:rsidRPr="000C4E9D">
        <w:rPr>
          <w:rFonts w:ascii="Times New Roman" w:hAnsi="Times New Roman" w:cs="Times New Roman"/>
          <w:i/>
          <w:iCs/>
          <w:sz w:val="24"/>
          <w:szCs w:val="24"/>
        </w:rPr>
        <w:t>The Service Industries Journal</w:t>
      </w:r>
      <w:r w:rsidRPr="009C1026">
        <w:rPr>
          <w:rFonts w:ascii="Times New Roman" w:hAnsi="Times New Roman" w:cs="Times New Roman"/>
          <w:sz w:val="24"/>
          <w:szCs w:val="24"/>
        </w:rPr>
        <w:t xml:space="preserve">, </w:t>
      </w:r>
      <w:r w:rsidR="009D1FEA">
        <w:rPr>
          <w:rFonts w:ascii="Times New Roman" w:hAnsi="Times New Roman" w:cs="Times New Roman"/>
          <w:sz w:val="24"/>
          <w:szCs w:val="24"/>
        </w:rPr>
        <w:t xml:space="preserve">doi: </w:t>
      </w:r>
      <w:r w:rsidR="009D1FEA" w:rsidRPr="009D1FEA">
        <w:rPr>
          <w:rFonts w:ascii="Times New Roman" w:hAnsi="Times New Roman" w:cs="Times New Roman"/>
          <w:sz w:val="24"/>
          <w:szCs w:val="24"/>
        </w:rPr>
        <w:t>10.1080/02642069.2018.1513495</w:t>
      </w:r>
      <w:r w:rsidR="009D1FEA">
        <w:rPr>
          <w:rFonts w:ascii="Times New Roman" w:hAnsi="Times New Roman" w:cs="Times New Roman"/>
          <w:sz w:val="24"/>
          <w:szCs w:val="24"/>
        </w:rPr>
        <w:t>.</w:t>
      </w:r>
    </w:p>
    <w:p w14:paraId="231D90C8"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Arora, R., &amp; Stoner, C. (1996). The effect of perceived service quality and name familiarity on the service selection decision. </w:t>
      </w:r>
      <w:r w:rsidRPr="000C4E9D">
        <w:rPr>
          <w:rFonts w:ascii="Times New Roman" w:hAnsi="Times New Roman" w:cs="Times New Roman"/>
          <w:i/>
          <w:iCs/>
          <w:sz w:val="24"/>
          <w:szCs w:val="24"/>
        </w:rPr>
        <w:t>Journal of Services Marketing</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10</w:t>
      </w:r>
      <w:r w:rsidRPr="009C1026">
        <w:rPr>
          <w:rFonts w:ascii="Times New Roman" w:hAnsi="Times New Roman" w:cs="Times New Roman"/>
          <w:sz w:val="24"/>
          <w:szCs w:val="24"/>
        </w:rPr>
        <w:t>(1), 22-34.</w:t>
      </w:r>
    </w:p>
    <w:p w14:paraId="4047FCE2"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Auh, S. (2005). The effects of soft and hard service attributes on loyalty: The mediating role of trust. </w:t>
      </w:r>
      <w:r w:rsidRPr="000C4E9D">
        <w:rPr>
          <w:rFonts w:ascii="Times New Roman" w:hAnsi="Times New Roman" w:cs="Times New Roman"/>
          <w:i/>
          <w:iCs/>
          <w:sz w:val="24"/>
          <w:szCs w:val="24"/>
        </w:rPr>
        <w:t>Journal of Services Marketing</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19</w:t>
      </w:r>
      <w:r w:rsidRPr="009C1026">
        <w:rPr>
          <w:rFonts w:ascii="Times New Roman" w:hAnsi="Times New Roman" w:cs="Times New Roman"/>
          <w:sz w:val="24"/>
          <w:szCs w:val="24"/>
        </w:rPr>
        <w:t>(2), 80-92.</w:t>
      </w:r>
    </w:p>
    <w:p w14:paraId="099CC07B"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Bensebaa, F. (2004). The impact of strategic actions on the reputation building of e‐businesses. </w:t>
      </w:r>
      <w:r w:rsidRPr="000C4E9D">
        <w:rPr>
          <w:rFonts w:ascii="Times New Roman" w:hAnsi="Times New Roman" w:cs="Times New Roman"/>
          <w:i/>
          <w:iCs/>
          <w:sz w:val="24"/>
          <w:szCs w:val="24"/>
        </w:rPr>
        <w:t>International Journal of Retail and Distribution Management</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32</w:t>
      </w:r>
      <w:r w:rsidRPr="009C1026">
        <w:rPr>
          <w:rFonts w:ascii="Times New Roman" w:hAnsi="Times New Roman" w:cs="Times New Roman"/>
          <w:sz w:val="24"/>
          <w:szCs w:val="24"/>
        </w:rPr>
        <w:t>(6), 286-301.</w:t>
      </w:r>
    </w:p>
    <w:p w14:paraId="5D90DA4A"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Berry, L. L., Seiders, K., &amp; Grewal, D. (2002). Understanding service convenience. </w:t>
      </w:r>
      <w:r w:rsidRPr="000C4E9D">
        <w:rPr>
          <w:rFonts w:ascii="Times New Roman" w:hAnsi="Times New Roman" w:cs="Times New Roman"/>
          <w:i/>
          <w:iCs/>
          <w:sz w:val="24"/>
          <w:szCs w:val="24"/>
        </w:rPr>
        <w:t>Journal of Marketing</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66</w:t>
      </w:r>
      <w:r w:rsidRPr="009C1026">
        <w:rPr>
          <w:rFonts w:ascii="Times New Roman" w:hAnsi="Times New Roman" w:cs="Times New Roman"/>
          <w:sz w:val="24"/>
          <w:szCs w:val="24"/>
        </w:rPr>
        <w:t>(3), 1-17.</w:t>
      </w:r>
    </w:p>
    <w:p w14:paraId="19133E26" w14:textId="406EB888" w:rsid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Calvo-Porral, C., Faíña-Medín, A., &amp; Nieto-Mengotti, M. (2017). Satisfaction and switching intention in mobile services: comparing lock-in and free contracts in the Spanish market. </w:t>
      </w:r>
      <w:r w:rsidRPr="000C4E9D">
        <w:rPr>
          <w:rFonts w:ascii="Times New Roman" w:hAnsi="Times New Roman" w:cs="Times New Roman"/>
          <w:i/>
          <w:iCs/>
          <w:sz w:val="24"/>
          <w:szCs w:val="24"/>
        </w:rPr>
        <w:t>Telematics and Informatics</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34</w:t>
      </w:r>
      <w:r w:rsidRPr="009C1026">
        <w:rPr>
          <w:rFonts w:ascii="Times New Roman" w:hAnsi="Times New Roman" w:cs="Times New Roman"/>
          <w:sz w:val="24"/>
          <w:szCs w:val="24"/>
        </w:rPr>
        <w:t>(5), 717-729.</w:t>
      </w:r>
    </w:p>
    <w:p w14:paraId="72AA0AA0" w14:textId="1383EDF9" w:rsidR="00224BD9" w:rsidRPr="009C1026" w:rsidRDefault="00224BD9" w:rsidP="00733B5D">
      <w:pPr>
        <w:spacing w:line="240" w:lineRule="auto"/>
        <w:ind w:left="360" w:hanging="360"/>
        <w:jc w:val="both"/>
        <w:rPr>
          <w:rFonts w:ascii="Times New Roman" w:hAnsi="Times New Roman" w:cs="Times New Roman"/>
          <w:sz w:val="24"/>
          <w:szCs w:val="24"/>
        </w:rPr>
      </w:pPr>
      <w:r w:rsidRPr="00224BD9">
        <w:rPr>
          <w:rFonts w:ascii="Times New Roman" w:hAnsi="Times New Roman" w:cs="Times New Roman"/>
          <w:sz w:val="24"/>
          <w:szCs w:val="24"/>
        </w:rPr>
        <w:t xml:space="preserve">Caruana, A. and Ewing, M.T., </w:t>
      </w:r>
      <w:r>
        <w:rPr>
          <w:rFonts w:ascii="Times New Roman" w:hAnsi="Times New Roman" w:cs="Times New Roman"/>
          <w:sz w:val="24"/>
          <w:szCs w:val="24"/>
        </w:rPr>
        <w:t>(</w:t>
      </w:r>
      <w:r w:rsidRPr="00224BD9">
        <w:rPr>
          <w:rFonts w:ascii="Times New Roman" w:hAnsi="Times New Roman" w:cs="Times New Roman"/>
          <w:sz w:val="24"/>
          <w:szCs w:val="24"/>
        </w:rPr>
        <w:t>2010</w:t>
      </w:r>
      <w:r>
        <w:rPr>
          <w:rFonts w:ascii="Times New Roman" w:hAnsi="Times New Roman" w:cs="Times New Roman"/>
          <w:sz w:val="24"/>
          <w:szCs w:val="24"/>
        </w:rPr>
        <w:t>)</w:t>
      </w:r>
      <w:r w:rsidRPr="00224BD9">
        <w:rPr>
          <w:rFonts w:ascii="Times New Roman" w:hAnsi="Times New Roman" w:cs="Times New Roman"/>
          <w:sz w:val="24"/>
          <w:szCs w:val="24"/>
        </w:rPr>
        <w:t xml:space="preserve">. How corporate reputation, quality, and value influence online loyalty. </w:t>
      </w:r>
      <w:r w:rsidRPr="000C4E9D">
        <w:rPr>
          <w:rFonts w:ascii="Times New Roman" w:hAnsi="Times New Roman" w:cs="Times New Roman"/>
          <w:i/>
          <w:iCs/>
          <w:sz w:val="24"/>
          <w:szCs w:val="24"/>
        </w:rPr>
        <w:t>Journal of Business Research</w:t>
      </w:r>
      <w:r w:rsidRPr="00224BD9">
        <w:rPr>
          <w:rFonts w:ascii="Times New Roman" w:hAnsi="Times New Roman" w:cs="Times New Roman"/>
          <w:sz w:val="24"/>
          <w:szCs w:val="24"/>
        </w:rPr>
        <w:t xml:space="preserve">, </w:t>
      </w:r>
      <w:r w:rsidRPr="000C4E9D">
        <w:rPr>
          <w:rFonts w:ascii="Times New Roman" w:hAnsi="Times New Roman" w:cs="Times New Roman"/>
          <w:i/>
          <w:iCs/>
          <w:sz w:val="24"/>
          <w:szCs w:val="24"/>
        </w:rPr>
        <w:t>63</w:t>
      </w:r>
      <w:r w:rsidRPr="00224BD9">
        <w:rPr>
          <w:rFonts w:ascii="Times New Roman" w:hAnsi="Times New Roman" w:cs="Times New Roman"/>
          <w:sz w:val="24"/>
          <w:szCs w:val="24"/>
        </w:rPr>
        <w:t>(9-10),</w:t>
      </w:r>
      <w:r>
        <w:rPr>
          <w:rFonts w:ascii="Times New Roman" w:hAnsi="Times New Roman" w:cs="Times New Roman"/>
          <w:sz w:val="24"/>
          <w:szCs w:val="24"/>
        </w:rPr>
        <w:t xml:space="preserve"> </w:t>
      </w:r>
      <w:r w:rsidRPr="00224BD9">
        <w:rPr>
          <w:rFonts w:ascii="Times New Roman" w:hAnsi="Times New Roman" w:cs="Times New Roman"/>
          <w:sz w:val="24"/>
          <w:szCs w:val="24"/>
        </w:rPr>
        <w:t>1103-1110.</w:t>
      </w:r>
    </w:p>
    <w:p w14:paraId="48431B6D" w14:textId="30CA534A"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Chaudhuri, A., &amp; Holbrook, M. B. (2001). The chain of effects from brand trust and brand affect to brand performance: The role of brand loyalty. </w:t>
      </w:r>
      <w:r w:rsidRPr="000C4E9D">
        <w:rPr>
          <w:rFonts w:ascii="Times New Roman" w:hAnsi="Times New Roman" w:cs="Times New Roman"/>
          <w:i/>
          <w:iCs/>
          <w:sz w:val="24"/>
          <w:szCs w:val="24"/>
        </w:rPr>
        <w:t>Journal of Marketing</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65</w:t>
      </w:r>
      <w:r w:rsidRPr="009C1026">
        <w:rPr>
          <w:rFonts w:ascii="Times New Roman" w:hAnsi="Times New Roman" w:cs="Times New Roman"/>
          <w:sz w:val="24"/>
          <w:szCs w:val="24"/>
        </w:rPr>
        <w:t>(2), 81-93.</w:t>
      </w:r>
    </w:p>
    <w:p w14:paraId="517FFFC9"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Chiang, C. F., &amp; Jang, S. S. (2007). The effects of perceived price and brand image on value and purchase intention: Leisure travelers’ attitudes toward online hotel booking. </w:t>
      </w:r>
      <w:r w:rsidRPr="000C4E9D">
        <w:rPr>
          <w:rFonts w:ascii="Times New Roman" w:hAnsi="Times New Roman" w:cs="Times New Roman"/>
          <w:i/>
          <w:iCs/>
          <w:sz w:val="24"/>
          <w:szCs w:val="24"/>
        </w:rPr>
        <w:t>Journal of Hospitality and Leisure Marketing</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5</w:t>
      </w:r>
      <w:r w:rsidRPr="009C1026">
        <w:rPr>
          <w:rFonts w:ascii="Times New Roman" w:hAnsi="Times New Roman" w:cs="Times New Roman"/>
          <w:sz w:val="24"/>
          <w:szCs w:val="24"/>
        </w:rPr>
        <w:t>(3), 49-69.</w:t>
      </w:r>
    </w:p>
    <w:p w14:paraId="36849E08"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Chocarro, R., Cortinas, M., &amp; Villanueva, M. L. (2021). Different channels for different services: Information sources for services with search, experience and credence attributes. </w:t>
      </w:r>
      <w:r w:rsidRPr="000C4E9D">
        <w:rPr>
          <w:rFonts w:ascii="Times New Roman" w:hAnsi="Times New Roman" w:cs="Times New Roman"/>
          <w:i/>
          <w:iCs/>
          <w:sz w:val="24"/>
          <w:szCs w:val="24"/>
        </w:rPr>
        <w:t>The Service Industries Journal</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41</w:t>
      </w:r>
      <w:r w:rsidRPr="009C1026">
        <w:rPr>
          <w:rFonts w:ascii="Times New Roman" w:hAnsi="Times New Roman" w:cs="Times New Roman"/>
          <w:sz w:val="24"/>
          <w:szCs w:val="24"/>
        </w:rPr>
        <w:t>(3/4), 261-284.</w:t>
      </w:r>
    </w:p>
    <w:p w14:paraId="18AF74D9"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Colwell, S. R., Aung, M., Kanetkar, V., &amp; Holden, A. L. (2008). Toward a measure of service convenience: Multiple-item scale development and empirical test. </w:t>
      </w:r>
      <w:r w:rsidRPr="000C4E9D">
        <w:rPr>
          <w:rFonts w:ascii="Times New Roman" w:hAnsi="Times New Roman" w:cs="Times New Roman"/>
          <w:i/>
          <w:iCs/>
          <w:sz w:val="24"/>
          <w:szCs w:val="24"/>
        </w:rPr>
        <w:t>Journal of Services Marketing</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22</w:t>
      </w:r>
      <w:r w:rsidRPr="009C1026">
        <w:rPr>
          <w:rFonts w:ascii="Times New Roman" w:hAnsi="Times New Roman" w:cs="Times New Roman"/>
          <w:sz w:val="24"/>
          <w:szCs w:val="24"/>
        </w:rPr>
        <w:t>(2), 160-169.</w:t>
      </w:r>
    </w:p>
    <w:p w14:paraId="1E225771"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Cronin, J. J., &amp; Taylor, S. A. (1992). Measuring service quality: A reexamination and extension. </w:t>
      </w:r>
      <w:r w:rsidRPr="000C4E9D">
        <w:rPr>
          <w:rFonts w:ascii="Times New Roman" w:hAnsi="Times New Roman" w:cs="Times New Roman"/>
          <w:i/>
          <w:iCs/>
          <w:sz w:val="24"/>
          <w:szCs w:val="24"/>
        </w:rPr>
        <w:t>Journal of Marketing</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56</w:t>
      </w:r>
      <w:r w:rsidRPr="009C1026">
        <w:rPr>
          <w:rFonts w:ascii="Times New Roman" w:hAnsi="Times New Roman" w:cs="Times New Roman"/>
          <w:sz w:val="24"/>
          <w:szCs w:val="24"/>
        </w:rPr>
        <w:t>(3), 55-68.</w:t>
      </w:r>
    </w:p>
    <w:p w14:paraId="37B363F7"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Dick, A. S., &amp; Basu, K. (1994). Consumer loyalty: Toward an integrated conceptual framework. </w:t>
      </w:r>
      <w:r w:rsidRPr="000C4E9D">
        <w:rPr>
          <w:rFonts w:ascii="Times New Roman" w:hAnsi="Times New Roman" w:cs="Times New Roman"/>
          <w:i/>
          <w:iCs/>
          <w:sz w:val="24"/>
          <w:szCs w:val="24"/>
        </w:rPr>
        <w:t>Journal of the Academy of Marketing Science</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22</w:t>
      </w:r>
      <w:r w:rsidRPr="009C1026">
        <w:rPr>
          <w:rFonts w:ascii="Times New Roman" w:hAnsi="Times New Roman" w:cs="Times New Roman"/>
          <w:sz w:val="24"/>
          <w:szCs w:val="24"/>
        </w:rPr>
        <w:t>(2), 99-113.</w:t>
      </w:r>
    </w:p>
    <w:p w14:paraId="2CC618C2"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Fornell, C., &amp; Larcker, D. F. (1981). Evaluating structural equation models with unobservable variables and measurement error. </w:t>
      </w:r>
      <w:r w:rsidRPr="000C4E9D">
        <w:rPr>
          <w:rFonts w:ascii="Times New Roman" w:hAnsi="Times New Roman" w:cs="Times New Roman"/>
          <w:i/>
          <w:iCs/>
          <w:sz w:val="24"/>
          <w:szCs w:val="24"/>
        </w:rPr>
        <w:t>Journal of Marketing Research</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18</w:t>
      </w:r>
      <w:r w:rsidRPr="009C1026">
        <w:rPr>
          <w:rFonts w:ascii="Times New Roman" w:hAnsi="Times New Roman" w:cs="Times New Roman"/>
          <w:sz w:val="24"/>
          <w:szCs w:val="24"/>
        </w:rPr>
        <w:t>(1), 39-50.</w:t>
      </w:r>
    </w:p>
    <w:p w14:paraId="46B08B24" w14:textId="2040293F"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Gotsi, M., &amp; Wilson, A. M. (2001). Corporate reputation: Seeking a definition. </w:t>
      </w:r>
      <w:r w:rsidRPr="000C4E9D">
        <w:rPr>
          <w:rFonts w:ascii="Times New Roman" w:hAnsi="Times New Roman" w:cs="Times New Roman"/>
          <w:i/>
          <w:iCs/>
          <w:sz w:val="24"/>
          <w:szCs w:val="24"/>
        </w:rPr>
        <w:t>Corporate Communications: An International Journal</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6</w:t>
      </w:r>
      <w:r w:rsidRPr="009C1026">
        <w:rPr>
          <w:rFonts w:ascii="Times New Roman" w:hAnsi="Times New Roman" w:cs="Times New Roman"/>
          <w:sz w:val="24"/>
          <w:szCs w:val="24"/>
        </w:rPr>
        <w:t>(1), 24-30.</w:t>
      </w:r>
    </w:p>
    <w:p w14:paraId="30D96236"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Gray, D. M., D’Alessandro, S., Johnson, L. W., &amp; Carter, L. (2017). Inertia in services: Causes and consequences for switching. </w:t>
      </w:r>
      <w:r w:rsidRPr="000C4E9D">
        <w:rPr>
          <w:rFonts w:ascii="Times New Roman" w:hAnsi="Times New Roman" w:cs="Times New Roman"/>
          <w:i/>
          <w:iCs/>
          <w:sz w:val="24"/>
          <w:szCs w:val="24"/>
        </w:rPr>
        <w:t>Journal of Services Marketing</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31</w:t>
      </w:r>
      <w:r w:rsidRPr="009C1026">
        <w:rPr>
          <w:rFonts w:ascii="Times New Roman" w:hAnsi="Times New Roman" w:cs="Times New Roman"/>
          <w:sz w:val="24"/>
          <w:szCs w:val="24"/>
        </w:rPr>
        <w:t>(6), 485-498.</w:t>
      </w:r>
    </w:p>
    <w:p w14:paraId="1CA11088" w14:textId="70F121B8" w:rsidR="001F3ECC" w:rsidRDefault="001F3ECC" w:rsidP="00733B5D">
      <w:pPr>
        <w:spacing w:line="240" w:lineRule="auto"/>
        <w:ind w:left="360" w:hanging="360"/>
        <w:jc w:val="both"/>
        <w:rPr>
          <w:rFonts w:ascii="Times New Roman" w:hAnsi="Times New Roman" w:cs="Times New Roman"/>
          <w:sz w:val="24"/>
          <w:szCs w:val="24"/>
        </w:rPr>
      </w:pPr>
      <w:r w:rsidRPr="001F3ECC">
        <w:rPr>
          <w:rFonts w:ascii="Times New Roman" w:hAnsi="Times New Roman" w:cs="Times New Roman"/>
          <w:sz w:val="24"/>
          <w:szCs w:val="24"/>
        </w:rPr>
        <w:t xml:space="preserve">Gremler, D.D. and Brown, S.W., </w:t>
      </w:r>
      <w:r w:rsidR="000B7689">
        <w:rPr>
          <w:rFonts w:ascii="Times New Roman" w:hAnsi="Times New Roman" w:cs="Times New Roman"/>
          <w:sz w:val="24"/>
          <w:szCs w:val="24"/>
        </w:rPr>
        <w:t>(</w:t>
      </w:r>
      <w:r w:rsidRPr="001F3ECC">
        <w:rPr>
          <w:rFonts w:ascii="Times New Roman" w:hAnsi="Times New Roman" w:cs="Times New Roman"/>
          <w:sz w:val="24"/>
          <w:szCs w:val="24"/>
        </w:rPr>
        <w:t>1996</w:t>
      </w:r>
      <w:r w:rsidR="000B7689">
        <w:rPr>
          <w:rFonts w:ascii="Times New Roman" w:hAnsi="Times New Roman" w:cs="Times New Roman"/>
          <w:sz w:val="24"/>
          <w:szCs w:val="24"/>
        </w:rPr>
        <w:t>)</w:t>
      </w:r>
      <w:r w:rsidRPr="001F3ECC">
        <w:rPr>
          <w:rFonts w:ascii="Times New Roman" w:hAnsi="Times New Roman" w:cs="Times New Roman"/>
          <w:sz w:val="24"/>
          <w:szCs w:val="24"/>
        </w:rPr>
        <w:t xml:space="preserve">. Service loyalty: its nature, importance, and implications. </w:t>
      </w:r>
      <w:r w:rsidRPr="000C4E9D">
        <w:rPr>
          <w:rFonts w:ascii="Times New Roman" w:hAnsi="Times New Roman" w:cs="Times New Roman"/>
          <w:i/>
          <w:iCs/>
          <w:sz w:val="24"/>
          <w:szCs w:val="24"/>
        </w:rPr>
        <w:t xml:space="preserve">Advancing </w:t>
      </w:r>
      <w:r w:rsidR="000C4E9D">
        <w:rPr>
          <w:rFonts w:ascii="Times New Roman" w:hAnsi="Times New Roman" w:cs="Times New Roman"/>
          <w:i/>
          <w:iCs/>
          <w:sz w:val="24"/>
          <w:szCs w:val="24"/>
        </w:rPr>
        <w:t>S</w:t>
      </w:r>
      <w:r w:rsidRPr="000C4E9D">
        <w:rPr>
          <w:rFonts w:ascii="Times New Roman" w:hAnsi="Times New Roman" w:cs="Times New Roman"/>
          <w:i/>
          <w:iCs/>
          <w:sz w:val="24"/>
          <w:szCs w:val="24"/>
        </w:rPr>
        <w:t xml:space="preserve">ervice </w:t>
      </w:r>
      <w:r w:rsidR="000C4E9D">
        <w:rPr>
          <w:rFonts w:ascii="Times New Roman" w:hAnsi="Times New Roman" w:cs="Times New Roman"/>
          <w:i/>
          <w:iCs/>
          <w:sz w:val="24"/>
          <w:szCs w:val="24"/>
        </w:rPr>
        <w:t>Q</w:t>
      </w:r>
      <w:r w:rsidRPr="000C4E9D">
        <w:rPr>
          <w:rFonts w:ascii="Times New Roman" w:hAnsi="Times New Roman" w:cs="Times New Roman"/>
          <w:i/>
          <w:iCs/>
          <w:sz w:val="24"/>
          <w:szCs w:val="24"/>
        </w:rPr>
        <w:t xml:space="preserve">uality: A </w:t>
      </w:r>
      <w:r w:rsidR="000C4E9D">
        <w:rPr>
          <w:rFonts w:ascii="Times New Roman" w:hAnsi="Times New Roman" w:cs="Times New Roman"/>
          <w:i/>
          <w:iCs/>
          <w:sz w:val="24"/>
          <w:szCs w:val="24"/>
        </w:rPr>
        <w:t>G</w:t>
      </w:r>
      <w:r w:rsidRPr="000C4E9D">
        <w:rPr>
          <w:rFonts w:ascii="Times New Roman" w:hAnsi="Times New Roman" w:cs="Times New Roman"/>
          <w:i/>
          <w:iCs/>
          <w:sz w:val="24"/>
          <w:szCs w:val="24"/>
        </w:rPr>
        <w:t xml:space="preserve">lobal </w:t>
      </w:r>
      <w:r w:rsidR="000C4E9D">
        <w:rPr>
          <w:rFonts w:ascii="Times New Roman" w:hAnsi="Times New Roman" w:cs="Times New Roman"/>
          <w:i/>
          <w:iCs/>
          <w:sz w:val="24"/>
          <w:szCs w:val="24"/>
        </w:rPr>
        <w:t>P</w:t>
      </w:r>
      <w:r w:rsidRPr="000C4E9D">
        <w:rPr>
          <w:rFonts w:ascii="Times New Roman" w:hAnsi="Times New Roman" w:cs="Times New Roman"/>
          <w:i/>
          <w:iCs/>
          <w:sz w:val="24"/>
          <w:szCs w:val="24"/>
        </w:rPr>
        <w:t>erspective</w:t>
      </w:r>
      <w:r w:rsidRPr="001F3ECC">
        <w:rPr>
          <w:rFonts w:ascii="Times New Roman" w:hAnsi="Times New Roman" w:cs="Times New Roman"/>
          <w:sz w:val="24"/>
          <w:szCs w:val="24"/>
        </w:rPr>
        <w:t xml:space="preserve">, </w:t>
      </w:r>
      <w:r w:rsidRPr="000C4E9D">
        <w:rPr>
          <w:rFonts w:ascii="Times New Roman" w:hAnsi="Times New Roman" w:cs="Times New Roman"/>
          <w:i/>
          <w:iCs/>
          <w:sz w:val="24"/>
          <w:szCs w:val="24"/>
        </w:rPr>
        <w:t>5</w:t>
      </w:r>
      <w:r w:rsidRPr="001F3ECC">
        <w:rPr>
          <w:rFonts w:ascii="Times New Roman" w:hAnsi="Times New Roman" w:cs="Times New Roman"/>
          <w:sz w:val="24"/>
          <w:szCs w:val="24"/>
        </w:rPr>
        <w:t>(1),</w:t>
      </w:r>
      <w:r w:rsidR="000C4E9D">
        <w:rPr>
          <w:rFonts w:ascii="Times New Roman" w:hAnsi="Times New Roman" w:cs="Times New Roman"/>
          <w:sz w:val="24"/>
          <w:szCs w:val="24"/>
        </w:rPr>
        <w:t xml:space="preserve"> </w:t>
      </w:r>
      <w:r w:rsidRPr="001F3ECC">
        <w:rPr>
          <w:rFonts w:ascii="Times New Roman" w:hAnsi="Times New Roman" w:cs="Times New Roman"/>
          <w:sz w:val="24"/>
          <w:szCs w:val="24"/>
        </w:rPr>
        <w:t>171-181.</w:t>
      </w:r>
    </w:p>
    <w:p w14:paraId="1E997521" w14:textId="1EB18DFE"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Guadagni, P. M., &amp; Little, J. D. (2008). A logit model of brand choice calibrated on scanner data. </w:t>
      </w:r>
      <w:r w:rsidRPr="000C4E9D">
        <w:rPr>
          <w:rFonts w:ascii="Times New Roman" w:hAnsi="Times New Roman" w:cs="Times New Roman"/>
          <w:i/>
          <w:iCs/>
          <w:sz w:val="24"/>
          <w:szCs w:val="24"/>
        </w:rPr>
        <w:t>Marketing Science</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27</w:t>
      </w:r>
      <w:r w:rsidRPr="009C1026">
        <w:rPr>
          <w:rFonts w:ascii="Times New Roman" w:hAnsi="Times New Roman" w:cs="Times New Roman"/>
          <w:sz w:val="24"/>
          <w:szCs w:val="24"/>
        </w:rPr>
        <w:t>(1), 29-48.</w:t>
      </w:r>
    </w:p>
    <w:p w14:paraId="002F3FB8"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Hair Jr., J. F., Black, W. C., Babin, B. J., &amp; Anderson, R. E. (2014). </w:t>
      </w:r>
      <w:r w:rsidRPr="000C4E9D">
        <w:rPr>
          <w:rFonts w:ascii="Times New Roman" w:hAnsi="Times New Roman" w:cs="Times New Roman"/>
          <w:i/>
          <w:iCs/>
          <w:sz w:val="24"/>
          <w:szCs w:val="24"/>
        </w:rPr>
        <w:t>Multivariate Data Analysis</w:t>
      </w:r>
      <w:r w:rsidRPr="009C1026">
        <w:rPr>
          <w:rFonts w:ascii="Times New Roman" w:hAnsi="Times New Roman" w:cs="Times New Roman"/>
          <w:sz w:val="24"/>
          <w:szCs w:val="24"/>
        </w:rPr>
        <w:t xml:space="preserve">. Harlow: Pearson Education. </w:t>
      </w:r>
    </w:p>
    <w:p w14:paraId="2FAC2952"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Han, X., Kwortnik Jr, R. J., &amp; Wang, C. (2008). Service loyalty: An integrative model and examination across service contexts. </w:t>
      </w:r>
      <w:r w:rsidRPr="000C4E9D">
        <w:rPr>
          <w:rFonts w:ascii="Times New Roman" w:hAnsi="Times New Roman" w:cs="Times New Roman"/>
          <w:i/>
          <w:iCs/>
          <w:sz w:val="24"/>
          <w:szCs w:val="24"/>
        </w:rPr>
        <w:t>Journal of Service Research</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11</w:t>
      </w:r>
      <w:r w:rsidRPr="009C1026">
        <w:rPr>
          <w:rFonts w:ascii="Times New Roman" w:hAnsi="Times New Roman" w:cs="Times New Roman"/>
          <w:sz w:val="24"/>
          <w:szCs w:val="24"/>
        </w:rPr>
        <w:t>(1), 22-42.</w:t>
      </w:r>
    </w:p>
    <w:p w14:paraId="7ABA0076"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Henderson, C. M., Steinhoff, L., Harmeling, C. M., &amp; Palmatier, R. W. (2021). Customer inertia marketing. </w:t>
      </w:r>
      <w:r w:rsidRPr="000C4E9D">
        <w:rPr>
          <w:rFonts w:ascii="Times New Roman" w:hAnsi="Times New Roman" w:cs="Times New Roman"/>
          <w:i/>
          <w:iCs/>
          <w:sz w:val="24"/>
          <w:szCs w:val="24"/>
        </w:rPr>
        <w:t>Journal of the Academy of Marketing Science</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49</w:t>
      </w:r>
      <w:r w:rsidRPr="009C1026">
        <w:rPr>
          <w:rFonts w:ascii="Times New Roman" w:hAnsi="Times New Roman" w:cs="Times New Roman"/>
          <w:sz w:val="24"/>
          <w:szCs w:val="24"/>
        </w:rPr>
        <w:t>(2), 350-373.</w:t>
      </w:r>
    </w:p>
    <w:p w14:paraId="4CB096A4"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Hennig-Thurau, T., Gwinner, K., &amp; Gremler, D. (2002). Understanding relationship marketing outcomes: An integration of relational benefits and relationship quality. </w:t>
      </w:r>
      <w:r w:rsidRPr="000C4E9D">
        <w:rPr>
          <w:rFonts w:ascii="Times New Roman" w:hAnsi="Times New Roman" w:cs="Times New Roman"/>
          <w:i/>
          <w:iCs/>
          <w:sz w:val="24"/>
          <w:szCs w:val="24"/>
        </w:rPr>
        <w:t>Journal of Service Research</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4</w:t>
      </w:r>
      <w:r w:rsidRPr="009C1026">
        <w:rPr>
          <w:rFonts w:ascii="Times New Roman" w:hAnsi="Times New Roman" w:cs="Times New Roman"/>
          <w:sz w:val="24"/>
          <w:szCs w:val="24"/>
        </w:rPr>
        <w:t xml:space="preserve">(3), 230-247. </w:t>
      </w:r>
    </w:p>
    <w:p w14:paraId="2D900173"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Hillman, R. A. (2006). Online consumer standard-form contracting practices: A survey and discussion of legal implication. In J. K. Winn (Ed.), </w:t>
      </w:r>
      <w:r w:rsidRPr="000C4E9D">
        <w:rPr>
          <w:rFonts w:ascii="Times New Roman" w:hAnsi="Times New Roman" w:cs="Times New Roman"/>
          <w:i/>
          <w:iCs/>
          <w:sz w:val="24"/>
          <w:szCs w:val="24"/>
        </w:rPr>
        <w:t>Consumer Protection in the Age of the Information Economy</w:t>
      </w:r>
      <w:r w:rsidRPr="009C1026">
        <w:rPr>
          <w:rFonts w:ascii="Times New Roman" w:hAnsi="Times New Roman" w:cs="Times New Roman"/>
          <w:sz w:val="24"/>
          <w:szCs w:val="24"/>
        </w:rPr>
        <w:t>, 283-312. Aldershot: Ashgate Press.</w:t>
      </w:r>
    </w:p>
    <w:p w14:paraId="08945386"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Johnen, J. (2019). Automatic-renewal contracts with heterogeneous consumer inertia. </w:t>
      </w:r>
      <w:r w:rsidRPr="000C4E9D">
        <w:rPr>
          <w:rFonts w:ascii="Times New Roman" w:hAnsi="Times New Roman" w:cs="Times New Roman"/>
          <w:i/>
          <w:iCs/>
          <w:sz w:val="24"/>
          <w:szCs w:val="24"/>
        </w:rPr>
        <w:t>Journal of Economics and Management Strategy</w:t>
      </w:r>
      <w:r w:rsidRPr="009C1026">
        <w:rPr>
          <w:rFonts w:ascii="Times New Roman" w:hAnsi="Times New Roman" w:cs="Times New Roman"/>
          <w:sz w:val="24"/>
          <w:szCs w:val="24"/>
        </w:rPr>
        <w:t xml:space="preserve">, </w:t>
      </w:r>
      <w:r w:rsidRPr="000C4E9D">
        <w:rPr>
          <w:rFonts w:ascii="Times New Roman" w:hAnsi="Times New Roman" w:cs="Times New Roman"/>
          <w:i/>
          <w:iCs/>
          <w:sz w:val="24"/>
          <w:szCs w:val="24"/>
        </w:rPr>
        <w:t>28</w:t>
      </w:r>
      <w:r w:rsidRPr="009C1026">
        <w:rPr>
          <w:rFonts w:ascii="Times New Roman" w:hAnsi="Times New Roman" w:cs="Times New Roman"/>
          <w:sz w:val="24"/>
          <w:szCs w:val="24"/>
        </w:rPr>
        <w:t>(4), 765-786.</w:t>
      </w:r>
    </w:p>
    <w:p w14:paraId="3D54FEBE"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Jones, T., &amp; Taylor, S. F. (2007). The conceptual domain of service loyalty: How many dimensions? </w:t>
      </w:r>
      <w:r w:rsidRPr="00B0085B">
        <w:rPr>
          <w:rFonts w:ascii="Times New Roman" w:hAnsi="Times New Roman" w:cs="Times New Roman"/>
          <w:i/>
          <w:iCs/>
          <w:sz w:val="24"/>
          <w:szCs w:val="24"/>
        </w:rPr>
        <w:t>Journal of Services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21</w:t>
      </w:r>
      <w:r w:rsidRPr="009C1026">
        <w:rPr>
          <w:rFonts w:ascii="Times New Roman" w:hAnsi="Times New Roman" w:cs="Times New Roman"/>
          <w:sz w:val="24"/>
          <w:szCs w:val="24"/>
        </w:rPr>
        <w:t>(1), 36-51.</w:t>
      </w:r>
    </w:p>
    <w:p w14:paraId="00BD884F"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Jurisic, B., &amp; Azevedo, A. (2011). Building customer-brand relationships in the mobile communications market: The role of brand tribalism and brand reputation. </w:t>
      </w:r>
      <w:r w:rsidRPr="00B0085B">
        <w:rPr>
          <w:rFonts w:ascii="Times New Roman" w:hAnsi="Times New Roman" w:cs="Times New Roman"/>
          <w:i/>
          <w:iCs/>
          <w:sz w:val="24"/>
          <w:szCs w:val="24"/>
        </w:rPr>
        <w:t>Journal of Brand Management</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18</w:t>
      </w:r>
      <w:r w:rsidRPr="009C1026">
        <w:rPr>
          <w:rFonts w:ascii="Times New Roman" w:hAnsi="Times New Roman" w:cs="Times New Roman"/>
          <w:sz w:val="24"/>
          <w:szCs w:val="24"/>
        </w:rPr>
        <w:t>(4-5), 349-366.</w:t>
      </w:r>
    </w:p>
    <w:p w14:paraId="0FA65190"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Kasabov, E. (2015). What we know, don’t know, and should know about confusion marketing. </w:t>
      </w:r>
      <w:r w:rsidRPr="00B0085B">
        <w:rPr>
          <w:rFonts w:ascii="Times New Roman" w:hAnsi="Times New Roman" w:cs="Times New Roman"/>
          <w:i/>
          <w:iCs/>
          <w:sz w:val="24"/>
          <w:szCs w:val="24"/>
        </w:rPr>
        <w:t>European Journal of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49</w:t>
      </w:r>
      <w:r w:rsidRPr="009C1026">
        <w:rPr>
          <w:rFonts w:ascii="Times New Roman" w:hAnsi="Times New Roman" w:cs="Times New Roman"/>
          <w:sz w:val="24"/>
          <w:szCs w:val="24"/>
        </w:rPr>
        <w:t>(11/12), 1777-1808.</w:t>
      </w:r>
    </w:p>
    <w:p w14:paraId="7A93AE9A"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Kaura, V., Prasad, C. S. D., &amp; Sharma, S. (2015). Service quality, service convenience, price and fairness, customer loyalty, and the mediating role of customer satisfaction. International </w:t>
      </w:r>
      <w:r w:rsidRPr="00B0085B">
        <w:rPr>
          <w:rFonts w:ascii="Times New Roman" w:hAnsi="Times New Roman" w:cs="Times New Roman"/>
          <w:i/>
          <w:iCs/>
          <w:sz w:val="24"/>
          <w:szCs w:val="24"/>
        </w:rPr>
        <w:t>Journal of Bank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33</w:t>
      </w:r>
      <w:r w:rsidRPr="009C1026">
        <w:rPr>
          <w:rFonts w:ascii="Times New Roman" w:hAnsi="Times New Roman" w:cs="Times New Roman"/>
          <w:sz w:val="24"/>
          <w:szCs w:val="24"/>
        </w:rPr>
        <w:t>(4), 404-422.</w:t>
      </w:r>
    </w:p>
    <w:p w14:paraId="0E9E3EB9"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Keh, H. T., &amp; Xie, Y. (2009). Corporate reputation and consumer behavioral intentions: The roles of trust, identification and commitment. </w:t>
      </w:r>
      <w:r w:rsidRPr="00B0085B">
        <w:rPr>
          <w:rFonts w:ascii="Times New Roman" w:hAnsi="Times New Roman" w:cs="Times New Roman"/>
          <w:i/>
          <w:iCs/>
          <w:sz w:val="24"/>
          <w:szCs w:val="24"/>
        </w:rPr>
        <w:t>Industrial Marketing Management</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38</w:t>
      </w:r>
      <w:r w:rsidRPr="009C1026">
        <w:rPr>
          <w:rFonts w:ascii="Times New Roman" w:hAnsi="Times New Roman" w:cs="Times New Roman"/>
          <w:sz w:val="24"/>
          <w:szCs w:val="24"/>
        </w:rPr>
        <w:t>(7), 732-742.</w:t>
      </w:r>
    </w:p>
    <w:p w14:paraId="67D9094F"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Kim, H.-W., Xu, Y., &amp; Gupta, S. (2012). Which is more important in Internet shopping, perceived price or trust? </w:t>
      </w:r>
      <w:r w:rsidRPr="00B0085B">
        <w:rPr>
          <w:rFonts w:ascii="Times New Roman" w:hAnsi="Times New Roman" w:cs="Times New Roman"/>
          <w:i/>
          <w:iCs/>
          <w:sz w:val="24"/>
          <w:szCs w:val="24"/>
        </w:rPr>
        <w:t>Electronic Commerce Research and Applications</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11</w:t>
      </w:r>
      <w:r w:rsidRPr="009C1026">
        <w:rPr>
          <w:rFonts w:ascii="Times New Roman" w:hAnsi="Times New Roman" w:cs="Times New Roman"/>
          <w:sz w:val="24"/>
          <w:szCs w:val="24"/>
        </w:rPr>
        <w:t>(3), 241-252.</w:t>
      </w:r>
    </w:p>
    <w:p w14:paraId="0C470E31"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Kim, P. H., Ferrin, D. L., Cooper, C. D., &amp; Dirks, K. T. (2004). Removing the shadow of suspicion: The effects of apology versus denial for repairing competence-versus integrity-based trust violations. </w:t>
      </w:r>
      <w:r w:rsidRPr="00B0085B">
        <w:rPr>
          <w:rFonts w:ascii="Times New Roman" w:hAnsi="Times New Roman" w:cs="Times New Roman"/>
          <w:i/>
          <w:iCs/>
          <w:sz w:val="24"/>
          <w:szCs w:val="24"/>
        </w:rPr>
        <w:t>Journal of Applied Psychology</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89</w:t>
      </w:r>
      <w:r w:rsidRPr="009C1026">
        <w:rPr>
          <w:rFonts w:ascii="Times New Roman" w:hAnsi="Times New Roman" w:cs="Times New Roman"/>
          <w:sz w:val="24"/>
          <w:szCs w:val="24"/>
        </w:rPr>
        <w:t>(1), 104-118.</w:t>
      </w:r>
    </w:p>
    <w:p w14:paraId="1CF83642"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Kovač, M., &amp; Vandenberghe, A. S. (2015). Regulation of automatic renewal clauses: A behavioural law and economics approach. </w:t>
      </w:r>
      <w:r w:rsidRPr="00B0085B">
        <w:rPr>
          <w:rFonts w:ascii="Times New Roman" w:hAnsi="Times New Roman" w:cs="Times New Roman"/>
          <w:i/>
          <w:iCs/>
          <w:sz w:val="24"/>
          <w:szCs w:val="24"/>
        </w:rPr>
        <w:t>Journal of Consumer Policy</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38</w:t>
      </w:r>
      <w:r w:rsidRPr="009C1026">
        <w:rPr>
          <w:rFonts w:ascii="Times New Roman" w:hAnsi="Times New Roman" w:cs="Times New Roman"/>
          <w:sz w:val="24"/>
          <w:szCs w:val="24"/>
        </w:rPr>
        <w:t>(3), 287-313.</w:t>
      </w:r>
    </w:p>
    <w:p w14:paraId="79464E40" w14:textId="49DE590A" w:rsid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Lam, S. Y., Shankar, V., Erramilli, M. K., &amp; Murthy, B. (2004). Customer value, satisfaction, loyalty, and switching costs: An illustration from a business-to-business service context. </w:t>
      </w:r>
      <w:r w:rsidRPr="00B0085B">
        <w:rPr>
          <w:rFonts w:ascii="Times New Roman" w:hAnsi="Times New Roman" w:cs="Times New Roman"/>
          <w:i/>
          <w:iCs/>
          <w:sz w:val="24"/>
          <w:szCs w:val="24"/>
        </w:rPr>
        <w:t>Journal of the Academy of Marketing Science</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32</w:t>
      </w:r>
      <w:r w:rsidRPr="009C1026">
        <w:rPr>
          <w:rFonts w:ascii="Times New Roman" w:hAnsi="Times New Roman" w:cs="Times New Roman"/>
          <w:sz w:val="24"/>
          <w:szCs w:val="24"/>
        </w:rPr>
        <w:t>(3), 293-311.</w:t>
      </w:r>
    </w:p>
    <w:p w14:paraId="720A9EF5" w14:textId="7000D2DE" w:rsidR="00E440E5" w:rsidRPr="009C1026" w:rsidRDefault="00E440E5" w:rsidP="00733B5D">
      <w:pPr>
        <w:tabs>
          <w:tab w:val="left" w:pos="180"/>
        </w:tabs>
        <w:spacing w:line="240" w:lineRule="auto"/>
        <w:ind w:left="360" w:hanging="360"/>
        <w:jc w:val="both"/>
        <w:rPr>
          <w:rFonts w:ascii="Times New Roman" w:hAnsi="Times New Roman" w:cs="Times New Roman"/>
          <w:sz w:val="24"/>
          <w:szCs w:val="24"/>
        </w:rPr>
      </w:pPr>
      <w:r w:rsidRPr="00E440E5">
        <w:rPr>
          <w:rFonts w:ascii="Times New Roman" w:hAnsi="Times New Roman" w:cs="Times New Roman"/>
          <w:sz w:val="24"/>
          <w:szCs w:val="24"/>
        </w:rPr>
        <w:t xml:space="preserve">Laroche, M., McDougall, G.H., Bergeron, J. and Yang, Z., 2004. Exploring how intangibility affects perceived risk. </w:t>
      </w:r>
      <w:r w:rsidRPr="00B0085B">
        <w:rPr>
          <w:rFonts w:ascii="Times New Roman" w:hAnsi="Times New Roman" w:cs="Times New Roman"/>
          <w:i/>
          <w:iCs/>
          <w:sz w:val="24"/>
          <w:szCs w:val="24"/>
        </w:rPr>
        <w:t>Journal of Service Research</w:t>
      </w:r>
      <w:r w:rsidRPr="00E440E5">
        <w:rPr>
          <w:rFonts w:ascii="Times New Roman" w:hAnsi="Times New Roman" w:cs="Times New Roman"/>
          <w:sz w:val="24"/>
          <w:szCs w:val="24"/>
        </w:rPr>
        <w:t xml:space="preserve">, </w:t>
      </w:r>
      <w:r w:rsidRPr="00B0085B">
        <w:rPr>
          <w:rFonts w:ascii="Times New Roman" w:hAnsi="Times New Roman" w:cs="Times New Roman"/>
          <w:i/>
          <w:iCs/>
          <w:sz w:val="24"/>
          <w:szCs w:val="24"/>
        </w:rPr>
        <w:t>6</w:t>
      </w:r>
      <w:r w:rsidRPr="00E440E5">
        <w:rPr>
          <w:rFonts w:ascii="Times New Roman" w:hAnsi="Times New Roman" w:cs="Times New Roman"/>
          <w:sz w:val="24"/>
          <w:szCs w:val="24"/>
        </w:rPr>
        <w:t>(4), 373-389.</w:t>
      </w:r>
    </w:p>
    <w:p w14:paraId="1E0212D7"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Lee, J. J., Capella, M. L., Taylor, C. R., &amp; Gabler, C. B. (2014). The financial impact of loyalty programs in the hotel industry: A social exchange theory perspective. </w:t>
      </w:r>
      <w:r w:rsidRPr="00B0085B">
        <w:rPr>
          <w:rFonts w:ascii="Times New Roman" w:hAnsi="Times New Roman" w:cs="Times New Roman"/>
          <w:i/>
          <w:iCs/>
          <w:sz w:val="24"/>
          <w:szCs w:val="24"/>
        </w:rPr>
        <w:t>Journal of Business Research</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67</w:t>
      </w:r>
      <w:r w:rsidRPr="009C1026">
        <w:rPr>
          <w:rFonts w:ascii="Times New Roman" w:hAnsi="Times New Roman" w:cs="Times New Roman"/>
          <w:sz w:val="24"/>
          <w:szCs w:val="24"/>
        </w:rPr>
        <w:t>(10), 2139-2146.</w:t>
      </w:r>
    </w:p>
    <w:p w14:paraId="509979DA"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Lee, M., &amp; Cunningham, L. F. (2001). A cost/benefit approach to understanding service loyalty. </w:t>
      </w:r>
      <w:r w:rsidRPr="00B0085B">
        <w:rPr>
          <w:rFonts w:ascii="Times New Roman" w:hAnsi="Times New Roman" w:cs="Times New Roman"/>
          <w:i/>
          <w:iCs/>
          <w:sz w:val="24"/>
          <w:szCs w:val="24"/>
        </w:rPr>
        <w:t>Journal of Services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15</w:t>
      </w:r>
      <w:r w:rsidRPr="009C1026">
        <w:rPr>
          <w:rFonts w:ascii="Times New Roman" w:hAnsi="Times New Roman" w:cs="Times New Roman"/>
          <w:sz w:val="24"/>
          <w:szCs w:val="24"/>
        </w:rPr>
        <w:t>(2), 113-130.</w:t>
      </w:r>
    </w:p>
    <w:p w14:paraId="1AF973A2"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Martínez, P., &amp; del Bosque, I. R. (2013). CSR and consumer loyalty: The roles of trust, consumer identification with the company and satisfaction. </w:t>
      </w:r>
      <w:r w:rsidRPr="00B0085B">
        <w:rPr>
          <w:rFonts w:ascii="Times New Roman" w:hAnsi="Times New Roman" w:cs="Times New Roman"/>
          <w:i/>
          <w:iCs/>
          <w:sz w:val="24"/>
          <w:szCs w:val="24"/>
        </w:rPr>
        <w:t>International Journal of Hospitality Management</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35</w:t>
      </w:r>
      <w:r w:rsidRPr="009C1026">
        <w:rPr>
          <w:rFonts w:ascii="Times New Roman" w:hAnsi="Times New Roman" w:cs="Times New Roman"/>
          <w:sz w:val="24"/>
          <w:szCs w:val="24"/>
        </w:rPr>
        <w:t>(December 2013), 89-99.</w:t>
      </w:r>
    </w:p>
    <w:p w14:paraId="1ADC3461"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Morgan, R. M., &amp; Hunt, S. D. (1994). The commitment-trust theory of relationship marketing. </w:t>
      </w:r>
      <w:r w:rsidRPr="00B0085B">
        <w:rPr>
          <w:rFonts w:ascii="Times New Roman" w:hAnsi="Times New Roman" w:cs="Times New Roman"/>
          <w:i/>
          <w:iCs/>
          <w:sz w:val="24"/>
          <w:szCs w:val="24"/>
        </w:rPr>
        <w:t>Journal of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58</w:t>
      </w:r>
      <w:r w:rsidRPr="009C1026">
        <w:rPr>
          <w:rFonts w:ascii="Times New Roman" w:hAnsi="Times New Roman" w:cs="Times New Roman"/>
          <w:sz w:val="24"/>
          <w:szCs w:val="24"/>
        </w:rPr>
        <w:t>(3), 20-38.</w:t>
      </w:r>
    </w:p>
    <w:p w14:paraId="74605C99"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Murooka, T., &amp; Schwarz, M. A. (2019). Consumer exploitation and notice periods. </w:t>
      </w:r>
      <w:r w:rsidRPr="00B0085B">
        <w:rPr>
          <w:rFonts w:ascii="Times New Roman" w:hAnsi="Times New Roman" w:cs="Times New Roman"/>
          <w:i/>
          <w:iCs/>
          <w:sz w:val="24"/>
          <w:szCs w:val="24"/>
        </w:rPr>
        <w:t>Economics Letters</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174</w:t>
      </w:r>
      <w:r w:rsidRPr="009C1026">
        <w:rPr>
          <w:rFonts w:ascii="Times New Roman" w:hAnsi="Times New Roman" w:cs="Times New Roman"/>
          <w:sz w:val="24"/>
          <w:szCs w:val="24"/>
        </w:rPr>
        <w:t>(January 2019), 89-92.</w:t>
      </w:r>
    </w:p>
    <w:p w14:paraId="2FCD4E3F"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O’Donoghue, T., &amp; Rabin, M. (2001). Choice and procrastination. </w:t>
      </w:r>
      <w:r w:rsidRPr="00B0085B">
        <w:rPr>
          <w:rFonts w:ascii="Times New Roman" w:hAnsi="Times New Roman" w:cs="Times New Roman"/>
          <w:i/>
          <w:iCs/>
          <w:sz w:val="24"/>
          <w:szCs w:val="24"/>
        </w:rPr>
        <w:t>The Quarterly Journal of Economics</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116</w:t>
      </w:r>
      <w:r w:rsidRPr="009C1026">
        <w:rPr>
          <w:rFonts w:ascii="Times New Roman" w:hAnsi="Times New Roman" w:cs="Times New Roman"/>
          <w:sz w:val="24"/>
          <w:szCs w:val="24"/>
        </w:rPr>
        <w:t>(1), 121-160.</w:t>
      </w:r>
    </w:p>
    <w:p w14:paraId="723F99AE"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Pandey, N., Tripathi, A., Jain, D., &amp; Roy, S. (2020). Does price tolerance depend upon the type of product in e-retailing? Role of customer satisfaction, trust, loyalty, and perceived value. </w:t>
      </w:r>
      <w:r w:rsidRPr="00B0085B">
        <w:rPr>
          <w:rFonts w:ascii="Times New Roman" w:hAnsi="Times New Roman" w:cs="Times New Roman"/>
          <w:i/>
          <w:iCs/>
          <w:sz w:val="24"/>
          <w:szCs w:val="24"/>
        </w:rPr>
        <w:t>Journal of Strategic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28</w:t>
      </w:r>
      <w:r w:rsidRPr="009C1026">
        <w:rPr>
          <w:rFonts w:ascii="Times New Roman" w:hAnsi="Times New Roman" w:cs="Times New Roman"/>
          <w:sz w:val="24"/>
          <w:szCs w:val="24"/>
        </w:rPr>
        <w:t>(6), 522-541.</w:t>
      </w:r>
    </w:p>
    <w:p w14:paraId="0CF79D67" w14:textId="7AAF642E" w:rsid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Peachey, K. (2018). Insurer ‘made money from my loyalty’. BBC News, 19 December 2018, retrieved from </w:t>
      </w:r>
      <w:hyperlink r:id="rId12" w:history="1">
        <w:r w:rsidR="005F3742" w:rsidRPr="00404A79">
          <w:rPr>
            <w:rStyle w:val="Hyperlink"/>
            <w:rFonts w:ascii="Times New Roman" w:hAnsi="Times New Roman" w:cs="Times New Roman"/>
            <w:sz w:val="24"/>
            <w:szCs w:val="24"/>
          </w:rPr>
          <w:t>https://www.bbc.co.uk/news/business-46596162</w:t>
        </w:r>
      </w:hyperlink>
      <w:r w:rsidRPr="009C1026">
        <w:rPr>
          <w:rFonts w:ascii="Times New Roman" w:hAnsi="Times New Roman" w:cs="Times New Roman"/>
          <w:sz w:val="24"/>
          <w:szCs w:val="24"/>
        </w:rPr>
        <w:t>.</w:t>
      </w:r>
    </w:p>
    <w:p w14:paraId="5C57EC1D" w14:textId="46ADCD4C" w:rsidR="005F3742" w:rsidRPr="009C1026" w:rsidRDefault="005F3742" w:rsidP="00733B5D">
      <w:pPr>
        <w:spacing w:line="240" w:lineRule="auto"/>
        <w:ind w:left="360" w:hanging="360"/>
        <w:jc w:val="both"/>
        <w:rPr>
          <w:rFonts w:ascii="Times New Roman" w:hAnsi="Times New Roman" w:cs="Times New Roman"/>
          <w:sz w:val="24"/>
          <w:szCs w:val="24"/>
        </w:rPr>
      </w:pPr>
      <w:r w:rsidRPr="005F3742">
        <w:rPr>
          <w:rFonts w:ascii="Times New Roman" w:hAnsi="Times New Roman" w:cs="Times New Roman"/>
          <w:sz w:val="24"/>
          <w:szCs w:val="24"/>
        </w:rPr>
        <w:t xml:space="preserve">Podsakoff, P. M., MacKenzie, S. B., Lee, J.-Y., &amp; Podsakoff, N. P. (2003). Common method biases in behavioral research: A critical review of the literature and recommended remedies. </w:t>
      </w:r>
      <w:r w:rsidRPr="00B0085B">
        <w:rPr>
          <w:rFonts w:ascii="Times New Roman" w:hAnsi="Times New Roman" w:cs="Times New Roman"/>
          <w:i/>
          <w:iCs/>
          <w:sz w:val="24"/>
          <w:szCs w:val="24"/>
        </w:rPr>
        <w:t>Journal of Applied Psychology</w:t>
      </w:r>
      <w:r w:rsidRPr="005F3742">
        <w:rPr>
          <w:rFonts w:ascii="Times New Roman" w:hAnsi="Times New Roman" w:cs="Times New Roman"/>
          <w:sz w:val="24"/>
          <w:szCs w:val="24"/>
        </w:rPr>
        <w:t xml:space="preserve">, </w:t>
      </w:r>
      <w:r w:rsidRPr="00B0085B">
        <w:rPr>
          <w:rFonts w:ascii="Times New Roman" w:hAnsi="Times New Roman" w:cs="Times New Roman"/>
          <w:i/>
          <w:iCs/>
          <w:sz w:val="24"/>
          <w:szCs w:val="24"/>
        </w:rPr>
        <w:t>88</w:t>
      </w:r>
      <w:r w:rsidRPr="005F3742">
        <w:rPr>
          <w:rFonts w:ascii="Times New Roman" w:hAnsi="Times New Roman" w:cs="Times New Roman"/>
          <w:sz w:val="24"/>
          <w:szCs w:val="24"/>
        </w:rPr>
        <w:t>(5), 879–903.</w:t>
      </w:r>
    </w:p>
    <w:p w14:paraId="125E2F32"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Roig, J. C. F., Garcia, J. S., Tena, M. A. M., &amp; Monzonis, J. L. (2006). Consumer perceived value in banking services. </w:t>
      </w:r>
      <w:r w:rsidRPr="00B0085B">
        <w:rPr>
          <w:rFonts w:ascii="Times New Roman" w:hAnsi="Times New Roman" w:cs="Times New Roman"/>
          <w:i/>
          <w:iCs/>
          <w:sz w:val="24"/>
          <w:szCs w:val="24"/>
        </w:rPr>
        <w:t>International Journal of Bank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24</w:t>
      </w:r>
      <w:r w:rsidRPr="009C1026">
        <w:rPr>
          <w:rFonts w:ascii="Times New Roman" w:hAnsi="Times New Roman" w:cs="Times New Roman"/>
          <w:sz w:val="24"/>
          <w:szCs w:val="24"/>
        </w:rPr>
        <w:t>(5), 266-283.</w:t>
      </w:r>
    </w:p>
    <w:p w14:paraId="752247DC"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Ru, H., &amp; Schoar, A. (2016). Do Credit Card Companies Screen for Behavioural Biases? Working Paper 22360. Cambridge, MA: National Bureau of Economic Research.</w:t>
      </w:r>
    </w:p>
    <w:p w14:paraId="0DA44BE5"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Saroha, R., &amp; Diwan, S. P. (2020). Development of an empirical framework of customer loyalty in the mobile telecommunications sector. </w:t>
      </w:r>
      <w:r w:rsidRPr="00B0085B">
        <w:rPr>
          <w:rFonts w:ascii="Times New Roman" w:hAnsi="Times New Roman" w:cs="Times New Roman"/>
          <w:i/>
          <w:iCs/>
          <w:sz w:val="24"/>
          <w:szCs w:val="24"/>
        </w:rPr>
        <w:t>Journal of Strategic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28</w:t>
      </w:r>
      <w:r w:rsidRPr="009C1026">
        <w:rPr>
          <w:rFonts w:ascii="Times New Roman" w:hAnsi="Times New Roman" w:cs="Times New Roman"/>
          <w:sz w:val="24"/>
          <w:szCs w:val="24"/>
        </w:rPr>
        <w:t>(8), 659-680.</w:t>
      </w:r>
    </w:p>
    <w:p w14:paraId="730043E4"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Schlosser, A. E., White, T. B., &amp; Lloyd, S (2006). Converting web site visitors into buyers: How web site investment increases consumer trusting beliefs and online purchase intentions. </w:t>
      </w:r>
      <w:r w:rsidRPr="00B0085B">
        <w:rPr>
          <w:rFonts w:ascii="Times New Roman" w:hAnsi="Times New Roman" w:cs="Times New Roman"/>
          <w:i/>
          <w:iCs/>
          <w:sz w:val="24"/>
          <w:szCs w:val="24"/>
        </w:rPr>
        <w:t>Journal of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70</w:t>
      </w:r>
      <w:r w:rsidRPr="009C1026">
        <w:rPr>
          <w:rFonts w:ascii="Times New Roman" w:hAnsi="Times New Roman" w:cs="Times New Roman"/>
          <w:sz w:val="24"/>
          <w:szCs w:val="24"/>
        </w:rPr>
        <w:t>(2), 133-148.</w:t>
      </w:r>
    </w:p>
    <w:p w14:paraId="6C396867"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Seiders, K., Voss, G. B., Godfrey, A. L., &amp; Grewal, D. (2007). SERVCON: Development and validation of a multidimensional service convenience scale. </w:t>
      </w:r>
      <w:r w:rsidRPr="00B0085B">
        <w:rPr>
          <w:rFonts w:ascii="Times New Roman" w:hAnsi="Times New Roman" w:cs="Times New Roman"/>
          <w:i/>
          <w:iCs/>
          <w:sz w:val="24"/>
          <w:szCs w:val="24"/>
        </w:rPr>
        <w:t>Journal of the Academy of Marketing Science</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35</w:t>
      </w:r>
      <w:r w:rsidRPr="009C1026">
        <w:rPr>
          <w:rFonts w:ascii="Times New Roman" w:hAnsi="Times New Roman" w:cs="Times New Roman"/>
          <w:sz w:val="24"/>
          <w:szCs w:val="24"/>
        </w:rPr>
        <w:t>(1), 144-156.</w:t>
      </w:r>
    </w:p>
    <w:p w14:paraId="1DE4F67F"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Sichtmann, C. (2007). An analysis of antecedents and consequences of trust in a corporate brand. </w:t>
      </w:r>
      <w:r w:rsidRPr="00B0085B">
        <w:rPr>
          <w:rFonts w:ascii="Times New Roman" w:hAnsi="Times New Roman" w:cs="Times New Roman"/>
          <w:i/>
          <w:iCs/>
          <w:sz w:val="24"/>
          <w:szCs w:val="24"/>
        </w:rPr>
        <w:t>European Journal of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41</w:t>
      </w:r>
      <w:r w:rsidRPr="009C1026">
        <w:rPr>
          <w:rFonts w:ascii="Times New Roman" w:hAnsi="Times New Roman" w:cs="Times New Roman"/>
          <w:sz w:val="24"/>
          <w:szCs w:val="24"/>
        </w:rPr>
        <w:t>(9/10), 999-1015.</w:t>
      </w:r>
    </w:p>
    <w:p w14:paraId="731D65DE"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Sirohi, N., McLaughlin, E. W., &amp; Wittink, D. R. (1998). A model of consumer perceptions and store loyalty intentions for a supermarket retailer. </w:t>
      </w:r>
      <w:r w:rsidRPr="00B0085B">
        <w:rPr>
          <w:rFonts w:ascii="Times New Roman" w:hAnsi="Times New Roman" w:cs="Times New Roman"/>
          <w:i/>
          <w:iCs/>
          <w:sz w:val="24"/>
          <w:szCs w:val="24"/>
        </w:rPr>
        <w:t>Journal of Retailing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74</w:t>
      </w:r>
      <w:r w:rsidRPr="009C1026">
        <w:rPr>
          <w:rFonts w:ascii="Times New Roman" w:hAnsi="Times New Roman" w:cs="Times New Roman"/>
          <w:sz w:val="24"/>
          <w:szCs w:val="24"/>
        </w:rPr>
        <w:t>(2), 223-245.</w:t>
      </w:r>
    </w:p>
    <w:p w14:paraId="49D9F0AE"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Sovern, J. (2006). Toward a new model of consumer protection: The problem of inflated transaction costs. </w:t>
      </w:r>
      <w:r w:rsidRPr="00B0085B">
        <w:rPr>
          <w:rFonts w:ascii="Times New Roman" w:hAnsi="Times New Roman" w:cs="Times New Roman"/>
          <w:i/>
          <w:iCs/>
          <w:sz w:val="24"/>
          <w:szCs w:val="24"/>
        </w:rPr>
        <w:t>William and Mary Law Review</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47</w:t>
      </w:r>
      <w:r w:rsidRPr="009C1026">
        <w:rPr>
          <w:rFonts w:ascii="Times New Roman" w:hAnsi="Times New Roman" w:cs="Times New Roman"/>
          <w:sz w:val="24"/>
          <w:szCs w:val="24"/>
        </w:rPr>
        <w:t>(5), 1635-1709.</w:t>
      </w:r>
    </w:p>
    <w:p w14:paraId="48F326F1"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Srinivasan, S. S., Anderson, R., &amp; Ponnavolu, K. (2002). Consumer loyalty in e-commerce: An exploration of its antecedents and consequences. </w:t>
      </w:r>
      <w:r w:rsidRPr="00B0085B">
        <w:rPr>
          <w:rFonts w:ascii="Times New Roman" w:hAnsi="Times New Roman" w:cs="Times New Roman"/>
          <w:i/>
          <w:iCs/>
          <w:sz w:val="24"/>
          <w:szCs w:val="24"/>
        </w:rPr>
        <w:t>Journal of Retailing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78</w:t>
      </w:r>
      <w:r w:rsidRPr="009C1026">
        <w:rPr>
          <w:rFonts w:ascii="Times New Roman" w:hAnsi="Times New Roman" w:cs="Times New Roman"/>
          <w:sz w:val="24"/>
          <w:szCs w:val="24"/>
        </w:rPr>
        <w:t>(1), 41-50.</w:t>
      </w:r>
    </w:p>
    <w:p w14:paraId="3329BC53"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Sweeney, J. C., &amp; Soutar, G. N. (2001). Consumer perceived value: The development of a multiple item scale. </w:t>
      </w:r>
      <w:r w:rsidRPr="00B0085B">
        <w:rPr>
          <w:rFonts w:ascii="Times New Roman" w:hAnsi="Times New Roman" w:cs="Times New Roman"/>
          <w:i/>
          <w:iCs/>
          <w:sz w:val="24"/>
          <w:szCs w:val="24"/>
        </w:rPr>
        <w:t>Journal of Retailing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77</w:t>
      </w:r>
      <w:r w:rsidRPr="009C1026">
        <w:rPr>
          <w:rFonts w:ascii="Times New Roman" w:hAnsi="Times New Roman" w:cs="Times New Roman"/>
          <w:sz w:val="24"/>
          <w:szCs w:val="24"/>
        </w:rPr>
        <w:t>(2), 203-220.</w:t>
      </w:r>
    </w:p>
    <w:p w14:paraId="72AF4F9E"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Tanford, S., Raab, C., &amp; Kim, Y.-S. (2011). The influence of reward program membership and commitment on hotel loyalty. </w:t>
      </w:r>
      <w:r w:rsidRPr="00B0085B">
        <w:rPr>
          <w:rFonts w:ascii="Times New Roman" w:hAnsi="Times New Roman" w:cs="Times New Roman"/>
          <w:i/>
          <w:iCs/>
          <w:sz w:val="24"/>
          <w:szCs w:val="24"/>
        </w:rPr>
        <w:t>Journal of Hospitality and Tourism Research</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35</w:t>
      </w:r>
      <w:r w:rsidRPr="009C1026">
        <w:rPr>
          <w:rFonts w:ascii="Times New Roman" w:hAnsi="Times New Roman" w:cs="Times New Roman"/>
          <w:sz w:val="24"/>
          <w:szCs w:val="24"/>
        </w:rPr>
        <w:t>(3), 279-307.</w:t>
      </w:r>
    </w:p>
    <w:p w14:paraId="4A8E4E05"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Tellis, G. J., &amp; Gaeth, G. J. (1990). Best value, price-seeking, and price aversion: The impact of information and learning on consumer choices. </w:t>
      </w:r>
      <w:r w:rsidRPr="00B0085B">
        <w:rPr>
          <w:rFonts w:ascii="Times New Roman" w:hAnsi="Times New Roman" w:cs="Times New Roman"/>
          <w:i/>
          <w:iCs/>
          <w:sz w:val="24"/>
          <w:szCs w:val="24"/>
        </w:rPr>
        <w:t>Journal of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54</w:t>
      </w:r>
      <w:r w:rsidRPr="009C1026">
        <w:rPr>
          <w:rFonts w:ascii="Times New Roman" w:hAnsi="Times New Roman" w:cs="Times New Roman"/>
          <w:sz w:val="24"/>
          <w:szCs w:val="24"/>
        </w:rPr>
        <w:t>(2), 34-45.</w:t>
      </w:r>
    </w:p>
    <w:p w14:paraId="5053E5C4"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Thuy, P. N. (2011). Using service convenience to reduce perceived cost. </w:t>
      </w:r>
      <w:r w:rsidRPr="00B0085B">
        <w:rPr>
          <w:rFonts w:ascii="Times New Roman" w:hAnsi="Times New Roman" w:cs="Times New Roman"/>
          <w:i/>
          <w:iCs/>
          <w:sz w:val="24"/>
          <w:szCs w:val="24"/>
        </w:rPr>
        <w:t>Marketing Intelligence and Planning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29</w:t>
      </w:r>
      <w:r w:rsidRPr="009C1026">
        <w:rPr>
          <w:rFonts w:ascii="Times New Roman" w:hAnsi="Times New Roman" w:cs="Times New Roman"/>
          <w:sz w:val="24"/>
          <w:szCs w:val="24"/>
        </w:rPr>
        <w:t>(5), 473-487.</w:t>
      </w:r>
    </w:p>
    <w:p w14:paraId="3DA262C6"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Umashankar, N., Bhagwat, Y., &amp; Kumar, V. (2017). Do loyal consumers really pay more for services? </w:t>
      </w:r>
      <w:r w:rsidRPr="00B0085B">
        <w:rPr>
          <w:rFonts w:ascii="Times New Roman" w:hAnsi="Times New Roman" w:cs="Times New Roman"/>
          <w:i/>
          <w:iCs/>
          <w:sz w:val="24"/>
          <w:szCs w:val="24"/>
        </w:rPr>
        <w:t>Journal of the Academy of Marketing Science</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45</w:t>
      </w:r>
      <w:r w:rsidRPr="009C1026">
        <w:rPr>
          <w:rFonts w:ascii="Times New Roman" w:hAnsi="Times New Roman" w:cs="Times New Roman"/>
          <w:sz w:val="24"/>
          <w:szCs w:val="24"/>
        </w:rPr>
        <w:t>(6), 807-826.</w:t>
      </w:r>
    </w:p>
    <w:p w14:paraId="19B42637" w14:textId="6D98ECD7" w:rsid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Walsh, G., &amp; Beatty, S. E. (2007). Consumer-based corporate reputation of a service firm: Scale development and validation. </w:t>
      </w:r>
      <w:r w:rsidRPr="00B0085B">
        <w:rPr>
          <w:rFonts w:ascii="Times New Roman" w:hAnsi="Times New Roman" w:cs="Times New Roman"/>
          <w:i/>
          <w:iCs/>
          <w:sz w:val="24"/>
          <w:szCs w:val="24"/>
        </w:rPr>
        <w:t>Journal of the Academy of Marketing Science</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35</w:t>
      </w:r>
      <w:r w:rsidRPr="009C1026">
        <w:rPr>
          <w:rFonts w:ascii="Times New Roman" w:hAnsi="Times New Roman" w:cs="Times New Roman"/>
          <w:sz w:val="24"/>
          <w:szCs w:val="24"/>
        </w:rPr>
        <w:t>(1), 127-143.</w:t>
      </w:r>
    </w:p>
    <w:p w14:paraId="1EC2D31E" w14:textId="6F03AD35" w:rsidR="0013639B" w:rsidRPr="009C1026" w:rsidRDefault="0013639B" w:rsidP="00733B5D">
      <w:pPr>
        <w:spacing w:line="240" w:lineRule="auto"/>
        <w:ind w:left="360" w:hanging="360"/>
        <w:jc w:val="both"/>
        <w:rPr>
          <w:rFonts w:ascii="Times New Roman" w:hAnsi="Times New Roman" w:cs="Times New Roman"/>
          <w:sz w:val="24"/>
          <w:szCs w:val="24"/>
        </w:rPr>
      </w:pPr>
      <w:r w:rsidRPr="0013639B">
        <w:rPr>
          <w:rFonts w:ascii="Times New Roman" w:hAnsi="Times New Roman" w:cs="Times New Roman"/>
          <w:sz w:val="24"/>
          <w:szCs w:val="24"/>
        </w:rPr>
        <w:t xml:space="preserve">Walsh, G., Shiu, E., Hassan, L.M., Michaelidou, N. and Beatty, S.E., </w:t>
      </w:r>
      <w:r>
        <w:rPr>
          <w:rFonts w:ascii="Times New Roman" w:hAnsi="Times New Roman" w:cs="Times New Roman"/>
          <w:sz w:val="24"/>
          <w:szCs w:val="24"/>
        </w:rPr>
        <w:t>(</w:t>
      </w:r>
      <w:r w:rsidRPr="0013639B">
        <w:rPr>
          <w:rFonts w:ascii="Times New Roman" w:hAnsi="Times New Roman" w:cs="Times New Roman"/>
          <w:sz w:val="24"/>
          <w:szCs w:val="24"/>
        </w:rPr>
        <w:t>2011</w:t>
      </w:r>
      <w:r>
        <w:rPr>
          <w:rFonts w:ascii="Times New Roman" w:hAnsi="Times New Roman" w:cs="Times New Roman"/>
          <w:sz w:val="24"/>
          <w:szCs w:val="24"/>
        </w:rPr>
        <w:t>)</w:t>
      </w:r>
      <w:r w:rsidRPr="0013639B">
        <w:rPr>
          <w:rFonts w:ascii="Times New Roman" w:hAnsi="Times New Roman" w:cs="Times New Roman"/>
          <w:sz w:val="24"/>
          <w:szCs w:val="24"/>
        </w:rPr>
        <w:t xml:space="preserve">. Emotions, store-environmental cues, store-choice criteria, and marketing outcomes. </w:t>
      </w:r>
      <w:r w:rsidRPr="00B0085B">
        <w:rPr>
          <w:rFonts w:ascii="Times New Roman" w:hAnsi="Times New Roman" w:cs="Times New Roman"/>
          <w:i/>
          <w:iCs/>
          <w:sz w:val="24"/>
          <w:szCs w:val="24"/>
        </w:rPr>
        <w:t>Journal of Business Research</w:t>
      </w:r>
      <w:r w:rsidRPr="0013639B">
        <w:rPr>
          <w:rFonts w:ascii="Times New Roman" w:hAnsi="Times New Roman" w:cs="Times New Roman"/>
          <w:sz w:val="24"/>
          <w:szCs w:val="24"/>
        </w:rPr>
        <w:t xml:space="preserve">, </w:t>
      </w:r>
      <w:r w:rsidRPr="00B0085B">
        <w:rPr>
          <w:rFonts w:ascii="Times New Roman" w:hAnsi="Times New Roman" w:cs="Times New Roman"/>
          <w:i/>
          <w:iCs/>
          <w:sz w:val="24"/>
          <w:szCs w:val="24"/>
        </w:rPr>
        <w:t>64</w:t>
      </w:r>
      <w:r w:rsidRPr="0013639B">
        <w:rPr>
          <w:rFonts w:ascii="Times New Roman" w:hAnsi="Times New Roman" w:cs="Times New Roman"/>
          <w:sz w:val="24"/>
          <w:szCs w:val="24"/>
        </w:rPr>
        <w:t>(7), 737-744.</w:t>
      </w:r>
    </w:p>
    <w:p w14:paraId="2F2ACF1E"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Watson, G. F., Beck, J. T., Henderson, C. M., &amp; Palmatier, R. W. (2015). Building, measuring, and profiting from customer loyalty. </w:t>
      </w:r>
      <w:r w:rsidRPr="00B0085B">
        <w:rPr>
          <w:rFonts w:ascii="Times New Roman" w:hAnsi="Times New Roman" w:cs="Times New Roman"/>
          <w:i/>
          <w:iCs/>
          <w:sz w:val="24"/>
          <w:szCs w:val="24"/>
        </w:rPr>
        <w:t>Journal of the Academy of Marketing Science</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43</w:t>
      </w:r>
      <w:r w:rsidRPr="009C1026">
        <w:rPr>
          <w:rFonts w:ascii="Times New Roman" w:hAnsi="Times New Roman" w:cs="Times New Roman"/>
          <w:sz w:val="24"/>
          <w:szCs w:val="24"/>
        </w:rPr>
        <w:t>(6),790-825.</w:t>
      </w:r>
    </w:p>
    <w:p w14:paraId="1685B3E3"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Wieseke, J., Alavi, S., &amp; Habel, J. (2014). Willing to pay more, eager to pay less: The role of consumer loyalty in price negotiations. </w:t>
      </w:r>
      <w:r w:rsidRPr="00B0085B">
        <w:rPr>
          <w:rFonts w:ascii="Times New Roman" w:hAnsi="Times New Roman" w:cs="Times New Roman"/>
          <w:i/>
          <w:iCs/>
          <w:sz w:val="24"/>
          <w:szCs w:val="24"/>
        </w:rPr>
        <w:t>Journal of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78</w:t>
      </w:r>
      <w:r w:rsidRPr="009C1026">
        <w:rPr>
          <w:rFonts w:ascii="Times New Roman" w:hAnsi="Times New Roman" w:cs="Times New Roman"/>
          <w:sz w:val="24"/>
          <w:szCs w:val="24"/>
        </w:rPr>
        <w:t>(6), 17-37.</w:t>
      </w:r>
    </w:p>
    <w:p w14:paraId="2252DB44" w14:textId="7D7CAF53"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Wilkins, S., &amp; Ireland, J. J. (2020). FMCG firms’ margin management: Consumer trade-offs among product price, quantity and quality. </w:t>
      </w:r>
      <w:r w:rsidRPr="00B0085B">
        <w:rPr>
          <w:rFonts w:ascii="Times New Roman" w:hAnsi="Times New Roman" w:cs="Times New Roman"/>
          <w:i/>
          <w:iCs/>
          <w:sz w:val="24"/>
          <w:szCs w:val="24"/>
        </w:rPr>
        <w:t>Journal of Strategic Marketing</w:t>
      </w:r>
      <w:r w:rsidRPr="009C1026">
        <w:rPr>
          <w:rFonts w:ascii="Times New Roman" w:hAnsi="Times New Roman" w:cs="Times New Roman"/>
          <w:sz w:val="24"/>
          <w:szCs w:val="24"/>
        </w:rPr>
        <w:t>, published online on 18th November 2020</w:t>
      </w:r>
      <w:r w:rsidR="00B0085B">
        <w:rPr>
          <w:rFonts w:ascii="Times New Roman" w:hAnsi="Times New Roman" w:cs="Times New Roman"/>
          <w:sz w:val="24"/>
          <w:szCs w:val="24"/>
        </w:rPr>
        <w:t xml:space="preserve">, doi: </w:t>
      </w:r>
      <w:r w:rsidR="00B0085B" w:rsidRPr="00B0085B">
        <w:rPr>
          <w:rFonts w:ascii="Times New Roman" w:hAnsi="Times New Roman" w:cs="Times New Roman"/>
          <w:sz w:val="24"/>
          <w:szCs w:val="24"/>
        </w:rPr>
        <w:t>10.1080/0965254X.2020.1849362</w:t>
      </w:r>
      <w:r w:rsidR="00B0085B">
        <w:rPr>
          <w:rFonts w:ascii="Times New Roman" w:hAnsi="Times New Roman" w:cs="Times New Roman"/>
          <w:sz w:val="24"/>
          <w:szCs w:val="24"/>
        </w:rPr>
        <w:t>.</w:t>
      </w:r>
    </w:p>
    <w:p w14:paraId="5FB28456"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Wirtz, J., &amp; Lovelock, C. (2016). Services marketing: People, technology, strategy. 8th edition. Hackensack, NJ: World Scientific Publishing Company.</w:t>
      </w:r>
    </w:p>
    <w:p w14:paraId="3248AAF4" w14:textId="77777777" w:rsidR="009C1026"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Yang, Z., &amp; Peterson, R. T. (2004). Customer perceived value, satisfaction, and loyalty: The role of switching costs. </w:t>
      </w:r>
      <w:r w:rsidRPr="00B0085B">
        <w:rPr>
          <w:rFonts w:ascii="Times New Roman" w:hAnsi="Times New Roman" w:cs="Times New Roman"/>
          <w:i/>
          <w:iCs/>
          <w:sz w:val="24"/>
          <w:szCs w:val="24"/>
        </w:rPr>
        <w:t>Psychology and Marketing</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21</w:t>
      </w:r>
      <w:r w:rsidRPr="009C1026">
        <w:rPr>
          <w:rFonts w:ascii="Times New Roman" w:hAnsi="Times New Roman" w:cs="Times New Roman"/>
          <w:sz w:val="24"/>
          <w:szCs w:val="24"/>
        </w:rPr>
        <w:t>(10), 799-822.</w:t>
      </w:r>
    </w:p>
    <w:p w14:paraId="47AFBC0B" w14:textId="1B98E323" w:rsidR="007C057C" w:rsidRPr="009C1026" w:rsidRDefault="009C1026" w:rsidP="00733B5D">
      <w:pPr>
        <w:spacing w:line="240" w:lineRule="auto"/>
        <w:ind w:left="360" w:hanging="360"/>
        <w:jc w:val="both"/>
        <w:rPr>
          <w:rFonts w:ascii="Times New Roman" w:hAnsi="Times New Roman" w:cs="Times New Roman"/>
          <w:sz w:val="24"/>
          <w:szCs w:val="24"/>
        </w:rPr>
      </w:pPr>
      <w:r w:rsidRPr="009C1026">
        <w:rPr>
          <w:rFonts w:ascii="Times New Roman" w:hAnsi="Times New Roman" w:cs="Times New Roman"/>
          <w:sz w:val="24"/>
          <w:szCs w:val="24"/>
        </w:rPr>
        <w:t xml:space="preserve">Yoon, E., Guffey, H. J., &amp; Kijewski, V. (1993). The effects of information and company reputation on intentions to buy a business service. </w:t>
      </w:r>
      <w:r w:rsidRPr="00B0085B">
        <w:rPr>
          <w:rFonts w:ascii="Times New Roman" w:hAnsi="Times New Roman" w:cs="Times New Roman"/>
          <w:i/>
          <w:iCs/>
          <w:sz w:val="24"/>
          <w:szCs w:val="24"/>
        </w:rPr>
        <w:t>Journal of Business Research</w:t>
      </w:r>
      <w:r w:rsidRPr="009C1026">
        <w:rPr>
          <w:rFonts w:ascii="Times New Roman" w:hAnsi="Times New Roman" w:cs="Times New Roman"/>
          <w:sz w:val="24"/>
          <w:szCs w:val="24"/>
        </w:rPr>
        <w:t xml:space="preserve">, </w:t>
      </w:r>
      <w:r w:rsidRPr="00B0085B">
        <w:rPr>
          <w:rFonts w:ascii="Times New Roman" w:hAnsi="Times New Roman" w:cs="Times New Roman"/>
          <w:i/>
          <w:iCs/>
          <w:sz w:val="24"/>
          <w:szCs w:val="24"/>
        </w:rPr>
        <w:t>27</w:t>
      </w:r>
      <w:r w:rsidRPr="009C1026">
        <w:rPr>
          <w:rFonts w:ascii="Times New Roman" w:hAnsi="Times New Roman" w:cs="Times New Roman"/>
          <w:sz w:val="24"/>
          <w:szCs w:val="24"/>
        </w:rPr>
        <w:t>(3), 215-228.</w:t>
      </w:r>
    </w:p>
    <w:sectPr w:rsidR="007C057C" w:rsidRPr="009C1026" w:rsidSect="00D24F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EFAE7" w14:textId="77777777" w:rsidR="00AF3465" w:rsidRDefault="00AF3465" w:rsidP="004A7137">
      <w:pPr>
        <w:spacing w:after="0" w:line="240" w:lineRule="auto"/>
      </w:pPr>
      <w:r>
        <w:separator/>
      </w:r>
    </w:p>
  </w:endnote>
  <w:endnote w:type="continuationSeparator" w:id="0">
    <w:p w14:paraId="2935151F" w14:textId="77777777" w:rsidR="00AF3465" w:rsidRDefault="00AF3465" w:rsidP="004A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514188"/>
      <w:docPartObj>
        <w:docPartGallery w:val="Page Numbers (Bottom of Page)"/>
        <w:docPartUnique/>
      </w:docPartObj>
    </w:sdtPr>
    <w:sdtEndPr>
      <w:rPr>
        <w:noProof/>
      </w:rPr>
    </w:sdtEndPr>
    <w:sdtContent>
      <w:p w14:paraId="36ED2886" w14:textId="69698F80" w:rsidR="00B47A96" w:rsidRDefault="00B47A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D9457" w14:textId="77777777" w:rsidR="00E440E5" w:rsidRDefault="00E4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4E8DF" w14:textId="77777777" w:rsidR="00AF3465" w:rsidRDefault="00AF3465" w:rsidP="004A7137">
      <w:pPr>
        <w:spacing w:after="0" w:line="240" w:lineRule="auto"/>
      </w:pPr>
      <w:r>
        <w:separator/>
      </w:r>
    </w:p>
  </w:footnote>
  <w:footnote w:type="continuationSeparator" w:id="0">
    <w:p w14:paraId="04713ADE" w14:textId="77777777" w:rsidR="00AF3465" w:rsidRDefault="00AF3465" w:rsidP="004A7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CF967" w14:textId="04EEB6CF" w:rsidR="00733B5D" w:rsidRDefault="00733B5D" w:rsidP="00816209">
    <w:pPr>
      <w:spacing w:after="0" w:line="240" w:lineRule="auto"/>
      <w:jc w:val="both"/>
      <w:rPr>
        <w:sz w:val="18"/>
        <w:szCs w:val="18"/>
      </w:rPr>
    </w:pPr>
    <w:r w:rsidRPr="00816209">
      <w:rPr>
        <w:sz w:val="18"/>
        <w:szCs w:val="18"/>
      </w:rPr>
      <w:t>Wilkins, S., Hazzam, J., &amp; Megicks, P. (2021). Consumers’ propensity for rollover service contracts: the influences of perceived value, convenience and trust on service loyalty</w:t>
    </w:r>
    <w:r w:rsidR="00816209">
      <w:rPr>
        <w:sz w:val="18"/>
        <w:szCs w:val="18"/>
      </w:rPr>
      <w:t xml:space="preserve">. </w:t>
    </w:r>
    <w:r w:rsidR="00816209">
      <w:rPr>
        <w:i/>
        <w:iCs/>
        <w:sz w:val="18"/>
        <w:szCs w:val="18"/>
      </w:rPr>
      <w:t>Journal of Strategic Marketing</w:t>
    </w:r>
    <w:r w:rsidR="00816209">
      <w:rPr>
        <w:sz w:val="18"/>
        <w:szCs w:val="18"/>
      </w:rPr>
      <w:t>, published online on 23</w:t>
    </w:r>
    <w:r w:rsidR="00816209" w:rsidRPr="00816209">
      <w:rPr>
        <w:sz w:val="18"/>
        <w:szCs w:val="18"/>
        <w:vertAlign w:val="superscript"/>
      </w:rPr>
      <w:t>rd</w:t>
    </w:r>
    <w:r w:rsidR="00816209">
      <w:rPr>
        <w:sz w:val="18"/>
        <w:szCs w:val="18"/>
      </w:rPr>
      <w:t xml:space="preserve"> June 2021, doi: </w:t>
    </w:r>
    <w:r w:rsidR="00816209" w:rsidRPr="00816209">
      <w:rPr>
        <w:sz w:val="18"/>
        <w:szCs w:val="18"/>
      </w:rPr>
      <w:t>10.1080/0965254X.2021.1946127</w:t>
    </w:r>
    <w:r w:rsidR="00816209">
      <w:rPr>
        <w:sz w:val="18"/>
        <w:szCs w:val="18"/>
      </w:rPr>
      <w:t>.</w:t>
    </w:r>
  </w:p>
  <w:p w14:paraId="54E7D387" w14:textId="77777777" w:rsidR="00816209" w:rsidRPr="00816209" w:rsidRDefault="00816209" w:rsidP="00816209">
    <w:pPr>
      <w:spacing w:after="0" w:line="240" w:lineRule="auto"/>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26"/>
    <w:rsid w:val="00015F5B"/>
    <w:rsid w:val="000164D8"/>
    <w:rsid w:val="00031DD0"/>
    <w:rsid w:val="00033CDE"/>
    <w:rsid w:val="00034089"/>
    <w:rsid w:val="00036F78"/>
    <w:rsid w:val="000458DB"/>
    <w:rsid w:val="000460AB"/>
    <w:rsid w:val="000464B0"/>
    <w:rsid w:val="0004708A"/>
    <w:rsid w:val="000503E2"/>
    <w:rsid w:val="00053A2E"/>
    <w:rsid w:val="000545EF"/>
    <w:rsid w:val="00064EE8"/>
    <w:rsid w:val="00065CF2"/>
    <w:rsid w:val="00067760"/>
    <w:rsid w:val="000726EF"/>
    <w:rsid w:val="00072AFC"/>
    <w:rsid w:val="00080C88"/>
    <w:rsid w:val="00080EEE"/>
    <w:rsid w:val="0009016B"/>
    <w:rsid w:val="00097446"/>
    <w:rsid w:val="000A114D"/>
    <w:rsid w:val="000B1635"/>
    <w:rsid w:val="000B685B"/>
    <w:rsid w:val="000B7689"/>
    <w:rsid w:val="000C2B05"/>
    <w:rsid w:val="000C4E9D"/>
    <w:rsid w:val="000D1810"/>
    <w:rsid w:val="000D1BBD"/>
    <w:rsid w:val="000E44A6"/>
    <w:rsid w:val="000F31CC"/>
    <w:rsid w:val="000F3F3A"/>
    <w:rsid w:val="000F5D85"/>
    <w:rsid w:val="00100EA3"/>
    <w:rsid w:val="00102C4B"/>
    <w:rsid w:val="00106263"/>
    <w:rsid w:val="00110A1B"/>
    <w:rsid w:val="0012169A"/>
    <w:rsid w:val="00125FA8"/>
    <w:rsid w:val="001340F2"/>
    <w:rsid w:val="0013639B"/>
    <w:rsid w:val="00150EAA"/>
    <w:rsid w:val="00157D1F"/>
    <w:rsid w:val="0016401D"/>
    <w:rsid w:val="00165678"/>
    <w:rsid w:val="001659A6"/>
    <w:rsid w:val="00174C9F"/>
    <w:rsid w:val="00175F7B"/>
    <w:rsid w:val="001802E9"/>
    <w:rsid w:val="00181784"/>
    <w:rsid w:val="0018654B"/>
    <w:rsid w:val="00195BB8"/>
    <w:rsid w:val="001A334C"/>
    <w:rsid w:val="001B200F"/>
    <w:rsid w:val="001B30D5"/>
    <w:rsid w:val="001C108A"/>
    <w:rsid w:val="001E018A"/>
    <w:rsid w:val="001E30A8"/>
    <w:rsid w:val="001E657A"/>
    <w:rsid w:val="001E6E0E"/>
    <w:rsid w:val="001F39B6"/>
    <w:rsid w:val="001F3ECC"/>
    <w:rsid w:val="001F410C"/>
    <w:rsid w:val="0020159C"/>
    <w:rsid w:val="00205A34"/>
    <w:rsid w:val="00213CB4"/>
    <w:rsid w:val="00217491"/>
    <w:rsid w:val="00217718"/>
    <w:rsid w:val="0021777E"/>
    <w:rsid w:val="00223F00"/>
    <w:rsid w:val="00224BD9"/>
    <w:rsid w:val="002346EC"/>
    <w:rsid w:val="00236F74"/>
    <w:rsid w:val="00247D20"/>
    <w:rsid w:val="00256830"/>
    <w:rsid w:val="00262C4B"/>
    <w:rsid w:val="002A0DE5"/>
    <w:rsid w:val="002A1710"/>
    <w:rsid w:val="002A5FCB"/>
    <w:rsid w:val="002A762D"/>
    <w:rsid w:val="002C0CC1"/>
    <w:rsid w:val="002C43A0"/>
    <w:rsid w:val="002C5117"/>
    <w:rsid w:val="002C5AD5"/>
    <w:rsid w:val="002C5D55"/>
    <w:rsid w:val="002D075C"/>
    <w:rsid w:val="002D2C3D"/>
    <w:rsid w:val="002E15AE"/>
    <w:rsid w:val="002E43C1"/>
    <w:rsid w:val="002E627D"/>
    <w:rsid w:val="002E72A2"/>
    <w:rsid w:val="002F792A"/>
    <w:rsid w:val="00304CFC"/>
    <w:rsid w:val="00310846"/>
    <w:rsid w:val="00317E08"/>
    <w:rsid w:val="003233B4"/>
    <w:rsid w:val="00324D18"/>
    <w:rsid w:val="003505FB"/>
    <w:rsid w:val="003573BD"/>
    <w:rsid w:val="00357A00"/>
    <w:rsid w:val="00357A62"/>
    <w:rsid w:val="00360273"/>
    <w:rsid w:val="00367576"/>
    <w:rsid w:val="00381E40"/>
    <w:rsid w:val="003A173D"/>
    <w:rsid w:val="003B3DB2"/>
    <w:rsid w:val="003B6804"/>
    <w:rsid w:val="003C5D59"/>
    <w:rsid w:val="003D1279"/>
    <w:rsid w:val="003D5711"/>
    <w:rsid w:val="003F3DA1"/>
    <w:rsid w:val="003F6033"/>
    <w:rsid w:val="00411000"/>
    <w:rsid w:val="00412274"/>
    <w:rsid w:val="00431AA4"/>
    <w:rsid w:val="0043387C"/>
    <w:rsid w:val="00434DA2"/>
    <w:rsid w:val="00440AD6"/>
    <w:rsid w:val="004551C6"/>
    <w:rsid w:val="004602E1"/>
    <w:rsid w:val="00482071"/>
    <w:rsid w:val="00490E2D"/>
    <w:rsid w:val="004975D9"/>
    <w:rsid w:val="004A7137"/>
    <w:rsid w:val="004C02B9"/>
    <w:rsid w:val="004D5126"/>
    <w:rsid w:val="004D6293"/>
    <w:rsid w:val="004E7875"/>
    <w:rsid w:val="00523278"/>
    <w:rsid w:val="00527A34"/>
    <w:rsid w:val="0053039C"/>
    <w:rsid w:val="00550212"/>
    <w:rsid w:val="0055081D"/>
    <w:rsid w:val="005558BB"/>
    <w:rsid w:val="0055634F"/>
    <w:rsid w:val="005624B5"/>
    <w:rsid w:val="00571940"/>
    <w:rsid w:val="00571C41"/>
    <w:rsid w:val="005774F5"/>
    <w:rsid w:val="005778D7"/>
    <w:rsid w:val="00580C06"/>
    <w:rsid w:val="005853EF"/>
    <w:rsid w:val="00594E0E"/>
    <w:rsid w:val="005A0F73"/>
    <w:rsid w:val="005A19FF"/>
    <w:rsid w:val="005A1F0F"/>
    <w:rsid w:val="005A457A"/>
    <w:rsid w:val="005A6817"/>
    <w:rsid w:val="005B189A"/>
    <w:rsid w:val="005B7611"/>
    <w:rsid w:val="005C005A"/>
    <w:rsid w:val="005C0BC6"/>
    <w:rsid w:val="005D129F"/>
    <w:rsid w:val="005E7707"/>
    <w:rsid w:val="005F06A7"/>
    <w:rsid w:val="005F3742"/>
    <w:rsid w:val="00602247"/>
    <w:rsid w:val="00602B7F"/>
    <w:rsid w:val="00605E2D"/>
    <w:rsid w:val="00613701"/>
    <w:rsid w:val="00615B1A"/>
    <w:rsid w:val="00622784"/>
    <w:rsid w:val="00646D3F"/>
    <w:rsid w:val="00647249"/>
    <w:rsid w:val="00647A74"/>
    <w:rsid w:val="00647E21"/>
    <w:rsid w:val="006613BA"/>
    <w:rsid w:val="0067031E"/>
    <w:rsid w:val="00686431"/>
    <w:rsid w:val="00687FCF"/>
    <w:rsid w:val="00690174"/>
    <w:rsid w:val="006B2FB5"/>
    <w:rsid w:val="006C6306"/>
    <w:rsid w:val="006D1BB1"/>
    <w:rsid w:val="006D227E"/>
    <w:rsid w:val="006D40AC"/>
    <w:rsid w:val="006D58AD"/>
    <w:rsid w:val="006D644E"/>
    <w:rsid w:val="006E5FCD"/>
    <w:rsid w:val="006E775A"/>
    <w:rsid w:val="006F14A7"/>
    <w:rsid w:val="006F4FB4"/>
    <w:rsid w:val="006F5AD7"/>
    <w:rsid w:val="00733B5D"/>
    <w:rsid w:val="00735B7F"/>
    <w:rsid w:val="007427DF"/>
    <w:rsid w:val="00745262"/>
    <w:rsid w:val="00746BD2"/>
    <w:rsid w:val="00746CA7"/>
    <w:rsid w:val="00751301"/>
    <w:rsid w:val="00752723"/>
    <w:rsid w:val="007533F8"/>
    <w:rsid w:val="00757EAC"/>
    <w:rsid w:val="00761C56"/>
    <w:rsid w:val="00773E5E"/>
    <w:rsid w:val="00784A37"/>
    <w:rsid w:val="00786921"/>
    <w:rsid w:val="0078713E"/>
    <w:rsid w:val="007901DD"/>
    <w:rsid w:val="0079353A"/>
    <w:rsid w:val="007941B6"/>
    <w:rsid w:val="00795FA9"/>
    <w:rsid w:val="007A4273"/>
    <w:rsid w:val="007C010F"/>
    <w:rsid w:val="007C057C"/>
    <w:rsid w:val="007C1C48"/>
    <w:rsid w:val="007C385B"/>
    <w:rsid w:val="007D1224"/>
    <w:rsid w:val="007D3E70"/>
    <w:rsid w:val="007F1BCC"/>
    <w:rsid w:val="007F1C70"/>
    <w:rsid w:val="007F348D"/>
    <w:rsid w:val="007F3E63"/>
    <w:rsid w:val="007F76FE"/>
    <w:rsid w:val="008030AD"/>
    <w:rsid w:val="00816209"/>
    <w:rsid w:val="008204BA"/>
    <w:rsid w:val="00824F81"/>
    <w:rsid w:val="00832A7F"/>
    <w:rsid w:val="00842CA9"/>
    <w:rsid w:val="00847737"/>
    <w:rsid w:val="008574A9"/>
    <w:rsid w:val="00857738"/>
    <w:rsid w:val="008711AE"/>
    <w:rsid w:val="00874BDC"/>
    <w:rsid w:val="00885BA7"/>
    <w:rsid w:val="00897844"/>
    <w:rsid w:val="008A60B6"/>
    <w:rsid w:val="008A6F36"/>
    <w:rsid w:val="008A726C"/>
    <w:rsid w:val="008B0EBA"/>
    <w:rsid w:val="008E3146"/>
    <w:rsid w:val="008E3D79"/>
    <w:rsid w:val="008E56E7"/>
    <w:rsid w:val="008F48BA"/>
    <w:rsid w:val="008F5970"/>
    <w:rsid w:val="00900207"/>
    <w:rsid w:val="0090128A"/>
    <w:rsid w:val="009047C0"/>
    <w:rsid w:val="00920AD3"/>
    <w:rsid w:val="0095110A"/>
    <w:rsid w:val="00952977"/>
    <w:rsid w:val="00956F58"/>
    <w:rsid w:val="0096658F"/>
    <w:rsid w:val="009779D5"/>
    <w:rsid w:val="00991210"/>
    <w:rsid w:val="00996467"/>
    <w:rsid w:val="009966AB"/>
    <w:rsid w:val="00996BD5"/>
    <w:rsid w:val="009C05A5"/>
    <w:rsid w:val="009C1026"/>
    <w:rsid w:val="009C3F38"/>
    <w:rsid w:val="009D1FEA"/>
    <w:rsid w:val="009D2714"/>
    <w:rsid w:val="009E1F85"/>
    <w:rsid w:val="009E25FC"/>
    <w:rsid w:val="009F2A25"/>
    <w:rsid w:val="00A01439"/>
    <w:rsid w:val="00A01D2B"/>
    <w:rsid w:val="00A0626D"/>
    <w:rsid w:val="00A070F6"/>
    <w:rsid w:val="00A13B2B"/>
    <w:rsid w:val="00A152E5"/>
    <w:rsid w:val="00A16557"/>
    <w:rsid w:val="00A207D6"/>
    <w:rsid w:val="00A20A0A"/>
    <w:rsid w:val="00A25D7A"/>
    <w:rsid w:val="00A3494A"/>
    <w:rsid w:val="00A34B67"/>
    <w:rsid w:val="00A35219"/>
    <w:rsid w:val="00A379C6"/>
    <w:rsid w:val="00A40177"/>
    <w:rsid w:val="00A5014B"/>
    <w:rsid w:val="00A5129D"/>
    <w:rsid w:val="00A623B1"/>
    <w:rsid w:val="00A64DAA"/>
    <w:rsid w:val="00A8114A"/>
    <w:rsid w:val="00A870A1"/>
    <w:rsid w:val="00A87E34"/>
    <w:rsid w:val="00A90826"/>
    <w:rsid w:val="00A90B29"/>
    <w:rsid w:val="00A9571D"/>
    <w:rsid w:val="00AA0EAB"/>
    <w:rsid w:val="00AA260F"/>
    <w:rsid w:val="00AA765B"/>
    <w:rsid w:val="00AB0009"/>
    <w:rsid w:val="00AB3940"/>
    <w:rsid w:val="00AC3C8A"/>
    <w:rsid w:val="00AC6219"/>
    <w:rsid w:val="00AC688A"/>
    <w:rsid w:val="00AD0405"/>
    <w:rsid w:val="00AD24FF"/>
    <w:rsid w:val="00AD3488"/>
    <w:rsid w:val="00AD5AFA"/>
    <w:rsid w:val="00AE46C5"/>
    <w:rsid w:val="00AE4D3A"/>
    <w:rsid w:val="00AF3465"/>
    <w:rsid w:val="00AF42C8"/>
    <w:rsid w:val="00AF5961"/>
    <w:rsid w:val="00B0085B"/>
    <w:rsid w:val="00B051DA"/>
    <w:rsid w:val="00B255D1"/>
    <w:rsid w:val="00B334BE"/>
    <w:rsid w:val="00B34E6A"/>
    <w:rsid w:val="00B47A96"/>
    <w:rsid w:val="00B64FEF"/>
    <w:rsid w:val="00B6757F"/>
    <w:rsid w:val="00B7148F"/>
    <w:rsid w:val="00B824E6"/>
    <w:rsid w:val="00B92DFA"/>
    <w:rsid w:val="00B93A39"/>
    <w:rsid w:val="00BB0653"/>
    <w:rsid w:val="00BB1E15"/>
    <w:rsid w:val="00BB339D"/>
    <w:rsid w:val="00BB5496"/>
    <w:rsid w:val="00BC0D95"/>
    <w:rsid w:val="00BC72C3"/>
    <w:rsid w:val="00BD7788"/>
    <w:rsid w:val="00BE1947"/>
    <w:rsid w:val="00BF385A"/>
    <w:rsid w:val="00BF6845"/>
    <w:rsid w:val="00C04188"/>
    <w:rsid w:val="00C1711A"/>
    <w:rsid w:val="00C210CB"/>
    <w:rsid w:val="00C2583E"/>
    <w:rsid w:val="00C31A88"/>
    <w:rsid w:val="00C414B4"/>
    <w:rsid w:val="00C5011E"/>
    <w:rsid w:val="00C5180C"/>
    <w:rsid w:val="00C60466"/>
    <w:rsid w:val="00C778A5"/>
    <w:rsid w:val="00C80277"/>
    <w:rsid w:val="00C83938"/>
    <w:rsid w:val="00C84EA1"/>
    <w:rsid w:val="00C87044"/>
    <w:rsid w:val="00C87338"/>
    <w:rsid w:val="00C942A3"/>
    <w:rsid w:val="00C945F0"/>
    <w:rsid w:val="00C959B0"/>
    <w:rsid w:val="00C96404"/>
    <w:rsid w:val="00CA3BE1"/>
    <w:rsid w:val="00CB2C66"/>
    <w:rsid w:val="00CC5E22"/>
    <w:rsid w:val="00CD3604"/>
    <w:rsid w:val="00CE14E1"/>
    <w:rsid w:val="00CE34A2"/>
    <w:rsid w:val="00CE4684"/>
    <w:rsid w:val="00D0034F"/>
    <w:rsid w:val="00D01050"/>
    <w:rsid w:val="00D119F0"/>
    <w:rsid w:val="00D11A15"/>
    <w:rsid w:val="00D13A27"/>
    <w:rsid w:val="00D17982"/>
    <w:rsid w:val="00D21E96"/>
    <w:rsid w:val="00D24FE5"/>
    <w:rsid w:val="00D25E66"/>
    <w:rsid w:val="00D32964"/>
    <w:rsid w:val="00D353C2"/>
    <w:rsid w:val="00D426F9"/>
    <w:rsid w:val="00D455DC"/>
    <w:rsid w:val="00D456AE"/>
    <w:rsid w:val="00D55032"/>
    <w:rsid w:val="00D551AE"/>
    <w:rsid w:val="00D65026"/>
    <w:rsid w:val="00D742E7"/>
    <w:rsid w:val="00D81A24"/>
    <w:rsid w:val="00DA7406"/>
    <w:rsid w:val="00DB1F02"/>
    <w:rsid w:val="00DB1FA2"/>
    <w:rsid w:val="00DD3B49"/>
    <w:rsid w:val="00DD553E"/>
    <w:rsid w:val="00DD6A14"/>
    <w:rsid w:val="00DD6F8A"/>
    <w:rsid w:val="00DE05A7"/>
    <w:rsid w:val="00DE1237"/>
    <w:rsid w:val="00DF48CC"/>
    <w:rsid w:val="00DF5056"/>
    <w:rsid w:val="00E20123"/>
    <w:rsid w:val="00E21021"/>
    <w:rsid w:val="00E22164"/>
    <w:rsid w:val="00E2230D"/>
    <w:rsid w:val="00E260FE"/>
    <w:rsid w:val="00E34BB1"/>
    <w:rsid w:val="00E440E5"/>
    <w:rsid w:val="00E44B7B"/>
    <w:rsid w:val="00E5005E"/>
    <w:rsid w:val="00E50C72"/>
    <w:rsid w:val="00E63FDF"/>
    <w:rsid w:val="00E679C9"/>
    <w:rsid w:val="00E72151"/>
    <w:rsid w:val="00E7642B"/>
    <w:rsid w:val="00E8318B"/>
    <w:rsid w:val="00E85310"/>
    <w:rsid w:val="00E92243"/>
    <w:rsid w:val="00EA03E0"/>
    <w:rsid w:val="00EA27AE"/>
    <w:rsid w:val="00EA27B0"/>
    <w:rsid w:val="00EA665E"/>
    <w:rsid w:val="00EB41E5"/>
    <w:rsid w:val="00EC2485"/>
    <w:rsid w:val="00EC2C64"/>
    <w:rsid w:val="00EC7E2C"/>
    <w:rsid w:val="00ED079E"/>
    <w:rsid w:val="00ED3C78"/>
    <w:rsid w:val="00ED4BAA"/>
    <w:rsid w:val="00EF6FB7"/>
    <w:rsid w:val="00F01E5B"/>
    <w:rsid w:val="00F02545"/>
    <w:rsid w:val="00F126B0"/>
    <w:rsid w:val="00F131C8"/>
    <w:rsid w:val="00F272DC"/>
    <w:rsid w:val="00F27EDC"/>
    <w:rsid w:val="00F36CBC"/>
    <w:rsid w:val="00F402DF"/>
    <w:rsid w:val="00F44E92"/>
    <w:rsid w:val="00F47FDC"/>
    <w:rsid w:val="00F5261B"/>
    <w:rsid w:val="00F56C3E"/>
    <w:rsid w:val="00F57F1C"/>
    <w:rsid w:val="00F67F21"/>
    <w:rsid w:val="00F741C4"/>
    <w:rsid w:val="00F74387"/>
    <w:rsid w:val="00F7532D"/>
    <w:rsid w:val="00F7798B"/>
    <w:rsid w:val="00F80C3C"/>
    <w:rsid w:val="00F839A7"/>
    <w:rsid w:val="00F84E3A"/>
    <w:rsid w:val="00F95CD6"/>
    <w:rsid w:val="00F96CE0"/>
    <w:rsid w:val="00FA2FA3"/>
    <w:rsid w:val="00FB39AC"/>
    <w:rsid w:val="00FB6510"/>
    <w:rsid w:val="00FC25E6"/>
    <w:rsid w:val="00FE60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217B"/>
  <w15:chartTrackingRefBased/>
  <w15:docId w15:val="{CC6F6660-E266-4E65-9D6E-1A7A65C3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37"/>
  </w:style>
  <w:style w:type="paragraph" w:styleId="Footer">
    <w:name w:val="footer"/>
    <w:basedOn w:val="Normal"/>
    <w:link w:val="FooterChar"/>
    <w:uiPriority w:val="99"/>
    <w:unhideWhenUsed/>
    <w:rsid w:val="004A7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37"/>
  </w:style>
  <w:style w:type="table" w:styleId="TableGrid">
    <w:name w:val="Table Grid"/>
    <w:basedOn w:val="TableNormal"/>
    <w:uiPriority w:val="39"/>
    <w:rsid w:val="005719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3742"/>
    <w:rPr>
      <w:color w:val="0563C1" w:themeColor="hyperlink"/>
      <w:u w:val="single"/>
    </w:rPr>
  </w:style>
  <w:style w:type="character" w:styleId="UnresolvedMention">
    <w:name w:val="Unresolved Mention"/>
    <w:basedOn w:val="DefaultParagraphFont"/>
    <w:uiPriority w:val="99"/>
    <w:semiHidden/>
    <w:unhideWhenUsed/>
    <w:rsid w:val="005F3742"/>
    <w:rPr>
      <w:color w:val="605E5C"/>
      <w:shd w:val="clear" w:color="auto" w:fill="E1DFDD"/>
    </w:rPr>
  </w:style>
  <w:style w:type="paragraph" w:styleId="BalloonText">
    <w:name w:val="Balloon Text"/>
    <w:basedOn w:val="Normal"/>
    <w:link w:val="BalloonTextChar"/>
    <w:uiPriority w:val="99"/>
    <w:semiHidden/>
    <w:unhideWhenUsed/>
    <w:rsid w:val="00DA7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4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CE3030FC88D84FA3EE222A5C1441D0" ma:contentTypeVersion="7" ma:contentTypeDescription="Create a new document." ma:contentTypeScope="" ma:versionID="4bbfb3a950142117487b1aafbbe08d1e">
  <xsd:schema xmlns:xsd="http://www.w3.org/2001/XMLSchema" xmlns:xs="http://www.w3.org/2001/XMLSchema" xmlns:p="http://schemas.microsoft.com/office/2006/metadata/properties" xmlns:ns3="d63911e6-aa15-4829-8964-1e68886e8a68" xmlns:ns4="2847924c-f509-4f2c-b205-2e4eb6e154f2" targetNamespace="http://schemas.microsoft.com/office/2006/metadata/properties" ma:root="true" ma:fieldsID="13286030a959a6133e0f148b6cd7275f" ns3:_="" ns4:_="">
    <xsd:import namespace="d63911e6-aa15-4829-8964-1e68886e8a68"/>
    <xsd:import namespace="2847924c-f509-4f2c-b205-2e4eb6e154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911e6-aa15-4829-8964-1e68886e8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47924c-f509-4f2c-b205-2e4eb6e154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05E1-4C46-44EC-9EF7-73F9810B6572}">
  <ds:schemaRefs>
    <ds:schemaRef ds:uri="http://schemas.microsoft.com/sharepoint/v3/contenttype/forms"/>
  </ds:schemaRefs>
</ds:datastoreItem>
</file>

<file path=customXml/itemProps2.xml><?xml version="1.0" encoding="utf-8"?>
<ds:datastoreItem xmlns:ds="http://schemas.openxmlformats.org/officeDocument/2006/customXml" ds:itemID="{71C347FB-9814-4271-915E-D1E5119962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2D084D-E89E-4A5B-AC33-533F8720C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911e6-aa15-4829-8964-1e68886e8a68"/>
    <ds:schemaRef ds:uri="2847924c-f509-4f2c-b205-2e4eb6e15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4D618-F568-40C9-B687-F64D6B7D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7228</Words>
  <Characters>41206</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Megicks</dc:creator>
  <cp:keywords/>
  <dc:description/>
  <cp:lastModifiedBy>Linda Edwards</cp:lastModifiedBy>
  <cp:revision>2</cp:revision>
  <dcterms:created xsi:type="dcterms:W3CDTF">2021-07-19T10:56:00Z</dcterms:created>
  <dcterms:modified xsi:type="dcterms:W3CDTF">2021-07-19T10:56:00Z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0x01010019CE3030FC88D84FA3EE222A5C1441D0</vt:lpwstr>
  </property>
</Properties>
</file>