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62A8" w14:textId="0447DF45" w:rsidR="00836B69" w:rsidRPr="00093F2A" w:rsidRDefault="00810A26" w:rsidP="008A7694">
      <w:pPr>
        <w:spacing w:line="360" w:lineRule="auto"/>
        <w:rPr>
          <w:rFonts w:ascii="Gill Sans MT" w:hAnsi="Gill Sans MT"/>
          <w:b/>
          <w:sz w:val="24"/>
          <w:szCs w:val="24"/>
        </w:rPr>
      </w:pPr>
      <w:r w:rsidRPr="00093F2A">
        <w:rPr>
          <w:rFonts w:ascii="Gill Sans MT" w:hAnsi="Gill Sans MT"/>
          <w:b/>
          <w:sz w:val="24"/>
          <w:szCs w:val="24"/>
        </w:rPr>
        <w:t xml:space="preserve">The </w:t>
      </w:r>
      <w:r w:rsidR="00C30C29" w:rsidRPr="00093F2A">
        <w:rPr>
          <w:rFonts w:ascii="Gill Sans MT" w:hAnsi="Gill Sans MT"/>
          <w:b/>
          <w:sz w:val="24"/>
          <w:szCs w:val="24"/>
        </w:rPr>
        <w:t xml:space="preserve">Value Added by </w:t>
      </w:r>
      <w:r w:rsidRPr="00093F2A">
        <w:rPr>
          <w:rFonts w:ascii="Gill Sans MT" w:hAnsi="Gill Sans MT"/>
          <w:b/>
          <w:sz w:val="24"/>
          <w:szCs w:val="24"/>
        </w:rPr>
        <w:t xml:space="preserve">Private Equity </w:t>
      </w:r>
      <w:r w:rsidR="00C30C29" w:rsidRPr="00093F2A">
        <w:rPr>
          <w:rFonts w:ascii="Gill Sans MT" w:hAnsi="Gill Sans MT"/>
          <w:b/>
          <w:sz w:val="24"/>
          <w:szCs w:val="24"/>
        </w:rPr>
        <w:t xml:space="preserve">in </w:t>
      </w:r>
      <w:r w:rsidRPr="00093F2A">
        <w:rPr>
          <w:rFonts w:ascii="Gill Sans MT" w:hAnsi="Gill Sans MT"/>
          <w:b/>
          <w:sz w:val="24"/>
          <w:szCs w:val="24"/>
        </w:rPr>
        <w:t xml:space="preserve">Mergers </w:t>
      </w:r>
      <w:r w:rsidR="00C30C29" w:rsidRPr="00093F2A">
        <w:rPr>
          <w:rFonts w:ascii="Gill Sans MT" w:hAnsi="Gill Sans MT"/>
          <w:b/>
          <w:sz w:val="24"/>
          <w:szCs w:val="24"/>
        </w:rPr>
        <w:t xml:space="preserve">and </w:t>
      </w:r>
      <w:r w:rsidRPr="00093F2A">
        <w:rPr>
          <w:rFonts w:ascii="Gill Sans MT" w:hAnsi="Gill Sans MT"/>
          <w:b/>
          <w:sz w:val="24"/>
          <w:szCs w:val="24"/>
        </w:rPr>
        <w:t xml:space="preserve">Acquisitions </w:t>
      </w:r>
      <w:r w:rsidR="00C30C29" w:rsidRPr="00093F2A">
        <w:rPr>
          <w:rFonts w:ascii="Gill Sans MT" w:hAnsi="Gill Sans MT"/>
          <w:b/>
          <w:sz w:val="24"/>
          <w:szCs w:val="24"/>
        </w:rPr>
        <w:t xml:space="preserve">by </w:t>
      </w:r>
      <w:r w:rsidRPr="00093F2A">
        <w:rPr>
          <w:rFonts w:ascii="Gill Sans MT" w:hAnsi="Gill Sans MT"/>
          <w:b/>
          <w:sz w:val="24"/>
          <w:szCs w:val="24"/>
        </w:rPr>
        <w:t>Financial Institutions</w:t>
      </w:r>
    </w:p>
    <w:p w14:paraId="7455412A" w14:textId="77777777" w:rsidR="005B740C" w:rsidRPr="00093F2A"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 xml:space="preserve">Jennifer Brodmann </w:t>
      </w:r>
    </w:p>
    <w:p w14:paraId="432D4C54" w14:textId="2BAE704D" w:rsidR="005B740C" w:rsidRPr="00093F2A" w:rsidRDefault="00A819CB" w:rsidP="005B740C">
      <w:pPr>
        <w:spacing w:line="240" w:lineRule="auto"/>
        <w:contextualSpacing/>
        <w:jc w:val="center"/>
        <w:rPr>
          <w:rFonts w:ascii="Gill Sans MT" w:hAnsi="Gill Sans MT"/>
          <w:bCs/>
          <w:sz w:val="24"/>
          <w:szCs w:val="24"/>
        </w:rPr>
      </w:pPr>
      <w:hyperlink r:id="rId8" w:history="1">
        <w:r w:rsidR="005B740C" w:rsidRPr="00093F2A">
          <w:rPr>
            <w:rStyle w:val="Hyperlink"/>
            <w:rFonts w:ascii="Gill Sans MT" w:hAnsi="Gill Sans MT"/>
            <w:bCs/>
            <w:color w:val="auto"/>
            <w:sz w:val="24"/>
            <w:szCs w:val="24"/>
          </w:rPr>
          <w:t>jbrodmann@csudh.edu</w:t>
        </w:r>
      </w:hyperlink>
    </w:p>
    <w:p w14:paraId="5E16F2C4" w14:textId="4620E12E" w:rsidR="005B740C"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California State University Dominguez Hills</w:t>
      </w:r>
    </w:p>
    <w:p w14:paraId="766B7314" w14:textId="77777777" w:rsidR="00093F2A" w:rsidRPr="00093F2A" w:rsidRDefault="00093F2A" w:rsidP="005B740C">
      <w:pPr>
        <w:spacing w:line="240" w:lineRule="auto"/>
        <w:contextualSpacing/>
        <w:jc w:val="center"/>
        <w:rPr>
          <w:rFonts w:ascii="Gill Sans MT" w:hAnsi="Gill Sans MT"/>
          <w:bCs/>
          <w:sz w:val="24"/>
          <w:szCs w:val="24"/>
        </w:rPr>
      </w:pPr>
    </w:p>
    <w:p w14:paraId="52086351" w14:textId="0AC859E5" w:rsidR="00870786" w:rsidRPr="00093F2A" w:rsidRDefault="005B740C" w:rsidP="005B740C">
      <w:pPr>
        <w:spacing w:line="240" w:lineRule="auto"/>
        <w:contextualSpacing/>
        <w:jc w:val="center"/>
        <w:rPr>
          <w:rFonts w:ascii="Gill Sans MT" w:hAnsi="Gill Sans MT"/>
          <w:bCs/>
          <w:sz w:val="24"/>
          <w:szCs w:val="24"/>
          <w:lang w:val="es-ES"/>
        </w:rPr>
      </w:pPr>
      <w:r w:rsidRPr="00093F2A">
        <w:rPr>
          <w:rFonts w:ascii="Gill Sans MT" w:hAnsi="Gill Sans MT"/>
          <w:bCs/>
          <w:sz w:val="24"/>
          <w:szCs w:val="24"/>
          <w:lang w:val="es-ES"/>
        </w:rPr>
        <w:t>Charles Danso</w:t>
      </w:r>
    </w:p>
    <w:p w14:paraId="27801767" w14:textId="14EED205" w:rsidR="005B740C" w:rsidRPr="00093F2A" w:rsidRDefault="005B740C" w:rsidP="005B740C">
      <w:pPr>
        <w:spacing w:line="240" w:lineRule="auto"/>
        <w:contextualSpacing/>
        <w:jc w:val="center"/>
        <w:rPr>
          <w:rFonts w:ascii="Gill Sans MT" w:hAnsi="Gill Sans MT"/>
          <w:bCs/>
          <w:sz w:val="24"/>
          <w:szCs w:val="24"/>
          <w:lang w:val="es-ES"/>
        </w:rPr>
      </w:pPr>
      <w:r w:rsidRPr="00093F2A">
        <w:rPr>
          <w:rFonts w:ascii="Gill Sans MT" w:hAnsi="Gill Sans MT"/>
          <w:bCs/>
          <w:sz w:val="24"/>
          <w:szCs w:val="24"/>
          <w:lang w:val="es-ES"/>
        </w:rPr>
        <w:t>California State University, Los Angeles</w:t>
      </w:r>
    </w:p>
    <w:p w14:paraId="7DC34F39" w14:textId="132AD083" w:rsidR="005B740C" w:rsidRDefault="00A819CB" w:rsidP="005B740C">
      <w:pPr>
        <w:spacing w:line="240" w:lineRule="auto"/>
        <w:contextualSpacing/>
        <w:jc w:val="center"/>
        <w:rPr>
          <w:rStyle w:val="Hyperlink"/>
          <w:rFonts w:ascii="Gill Sans MT" w:hAnsi="Gill Sans MT"/>
          <w:bCs/>
          <w:color w:val="auto"/>
          <w:sz w:val="24"/>
          <w:szCs w:val="24"/>
        </w:rPr>
      </w:pPr>
      <w:hyperlink r:id="rId9" w:history="1">
        <w:r w:rsidR="005B740C" w:rsidRPr="00093F2A">
          <w:rPr>
            <w:rStyle w:val="Hyperlink"/>
            <w:rFonts w:ascii="Gill Sans MT" w:hAnsi="Gill Sans MT"/>
            <w:bCs/>
            <w:color w:val="auto"/>
            <w:sz w:val="24"/>
            <w:szCs w:val="24"/>
          </w:rPr>
          <w:t>cdanso@calstatela.edu</w:t>
        </w:r>
      </w:hyperlink>
    </w:p>
    <w:p w14:paraId="6C8DEA02" w14:textId="77777777" w:rsidR="00093F2A" w:rsidRPr="00093F2A" w:rsidRDefault="00093F2A" w:rsidP="005B740C">
      <w:pPr>
        <w:spacing w:line="240" w:lineRule="auto"/>
        <w:contextualSpacing/>
        <w:jc w:val="center"/>
        <w:rPr>
          <w:rFonts w:ascii="Gill Sans MT" w:hAnsi="Gill Sans MT"/>
          <w:bCs/>
          <w:sz w:val="24"/>
          <w:szCs w:val="24"/>
        </w:rPr>
      </w:pPr>
    </w:p>
    <w:p w14:paraId="0AFCCB80" w14:textId="2DEB241F" w:rsidR="005B740C" w:rsidRPr="00093F2A"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Surendranath Jory</w:t>
      </w:r>
    </w:p>
    <w:p w14:paraId="30D5785A" w14:textId="47127610" w:rsidR="005B740C" w:rsidRPr="00093F2A"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University of Southampton</w:t>
      </w:r>
    </w:p>
    <w:p w14:paraId="20B97168" w14:textId="69A722CD" w:rsidR="005B740C" w:rsidRPr="00093F2A" w:rsidRDefault="00A819CB" w:rsidP="005B740C">
      <w:pPr>
        <w:spacing w:line="240" w:lineRule="auto"/>
        <w:contextualSpacing/>
        <w:jc w:val="center"/>
        <w:rPr>
          <w:rFonts w:ascii="Gill Sans MT" w:hAnsi="Gill Sans MT"/>
          <w:bCs/>
          <w:sz w:val="24"/>
          <w:szCs w:val="24"/>
        </w:rPr>
      </w:pPr>
      <w:hyperlink r:id="rId10" w:history="1">
        <w:r w:rsidR="005B740C" w:rsidRPr="00093F2A">
          <w:rPr>
            <w:rStyle w:val="Hyperlink"/>
            <w:rFonts w:ascii="Gill Sans MT" w:hAnsi="Gill Sans MT"/>
            <w:bCs/>
            <w:color w:val="auto"/>
            <w:sz w:val="24"/>
            <w:szCs w:val="24"/>
          </w:rPr>
          <w:t>S.R.Jory@soton.ac.uk</w:t>
        </w:r>
      </w:hyperlink>
    </w:p>
    <w:p w14:paraId="7E314100" w14:textId="77777777" w:rsidR="00093F2A" w:rsidRDefault="00093F2A" w:rsidP="005B740C">
      <w:pPr>
        <w:spacing w:line="240" w:lineRule="auto"/>
        <w:contextualSpacing/>
        <w:jc w:val="center"/>
        <w:rPr>
          <w:rFonts w:ascii="Gill Sans MT" w:hAnsi="Gill Sans MT"/>
          <w:bCs/>
          <w:sz w:val="24"/>
          <w:szCs w:val="24"/>
        </w:rPr>
      </w:pPr>
    </w:p>
    <w:p w14:paraId="4DC78717" w14:textId="1B574651" w:rsidR="005B740C" w:rsidRPr="00093F2A"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Thanh Ngo</w:t>
      </w:r>
    </w:p>
    <w:p w14:paraId="65FBC37B" w14:textId="2F342A79" w:rsidR="005B740C" w:rsidRPr="00093F2A" w:rsidRDefault="005B740C" w:rsidP="005B740C">
      <w:pPr>
        <w:spacing w:line="240" w:lineRule="auto"/>
        <w:contextualSpacing/>
        <w:jc w:val="center"/>
        <w:rPr>
          <w:rFonts w:ascii="Gill Sans MT" w:hAnsi="Gill Sans MT"/>
          <w:bCs/>
          <w:sz w:val="24"/>
          <w:szCs w:val="24"/>
        </w:rPr>
      </w:pPr>
      <w:r w:rsidRPr="00093F2A">
        <w:rPr>
          <w:rFonts w:ascii="Gill Sans MT" w:hAnsi="Gill Sans MT"/>
          <w:bCs/>
          <w:sz w:val="24"/>
          <w:szCs w:val="24"/>
        </w:rPr>
        <w:t>East Carolina University</w:t>
      </w:r>
    </w:p>
    <w:p w14:paraId="7F4E3A1F" w14:textId="0583D766" w:rsidR="005B740C" w:rsidRPr="00093F2A" w:rsidRDefault="00A819CB" w:rsidP="005B740C">
      <w:pPr>
        <w:spacing w:line="240" w:lineRule="auto"/>
        <w:contextualSpacing/>
        <w:jc w:val="center"/>
        <w:rPr>
          <w:rFonts w:ascii="Gill Sans MT" w:hAnsi="Gill Sans MT"/>
          <w:bCs/>
          <w:sz w:val="24"/>
          <w:szCs w:val="24"/>
        </w:rPr>
      </w:pPr>
      <w:hyperlink r:id="rId11" w:history="1">
        <w:r w:rsidR="005B740C" w:rsidRPr="00093F2A">
          <w:rPr>
            <w:rStyle w:val="Hyperlink"/>
            <w:rFonts w:ascii="Gill Sans MT" w:hAnsi="Gill Sans MT"/>
            <w:bCs/>
            <w:color w:val="auto"/>
            <w:sz w:val="24"/>
            <w:szCs w:val="24"/>
          </w:rPr>
          <w:t>ngot@ecu.edu</w:t>
        </w:r>
      </w:hyperlink>
      <w:r w:rsidR="005B740C" w:rsidRPr="00093F2A">
        <w:rPr>
          <w:rFonts w:ascii="Gill Sans MT" w:hAnsi="Gill Sans MT"/>
          <w:bCs/>
          <w:sz w:val="24"/>
          <w:szCs w:val="24"/>
        </w:rPr>
        <w:t xml:space="preserve"> </w:t>
      </w:r>
    </w:p>
    <w:p w14:paraId="172024CB" w14:textId="77777777" w:rsidR="005B740C" w:rsidRPr="00093F2A" w:rsidRDefault="005B740C" w:rsidP="005B740C">
      <w:pPr>
        <w:spacing w:line="360" w:lineRule="auto"/>
        <w:jc w:val="center"/>
        <w:rPr>
          <w:rFonts w:ascii="Gill Sans MT" w:hAnsi="Gill Sans MT"/>
          <w:bCs/>
          <w:sz w:val="24"/>
          <w:szCs w:val="24"/>
        </w:rPr>
      </w:pPr>
    </w:p>
    <w:p w14:paraId="4CA0ACA8" w14:textId="1239F1AE" w:rsidR="00810A26" w:rsidRPr="00093F2A" w:rsidRDefault="00810A26" w:rsidP="008F5E90">
      <w:pPr>
        <w:spacing w:line="240" w:lineRule="auto"/>
        <w:rPr>
          <w:rFonts w:ascii="Gill Sans MT" w:hAnsi="Gill Sans MT"/>
          <w:sz w:val="24"/>
          <w:szCs w:val="24"/>
        </w:rPr>
      </w:pPr>
      <w:r w:rsidRPr="00093F2A">
        <w:rPr>
          <w:rFonts w:ascii="Gill Sans MT" w:hAnsi="Gill Sans MT"/>
          <w:b/>
          <w:sz w:val="24"/>
          <w:szCs w:val="24"/>
          <w:u w:val="single"/>
        </w:rPr>
        <w:t>Abstract</w:t>
      </w:r>
      <w:r w:rsidRPr="00093F2A">
        <w:rPr>
          <w:rFonts w:ascii="Gill Sans MT" w:hAnsi="Gill Sans MT"/>
          <w:sz w:val="24"/>
          <w:szCs w:val="24"/>
        </w:rPr>
        <w:t>:</w:t>
      </w:r>
    </w:p>
    <w:p w14:paraId="53F94FA4" w14:textId="21479045" w:rsidR="00810A26" w:rsidRPr="00093F2A" w:rsidRDefault="00964357" w:rsidP="008F5E90">
      <w:pPr>
        <w:spacing w:line="240" w:lineRule="auto"/>
        <w:rPr>
          <w:rFonts w:ascii="Gill Sans MT" w:hAnsi="Gill Sans MT"/>
          <w:sz w:val="24"/>
          <w:szCs w:val="24"/>
        </w:rPr>
      </w:pPr>
      <w:r w:rsidRPr="00093F2A">
        <w:rPr>
          <w:rFonts w:ascii="Gill Sans MT" w:hAnsi="Gill Sans MT"/>
          <w:sz w:val="24"/>
          <w:szCs w:val="24"/>
        </w:rPr>
        <w:t>We compare and contrast (i) mergers and acquisitions (M&amp;As) by financial institutions</w:t>
      </w:r>
      <w:r w:rsidR="00465171" w:rsidRPr="00093F2A">
        <w:rPr>
          <w:rFonts w:ascii="Gill Sans MT" w:hAnsi="Gill Sans MT"/>
          <w:sz w:val="24"/>
          <w:szCs w:val="24"/>
        </w:rPr>
        <w:t xml:space="preserve"> (FIs)</w:t>
      </w:r>
      <w:r w:rsidRPr="00093F2A">
        <w:rPr>
          <w:rFonts w:ascii="Gill Sans MT" w:hAnsi="Gill Sans MT"/>
          <w:sz w:val="24"/>
          <w:szCs w:val="24"/>
        </w:rPr>
        <w:t xml:space="preserve"> that had the involvement of one or more private equity firms (PE) with (ii) acquisitions with no private equity involvement. We find that the M&amp;A announcement abnormal stock returns are higher for acquisitions with</w:t>
      </w:r>
      <w:r w:rsidR="002270EE" w:rsidRPr="00093F2A">
        <w:rPr>
          <w:rFonts w:ascii="Gill Sans MT" w:hAnsi="Gill Sans MT"/>
          <w:sz w:val="24"/>
          <w:szCs w:val="24"/>
        </w:rPr>
        <w:t>-</w:t>
      </w:r>
      <w:r w:rsidRPr="00093F2A">
        <w:rPr>
          <w:rFonts w:ascii="Gill Sans MT" w:hAnsi="Gill Sans MT"/>
          <w:sz w:val="24"/>
          <w:szCs w:val="24"/>
        </w:rPr>
        <w:t xml:space="preserve"> than without private equity involvement. Likewise, the post-announcement long-term annual stock returns are higher for deals with PE involvement. These deals also produce higher operating performance, and their stocks exhibit less volatility in the months following the announcement after controlling for a host of confounding variables. Our results are robust to year fixed effects, industry (i.e., business line) effects, and self-selection bias.</w:t>
      </w:r>
    </w:p>
    <w:p w14:paraId="7A8AF95F" w14:textId="77777777" w:rsidR="00870786" w:rsidRPr="00093F2A" w:rsidRDefault="00870786" w:rsidP="008F5E90">
      <w:pPr>
        <w:spacing w:line="240" w:lineRule="auto"/>
        <w:rPr>
          <w:rFonts w:ascii="Gill Sans MT" w:hAnsi="Gill Sans MT"/>
          <w:sz w:val="24"/>
          <w:szCs w:val="24"/>
        </w:rPr>
      </w:pPr>
    </w:p>
    <w:p w14:paraId="6F5094FC" w14:textId="367C0780" w:rsidR="00870786" w:rsidRPr="00093F2A" w:rsidRDefault="00870786" w:rsidP="008F5E90">
      <w:pPr>
        <w:spacing w:line="240" w:lineRule="auto"/>
        <w:rPr>
          <w:rFonts w:ascii="Gill Sans MT" w:hAnsi="Gill Sans MT"/>
          <w:sz w:val="24"/>
          <w:szCs w:val="24"/>
        </w:rPr>
      </w:pPr>
      <w:r w:rsidRPr="00093F2A">
        <w:rPr>
          <w:rFonts w:ascii="Gill Sans MT" w:hAnsi="Gill Sans MT"/>
          <w:sz w:val="24"/>
          <w:szCs w:val="24"/>
        </w:rPr>
        <w:t xml:space="preserve">Keywords: </w:t>
      </w:r>
      <w:r w:rsidR="0096764F" w:rsidRPr="00093F2A">
        <w:rPr>
          <w:rFonts w:ascii="Gill Sans MT" w:hAnsi="Gill Sans MT"/>
          <w:sz w:val="24"/>
          <w:szCs w:val="24"/>
        </w:rPr>
        <w:t>Financial Institutions; Banks; Mergers and Acquisitions in The Financial Industry</w:t>
      </w:r>
      <w:r w:rsidR="00A73073" w:rsidRPr="00093F2A">
        <w:rPr>
          <w:rFonts w:ascii="Gill Sans MT" w:hAnsi="Gill Sans MT"/>
          <w:sz w:val="24"/>
          <w:szCs w:val="24"/>
        </w:rPr>
        <w:t>;</w:t>
      </w:r>
      <w:r w:rsidRPr="00093F2A">
        <w:rPr>
          <w:rFonts w:ascii="Gill Sans MT" w:hAnsi="Gill Sans MT"/>
          <w:sz w:val="24"/>
          <w:szCs w:val="24"/>
        </w:rPr>
        <w:t xml:space="preserve"> Private </w:t>
      </w:r>
      <w:r w:rsidR="0096764F" w:rsidRPr="00093F2A">
        <w:rPr>
          <w:rFonts w:ascii="Gill Sans MT" w:hAnsi="Gill Sans MT"/>
          <w:sz w:val="24"/>
          <w:szCs w:val="24"/>
        </w:rPr>
        <w:t>E</w:t>
      </w:r>
      <w:r w:rsidRPr="00093F2A">
        <w:rPr>
          <w:rFonts w:ascii="Gill Sans MT" w:hAnsi="Gill Sans MT"/>
          <w:sz w:val="24"/>
          <w:szCs w:val="24"/>
        </w:rPr>
        <w:t>quity</w:t>
      </w:r>
      <w:r w:rsidR="00A73073" w:rsidRPr="00093F2A">
        <w:rPr>
          <w:rFonts w:ascii="Gill Sans MT" w:hAnsi="Gill Sans MT"/>
          <w:sz w:val="24"/>
          <w:szCs w:val="24"/>
        </w:rPr>
        <w:t>.</w:t>
      </w:r>
    </w:p>
    <w:p w14:paraId="017067E9" w14:textId="27921372" w:rsidR="00870786" w:rsidRPr="00093F2A" w:rsidRDefault="00870786" w:rsidP="008F5E90">
      <w:pPr>
        <w:spacing w:line="240" w:lineRule="auto"/>
        <w:rPr>
          <w:rFonts w:ascii="Gill Sans MT" w:hAnsi="Gill Sans MT"/>
          <w:sz w:val="24"/>
          <w:szCs w:val="24"/>
        </w:rPr>
      </w:pPr>
      <w:r w:rsidRPr="00093F2A">
        <w:rPr>
          <w:rFonts w:ascii="Gill Sans MT" w:hAnsi="Gill Sans MT"/>
          <w:sz w:val="24"/>
          <w:szCs w:val="24"/>
        </w:rPr>
        <w:t xml:space="preserve">JEL Classification: </w:t>
      </w:r>
      <w:r w:rsidR="00432A4D" w:rsidRPr="00093F2A">
        <w:rPr>
          <w:rFonts w:ascii="Gill Sans MT" w:hAnsi="Gill Sans MT"/>
          <w:sz w:val="24"/>
          <w:szCs w:val="24"/>
        </w:rPr>
        <w:t>G20, G21, G34</w:t>
      </w:r>
    </w:p>
    <w:p w14:paraId="26D6ED86" w14:textId="77777777" w:rsidR="00870786" w:rsidRPr="00093F2A" w:rsidRDefault="00870786" w:rsidP="008A7694">
      <w:pPr>
        <w:spacing w:line="360" w:lineRule="auto"/>
        <w:rPr>
          <w:rFonts w:ascii="Gill Sans MT" w:hAnsi="Gill Sans MT"/>
          <w:sz w:val="24"/>
          <w:szCs w:val="24"/>
        </w:rPr>
      </w:pPr>
    </w:p>
    <w:p w14:paraId="65315B46" w14:textId="77777777" w:rsidR="00C337DF" w:rsidRPr="00093F2A" w:rsidRDefault="00C337DF" w:rsidP="00C337DF">
      <w:pPr>
        <w:spacing w:line="360" w:lineRule="auto"/>
        <w:rPr>
          <w:rFonts w:ascii="Gill Sans MT" w:hAnsi="Gill Sans MT"/>
          <w:sz w:val="24"/>
          <w:szCs w:val="24"/>
        </w:rPr>
      </w:pPr>
    </w:p>
    <w:p w14:paraId="1891035E" w14:textId="1E6AB281" w:rsidR="00C337DF" w:rsidRPr="00093F2A" w:rsidRDefault="00C337DF" w:rsidP="008A7694">
      <w:pPr>
        <w:spacing w:line="360" w:lineRule="auto"/>
        <w:rPr>
          <w:rFonts w:ascii="Gill Sans MT" w:hAnsi="Gill Sans MT"/>
          <w:sz w:val="24"/>
          <w:szCs w:val="24"/>
        </w:rPr>
        <w:sectPr w:rsidR="00C337DF" w:rsidRPr="00093F2A" w:rsidSect="00AD4CEA">
          <w:footerReference w:type="default" r:id="rId12"/>
          <w:pgSz w:w="12240" w:h="15840"/>
          <w:pgMar w:top="1440" w:right="1440" w:bottom="1440" w:left="1440" w:header="720" w:footer="720" w:gutter="0"/>
          <w:cols w:space="720"/>
          <w:docGrid w:linePitch="360"/>
        </w:sectPr>
      </w:pPr>
    </w:p>
    <w:p w14:paraId="00B751BD" w14:textId="5E6C94AE" w:rsidR="00810A26" w:rsidRPr="00093F2A" w:rsidRDefault="00810A26" w:rsidP="008F5E90">
      <w:pPr>
        <w:pStyle w:val="ListParagraph"/>
        <w:numPr>
          <w:ilvl w:val="0"/>
          <w:numId w:val="2"/>
        </w:numPr>
        <w:spacing w:line="480" w:lineRule="auto"/>
        <w:rPr>
          <w:rFonts w:ascii="Gill Sans MT" w:hAnsi="Gill Sans MT"/>
          <w:b/>
          <w:sz w:val="24"/>
          <w:szCs w:val="24"/>
        </w:rPr>
      </w:pPr>
      <w:r w:rsidRPr="00093F2A">
        <w:rPr>
          <w:rFonts w:ascii="Gill Sans MT" w:hAnsi="Gill Sans MT"/>
          <w:b/>
          <w:sz w:val="24"/>
          <w:szCs w:val="24"/>
        </w:rPr>
        <w:lastRenderedPageBreak/>
        <w:t xml:space="preserve">Introduction </w:t>
      </w:r>
    </w:p>
    <w:p w14:paraId="08D5DDAA" w14:textId="01C20920" w:rsidR="008F18F4" w:rsidRPr="00093F2A" w:rsidRDefault="008F18F4" w:rsidP="00762B2E">
      <w:pPr>
        <w:spacing w:line="480" w:lineRule="auto"/>
        <w:ind w:firstLine="720"/>
        <w:rPr>
          <w:rFonts w:ascii="Gill Sans MT" w:hAnsi="Gill Sans MT"/>
          <w:sz w:val="24"/>
          <w:szCs w:val="24"/>
        </w:rPr>
      </w:pPr>
      <w:r w:rsidRPr="00093F2A">
        <w:rPr>
          <w:rFonts w:ascii="Gill Sans MT" w:hAnsi="Gill Sans MT"/>
          <w:sz w:val="24"/>
          <w:szCs w:val="24"/>
        </w:rPr>
        <w:t>The CFA Institute defines private equity as “</w:t>
      </w:r>
      <w:r w:rsidRPr="00093F2A">
        <w:rPr>
          <w:rFonts w:ascii="Gill Sans MT" w:hAnsi="Gill Sans MT"/>
          <w:i/>
          <w:iCs/>
          <w:sz w:val="24"/>
          <w:szCs w:val="24"/>
        </w:rPr>
        <w:t xml:space="preserve">the entire asset class of equity investments that are not quoted on stock markets. Private equity stretches from venture capital (VC)—working with </w:t>
      </w:r>
      <w:r w:rsidR="00917343" w:rsidRPr="00093F2A">
        <w:rPr>
          <w:rFonts w:ascii="Gill Sans MT" w:hAnsi="Gill Sans MT"/>
          <w:i/>
          <w:iCs/>
          <w:sz w:val="24"/>
          <w:szCs w:val="24"/>
        </w:rPr>
        <w:t>early-stage</w:t>
      </w:r>
      <w:r w:rsidRPr="00093F2A">
        <w:rPr>
          <w:rFonts w:ascii="Gill Sans MT" w:hAnsi="Gill Sans MT"/>
          <w:i/>
          <w:iCs/>
          <w:sz w:val="24"/>
          <w:szCs w:val="24"/>
        </w:rPr>
        <w:t xml:space="preserve"> companies that may be without revenues but that possess good ideas or technology—to growth equity, providing capital to expand established private businesses often by taking a minority interest, all the way to large buyouts (leveraged buyouts, or LBOs), in which the private equity firm buys the entire company. When the target is publicly traded, the private equity fund performs a public-to-private transaction, removing the target from the stock market.</w:t>
      </w:r>
      <w:r w:rsidRPr="00093F2A">
        <w:rPr>
          <w:rFonts w:ascii="Gill Sans MT" w:hAnsi="Gill Sans MT"/>
          <w:sz w:val="24"/>
          <w:szCs w:val="24"/>
        </w:rPr>
        <w:t>”</w:t>
      </w:r>
      <w:r w:rsidRPr="00093F2A">
        <w:rPr>
          <w:rStyle w:val="FootnoteReference"/>
          <w:rFonts w:ascii="Gill Sans MT" w:hAnsi="Gill Sans MT"/>
          <w:sz w:val="24"/>
          <w:szCs w:val="24"/>
        </w:rPr>
        <w:footnoteReference w:id="1"/>
      </w:r>
      <w:r w:rsidRPr="00093F2A">
        <w:rPr>
          <w:rFonts w:ascii="Gill Sans MT" w:hAnsi="Gill Sans MT"/>
          <w:sz w:val="24"/>
          <w:szCs w:val="24"/>
        </w:rPr>
        <w:t xml:space="preserve"> </w:t>
      </w:r>
    </w:p>
    <w:p w14:paraId="64D7830F" w14:textId="77777777" w:rsidR="0000014B" w:rsidRDefault="008F18F4" w:rsidP="008F5E90">
      <w:pPr>
        <w:spacing w:line="480" w:lineRule="auto"/>
        <w:ind w:firstLine="720"/>
        <w:rPr>
          <w:rFonts w:ascii="Gill Sans MT" w:hAnsi="Gill Sans MT"/>
          <w:sz w:val="24"/>
          <w:szCs w:val="24"/>
        </w:rPr>
      </w:pPr>
      <w:r w:rsidRPr="00093F2A">
        <w:rPr>
          <w:rFonts w:ascii="Gill Sans MT" w:hAnsi="Gill Sans MT"/>
          <w:sz w:val="24"/>
          <w:szCs w:val="24"/>
        </w:rPr>
        <w:t>Private equity</w:t>
      </w:r>
      <w:r w:rsidR="00EF79A8" w:rsidRPr="00093F2A">
        <w:rPr>
          <w:rFonts w:ascii="Gill Sans MT" w:hAnsi="Gill Sans MT"/>
          <w:sz w:val="24"/>
          <w:szCs w:val="24"/>
        </w:rPr>
        <w:t xml:space="preserve"> (PE)</w:t>
      </w:r>
      <w:r w:rsidRPr="00093F2A">
        <w:rPr>
          <w:rFonts w:ascii="Gill Sans MT" w:hAnsi="Gill Sans MT"/>
          <w:sz w:val="24"/>
          <w:szCs w:val="24"/>
        </w:rPr>
        <w:t xml:space="preserve"> capital has come to the rescue of financial institutions</w:t>
      </w:r>
      <w:r w:rsidR="00EF79A8" w:rsidRPr="00093F2A">
        <w:rPr>
          <w:rFonts w:ascii="Gill Sans MT" w:hAnsi="Gill Sans MT"/>
          <w:sz w:val="24"/>
          <w:szCs w:val="24"/>
        </w:rPr>
        <w:t xml:space="preserve"> (FIs)</w:t>
      </w:r>
      <w:r w:rsidRPr="00093F2A">
        <w:rPr>
          <w:rFonts w:ascii="Gill Sans MT" w:hAnsi="Gill Sans MT"/>
          <w:sz w:val="24"/>
          <w:szCs w:val="24"/>
        </w:rPr>
        <w:t xml:space="preserve"> at the most critical </w:t>
      </w:r>
      <w:r w:rsidR="00A40B32" w:rsidRPr="00093F2A">
        <w:rPr>
          <w:rFonts w:ascii="Gill Sans MT" w:hAnsi="Gill Sans MT"/>
          <w:sz w:val="24"/>
          <w:szCs w:val="24"/>
        </w:rPr>
        <w:t xml:space="preserve">of </w:t>
      </w:r>
      <w:r w:rsidRPr="00093F2A">
        <w:rPr>
          <w:rFonts w:ascii="Gill Sans MT" w:hAnsi="Gill Sans MT"/>
          <w:sz w:val="24"/>
          <w:szCs w:val="24"/>
        </w:rPr>
        <w:t>times, and in many instances, they were the only viable options</w:t>
      </w:r>
      <w:r w:rsidR="001945D2" w:rsidRPr="00093F2A">
        <w:rPr>
          <w:rFonts w:ascii="Gill Sans MT" w:hAnsi="Gill Sans MT"/>
          <w:sz w:val="24"/>
          <w:szCs w:val="24"/>
        </w:rPr>
        <w:t xml:space="preserve"> for a brief period</w:t>
      </w:r>
      <w:r w:rsidRPr="00093F2A">
        <w:rPr>
          <w:rFonts w:ascii="Gill Sans MT" w:hAnsi="Gill Sans MT"/>
          <w:sz w:val="24"/>
          <w:szCs w:val="24"/>
        </w:rPr>
        <w:t xml:space="preserve">. For example, two of the </w:t>
      </w:r>
      <w:r w:rsidR="00EE2635" w:rsidRPr="00093F2A">
        <w:rPr>
          <w:rFonts w:ascii="Gill Sans MT" w:hAnsi="Gill Sans MT"/>
          <w:sz w:val="24"/>
          <w:szCs w:val="24"/>
        </w:rPr>
        <w:t>largest</w:t>
      </w:r>
      <w:r w:rsidRPr="00093F2A">
        <w:rPr>
          <w:rFonts w:ascii="Gill Sans MT" w:hAnsi="Gill Sans MT"/>
          <w:sz w:val="24"/>
          <w:szCs w:val="24"/>
        </w:rPr>
        <w:t xml:space="preserve"> bank failures in the 2007-2008 subprime mortgage crisis were BankUnited, F.S.B., and IndyMac Bank, F.S.B., and both were resurrected by private equity buying directly from the Federal Deposit Insurance Corporation (FDIC). </w:t>
      </w:r>
      <w:r w:rsidR="004F54EF" w:rsidRPr="00093F2A">
        <w:rPr>
          <w:rFonts w:ascii="Gill Sans MT" w:hAnsi="Gill Sans MT"/>
          <w:sz w:val="24"/>
          <w:szCs w:val="24"/>
        </w:rPr>
        <w:t>The international law firm White &amp; Case LLP writes that "</w:t>
      </w:r>
      <w:r w:rsidR="004F54EF" w:rsidRPr="00093F2A">
        <w:rPr>
          <w:rFonts w:ascii="Gill Sans MT" w:hAnsi="Gill Sans MT"/>
          <w:i/>
          <w:iCs/>
          <w:sz w:val="24"/>
          <w:szCs w:val="24"/>
        </w:rPr>
        <w:t>After stepping into the space vacated by traditional banks and strategic investors following the financial crisis, private equity has established itself as a force to be reckoned with in financial services deal making</w:t>
      </w:r>
      <w:r w:rsidR="004F54EF" w:rsidRPr="00093F2A">
        <w:rPr>
          <w:rFonts w:ascii="Gill Sans MT" w:hAnsi="Gill Sans MT"/>
          <w:sz w:val="24"/>
          <w:szCs w:val="24"/>
        </w:rPr>
        <w:t>."</w:t>
      </w:r>
      <w:r w:rsidR="004F54EF" w:rsidRPr="00093F2A">
        <w:rPr>
          <w:rStyle w:val="FootnoteReference"/>
          <w:rFonts w:ascii="Gill Sans MT" w:hAnsi="Gill Sans MT"/>
          <w:sz w:val="24"/>
          <w:szCs w:val="24"/>
        </w:rPr>
        <w:footnoteReference w:id="2"/>
      </w:r>
      <w:r w:rsidR="004F54EF" w:rsidRPr="00093F2A">
        <w:rPr>
          <w:rFonts w:ascii="Gill Sans MT" w:hAnsi="Gill Sans MT"/>
          <w:sz w:val="24"/>
          <w:szCs w:val="24"/>
        </w:rPr>
        <w:t xml:space="preserve"> </w:t>
      </w:r>
      <w:r w:rsidR="00392E21" w:rsidRPr="00093F2A">
        <w:rPr>
          <w:rFonts w:ascii="Gill Sans MT" w:hAnsi="Gill Sans MT"/>
          <w:sz w:val="24"/>
          <w:szCs w:val="24"/>
        </w:rPr>
        <w:t>PE firms</w:t>
      </w:r>
      <w:r w:rsidRPr="00093F2A">
        <w:rPr>
          <w:rFonts w:ascii="Gill Sans MT" w:hAnsi="Gill Sans MT"/>
          <w:sz w:val="24"/>
          <w:szCs w:val="24"/>
        </w:rPr>
        <w:t xml:space="preserve"> have to navigate significant regulatory hurdles to establish their financial industry presence, such as the Bank Holding Act of 1956, the Change in Bank Control Act, and numerous guidance issued by the Federal Reserve and the FDIC. </w:t>
      </w:r>
      <w:r w:rsidR="00A40B32" w:rsidRPr="00093F2A">
        <w:rPr>
          <w:rFonts w:ascii="Gill Sans MT" w:hAnsi="Gill Sans MT"/>
          <w:sz w:val="24"/>
          <w:szCs w:val="24"/>
        </w:rPr>
        <w:t xml:space="preserve">Although the 2007-2008 subprime mortgage crisis has also made regulators realize that changes in legislation and regulations are required to open the investor base financial </w:t>
      </w:r>
      <w:r w:rsidR="00A40B32" w:rsidRPr="00093F2A">
        <w:rPr>
          <w:rFonts w:ascii="Gill Sans MT" w:hAnsi="Gill Sans MT"/>
          <w:sz w:val="24"/>
          <w:szCs w:val="24"/>
        </w:rPr>
        <w:lastRenderedPageBreak/>
        <w:t>institutions</w:t>
      </w:r>
      <w:r w:rsidR="00EF79A8" w:rsidRPr="00093F2A">
        <w:rPr>
          <w:rFonts w:ascii="Gill Sans MT" w:hAnsi="Gill Sans MT"/>
          <w:sz w:val="24"/>
          <w:szCs w:val="24"/>
        </w:rPr>
        <w:t xml:space="preserve"> (FIs)</w:t>
      </w:r>
      <w:r w:rsidR="00A40B32" w:rsidRPr="00093F2A">
        <w:rPr>
          <w:rFonts w:ascii="Gill Sans MT" w:hAnsi="Gill Sans MT"/>
          <w:sz w:val="24"/>
          <w:szCs w:val="24"/>
        </w:rPr>
        <w:t xml:space="preserve"> can rely upon</w:t>
      </w:r>
      <w:r w:rsidR="00392E21" w:rsidRPr="00093F2A">
        <w:rPr>
          <w:rFonts w:ascii="Gill Sans MT" w:hAnsi="Gill Sans MT"/>
          <w:sz w:val="24"/>
          <w:szCs w:val="24"/>
        </w:rPr>
        <w:t xml:space="preserve"> to shore up capital</w:t>
      </w:r>
      <w:r w:rsidR="00A40B32" w:rsidRPr="00093F2A">
        <w:rPr>
          <w:rFonts w:ascii="Gill Sans MT" w:hAnsi="Gill Sans MT"/>
          <w:sz w:val="24"/>
          <w:szCs w:val="24"/>
        </w:rPr>
        <w:t>, especially during crises.</w:t>
      </w:r>
      <w:r w:rsidR="00433CF1" w:rsidRPr="00093F2A">
        <w:rPr>
          <w:rFonts w:ascii="Gill Sans MT" w:hAnsi="Gill Sans MT"/>
          <w:sz w:val="24"/>
          <w:szCs w:val="24"/>
        </w:rPr>
        <w:t xml:space="preserve"> This </w:t>
      </w:r>
      <w:r w:rsidR="0BCC54FF" w:rsidRPr="00093F2A">
        <w:rPr>
          <w:rFonts w:ascii="Gill Sans MT" w:hAnsi="Gill Sans MT"/>
          <w:sz w:val="24"/>
          <w:szCs w:val="24"/>
        </w:rPr>
        <w:t xml:space="preserve">motivates us to explore the value PEs add to financial institution mergers and acquisitions in this study. </w:t>
      </w:r>
    </w:p>
    <w:p w14:paraId="2A820A16" w14:textId="77777777" w:rsidR="00CA473A" w:rsidRDefault="0BCC54FF" w:rsidP="008F5E90">
      <w:pPr>
        <w:spacing w:line="480" w:lineRule="auto"/>
        <w:ind w:firstLine="720"/>
        <w:rPr>
          <w:rFonts w:ascii="Gill Sans MT" w:hAnsi="Gill Sans MT"/>
          <w:sz w:val="24"/>
          <w:szCs w:val="24"/>
        </w:rPr>
      </w:pPr>
      <w:r w:rsidRPr="00093F2A">
        <w:rPr>
          <w:rFonts w:ascii="Gill Sans MT" w:hAnsi="Gill Sans MT"/>
          <w:sz w:val="24"/>
          <w:szCs w:val="24"/>
        </w:rPr>
        <w:t xml:space="preserve">We contribute to the limited research on PE involvement in financial institution mergers and acquisitions by examining the value that PEs add to these transactions through profitability, performance, and risk. </w:t>
      </w:r>
      <w:r w:rsidR="4DEB7C1D" w:rsidRPr="00093F2A">
        <w:rPr>
          <w:rFonts w:ascii="Gill Sans MT" w:hAnsi="Gill Sans MT"/>
          <w:sz w:val="24"/>
          <w:szCs w:val="24"/>
        </w:rPr>
        <w:t>The results of better performance in the M&amp;As involving PEs stem from the enhanced competition from consortiums, which can allow PEs to combine resources (Cho et al., 2002), information (Debrock and Smith, 1983), and develop synergies with consortium members (Song, 2004). The added value from PEs may come from the ability to pool finances (Cho et al. 2002) and information to provide more accurate estimates (DeBrock and Smith, 1983). Glanfrate and Gouigoux (2015) find that private equity funds' investments lead to improvements in banks' operating performance</w:t>
      </w:r>
      <w:r w:rsidR="0000014B">
        <w:rPr>
          <w:rFonts w:ascii="Gill Sans MT" w:hAnsi="Gill Sans MT"/>
          <w:sz w:val="24"/>
          <w:szCs w:val="24"/>
        </w:rPr>
        <w:t xml:space="preserve"> using</w:t>
      </w:r>
      <w:r w:rsidR="0000014B" w:rsidRPr="00093F2A">
        <w:rPr>
          <w:rFonts w:ascii="Gill Sans MT" w:hAnsi="Gill Sans MT"/>
          <w:sz w:val="24"/>
          <w:szCs w:val="24"/>
        </w:rPr>
        <w:t xml:space="preserve"> a sample of PE firms around the world</w:t>
      </w:r>
      <w:r w:rsidR="4DEB7C1D" w:rsidRPr="00093F2A">
        <w:rPr>
          <w:rFonts w:ascii="Gill Sans MT" w:hAnsi="Gill Sans MT"/>
          <w:sz w:val="24"/>
          <w:szCs w:val="24"/>
        </w:rPr>
        <w:t>. The value drivers include reductions in loan loss provisions, the selloff of non-performing loans (NPLs), improvement in the banks' asset quality, and gains realized on asset sales. The banks are left on more solid grounds following the exit of private equity funds. Glanfrate and Gouigoux (2015) focus on post-investment performance and operating metrics, examining banks throughout the world. Our paper differs from th</w:t>
      </w:r>
      <w:r w:rsidR="00CA473A">
        <w:rPr>
          <w:rFonts w:ascii="Gill Sans MT" w:hAnsi="Gill Sans MT"/>
          <w:sz w:val="24"/>
          <w:szCs w:val="24"/>
        </w:rPr>
        <w:t xml:space="preserve">eirs in that </w:t>
      </w:r>
      <w:r w:rsidR="4DEB7C1D" w:rsidRPr="00093F2A">
        <w:rPr>
          <w:rFonts w:ascii="Gill Sans MT" w:hAnsi="Gill Sans MT"/>
          <w:sz w:val="24"/>
          <w:szCs w:val="24"/>
        </w:rPr>
        <w:t>we focus on a U</w:t>
      </w:r>
      <w:r w:rsidR="00CA473A">
        <w:rPr>
          <w:rFonts w:ascii="Gill Sans MT" w:hAnsi="Gill Sans MT"/>
          <w:sz w:val="24"/>
          <w:szCs w:val="24"/>
        </w:rPr>
        <w:t>.</w:t>
      </w:r>
      <w:r w:rsidR="4DEB7C1D" w:rsidRPr="00093F2A">
        <w:rPr>
          <w:rFonts w:ascii="Gill Sans MT" w:hAnsi="Gill Sans MT"/>
          <w:sz w:val="24"/>
          <w:szCs w:val="24"/>
        </w:rPr>
        <w:t>S</w:t>
      </w:r>
      <w:r w:rsidR="00CA473A">
        <w:rPr>
          <w:rFonts w:ascii="Gill Sans MT" w:hAnsi="Gill Sans MT"/>
          <w:sz w:val="24"/>
          <w:szCs w:val="24"/>
        </w:rPr>
        <w:t>.</w:t>
      </w:r>
      <w:r w:rsidR="4DEB7C1D" w:rsidRPr="00093F2A">
        <w:rPr>
          <w:rFonts w:ascii="Gill Sans MT" w:hAnsi="Gill Sans MT"/>
          <w:sz w:val="24"/>
          <w:szCs w:val="24"/>
        </w:rPr>
        <w:t xml:space="preserve"> sample. </w:t>
      </w:r>
    </w:p>
    <w:p w14:paraId="48C92876" w14:textId="0298C697" w:rsidR="0093720E" w:rsidRPr="00093F2A" w:rsidRDefault="4DEB7C1D" w:rsidP="008F5E90">
      <w:pPr>
        <w:spacing w:line="480" w:lineRule="auto"/>
        <w:ind w:firstLine="720"/>
        <w:rPr>
          <w:rFonts w:ascii="Gill Sans MT" w:hAnsi="Gill Sans MT"/>
          <w:sz w:val="24"/>
          <w:szCs w:val="24"/>
        </w:rPr>
      </w:pPr>
      <w:r w:rsidRPr="00093F2A">
        <w:rPr>
          <w:rFonts w:ascii="Gill Sans MT" w:hAnsi="Gill Sans MT"/>
          <w:sz w:val="24"/>
          <w:szCs w:val="24"/>
        </w:rPr>
        <w:t xml:space="preserve">Furthermore, we examine </w:t>
      </w:r>
      <w:r w:rsidR="00CA473A">
        <w:rPr>
          <w:rFonts w:ascii="Gill Sans MT" w:hAnsi="Gill Sans MT"/>
          <w:sz w:val="24"/>
          <w:szCs w:val="24"/>
        </w:rPr>
        <w:t>long-term b</w:t>
      </w:r>
      <w:r w:rsidRPr="00093F2A">
        <w:rPr>
          <w:rFonts w:ascii="Gill Sans MT" w:hAnsi="Gill Sans MT"/>
          <w:sz w:val="24"/>
          <w:szCs w:val="24"/>
        </w:rPr>
        <w:t xml:space="preserve">uy and </w:t>
      </w:r>
      <w:r w:rsidR="00CA473A">
        <w:rPr>
          <w:rFonts w:ascii="Gill Sans MT" w:hAnsi="Gill Sans MT"/>
          <w:sz w:val="24"/>
          <w:szCs w:val="24"/>
        </w:rPr>
        <w:t>h</w:t>
      </w:r>
      <w:r w:rsidRPr="00093F2A">
        <w:rPr>
          <w:rFonts w:ascii="Gill Sans MT" w:hAnsi="Gill Sans MT"/>
          <w:sz w:val="24"/>
          <w:szCs w:val="24"/>
        </w:rPr>
        <w:t xml:space="preserve">old </w:t>
      </w:r>
      <w:r w:rsidR="00CA473A">
        <w:rPr>
          <w:rFonts w:ascii="Gill Sans MT" w:hAnsi="Gill Sans MT"/>
          <w:sz w:val="24"/>
          <w:szCs w:val="24"/>
        </w:rPr>
        <w:t>a</w:t>
      </w:r>
      <w:r w:rsidRPr="00093F2A">
        <w:rPr>
          <w:rFonts w:ascii="Gill Sans MT" w:hAnsi="Gill Sans MT"/>
          <w:sz w:val="24"/>
          <w:szCs w:val="24"/>
        </w:rPr>
        <w:t>bnormal returns, which may have implications for long-term investors. Graf, Kaser, and Schmidt (2012) investigate the market timing ability of PEs investing in the financial institutions industry. The authors focus on the financial institutions industry, which is large, heterogeneous and includes mortgage bank, depository and trading services, and consumer financing products</w:t>
      </w:r>
      <w:r w:rsidR="00CA473A">
        <w:rPr>
          <w:rFonts w:ascii="Gill Sans MT" w:hAnsi="Gill Sans MT"/>
          <w:sz w:val="24"/>
          <w:szCs w:val="24"/>
        </w:rPr>
        <w:t>,</w:t>
      </w:r>
      <w:r w:rsidRPr="00093F2A">
        <w:rPr>
          <w:rFonts w:ascii="Gill Sans MT" w:hAnsi="Gill Sans MT"/>
          <w:sz w:val="24"/>
          <w:szCs w:val="24"/>
        </w:rPr>
        <w:t xml:space="preserve"> while our paper focuses on banks which are subject to specific regulations.</w:t>
      </w:r>
    </w:p>
    <w:p w14:paraId="4A7E365A" w14:textId="44A86C18" w:rsidR="0093720E" w:rsidRPr="00093F2A" w:rsidRDefault="4DEB7C1D">
      <w:pPr>
        <w:spacing w:line="480" w:lineRule="auto"/>
        <w:ind w:firstLine="720"/>
        <w:rPr>
          <w:rFonts w:ascii="Gill Sans MT" w:hAnsi="Gill Sans MT"/>
          <w:sz w:val="24"/>
          <w:szCs w:val="24"/>
        </w:rPr>
      </w:pPr>
      <w:r w:rsidRPr="00093F2A">
        <w:rPr>
          <w:rFonts w:ascii="Gill Sans MT" w:hAnsi="Gill Sans MT"/>
          <w:sz w:val="24"/>
          <w:szCs w:val="24"/>
        </w:rPr>
        <w:lastRenderedPageBreak/>
        <w:t>Lower risk with PE involvement stems from the experience PEs have with M&amp;As. They are well-versed in acquiring investments, using the buy and build strategies</w:t>
      </w:r>
      <w:r w:rsidR="00917ECD">
        <w:rPr>
          <w:rFonts w:ascii="Gill Sans MT" w:hAnsi="Gill Sans MT"/>
          <w:sz w:val="24"/>
          <w:szCs w:val="24"/>
        </w:rPr>
        <w:t>;</w:t>
      </w:r>
      <w:r w:rsidRPr="00093F2A">
        <w:rPr>
          <w:rFonts w:ascii="Gill Sans MT" w:hAnsi="Gill Sans MT"/>
          <w:sz w:val="24"/>
          <w:szCs w:val="24"/>
        </w:rPr>
        <w:t xml:space="preserve"> they </w:t>
      </w:r>
      <w:r w:rsidR="00917ECD">
        <w:rPr>
          <w:rFonts w:ascii="Gill Sans MT" w:hAnsi="Gill Sans MT"/>
          <w:sz w:val="24"/>
          <w:szCs w:val="24"/>
        </w:rPr>
        <w:t xml:space="preserve">create </w:t>
      </w:r>
      <w:r w:rsidRPr="00093F2A">
        <w:rPr>
          <w:rFonts w:ascii="Gill Sans MT" w:hAnsi="Gill Sans MT"/>
          <w:sz w:val="24"/>
          <w:szCs w:val="24"/>
        </w:rPr>
        <w:t xml:space="preserve">synergies and improve operational efficiency, which </w:t>
      </w:r>
      <w:r w:rsidR="00917ECD">
        <w:rPr>
          <w:rFonts w:ascii="Gill Sans MT" w:hAnsi="Gill Sans MT"/>
          <w:sz w:val="24"/>
          <w:szCs w:val="24"/>
        </w:rPr>
        <w:t xml:space="preserve">in turn </w:t>
      </w:r>
      <w:r w:rsidRPr="00093F2A">
        <w:rPr>
          <w:rFonts w:ascii="Gill Sans MT" w:hAnsi="Gill Sans MT"/>
          <w:sz w:val="24"/>
          <w:szCs w:val="24"/>
        </w:rPr>
        <w:t xml:space="preserve">reduces </w:t>
      </w:r>
      <w:r w:rsidR="00917ECD">
        <w:rPr>
          <w:rFonts w:ascii="Gill Sans MT" w:hAnsi="Gill Sans MT"/>
          <w:sz w:val="24"/>
          <w:szCs w:val="24"/>
        </w:rPr>
        <w:t xml:space="preserve">firm </w:t>
      </w:r>
      <w:r w:rsidRPr="00093F2A">
        <w:rPr>
          <w:rFonts w:ascii="Gill Sans MT" w:hAnsi="Gill Sans MT"/>
          <w:sz w:val="24"/>
          <w:szCs w:val="24"/>
        </w:rPr>
        <w:t>risk. White &amp; Case LLP. (2017) discuss how private equity implements the buy and build strategy in order to add value to target firms. PE-involved acquisitions may also be a quality signal of the deal because of the experience of PE firms in implementing the buy and build strategy, which could reduce perceived risk associated with the acquisition by investors. PE investments are mainly LBOs, because they invest in companies, subsequently, building expertise in making these types of investments. PEs use of the buy and build strategy implies that they are turning around companies, thereby improving underutilized or inefficiently managed assets, operations, and resources of the target company. The experience and expertise from PEs would also improve long-term and operating performance.</w:t>
      </w:r>
    </w:p>
    <w:p w14:paraId="332376CF" w14:textId="1B266BB7" w:rsidR="0093720E" w:rsidRPr="00093F2A" w:rsidRDefault="0093720E" w:rsidP="00762B2E">
      <w:pPr>
        <w:spacing w:line="480" w:lineRule="auto"/>
        <w:ind w:firstLine="720"/>
        <w:rPr>
          <w:rFonts w:ascii="Gill Sans MT" w:hAnsi="Gill Sans MT"/>
          <w:sz w:val="24"/>
          <w:szCs w:val="24"/>
        </w:rPr>
      </w:pPr>
      <w:r w:rsidRPr="00093F2A">
        <w:rPr>
          <w:rFonts w:ascii="Gill Sans MT" w:hAnsi="Gill Sans MT"/>
          <w:sz w:val="24"/>
          <w:szCs w:val="24"/>
        </w:rPr>
        <w:t xml:space="preserve">Our primary research question is whether mergers with private equity involvement perform better than mergers without private equity involvement. A series of tests are conducted looking at the cumulative abnormal returns for the bidder firm around the M&amp;A announcement of a deal involving PE. We also consider the post-announcement long-term stock returns, the operating performance, and the volatility in the stock price. Based on a sample of financial institutions (FIs) from 2005-2017, we find that acquisitions with PE involvement perform better around the announcement date (yielding positive cumulative announcement abnormal stock returns), in the long term (yielding positive long-run buy and hold abnormal returns of the acquiring FI's stock). The positive effects seem justified as the acquiring FI's operating performance improves post-acquisition. There is also a lower variability </w:t>
      </w:r>
      <w:r w:rsidRPr="00093F2A">
        <w:rPr>
          <w:rFonts w:ascii="Gill Sans MT" w:hAnsi="Gill Sans MT"/>
          <w:sz w:val="24"/>
          <w:szCs w:val="24"/>
        </w:rPr>
        <w:lastRenderedPageBreak/>
        <w:t xml:space="preserve">in the stock returns of acquirers post-acquisition, which points to lesser uncertainty in the firm's stock value. </w:t>
      </w:r>
    </w:p>
    <w:p w14:paraId="099A0D12" w14:textId="186D0FB4" w:rsidR="00E60B36" w:rsidRPr="00FC7B3A" w:rsidRDefault="0093720E" w:rsidP="00FC7B3A">
      <w:pPr>
        <w:pStyle w:val="ListParagraph"/>
        <w:numPr>
          <w:ilvl w:val="0"/>
          <w:numId w:val="2"/>
        </w:numPr>
        <w:spacing w:line="480" w:lineRule="auto"/>
        <w:rPr>
          <w:rFonts w:ascii="Gill Sans MT" w:hAnsi="Gill Sans MT"/>
          <w:b/>
          <w:bCs/>
          <w:sz w:val="24"/>
          <w:szCs w:val="24"/>
        </w:rPr>
      </w:pPr>
      <w:r w:rsidRPr="00FC7B3A">
        <w:rPr>
          <w:rFonts w:ascii="Gill Sans MT" w:hAnsi="Gill Sans MT"/>
          <w:b/>
          <w:bCs/>
          <w:sz w:val="24"/>
          <w:szCs w:val="24"/>
        </w:rPr>
        <w:t>Literature Review</w:t>
      </w:r>
      <w:r w:rsidR="00E60B36" w:rsidRPr="00FC7B3A">
        <w:rPr>
          <w:rFonts w:ascii="Gill Sans MT" w:hAnsi="Gill Sans MT"/>
          <w:b/>
          <w:bCs/>
          <w:sz w:val="24"/>
          <w:szCs w:val="24"/>
        </w:rPr>
        <w:t xml:space="preserve"> </w:t>
      </w:r>
      <w:r w:rsidR="007D44CB" w:rsidRPr="00FC7B3A">
        <w:rPr>
          <w:rFonts w:ascii="Gill Sans MT" w:hAnsi="Gill Sans MT"/>
          <w:b/>
          <w:bCs/>
          <w:sz w:val="24"/>
          <w:szCs w:val="24"/>
        </w:rPr>
        <w:t xml:space="preserve">  </w:t>
      </w:r>
    </w:p>
    <w:p w14:paraId="19F9FBF1" w14:textId="629DDB3D" w:rsidR="008F18F4" w:rsidRPr="00093F2A" w:rsidRDefault="0010620B" w:rsidP="008F5E90">
      <w:pPr>
        <w:spacing w:line="480" w:lineRule="auto"/>
        <w:ind w:firstLine="720"/>
        <w:rPr>
          <w:rFonts w:ascii="Gill Sans MT" w:hAnsi="Gill Sans MT"/>
          <w:sz w:val="24"/>
          <w:szCs w:val="24"/>
        </w:rPr>
      </w:pPr>
      <w:r w:rsidRPr="00093F2A">
        <w:rPr>
          <w:rFonts w:ascii="Gill Sans MT" w:hAnsi="Gill Sans MT"/>
          <w:sz w:val="24"/>
          <w:szCs w:val="24"/>
        </w:rPr>
        <w:t xml:space="preserve">PE presence in the financial sector is not solely due to external factors. </w:t>
      </w:r>
      <w:r w:rsidR="001E11B1" w:rsidRPr="00093F2A">
        <w:rPr>
          <w:rFonts w:ascii="Gill Sans MT" w:hAnsi="Gill Sans MT"/>
          <w:sz w:val="24"/>
          <w:szCs w:val="24"/>
        </w:rPr>
        <w:t xml:space="preserve">The value-added by PE is </w:t>
      </w:r>
      <w:r w:rsidR="00EE2635" w:rsidRPr="00093F2A">
        <w:rPr>
          <w:rFonts w:ascii="Gill Sans MT" w:hAnsi="Gill Sans MT"/>
          <w:sz w:val="24"/>
          <w:szCs w:val="24"/>
        </w:rPr>
        <w:t>well documented</w:t>
      </w:r>
      <w:r w:rsidR="001E11B1" w:rsidRPr="00093F2A">
        <w:rPr>
          <w:rFonts w:ascii="Gill Sans MT" w:hAnsi="Gill Sans MT"/>
          <w:sz w:val="24"/>
          <w:szCs w:val="24"/>
        </w:rPr>
        <w:t xml:space="preserve"> in Meuleman, Amess, Wright, and Scholes, 2009; Wood and Wright, 2009; Axelson, Stromberg, and Weisbach, 2009; Cumming, and Walz, 2010; and Gompers et al., 2016. PE firms can add value to startup</w:t>
      </w:r>
      <w:r w:rsidR="00694069" w:rsidRPr="00093F2A">
        <w:rPr>
          <w:rFonts w:ascii="Gill Sans MT" w:hAnsi="Gill Sans MT"/>
          <w:sz w:val="24"/>
          <w:szCs w:val="24"/>
        </w:rPr>
        <w:t xml:space="preserve"> (</w:t>
      </w:r>
      <w:r w:rsidR="00917343" w:rsidRPr="00093F2A">
        <w:rPr>
          <w:rFonts w:ascii="Gill Sans MT" w:hAnsi="Gill Sans MT"/>
          <w:sz w:val="24"/>
          <w:szCs w:val="24"/>
        </w:rPr>
        <w:t xml:space="preserve">Fintech </w:t>
      </w:r>
      <w:r w:rsidR="00694069" w:rsidRPr="00093F2A">
        <w:rPr>
          <w:rFonts w:ascii="Gill Sans MT" w:hAnsi="Gill Sans MT"/>
          <w:sz w:val="24"/>
          <w:szCs w:val="24"/>
        </w:rPr>
        <w:t>startups, the likes of Circle Internet Financial Group LLC, Motif Investing Inc. and Square Inc)</w:t>
      </w:r>
      <w:r w:rsidR="001E11B1" w:rsidRPr="00093F2A">
        <w:rPr>
          <w:rFonts w:ascii="Gill Sans MT" w:hAnsi="Gill Sans MT"/>
          <w:sz w:val="24"/>
          <w:szCs w:val="24"/>
        </w:rPr>
        <w:t xml:space="preserve"> or challenger banks </w:t>
      </w:r>
      <w:r w:rsidRPr="00093F2A">
        <w:rPr>
          <w:rFonts w:ascii="Gill Sans MT" w:hAnsi="Gill Sans MT"/>
          <w:sz w:val="24"/>
          <w:szCs w:val="24"/>
        </w:rPr>
        <w:t xml:space="preserve">(for example, Pollen Street Capital and BC Partners’ takeover of Shawbrook) </w:t>
      </w:r>
      <w:r w:rsidR="001E11B1" w:rsidRPr="00093F2A">
        <w:rPr>
          <w:rFonts w:ascii="Gill Sans MT" w:hAnsi="Gill Sans MT"/>
          <w:sz w:val="24"/>
          <w:szCs w:val="24"/>
        </w:rPr>
        <w:t>or those in distress</w:t>
      </w:r>
      <w:r w:rsidR="0047363D" w:rsidRPr="00093F2A">
        <w:rPr>
          <w:rFonts w:ascii="Gill Sans MT" w:hAnsi="Gill Sans MT"/>
          <w:sz w:val="24"/>
          <w:szCs w:val="24"/>
        </w:rPr>
        <w:t xml:space="preserve"> (U</w:t>
      </w:r>
      <w:r w:rsidR="00097C01">
        <w:rPr>
          <w:rFonts w:ascii="Gill Sans MT" w:hAnsi="Gill Sans MT"/>
          <w:sz w:val="24"/>
          <w:szCs w:val="24"/>
        </w:rPr>
        <w:t>.</w:t>
      </w:r>
      <w:r w:rsidR="0047363D" w:rsidRPr="00093F2A">
        <w:rPr>
          <w:rFonts w:ascii="Gill Sans MT" w:hAnsi="Gill Sans MT"/>
          <w:sz w:val="24"/>
          <w:szCs w:val="24"/>
        </w:rPr>
        <w:t>S. private equity firms were involved in 81% of distressed-loan transactions in Europe in 2015 (KPMG, 2016))</w:t>
      </w:r>
      <w:r w:rsidR="001E11B1" w:rsidRPr="00093F2A">
        <w:rPr>
          <w:rFonts w:ascii="Gill Sans MT" w:hAnsi="Gill Sans MT"/>
          <w:sz w:val="24"/>
          <w:szCs w:val="24"/>
        </w:rPr>
        <w:t>.</w:t>
      </w:r>
      <w:r w:rsidR="002F2F77" w:rsidRPr="00093F2A">
        <w:rPr>
          <w:rStyle w:val="FootnoteReference"/>
          <w:rFonts w:ascii="Gill Sans MT" w:hAnsi="Gill Sans MT"/>
          <w:sz w:val="24"/>
          <w:szCs w:val="24"/>
        </w:rPr>
        <w:footnoteReference w:id="3"/>
      </w:r>
      <w:r w:rsidR="001E11B1" w:rsidRPr="00093F2A">
        <w:rPr>
          <w:rFonts w:ascii="Gill Sans MT" w:hAnsi="Gill Sans MT"/>
          <w:sz w:val="24"/>
          <w:szCs w:val="24"/>
        </w:rPr>
        <w:t xml:space="preserve"> They can push for the bank to improve its efficiency, such as improving the banks' back office, moving more of its businesses online, diversifying the bank offerings, and harnessing technology's disruptive power to upend the traditional business models. </w:t>
      </w:r>
      <w:r w:rsidRPr="00093F2A">
        <w:rPr>
          <w:rFonts w:ascii="Gill Sans MT" w:hAnsi="Gill Sans MT"/>
          <w:sz w:val="24"/>
          <w:szCs w:val="24"/>
        </w:rPr>
        <w:t xml:space="preserve">Advent International and BC Partners have successfully targeted payment processing as the primary subsector to focus on Nets and WorldPay, two payment processing companies. </w:t>
      </w:r>
      <w:r w:rsidR="00EE2635" w:rsidRPr="00093F2A">
        <w:rPr>
          <w:rFonts w:ascii="Gill Sans MT" w:hAnsi="Gill Sans MT"/>
          <w:sz w:val="24"/>
          <w:szCs w:val="24"/>
        </w:rPr>
        <w:t>There is also</w:t>
      </w:r>
      <w:r w:rsidR="001E11B1" w:rsidRPr="00093F2A">
        <w:rPr>
          <w:rFonts w:ascii="Gill Sans MT" w:hAnsi="Gill Sans MT"/>
          <w:sz w:val="24"/>
          <w:szCs w:val="24"/>
        </w:rPr>
        <w:t xml:space="preserve"> little evidence that private equity firms systematically target cost-cutting retrenchments to increase short-term profitability. Anecdotal evidence suggests that </w:t>
      </w:r>
      <w:r w:rsidR="00917343" w:rsidRPr="00093F2A">
        <w:rPr>
          <w:rFonts w:ascii="Gill Sans MT" w:hAnsi="Gill Sans MT"/>
          <w:sz w:val="24"/>
          <w:szCs w:val="24"/>
        </w:rPr>
        <w:t>sometimes</w:t>
      </w:r>
      <w:r w:rsidR="001E11B1" w:rsidRPr="00093F2A">
        <w:rPr>
          <w:rFonts w:ascii="Gill Sans MT" w:hAnsi="Gill Sans MT"/>
          <w:sz w:val="24"/>
          <w:szCs w:val="24"/>
        </w:rPr>
        <w:t xml:space="preserve"> PE investors want </w:t>
      </w:r>
      <w:r w:rsidR="00D072D1" w:rsidRPr="00093F2A">
        <w:rPr>
          <w:rFonts w:ascii="Gill Sans MT" w:hAnsi="Gill Sans MT"/>
          <w:sz w:val="24"/>
          <w:szCs w:val="24"/>
        </w:rPr>
        <w:t>a</w:t>
      </w:r>
      <w:r w:rsidR="001E11B1" w:rsidRPr="00093F2A">
        <w:rPr>
          <w:rFonts w:ascii="Gill Sans MT" w:hAnsi="Gill Sans MT"/>
          <w:sz w:val="24"/>
          <w:szCs w:val="24"/>
        </w:rPr>
        <w:t xml:space="preserve"> bank to add to its resource base to fuel growth, and some banks have doubled in size with the help of PE investors</w:t>
      </w:r>
      <w:r w:rsidR="008F18F4" w:rsidRPr="00093F2A">
        <w:rPr>
          <w:rFonts w:ascii="Gill Sans MT" w:hAnsi="Gill Sans MT"/>
          <w:sz w:val="24"/>
          <w:szCs w:val="24"/>
        </w:rPr>
        <w:t>.</w:t>
      </w:r>
      <w:r w:rsidRPr="00093F2A">
        <w:rPr>
          <w:rFonts w:ascii="Gill Sans MT" w:hAnsi="Gill Sans MT"/>
          <w:sz w:val="24"/>
          <w:szCs w:val="24"/>
        </w:rPr>
        <w:t xml:space="preserve"> Many PE firms are proponents of the buy-and-build strategy (White &amp; Case, 2017).</w:t>
      </w:r>
    </w:p>
    <w:p w14:paraId="04723714" w14:textId="1E26645D" w:rsidR="00EE2635" w:rsidRPr="00093F2A" w:rsidRDefault="00C3166C" w:rsidP="008F5E90">
      <w:pPr>
        <w:spacing w:line="480" w:lineRule="auto"/>
        <w:ind w:firstLine="720"/>
        <w:rPr>
          <w:rFonts w:ascii="Gill Sans MT" w:hAnsi="Gill Sans MT"/>
          <w:sz w:val="24"/>
          <w:szCs w:val="24"/>
        </w:rPr>
      </w:pPr>
      <w:r w:rsidRPr="00093F2A">
        <w:rPr>
          <w:rFonts w:ascii="Gill Sans MT" w:hAnsi="Gill Sans MT"/>
          <w:sz w:val="24"/>
          <w:szCs w:val="24"/>
        </w:rPr>
        <w:lastRenderedPageBreak/>
        <w:t xml:space="preserve">PEs provide monitoring as they sit on boards and oversee stringent loan covenants to reduce adverse selection (Thompson and Wright, 1995; Gompers et al., 2016). </w:t>
      </w:r>
      <w:r w:rsidR="001A1ECB" w:rsidRPr="00093F2A">
        <w:rPr>
          <w:rFonts w:ascii="Gill Sans MT" w:hAnsi="Gill Sans MT"/>
          <w:sz w:val="24"/>
          <w:szCs w:val="24"/>
        </w:rPr>
        <w:t>The international law firm White &amp; Case LLP reports that Private equity houses (including the likes of AnaCap, Apollo, Bain Capital, Fortress, and Pimco) now represent the largest universe of buyers for NPLs. The evidence suggests that private equity has filled an important void in the financial industry as an investor and will now have a more established presence. Henceforth, they build specialist financial services skills and target specific niches within the sector.</w:t>
      </w:r>
    </w:p>
    <w:p w14:paraId="2A3819E5" w14:textId="64B91DD8" w:rsidR="008F18F4" w:rsidRPr="00093F2A" w:rsidRDefault="008F18F4" w:rsidP="008F5E90">
      <w:pPr>
        <w:spacing w:line="480" w:lineRule="auto"/>
        <w:ind w:firstLine="720"/>
        <w:rPr>
          <w:rFonts w:ascii="Gill Sans MT" w:hAnsi="Gill Sans MT"/>
          <w:sz w:val="24"/>
          <w:szCs w:val="24"/>
        </w:rPr>
      </w:pPr>
      <w:r w:rsidRPr="00093F2A">
        <w:rPr>
          <w:rFonts w:ascii="Gill Sans MT" w:hAnsi="Gill Sans MT"/>
          <w:sz w:val="24"/>
          <w:szCs w:val="24"/>
        </w:rPr>
        <w:t xml:space="preserve">The fact that a PE alone is unlikely to secure a sizeable share of a FI if it is not a </w:t>
      </w:r>
      <w:r w:rsidR="00761946" w:rsidRPr="00093F2A">
        <w:rPr>
          <w:rFonts w:ascii="Gill Sans MT" w:hAnsi="Gill Sans MT"/>
          <w:sz w:val="24"/>
          <w:szCs w:val="24"/>
        </w:rPr>
        <w:t>bank holding company (</w:t>
      </w:r>
      <w:r w:rsidRPr="00093F2A">
        <w:rPr>
          <w:rFonts w:ascii="Gill Sans MT" w:hAnsi="Gill Sans MT"/>
          <w:sz w:val="24"/>
          <w:szCs w:val="24"/>
        </w:rPr>
        <w:t>BHC</w:t>
      </w:r>
      <w:r w:rsidR="00761946" w:rsidRPr="00093F2A">
        <w:rPr>
          <w:rFonts w:ascii="Gill Sans MT" w:hAnsi="Gill Sans MT"/>
          <w:sz w:val="24"/>
          <w:szCs w:val="24"/>
        </w:rPr>
        <w:t>)</w:t>
      </w:r>
      <w:r w:rsidRPr="00093F2A">
        <w:rPr>
          <w:rFonts w:ascii="Gill Sans MT" w:hAnsi="Gill Sans MT"/>
          <w:sz w:val="24"/>
          <w:szCs w:val="24"/>
        </w:rPr>
        <w:t xml:space="preserve"> in bank acquisitions, for example, leads to questions as to how they will be able to create value in such acquisitions.</w:t>
      </w:r>
      <w:r w:rsidRPr="00093F2A">
        <w:rPr>
          <w:rStyle w:val="FootnoteReference"/>
          <w:rFonts w:ascii="Gill Sans MT" w:hAnsi="Gill Sans MT"/>
          <w:sz w:val="24"/>
          <w:szCs w:val="24"/>
        </w:rPr>
        <w:footnoteReference w:id="4"/>
      </w:r>
      <w:r w:rsidRPr="00093F2A">
        <w:rPr>
          <w:rFonts w:ascii="Gill Sans MT" w:hAnsi="Gill Sans MT"/>
          <w:sz w:val="24"/>
          <w:szCs w:val="24"/>
        </w:rPr>
        <w:t xml:space="preserve"> They can achieve that by forming a consortium and submitting a joint bid. Joining forces and submitting joint bids for the same target (i.e., forming a group and submitting a single bid) would tantamount to collusive practices that secure a lower price for the consortium.</w:t>
      </w:r>
      <w:r w:rsidR="00FA3867" w:rsidRPr="00093F2A">
        <w:rPr>
          <w:rFonts w:ascii="Gill Sans MT" w:hAnsi="Gill Sans MT"/>
          <w:sz w:val="24"/>
          <w:szCs w:val="24"/>
        </w:rPr>
        <w:t xml:space="preserve"> </w:t>
      </w:r>
      <w:r w:rsidRPr="00093F2A">
        <w:rPr>
          <w:rFonts w:ascii="Gill Sans MT" w:hAnsi="Gill Sans MT"/>
          <w:sz w:val="24"/>
          <w:szCs w:val="24"/>
        </w:rPr>
        <w:t xml:space="preserve">Boone and Mulherin (2011) examine this issue but do not find evidence that private equity consortiums facilitate collusion. Anecdotal evidence also does not corroborate with price exploitation by joint bids. For example, the </w:t>
      </w:r>
      <w:r w:rsidRPr="00093F2A">
        <w:rPr>
          <w:rFonts w:ascii="Gill Sans MT" w:hAnsi="Gill Sans MT"/>
          <w:i/>
          <w:iCs/>
          <w:sz w:val="24"/>
          <w:szCs w:val="24"/>
        </w:rPr>
        <w:t>Financial Times</w:t>
      </w:r>
      <w:r w:rsidRPr="00093F2A">
        <w:rPr>
          <w:rFonts w:ascii="Gill Sans MT" w:hAnsi="Gill Sans MT"/>
          <w:sz w:val="24"/>
          <w:szCs w:val="24"/>
        </w:rPr>
        <w:t xml:space="preserve"> report that one in two equity deals is priced at over 11 times the target company's EBITDA, deals fueled by much leverage.</w:t>
      </w:r>
      <w:r w:rsidRPr="00093F2A">
        <w:rPr>
          <w:rStyle w:val="FootnoteReference"/>
          <w:rFonts w:ascii="Gill Sans MT" w:hAnsi="Gill Sans MT"/>
          <w:sz w:val="24"/>
          <w:szCs w:val="24"/>
        </w:rPr>
        <w:footnoteReference w:id="5"/>
      </w:r>
    </w:p>
    <w:p w14:paraId="4546426E" w14:textId="0A119828" w:rsidR="008F18F4" w:rsidRPr="00093F2A" w:rsidRDefault="008F18F4" w:rsidP="008F5E90">
      <w:pPr>
        <w:spacing w:line="480" w:lineRule="auto"/>
        <w:ind w:firstLine="720"/>
        <w:rPr>
          <w:rFonts w:ascii="Gill Sans MT" w:hAnsi="Gill Sans MT"/>
        </w:rPr>
      </w:pPr>
      <w:r w:rsidRPr="00093F2A">
        <w:rPr>
          <w:rFonts w:ascii="Gill Sans MT" w:hAnsi="Gill Sans MT"/>
          <w:sz w:val="24"/>
          <w:szCs w:val="24"/>
        </w:rPr>
        <w:t xml:space="preserve">Despite the finding, Boone and Mulherin (2011) note that government agencies and several class-action lawsuits against major private equity firms (such as Bain Capital, Blackstone Group, Texas Pacific, Kohlberg Kravis Roberts, and Goldman Sachs Private Equity) argue that </w:t>
      </w:r>
      <w:r w:rsidRPr="00093F2A">
        <w:rPr>
          <w:rFonts w:ascii="Gill Sans MT" w:hAnsi="Gill Sans MT"/>
          <w:sz w:val="24"/>
          <w:szCs w:val="24"/>
        </w:rPr>
        <w:lastRenderedPageBreak/>
        <w:t xml:space="preserve">they engage in collusive behavior that reaps them supra-competitive, inflated, and monopolistic returns. However, a consortium allows the pooling of resources and information, with each party focusing on the deal's critical aspects. More importantly, reducing information costs allows greater competition than a setting that does not allow joint bidding. Both the collusion and competition hypotheses </w:t>
      </w:r>
      <w:r w:rsidR="00761946" w:rsidRPr="00093F2A">
        <w:rPr>
          <w:rFonts w:ascii="Gill Sans MT" w:hAnsi="Gill Sans MT"/>
          <w:sz w:val="24"/>
          <w:szCs w:val="24"/>
        </w:rPr>
        <w:t xml:space="preserve">of Boone and Mulherin </w:t>
      </w:r>
      <w:r w:rsidRPr="00093F2A">
        <w:rPr>
          <w:rFonts w:ascii="Gill Sans MT" w:hAnsi="Gill Sans MT"/>
          <w:sz w:val="24"/>
          <w:szCs w:val="24"/>
        </w:rPr>
        <w:t>point to value-added by private equity firms in the M&amp;A market.</w:t>
      </w:r>
      <w:r w:rsidRPr="00093F2A">
        <w:rPr>
          <w:rFonts w:ascii="Gill Sans MT" w:hAnsi="Gill Sans MT"/>
        </w:rPr>
        <w:t xml:space="preserve"> </w:t>
      </w:r>
      <w:r w:rsidRPr="00093F2A">
        <w:rPr>
          <w:rFonts w:ascii="Gill Sans MT" w:hAnsi="Gill Sans MT"/>
          <w:sz w:val="24"/>
          <w:szCs w:val="24"/>
        </w:rPr>
        <w:t>Value in M&amp;A is further preserved if we consider the findings that the premiums paid are lower in private equity deals (Billett, Jiang, and Lie, 2010).</w:t>
      </w:r>
      <w:r w:rsidRPr="00093F2A">
        <w:rPr>
          <w:rFonts w:ascii="Gill Sans MT" w:hAnsi="Gill Sans MT"/>
        </w:rPr>
        <w:t xml:space="preserve"> </w:t>
      </w:r>
    </w:p>
    <w:p w14:paraId="336F4071" w14:textId="1C056A51" w:rsidR="008F18F4" w:rsidRPr="00093F2A" w:rsidRDefault="008F18F4" w:rsidP="008F5E90">
      <w:pPr>
        <w:spacing w:line="480" w:lineRule="auto"/>
        <w:ind w:firstLine="720"/>
        <w:rPr>
          <w:rFonts w:ascii="Gill Sans MT" w:hAnsi="Gill Sans MT"/>
          <w:sz w:val="24"/>
          <w:szCs w:val="24"/>
        </w:rPr>
      </w:pPr>
      <w:r w:rsidRPr="00093F2A">
        <w:rPr>
          <w:rFonts w:ascii="Gill Sans MT" w:hAnsi="Gill Sans MT"/>
          <w:sz w:val="24"/>
          <w:szCs w:val="24"/>
        </w:rPr>
        <w:t>As per the CFA Institute, PE funds may account for 15%-18% of all mergers and acquisitions' value. Metrick and Yasuda (2010) report that buyout funds account for about 25% of global M&amp;A activities. Archya, Franks, and Servaes (2007) report acquisitions of $27.4 billion (for Harrah's entertainment) and $17.4 billion (for Freescale SemiConductor) by Apollo and Texas Pacific, and Blackstone, Carlyle, Permira, and Texas Pacific, respectively.</w:t>
      </w:r>
      <w:r w:rsidR="004F54EF" w:rsidRPr="00093F2A">
        <w:rPr>
          <w:rFonts w:ascii="Gill Sans MT" w:hAnsi="Gill Sans MT"/>
          <w:sz w:val="24"/>
          <w:szCs w:val="24"/>
        </w:rPr>
        <w:t xml:space="preserve"> </w:t>
      </w:r>
      <w:r w:rsidRPr="00093F2A">
        <w:rPr>
          <w:rFonts w:ascii="Gill Sans MT" w:hAnsi="Gill Sans MT"/>
          <w:sz w:val="24"/>
          <w:szCs w:val="24"/>
        </w:rPr>
        <w:t xml:space="preserve">M&amp;A is a complex undertaking in terms of value creation for the bidding firm, and a study of PE involvement will add to our understanding of the sources of value in M&amp;As. Private </w:t>
      </w:r>
      <w:r w:rsidR="00761946" w:rsidRPr="00093F2A">
        <w:rPr>
          <w:rFonts w:ascii="Gill Sans MT" w:hAnsi="Gill Sans MT"/>
          <w:sz w:val="24"/>
          <w:szCs w:val="24"/>
        </w:rPr>
        <w:t xml:space="preserve">equity </w:t>
      </w:r>
      <w:r w:rsidRPr="00093F2A">
        <w:rPr>
          <w:rFonts w:ascii="Gill Sans MT" w:hAnsi="Gill Sans MT"/>
          <w:sz w:val="24"/>
          <w:szCs w:val="24"/>
        </w:rPr>
        <w:t xml:space="preserve">reach is broadening, and they are active in markets outside the US, like Europe (for example, Blackstone's €1 bn purchase of 60% stake in Luminor, a Baltic bank, in 2018) and Asia. There is much money flowing into </w:t>
      </w:r>
      <w:r w:rsidR="00761946" w:rsidRPr="00093F2A">
        <w:rPr>
          <w:rFonts w:ascii="Gill Sans MT" w:hAnsi="Gill Sans MT"/>
          <w:sz w:val="24"/>
          <w:szCs w:val="24"/>
        </w:rPr>
        <w:t xml:space="preserve">private equity </w:t>
      </w:r>
      <w:r w:rsidR="00A40B32" w:rsidRPr="00093F2A">
        <w:rPr>
          <w:rFonts w:ascii="Gill Sans MT" w:hAnsi="Gill Sans MT"/>
          <w:sz w:val="24"/>
          <w:szCs w:val="24"/>
        </w:rPr>
        <w:t>with considerable growth in their assets under management (AUM) (for example, AnaCap Financial Partners, Corsair Capital of J.P. Morgan, Blackfin and JC Flowers)</w:t>
      </w:r>
      <w:r w:rsidRPr="00093F2A">
        <w:rPr>
          <w:rFonts w:ascii="Gill Sans MT" w:hAnsi="Gill Sans MT"/>
          <w:sz w:val="24"/>
          <w:szCs w:val="24"/>
        </w:rPr>
        <w:t xml:space="preserve">, and consequently, their involvement in the financial sector is expected to </w:t>
      </w:r>
      <w:r w:rsidR="00694069" w:rsidRPr="00093F2A">
        <w:rPr>
          <w:rFonts w:ascii="Gill Sans MT" w:hAnsi="Gill Sans MT"/>
          <w:sz w:val="24"/>
          <w:szCs w:val="24"/>
        </w:rPr>
        <w:t>grow. Press</w:t>
      </w:r>
      <w:r w:rsidRPr="00093F2A">
        <w:rPr>
          <w:rFonts w:ascii="Gill Sans MT" w:hAnsi="Gill Sans MT"/>
          <w:sz w:val="24"/>
          <w:szCs w:val="24"/>
        </w:rPr>
        <w:t xml:space="preserve"> reports suggest that with unprecedented levels of capital at their disposal, PE is searching for new sectors such as banking. </w:t>
      </w:r>
      <w:r w:rsidR="004F54EF" w:rsidRPr="00093F2A">
        <w:rPr>
          <w:rFonts w:ascii="Gill Sans MT" w:hAnsi="Gill Sans MT"/>
          <w:sz w:val="24"/>
          <w:szCs w:val="24"/>
        </w:rPr>
        <w:t>In 2015, private equity buyouts accounted for almost 20% of all European financial services M&amp;A by deal value (White &amp; Case, 2017</w:t>
      </w:r>
      <w:r w:rsidR="00A40B32" w:rsidRPr="00093F2A">
        <w:rPr>
          <w:rFonts w:ascii="Gill Sans MT" w:hAnsi="Gill Sans MT"/>
          <w:sz w:val="24"/>
          <w:szCs w:val="24"/>
        </w:rPr>
        <w:t xml:space="preserve">), and the number </w:t>
      </w:r>
      <w:r w:rsidR="00A40B32" w:rsidRPr="00093F2A">
        <w:rPr>
          <w:rFonts w:ascii="Gill Sans MT" w:hAnsi="Gill Sans MT"/>
          <w:sz w:val="24"/>
          <w:szCs w:val="24"/>
        </w:rPr>
        <w:lastRenderedPageBreak/>
        <w:t xml:space="preserve">of buyout houses actively pursuing financial services deals globally increased from 1,449 in 2014 to 1,728 in 2015 reports research firm Preqin. </w:t>
      </w:r>
    </w:p>
    <w:p w14:paraId="7184557A" w14:textId="17469D3F" w:rsidR="00BC5B6A" w:rsidRPr="00093F2A" w:rsidRDefault="00BC5B6A" w:rsidP="008F5E90">
      <w:pPr>
        <w:spacing w:line="480" w:lineRule="auto"/>
        <w:ind w:firstLine="720"/>
        <w:rPr>
          <w:rFonts w:ascii="Gill Sans MT" w:hAnsi="Gill Sans MT"/>
          <w:sz w:val="24"/>
          <w:szCs w:val="24"/>
        </w:rPr>
      </w:pPr>
      <w:r w:rsidRPr="00093F2A">
        <w:rPr>
          <w:rFonts w:ascii="Gill Sans MT" w:hAnsi="Gill Sans MT"/>
          <w:sz w:val="24"/>
          <w:szCs w:val="24"/>
        </w:rPr>
        <w:t xml:space="preserve">There exists a significant complementarity between private equity and banks. Since the subprime mortgage crisis of 2007-2008, </w:t>
      </w:r>
      <w:r w:rsidR="001C6D2A" w:rsidRPr="00093F2A">
        <w:rPr>
          <w:rFonts w:ascii="Gill Sans MT" w:hAnsi="Gill Sans MT"/>
          <w:sz w:val="24"/>
          <w:szCs w:val="24"/>
        </w:rPr>
        <w:t>traditional banks</w:t>
      </w:r>
      <w:r w:rsidRPr="00093F2A">
        <w:rPr>
          <w:rFonts w:ascii="Gill Sans MT" w:hAnsi="Gill Sans MT"/>
          <w:sz w:val="24"/>
          <w:szCs w:val="24"/>
        </w:rPr>
        <w:t xml:space="preserve"> have been </w:t>
      </w:r>
      <w:r w:rsidR="00AF526E" w:rsidRPr="00093F2A">
        <w:rPr>
          <w:rFonts w:ascii="Gill Sans MT" w:hAnsi="Gill Sans MT"/>
          <w:sz w:val="24"/>
          <w:szCs w:val="24"/>
        </w:rPr>
        <w:t>forced</w:t>
      </w:r>
      <w:r w:rsidRPr="00093F2A">
        <w:rPr>
          <w:rFonts w:ascii="Gill Sans MT" w:hAnsi="Gill Sans MT"/>
          <w:sz w:val="24"/>
          <w:szCs w:val="24"/>
        </w:rPr>
        <w:t xml:space="preserve"> to recapitalize and build larger capital buffers while pulling out of risky lending. Consequently, many bankers left to join or set up private equity firms that raise funds, among others, from high net worth individuals, pension funds, insurance companies</w:t>
      </w:r>
      <w:r w:rsidR="002A410E" w:rsidRPr="00093F2A">
        <w:rPr>
          <w:rFonts w:ascii="Gill Sans MT" w:hAnsi="Gill Sans MT"/>
          <w:sz w:val="24"/>
          <w:szCs w:val="24"/>
        </w:rPr>
        <w:t>, endowments</w:t>
      </w:r>
      <w:r w:rsidRPr="00093F2A">
        <w:rPr>
          <w:rFonts w:ascii="Gill Sans MT" w:hAnsi="Gill Sans MT"/>
          <w:sz w:val="24"/>
          <w:szCs w:val="24"/>
        </w:rPr>
        <w:t xml:space="preserve"> to explore and lend to </w:t>
      </w:r>
      <w:r w:rsidR="00964357" w:rsidRPr="00093F2A">
        <w:rPr>
          <w:rFonts w:ascii="Gill Sans MT" w:hAnsi="Gill Sans MT"/>
          <w:sz w:val="24"/>
          <w:szCs w:val="24"/>
        </w:rPr>
        <w:t>borrowers</w:t>
      </w:r>
      <w:r w:rsidRPr="00093F2A">
        <w:rPr>
          <w:rFonts w:ascii="Gill Sans MT" w:hAnsi="Gill Sans MT"/>
          <w:sz w:val="24"/>
          <w:szCs w:val="24"/>
        </w:rPr>
        <w:t xml:space="preserve"> that traditional banks have deserted. Because private equity firms are lightly regulated, they </w:t>
      </w:r>
      <w:r w:rsidR="002A410E" w:rsidRPr="00093F2A">
        <w:rPr>
          <w:rFonts w:ascii="Gill Sans MT" w:hAnsi="Gill Sans MT"/>
          <w:sz w:val="24"/>
          <w:szCs w:val="24"/>
        </w:rPr>
        <w:t xml:space="preserve">are able to </w:t>
      </w:r>
      <w:r w:rsidRPr="00093F2A">
        <w:rPr>
          <w:rFonts w:ascii="Gill Sans MT" w:hAnsi="Gill Sans MT"/>
          <w:sz w:val="24"/>
          <w:szCs w:val="24"/>
        </w:rPr>
        <w:t>take advantage of the void left by traditional banks in the private debt market.</w:t>
      </w:r>
      <w:r w:rsidRPr="00093F2A">
        <w:rPr>
          <w:rStyle w:val="FootnoteReference"/>
          <w:rFonts w:ascii="Gill Sans MT" w:hAnsi="Gill Sans MT"/>
          <w:sz w:val="24"/>
          <w:szCs w:val="24"/>
        </w:rPr>
        <w:footnoteReference w:id="6"/>
      </w:r>
      <w:r w:rsidRPr="00093F2A">
        <w:rPr>
          <w:rFonts w:ascii="Gill Sans MT" w:hAnsi="Gill Sans MT"/>
          <w:sz w:val="24"/>
          <w:szCs w:val="24"/>
        </w:rPr>
        <w:t xml:space="preserve"> Besides, private equity firms are partners in many businesses to which they lend. </w:t>
      </w:r>
      <w:r w:rsidR="003E3ED0" w:rsidRPr="00093F2A">
        <w:rPr>
          <w:rFonts w:ascii="Gill Sans MT" w:hAnsi="Gill Sans MT"/>
          <w:sz w:val="24"/>
          <w:szCs w:val="24"/>
        </w:rPr>
        <w:t>Overall</w:t>
      </w:r>
      <w:r w:rsidRPr="00093F2A">
        <w:rPr>
          <w:rFonts w:ascii="Gill Sans MT" w:hAnsi="Gill Sans MT"/>
          <w:sz w:val="24"/>
          <w:szCs w:val="24"/>
        </w:rPr>
        <w:t xml:space="preserve">, private equity firms (e.g., Oaktree Capital Management, HPS, Blackstone, Apollo, and Ares) are developing specialist lending skills </w:t>
      </w:r>
      <w:r w:rsidR="002A410E" w:rsidRPr="00093F2A">
        <w:rPr>
          <w:rFonts w:ascii="Gill Sans MT" w:hAnsi="Gill Sans MT"/>
          <w:sz w:val="24"/>
          <w:szCs w:val="24"/>
        </w:rPr>
        <w:t xml:space="preserve">in niche markets </w:t>
      </w:r>
      <w:r w:rsidRPr="00093F2A">
        <w:rPr>
          <w:rFonts w:ascii="Gill Sans MT" w:hAnsi="Gill Sans MT"/>
          <w:sz w:val="24"/>
          <w:szCs w:val="24"/>
        </w:rPr>
        <w:t xml:space="preserve">that complement traditional banks. A deal to acquire a private equity business would assist a more traditional bank even if it is to leverage the </w:t>
      </w:r>
      <w:r w:rsidR="001C6D2A" w:rsidRPr="00093F2A">
        <w:rPr>
          <w:rFonts w:ascii="Gill Sans MT" w:hAnsi="Gill Sans MT"/>
          <w:sz w:val="24"/>
          <w:szCs w:val="24"/>
        </w:rPr>
        <w:t>learned</w:t>
      </w:r>
      <w:r w:rsidRPr="00093F2A">
        <w:rPr>
          <w:rFonts w:ascii="Gill Sans MT" w:hAnsi="Gill Sans MT"/>
          <w:sz w:val="24"/>
          <w:szCs w:val="24"/>
        </w:rPr>
        <w:t xml:space="preserve"> skills in a less risky </w:t>
      </w:r>
      <w:r w:rsidR="001C6D2A" w:rsidRPr="00093F2A">
        <w:rPr>
          <w:rFonts w:ascii="Gill Sans MT" w:hAnsi="Gill Sans MT"/>
          <w:sz w:val="24"/>
          <w:szCs w:val="24"/>
        </w:rPr>
        <w:t>undertaking</w:t>
      </w:r>
      <w:r w:rsidR="006E5D03" w:rsidRPr="00093F2A">
        <w:rPr>
          <w:rFonts w:ascii="Gill Sans MT" w:hAnsi="Gill Sans MT"/>
          <w:sz w:val="24"/>
          <w:szCs w:val="24"/>
        </w:rPr>
        <w:t xml:space="preserve"> (for example, leasing and business contract purchase of specialized capital equipment)</w:t>
      </w:r>
      <w:r w:rsidRPr="00093F2A">
        <w:rPr>
          <w:rFonts w:ascii="Gill Sans MT" w:hAnsi="Gill Sans MT"/>
          <w:sz w:val="24"/>
          <w:szCs w:val="24"/>
        </w:rPr>
        <w:t xml:space="preserve"> but returns higher yields </w:t>
      </w:r>
      <w:r w:rsidR="00964357" w:rsidRPr="00093F2A">
        <w:rPr>
          <w:rFonts w:ascii="Gill Sans MT" w:hAnsi="Gill Sans MT"/>
          <w:sz w:val="24"/>
          <w:szCs w:val="24"/>
        </w:rPr>
        <w:t xml:space="preserve">or provides diversification prospects </w:t>
      </w:r>
      <w:r w:rsidR="001C6D2A" w:rsidRPr="00093F2A">
        <w:rPr>
          <w:rFonts w:ascii="Gill Sans MT" w:hAnsi="Gill Sans MT"/>
          <w:sz w:val="24"/>
          <w:szCs w:val="24"/>
        </w:rPr>
        <w:t xml:space="preserve">than </w:t>
      </w:r>
      <w:r w:rsidRPr="00093F2A">
        <w:rPr>
          <w:rFonts w:ascii="Gill Sans MT" w:hAnsi="Gill Sans MT"/>
          <w:sz w:val="24"/>
          <w:szCs w:val="24"/>
        </w:rPr>
        <w:t>the bank can achieve presently.</w:t>
      </w:r>
      <w:r w:rsidRPr="00093F2A">
        <w:rPr>
          <w:rStyle w:val="FootnoteReference"/>
          <w:rFonts w:ascii="Gill Sans MT" w:hAnsi="Gill Sans MT"/>
          <w:sz w:val="24"/>
          <w:szCs w:val="24"/>
        </w:rPr>
        <w:footnoteReference w:id="7"/>
      </w:r>
      <w:r w:rsidRPr="00093F2A">
        <w:rPr>
          <w:rFonts w:ascii="Gill Sans MT" w:hAnsi="Gill Sans MT"/>
        </w:rPr>
        <w:t xml:space="preserve"> </w:t>
      </w:r>
      <w:r w:rsidR="00860DEA" w:rsidRPr="00093F2A">
        <w:rPr>
          <w:rFonts w:ascii="Gill Sans MT" w:hAnsi="Gill Sans MT"/>
          <w:sz w:val="24"/>
          <w:szCs w:val="24"/>
        </w:rPr>
        <w:t xml:space="preserve">Banks' returns have dwindled as interest rates get closer to zero. In their drive to create value and wealth, many look at private equity managers whose </w:t>
      </w:r>
      <w:r w:rsidR="00860DEA" w:rsidRPr="00093F2A">
        <w:rPr>
          <w:rFonts w:ascii="Gill Sans MT" w:hAnsi="Gill Sans MT"/>
          <w:sz w:val="24"/>
          <w:szCs w:val="24"/>
        </w:rPr>
        <w:lastRenderedPageBreak/>
        <w:t xml:space="preserve">pedigree would </w:t>
      </w:r>
      <w:r w:rsidR="00465D82" w:rsidRPr="00093F2A">
        <w:rPr>
          <w:rFonts w:ascii="Gill Sans MT" w:hAnsi="Gill Sans MT"/>
          <w:sz w:val="24"/>
          <w:szCs w:val="24"/>
        </w:rPr>
        <w:t>assist</w:t>
      </w:r>
      <w:r w:rsidR="00860DEA" w:rsidRPr="00093F2A">
        <w:rPr>
          <w:rFonts w:ascii="Gill Sans MT" w:hAnsi="Gill Sans MT"/>
          <w:sz w:val="24"/>
          <w:szCs w:val="24"/>
        </w:rPr>
        <w:t xml:space="preserve"> them </w:t>
      </w:r>
      <w:r w:rsidR="00465D82" w:rsidRPr="00093F2A">
        <w:rPr>
          <w:rFonts w:ascii="Gill Sans MT" w:hAnsi="Gill Sans MT"/>
          <w:sz w:val="24"/>
          <w:szCs w:val="24"/>
        </w:rPr>
        <w:t>in</w:t>
      </w:r>
      <w:r w:rsidR="00860DEA" w:rsidRPr="00093F2A">
        <w:rPr>
          <w:rFonts w:ascii="Gill Sans MT" w:hAnsi="Gill Sans MT"/>
          <w:sz w:val="24"/>
          <w:szCs w:val="24"/>
        </w:rPr>
        <w:t xml:space="preserve"> </w:t>
      </w:r>
      <w:r w:rsidR="00465D82" w:rsidRPr="00093F2A">
        <w:rPr>
          <w:rFonts w:ascii="Gill Sans MT" w:hAnsi="Gill Sans MT"/>
          <w:sz w:val="24"/>
          <w:szCs w:val="24"/>
        </w:rPr>
        <w:t>exploiting</w:t>
      </w:r>
      <w:r w:rsidR="00860DEA" w:rsidRPr="00093F2A">
        <w:rPr>
          <w:rFonts w:ascii="Gill Sans MT" w:hAnsi="Gill Sans MT"/>
          <w:sz w:val="24"/>
          <w:szCs w:val="24"/>
        </w:rPr>
        <w:t xml:space="preserve"> new </w:t>
      </w:r>
      <w:r w:rsidR="006E5D03" w:rsidRPr="00093F2A">
        <w:rPr>
          <w:rFonts w:ascii="Gill Sans MT" w:hAnsi="Gill Sans MT"/>
          <w:sz w:val="24"/>
          <w:szCs w:val="24"/>
        </w:rPr>
        <w:t xml:space="preserve">avenues </w:t>
      </w:r>
      <w:r w:rsidR="00860DEA" w:rsidRPr="00093F2A">
        <w:rPr>
          <w:rFonts w:ascii="Gill Sans MT" w:hAnsi="Gill Sans MT"/>
          <w:sz w:val="24"/>
          <w:szCs w:val="24"/>
        </w:rPr>
        <w:t>while not running afoul of the regulatory requirements</w:t>
      </w:r>
      <w:r w:rsidR="002A410E" w:rsidRPr="00093F2A">
        <w:rPr>
          <w:rFonts w:ascii="Gill Sans MT" w:hAnsi="Gill Sans MT"/>
          <w:sz w:val="24"/>
          <w:szCs w:val="24"/>
        </w:rPr>
        <w:t xml:space="preserve"> at the same time</w:t>
      </w:r>
      <w:r w:rsidR="00860DEA" w:rsidRPr="00093F2A">
        <w:rPr>
          <w:rFonts w:ascii="Gill Sans MT" w:hAnsi="Gill Sans MT"/>
          <w:sz w:val="24"/>
          <w:szCs w:val="24"/>
        </w:rPr>
        <w:t xml:space="preserve">. As mentioned earlier, private equity managers develop specialist skills in </w:t>
      </w:r>
      <w:r w:rsidR="002A410E" w:rsidRPr="00093F2A">
        <w:rPr>
          <w:rFonts w:ascii="Gill Sans MT" w:hAnsi="Gill Sans MT"/>
          <w:sz w:val="24"/>
          <w:szCs w:val="24"/>
        </w:rPr>
        <w:t xml:space="preserve">niche </w:t>
      </w:r>
      <w:r w:rsidR="00860DEA" w:rsidRPr="00093F2A">
        <w:rPr>
          <w:rFonts w:ascii="Gill Sans MT" w:hAnsi="Gill Sans MT"/>
          <w:sz w:val="24"/>
          <w:szCs w:val="24"/>
        </w:rPr>
        <w:t>finance sector</w:t>
      </w:r>
      <w:r w:rsidR="002A410E" w:rsidRPr="00093F2A">
        <w:rPr>
          <w:rFonts w:ascii="Gill Sans MT" w:hAnsi="Gill Sans MT"/>
          <w:sz w:val="24"/>
          <w:szCs w:val="24"/>
        </w:rPr>
        <w:t>s</w:t>
      </w:r>
      <w:r w:rsidR="00860DEA" w:rsidRPr="00093F2A">
        <w:rPr>
          <w:rFonts w:ascii="Gill Sans MT" w:hAnsi="Gill Sans MT"/>
          <w:sz w:val="24"/>
          <w:szCs w:val="24"/>
        </w:rPr>
        <w:t xml:space="preserve"> and are more adept at producing double-digit annual returns</w:t>
      </w:r>
      <w:r w:rsidRPr="00093F2A">
        <w:rPr>
          <w:rFonts w:ascii="Gill Sans MT" w:hAnsi="Gill Sans MT"/>
          <w:sz w:val="24"/>
          <w:szCs w:val="24"/>
        </w:rPr>
        <w:t>.</w:t>
      </w:r>
    </w:p>
    <w:p w14:paraId="41441E67" w14:textId="470DACE3" w:rsidR="00076FD7" w:rsidRPr="00093F2A" w:rsidRDefault="00076FD7" w:rsidP="00655DEA">
      <w:pPr>
        <w:pStyle w:val="ListParagraph"/>
        <w:numPr>
          <w:ilvl w:val="0"/>
          <w:numId w:val="2"/>
        </w:numPr>
        <w:spacing w:line="480" w:lineRule="auto"/>
        <w:rPr>
          <w:rFonts w:ascii="Gill Sans MT" w:hAnsi="Gill Sans MT"/>
          <w:b/>
          <w:sz w:val="24"/>
          <w:szCs w:val="24"/>
        </w:rPr>
      </w:pPr>
      <w:r w:rsidRPr="00093F2A">
        <w:rPr>
          <w:rFonts w:ascii="Gill Sans MT" w:hAnsi="Gill Sans MT"/>
          <w:b/>
          <w:sz w:val="24"/>
          <w:szCs w:val="24"/>
        </w:rPr>
        <w:t>Hypothesis Development</w:t>
      </w:r>
    </w:p>
    <w:p w14:paraId="2346C234" w14:textId="3F15EAD8" w:rsidR="00A511BC" w:rsidRPr="00093F2A" w:rsidRDefault="00A511BC" w:rsidP="00762B2E">
      <w:pPr>
        <w:spacing w:line="480" w:lineRule="auto"/>
        <w:ind w:firstLine="720"/>
        <w:rPr>
          <w:rFonts w:ascii="Gill Sans MT" w:hAnsi="Gill Sans MT"/>
          <w:sz w:val="24"/>
          <w:szCs w:val="24"/>
        </w:rPr>
      </w:pPr>
      <w:r w:rsidRPr="00093F2A">
        <w:rPr>
          <w:rFonts w:ascii="Gill Sans MT" w:hAnsi="Gill Sans MT"/>
          <w:sz w:val="24"/>
          <w:szCs w:val="24"/>
        </w:rPr>
        <w:t xml:space="preserve">Studies document superior performance of </w:t>
      </w:r>
      <w:r w:rsidR="00610A39" w:rsidRPr="00093F2A">
        <w:rPr>
          <w:rFonts w:ascii="Gill Sans MT" w:hAnsi="Gill Sans MT"/>
          <w:sz w:val="24"/>
          <w:szCs w:val="24"/>
        </w:rPr>
        <w:t xml:space="preserve">investment with PE involvement. Specifically, for M&amp;As with PE involvement where superior performance is observed, reasons cited include competition hypothesis (Boone and Mulherin, 2001), synergies (Song, 2004), </w:t>
      </w:r>
      <w:r w:rsidR="00270050" w:rsidRPr="00093F2A">
        <w:rPr>
          <w:rFonts w:ascii="Gill Sans MT" w:hAnsi="Gill Sans MT"/>
          <w:sz w:val="24"/>
          <w:szCs w:val="24"/>
        </w:rPr>
        <w:t xml:space="preserve">market timing (Graf, Kaser, and Schmidt , 2012) </w:t>
      </w:r>
      <w:r w:rsidR="00610A39" w:rsidRPr="00093F2A">
        <w:rPr>
          <w:rFonts w:ascii="Gill Sans MT" w:hAnsi="Gill Sans MT"/>
          <w:sz w:val="24"/>
          <w:szCs w:val="24"/>
        </w:rPr>
        <w:t xml:space="preserve">and monitoring </w:t>
      </w:r>
      <w:r w:rsidR="00112CA0" w:rsidRPr="00093F2A">
        <w:rPr>
          <w:rFonts w:ascii="Gill Sans MT" w:hAnsi="Gill Sans MT"/>
          <w:sz w:val="24"/>
          <w:szCs w:val="24"/>
        </w:rPr>
        <w:t>(Jensen, 1989</w:t>
      </w:r>
      <w:r w:rsidR="001831A4" w:rsidRPr="00093F2A">
        <w:rPr>
          <w:rFonts w:ascii="Gill Sans MT" w:hAnsi="Gill Sans MT"/>
          <w:sz w:val="24"/>
          <w:szCs w:val="24"/>
        </w:rPr>
        <w:t>;</w:t>
      </w:r>
      <w:r w:rsidR="00112CA0" w:rsidRPr="00093F2A">
        <w:rPr>
          <w:rFonts w:ascii="Gill Sans MT" w:hAnsi="Gill Sans MT"/>
          <w:sz w:val="24"/>
          <w:szCs w:val="24"/>
        </w:rPr>
        <w:t xml:space="preserve"> Kaplan </w:t>
      </w:r>
      <w:r w:rsidR="001831A4" w:rsidRPr="00093F2A">
        <w:rPr>
          <w:rFonts w:ascii="Gill Sans MT" w:hAnsi="Gill Sans MT"/>
          <w:sz w:val="24"/>
          <w:szCs w:val="24"/>
        </w:rPr>
        <w:t>and Stromberg, 2009)</w:t>
      </w:r>
      <w:r w:rsidR="00610A39" w:rsidRPr="00093F2A">
        <w:rPr>
          <w:rFonts w:ascii="Gill Sans MT" w:hAnsi="Gill Sans MT"/>
          <w:sz w:val="24"/>
          <w:szCs w:val="24"/>
        </w:rPr>
        <w:t>.</w:t>
      </w:r>
      <w:r w:rsidR="0071636A" w:rsidRPr="00093F2A">
        <w:rPr>
          <w:rFonts w:ascii="Gill Sans MT" w:hAnsi="Gill Sans MT"/>
          <w:sz w:val="24"/>
          <w:szCs w:val="24"/>
        </w:rPr>
        <w:t xml:space="preserve"> PE investments are mainly LBOs </w:t>
      </w:r>
      <w:r w:rsidR="005668C5" w:rsidRPr="00093F2A">
        <w:rPr>
          <w:rFonts w:ascii="Gill Sans MT" w:hAnsi="Gill Sans MT"/>
          <w:sz w:val="24"/>
          <w:szCs w:val="24"/>
        </w:rPr>
        <w:t>and create expertise from investing in companies.</w:t>
      </w:r>
      <w:r w:rsidR="0071636A" w:rsidRPr="00093F2A">
        <w:rPr>
          <w:rFonts w:ascii="Gill Sans MT" w:hAnsi="Gill Sans MT"/>
          <w:sz w:val="24"/>
          <w:szCs w:val="24"/>
        </w:rPr>
        <w:t xml:space="preserve"> </w:t>
      </w:r>
      <w:r w:rsidRPr="00093F2A">
        <w:rPr>
          <w:rFonts w:ascii="Gill Sans MT" w:hAnsi="Gill Sans MT"/>
          <w:sz w:val="24"/>
          <w:szCs w:val="24"/>
        </w:rPr>
        <w:t>While studies are limited about the role of PEs in financial institution</w:t>
      </w:r>
      <w:r w:rsidR="002F01FF">
        <w:rPr>
          <w:rFonts w:ascii="Gill Sans MT" w:hAnsi="Gill Sans MT"/>
          <w:sz w:val="24"/>
          <w:szCs w:val="24"/>
        </w:rPr>
        <w:t>s</w:t>
      </w:r>
      <w:r w:rsidRPr="00093F2A">
        <w:rPr>
          <w:rFonts w:ascii="Gill Sans MT" w:hAnsi="Gill Sans MT"/>
          <w:sz w:val="24"/>
          <w:szCs w:val="24"/>
        </w:rPr>
        <w:t xml:space="preserve">, the sparse evidence suggest </w:t>
      </w:r>
      <w:r w:rsidR="00610A39" w:rsidRPr="00093F2A">
        <w:rPr>
          <w:rFonts w:ascii="Gill Sans MT" w:hAnsi="Gill Sans MT"/>
          <w:sz w:val="24"/>
          <w:szCs w:val="24"/>
        </w:rPr>
        <w:t xml:space="preserve">positive effects such as </w:t>
      </w:r>
      <w:r w:rsidRPr="00093F2A">
        <w:rPr>
          <w:rFonts w:ascii="Gill Sans MT" w:hAnsi="Gill Sans MT"/>
          <w:sz w:val="24"/>
          <w:szCs w:val="24"/>
        </w:rPr>
        <w:t>superior op</w:t>
      </w:r>
      <w:r w:rsidR="00077170" w:rsidRPr="00093F2A">
        <w:rPr>
          <w:rFonts w:ascii="Gill Sans MT" w:hAnsi="Gill Sans MT"/>
          <w:sz w:val="24"/>
          <w:szCs w:val="24"/>
        </w:rPr>
        <w:t xml:space="preserve">erating performance (Graf, Kaser, and </w:t>
      </w:r>
      <w:r w:rsidR="00EF6A66" w:rsidRPr="00093F2A">
        <w:rPr>
          <w:rFonts w:ascii="Gill Sans MT" w:hAnsi="Gill Sans MT"/>
          <w:sz w:val="24"/>
          <w:szCs w:val="24"/>
        </w:rPr>
        <w:t xml:space="preserve">Schmidt </w:t>
      </w:r>
      <w:r w:rsidR="00077170" w:rsidRPr="00093F2A">
        <w:rPr>
          <w:rFonts w:ascii="Gill Sans MT" w:hAnsi="Gill Sans MT"/>
          <w:sz w:val="24"/>
          <w:szCs w:val="24"/>
        </w:rPr>
        <w:t>, 2012)</w:t>
      </w:r>
      <w:r w:rsidRPr="00093F2A">
        <w:rPr>
          <w:rFonts w:ascii="Gill Sans MT" w:hAnsi="Gill Sans MT"/>
          <w:sz w:val="24"/>
          <w:szCs w:val="24"/>
        </w:rPr>
        <w:t xml:space="preserve">. </w:t>
      </w:r>
      <w:r w:rsidR="00077170" w:rsidRPr="00093F2A">
        <w:rPr>
          <w:rFonts w:ascii="Gill Sans MT" w:hAnsi="Gill Sans MT"/>
          <w:sz w:val="24"/>
          <w:szCs w:val="24"/>
        </w:rPr>
        <w:t xml:space="preserve">Some </w:t>
      </w:r>
      <w:r w:rsidRPr="00093F2A">
        <w:rPr>
          <w:rFonts w:ascii="Gill Sans MT" w:hAnsi="Gill Sans MT"/>
          <w:sz w:val="24"/>
          <w:szCs w:val="24"/>
        </w:rPr>
        <w:t xml:space="preserve">reasons for </w:t>
      </w:r>
      <w:r w:rsidR="00077170" w:rsidRPr="00093F2A">
        <w:rPr>
          <w:rFonts w:ascii="Gill Sans MT" w:hAnsi="Gill Sans MT"/>
          <w:sz w:val="24"/>
          <w:szCs w:val="24"/>
        </w:rPr>
        <w:t xml:space="preserve">value additivity from PE involvement </w:t>
      </w:r>
      <w:r w:rsidRPr="00093F2A">
        <w:rPr>
          <w:rFonts w:ascii="Gill Sans MT" w:hAnsi="Gill Sans MT"/>
          <w:sz w:val="24"/>
          <w:szCs w:val="24"/>
        </w:rPr>
        <w:t xml:space="preserve">include </w:t>
      </w:r>
      <w:r w:rsidR="00077170" w:rsidRPr="00093F2A">
        <w:rPr>
          <w:rFonts w:ascii="Gill Sans MT" w:hAnsi="Gill Sans MT"/>
          <w:sz w:val="24"/>
          <w:szCs w:val="24"/>
        </w:rPr>
        <w:t xml:space="preserve">enhanced competition from consortiums, which can allow PEs to combine resources such as capital (Cho et al., 2002), information and skill to provide more accurate estimates (Debrock and Smith, 1983) </w:t>
      </w:r>
      <w:r w:rsidR="002F01FF">
        <w:rPr>
          <w:rFonts w:ascii="Gill Sans MT" w:hAnsi="Gill Sans MT"/>
          <w:sz w:val="24"/>
          <w:szCs w:val="24"/>
        </w:rPr>
        <w:t xml:space="preserve">and </w:t>
      </w:r>
      <w:r w:rsidR="00077170" w:rsidRPr="00093F2A">
        <w:rPr>
          <w:rFonts w:ascii="Gill Sans MT" w:hAnsi="Gill Sans MT"/>
          <w:sz w:val="24"/>
          <w:szCs w:val="24"/>
        </w:rPr>
        <w:t>development of synergies with consortium members (Song, 2004)</w:t>
      </w:r>
      <w:r w:rsidR="002F01FF">
        <w:rPr>
          <w:rFonts w:ascii="Gill Sans MT" w:hAnsi="Gill Sans MT"/>
          <w:sz w:val="24"/>
          <w:szCs w:val="24"/>
        </w:rPr>
        <w:t>.</w:t>
      </w:r>
    </w:p>
    <w:p w14:paraId="23830EBD" w14:textId="46DF23AE" w:rsidR="003A3058" w:rsidRPr="00093F2A" w:rsidRDefault="008C4137" w:rsidP="007C5C01">
      <w:pPr>
        <w:spacing w:line="480" w:lineRule="auto"/>
        <w:ind w:firstLine="720"/>
        <w:rPr>
          <w:rFonts w:ascii="Gill Sans MT" w:hAnsi="Gill Sans MT"/>
          <w:sz w:val="24"/>
          <w:szCs w:val="24"/>
        </w:rPr>
      </w:pPr>
      <w:r w:rsidRPr="00093F2A">
        <w:rPr>
          <w:rFonts w:ascii="Gill Sans MT" w:hAnsi="Gill Sans MT"/>
          <w:sz w:val="24"/>
          <w:szCs w:val="24"/>
        </w:rPr>
        <w:t>Many financial institutions (FIs) are experts in restructuring activities and help companies in making deals. Prior studies have shown the role of PE in company restructuring activities. This role creates experience</w:t>
      </w:r>
      <w:r w:rsidR="002F01FF">
        <w:rPr>
          <w:rFonts w:ascii="Gill Sans MT" w:hAnsi="Gill Sans MT"/>
          <w:sz w:val="24"/>
          <w:szCs w:val="24"/>
        </w:rPr>
        <w:t>d</w:t>
      </w:r>
      <w:r w:rsidRPr="00093F2A">
        <w:rPr>
          <w:rFonts w:ascii="Gill Sans MT" w:hAnsi="Gill Sans MT"/>
          <w:sz w:val="24"/>
          <w:szCs w:val="24"/>
        </w:rPr>
        <w:t xml:space="preserve"> investing in companies. In our case, we are examining whether the PE role is still valid when the acquirer is the "expert in dealing." Against this backdrop, we also need to account for the fact that private investment funds complement FIs in areas too risky for FIs to venture on their own. For example, lending to subprime borrowers, where </w:t>
      </w:r>
      <w:r w:rsidRPr="00093F2A">
        <w:rPr>
          <w:rFonts w:ascii="Gill Sans MT" w:hAnsi="Gill Sans MT"/>
          <w:sz w:val="24"/>
          <w:szCs w:val="24"/>
        </w:rPr>
        <w:lastRenderedPageBreak/>
        <w:t>funds like D.E. Shaw Group and Oaktree Capital Management have the requisite expertise and benefit from more lax oversight from the regulators.</w:t>
      </w:r>
      <w:r w:rsidR="00353994" w:rsidRPr="00093F2A">
        <w:rPr>
          <w:rFonts w:ascii="Gill Sans MT" w:hAnsi="Gill Sans MT"/>
          <w:sz w:val="24"/>
          <w:szCs w:val="24"/>
        </w:rPr>
        <w:t xml:space="preserve"> </w:t>
      </w:r>
      <w:r w:rsidR="00A511BC" w:rsidRPr="00093F2A">
        <w:rPr>
          <w:rFonts w:ascii="Gill Sans MT" w:hAnsi="Gill Sans MT"/>
          <w:sz w:val="24"/>
          <w:szCs w:val="24"/>
        </w:rPr>
        <w:t>The</w:t>
      </w:r>
      <w:r w:rsidR="00E94142" w:rsidRPr="00093F2A">
        <w:rPr>
          <w:rFonts w:ascii="Gill Sans MT" w:hAnsi="Gill Sans MT"/>
          <w:sz w:val="24"/>
          <w:szCs w:val="24"/>
        </w:rPr>
        <w:t xml:space="preserve"> </w:t>
      </w:r>
      <w:r w:rsidR="00120D57" w:rsidRPr="00093F2A">
        <w:rPr>
          <w:rFonts w:ascii="Gill Sans MT" w:hAnsi="Gill Sans MT"/>
          <w:sz w:val="24"/>
          <w:szCs w:val="24"/>
        </w:rPr>
        <w:t xml:space="preserve">stringent regulations in FIs </w:t>
      </w:r>
      <w:r w:rsidR="00033EDE" w:rsidRPr="00093F2A">
        <w:rPr>
          <w:rFonts w:ascii="Gill Sans MT" w:hAnsi="Gill Sans MT"/>
          <w:sz w:val="24"/>
          <w:szCs w:val="24"/>
        </w:rPr>
        <w:t xml:space="preserve">industry </w:t>
      </w:r>
      <w:r w:rsidR="00120D57" w:rsidRPr="00093F2A">
        <w:rPr>
          <w:rFonts w:ascii="Gill Sans MT" w:hAnsi="Gill Sans MT"/>
          <w:sz w:val="24"/>
          <w:szCs w:val="24"/>
        </w:rPr>
        <w:t>make it interesting avenue to examine the effect of PE involvement. For example,</w:t>
      </w:r>
      <w:r w:rsidR="00120D57" w:rsidRPr="00093F2A">
        <w:rPr>
          <w:rFonts w:ascii="Gill Sans MT" w:hAnsi="Gill Sans MT"/>
        </w:rPr>
        <w:t xml:space="preserve"> </w:t>
      </w:r>
      <w:r w:rsidR="00120D57" w:rsidRPr="00093F2A">
        <w:rPr>
          <w:rFonts w:ascii="Gill Sans MT" w:hAnsi="Gill Sans MT"/>
          <w:sz w:val="24"/>
          <w:szCs w:val="24"/>
        </w:rPr>
        <w:t>PEs are limited in the amount of leverage allowed to engage in mergers and acquisitions. Another restriction is that</w:t>
      </w:r>
      <w:r w:rsidR="00A511BC" w:rsidRPr="00093F2A">
        <w:rPr>
          <w:rFonts w:ascii="Gill Sans MT" w:hAnsi="Gill Sans MT"/>
          <w:sz w:val="24"/>
          <w:szCs w:val="24"/>
        </w:rPr>
        <w:t xml:space="preserve"> PEs </w:t>
      </w:r>
      <w:r w:rsidR="00033EDE" w:rsidRPr="00093F2A">
        <w:rPr>
          <w:rFonts w:ascii="Gill Sans MT" w:hAnsi="Gill Sans MT"/>
          <w:sz w:val="24"/>
          <w:szCs w:val="24"/>
        </w:rPr>
        <w:t>cannot</w:t>
      </w:r>
      <w:r w:rsidR="00A511BC" w:rsidRPr="00093F2A">
        <w:rPr>
          <w:rFonts w:ascii="Gill Sans MT" w:hAnsi="Gill Sans MT"/>
          <w:sz w:val="24"/>
          <w:szCs w:val="24"/>
        </w:rPr>
        <w:t xml:space="preserve"> hold controlling interest in banks except when </w:t>
      </w:r>
      <w:r w:rsidR="002D06EA" w:rsidRPr="00093F2A">
        <w:rPr>
          <w:rFonts w:ascii="Gill Sans MT" w:hAnsi="Gill Sans MT"/>
          <w:sz w:val="24"/>
          <w:szCs w:val="24"/>
        </w:rPr>
        <w:t xml:space="preserve">they are </w:t>
      </w:r>
      <w:r w:rsidR="00A511BC" w:rsidRPr="00093F2A">
        <w:rPr>
          <w:rFonts w:ascii="Gill Sans MT" w:hAnsi="Gill Sans MT"/>
          <w:sz w:val="24"/>
          <w:szCs w:val="24"/>
        </w:rPr>
        <w:t>bank holding companies</w:t>
      </w:r>
      <w:r w:rsidR="00120D57" w:rsidRPr="00093F2A">
        <w:rPr>
          <w:rFonts w:ascii="Gill Sans MT" w:hAnsi="Gill Sans MT"/>
          <w:sz w:val="24"/>
          <w:szCs w:val="24"/>
        </w:rPr>
        <w:t xml:space="preserve"> (BHCs). Hence examining</w:t>
      </w:r>
      <w:r w:rsidR="00A511BC" w:rsidRPr="00093F2A">
        <w:rPr>
          <w:rFonts w:ascii="Gill Sans MT" w:hAnsi="Gill Sans MT"/>
          <w:sz w:val="24"/>
          <w:szCs w:val="24"/>
        </w:rPr>
        <w:t xml:space="preserve"> how the involvement of PEs may affect</w:t>
      </w:r>
      <w:r w:rsidR="00077170" w:rsidRPr="00093F2A">
        <w:rPr>
          <w:rFonts w:ascii="Gill Sans MT" w:hAnsi="Gill Sans MT"/>
          <w:sz w:val="24"/>
          <w:szCs w:val="24"/>
        </w:rPr>
        <w:t xml:space="preserve"> value and operating efficiency of these financial institutions</w:t>
      </w:r>
      <w:r w:rsidR="00120D57" w:rsidRPr="00093F2A">
        <w:rPr>
          <w:rFonts w:ascii="Gill Sans MT" w:hAnsi="Gill Sans MT"/>
          <w:sz w:val="24"/>
          <w:szCs w:val="24"/>
        </w:rPr>
        <w:t xml:space="preserve"> in M&amp;As is necessary</w:t>
      </w:r>
      <w:r w:rsidR="00077170" w:rsidRPr="00093F2A">
        <w:rPr>
          <w:rFonts w:ascii="Gill Sans MT" w:hAnsi="Gill Sans MT"/>
          <w:sz w:val="24"/>
          <w:szCs w:val="24"/>
        </w:rPr>
        <w:t xml:space="preserve">. </w:t>
      </w:r>
      <w:r w:rsidR="006D1EC5" w:rsidRPr="00093F2A">
        <w:rPr>
          <w:rFonts w:ascii="Gill Sans MT" w:hAnsi="Gill Sans MT"/>
          <w:sz w:val="24"/>
          <w:szCs w:val="24"/>
        </w:rPr>
        <w:t xml:space="preserve">This is because they </w:t>
      </w:r>
      <w:r w:rsidR="0071636A" w:rsidRPr="00093F2A">
        <w:rPr>
          <w:rFonts w:ascii="Gill Sans MT" w:hAnsi="Gill Sans MT"/>
          <w:sz w:val="24"/>
          <w:szCs w:val="24"/>
        </w:rPr>
        <w:t>may not be able to</w:t>
      </w:r>
      <w:r w:rsidR="006D1EC5" w:rsidRPr="00093F2A">
        <w:rPr>
          <w:rFonts w:ascii="Gill Sans MT" w:hAnsi="Gill Sans MT"/>
          <w:sz w:val="24"/>
          <w:szCs w:val="24"/>
        </w:rPr>
        <w:t xml:space="preserve"> influence</w:t>
      </w:r>
      <w:r w:rsidR="0071636A" w:rsidRPr="00093F2A">
        <w:rPr>
          <w:rFonts w:ascii="Gill Sans MT" w:hAnsi="Gill Sans MT"/>
          <w:sz w:val="24"/>
          <w:szCs w:val="24"/>
        </w:rPr>
        <w:t xml:space="preserve"> decisions in</w:t>
      </w:r>
      <w:r w:rsidR="006D1EC5" w:rsidRPr="00093F2A">
        <w:rPr>
          <w:rFonts w:ascii="Gill Sans MT" w:hAnsi="Gill Sans MT"/>
          <w:sz w:val="24"/>
          <w:szCs w:val="24"/>
        </w:rPr>
        <w:t xml:space="preserve"> FIs as they would traditional corporations. </w:t>
      </w:r>
      <w:r w:rsidR="0071636A" w:rsidRPr="00093F2A">
        <w:rPr>
          <w:rFonts w:ascii="Gill Sans MT" w:hAnsi="Gill Sans MT"/>
          <w:sz w:val="24"/>
          <w:szCs w:val="24"/>
        </w:rPr>
        <w:t>However, the experience and expertise from PEs</w:t>
      </w:r>
      <w:r w:rsidR="00033EDE" w:rsidRPr="00093F2A">
        <w:rPr>
          <w:rFonts w:ascii="Gill Sans MT" w:hAnsi="Gill Sans MT"/>
          <w:sz w:val="24"/>
          <w:szCs w:val="24"/>
        </w:rPr>
        <w:t>, along with strong evidence of a positive effect makes it most likely that</w:t>
      </w:r>
      <w:r w:rsidRPr="00093F2A">
        <w:rPr>
          <w:rFonts w:ascii="Gill Sans MT" w:hAnsi="Gill Sans MT"/>
          <w:sz w:val="24"/>
          <w:szCs w:val="24"/>
        </w:rPr>
        <w:t xml:space="preserve"> the skills would t</w:t>
      </w:r>
      <w:r w:rsidR="0071636A" w:rsidRPr="00093F2A">
        <w:rPr>
          <w:rFonts w:ascii="Gill Sans MT" w:hAnsi="Gill Sans MT"/>
          <w:sz w:val="24"/>
          <w:szCs w:val="24"/>
        </w:rPr>
        <w:t xml:space="preserve">ranslate similarly for investments in FIs. </w:t>
      </w:r>
      <w:r w:rsidR="00D349F2" w:rsidRPr="00093F2A">
        <w:rPr>
          <w:rFonts w:ascii="Gill Sans MT" w:hAnsi="Gill Sans MT"/>
          <w:sz w:val="24"/>
          <w:szCs w:val="24"/>
        </w:rPr>
        <w:t xml:space="preserve">Despite the regulatory hurdles PEs face in the financial industry, PEs have performed well when involved in </w:t>
      </w:r>
      <w:r w:rsidR="008E4640" w:rsidRPr="00093F2A">
        <w:rPr>
          <w:rFonts w:ascii="Gill Sans MT" w:hAnsi="Gill Sans MT"/>
          <w:sz w:val="24"/>
          <w:szCs w:val="24"/>
        </w:rPr>
        <w:t xml:space="preserve">non-bank financial institution </w:t>
      </w:r>
      <w:r w:rsidR="00D349F2" w:rsidRPr="00093F2A">
        <w:rPr>
          <w:rFonts w:ascii="Gill Sans MT" w:hAnsi="Gill Sans MT"/>
          <w:sz w:val="24"/>
          <w:szCs w:val="24"/>
        </w:rPr>
        <w:t xml:space="preserve">investments </w:t>
      </w:r>
      <w:r w:rsidR="00EF6A66" w:rsidRPr="00093F2A">
        <w:rPr>
          <w:rFonts w:ascii="Gill Sans MT" w:hAnsi="Gill Sans MT"/>
          <w:sz w:val="24"/>
          <w:szCs w:val="24"/>
        </w:rPr>
        <w:t>(Graf, Kaser, and Schmidt. 2012)</w:t>
      </w:r>
      <w:r w:rsidR="001C470D" w:rsidRPr="00093F2A">
        <w:rPr>
          <w:rFonts w:ascii="Gill Sans MT" w:hAnsi="Gill Sans MT"/>
          <w:sz w:val="24"/>
          <w:szCs w:val="24"/>
        </w:rPr>
        <w:t xml:space="preserve">. </w:t>
      </w:r>
      <w:r w:rsidR="00077170" w:rsidRPr="00093F2A">
        <w:rPr>
          <w:rFonts w:ascii="Gill Sans MT" w:hAnsi="Gill Sans MT"/>
          <w:sz w:val="24"/>
          <w:szCs w:val="24"/>
        </w:rPr>
        <w:t>Thus</w:t>
      </w:r>
      <w:r w:rsidR="001C470D" w:rsidRPr="00093F2A">
        <w:rPr>
          <w:rFonts w:ascii="Gill Sans MT" w:hAnsi="Gill Sans MT"/>
          <w:sz w:val="24"/>
          <w:szCs w:val="24"/>
        </w:rPr>
        <w:t>,</w:t>
      </w:r>
      <w:r w:rsidR="00077170" w:rsidRPr="00093F2A">
        <w:rPr>
          <w:rFonts w:ascii="Gill Sans MT" w:hAnsi="Gill Sans MT"/>
          <w:sz w:val="24"/>
          <w:szCs w:val="24"/>
        </w:rPr>
        <w:t xml:space="preserve"> we examine how PE involvement affects </w:t>
      </w:r>
      <w:r w:rsidR="00A511BC" w:rsidRPr="00093F2A">
        <w:rPr>
          <w:rFonts w:ascii="Gill Sans MT" w:hAnsi="Gill Sans MT"/>
          <w:sz w:val="24"/>
          <w:szCs w:val="24"/>
        </w:rPr>
        <w:t xml:space="preserve">investor perception through market performance, </w:t>
      </w:r>
      <w:r w:rsidR="00077170" w:rsidRPr="00093F2A">
        <w:rPr>
          <w:rFonts w:ascii="Gill Sans MT" w:hAnsi="Gill Sans MT"/>
          <w:sz w:val="24"/>
          <w:szCs w:val="24"/>
        </w:rPr>
        <w:t xml:space="preserve">as well as the </w:t>
      </w:r>
      <w:r w:rsidR="00A511BC" w:rsidRPr="00093F2A">
        <w:rPr>
          <w:rFonts w:ascii="Gill Sans MT" w:hAnsi="Gill Sans MT"/>
          <w:sz w:val="24"/>
          <w:szCs w:val="24"/>
        </w:rPr>
        <w:t xml:space="preserve">risk and operating performance. </w:t>
      </w:r>
    </w:p>
    <w:p w14:paraId="2558E3C0" w14:textId="54AD80A1" w:rsidR="00783BC2" w:rsidRPr="00093F2A" w:rsidRDefault="008C4137" w:rsidP="00762B2E">
      <w:pPr>
        <w:spacing w:line="480" w:lineRule="auto"/>
        <w:ind w:firstLine="720"/>
        <w:rPr>
          <w:rFonts w:ascii="Gill Sans MT" w:hAnsi="Gill Sans MT"/>
          <w:sz w:val="24"/>
          <w:szCs w:val="24"/>
        </w:rPr>
      </w:pPr>
      <w:r w:rsidRPr="00093F2A">
        <w:rPr>
          <w:rFonts w:ascii="Gill Sans MT" w:hAnsi="Gill Sans MT"/>
          <w:sz w:val="24"/>
          <w:szCs w:val="24"/>
        </w:rPr>
        <w:t xml:space="preserve">We expect for a positive effect on returns to deals involving PEs because of </w:t>
      </w:r>
      <w:r w:rsidR="003A3058" w:rsidRPr="00093F2A">
        <w:rPr>
          <w:rFonts w:ascii="Gill Sans MT" w:hAnsi="Gill Sans MT"/>
          <w:sz w:val="24"/>
          <w:szCs w:val="24"/>
        </w:rPr>
        <w:t xml:space="preserve">evidence </w:t>
      </w:r>
      <w:r w:rsidRPr="00093F2A">
        <w:rPr>
          <w:rFonts w:ascii="Gill Sans MT" w:hAnsi="Gill Sans MT"/>
          <w:sz w:val="24"/>
          <w:szCs w:val="24"/>
        </w:rPr>
        <w:t>of</w:t>
      </w:r>
      <w:r w:rsidR="003A3058" w:rsidRPr="00093F2A">
        <w:rPr>
          <w:rFonts w:ascii="Gill Sans MT" w:hAnsi="Gill Sans MT"/>
          <w:sz w:val="24"/>
          <w:szCs w:val="24"/>
        </w:rPr>
        <w:t xml:space="preserve"> positive performance</w:t>
      </w:r>
      <w:r w:rsidRPr="00093F2A">
        <w:rPr>
          <w:rFonts w:ascii="Gill Sans MT" w:hAnsi="Gill Sans MT"/>
          <w:sz w:val="24"/>
          <w:szCs w:val="24"/>
        </w:rPr>
        <w:t xml:space="preserve"> from </w:t>
      </w:r>
      <w:r w:rsidR="003A3058" w:rsidRPr="00093F2A">
        <w:rPr>
          <w:rFonts w:ascii="Gill Sans MT" w:hAnsi="Gill Sans MT"/>
          <w:sz w:val="24"/>
          <w:szCs w:val="24"/>
        </w:rPr>
        <w:t>investment experience and expertise and expected improvement in operational efficiency</w:t>
      </w:r>
      <w:r w:rsidRPr="00093F2A">
        <w:rPr>
          <w:rFonts w:ascii="Gill Sans MT" w:hAnsi="Gill Sans MT"/>
          <w:sz w:val="24"/>
          <w:szCs w:val="24"/>
        </w:rPr>
        <w:t xml:space="preserve"> of PEs</w:t>
      </w:r>
      <w:r w:rsidR="003A3058" w:rsidRPr="00093F2A">
        <w:rPr>
          <w:rFonts w:ascii="Gill Sans MT" w:hAnsi="Gill Sans MT"/>
          <w:sz w:val="24"/>
          <w:szCs w:val="24"/>
        </w:rPr>
        <w:t xml:space="preserve"> </w:t>
      </w:r>
      <w:r w:rsidR="00353994" w:rsidRPr="00093F2A">
        <w:rPr>
          <w:rFonts w:ascii="Gill Sans MT" w:hAnsi="Gill Sans MT"/>
          <w:sz w:val="24"/>
          <w:szCs w:val="24"/>
        </w:rPr>
        <w:t>(Glanfrate and Gouigoux, 2015)</w:t>
      </w:r>
      <w:r w:rsidR="003A3058" w:rsidRPr="00093F2A">
        <w:rPr>
          <w:rFonts w:ascii="Gill Sans MT" w:hAnsi="Gill Sans MT"/>
          <w:sz w:val="24"/>
          <w:szCs w:val="24"/>
        </w:rPr>
        <w:t>.</w:t>
      </w:r>
      <w:r w:rsidR="00E94142" w:rsidRPr="00093F2A">
        <w:rPr>
          <w:rFonts w:ascii="Gill Sans MT" w:hAnsi="Gill Sans MT"/>
          <w:sz w:val="24"/>
          <w:szCs w:val="24"/>
        </w:rPr>
        <w:t xml:space="preserve"> </w:t>
      </w:r>
      <w:r w:rsidR="003A3058" w:rsidRPr="00093F2A">
        <w:rPr>
          <w:rFonts w:ascii="Gill Sans MT" w:hAnsi="Gill Sans MT"/>
          <w:sz w:val="24"/>
          <w:szCs w:val="24"/>
        </w:rPr>
        <w:t xml:space="preserve">Subsequently, </w:t>
      </w:r>
      <w:r w:rsidR="00A511BC" w:rsidRPr="00093F2A">
        <w:rPr>
          <w:rFonts w:ascii="Gill Sans MT" w:hAnsi="Gill Sans MT"/>
          <w:sz w:val="24"/>
          <w:szCs w:val="24"/>
        </w:rPr>
        <w:t xml:space="preserve">the market </w:t>
      </w:r>
      <w:r w:rsidR="003A3058" w:rsidRPr="00093F2A">
        <w:rPr>
          <w:rFonts w:ascii="Gill Sans MT" w:hAnsi="Gill Sans MT"/>
          <w:sz w:val="24"/>
          <w:szCs w:val="24"/>
        </w:rPr>
        <w:t>should</w:t>
      </w:r>
      <w:r w:rsidR="00A511BC" w:rsidRPr="00093F2A">
        <w:rPr>
          <w:rFonts w:ascii="Gill Sans MT" w:hAnsi="Gill Sans MT"/>
          <w:sz w:val="24"/>
          <w:szCs w:val="24"/>
        </w:rPr>
        <w:t xml:space="preserve"> respond positively to the news of PE involvement. </w:t>
      </w:r>
      <w:r w:rsidR="0071636A" w:rsidRPr="00093F2A">
        <w:rPr>
          <w:rFonts w:ascii="Gill Sans MT" w:hAnsi="Gill Sans MT"/>
          <w:sz w:val="24"/>
          <w:szCs w:val="24"/>
        </w:rPr>
        <w:t>Therefore,</w:t>
      </w:r>
      <w:r w:rsidR="003A3058" w:rsidRPr="00093F2A">
        <w:rPr>
          <w:rFonts w:ascii="Gill Sans MT" w:hAnsi="Gill Sans MT"/>
          <w:sz w:val="24"/>
          <w:szCs w:val="24"/>
        </w:rPr>
        <w:t xml:space="preserve"> we</w:t>
      </w:r>
      <w:r w:rsidR="00A511BC" w:rsidRPr="00093F2A">
        <w:rPr>
          <w:rFonts w:ascii="Gill Sans MT" w:hAnsi="Gill Sans MT"/>
          <w:sz w:val="24"/>
          <w:szCs w:val="24"/>
        </w:rPr>
        <w:t xml:space="preserve"> predict that </w:t>
      </w:r>
      <w:r w:rsidR="003A3058" w:rsidRPr="00093F2A">
        <w:rPr>
          <w:rFonts w:ascii="Gill Sans MT" w:hAnsi="Gill Sans MT"/>
          <w:sz w:val="24"/>
          <w:szCs w:val="24"/>
        </w:rPr>
        <w:t>PE-involved acquisitions have higher values of short term and long-term performances. Similarly, for operating performance we would expect a positive effect</w:t>
      </w:r>
      <w:r w:rsidR="00783BC2" w:rsidRPr="00093F2A">
        <w:rPr>
          <w:rFonts w:ascii="Gill Sans MT" w:hAnsi="Gill Sans MT"/>
          <w:sz w:val="24"/>
          <w:szCs w:val="24"/>
        </w:rPr>
        <w:t xml:space="preserve">. </w:t>
      </w:r>
    </w:p>
    <w:p w14:paraId="6152C896" w14:textId="59318A54" w:rsidR="006D1EC5" w:rsidRDefault="4B17C903" w:rsidP="18D27AB6">
      <w:pPr>
        <w:spacing w:line="480" w:lineRule="auto"/>
        <w:ind w:firstLine="720"/>
        <w:rPr>
          <w:rFonts w:ascii="Gill Sans MT" w:eastAsia="Garamond" w:hAnsi="Gill Sans MT" w:cs="Garamond"/>
          <w:sz w:val="24"/>
          <w:szCs w:val="24"/>
        </w:rPr>
      </w:pPr>
      <w:r w:rsidRPr="00093F2A">
        <w:rPr>
          <w:rFonts w:ascii="Gill Sans MT" w:hAnsi="Gill Sans MT"/>
          <w:sz w:val="24"/>
          <w:szCs w:val="24"/>
        </w:rPr>
        <w:t xml:space="preserve">  In addition to the investment expertise, PEs tend to use a buy-and build strategies that cha</w:t>
      </w:r>
      <w:r w:rsidRPr="00093F2A">
        <w:rPr>
          <w:rFonts w:ascii="Gill Sans MT" w:eastAsia="Garamond" w:hAnsi="Gill Sans MT" w:cs="Garamond"/>
          <w:sz w:val="24"/>
          <w:szCs w:val="24"/>
        </w:rPr>
        <w:t xml:space="preserve">nge organizational structure and culture (White and Case, 2017). These strategies tend to generate positive synergies and improve operational efficiency, which can be perceived as </w:t>
      </w:r>
      <w:r w:rsidRPr="00093F2A">
        <w:rPr>
          <w:rFonts w:ascii="Gill Sans MT" w:eastAsia="Garamond" w:hAnsi="Gill Sans MT" w:cs="Garamond"/>
          <w:sz w:val="24"/>
          <w:szCs w:val="24"/>
        </w:rPr>
        <w:lastRenderedPageBreak/>
        <w:t>reducing risk in traditional M&amp;As (Kim and Palia, 2013)</w:t>
      </w:r>
      <w:r w:rsidR="002F01FF">
        <w:rPr>
          <w:rFonts w:ascii="Gill Sans MT" w:eastAsia="Garamond" w:hAnsi="Gill Sans MT" w:cs="Garamond"/>
          <w:sz w:val="24"/>
          <w:szCs w:val="24"/>
        </w:rPr>
        <w:t xml:space="preserve">. </w:t>
      </w:r>
      <w:r w:rsidRPr="00093F2A">
        <w:rPr>
          <w:rFonts w:ascii="Gill Sans MT" w:eastAsia="Garamond" w:hAnsi="Gill Sans MT" w:cs="Garamond"/>
          <w:sz w:val="24"/>
          <w:szCs w:val="24"/>
        </w:rPr>
        <w:t xml:space="preserve">Previous research shows how strategic alliances help organizations share the costs and benefits from endeavors that are mutually beneficial (Robinson, 2008). PEs build strategic alliances when they work together on M&amp;As Therefore, PE-involved acquisitions may be a quality signal of the deal and </w:t>
      </w:r>
      <w:r w:rsidR="0038150E">
        <w:rPr>
          <w:rFonts w:ascii="Gill Sans MT" w:eastAsia="Garamond" w:hAnsi="Gill Sans MT" w:cs="Garamond"/>
          <w:sz w:val="24"/>
          <w:szCs w:val="24"/>
        </w:rPr>
        <w:t xml:space="preserve">of </w:t>
      </w:r>
      <w:r w:rsidRPr="00093F2A">
        <w:rPr>
          <w:rFonts w:ascii="Gill Sans MT" w:eastAsia="Garamond" w:hAnsi="Gill Sans MT" w:cs="Garamond"/>
          <w:sz w:val="24"/>
          <w:szCs w:val="24"/>
        </w:rPr>
        <w:t xml:space="preserve">reduced perceived risk. Consequently, we predict that PE-involved acquisitions have lower volatility due to increases in efficiency and expert monitoring.  </w:t>
      </w:r>
    </w:p>
    <w:p w14:paraId="417FE47A" w14:textId="77777777" w:rsidR="002F01FF" w:rsidRPr="00093F2A" w:rsidRDefault="002F01FF" w:rsidP="18D27AB6">
      <w:pPr>
        <w:spacing w:line="480" w:lineRule="auto"/>
        <w:ind w:firstLine="720"/>
        <w:rPr>
          <w:rFonts w:ascii="Gill Sans MT" w:eastAsia="Garamond" w:hAnsi="Gill Sans MT" w:cs="Garamond"/>
          <w:sz w:val="24"/>
          <w:szCs w:val="24"/>
        </w:rPr>
      </w:pPr>
    </w:p>
    <w:p w14:paraId="5C1F3284" w14:textId="16D2FC7D" w:rsidR="001718A8" w:rsidRPr="00093F2A" w:rsidRDefault="00414D6F" w:rsidP="008F5E90">
      <w:pPr>
        <w:pStyle w:val="ListParagraph"/>
        <w:numPr>
          <w:ilvl w:val="0"/>
          <w:numId w:val="2"/>
        </w:numPr>
        <w:spacing w:line="480" w:lineRule="auto"/>
        <w:rPr>
          <w:rFonts w:ascii="Gill Sans MT" w:hAnsi="Gill Sans MT"/>
          <w:sz w:val="24"/>
          <w:szCs w:val="24"/>
        </w:rPr>
      </w:pPr>
      <w:r w:rsidRPr="00093F2A">
        <w:rPr>
          <w:rFonts w:ascii="Gill Sans MT" w:hAnsi="Gill Sans MT"/>
          <w:b/>
          <w:bCs/>
          <w:sz w:val="24"/>
          <w:szCs w:val="24"/>
        </w:rPr>
        <w:t>Data</w:t>
      </w:r>
    </w:p>
    <w:p w14:paraId="2B6E5D91" w14:textId="58E6FF1B" w:rsidR="00810A26" w:rsidRPr="00093F2A" w:rsidRDefault="00810A26" w:rsidP="00762B2E">
      <w:pPr>
        <w:spacing w:line="480" w:lineRule="auto"/>
        <w:ind w:firstLine="720"/>
        <w:rPr>
          <w:rFonts w:ascii="Gill Sans MT" w:hAnsi="Gill Sans MT"/>
          <w:sz w:val="24"/>
          <w:szCs w:val="24"/>
        </w:rPr>
      </w:pPr>
      <w:r w:rsidRPr="00093F2A">
        <w:rPr>
          <w:rFonts w:ascii="Gill Sans MT" w:hAnsi="Gill Sans MT"/>
          <w:sz w:val="24"/>
          <w:szCs w:val="24"/>
        </w:rPr>
        <w:t>We</w:t>
      </w:r>
      <w:r w:rsidR="00083ABC" w:rsidRPr="00093F2A">
        <w:rPr>
          <w:rFonts w:ascii="Gill Sans MT" w:hAnsi="Gill Sans MT"/>
          <w:sz w:val="24"/>
          <w:szCs w:val="24"/>
        </w:rPr>
        <w:t xml:space="preserve"> obtain the sample of mergers and acquisitions involving financial institutions from Standard and Poor's Global Market Intelligence SNL database from 1990-2018. Since our focus is on the impact of private equity</w:t>
      </w:r>
      <w:r w:rsidR="00465D82" w:rsidRPr="00093F2A">
        <w:rPr>
          <w:rFonts w:ascii="Gill Sans MT" w:hAnsi="Gill Sans MT"/>
          <w:sz w:val="24"/>
          <w:szCs w:val="24"/>
        </w:rPr>
        <w:t xml:space="preserve"> (PE)</w:t>
      </w:r>
      <w:r w:rsidR="00083ABC" w:rsidRPr="00093F2A">
        <w:rPr>
          <w:rFonts w:ascii="Gill Sans MT" w:hAnsi="Gill Sans MT"/>
          <w:sz w:val="24"/>
          <w:szCs w:val="24"/>
        </w:rPr>
        <w:t xml:space="preserve"> in mergers and acquisitions</w:t>
      </w:r>
      <w:r w:rsidR="00465D82" w:rsidRPr="00093F2A">
        <w:rPr>
          <w:rFonts w:ascii="Gill Sans MT" w:hAnsi="Gill Sans MT"/>
          <w:sz w:val="24"/>
          <w:szCs w:val="24"/>
        </w:rPr>
        <w:t xml:space="preserve"> (M&amp;As)</w:t>
      </w:r>
      <w:r w:rsidR="00083ABC" w:rsidRPr="00093F2A">
        <w:rPr>
          <w:rFonts w:ascii="Gill Sans MT" w:hAnsi="Gill Sans MT"/>
          <w:sz w:val="24"/>
          <w:szCs w:val="24"/>
        </w:rPr>
        <w:t xml:space="preserve"> by financial institutions</w:t>
      </w:r>
      <w:r w:rsidR="00465D82" w:rsidRPr="00093F2A">
        <w:rPr>
          <w:rFonts w:ascii="Gill Sans MT" w:hAnsi="Gill Sans MT"/>
          <w:sz w:val="24"/>
          <w:szCs w:val="24"/>
        </w:rPr>
        <w:t xml:space="preserve"> (FIs)</w:t>
      </w:r>
      <w:r w:rsidR="00083ABC" w:rsidRPr="00093F2A">
        <w:rPr>
          <w:rFonts w:ascii="Gill Sans MT" w:hAnsi="Gill Sans MT"/>
          <w:sz w:val="24"/>
          <w:szCs w:val="24"/>
        </w:rPr>
        <w:t xml:space="preserve">, we retain only the years in which there are records of private equity involvement. </w:t>
      </w:r>
      <w:r w:rsidR="002746B6" w:rsidRPr="00093F2A">
        <w:rPr>
          <w:rFonts w:ascii="Gill Sans MT" w:hAnsi="Gill Sans MT"/>
          <w:sz w:val="24"/>
          <w:szCs w:val="24"/>
        </w:rPr>
        <w:t>Thus,</w:t>
      </w:r>
      <w:r w:rsidR="00083ABC" w:rsidRPr="00093F2A">
        <w:rPr>
          <w:rFonts w:ascii="Gill Sans MT" w:hAnsi="Gill Sans MT"/>
          <w:sz w:val="24"/>
          <w:szCs w:val="24"/>
        </w:rPr>
        <w:t xml:space="preserve"> our sample period is from 2005 through 2017. We include in the final sample only deals for which we can identify the acquirer firms in CRSP. We report the sample distribution in Table I. </w:t>
      </w:r>
      <w:r w:rsidR="00B22D65">
        <w:rPr>
          <w:rFonts w:ascii="Gill Sans MT" w:hAnsi="Gill Sans MT"/>
          <w:sz w:val="24"/>
          <w:szCs w:val="24"/>
        </w:rPr>
        <w:t>A</w:t>
      </w:r>
      <w:r w:rsidR="00083ABC" w:rsidRPr="00093F2A">
        <w:rPr>
          <w:rFonts w:ascii="Gill Sans MT" w:hAnsi="Gill Sans MT"/>
          <w:sz w:val="24"/>
          <w:szCs w:val="24"/>
        </w:rPr>
        <w:t>cquisitions with PE involvement comprise about 14% of the sample</w:t>
      </w:r>
      <w:bookmarkStart w:id="0" w:name="_Hlk29980636"/>
      <w:bookmarkEnd w:id="0"/>
      <w:r w:rsidR="00D87FCF" w:rsidRPr="00093F2A">
        <w:rPr>
          <w:rFonts w:ascii="Gill Sans MT" w:hAnsi="Gill Sans MT"/>
          <w:sz w:val="24"/>
          <w:szCs w:val="24"/>
        </w:rPr>
        <w:t>.</w:t>
      </w:r>
    </w:p>
    <w:p w14:paraId="36D92043" w14:textId="4A01730C" w:rsidR="00465D82" w:rsidRPr="00093F2A" w:rsidRDefault="00465D82"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1</w:t>
      </w:r>
      <w:r w:rsidRPr="00093F2A">
        <w:rPr>
          <w:rFonts w:ascii="Gill Sans MT" w:hAnsi="Gill Sans MT"/>
          <w:sz w:val="24"/>
          <w:szCs w:val="24"/>
        </w:rPr>
        <w:t>]</w:t>
      </w:r>
    </w:p>
    <w:p w14:paraId="401FDF4E" w14:textId="3A5B28C3" w:rsidR="0099785B" w:rsidRPr="00093F2A" w:rsidRDefault="0099785B" w:rsidP="008F5E90">
      <w:pPr>
        <w:spacing w:line="480" w:lineRule="auto"/>
        <w:ind w:firstLine="720"/>
        <w:rPr>
          <w:rFonts w:ascii="Gill Sans MT" w:hAnsi="Gill Sans MT"/>
          <w:sz w:val="24"/>
          <w:szCs w:val="24"/>
        </w:rPr>
      </w:pPr>
      <w:r w:rsidRPr="00093F2A">
        <w:rPr>
          <w:rFonts w:ascii="Gill Sans MT" w:hAnsi="Gill Sans MT"/>
          <w:sz w:val="24"/>
          <w:szCs w:val="24"/>
        </w:rPr>
        <w:t>There</w:t>
      </w:r>
      <w:r w:rsidR="006A292C" w:rsidRPr="00093F2A">
        <w:rPr>
          <w:rFonts w:ascii="Gill Sans MT" w:hAnsi="Gill Sans MT"/>
          <w:sz w:val="24"/>
          <w:szCs w:val="24"/>
        </w:rPr>
        <w:t xml:space="preserve"> is </w:t>
      </w:r>
      <w:r w:rsidR="002746B6" w:rsidRPr="00093F2A">
        <w:rPr>
          <w:rFonts w:ascii="Gill Sans MT" w:hAnsi="Gill Sans MT"/>
          <w:sz w:val="24"/>
          <w:szCs w:val="24"/>
        </w:rPr>
        <w:t>not much data reported</w:t>
      </w:r>
      <w:r w:rsidR="006A292C" w:rsidRPr="00093F2A">
        <w:rPr>
          <w:rFonts w:ascii="Gill Sans MT" w:hAnsi="Gill Sans MT"/>
          <w:sz w:val="24"/>
          <w:szCs w:val="24"/>
        </w:rPr>
        <w:t xml:space="preserve"> on the size of PE firms' involvement in M&amp;As of FIs. </w:t>
      </w:r>
      <w:r w:rsidR="006C1A9D" w:rsidRPr="00093F2A">
        <w:rPr>
          <w:rFonts w:ascii="Gill Sans MT" w:hAnsi="Gill Sans MT"/>
          <w:sz w:val="24"/>
          <w:szCs w:val="24"/>
        </w:rPr>
        <w:t xml:space="preserve">The SNL database indicates whether a given deal, offering, funding, or transaction has private equity involvement and no more. </w:t>
      </w:r>
      <w:r w:rsidR="009F532A" w:rsidRPr="00093F2A">
        <w:rPr>
          <w:rFonts w:ascii="Gill Sans MT" w:hAnsi="Gill Sans MT"/>
          <w:sz w:val="24"/>
          <w:szCs w:val="24"/>
        </w:rPr>
        <w:t>I</w:t>
      </w:r>
      <w:r w:rsidR="006A292C" w:rsidRPr="00093F2A">
        <w:rPr>
          <w:rFonts w:ascii="Gill Sans MT" w:hAnsi="Gill Sans MT"/>
          <w:sz w:val="24"/>
          <w:szCs w:val="24"/>
        </w:rPr>
        <w:t xml:space="preserve">t is rare for PEs to singly bid on a FI or assume control of a FI. In </w:t>
      </w:r>
      <w:r w:rsidR="002746B6" w:rsidRPr="00093F2A">
        <w:rPr>
          <w:rFonts w:ascii="Gill Sans MT" w:hAnsi="Gill Sans MT"/>
          <w:sz w:val="24"/>
          <w:szCs w:val="24"/>
        </w:rPr>
        <w:t>most cases</w:t>
      </w:r>
      <w:r w:rsidR="006A292C" w:rsidRPr="00093F2A">
        <w:rPr>
          <w:rFonts w:ascii="Gill Sans MT" w:hAnsi="Gill Sans MT"/>
          <w:sz w:val="24"/>
          <w:szCs w:val="24"/>
        </w:rPr>
        <w:t xml:space="preserve">, acquisitions of more than a quarter of the voting rights will be met with </w:t>
      </w:r>
      <w:r w:rsidR="002746B6" w:rsidRPr="00093F2A">
        <w:rPr>
          <w:rFonts w:ascii="Gill Sans MT" w:hAnsi="Gill Sans MT"/>
          <w:sz w:val="24"/>
          <w:szCs w:val="24"/>
        </w:rPr>
        <w:t xml:space="preserve">regulators’ </w:t>
      </w:r>
      <w:r w:rsidR="00B22D65" w:rsidRPr="00093F2A">
        <w:rPr>
          <w:rFonts w:ascii="Gill Sans MT" w:hAnsi="Gill Sans MT"/>
          <w:sz w:val="24"/>
          <w:szCs w:val="24"/>
        </w:rPr>
        <w:t>disapproval</w:t>
      </w:r>
      <w:r w:rsidR="00B22D65">
        <w:rPr>
          <w:rFonts w:ascii="Gill Sans MT" w:hAnsi="Gill Sans MT"/>
          <w:sz w:val="24"/>
          <w:szCs w:val="24"/>
        </w:rPr>
        <w:t>;</w:t>
      </w:r>
      <w:r w:rsidR="006A292C" w:rsidRPr="00093F2A">
        <w:rPr>
          <w:rFonts w:ascii="Gill Sans MT" w:hAnsi="Gill Sans MT"/>
          <w:sz w:val="24"/>
          <w:szCs w:val="24"/>
        </w:rPr>
        <w:t xml:space="preserve"> as such</w:t>
      </w:r>
      <w:r w:rsidR="00B22D65">
        <w:rPr>
          <w:rFonts w:ascii="Gill Sans MT" w:hAnsi="Gill Sans MT"/>
          <w:sz w:val="24"/>
          <w:szCs w:val="24"/>
        </w:rPr>
        <w:t>,</w:t>
      </w:r>
      <w:r w:rsidR="006A292C" w:rsidRPr="00093F2A">
        <w:rPr>
          <w:rFonts w:ascii="Gill Sans MT" w:hAnsi="Gill Sans MT"/>
          <w:sz w:val="24"/>
          <w:szCs w:val="24"/>
        </w:rPr>
        <w:t xml:space="preserve"> most PE involvement is limited to a low percentage of voting acquired by an individual PE firm. As explained by the law firm Hunton &amp; Williams, most </w:t>
      </w:r>
      <w:r w:rsidR="006A292C" w:rsidRPr="00093F2A">
        <w:rPr>
          <w:rFonts w:ascii="Gill Sans MT" w:hAnsi="Gill Sans MT"/>
          <w:sz w:val="24"/>
          <w:szCs w:val="24"/>
        </w:rPr>
        <w:lastRenderedPageBreak/>
        <w:t>transactions (i.e., private equity investments in financial institutions) involve acquiring a minority interest to avoid the ramifications of "control" of a financial institution.</w:t>
      </w:r>
      <w:r w:rsidR="004F54EF" w:rsidRPr="00093F2A">
        <w:rPr>
          <w:rStyle w:val="FootnoteReference"/>
          <w:rFonts w:ascii="Gill Sans MT" w:hAnsi="Gill Sans MT"/>
          <w:sz w:val="24"/>
          <w:szCs w:val="24"/>
        </w:rPr>
        <w:footnoteReference w:id="8"/>
      </w:r>
      <w:r w:rsidR="009F532A" w:rsidRPr="00093F2A">
        <w:rPr>
          <w:rFonts w:ascii="Gill Sans MT" w:hAnsi="Gill Sans MT"/>
          <w:sz w:val="24"/>
          <w:szCs w:val="24"/>
        </w:rPr>
        <w:t xml:space="preserve"> So we know that the regulation does not allow private equity to acquire a controlling stake in a FI. Thus, the possibilities reflected by the SNL data would include (i) deals in which FIs join forces with PE to acquire a target (which is less likely), and (ii) deals in which FIs are purchasing targets that are backed by private equity (which is more likely).</w:t>
      </w:r>
    </w:p>
    <w:p w14:paraId="51249200" w14:textId="3C03BF76" w:rsidR="002E0E2E" w:rsidRPr="00093F2A" w:rsidRDefault="002E0E2E" w:rsidP="008F5E90">
      <w:pPr>
        <w:spacing w:line="480" w:lineRule="auto"/>
        <w:ind w:firstLine="720"/>
        <w:rPr>
          <w:rFonts w:ascii="Gill Sans MT" w:hAnsi="Gill Sans MT"/>
          <w:sz w:val="24"/>
          <w:szCs w:val="24"/>
        </w:rPr>
      </w:pPr>
      <w:r w:rsidRPr="00093F2A">
        <w:rPr>
          <w:rFonts w:ascii="Gill Sans MT" w:hAnsi="Gill Sans MT"/>
          <w:sz w:val="24"/>
          <w:szCs w:val="24"/>
        </w:rPr>
        <w:t>As discussed earlier, PE firms follow a buy-and-build strategy with FIs. Once the FI business prospects are enhanced, the PE investors may either list the FI or sell it. The anecdotal evidence reviewed suggests that many exit deals are coveted by more established FIs (for example, the sale of WorldPay). Following the exit of PE, the firms (</w:t>
      </w:r>
      <w:r w:rsidR="00D2556F" w:rsidRPr="00093F2A">
        <w:rPr>
          <w:rFonts w:ascii="Gill Sans MT" w:hAnsi="Gill Sans MT"/>
          <w:sz w:val="24"/>
          <w:szCs w:val="24"/>
        </w:rPr>
        <w:t xml:space="preserve">Klarna, </w:t>
      </w:r>
      <w:r w:rsidRPr="00093F2A">
        <w:rPr>
          <w:rFonts w:ascii="Gill Sans MT" w:hAnsi="Gill Sans MT"/>
          <w:sz w:val="24"/>
          <w:szCs w:val="24"/>
        </w:rPr>
        <w:t xml:space="preserve">Nets and WorldPay, for example) are subsequently subject to more bids. This demonstrates that private equity firms have the ability to create </w:t>
      </w:r>
      <w:r w:rsidR="009F532A" w:rsidRPr="00093F2A">
        <w:rPr>
          <w:rFonts w:ascii="Gill Sans MT" w:hAnsi="Gill Sans MT"/>
          <w:sz w:val="24"/>
          <w:szCs w:val="24"/>
        </w:rPr>
        <w:t>enduring</w:t>
      </w:r>
      <w:r w:rsidRPr="00093F2A">
        <w:rPr>
          <w:rFonts w:ascii="Gill Sans MT" w:hAnsi="Gill Sans MT"/>
          <w:sz w:val="24"/>
          <w:szCs w:val="24"/>
        </w:rPr>
        <w:t xml:space="preserve"> value at FIs. We test the hypothesis that the investors' reactions to deals involving FIs are overwhelmingly positive.</w:t>
      </w:r>
    </w:p>
    <w:p w14:paraId="76D4EC61" w14:textId="46B73932" w:rsidR="009B32CE" w:rsidRPr="00093F2A" w:rsidRDefault="009B32CE" w:rsidP="008F5E90">
      <w:pPr>
        <w:spacing w:line="480" w:lineRule="auto"/>
        <w:ind w:firstLine="720"/>
        <w:rPr>
          <w:rFonts w:ascii="Gill Sans MT" w:hAnsi="Gill Sans MT"/>
          <w:sz w:val="24"/>
          <w:szCs w:val="24"/>
        </w:rPr>
      </w:pPr>
      <w:r w:rsidRPr="00093F2A">
        <w:rPr>
          <w:rFonts w:ascii="Gill Sans MT" w:hAnsi="Gill Sans MT"/>
          <w:sz w:val="24"/>
          <w:szCs w:val="24"/>
        </w:rPr>
        <w:t xml:space="preserve">The M&amp;A landscape among FIs is quite rugged. For instance, and especially before the </w:t>
      </w:r>
      <w:r w:rsidR="00D03C00" w:rsidRPr="00093F2A">
        <w:rPr>
          <w:rFonts w:ascii="Gill Sans MT" w:hAnsi="Gill Sans MT"/>
          <w:sz w:val="24"/>
          <w:szCs w:val="24"/>
        </w:rPr>
        <w:t>2007-</w:t>
      </w:r>
      <w:r w:rsidRPr="00093F2A">
        <w:rPr>
          <w:rFonts w:ascii="Gill Sans MT" w:hAnsi="Gill Sans MT"/>
          <w:sz w:val="24"/>
          <w:szCs w:val="24"/>
        </w:rPr>
        <w:t>2008 subprime mortgage crisis, banks were heavy investors in private equity. However, with pressure to shed non-core businesses from the regulators in the post-crisis era, many banks have started to dispose of their private equity interests.</w:t>
      </w:r>
      <w:r w:rsidR="00CF569A" w:rsidRPr="00093F2A">
        <w:rPr>
          <w:rFonts w:ascii="Gill Sans MT" w:hAnsi="Gill Sans MT"/>
          <w:sz w:val="24"/>
          <w:szCs w:val="24"/>
        </w:rPr>
        <w:t xml:space="preserve"> Our </w:t>
      </w:r>
      <w:r w:rsidRPr="00093F2A">
        <w:rPr>
          <w:rFonts w:ascii="Gill Sans MT" w:hAnsi="Gill Sans MT"/>
          <w:sz w:val="24"/>
          <w:szCs w:val="24"/>
        </w:rPr>
        <w:t xml:space="preserve">sample period's </w:t>
      </w:r>
      <w:r w:rsidR="00D03C00" w:rsidRPr="00093F2A">
        <w:rPr>
          <w:rFonts w:ascii="Gill Sans MT" w:hAnsi="Gill Sans MT"/>
          <w:sz w:val="24"/>
          <w:szCs w:val="24"/>
        </w:rPr>
        <w:t>starting point</w:t>
      </w:r>
      <w:r w:rsidRPr="00093F2A">
        <w:rPr>
          <w:rFonts w:ascii="Gill Sans MT" w:hAnsi="Gill Sans MT"/>
          <w:sz w:val="24"/>
          <w:szCs w:val="24"/>
        </w:rPr>
        <w:t xml:space="preserve"> precedes the onset of the subprime mortgage crisis, and as such, some of our M&amp;A deals will include banks acquiring private equity assets. Having said that, we do observe a lull in M&amp;As between 2007 and 2013 only for the market to gather momentum and increase annually until the end of the sample period.</w:t>
      </w:r>
    </w:p>
    <w:p w14:paraId="0A8D7E97" w14:textId="2B9AF4E3" w:rsidR="00BD3A39" w:rsidRPr="00093F2A" w:rsidRDefault="00BD3A39" w:rsidP="008F5E90">
      <w:pPr>
        <w:spacing w:line="480" w:lineRule="auto"/>
        <w:ind w:firstLine="720"/>
        <w:rPr>
          <w:rFonts w:ascii="Gill Sans MT" w:hAnsi="Gill Sans MT"/>
          <w:sz w:val="24"/>
          <w:szCs w:val="24"/>
        </w:rPr>
      </w:pPr>
      <w:r w:rsidRPr="00093F2A">
        <w:rPr>
          <w:rFonts w:ascii="Gill Sans MT" w:hAnsi="Gill Sans MT"/>
          <w:sz w:val="24"/>
          <w:szCs w:val="24"/>
        </w:rPr>
        <w:lastRenderedPageBreak/>
        <w:t xml:space="preserve">We present the distribution of acquirer business lines in Table 1. Banks dominate the sample, i.e., 87% of the sample size. However, we had broadened the sample size to cover all financial institutions, including asset manager (0.51%), broker-dealer (2.95%), </w:t>
      </w:r>
      <w:r w:rsidR="009D4B34" w:rsidRPr="00093F2A">
        <w:rPr>
          <w:rFonts w:ascii="Gill Sans MT" w:hAnsi="Gill Sans MT"/>
          <w:sz w:val="24"/>
          <w:szCs w:val="24"/>
        </w:rPr>
        <w:t>F</w:t>
      </w:r>
      <w:r w:rsidRPr="00093F2A">
        <w:rPr>
          <w:rFonts w:ascii="Gill Sans MT" w:hAnsi="Gill Sans MT"/>
          <w:sz w:val="24"/>
          <w:szCs w:val="24"/>
        </w:rPr>
        <w:t xml:space="preserve">intech (0.34%), underwriting (1.43%), savings banks, thrifts, and </w:t>
      </w:r>
      <w:r w:rsidR="00A42FCA" w:rsidRPr="00093F2A">
        <w:rPr>
          <w:rFonts w:ascii="Gill Sans MT" w:hAnsi="Gill Sans MT"/>
          <w:sz w:val="24"/>
          <w:szCs w:val="24"/>
        </w:rPr>
        <w:t>mutual</w:t>
      </w:r>
      <w:r w:rsidRPr="00093F2A">
        <w:rPr>
          <w:rFonts w:ascii="Gill Sans MT" w:hAnsi="Gill Sans MT"/>
          <w:sz w:val="24"/>
          <w:szCs w:val="24"/>
        </w:rPr>
        <w:t xml:space="preserve"> (6.4%), and specialty lenders (1.18%). Given each business line's uniqueness on specific </w:t>
      </w:r>
      <w:r w:rsidR="00B22D65">
        <w:rPr>
          <w:rFonts w:ascii="Gill Sans MT" w:hAnsi="Gill Sans MT"/>
          <w:sz w:val="24"/>
          <w:szCs w:val="24"/>
        </w:rPr>
        <w:t>dimensions,</w:t>
      </w:r>
      <w:r w:rsidRPr="00093F2A">
        <w:rPr>
          <w:rFonts w:ascii="Gill Sans MT" w:hAnsi="Gill Sans MT"/>
          <w:sz w:val="24"/>
          <w:szCs w:val="24"/>
        </w:rPr>
        <w:t xml:space="preserve"> despite all of them being highly regulated, we account for these fixed effects in the multivariate regressions, as we explain later.</w:t>
      </w:r>
    </w:p>
    <w:p w14:paraId="102F002C" w14:textId="698EECD2" w:rsidR="00810A26" w:rsidRPr="00093F2A" w:rsidRDefault="00331A27" w:rsidP="008F5E90">
      <w:pPr>
        <w:spacing w:line="480" w:lineRule="auto"/>
        <w:ind w:firstLine="720"/>
        <w:rPr>
          <w:rFonts w:ascii="Gill Sans MT" w:hAnsi="Gill Sans MT"/>
          <w:sz w:val="24"/>
          <w:szCs w:val="24"/>
        </w:rPr>
      </w:pPr>
      <w:r w:rsidRPr="00093F2A">
        <w:rPr>
          <w:rFonts w:ascii="Gill Sans MT" w:hAnsi="Gill Sans MT"/>
          <w:sz w:val="24"/>
          <w:szCs w:val="24"/>
        </w:rPr>
        <w:t>First, w</w:t>
      </w:r>
      <w:r w:rsidR="00083ABC" w:rsidRPr="00093F2A">
        <w:rPr>
          <w:rFonts w:ascii="Gill Sans MT" w:hAnsi="Gill Sans MT"/>
          <w:sz w:val="24"/>
          <w:szCs w:val="24"/>
        </w:rPr>
        <w:t>e</w:t>
      </w:r>
      <w:r w:rsidR="00B4636F" w:rsidRPr="00093F2A">
        <w:rPr>
          <w:rFonts w:ascii="Gill Sans MT" w:hAnsi="Gill Sans MT"/>
          <w:sz w:val="24"/>
          <w:szCs w:val="24"/>
        </w:rPr>
        <w:t xml:space="preserve"> report the summary statistics in Table II. Results for the full sample and private equity subsample are presented in Panels A and B, respectively. The average (median) deal size is $521 million ($51 million) for the full sample and $297 million ($78 million) for the private equity subsample. About 20% of deals are financed with cash in both the full sample and the private equity sample compared with 10.8% stock financing for the full sample and 14.1% for the private equity sample. Profitability is higher in the full sample at 1.04% and 0.928% for the private equity sample</w:t>
      </w:r>
      <w:r w:rsidR="00083ABC" w:rsidRPr="00093F2A">
        <w:rPr>
          <w:rFonts w:ascii="Gill Sans MT" w:hAnsi="Gill Sans MT"/>
          <w:sz w:val="24"/>
          <w:szCs w:val="24"/>
        </w:rPr>
        <w:t>.</w:t>
      </w:r>
    </w:p>
    <w:p w14:paraId="7626496F" w14:textId="15A21460"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2</w:t>
      </w:r>
      <w:r w:rsidRPr="00093F2A">
        <w:rPr>
          <w:rFonts w:ascii="Gill Sans MT" w:hAnsi="Gill Sans MT"/>
          <w:sz w:val="24"/>
          <w:szCs w:val="24"/>
        </w:rPr>
        <w:t>]</w:t>
      </w:r>
    </w:p>
    <w:p w14:paraId="35DC2308" w14:textId="77777777" w:rsidR="00810A26" w:rsidRPr="001C33F9" w:rsidRDefault="108DE40A" w:rsidP="001C33F9">
      <w:pPr>
        <w:pStyle w:val="ListParagraph"/>
        <w:numPr>
          <w:ilvl w:val="0"/>
          <w:numId w:val="2"/>
        </w:numPr>
        <w:spacing w:line="480" w:lineRule="auto"/>
        <w:rPr>
          <w:rFonts w:ascii="Gill Sans MT" w:hAnsi="Gill Sans MT"/>
          <w:b/>
          <w:bCs/>
          <w:sz w:val="24"/>
          <w:szCs w:val="24"/>
        </w:rPr>
      </w:pPr>
      <w:r w:rsidRPr="001C33F9">
        <w:rPr>
          <w:rFonts w:ascii="Gill Sans MT" w:hAnsi="Gill Sans MT"/>
          <w:b/>
          <w:bCs/>
          <w:sz w:val="24"/>
          <w:szCs w:val="24"/>
        </w:rPr>
        <w:t>Methodology and Results</w:t>
      </w:r>
    </w:p>
    <w:p w14:paraId="5938BF8C" w14:textId="6A71D94E" w:rsidR="00810A26" w:rsidRPr="001C33F9" w:rsidRDefault="108DE40A" w:rsidP="001C33F9">
      <w:pPr>
        <w:pStyle w:val="ListParagraph"/>
        <w:numPr>
          <w:ilvl w:val="1"/>
          <w:numId w:val="20"/>
        </w:numPr>
        <w:spacing w:line="480" w:lineRule="auto"/>
        <w:rPr>
          <w:rFonts w:ascii="Gill Sans MT" w:hAnsi="Gill Sans MT"/>
          <w:b/>
          <w:bCs/>
          <w:i/>
          <w:iCs/>
          <w:sz w:val="24"/>
          <w:szCs w:val="24"/>
        </w:rPr>
      </w:pPr>
      <w:r w:rsidRPr="001C33F9">
        <w:rPr>
          <w:rFonts w:ascii="Gill Sans MT" w:hAnsi="Gill Sans MT"/>
          <w:b/>
          <w:bCs/>
          <w:i/>
          <w:iCs/>
          <w:sz w:val="24"/>
          <w:szCs w:val="24"/>
        </w:rPr>
        <w:t xml:space="preserve">Acquirer’s </w:t>
      </w:r>
      <w:r w:rsidR="00762B2E" w:rsidRPr="001C33F9">
        <w:rPr>
          <w:rFonts w:ascii="Gill Sans MT" w:hAnsi="Gill Sans MT"/>
          <w:b/>
          <w:bCs/>
          <w:i/>
          <w:iCs/>
          <w:sz w:val="24"/>
          <w:szCs w:val="24"/>
        </w:rPr>
        <w:t>Cumulative Abnormal Returns (</w:t>
      </w:r>
      <w:r w:rsidRPr="001C33F9">
        <w:rPr>
          <w:rFonts w:ascii="Gill Sans MT" w:hAnsi="Gill Sans MT"/>
          <w:b/>
          <w:bCs/>
          <w:i/>
          <w:iCs/>
          <w:sz w:val="24"/>
          <w:szCs w:val="24"/>
        </w:rPr>
        <w:t>CAR</w:t>
      </w:r>
      <w:r w:rsidR="00762B2E" w:rsidRPr="001C33F9">
        <w:rPr>
          <w:rFonts w:ascii="Gill Sans MT" w:hAnsi="Gill Sans MT"/>
          <w:b/>
          <w:bCs/>
          <w:i/>
          <w:iCs/>
          <w:sz w:val="24"/>
          <w:szCs w:val="24"/>
        </w:rPr>
        <w:t>s)</w:t>
      </w:r>
    </w:p>
    <w:p w14:paraId="71194F4C" w14:textId="2B202C67" w:rsidR="00810A26" w:rsidRPr="00093F2A" w:rsidRDefault="006C1A9D" w:rsidP="00762B2E">
      <w:pPr>
        <w:spacing w:line="480" w:lineRule="auto"/>
        <w:ind w:firstLine="720"/>
        <w:rPr>
          <w:rFonts w:ascii="Gill Sans MT" w:hAnsi="Gill Sans MT"/>
          <w:sz w:val="24"/>
          <w:szCs w:val="24"/>
        </w:rPr>
      </w:pPr>
      <w:r w:rsidRPr="00093F2A">
        <w:rPr>
          <w:rFonts w:ascii="Gill Sans MT" w:hAnsi="Gill Sans MT"/>
          <w:sz w:val="24"/>
          <w:szCs w:val="24"/>
        </w:rPr>
        <w:t xml:space="preserve">Our first variable of interest is how do investors react to a deal in which PE is involved. To gauge investors' interest, we calculate the acquirer's announcement period cumulative abnormal returns (CARs). Day 0 represents the day of the deal announcement. Relative to that day, we </w:t>
      </w:r>
      <w:r w:rsidR="00810A26" w:rsidRPr="00093F2A">
        <w:rPr>
          <w:rFonts w:ascii="Gill Sans MT" w:hAnsi="Gill Sans MT"/>
          <w:sz w:val="24"/>
          <w:szCs w:val="24"/>
        </w:rPr>
        <w:t xml:space="preserve">obtain the acquirer’s daily returns in the (-255, -31) days window to estimate the following four alternative models.  </w:t>
      </w:r>
    </w:p>
    <w:p w14:paraId="730416F5" w14:textId="77777777" w:rsidR="00810A26" w:rsidRPr="00093F2A" w:rsidRDefault="00810A26" w:rsidP="008F5E90">
      <w:pPr>
        <w:spacing w:line="480" w:lineRule="auto"/>
        <w:rPr>
          <w:rFonts w:ascii="Gill Sans MT" w:eastAsiaTheme="minorEastAsia" w:hAnsi="Gill Sans MT"/>
          <w:sz w:val="24"/>
          <w:szCs w:val="24"/>
        </w:rPr>
      </w:pPr>
      <w:r w:rsidRPr="00093F2A">
        <w:rPr>
          <w:rFonts w:ascii="Gill Sans MT" w:eastAsiaTheme="minorEastAsia" w:hAnsi="Gill Sans MT"/>
          <w:sz w:val="24"/>
          <w:szCs w:val="24"/>
        </w:rPr>
        <w:lastRenderedPageBreak/>
        <w:t xml:space="preserve">Fama-French 3-factor model with CRSP equally-weighted index as market benchmark: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mt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SMB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HML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(1)</m:t>
        </m:r>
      </m:oMath>
    </w:p>
    <w:p w14:paraId="7EF1BB0C" w14:textId="77777777" w:rsidR="00810A26" w:rsidRPr="00093F2A" w:rsidRDefault="00810A26" w:rsidP="008F5E90">
      <w:pPr>
        <w:spacing w:line="480" w:lineRule="auto"/>
        <w:rPr>
          <w:rFonts w:ascii="Gill Sans MT" w:eastAsiaTheme="minorEastAsia" w:hAnsi="Gill Sans MT"/>
          <w:sz w:val="24"/>
          <w:szCs w:val="24"/>
        </w:rPr>
      </w:pPr>
      <w:r w:rsidRPr="00093F2A">
        <w:rPr>
          <w:rFonts w:ascii="Gill Sans MT" w:eastAsiaTheme="minorEastAsia" w:hAnsi="Gill Sans MT"/>
          <w:sz w:val="24"/>
          <w:szCs w:val="24"/>
        </w:rPr>
        <w:t xml:space="preserve">Fama-French 4-factor model with CRSP equally-weighted index as the market benchmark: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mt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SMB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HML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UMD</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(2)</m:t>
        </m:r>
      </m:oMath>
    </w:p>
    <w:p w14:paraId="1AA1B9EA" w14:textId="77777777" w:rsidR="00810A26" w:rsidRPr="00093F2A" w:rsidRDefault="00810A26" w:rsidP="008F5E90">
      <w:pPr>
        <w:spacing w:line="480" w:lineRule="auto"/>
        <w:rPr>
          <w:rFonts w:ascii="Gill Sans MT" w:eastAsiaTheme="minorEastAsia" w:hAnsi="Gill Sans MT"/>
          <w:sz w:val="24"/>
          <w:szCs w:val="24"/>
        </w:rPr>
      </w:pPr>
      <w:r w:rsidRPr="00093F2A">
        <w:rPr>
          <w:rFonts w:ascii="Gill Sans MT" w:eastAsiaTheme="minorEastAsia" w:hAnsi="Gill Sans MT"/>
          <w:sz w:val="24"/>
          <w:szCs w:val="24"/>
        </w:rPr>
        <w:t xml:space="preserve">Fama-French 3-factor model with industry returns as market benchmark: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ff48,t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SMB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HML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(3)</m:t>
        </m:r>
      </m:oMath>
    </w:p>
    <w:p w14:paraId="496617E7" w14:textId="77777777" w:rsidR="00810A26" w:rsidRPr="00093F2A" w:rsidRDefault="00810A26" w:rsidP="008F5E90">
      <w:pPr>
        <w:spacing w:line="480" w:lineRule="auto"/>
        <w:rPr>
          <w:rFonts w:ascii="Gill Sans MT" w:eastAsiaTheme="minorEastAsia" w:hAnsi="Gill Sans MT"/>
          <w:sz w:val="24"/>
          <w:szCs w:val="24"/>
        </w:rPr>
      </w:pPr>
      <w:r w:rsidRPr="00093F2A">
        <w:rPr>
          <w:rFonts w:ascii="Gill Sans MT" w:eastAsiaTheme="minorEastAsia" w:hAnsi="Gill Sans MT"/>
          <w:sz w:val="24"/>
          <w:szCs w:val="24"/>
        </w:rPr>
        <w:t>Fama-French 4-factor model with industry returns as market benchmark:</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ff48,t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SMB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HML</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UMD</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(4)</m:t>
        </m:r>
      </m:oMath>
    </w:p>
    <w:p w14:paraId="6CAFE736" w14:textId="132C1D9D" w:rsidR="00810A26" w:rsidRPr="00093F2A" w:rsidRDefault="00810A26" w:rsidP="00762B2E">
      <w:pPr>
        <w:spacing w:line="480" w:lineRule="auto"/>
        <w:ind w:firstLine="720"/>
        <w:rPr>
          <w:rFonts w:ascii="Gill Sans MT" w:eastAsiaTheme="minorEastAsia" w:hAnsi="Gill Sans MT"/>
          <w:sz w:val="24"/>
          <w:szCs w:val="24"/>
        </w:rPr>
      </w:pPr>
      <w:r w:rsidRPr="00093F2A">
        <w:rPr>
          <w:rFonts w:ascii="Gill Sans MT" w:eastAsiaTheme="minorEastAsia" w:hAnsi="Gill Sans MT"/>
          <w:sz w:val="24"/>
          <w:szCs w:val="24"/>
        </w:rPr>
        <w:t xml:space="preserve">In the above equations,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093F2A">
        <w:rPr>
          <w:rFonts w:ascii="Gill Sans MT" w:eastAsiaTheme="minorEastAsia" w:hAnsi="Gill Sans MT"/>
          <w:sz w:val="24"/>
          <w:szCs w:val="24"/>
        </w:rPr>
        <w:t xml:space="preserve"> is the excess return of firm i on day 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mt</m:t>
            </m:r>
          </m:sub>
        </m:sSub>
      </m:oMath>
      <w:r w:rsidRPr="00093F2A">
        <w:rPr>
          <w:rFonts w:ascii="Gill Sans MT" w:eastAsiaTheme="minorEastAsia" w:hAnsi="Gill Sans MT"/>
          <w:sz w:val="24"/>
          <w:szCs w:val="24"/>
        </w:rPr>
        <w:t xml:space="preserve"> is the excess return on the CRSP equally-weighted index on day t. </w:t>
      </w:r>
      <m:oMath>
        <m:sSub>
          <m:sSubPr>
            <m:ctrlPr>
              <w:rPr>
                <w:rFonts w:ascii="Cambria Math" w:hAnsi="Cambria Math"/>
                <w:i/>
                <w:sz w:val="24"/>
                <w:szCs w:val="24"/>
              </w:rPr>
            </m:ctrlPr>
          </m:sSubPr>
          <m:e>
            <m:r>
              <w:rPr>
                <w:rFonts w:ascii="Cambria Math" w:hAnsi="Cambria Math"/>
                <w:sz w:val="24"/>
                <w:szCs w:val="24"/>
              </w:rPr>
              <m:t>SMB</m:t>
            </m:r>
          </m:e>
          <m:sub>
            <m:r>
              <w:rPr>
                <w:rFonts w:ascii="Cambria Math" w:hAnsi="Cambria Math"/>
                <w:sz w:val="24"/>
                <w:szCs w:val="24"/>
              </w:rPr>
              <m:t>t</m:t>
            </m:r>
          </m:sub>
        </m:sSub>
      </m:oMath>
      <w:r w:rsidRPr="00093F2A">
        <w:rPr>
          <w:rFonts w:ascii="Gill Sans MT" w:eastAsiaTheme="minorEastAsia" w:hAnsi="Gill Sans MT"/>
          <w:sz w:val="24"/>
          <w:szCs w:val="24"/>
        </w:rPr>
        <w:t xml:space="preserve">, </w:t>
      </w:r>
      <m:oMath>
        <m:sSub>
          <m:sSubPr>
            <m:ctrlPr>
              <w:rPr>
                <w:rFonts w:ascii="Cambria Math" w:hAnsi="Cambria Math"/>
                <w:i/>
                <w:sz w:val="24"/>
                <w:szCs w:val="24"/>
              </w:rPr>
            </m:ctrlPr>
          </m:sSubPr>
          <m:e>
            <m:r>
              <w:rPr>
                <w:rFonts w:ascii="Cambria Math" w:hAnsi="Cambria Math"/>
                <w:sz w:val="24"/>
                <w:szCs w:val="24"/>
              </w:rPr>
              <m:t>HML</m:t>
            </m:r>
          </m:e>
          <m:sub>
            <m:r>
              <w:rPr>
                <w:rFonts w:ascii="Cambria Math" w:hAnsi="Cambria Math"/>
                <w:sz w:val="24"/>
                <w:szCs w:val="24"/>
              </w:rPr>
              <m:t>t</m:t>
            </m:r>
          </m:sub>
        </m:sSub>
      </m:oMath>
      <w:r w:rsidRPr="00093F2A">
        <w:rPr>
          <w:rFonts w:ascii="Gill Sans MT" w:eastAsiaTheme="minorEastAsia" w:hAnsi="Gill Sans MT"/>
          <w:sz w:val="24"/>
          <w:szCs w:val="24"/>
        </w:rPr>
        <w:t xml:space="preserve"> and </w:t>
      </w:r>
      <m:oMath>
        <m:sSub>
          <m:sSubPr>
            <m:ctrlPr>
              <w:rPr>
                <w:rFonts w:ascii="Cambria Math" w:hAnsi="Cambria Math"/>
                <w:i/>
                <w:sz w:val="24"/>
                <w:szCs w:val="24"/>
              </w:rPr>
            </m:ctrlPr>
          </m:sSubPr>
          <m:e>
            <m:r>
              <w:rPr>
                <w:rFonts w:ascii="Cambria Math" w:hAnsi="Cambria Math"/>
                <w:sz w:val="24"/>
                <w:szCs w:val="24"/>
              </w:rPr>
              <m:t>UMD</m:t>
            </m:r>
          </m:e>
          <m:sub>
            <m:r>
              <w:rPr>
                <w:rFonts w:ascii="Cambria Math" w:hAnsi="Cambria Math"/>
                <w:sz w:val="24"/>
                <w:szCs w:val="24"/>
              </w:rPr>
              <m:t>t</m:t>
            </m:r>
          </m:sub>
        </m:sSub>
      </m:oMath>
      <w:r w:rsidRPr="00093F2A">
        <w:rPr>
          <w:rFonts w:ascii="Gill Sans MT" w:eastAsiaTheme="minorEastAsia" w:hAnsi="Gill Sans MT"/>
          <w:sz w:val="24"/>
          <w:szCs w:val="24"/>
        </w:rPr>
        <w:t xml:space="preserve"> are the size premium factor, book-to-market premium factor and momentum factor from Professor Kenneth French website. Since banks and financial institutions are regulated, we calculate the excess returns of the industry portfolios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ff48,t</m:t>
            </m:r>
          </m:sub>
        </m:sSub>
      </m:oMath>
      <w:r w:rsidRPr="00093F2A">
        <w:rPr>
          <w:rFonts w:ascii="Gill Sans MT" w:eastAsiaTheme="minorEastAsia" w:hAnsi="Gill Sans MT"/>
          <w:sz w:val="24"/>
          <w:szCs w:val="24"/>
        </w:rPr>
        <w:t xml:space="preserve"> (using Fama-French 48 sector classification) as the alternative market benchmark in equations (3) and (4) instead of CRSP equally-weighted index. </w:t>
      </w:r>
    </w:p>
    <w:p w14:paraId="3345EAD8" w14:textId="23E4F6F2" w:rsidR="00810A26" w:rsidRPr="00093F2A" w:rsidRDefault="00B4636F" w:rsidP="008F5E90">
      <w:pPr>
        <w:spacing w:line="480" w:lineRule="auto"/>
        <w:ind w:firstLine="720"/>
        <w:rPr>
          <w:rFonts w:ascii="Gill Sans MT" w:hAnsi="Gill Sans MT"/>
          <w:sz w:val="24"/>
          <w:szCs w:val="24"/>
        </w:rPr>
      </w:pPr>
      <w:r w:rsidRPr="00093F2A">
        <w:rPr>
          <w:rFonts w:ascii="Gill Sans MT" w:hAnsi="Gill Sans MT"/>
          <w:sz w:val="24"/>
          <w:szCs w:val="24"/>
        </w:rPr>
        <w:t>We obtain the parameter estimates from the above equations using the pre-event period's daily returns and use the parameter estimates to calculate the predicted returns for the acquirers in the event period. We subtract the acquirers' actual returns in the event period from the predicted returns to obtain the abnormal returns. We then calculate the cumulative abnormal returns (CARs) over several alternative windows (-2,+1), (-1,+1), and (0,+1), which capture the market reactions to the acquisition news in the event period</w:t>
      </w:r>
      <w:r w:rsidR="00810A26" w:rsidRPr="00093F2A">
        <w:rPr>
          <w:rFonts w:ascii="Gill Sans MT" w:hAnsi="Gill Sans MT"/>
          <w:sz w:val="24"/>
          <w:szCs w:val="24"/>
        </w:rPr>
        <w:t>.</w:t>
      </w:r>
    </w:p>
    <w:p w14:paraId="1C4F2D6C" w14:textId="1E5C81F6" w:rsidR="00810A26" w:rsidRPr="00093F2A" w:rsidRDefault="4B17C903" w:rsidP="008F5E90">
      <w:pPr>
        <w:spacing w:line="480" w:lineRule="auto"/>
        <w:ind w:firstLine="720"/>
        <w:rPr>
          <w:rFonts w:ascii="Gill Sans MT" w:eastAsia="Garamond" w:hAnsi="Gill Sans MT" w:cs="Garamond"/>
          <w:sz w:val="24"/>
          <w:szCs w:val="24"/>
        </w:rPr>
      </w:pPr>
      <w:r w:rsidRPr="00093F2A">
        <w:rPr>
          <w:rFonts w:ascii="Gill Sans MT" w:eastAsia="Garamond" w:hAnsi="Gill Sans MT" w:cs="Garamond"/>
          <w:sz w:val="24"/>
          <w:szCs w:val="24"/>
        </w:rPr>
        <w:lastRenderedPageBreak/>
        <w:t xml:space="preserve">We compare the CARs accrued to the acquirers between acquisitions with private equity involvement and acquisitions without such involvement in Table III. Regardless of the estimation method and the measured windows, a consistent result stands out; acquirers experience statistically and economically </w:t>
      </w:r>
      <w:r w:rsidR="00B22D65">
        <w:rPr>
          <w:rFonts w:ascii="Gill Sans MT" w:eastAsia="Garamond" w:hAnsi="Gill Sans MT" w:cs="Garamond"/>
          <w:sz w:val="24"/>
          <w:szCs w:val="24"/>
        </w:rPr>
        <w:t>significantly</w:t>
      </w:r>
      <w:r w:rsidRPr="00093F2A">
        <w:rPr>
          <w:rFonts w:ascii="Gill Sans MT" w:eastAsia="Garamond" w:hAnsi="Gill Sans MT" w:cs="Garamond"/>
          <w:sz w:val="24"/>
          <w:szCs w:val="24"/>
        </w:rPr>
        <w:t xml:space="preserve"> higher CARs when there is private equity involvement in the deals. This finding supports Humphery-Jenner, Suatner, and Suchard (2017) who find positive CARs for PE involvement in cross-border M&amp;As.</w:t>
      </w:r>
    </w:p>
    <w:p w14:paraId="2FADBE61" w14:textId="0BDEAD7D" w:rsidR="00B66909" w:rsidRPr="00093F2A" w:rsidRDefault="002D5FE5"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3</w:t>
      </w:r>
      <w:r w:rsidRPr="00093F2A">
        <w:rPr>
          <w:rFonts w:ascii="Gill Sans MT" w:hAnsi="Gill Sans MT"/>
          <w:sz w:val="24"/>
          <w:szCs w:val="24"/>
        </w:rPr>
        <w:t>]</w:t>
      </w:r>
    </w:p>
    <w:p w14:paraId="5C5BB28C" w14:textId="357DDEB6" w:rsidR="00E267D8" w:rsidRPr="00093F2A" w:rsidRDefault="00E267D8" w:rsidP="008F5E90">
      <w:pPr>
        <w:spacing w:line="480" w:lineRule="auto"/>
        <w:ind w:firstLine="720"/>
        <w:rPr>
          <w:rFonts w:ascii="Gill Sans MT" w:hAnsi="Gill Sans MT"/>
          <w:sz w:val="24"/>
          <w:szCs w:val="24"/>
        </w:rPr>
      </w:pPr>
      <w:r w:rsidRPr="00093F2A">
        <w:rPr>
          <w:rFonts w:ascii="Gill Sans MT" w:hAnsi="Gill Sans MT"/>
          <w:sz w:val="24"/>
          <w:szCs w:val="24"/>
        </w:rPr>
        <w:t xml:space="preserve">Consistent with the literature on bidder CARs (Bradley, Desai and Kim, 1998; Mulherin and Boone, 2000), we find that the mean and median CARs are all negative. However, when we compare PE involvement to the deals without PE involvement, we find that both the mean and median CARs for any window are higher for deals with PE involvement. For example, using mean figures, the (-2, +1) window CARs are higher by </w:t>
      </w:r>
      <w:r w:rsidR="00A25EC8" w:rsidRPr="00093F2A">
        <w:rPr>
          <w:rFonts w:ascii="Gill Sans MT" w:hAnsi="Gill Sans MT"/>
          <w:sz w:val="24"/>
          <w:szCs w:val="24"/>
        </w:rPr>
        <w:t xml:space="preserve">a figure ranging between </w:t>
      </w:r>
      <w:r w:rsidRPr="00093F2A">
        <w:rPr>
          <w:rFonts w:ascii="Gill Sans MT" w:hAnsi="Gill Sans MT"/>
          <w:sz w:val="24"/>
          <w:szCs w:val="24"/>
        </w:rPr>
        <w:t>0.764%</w:t>
      </w:r>
      <w:r w:rsidR="00A25EC8" w:rsidRPr="00093F2A">
        <w:rPr>
          <w:rFonts w:ascii="Gill Sans MT" w:hAnsi="Gill Sans MT"/>
          <w:sz w:val="24"/>
          <w:szCs w:val="24"/>
        </w:rPr>
        <w:t xml:space="preserve"> and </w:t>
      </w:r>
      <w:r w:rsidRPr="00093F2A">
        <w:rPr>
          <w:rFonts w:ascii="Gill Sans MT" w:hAnsi="Gill Sans MT"/>
          <w:sz w:val="24"/>
          <w:szCs w:val="24"/>
        </w:rPr>
        <w:t>0.98% (depending on the method) for acquisitions with PE involvement than without. A similar trend is observed using median figures irrespective of the windows in days surrounding the announcement.</w:t>
      </w:r>
    </w:p>
    <w:p w14:paraId="551E3444" w14:textId="0ED33868" w:rsidR="00810A26" w:rsidRPr="00093F2A" w:rsidRDefault="00A25EC8" w:rsidP="008F5E90">
      <w:pPr>
        <w:spacing w:line="480" w:lineRule="auto"/>
        <w:ind w:firstLine="720"/>
        <w:rPr>
          <w:rFonts w:ascii="Gill Sans MT" w:hAnsi="Gill Sans MT"/>
          <w:sz w:val="24"/>
          <w:szCs w:val="24"/>
        </w:rPr>
      </w:pPr>
      <w:r w:rsidRPr="00093F2A">
        <w:rPr>
          <w:rFonts w:ascii="Gill Sans MT" w:hAnsi="Gill Sans MT"/>
          <w:sz w:val="24"/>
          <w:szCs w:val="24"/>
        </w:rPr>
        <w:t>The announcement period returns could reflect the manifestation of a host of factors</w:t>
      </w:r>
      <w:r w:rsidR="00171BB1" w:rsidRPr="00093F2A">
        <w:rPr>
          <w:rFonts w:ascii="Gill Sans MT" w:hAnsi="Gill Sans MT"/>
          <w:sz w:val="24"/>
          <w:szCs w:val="24"/>
        </w:rPr>
        <w:t>—both deal and bidder characteristics</w:t>
      </w:r>
      <w:r w:rsidRPr="00093F2A">
        <w:rPr>
          <w:rFonts w:ascii="Gill Sans MT" w:hAnsi="Gill Sans MT"/>
          <w:sz w:val="24"/>
          <w:szCs w:val="24"/>
        </w:rPr>
        <w:t xml:space="preserve">, including PE involvement. As such, we run multiple regression on the acquirer CARs controlling for several factors known to influence the returns and a dummy variable representing deals with PE involvement. </w:t>
      </w:r>
      <w:r w:rsidR="007143DF" w:rsidRPr="00093F2A">
        <w:rPr>
          <w:rFonts w:ascii="Gill Sans MT" w:hAnsi="Gill Sans MT"/>
          <w:sz w:val="24"/>
          <w:szCs w:val="24"/>
        </w:rPr>
        <w:t>In Table IV</w:t>
      </w:r>
      <w:r w:rsidR="00810A26" w:rsidRPr="00093F2A">
        <w:rPr>
          <w:rFonts w:ascii="Gill Sans MT" w:hAnsi="Gill Sans MT"/>
          <w:sz w:val="24"/>
          <w:szCs w:val="24"/>
        </w:rPr>
        <w:t xml:space="preserve">, we report the OLS regressions of the acquirers’ CARs using the following model. </w:t>
      </w:r>
    </w:p>
    <w:p w14:paraId="02C7FEBC" w14:textId="6E09B746" w:rsidR="00810A26" w:rsidRPr="00B22D65" w:rsidRDefault="00A819CB" w:rsidP="008F5E90">
      <w:pPr>
        <w:spacing w:line="480" w:lineRule="auto"/>
        <w:rPr>
          <w:rFonts w:ascii="Gill Sans MT" w:eastAsiaTheme="minorEastAsia" w:hAnsi="Gill Sans MT"/>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PRIVATE EQUITY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RELSIZE</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RELATED TARGETS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PUBLIC TARGETS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DOMESTICTGT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sSub>
            <m:sSubPr>
              <m:ctrlPr>
                <w:rPr>
                  <w:rFonts w:ascii="Cambria Math" w:hAnsi="Cambria Math"/>
                  <w:i/>
                  <w:sz w:val="24"/>
                  <w:szCs w:val="24"/>
                </w:rPr>
              </m:ctrlPr>
            </m:sSubPr>
            <m:e>
              <m:r>
                <w:rPr>
                  <w:rFonts w:ascii="Cambria Math" w:hAnsi="Cambria Math"/>
                  <w:sz w:val="24"/>
                  <w:szCs w:val="24"/>
                </w:rPr>
                <m:t>CASH ONLY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7</m:t>
              </m:r>
            </m:sub>
          </m:sSub>
          <m:sSub>
            <m:sSubPr>
              <m:ctrlPr>
                <w:rPr>
                  <w:rFonts w:ascii="Cambria Math" w:hAnsi="Cambria Math"/>
                  <w:i/>
                  <w:sz w:val="24"/>
                  <w:szCs w:val="24"/>
                </w:rPr>
              </m:ctrlPr>
            </m:sSubPr>
            <m:e>
              <m:r>
                <w:rPr>
                  <w:rFonts w:ascii="Cambria Math" w:hAnsi="Cambria Math"/>
                  <w:sz w:val="24"/>
                  <w:szCs w:val="24"/>
                </w:rPr>
                <m:t>STOCK ONLY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8</m:t>
              </m:r>
            </m:sub>
          </m:sSub>
          <m:sSub>
            <m:sSubPr>
              <m:ctrlPr>
                <w:rPr>
                  <w:rFonts w:ascii="Cambria Math" w:hAnsi="Cambria Math"/>
                  <w:i/>
                  <w:sz w:val="24"/>
                  <w:szCs w:val="24"/>
                </w:rPr>
              </m:ctrlPr>
            </m:sSubPr>
            <m:e>
              <m:r>
                <w:rPr>
                  <w:rFonts w:ascii="Cambria Math" w:hAnsi="Cambria Math"/>
                  <w:sz w:val="24"/>
                  <w:szCs w:val="24"/>
                </w:rPr>
                <m:t>LN(L.ACQ.ASSET)</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9</m:t>
              </m:r>
            </m:sub>
          </m:sSub>
          <m:sSub>
            <m:sSubPr>
              <m:ctrlPr>
                <w:rPr>
                  <w:rFonts w:ascii="Cambria Math" w:hAnsi="Cambria Math"/>
                  <w:i/>
                  <w:sz w:val="24"/>
                  <w:szCs w:val="24"/>
                </w:rPr>
              </m:ctrlPr>
            </m:sSubPr>
            <m:e>
              <m:r>
                <w:rPr>
                  <w:rFonts w:ascii="Cambria Math" w:hAnsi="Cambria Math"/>
                  <w:sz w:val="24"/>
                  <w:szCs w:val="24"/>
                </w:rPr>
                <m:t>L.ACQ. ROA</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10</m:t>
              </m:r>
            </m:sub>
          </m:sSub>
          <m:sSub>
            <m:sSubPr>
              <m:ctrlPr>
                <w:rPr>
                  <w:rFonts w:ascii="Cambria Math" w:hAnsi="Cambria Math"/>
                  <w:i/>
                  <w:sz w:val="24"/>
                  <w:szCs w:val="24"/>
                </w:rPr>
              </m:ctrlPr>
            </m:sSubPr>
            <m:e>
              <m:r>
                <w:rPr>
                  <w:rFonts w:ascii="Cambria Math" w:hAnsi="Cambria Math"/>
                  <w:sz w:val="24"/>
                  <w:szCs w:val="24"/>
                </w:rPr>
                <m:t>L.ACQ.LIQUIDITY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L.ACQ.EQUITY/ASSET</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(5)</m:t>
          </m:r>
        </m:oMath>
      </m:oMathPara>
    </w:p>
    <w:p w14:paraId="4D84173C" w14:textId="277CFD4E" w:rsidR="00810A26" w:rsidRPr="00093F2A" w:rsidRDefault="00810A26" w:rsidP="00762B2E">
      <w:pPr>
        <w:spacing w:line="480" w:lineRule="auto"/>
        <w:ind w:firstLine="720"/>
        <w:rPr>
          <w:rFonts w:ascii="Gill Sans MT" w:hAnsi="Gill Sans MT"/>
          <w:sz w:val="24"/>
          <w:szCs w:val="24"/>
        </w:rPr>
      </w:pPr>
      <w:r w:rsidRPr="00093F2A">
        <w:rPr>
          <w:rFonts w:ascii="Gill Sans MT" w:hAnsi="Gill Sans MT"/>
          <w:sz w:val="24"/>
          <w:szCs w:val="24"/>
        </w:rPr>
        <w:t>The dependent variables</w:t>
      </w:r>
      <w:r w:rsidR="00A42FCA" w:rsidRPr="00093F2A">
        <w:rPr>
          <w:rFonts w:ascii="Gill Sans MT" w:hAnsi="Gill Sans MT"/>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00A42FCA" w:rsidRPr="00093F2A">
        <w:rPr>
          <w:rFonts w:ascii="Gill Sans MT" w:hAnsi="Gill Sans MT"/>
          <w:sz w:val="24"/>
          <w:szCs w:val="24"/>
        </w:rPr>
        <w:t>)</w:t>
      </w:r>
      <w:r w:rsidRPr="00093F2A">
        <w:rPr>
          <w:rFonts w:ascii="Gill Sans MT" w:hAnsi="Gill Sans MT"/>
          <w:sz w:val="24"/>
          <w:szCs w:val="24"/>
        </w:rPr>
        <w:t xml:space="preserve"> are the acquirers’ CARs in (-2, +1) and (-1, +1) days windows, alternatively. The CARs are estimated from the Fama-French 4-factor model with the CRSP EW index as the market benchmark (in Panel A) and from the Fama-French 4-factor model with Fama-French 48-Sector Returns as the market benchmark (in Panel B).</w:t>
      </w:r>
      <w:r w:rsidR="00A25EC8" w:rsidRPr="00093F2A">
        <w:rPr>
          <w:rStyle w:val="FootnoteReference"/>
          <w:rFonts w:ascii="Gill Sans MT" w:hAnsi="Gill Sans MT"/>
          <w:sz w:val="24"/>
          <w:szCs w:val="24"/>
        </w:rPr>
        <w:footnoteReference w:id="9"/>
      </w:r>
      <w:r w:rsidRPr="00093F2A">
        <w:rPr>
          <w:rFonts w:ascii="Gill Sans MT" w:hAnsi="Gill Sans MT"/>
          <w:sz w:val="24"/>
          <w:szCs w:val="24"/>
        </w:rPr>
        <w:t xml:space="preserve"> The independent variable of interest </w:t>
      </w:r>
      <w:r w:rsidR="006D4DE1" w:rsidRPr="00093F2A">
        <w:rPr>
          <w:rFonts w:ascii="Gill Sans MT" w:hAnsi="Gill Sans MT"/>
          <w:sz w:val="24"/>
          <w:szCs w:val="24"/>
        </w:rPr>
        <w:t>is</w:t>
      </w:r>
      <w:r w:rsidRPr="00093F2A">
        <w:rPr>
          <w:rFonts w:ascii="Gill Sans MT" w:hAnsi="Gill Sans MT"/>
          <w:sz w:val="24"/>
          <w:szCs w:val="24"/>
        </w:rPr>
        <w:t xml:space="preserve"> the dummy variable for deals </w:t>
      </w:r>
      <w:r w:rsidR="006D4DE1" w:rsidRPr="00093F2A">
        <w:rPr>
          <w:rFonts w:ascii="Gill Sans MT" w:hAnsi="Gill Sans MT"/>
          <w:sz w:val="24"/>
          <w:szCs w:val="24"/>
        </w:rPr>
        <w:t xml:space="preserve">with private equity involvement </w:t>
      </w:r>
      <w:r w:rsidRPr="00093F2A">
        <w:rPr>
          <w:rFonts w:ascii="Gill Sans MT" w:hAnsi="Gill Sans MT"/>
          <w:sz w:val="24"/>
          <w:szCs w:val="24"/>
        </w:rPr>
        <w:t>(</w:t>
      </w:r>
      <w:r w:rsidR="006D4DE1" w:rsidRPr="00093F2A">
        <w:rPr>
          <w:rFonts w:ascii="Gill Sans MT" w:hAnsi="Gill Sans MT"/>
          <w:i/>
          <w:iCs/>
          <w:sz w:val="24"/>
          <w:szCs w:val="24"/>
        </w:rPr>
        <w:t>PRIVATE EQUITY</w:t>
      </w:r>
      <w:r w:rsidRPr="00093F2A">
        <w:rPr>
          <w:rFonts w:ascii="Gill Sans MT" w:hAnsi="Gill Sans MT"/>
          <w:sz w:val="24"/>
          <w:szCs w:val="24"/>
        </w:rPr>
        <w:t>)</w:t>
      </w:r>
      <w:r w:rsidR="006D4DE1" w:rsidRPr="00093F2A">
        <w:rPr>
          <w:rFonts w:ascii="Gill Sans MT" w:hAnsi="Gill Sans MT"/>
          <w:sz w:val="24"/>
          <w:szCs w:val="24"/>
        </w:rPr>
        <w:t xml:space="preserve">. </w:t>
      </w:r>
      <w:r w:rsidRPr="00093F2A">
        <w:rPr>
          <w:rFonts w:ascii="Gill Sans MT" w:eastAsiaTheme="minorEastAsia" w:hAnsi="Gill Sans MT"/>
          <w:sz w:val="24"/>
          <w:szCs w:val="24"/>
        </w:rPr>
        <w:t>We control for the ratio of the deal value to the acquirer total asset (</w:t>
      </w:r>
      <m:oMath>
        <m:sSub>
          <m:sSubPr>
            <m:ctrlPr>
              <w:rPr>
                <w:rFonts w:ascii="Cambria Math" w:hAnsi="Cambria Math"/>
                <w:i/>
                <w:sz w:val="24"/>
                <w:szCs w:val="24"/>
              </w:rPr>
            </m:ctrlPr>
          </m:sSubPr>
          <m:e>
            <m:r>
              <w:rPr>
                <w:rFonts w:ascii="Cambria Math" w:hAnsi="Cambria Math"/>
                <w:sz w:val="24"/>
                <w:szCs w:val="24"/>
              </w:rPr>
              <m:t>RELSIZE</m:t>
            </m:r>
          </m:e>
          <m:sub>
            <m:r>
              <w:rPr>
                <w:rFonts w:ascii="Cambria Math" w:hAnsi="Cambria Math"/>
                <w:sz w:val="24"/>
                <w:szCs w:val="24"/>
              </w:rPr>
              <m:t>i</m:t>
            </m:r>
          </m:sub>
        </m:sSub>
      </m:oMath>
      <w:r w:rsidRPr="00093F2A">
        <w:rPr>
          <w:rFonts w:ascii="Gill Sans MT" w:eastAsiaTheme="minorEastAsia" w:hAnsi="Gill Sans MT"/>
          <w:sz w:val="24"/>
          <w:szCs w:val="24"/>
        </w:rPr>
        <w:t>), the dummy variable for acquisitions by acquirers and targets in the same business (</w:t>
      </w:r>
      <m:oMath>
        <m:sSub>
          <m:sSubPr>
            <m:ctrlPr>
              <w:rPr>
                <w:rFonts w:ascii="Cambria Math" w:hAnsi="Cambria Math"/>
                <w:i/>
                <w:sz w:val="24"/>
                <w:szCs w:val="24"/>
              </w:rPr>
            </m:ctrlPr>
          </m:sSubPr>
          <m:e>
            <m:r>
              <w:rPr>
                <w:rFonts w:ascii="Cambria Math" w:hAnsi="Cambria Math"/>
                <w:sz w:val="24"/>
                <w:szCs w:val="24"/>
              </w:rPr>
              <m:t>RELATED TARGETS</m:t>
            </m:r>
          </m:e>
          <m:sub>
            <m:r>
              <w:rPr>
                <w:rFonts w:ascii="Cambria Math" w:hAnsi="Cambria Math"/>
                <w:sz w:val="24"/>
                <w:szCs w:val="24"/>
              </w:rPr>
              <m:t>i</m:t>
            </m:r>
          </m:sub>
        </m:sSub>
      </m:oMath>
      <w:r w:rsidRPr="00093F2A">
        <w:rPr>
          <w:rFonts w:ascii="Gill Sans MT" w:eastAsiaTheme="minorEastAsia" w:hAnsi="Gill Sans MT"/>
          <w:sz w:val="24"/>
          <w:szCs w:val="24"/>
        </w:rPr>
        <w:t>), the dummy variable for acquisitions of publicly-traded targets (</w:t>
      </w:r>
      <m:oMath>
        <m:sSub>
          <m:sSubPr>
            <m:ctrlPr>
              <w:rPr>
                <w:rFonts w:ascii="Cambria Math" w:hAnsi="Cambria Math"/>
                <w:i/>
                <w:sz w:val="24"/>
                <w:szCs w:val="24"/>
              </w:rPr>
            </m:ctrlPr>
          </m:sSubPr>
          <m:e>
            <m:r>
              <w:rPr>
                <w:rFonts w:ascii="Cambria Math" w:hAnsi="Cambria Math"/>
                <w:sz w:val="24"/>
                <w:szCs w:val="24"/>
              </w:rPr>
              <m:t>PUBLIC TARGETS</m:t>
            </m:r>
          </m:e>
          <m:sub>
            <m:r>
              <w:rPr>
                <w:rFonts w:ascii="Cambria Math" w:hAnsi="Cambria Math"/>
                <w:sz w:val="24"/>
                <w:szCs w:val="24"/>
              </w:rPr>
              <m:t>i</m:t>
            </m:r>
          </m:sub>
        </m:sSub>
      </m:oMath>
      <w:r w:rsidRPr="00093F2A">
        <w:rPr>
          <w:rFonts w:ascii="Gill Sans MT" w:eastAsiaTheme="minorEastAsia" w:hAnsi="Gill Sans MT"/>
          <w:sz w:val="24"/>
          <w:szCs w:val="24"/>
        </w:rPr>
        <w:t xml:space="preserve">), </w:t>
      </w:r>
      <w:r w:rsidR="006D4DE1" w:rsidRPr="00093F2A">
        <w:rPr>
          <w:rFonts w:ascii="Gill Sans MT" w:eastAsiaTheme="minorEastAsia" w:hAnsi="Gill Sans MT"/>
          <w:sz w:val="24"/>
          <w:szCs w:val="24"/>
        </w:rPr>
        <w:t>the dummy variable for acquisitions of U.S. targets (</w:t>
      </w:r>
      <m:oMath>
        <m:sSub>
          <m:sSubPr>
            <m:ctrlPr>
              <w:rPr>
                <w:rFonts w:ascii="Cambria Math" w:hAnsi="Cambria Math"/>
                <w:i/>
                <w:sz w:val="24"/>
                <w:szCs w:val="24"/>
              </w:rPr>
            </m:ctrlPr>
          </m:sSubPr>
          <m:e>
            <m:r>
              <w:rPr>
                <w:rFonts w:ascii="Cambria Math" w:hAnsi="Cambria Math"/>
                <w:sz w:val="24"/>
                <w:szCs w:val="24"/>
              </w:rPr>
              <m:t>DOMESTICTGT</m:t>
            </m:r>
          </m:e>
          <m:sub>
            <m:r>
              <w:rPr>
                <w:rFonts w:ascii="Cambria Math" w:hAnsi="Cambria Math"/>
                <w:sz w:val="24"/>
                <w:szCs w:val="24"/>
              </w:rPr>
              <m:t>i</m:t>
            </m:r>
          </m:sub>
        </m:sSub>
      </m:oMath>
      <w:r w:rsidR="006D4DE1" w:rsidRPr="00093F2A">
        <w:rPr>
          <w:rFonts w:ascii="Gill Sans MT" w:eastAsiaTheme="minorEastAsia" w:hAnsi="Gill Sans MT"/>
          <w:sz w:val="24"/>
          <w:szCs w:val="24"/>
        </w:rPr>
        <w:t xml:space="preserve">), </w:t>
      </w:r>
      <w:r w:rsidRPr="00093F2A">
        <w:rPr>
          <w:rFonts w:ascii="Gill Sans MT" w:eastAsiaTheme="minorEastAsia" w:hAnsi="Gill Sans MT"/>
          <w:sz w:val="24"/>
          <w:szCs w:val="24"/>
        </w:rPr>
        <w:t>the dummy variable for cash-only acquisitions (</w:t>
      </w:r>
      <m:oMath>
        <m:sSub>
          <m:sSubPr>
            <m:ctrlPr>
              <w:rPr>
                <w:rFonts w:ascii="Cambria Math" w:hAnsi="Cambria Math"/>
                <w:i/>
                <w:sz w:val="24"/>
                <w:szCs w:val="24"/>
              </w:rPr>
            </m:ctrlPr>
          </m:sSubPr>
          <m:e>
            <m:r>
              <w:rPr>
                <w:rFonts w:ascii="Cambria Math" w:hAnsi="Cambria Math"/>
                <w:sz w:val="24"/>
                <w:szCs w:val="24"/>
              </w:rPr>
              <m:t>CASH ONLY</m:t>
            </m:r>
          </m:e>
          <m:sub>
            <m:r>
              <w:rPr>
                <w:rFonts w:ascii="Cambria Math" w:hAnsi="Cambria Math"/>
                <w:sz w:val="24"/>
                <w:szCs w:val="24"/>
              </w:rPr>
              <m:t>i</m:t>
            </m:r>
          </m:sub>
        </m:sSub>
        <m:r>
          <w:rPr>
            <w:rFonts w:ascii="Cambria Math" w:hAnsi="Cambria Math"/>
            <w:sz w:val="24"/>
            <w:szCs w:val="24"/>
          </w:rPr>
          <m:t>)</m:t>
        </m:r>
      </m:oMath>
      <w:r w:rsidRPr="00093F2A">
        <w:rPr>
          <w:rFonts w:ascii="Gill Sans MT" w:eastAsiaTheme="minorEastAsia" w:hAnsi="Gill Sans MT"/>
          <w:sz w:val="24"/>
          <w:szCs w:val="24"/>
        </w:rPr>
        <w:t xml:space="preserve">, </w:t>
      </w:r>
      <w:r w:rsidR="006D4DE1" w:rsidRPr="00093F2A">
        <w:rPr>
          <w:rFonts w:ascii="Gill Sans MT" w:eastAsiaTheme="minorEastAsia" w:hAnsi="Gill Sans MT"/>
          <w:sz w:val="24"/>
          <w:szCs w:val="24"/>
        </w:rPr>
        <w:t>the dummy variable for stock-only acquisitions (</w:t>
      </w:r>
      <m:oMath>
        <m:sSub>
          <m:sSubPr>
            <m:ctrlPr>
              <w:rPr>
                <w:rFonts w:ascii="Cambria Math" w:hAnsi="Cambria Math"/>
                <w:i/>
                <w:sz w:val="24"/>
                <w:szCs w:val="24"/>
              </w:rPr>
            </m:ctrlPr>
          </m:sSubPr>
          <m:e>
            <m:r>
              <w:rPr>
                <w:rFonts w:ascii="Cambria Math" w:hAnsi="Cambria Math"/>
                <w:sz w:val="24"/>
                <w:szCs w:val="24"/>
              </w:rPr>
              <m:t>STOCK ONLY</m:t>
            </m:r>
          </m:e>
          <m:sub>
            <m:r>
              <w:rPr>
                <w:rFonts w:ascii="Cambria Math" w:hAnsi="Cambria Math"/>
                <w:sz w:val="24"/>
                <w:szCs w:val="24"/>
              </w:rPr>
              <m:t>i</m:t>
            </m:r>
          </m:sub>
        </m:sSub>
        <m:r>
          <w:rPr>
            <w:rFonts w:ascii="Cambria Math" w:hAnsi="Cambria Math"/>
            <w:sz w:val="24"/>
            <w:szCs w:val="24"/>
          </w:rPr>
          <m:t>)</m:t>
        </m:r>
      </m:oMath>
      <w:r w:rsidR="006D4DE1" w:rsidRPr="00093F2A">
        <w:rPr>
          <w:rFonts w:ascii="Gill Sans MT" w:eastAsiaTheme="minorEastAsia" w:hAnsi="Gill Sans MT"/>
          <w:sz w:val="24"/>
          <w:szCs w:val="24"/>
        </w:rPr>
        <w:t>, the natural log of the acquirer total asset before the acquisition (</w:t>
      </w:r>
      <m:oMath>
        <m:sSub>
          <m:sSubPr>
            <m:ctrlPr>
              <w:rPr>
                <w:rFonts w:ascii="Cambria Math" w:hAnsi="Cambria Math"/>
                <w:i/>
                <w:sz w:val="24"/>
                <w:szCs w:val="24"/>
              </w:rPr>
            </m:ctrlPr>
          </m:sSubPr>
          <m:e>
            <m:r>
              <w:rPr>
                <w:rFonts w:ascii="Cambria Math" w:hAnsi="Cambria Math"/>
                <w:sz w:val="24"/>
                <w:szCs w:val="24"/>
              </w:rPr>
              <m:t>LN(L.ACQ.ASSET)</m:t>
            </m:r>
          </m:e>
          <m:sub>
            <m:r>
              <w:rPr>
                <w:rFonts w:ascii="Cambria Math" w:hAnsi="Cambria Math"/>
                <w:sz w:val="24"/>
                <w:szCs w:val="24"/>
              </w:rPr>
              <m:t>i</m:t>
            </m:r>
          </m:sub>
        </m:sSub>
      </m:oMath>
      <w:r w:rsidR="006D4DE1" w:rsidRPr="00093F2A">
        <w:rPr>
          <w:rFonts w:ascii="Gill Sans MT" w:eastAsiaTheme="minorEastAsia" w:hAnsi="Gill Sans MT"/>
          <w:sz w:val="24"/>
          <w:szCs w:val="24"/>
        </w:rPr>
        <w:t>)</w:t>
      </w:r>
      <w:r w:rsidR="008729B8" w:rsidRPr="00093F2A">
        <w:rPr>
          <w:rFonts w:ascii="Gill Sans MT" w:eastAsiaTheme="minorEastAsia" w:hAnsi="Gill Sans MT"/>
          <w:sz w:val="24"/>
          <w:szCs w:val="24"/>
        </w:rPr>
        <w:t>,</w:t>
      </w:r>
      <w:r w:rsidR="006D4DE1" w:rsidRPr="00093F2A">
        <w:rPr>
          <w:rFonts w:ascii="Gill Sans MT" w:eastAsiaTheme="minorEastAsia" w:hAnsi="Gill Sans MT"/>
          <w:sz w:val="24"/>
          <w:szCs w:val="24"/>
        </w:rPr>
        <w:t xml:space="preserve"> </w:t>
      </w:r>
      <w:r w:rsidRPr="00093F2A">
        <w:rPr>
          <w:rFonts w:ascii="Gill Sans MT" w:eastAsiaTheme="minorEastAsia" w:hAnsi="Gill Sans MT"/>
          <w:sz w:val="24"/>
          <w:szCs w:val="24"/>
        </w:rPr>
        <w:t>the acquirer return on asset percentage (</w:t>
      </w:r>
      <m:oMath>
        <m:sSub>
          <m:sSubPr>
            <m:ctrlPr>
              <w:rPr>
                <w:rFonts w:ascii="Cambria Math" w:hAnsi="Cambria Math"/>
                <w:i/>
                <w:sz w:val="24"/>
                <w:szCs w:val="24"/>
              </w:rPr>
            </m:ctrlPr>
          </m:sSubPr>
          <m:e>
            <m:r>
              <w:rPr>
                <w:rFonts w:ascii="Cambria Math" w:hAnsi="Cambria Math"/>
                <w:sz w:val="24"/>
                <w:szCs w:val="24"/>
              </w:rPr>
              <m:t>L.ACQ. ROA</m:t>
            </m:r>
          </m:e>
          <m:sub>
            <m:r>
              <w:rPr>
                <w:rFonts w:ascii="Cambria Math" w:hAnsi="Cambria Math"/>
                <w:sz w:val="24"/>
                <w:szCs w:val="24"/>
              </w:rPr>
              <m:t>i</m:t>
            </m:r>
          </m:sub>
        </m:sSub>
        <m:r>
          <w:rPr>
            <w:rFonts w:ascii="Cambria Math" w:eastAsiaTheme="minorEastAsia" w:hAnsi="Cambria Math"/>
            <w:sz w:val="24"/>
            <w:szCs w:val="24"/>
          </w:rPr>
          <m:t>)</m:t>
        </m:r>
      </m:oMath>
      <w:r w:rsidR="008729B8" w:rsidRPr="00093F2A">
        <w:rPr>
          <w:rFonts w:ascii="Gill Sans MT" w:eastAsiaTheme="minorEastAsia" w:hAnsi="Gill Sans MT"/>
          <w:sz w:val="24"/>
          <w:szCs w:val="24"/>
        </w:rPr>
        <w:t xml:space="preserve">, </w:t>
      </w:r>
      <w:r w:rsidRPr="00093F2A">
        <w:rPr>
          <w:rFonts w:ascii="Gill Sans MT" w:eastAsiaTheme="minorEastAsia" w:hAnsi="Gill Sans MT"/>
          <w:sz w:val="24"/>
          <w:szCs w:val="24"/>
        </w:rPr>
        <w:t>the acquirer liquidity ratio (</w:t>
      </w:r>
      <m:oMath>
        <m:sSub>
          <m:sSubPr>
            <m:ctrlPr>
              <w:rPr>
                <w:rFonts w:ascii="Cambria Math" w:hAnsi="Cambria Math"/>
                <w:i/>
                <w:sz w:val="24"/>
                <w:szCs w:val="24"/>
              </w:rPr>
            </m:ctrlPr>
          </m:sSubPr>
          <m:e>
            <m:r>
              <w:rPr>
                <w:rFonts w:ascii="Cambria Math" w:hAnsi="Cambria Math"/>
                <w:sz w:val="24"/>
                <w:szCs w:val="24"/>
              </w:rPr>
              <m:t>L.ACQ.LIQUIDITY</m:t>
            </m:r>
          </m:e>
          <m:sub>
            <m:r>
              <w:rPr>
                <w:rFonts w:ascii="Cambria Math" w:hAnsi="Cambria Math"/>
                <w:sz w:val="24"/>
                <w:szCs w:val="24"/>
              </w:rPr>
              <m:t>i</m:t>
            </m:r>
          </m:sub>
        </m:sSub>
      </m:oMath>
      <w:r w:rsidRPr="00093F2A">
        <w:rPr>
          <w:rFonts w:ascii="Gill Sans MT" w:eastAsiaTheme="minorEastAsia" w:hAnsi="Gill Sans MT"/>
          <w:sz w:val="24"/>
          <w:szCs w:val="24"/>
        </w:rPr>
        <w:t xml:space="preserve"> ), </w:t>
      </w:r>
      <w:r w:rsidR="008729B8" w:rsidRPr="00093F2A">
        <w:rPr>
          <w:rFonts w:ascii="Gill Sans MT" w:eastAsiaTheme="minorEastAsia" w:hAnsi="Gill Sans MT"/>
          <w:sz w:val="24"/>
          <w:szCs w:val="24"/>
        </w:rPr>
        <w:t>and its</w:t>
      </w:r>
      <w:r w:rsidRPr="00093F2A">
        <w:rPr>
          <w:rFonts w:ascii="Gill Sans MT" w:hAnsi="Gill Sans MT"/>
          <w:sz w:val="24"/>
          <w:szCs w:val="24"/>
        </w:rPr>
        <w:t xml:space="preserve"> equity-to-asset percent (</w:t>
      </w:r>
      <m:oMath>
        <m:sSub>
          <m:sSubPr>
            <m:ctrlPr>
              <w:rPr>
                <w:rFonts w:ascii="Cambria Math" w:hAnsi="Cambria Math"/>
                <w:i/>
                <w:sz w:val="24"/>
                <w:szCs w:val="24"/>
              </w:rPr>
            </m:ctrlPr>
          </m:sSubPr>
          <m:e>
            <m:r>
              <w:rPr>
                <w:rFonts w:ascii="Cambria Math" w:hAnsi="Cambria Math"/>
                <w:sz w:val="24"/>
                <w:szCs w:val="24"/>
              </w:rPr>
              <m:t>L.ACQ.EQUITY/ASSET</m:t>
            </m:r>
          </m:e>
          <m:sub>
            <m:r>
              <w:rPr>
                <w:rFonts w:ascii="Cambria Math" w:hAnsi="Cambria Math"/>
                <w:sz w:val="24"/>
                <w:szCs w:val="24"/>
              </w:rPr>
              <m:t>i</m:t>
            </m:r>
          </m:sub>
        </m:sSub>
      </m:oMath>
      <w:r w:rsidRPr="00093F2A">
        <w:rPr>
          <w:rFonts w:ascii="Gill Sans MT" w:eastAsiaTheme="minorEastAsia" w:hAnsi="Gill Sans MT"/>
          <w:sz w:val="24"/>
          <w:szCs w:val="24"/>
        </w:rPr>
        <w:t xml:space="preserve">). </w:t>
      </w:r>
    </w:p>
    <w:p w14:paraId="5F7C47B1" w14:textId="6C3D0CF6"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4</w:t>
      </w:r>
      <w:r w:rsidR="00B24BF5" w:rsidRPr="00093F2A">
        <w:rPr>
          <w:rFonts w:ascii="Gill Sans MT" w:hAnsi="Gill Sans MT"/>
          <w:sz w:val="24"/>
          <w:szCs w:val="24"/>
        </w:rPr>
        <w:t>]</w:t>
      </w:r>
    </w:p>
    <w:p w14:paraId="23572450" w14:textId="308F03CB" w:rsidR="006D4DE1" w:rsidRPr="00093F2A" w:rsidRDefault="008729B8" w:rsidP="008F5E90">
      <w:pPr>
        <w:spacing w:line="480" w:lineRule="auto"/>
        <w:ind w:firstLine="360"/>
        <w:rPr>
          <w:rFonts w:ascii="Gill Sans MT" w:eastAsiaTheme="minorEastAsia" w:hAnsi="Gill Sans MT"/>
          <w:sz w:val="24"/>
          <w:szCs w:val="24"/>
        </w:rPr>
      </w:pPr>
      <w:r w:rsidRPr="00093F2A">
        <w:rPr>
          <w:rFonts w:ascii="Gill Sans MT" w:eastAsiaTheme="minorEastAsia" w:hAnsi="Gill Sans MT"/>
          <w:sz w:val="24"/>
          <w:szCs w:val="24"/>
        </w:rPr>
        <w:t>Consistent</w:t>
      </w:r>
      <w:r w:rsidR="003419CF" w:rsidRPr="00093F2A">
        <w:rPr>
          <w:rFonts w:ascii="Gill Sans MT" w:eastAsiaTheme="minorEastAsia" w:hAnsi="Gill Sans MT"/>
          <w:sz w:val="24"/>
          <w:szCs w:val="24"/>
        </w:rPr>
        <w:t xml:space="preserve"> with the univariate results in Table III, the variable's coefficient is positive and significant at the 5% level. In Panel A of Table IV, we observe that PE-backed acquisitions </w:t>
      </w:r>
      <w:r w:rsidR="003419CF" w:rsidRPr="00093F2A">
        <w:rPr>
          <w:rFonts w:ascii="Gill Sans MT" w:eastAsiaTheme="minorEastAsia" w:hAnsi="Gill Sans MT"/>
          <w:sz w:val="24"/>
          <w:szCs w:val="24"/>
        </w:rPr>
        <w:lastRenderedPageBreak/>
        <w:t>outperform non-PE-backed acquisitions by 9% and 9.1% in models 1 and 2, respectively. The results hold in Panel B using Fama-French 48-Sector Returns as a market benchmark</w:t>
      </w:r>
      <w:r w:rsidR="006D45DF" w:rsidRPr="00093F2A">
        <w:rPr>
          <w:rFonts w:ascii="Gill Sans MT" w:eastAsiaTheme="minorEastAsia" w:hAnsi="Gill Sans MT"/>
          <w:bCs/>
          <w:iCs/>
          <w:sz w:val="24"/>
          <w:szCs w:val="24"/>
        </w:rPr>
        <w:t>.</w:t>
      </w:r>
      <w:r w:rsidR="003419CF" w:rsidRPr="00093F2A">
        <w:rPr>
          <w:rFonts w:ascii="Gill Sans MT" w:hAnsi="Gill Sans MT"/>
        </w:rPr>
        <w:t xml:space="preserve"> </w:t>
      </w:r>
      <w:r w:rsidR="003419CF" w:rsidRPr="00093F2A">
        <w:rPr>
          <w:rFonts w:ascii="Gill Sans MT" w:eastAsiaTheme="minorEastAsia" w:hAnsi="Gill Sans MT"/>
          <w:bCs/>
          <w:iCs/>
          <w:sz w:val="24"/>
          <w:szCs w:val="24"/>
        </w:rPr>
        <w:t>Regarding the other variables affecting the announcement period CARs, we find that investors' reception of acquisitions of public targets is underwhelming. The coefficient of the dummy variable representing public targets is negative and highly significant across all four models.</w:t>
      </w:r>
    </w:p>
    <w:p w14:paraId="0514596E" w14:textId="189DAEA4" w:rsidR="00810A26" w:rsidRPr="00093F2A" w:rsidRDefault="108DE40A" w:rsidP="001C33F9">
      <w:pPr>
        <w:pStyle w:val="ListParagraph"/>
        <w:numPr>
          <w:ilvl w:val="1"/>
          <w:numId w:val="20"/>
        </w:numPr>
        <w:spacing w:line="480" w:lineRule="auto"/>
        <w:rPr>
          <w:rFonts w:ascii="Gill Sans MT" w:hAnsi="Gill Sans MT"/>
          <w:b/>
          <w:bCs/>
          <w:i/>
          <w:iCs/>
          <w:sz w:val="24"/>
          <w:szCs w:val="24"/>
        </w:rPr>
      </w:pPr>
      <w:r w:rsidRPr="00093F2A">
        <w:rPr>
          <w:rFonts w:ascii="Gill Sans MT" w:hAnsi="Gill Sans MT"/>
          <w:b/>
          <w:bCs/>
          <w:i/>
          <w:iCs/>
          <w:sz w:val="24"/>
          <w:szCs w:val="24"/>
        </w:rPr>
        <w:t xml:space="preserve">Acquirer’s </w:t>
      </w:r>
      <w:r w:rsidR="00EE5F60" w:rsidRPr="00093F2A">
        <w:rPr>
          <w:rFonts w:ascii="Gill Sans MT" w:hAnsi="Gill Sans MT"/>
          <w:b/>
          <w:bCs/>
          <w:i/>
          <w:iCs/>
          <w:sz w:val="24"/>
          <w:szCs w:val="24"/>
        </w:rPr>
        <w:t>Buy and Hold Abnormal Returns (</w:t>
      </w:r>
      <w:r w:rsidRPr="00093F2A">
        <w:rPr>
          <w:rFonts w:ascii="Gill Sans MT" w:hAnsi="Gill Sans MT"/>
          <w:b/>
          <w:bCs/>
          <w:i/>
          <w:iCs/>
          <w:sz w:val="24"/>
          <w:szCs w:val="24"/>
        </w:rPr>
        <w:t>BHAR</w:t>
      </w:r>
      <w:r w:rsidR="00EE5F60" w:rsidRPr="00093F2A">
        <w:rPr>
          <w:rFonts w:ascii="Gill Sans MT" w:hAnsi="Gill Sans MT"/>
          <w:b/>
          <w:bCs/>
          <w:i/>
          <w:iCs/>
          <w:sz w:val="24"/>
          <w:szCs w:val="24"/>
        </w:rPr>
        <w:t>s)</w:t>
      </w:r>
    </w:p>
    <w:p w14:paraId="179E7B62" w14:textId="47C16488" w:rsidR="00FC15FB" w:rsidRPr="00093F2A" w:rsidRDefault="00FC15FB" w:rsidP="00762B2E">
      <w:pPr>
        <w:spacing w:line="480" w:lineRule="auto"/>
        <w:ind w:firstLine="720"/>
        <w:rPr>
          <w:rFonts w:ascii="Gill Sans MT" w:hAnsi="Gill Sans MT"/>
          <w:sz w:val="24"/>
          <w:szCs w:val="24"/>
        </w:rPr>
      </w:pPr>
      <w:r w:rsidRPr="00093F2A">
        <w:rPr>
          <w:rFonts w:ascii="Gill Sans MT" w:hAnsi="Gill Sans MT"/>
          <w:sz w:val="24"/>
          <w:szCs w:val="24"/>
        </w:rPr>
        <w:t>The analysis of the announcement period returns suggests that investors' reaction to FI acquisitions involving PE is met more favorably than acquisitions without PE involvement. Various studies document that the effect is not complete at the time of the announcement. For instance, should the acquisition prove to be more successful than initially thought, then the stock returns following the announcement would continue to stay positive in the long-run, ceteris paribus. Conversely, overreactions to the announcement will be corrected in the form of long-term negative returns. Therefore, it is imperative to consider the post-acquisition long-run stock returns of acquirers in line with Agrawal, Jaffe, and Mandelkar (1992), and Moeller, Schlingemann, and Stulz (2003).</w:t>
      </w:r>
      <w:r w:rsidR="00A03AD7" w:rsidRPr="00093F2A">
        <w:rPr>
          <w:rFonts w:ascii="Gill Sans MT" w:hAnsi="Gill Sans MT"/>
        </w:rPr>
        <w:t xml:space="preserve"> </w:t>
      </w:r>
      <w:r w:rsidR="00A03AD7" w:rsidRPr="00093F2A">
        <w:rPr>
          <w:rFonts w:ascii="Gill Sans MT" w:hAnsi="Gill Sans MT"/>
          <w:sz w:val="24"/>
          <w:szCs w:val="24"/>
        </w:rPr>
        <w:t>This section examines the impact of PE involvement on the acquirers' long-run stock price performance. We calculate the acquirers' 12</w:t>
      </w:r>
      <w:r w:rsidR="00917343" w:rsidRPr="00093F2A">
        <w:rPr>
          <w:rFonts w:ascii="Gill Sans MT" w:hAnsi="Gill Sans MT"/>
          <w:sz w:val="24"/>
          <w:szCs w:val="24"/>
        </w:rPr>
        <w:t>-</w:t>
      </w:r>
      <w:r w:rsidR="00A03AD7" w:rsidRPr="00093F2A">
        <w:rPr>
          <w:rFonts w:ascii="Gill Sans MT" w:hAnsi="Gill Sans MT"/>
          <w:sz w:val="24"/>
          <w:szCs w:val="24"/>
        </w:rPr>
        <w:t>, 24</w:t>
      </w:r>
      <w:r w:rsidR="00917343" w:rsidRPr="00093F2A">
        <w:rPr>
          <w:rFonts w:ascii="Gill Sans MT" w:hAnsi="Gill Sans MT"/>
          <w:sz w:val="24"/>
          <w:szCs w:val="24"/>
        </w:rPr>
        <w:t>-</w:t>
      </w:r>
      <w:r w:rsidR="00A03AD7" w:rsidRPr="00093F2A">
        <w:rPr>
          <w:rFonts w:ascii="Gill Sans MT" w:hAnsi="Gill Sans MT"/>
          <w:sz w:val="24"/>
          <w:szCs w:val="24"/>
        </w:rPr>
        <w:t>, and 36</w:t>
      </w:r>
      <w:r w:rsidR="00917343" w:rsidRPr="00093F2A">
        <w:rPr>
          <w:rFonts w:ascii="Gill Sans MT" w:hAnsi="Gill Sans MT"/>
          <w:sz w:val="24"/>
          <w:szCs w:val="24"/>
        </w:rPr>
        <w:t>-</w:t>
      </w:r>
      <w:r w:rsidR="00A03AD7" w:rsidRPr="00093F2A">
        <w:rPr>
          <w:rFonts w:ascii="Gill Sans MT" w:hAnsi="Gill Sans MT"/>
          <w:sz w:val="24"/>
          <w:szCs w:val="24"/>
        </w:rPr>
        <w:t>month buy-and-hold returns. We then subtract the buy-and-hold returns on the CRSP equally-weighted index from the acquirer's BHR. We refer to the difference as the acquirer's buy-and-hold abnormal returns (BHARs).</w:t>
      </w:r>
    </w:p>
    <w:p w14:paraId="3609CFB6" w14:textId="2B8F8727" w:rsidR="00810A26" w:rsidRPr="00093F2A" w:rsidRDefault="0092609F" w:rsidP="008F5E90">
      <w:pPr>
        <w:spacing w:line="480" w:lineRule="auto"/>
        <w:ind w:firstLine="720"/>
        <w:rPr>
          <w:rFonts w:ascii="Gill Sans MT" w:hAnsi="Gill Sans MT"/>
          <w:sz w:val="24"/>
          <w:szCs w:val="24"/>
        </w:rPr>
      </w:pPr>
      <w:r w:rsidRPr="00093F2A">
        <w:rPr>
          <w:rFonts w:ascii="Gill Sans MT" w:hAnsi="Gill Sans MT"/>
          <w:sz w:val="24"/>
          <w:szCs w:val="24"/>
        </w:rPr>
        <w:t xml:space="preserve">We compare the BHARs accrued to the acquirers in deals with private equity involvement and deals without such involvement in Table V. We provide statistics for the 12, 24, and 36 months following the M&amp;A announcement, respectively. In each window, the </w:t>
      </w:r>
      <w:r w:rsidRPr="00093F2A">
        <w:rPr>
          <w:rFonts w:ascii="Gill Sans MT" w:hAnsi="Gill Sans MT"/>
          <w:sz w:val="24"/>
          <w:szCs w:val="24"/>
        </w:rPr>
        <w:lastRenderedPageBreak/>
        <w:t>acquirers in deals with PE involvement outperform acquirer in deals not involving PE. The differences in mean BHARs are 6.57%, 9.14%, and 14.76%, respectively, and all significant at the 5% level or beyond. The corresponding median differences are 4.76%, 2.53%, and 3.48%, respectively. Overall</w:t>
      </w:r>
      <w:r w:rsidR="00810A26" w:rsidRPr="00093F2A">
        <w:rPr>
          <w:rFonts w:ascii="Gill Sans MT" w:hAnsi="Gill Sans MT"/>
          <w:sz w:val="24"/>
          <w:szCs w:val="24"/>
        </w:rPr>
        <w:t xml:space="preserve">, the BHARs are significantly </w:t>
      </w:r>
      <w:r w:rsidR="00BA41DF" w:rsidRPr="00093F2A">
        <w:rPr>
          <w:rFonts w:ascii="Gill Sans MT" w:hAnsi="Gill Sans MT"/>
          <w:sz w:val="24"/>
          <w:szCs w:val="24"/>
        </w:rPr>
        <w:t>higher</w:t>
      </w:r>
      <w:r w:rsidR="00810A26" w:rsidRPr="00093F2A">
        <w:rPr>
          <w:rFonts w:ascii="Gill Sans MT" w:hAnsi="Gill Sans MT"/>
          <w:sz w:val="24"/>
          <w:szCs w:val="24"/>
        </w:rPr>
        <w:t xml:space="preserve"> among </w:t>
      </w:r>
      <w:r w:rsidR="00BA41DF" w:rsidRPr="00093F2A">
        <w:rPr>
          <w:rFonts w:ascii="Gill Sans MT" w:hAnsi="Gill Sans MT"/>
          <w:sz w:val="24"/>
          <w:szCs w:val="24"/>
        </w:rPr>
        <w:t>acquirers in deals with private equity involvement compared to acquirers in deals without such involvement</w:t>
      </w:r>
      <w:r w:rsidR="00810A26" w:rsidRPr="00093F2A">
        <w:rPr>
          <w:rFonts w:ascii="Gill Sans MT" w:hAnsi="Gill Sans MT"/>
          <w:sz w:val="24"/>
          <w:szCs w:val="24"/>
        </w:rPr>
        <w:t xml:space="preserve">. </w:t>
      </w:r>
      <w:r w:rsidR="00A03AD7" w:rsidRPr="00093F2A">
        <w:rPr>
          <w:rFonts w:ascii="Gill Sans MT" w:hAnsi="Gill Sans MT"/>
          <w:sz w:val="24"/>
          <w:szCs w:val="24"/>
        </w:rPr>
        <w:t>The hypothesis that PE involvement leaves behind an enduring legacy of strong performance to investors' satisfaction is valid</w:t>
      </w:r>
      <w:r w:rsidR="006D45DF" w:rsidRPr="00093F2A">
        <w:rPr>
          <w:rFonts w:ascii="Gill Sans MT" w:hAnsi="Gill Sans MT"/>
          <w:sz w:val="24"/>
          <w:szCs w:val="24"/>
        </w:rPr>
        <w:t xml:space="preserve">. </w:t>
      </w:r>
    </w:p>
    <w:p w14:paraId="317240FA" w14:textId="60719A7B"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5</w:t>
      </w:r>
      <w:r w:rsidRPr="00093F2A">
        <w:rPr>
          <w:rFonts w:ascii="Gill Sans MT" w:hAnsi="Gill Sans MT"/>
          <w:sz w:val="24"/>
          <w:szCs w:val="24"/>
        </w:rPr>
        <w:t>]</w:t>
      </w:r>
    </w:p>
    <w:p w14:paraId="629C11B8" w14:textId="53314685" w:rsidR="00810A26" w:rsidRPr="00093F2A" w:rsidRDefault="00810A26" w:rsidP="00762B2E">
      <w:pPr>
        <w:spacing w:line="480" w:lineRule="auto"/>
        <w:ind w:firstLine="720"/>
        <w:rPr>
          <w:rFonts w:ascii="Gill Sans MT" w:hAnsi="Gill Sans MT"/>
          <w:sz w:val="24"/>
          <w:szCs w:val="24"/>
        </w:rPr>
      </w:pPr>
      <w:r w:rsidRPr="00093F2A">
        <w:rPr>
          <w:rFonts w:ascii="Gill Sans MT" w:hAnsi="Gill Sans MT"/>
          <w:sz w:val="24"/>
          <w:szCs w:val="24"/>
        </w:rPr>
        <w:t xml:space="preserve">In </w:t>
      </w:r>
      <w:r w:rsidR="00BA41DF" w:rsidRPr="00093F2A">
        <w:rPr>
          <w:rFonts w:ascii="Gill Sans MT" w:hAnsi="Gill Sans MT"/>
          <w:sz w:val="24"/>
          <w:szCs w:val="24"/>
        </w:rPr>
        <w:t xml:space="preserve">Panel B of Table </w:t>
      </w:r>
      <w:r w:rsidR="007143DF" w:rsidRPr="00093F2A">
        <w:rPr>
          <w:rFonts w:ascii="Gill Sans MT" w:hAnsi="Gill Sans MT"/>
          <w:sz w:val="24"/>
          <w:szCs w:val="24"/>
        </w:rPr>
        <w:t>V</w:t>
      </w:r>
      <w:r w:rsidRPr="00093F2A">
        <w:rPr>
          <w:rFonts w:ascii="Gill Sans MT" w:hAnsi="Gill Sans MT"/>
          <w:sz w:val="24"/>
          <w:szCs w:val="24"/>
        </w:rPr>
        <w:t xml:space="preserve">, we report the OLS regressions of the acquirers’ BHARs using the </w:t>
      </w:r>
      <w:r w:rsidR="00A03AD7" w:rsidRPr="00093F2A">
        <w:rPr>
          <w:rFonts w:ascii="Gill Sans MT" w:hAnsi="Gill Sans MT"/>
          <w:sz w:val="24"/>
          <w:szCs w:val="24"/>
        </w:rPr>
        <w:t>same independent variables as in Model (5)</w:t>
      </w:r>
      <w:r w:rsidRPr="00093F2A">
        <w:rPr>
          <w:rFonts w:ascii="Gill Sans MT" w:hAnsi="Gill Sans MT"/>
          <w:sz w:val="24"/>
          <w:szCs w:val="24"/>
        </w:rPr>
        <w:t>.</w:t>
      </w:r>
      <w:r w:rsidR="00EC3A82" w:rsidRPr="00093F2A">
        <w:rPr>
          <w:rFonts w:ascii="Gill Sans MT" w:hAnsi="Gill Sans MT"/>
          <w:sz w:val="24"/>
          <w:szCs w:val="24"/>
        </w:rPr>
        <w:t xml:space="preserve"> </w:t>
      </w:r>
      <w:r w:rsidR="00A03AD7" w:rsidRPr="00093F2A">
        <w:rPr>
          <w:rFonts w:ascii="Gill Sans MT" w:hAnsi="Gill Sans MT"/>
          <w:sz w:val="24"/>
          <w:szCs w:val="24"/>
        </w:rPr>
        <w:t xml:space="preserve">The </w:t>
      </w:r>
      <w:r w:rsidR="00EC3A82" w:rsidRPr="00093F2A">
        <w:rPr>
          <w:rFonts w:ascii="Gill Sans MT" w:hAnsi="Gill Sans MT"/>
          <w:sz w:val="24"/>
          <w:szCs w:val="24"/>
        </w:rPr>
        <w:t>dependent variable is either the 12, 24- or 36-month post-announcement BHAR of the acquirer in alternate regressions</w:t>
      </w:r>
      <w:r w:rsidRPr="00093F2A">
        <w:rPr>
          <w:rFonts w:ascii="Gill Sans MT" w:hAnsi="Gill Sans MT"/>
          <w:sz w:val="24"/>
          <w:szCs w:val="24"/>
        </w:rPr>
        <w:t xml:space="preserve">. The independent variable of interest </w:t>
      </w:r>
      <w:r w:rsidR="00BA41DF" w:rsidRPr="00093F2A">
        <w:rPr>
          <w:rFonts w:ascii="Gill Sans MT" w:hAnsi="Gill Sans MT"/>
          <w:sz w:val="24"/>
          <w:szCs w:val="24"/>
        </w:rPr>
        <w:t>is</w:t>
      </w:r>
      <w:r w:rsidRPr="00093F2A">
        <w:rPr>
          <w:rFonts w:ascii="Gill Sans MT" w:hAnsi="Gill Sans MT"/>
          <w:sz w:val="24"/>
          <w:szCs w:val="24"/>
        </w:rPr>
        <w:t xml:space="preserve"> the dummy variable for deals </w:t>
      </w:r>
      <w:r w:rsidR="00BA41DF" w:rsidRPr="00093F2A">
        <w:rPr>
          <w:rFonts w:ascii="Gill Sans MT" w:hAnsi="Gill Sans MT"/>
          <w:sz w:val="24"/>
          <w:szCs w:val="24"/>
        </w:rPr>
        <w:t xml:space="preserve">with private equity involvement </w:t>
      </w:r>
      <w:r w:rsidRPr="00093F2A">
        <w:rPr>
          <w:rFonts w:ascii="Gill Sans MT" w:hAnsi="Gill Sans MT"/>
          <w:sz w:val="24"/>
          <w:szCs w:val="24"/>
        </w:rPr>
        <w:t>(</w:t>
      </w:r>
      <w:r w:rsidR="00BA41DF" w:rsidRPr="00093F2A">
        <w:rPr>
          <w:rFonts w:ascii="Gill Sans MT" w:hAnsi="Gill Sans MT"/>
          <w:i/>
          <w:iCs/>
          <w:sz w:val="24"/>
          <w:szCs w:val="24"/>
        </w:rPr>
        <w:t>PRIVATE EQUITY</w:t>
      </w:r>
      <w:r w:rsidRPr="00093F2A">
        <w:rPr>
          <w:rFonts w:ascii="Gill Sans MT" w:hAnsi="Gill Sans MT"/>
          <w:sz w:val="24"/>
          <w:szCs w:val="24"/>
        </w:rPr>
        <w:t>)</w:t>
      </w:r>
      <w:r w:rsidR="00BA41DF" w:rsidRPr="00093F2A">
        <w:rPr>
          <w:rFonts w:ascii="Gill Sans MT" w:hAnsi="Gill Sans MT"/>
          <w:sz w:val="24"/>
          <w:szCs w:val="24"/>
        </w:rPr>
        <w:t xml:space="preserve">. </w:t>
      </w:r>
    </w:p>
    <w:p w14:paraId="50C5F446" w14:textId="613A910B" w:rsidR="00810A26" w:rsidRPr="00093F2A" w:rsidRDefault="00810A26" w:rsidP="00762B2E">
      <w:pPr>
        <w:spacing w:line="480" w:lineRule="auto"/>
        <w:ind w:firstLine="720"/>
        <w:rPr>
          <w:rFonts w:ascii="Gill Sans MT" w:eastAsiaTheme="minorEastAsia" w:hAnsi="Gill Sans MT"/>
          <w:sz w:val="24"/>
          <w:szCs w:val="24"/>
        </w:rPr>
      </w:pPr>
      <w:r w:rsidRPr="00093F2A">
        <w:rPr>
          <w:rFonts w:ascii="Gill Sans MT" w:eastAsiaTheme="minorEastAsia" w:hAnsi="Gill Sans MT"/>
          <w:sz w:val="24"/>
          <w:szCs w:val="24"/>
        </w:rPr>
        <w:t>Consistent with the univariate result in</w:t>
      </w:r>
      <w:r w:rsidR="00BA41DF" w:rsidRPr="00093F2A">
        <w:rPr>
          <w:rFonts w:ascii="Gill Sans MT" w:eastAsiaTheme="minorEastAsia" w:hAnsi="Gill Sans MT"/>
          <w:sz w:val="24"/>
          <w:szCs w:val="24"/>
        </w:rPr>
        <w:t xml:space="preserve"> Panel A of</w:t>
      </w:r>
      <w:r w:rsidRPr="00093F2A">
        <w:rPr>
          <w:rFonts w:ascii="Gill Sans MT" w:eastAsiaTheme="minorEastAsia" w:hAnsi="Gill Sans MT"/>
          <w:sz w:val="24"/>
          <w:szCs w:val="24"/>
        </w:rPr>
        <w:t xml:space="preserve"> Table </w:t>
      </w:r>
      <w:r w:rsidR="007143DF" w:rsidRPr="00093F2A">
        <w:rPr>
          <w:rFonts w:ascii="Gill Sans MT" w:eastAsiaTheme="minorEastAsia" w:hAnsi="Gill Sans MT"/>
          <w:sz w:val="24"/>
          <w:szCs w:val="24"/>
        </w:rPr>
        <w:t>V</w:t>
      </w:r>
      <w:r w:rsidRPr="00093F2A">
        <w:rPr>
          <w:rFonts w:ascii="Gill Sans MT" w:eastAsiaTheme="minorEastAsia" w:hAnsi="Gill Sans MT"/>
          <w:sz w:val="24"/>
          <w:szCs w:val="24"/>
        </w:rPr>
        <w:t xml:space="preserve">, the coefficient on the </w:t>
      </w:r>
      <m:oMath>
        <m:sSub>
          <m:sSubPr>
            <m:ctrlPr>
              <w:rPr>
                <w:rFonts w:ascii="Cambria Math" w:hAnsi="Cambria Math"/>
                <w:i/>
                <w:sz w:val="24"/>
                <w:szCs w:val="24"/>
              </w:rPr>
            </m:ctrlPr>
          </m:sSubPr>
          <m:e>
            <m:r>
              <w:rPr>
                <w:rFonts w:ascii="Cambria Math" w:hAnsi="Cambria Math"/>
                <w:sz w:val="24"/>
                <w:szCs w:val="24"/>
              </w:rPr>
              <m:t>PRIVATE EQUITY</m:t>
            </m:r>
          </m:e>
          <m:sub>
            <m:r>
              <w:rPr>
                <w:rFonts w:ascii="Cambria Math" w:hAnsi="Cambria Math"/>
                <w:sz w:val="24"/>
                <w:szCs w:val="24"/>
              </w:rPr>
              <m:t>i</m:t>
            </m:r>
          </m:sub>
        </m:sSub>
      </m:oMath>
      <w:r w:rsidRPr="00093F2A">
        <w:rPr>
          <w:rFonts w:ascii="Gill Sans MT" w:eastAsiaTheme="minorEastAsia" w:hAnsi="Gill Sans MT"/>
          <w:sz w:val="24"/>
          <w:szCs w:val="24"/>
        </w:rPr>
        <w:t xml:space="preserve"> variable is </w:t>
      </w:r>
      <w:r w:rsidR="00BA41DF" w:rsidRPr="00093F2A">
        <w:rPr>
          <w:rFonts w:ascii="Gill Sans MT" w:eastAsiaTheme="minorEastAsia" w:hAnsi="Gill Sans MT"/>
          <w:sz w:val="24"/>
          <w:szCs w:val="24"/>
        </w:rPr>
        <w:t>positive</w:t>
      </w:r>
      <w:r w:rsidRPr="00093F2A">
        <w:rPr>
          <w:rFonts w:ascii="Gill Sans MT" w:eastAsiaTheme="minorEastAsia" w:hAnsi="Gill Sans MT"/>
          <w:sz w:val="24"/>
          <w:szCs w:val="24"/>
        </w:rPr>
        <w:t xml:space="preserve"> and significant at the </w:t>
      </w:r>
      <w:r w:rsidR="00BA41DF" w:rsidRPr="00093F2A">
        <w:rPr>
          <w:rFonts w:ascii="Gill Sans MT" w:eastAsiaTheme="minorEastAsia" w:hAnsi="Gill Sans MT"/>
          <w:sz w:val="24"/>
          <w:szCs w:val="24"/>
        </w:rPr>
        <w:t>5</w:t>
      </w:r>
      <w:r w:rsidRPr="00093F2A">
        <w:rPr>
          <w:rFonts w:ascii="Gill Sans MT" w:eastAsiaTheme="minorEastAsia" w:hAnsi="Gill Sans MT"/>
          <w:sz w:val="24"/>
          <w:szCs w:val="24"/>
        </w:rPr>
        <w:t>% level</w:t>
      </w:r>
      <w:r w:rsidR="00BA41DF" w:rsidRPr="00093F2A">
        <w:rPr>
          <w:rFonts w:ascii="Gill Sans MT" w:eastAsiaTheme="minorEastAsia" w:hAnsi="Gill Sans MT"/>
          <w:sz w:val="24"/>
          <w:szCs w:val="24"/>
        </w:rPr>
        <w:t xml:space="preserve"> in the (+1</w:t>
      </w:r>
      <w:r w:rsidR="00C04223" w:rsidRPr="00093F2A">
        <w:rPr>
          <w:rFonts w:ascii="Gill Sans MT" w:eastAsiaTheme="minorEastAsia" w:hAnsi="Gill Sans MT"/>
          <w:sz w:val="24"/>
          <w:szCs w:val="24"/>
        </w:rPr>
        <w:t>, +</w:t>
      </w:r>
      <w:r w:rsidR="00BA41DF" w:rsidRPr="00093F2A">
        <w:rPr>
          <w:rFonts w:ascii="Gill Sans MT" w:eastAsiaTheme="minorEastAsia" w:hAnsi="Gill Sans MT"/>
          <w:sz w:val="24"/>
          <w:szCs w:val="24"/>
        </w:rPr>
        <w:t>36) month window</w:t>
      </w:r>
      <w:r w:rsidR="00673DEA" w:rsidRPr="00093F2A">
        <w:rPr>
          <w:rFonts w:ascii="Gill Sans MT" w:eastAsiaTheme="minorEastAsia" w:hAnsi="Gill Sans MT"/>
          <w:sz w:val="24"/>
          <w:szCs w:val="24"/>
        </w:rPr>
        <w:t xml:space="preserve"> and significant </w:t>
      </w:r>
      <w:r w:rsidR="00C04223" w:rsidRPr="00093F2A">
        <w:rPr>
          <w:rFonts w:ascii="Gill Sans MT" w:eastAsiaTheme="minorEastAsia" w:hAnsi="Gill Sans MT"/>
          <w:sz w:val="24"/>
          <w:szCs w:val="24"/>
        </w:rPr>
        <w:t xml:space="preserve">at the 10% level using (+1, +24) month window. </w:t>
      </w:r>
      <w:r w:rsidR="00EC3A82" w:rsidRPr="00093F2A">
        <w:rPr>
          <w:rFonts w:ascii="Gill Sans MT" w:eastAsiaTheme="minorEastAsia" w:hAnsi="Gill Sans MT"/>
          <w:sz w:val="24"/>
          <w:szCs w:val="24"/>
        </w:rPr>
        <w:t xml:space="preserve">PE-backed acquisitions have about 4.0% and 3.8% increase in BHARs over 3 and 2 years, respectively, relative to non-PE backed acquisitions </w:t>
      </w:r>
      <w:r w:rsidR="00A03AD7" w:rsidRPr="00093F2A">
        <w:rPr>
          <w:rFonts w:ascii="Gill Sans MT" w:eastAsiaTheme="minorEastAsia" w:hAnsi="Gill Sans MT"/>
          <w:sz w:val="24"/>
          <w:szCs w:val="24"/>
        </w:rPr>
        <w:t>post-announcement</w:t>
      </w:r>
      <w:r w:rsidR="00EC3A82" w:rsidRPr="00093F2A">
        <w:rPr>
          <w:rFonts w:ascii="Gill Sans MT" w:eastAsiaTheme="minorEastAsia" w:hAnsi="Gill Sans MT"/>
          <w:sz w:val="24"/>
          <w:szCs w:val="24"/>
        </w:rPr>
        <w:t xml:space="preserve">. Overall, we interpret the results as a more significant long-term value generation for PE-backed acquisitions than non-PE backed acquisitions, consistent with </w:t>
      </w:r>
      <w:r w:rsidR="00665CEE" w:rsidRPr="00093F2A">
        <w:rPr>
          <w:rFonts w:ascii="Gill Sans MT" w:eastAsiaTheme="minorEastAsia" w:hAnsi="Gill Sans MT"/>
          <w:sz w:val="24"/>
          <w:szCs w:val="24"/>
        </w:rPr>
        <w:t xml:space="preserve">our </w:t>
      </w:r>
      <w:r w:rsidR="00EC3A82" w:rsidRPr="00093F2A">
        <w:rPr>
          <w:rFonts w:ascii="Gill Sans MT" w:eastAsiaTheme="minorEastAsia" w:hAnsi="Gill Sans MT"/>
          <w:sz w:val="24"/>
          <w:szCs w:val="24"/>
        </w:rPr>
        <w:t>prediction</w:t>
      </w:r>
      <w:r w:rsidR="00673DEA" w:rsidRPr="00093F2A">
        <w:rPr>
          <w:rFonts w:ascii="Gill Sans MT" w:eastAsiaTheme="minorEastAsia" w:hAnsi="Gill Sans MT"/>
          <w:sz w:val="24"/>
          <w:szCs w:val="24"/>
        </w:rPr>
        <w:t>.</w:t>
      </w:r>
      <w:r w:rsidR="00A03AD7" w:rsidRPr="00093F2A">
        <w:rPr>
          <w:rFonts w:ascii="Gill Sans MT" w:hAnsi="Gill Sans MT"/>
        </w:rPr>
        <w:t xml:space="preserve"> </w:t>
      </w:r>
      <w:r w:rsidR="00A03AD7" w:rsidRPr="00093F2A">
        <w:rPr>
          <w:rFonts w:ascii="Gill Sans MT" w:eastAsiaTheme="minorEastAsia" w:hAnsi="Gill Sans MT"/>
          <w:sz w:val="24"/>
          <w:szCs w:val="24"/>
        </w:rPr>
        <w:t xml:space="preserve">The long-run abnormal stock returns are also positively related to the target being a domestic firm, cash-financed acquisition, the acquirer's </w:t>
      </w:r>
      <w:r w:rsidR="00A03AD7" w:rsidRPr="00093F2A">
        <w:rPr>
          <w:rFonts w:ascii="Gill Sans MT" w:eastAsiaTheme="minorEastAsia" w:hAnsi="Gill Sans MT"/>
          <w:sz w:val="24"/>
          <w:szCs w:val="24"/>
        </w:rPr>
        <w:lastRenderedPageBreak/>
        <w:t>profitability (ROA), and liquidity. Conversely, the stock returns are inversely related to target size and acquirer's leverage (ratio of FI's equity-to-total asset).</w:t>
      </w:r>
    </w:p>
    <w:p w14:paraId="55390D1A" w14:textId="090B7B35" w:rsidR="00810A26" w:rsidRPr="00093F2A" w:rsidRDefault="108DE40A" w:rsidP="001C33F9">
      <w:pPr>
        <w:pStyle w:val="ListParagraph"/>
        <w:numPr>
          <w:ilvl w:val="1"/>
          <w:numId w:val="20"/>
        </w:numPr>
        <w:spacing w:line="480" w:lineRule="auto"/>
        <w:rPr>
          <w:rFonts w:ascii="Gill Sans MT" w:hAnsi="Gill Sans MT"/>
          <w:b/>
          <w:bCs/>
          <w:i/>
          <w:iCs/>
          <w:sz w:val="24"/>
          <w:szCs w:val="24"/>
        </w:rPr>
      </w:pPr>
      <w:r w:rsidRPr="00093F2A">
        <w:rPr>
          <w:rFonts w:ascii="Gill Sans MT" w:hAnsi="Gill Sans MT"/>
          <w:b/>
          <w:bCs/>
          <w:i/>
          <w:iCs/>
          <w:sz w:val="24"/>
          <w:szCs w:val="24"/>
        </w:rPr>
        <w:t xml:space="preserve">Acquirer’s </w:t>
      </w:r>
      <w:r w:rsidR="00A42FCA" w:rsidRPr="00093F2A">
        <w:rPr>
          <w:rFonts w:ascii="Gill Sans MT" w:hAnsi="Gill Sans MT"/>
          <w:b/>
          <w:bCs/>
          <w:i/>
          <w:iCs/>
          <w:sz w:val="24"/>
          <w:szCs w:val="24"/>
        </w:rPr>
        <w:t>Stock Returns Volatility</w:t>
      </w:r>
    </w:p>
    <w:p w14:paraId="4A63D6B4" w14:textId="4259323C" w:rsidR="009E6343" w:rsidRPr="00093F2A" w:rsidRDefault="00EE5F60" w:rsidP="008F5E90">
      <w:pPr>
        <w:spacing w:line="480" w:lineRule="auto"/>
        <w:ind w:firstLine="720"/>
        <w:rPr>
          <w:rFonts w:ascii="Gill Sans MT" w:hAnsi="Gill Sans MT"/>
          <w:sz w:val="24"/>
          <w:szCs w:val="24"/>
        </w:rPr>
      </w:pPr>
      <w:r w:rsidRPr="00093F2A">
        <w:rPr>
          <w:rFonts w:ascii="Gill Sans MT" w:hAnsi="Gill Sans MT"/>
          <w:sz w:val="24"/>
          <w:szCs w:val="24"/>
        </w:rPr>
        <w:t>High average returns in favor of deals with PE involvement as opposed to deals without PE does not establish the consistency with which investors can rely on those gains. In other words, if there is high volatility in the returns, then the high average returns observed could be compensation for the high volatility.</w:t>
      </w:r>
      <w:r w:rsidR="00E41FB9" w:rsidRPr="00093F2A">
        <w:rPr>
          <w:rFonts w:ascii="Gill Sans MT" w:hAnsi="Gill Sans MT"/>
          <w:sz w:val="24"/>
          <w:szCs w:val="24"/>
        </w:rPr>
        <w:t xml:space="preserve"> </w:t>
      </w:r>
      <w:r w:rsidRPr="00093F2A">
        <w:rPr>
          <w:rFonts w:ascii="Gill Sans MT" w:hAnsi="Gill Sans MT"/>
          <w:sz w:val="24"/>
          <w:szCs w:val="24"/>
        </w:rPr>
        <w:t xml:space="preserve">To disentangle </w:t>
      </w:r>
      <w:r w:rsidR="00A42FCA" w:rsidRPr="00093F2A">
        <w:rPr>
          <w:rFonts w:ascii="Gill Sans MT" w:hAnsi="Gill Sans MT"/>
          <w:sz w:val="24"/>
          <w:szCs w:val="24"/>
        </w:rPr>
        <w:t xml:space="preserve">reliably </w:t>
      </w:r>
      <w:r w:rsidRPr="00093F2A">
        <w:rPr>
          <w:rFonts w:ascii="Gill Sans MT" w:hAnsi="Gill Sans MT"/>
          <w:sz w:val="24"/>
          <w:szCs w:val="24"/>
        </w:rPr>
        <w:t xml:space="preserve">positive returns due to PE involvement as opposed to stock return volatility, we </w:t>
      </w:r>
      <w:r w:rsidR="009E6343" w:rsidRPr="00093F2A">
        <w:rPr>
          <w:rFonts w:ascii="Gill Sans MT" w:hAnsi="Gill Sans MT"/>
          <w:sz w:val="24"/>
          <w:szCs w:val="24"/>
        </w:rPr>
        <w:t xml:space="preserve">calculate the standard deviations of the daily returns (TOTRETVOL) of the acquirers in the pre-event period (e.g., from day -255 to day -31) and in the post-event period (e.g., from day +31 to day -255). We then subtract the pre-event TOTRETVOL from the post-event TOTRETVOL to compute the change in the total return volatility (TOTRETVOL_CHANGE). </w:t>
      </w:r>
      <w:r w:rsidRPr="00093F2A">
        <w:rPr>
          <w:rFonts w:ascii="Gill Sans MT" w:hAnsi="Gill Sans MT"/>
          <w:sz w:val="24"/>
          <w:szCs w:val="24"/>
        </w:rPr>
        <w:t xml:space="preserve">To the extent that PE involvement makes gains more </w:t>
      </w:r>
      <w:r w:rsidR="004243FA" w:rsidRPr="00093F2A">
        <w:rPr>
          <w:rFonts w:ascii="Gill Sans MT" w:hAnsi="Gill Sans MT"/>
          <w:sz w:val="24"/>
          <w:szCs w:val="24"/>
        </w:rPr>
        <w:t>certain and enduring</w:t>
      </w:r>
      <w:r w:rsidRPr="00093F2A">
        <w:rPr>
          <w:rFonts w:ascii="Gill Sans MT" w:hAnsi="Gill Sans MT"/>
          <w:sz w:val="24"/>
          <w:szCs w:val="24"/>
        </w:rPr>
        <w:t>, we hypothesize that the change in volatility from before to after announcement would be lower for acquisitions involving PE than the other acquisitions.</w:t>
      </w:r>
    </w:p>
    <w:p w14:paraId="733083D1" w14:textId="21352CAB" w:rsidR="009E6343" w:rsidRPr="00093F2A" w:rsidRDefault="009E6343" w:rsidP="008F5E90">
      <w:pPr>
        <w:spacing w:line="480" w:lineRule="auto"/>
        <w:ind w:firstLine="720"/>
        <w:rPr>
          <w:rFonts w:ascii="Gill Sans MT" w:hAnsi="Gill Sans MT"/>
          <w:sz w:val="24"/>
          <w:szCs w:val="24"/>
        </w:rPr>
      </w:pPr>
      <w:r w:rsidRPr="00093F2A">
        <w:rPr>
          <w:rFonts w:ascii="Gill Sans MT" w:hAnsi="Gill Sans MT"/>
          <w:sz w:val="24"/>
          <w:szCs w:val="24"/>
        </w:rPr>
        <w:t>We</w:t>
      </w:r>
      <w:r w:rsidR="00DC2E92" w:rsidRPr="00093F2A">
        <w:rPr>
          <w:rFonts w:ascii="Gill Sans MT" w:hAnsi="Gill Sans MT"/>
          <w:sz w:val="24"/>
          <w:szCs w:val="24"/>
        </w:rPr>
        <w:t xml:space="preserve"> compare the change in the daily stock returns' volatility between the acquirers in deals with private equity involvement and deals without such involvement in Table VI. In Panel A, we report the mean and median total return volatility for each of the acquirers' groups in the pre-event period, post-event period, and the change. While acquirers in deals with private equity involvement experience a reduction in total stock return volatility (from 1.82% to 1.74% using mean figures, or from 1.60% to 1.57% using median figures), acquirers in deals without such involvement experience an increase in total stock return volatility (0.14% and 0.02% using mean and median figures, respectively); the difference in the total return volatility change is </w:t>
      </w:r>
      <w:r w:rsidR="00DC2E92" w:rsidRPr="00093F2A">
        <w:rPr>
          <w:rFonts w:ascii="Gill Sans MT" w:hAnsi="Gill Sans MT"/>
          <w:sz w:val="24"/>
          <w:szCs w:val="24"/>
        </w:rPr>
        <w:lastRenderedPageBreak/>
        <w:t>statistically significant at the 5% level. The difference in the volatility shifts between PE and non-PE deals is statistically significant at the 0.01 level. It shows a decline in PE deals instead of an increase in volatility in non-PE deals.</w:t>
      </w:r>
    </w:p>
    <w:p w14:paraId="4D9A6EDA" w14:textId="19AFE5BB"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6</w:t>
      </w:r>
      <w:r w:rsidRPr="00093F2A">
        <w:rPr>
          <w:rFonts w:ascii="Gill Sans MT" w:hAnsi="Gill Sans MT"/>
          <w:sz w:val="24"/>
          <w:szCs w:val="24"/>
        </w:rPr>
        <w:t>]</w:t>
      </w:r>
    </w:p>
    <w:p w14:paraId="1E7C08EC" w14:textId="233A0650" w:rsidR="000E25B0" w:rsidRPr="00093F2A" w:rsidRDefault="00810A26" w:rsidP="008F5E90">
      <w:pPr>
        <w:spacing w:line="480" w:lineRule="auto"/>
        <w:ind w:firstLine="720"/>
        <w:rPr>
          <w:rFonts w:ascii="Gill Sans MT" w:hAnsi="Gill Sans MT"/>
          <w:sz w:val="24"/>
          <w:szCs w:val="24"/>
        </w:rPr>
      </w:pPr>
      <w:r w:rsidRPr="00093F2A">
        <w:rPr>
          <w:rFonts w:ascii="Gill Sans MT" w:hAnsi="Gill Sans MT"/>
          <w:sz w:val="24"/>
          <w:szCs w:val="24"/>
        </w:rPr>
        <w:t xml:space="preserve">In </w:t>
      </w:r>
      <w:r w:rsidR="000E25B0" w:rsidRPr="00093F2A">
        <w:rPr>
          <w:rFonts w:ascii="Gill Sans MT" w:hAnsi="Gill Sans MT"/>
          <w:sz w:val="24"/>
          <w:szCs w:val="24"/>
        </w:rPr>
        <w:t xml:space="preserve">Panel B of Table </w:t>
      </w:r>
      <w:r w:rsidR="007143DF" w:rsidRPr="00093F2A">
        <w:rPr>
          <w:rFonts w:ascii="Gill Sans MT" w:hAnsi="Gill Sans MT"/>
          <w:sz w:val="24"/>
          <w:szCs w:val="24"/>
        </w:rPr>
        <w:t>VI</w:t>
      </w:r>
      <w:r w:rsidRPr="00093F2A">
        <w:rPr>
          <w:rFonts w:ascii="Gill Sans MT" w:hAnsi="Gill Sans MT"/>
          <w:sz w:val="24"/>
          <w:szCs w:val="24"/>
        </w:rPr>
        <w:t xml:space="preserve">, we </w:t>
      </w:r>
      <w:r w:rsidR="00B00C68" w:rsidRPr="00093F2A">
        <w:rPr>
          <w:rFonts w:ascii="Gill Sans MT" w:hAnsi="Gill Sans MT"/>
          <w:sz w:val="24"/>
          <w:szCs w:val="24"/>
        </w:rPr>
        <w:t>test for the decline in daily stock return volatility between PE and non-PE deals using OLS regressions following model (5). T</w:t>
      </w:r>
      <w:r w:rsidRPr="00093F2A">
        <w:rPr>
          <w:rFonts w:ascii="Gill Sans MT" w:hAnsi="Gill Sans MT"/>
          <w:sz w:val="24"/>
          <w:szCs w:val="24"/>
        </w:rPr>
        <w:t xml:space="preserve">he dependent variable </w:t>
      </w:r>
      <w:r w:rsidR="002B7B49" w:rsidRPr="00093F2A">
        <w:rPr>
          <w:rFonts w:ascii="Gill Sans MT" w:hAnsi="Gill Sans MT"/>
          <w:sz w:val="24"/>
          <w:szCs w:val="24"/>
        </w:rPr>
        <w:t xml:space="preserve">is </w:t>
      </w:r>
      <w:r w:rsidRPr="00093F2A">
        <w:rPr>
          <w:rFonts w:ascii="Gill Sans MT" w:hAnsi="Gill Sans MT"/>
          <w:sz w:val="24"/>
          <w:szCs w:val="24"/>
        </w:rPr>
        <w:t xml:space="preserve">the </w:t>
      </w:r>
      <w:r w:rsidR="002B7B49" w:rsidRPr="00093F2A">
        <w:rPr>
          <w:rFonts w:ascii="Gill Sans MT" w:hAnsi="Gill Sans MT"/>
          <w:sz w:val="24"/>
          <w:szCs w:val="24"/>
        </w:rPr>
        <w:t xml:space="preserve">change </w:t>
      </w:r>
      <w:r w:rsidRPr="00093F2A">
        <w:rPr>
          <w:rFonts w:ascii="Gill Sans MT" w:hAnsi="Gill Sans MT"/>
          <w:sz w:val="24"/>
          <w:szCs w:val="24"/>
        </w:rPr>
        <w:t xml:space="preserve">in the acquirers’ risk from the pre-event period to the post-event period. </w:t>
      </w:r>
      <w:r w:rsidRPr="00093F2A">
        <w:rPr>
          <w:rFonts w:ascii="Gill Sans MT" w:hAnsi="Gill Sans MT"/>
          <w:i/>
          <w:iCs/>
          <w:sz w:val="24"/>
          <w:szCs w:val="24"/>
        </w:rPr>
        <w:t>RISK CHANGE</w:t>
      </w:r>
      <w:r w:rsidRPr="00093F2A">
        <w:rPr>
          <w:rFonts w:ascii="Gill Sans MT" w:hAnsi="Gill Sans MT"/>
          <w:sz w:val="24"/>
          <w:szCs w:val="24"/>
        </w:rPr>
        <w:t xml:space="preserve"> is total return volatility change. </w:t>
      </w:r>
      <w:r w:rsidRPr="00093F2A">
        <w:rPr>
          <w:rFonts w:ascii="Gill Sans MT" w:eastAsiaTheme="minorEastAsia" w:hAnsi="Gill Sans MT"/>
          <w:sz w:val="24"/>
          <w:szCs w:val="24"/>
        </w:rPr>
        <w:t>Consistent with the univariate results in</w:t>
      </w:r>
      <w:r w:rsidR="000E25B0" w:rsidRPr="00093F2A">
        <w:rPr>
          <w:rFonts w:ascii="Gill Sans MT" w:eastAsiaTheme="minorEastAsia" w:hAnsi="Gill Sans MT"/>
          <w:sz w:val="24"/>
          <w:szCs w:val="24"/>
        </w:rPr>
        <w:t xml:space="preserve"> Panel A of</w:t>
      </w:r>
      <w:r w:rsidRPr="00093F2A">
        <w:rPr>
          <w:rFonts w:ascii="Gill Sans MT" w:eastAsiaTheme="minorEastAsia" w:hAnsi="Gill Sans MT"/>
          <w:sz w:val="24"/>
          <w:szCs w:val="24"/>
        </w:rPr>
        <w:t xml:space="preserve"> Table </w:t>
      </w:r>
      <w:r w:rsidR="007143DF" w:rsidRPr="00093F2A">
        <w:rPr>
          <w:rFonts w:ascii="Gill Sans MT" w:eastAsiaTheme="minorEastAsia" w:hAnsi="Gill Sans MT"/>
          <w:sz w:val="24"/>
          <w:szCs w:val="24"/>
        </w:rPr>
        <w:t>VI</w:t>
      </w:r>
      <w:r w:rsidRPr="00093F2A">
        <w:rPr>
          <w:rFonts w:ascii="Gill Sans MT" w:eastAsiaTheme="minorEastAsia" w:hAnsi="Gill Sans MT"/>
          <w:sz w:val="24"/>
          <w:szCs w:val="24"/>
        </w:rPr>
        <w:t xml:space="preserve">, the coefficient on the </w:t>
      </w:r>
      <m:oMath>
        <m:sSub>
          <m:sSubPr>
            <m:ctrlPr>
              <w:rPr>
                <w:rFonts w:ascii="Cambria Math" w:hAnsi="Cambria Math"/>
                <w:i/>
                <w:sz w:val="24"/>
                <w:szCs w:val="24"/>
              </w:rPr>
            </m:ctrlPr>
          </m:sSubPr>
          <m:e>
            <m:r>
              <w:rPr>
                <w:rFonts w:ascii="Cambria Math" w:hAnsi="Cambria Math"/>
                <w:sz w:val="24"/>
                <w:szCs w:val="24"/>
              </w:rPr>
              <m:t>PRIVATE EQUITY</m:t>
            </m:r>
          </m:e>
          <m:sub>
            <m:r>
              <w:rPr>
                <w:rFonts w:ascii="Cambria Math" w:hAnsi="Cambria Math"/>
                <w:sz w:val="24"/>
                <w:szCs w:val="24"/>
              </w:rPr>
              <m:t>i</m:t>
            </m:r>
          </m:sub>
        </m:sSub>
      </m:oMath>
      <w:r w:rsidRPr="00093F2A">
        <w:rPr>
          <w:rFonts w:ascii="Gill Sans MT" w:eastAsiaTheme="minorEastAsia" w:hAnsi="Gill Sans MT"/>
          <w:sz w:val="24"/>
          <w:szCs w:val="24"/>
        </w:rPr>
        <w:t xml:space="preserve"> variable is </w:t>
      </w:r>
      <w:r w:rsidR="000E25B0" w:rsidRPr="00093F2A">
        <w:rPr>
          <w:rFonts w:ascii="Gill Sans MT" w:eastAsiaTheme="minorEastAsia" w:hAnsi="Gill Sans MT"/>
          <w:sz w:val="24"/>
          <w:szCs w:val="24"/>
        </w:rPr>
        <w:t>negative</w:t>
      </w:r>
      <w:r w:rsidRPr="00093F2A">
        <w:rPr>
          <w:rFonts w:ascii="Gill Sans MT" w:eastAsiaTheme="minorEastAsia" w:hAnsi="Gill Sans MT"/>
          <w:sz w:val="24"/>
          <w:szCs w:val="24"/>
        </w:rPr>
        <w:t xml:space="preserve"> and significant at the 1% level.</w:t>
      </w:r>
      <w:r w:rsidR="003A7CA0" w:rsidRPr="00093F2A">
        <w:rPr>
          <w:rFonts w:ascii="Gill Sans MT" w:eastAsiaTheme="minorEastAsia" w:hAnsi="Gill Sans MT"/>
          <w:sz w:val="24"/>
          <w:szCs w:val="24"/>
        </w:rPr>
        <w:t xml:space="preserve"> </w:t>
      </w:r>
      <w:r w:rsidR="006A7DE5" w:rsidRPr="00093F2A">
        <w:rPr>
          <w:rFonts w:ascii="Gill Sans MT" w:eastAsiaTheme="minorEastAsia" w:hAnsi="Gill Sans MT"/>
          <w:sz w:val="24"/>
          <w:szCs w:val="24"/>
        </w:rPr>
        <w:t>A</w:t>
      </w:r>
      <w:r w:rsidR="003A7CA0" w:rsidRPr="00093F2A">
        <w:rPr>
          <w:rFonts w:ascii="Gill Sans MT" w:eastAsiaTheme="minorEastAsia" w:hAnsi="Gill Sans MT"/>
          <w:sz w:val="24"/>
          <w:szCs w:val="24"/>
        </w:rPr>
        <w:t>cquisition</w:t>
      </w:r>
      <w:r w:rsidR="006A7DE5" w:rsidRPr="00093F2A">
        <w:rPr>
          <w:rFonts w:ascii="Gill Sans MT" w:eastAsiaTheme="minorEastAsia" w:hAnsi="Gill Sans MT"/>
          <w:sz w:val="24"/>
          <w:szCs w:val="24"/>
        </w:rPr>
        <w:t>s</w:t>
      </w:r>
      <w:r w:rsidR="003A7CA0" w:rsidRPr="00093F2A">
        <w:rPr>
          <w:rFonts w:ascii="Gill Sans MT" w:eastAsiaTheme="minorEastAsia" w:hAnsi="Gill Sans MT"/>
          <w:sz w:val="24"/>
          <w:szCs w:val="24"/>
        </w:rPr>
        <w:t xml:space="preserve"> with PE involvement </w:t>
      </w:r>
      <w:r w:rsidR="006A7DE5" w:rsidRPr="00093F2A">
        <w:rPr>
          <w:rFonts w:ascii="Gill Sans MT" w:eastAsiaTheme="minorEastAsia" w:hAnsi="Gill Sans MT"/>
          <w:sz w:val="24"/>
          <w:szCs w:val="24"/>
        </w:rPr>
        <w:t xml:space="preserve">exhibit </w:t>
      </w:r>
      <w:r w:rsidR="003A7CA0" w:rsidRPr="00093F2A">
        <w:rPr>
          <w:rFonts w:ascii="Gill Sans MT" w:eastAsiaTheme="minorEastAsia" w:hAnsi="Gill Sans MT"/>
          <w:sz w:val="24"/>
          <w:szCs w:val="24"/>
        </w:rPr>
        <w:t xml:space="preserve">about 8% less risk relative to the reference group, </w:t>
      </w:r>
      <w:r w:rsidR="006A7DE5" w:rsidRPr="00093F2A">
        <w:rPr>
          <w:rFonts w:ascii="Gill Sans MT" w:eastAsiaTheme="minorEastAsia" w:hAnsi="Gill Sans MT"/>
          <w:sz w:val="24"/>
          <w:szCs w:val="24"/>
        </w:rPr>
        <w:t xml:space="preserve">i.e., </w:t>
      </w:r>
      <w:r w:rsidR="003A7CA0" w:rsidRPr="00093F2A">
        <w:rPr>
          <w:rFonts w:ascii="Gill Sans MT" w:eastAsiaTheme="minorEastAsia" w:hAnsi="Gill Sans MT"/>
          <w:sz w:val="24"/>
          <w:szCs w:val="24"/>
        </w:rPr>
        <w:t xml:space="preserve">acquisitions with no PE involvement. </w:t>
      </w:r>
      <w:r w:rsidR="006A7DE5" w:rsidRPr="00093F2A">
        <w:rPr>
          <w:rFonts w:ascii="Gill Sans MT" w:eastAsiaTheme="minorEastAsia" w:hAnsi="Gill Sans MT"/>
          <w:sz w:val="24"/>
          <w:szCs w:val="24"/>
        </w:rPr>
        <w:t>The stock returns post-announcement is sustainable and less volatile in PE deals than non-PE deals.</w:t>
      </w:r>
      <w:r w:rsidR="006A7DE5" w:rsidRPr="00093F2A">
        <w:rPr>
          <w:rFonts w:ascii="Gill Sans MT" w:hAnsi="Gill Sans MT"/>
        </w:rPr>
        <w:t xml:space="preserve"> </w:t>
      </w:r>
      <w:r w:rsidR="006A7DE5" w:rsidRPr="00093F2A">
        <w:rPr>
          <w:rFonts w:ascii="Gill Sans MT" w:eastAsiaTheme="minorEastAsia" w:hAnsi="Gill Sans MT"/>
          <w:sz w:val="24"/>
          <w:szCs w:val="24"/>
        </w:rPr>
        <w:t>The change in stock return volatility is also inversely related to the acquirer's liquidity and leverage (i.e., the ratio of FI's equity-to-total assets). However, deals financed with the acquirer's stock as well as the acquirer size add to post-announcement stock return volatility.</w:t>
      </w:r>
    </w:p>
    <w:p w14:paraId="259FDB95" w14:textId="421AC4F6" w:rsidR="00810A26" w:rsidRPr="00093F2A" w:rsidRDefault="108DE40A" w:rsidP="001C33F9">
      <w:pPr>
        <w:pStyle w:val="ListParagraph"/>
        <w:numPr>
          <w:ilvl w:val="1"/>
          <w:numId w:val="20"/>
        </w:numPr>
        <w:spacing w:line="480" w:lineRule="auto"/>
        <w:rPr>
          <w:rFonts w:ascii="Gill Sans MT" w:hAnsi="Gill Sans MT"/>
          <w:b/>
          <w:bCs/>
          <w:i/>
          <w:iCs/>
          <w:sz w:val="24"/>
          <w:szCs w:val="24"/>
        </w:rPr>
      </w:pPr>
      <w:r w:rsidRPr="00093F2A">
        <w:rPr>
          <w:rFonts w:ascii="Gill Sans MT" w:hAnsi="Gill Sans MT"/>
          <w:b/>
          <w:bCs/>
          <w:i/>
          <w:iCs/>
          <w:sz w:val="24"/>
          <w:szCs w:val="24"/>
        </w:rPr>
        <w:t>Acquirer’s Operating Performance Changes</w:t>
      </w:r>
    </w:p>
    <w:p w14:paraId="00B7ACDD" w14:textId="0410EFA0" w:rsidR="00810A26" w:rsidRPr="00093F2A" w:rsidRDefault="001016CF" w:rsidP="008F5E90">
      <w:pPr>
        <w:spacing w:line="480" w:lineRule="auto"/>
        <w:ind w:firstLine="720"/>
        <w:rPr>
          <w:rFonts w:ascii="Gill Sans MT" w:hAnsi="Gill Sans MT"/>
          <w:sz w:val="24"/>
          <w:szCs w:val="24"/>
        </w:rPr>
      </w:pPr>
      <w:r w:rsidRPr="00093F2A">
        <w:rPr>
          <w:rFonts w:ascii="Gill Sans MT" w:hAnsi="Gill Sans MT"/>
          <w:sz w:val="24"/>
          <w:szCs w:val="24"/>
        </w:rPr>
        <w:t>Healy, Palepu, and Ruback (1992) find that post-acquisition performance is driven by improvements in asset productivity relative to their industries, leading to higher operating cash flow returns. The authors further find that these improvements are more significant for firms with highly overlapping businesses. Since we are focused on financial institutions, most acquisitions are of a related target</w:t>
      </w:r>
      <w:r w:rsidR="00E61BFE" w:rsidRPr="00093F2A">
        <w:rPr>
          <w:rFonts w:ascii="Gill Sans MT" w:hAnsi="Gill Sans MT"/>
          <w:sz w:val="24"/>
          <w:szCs w:val="24"/>
        </w:rPr>
        <w:t>, i.e., a firm operating in the financial industry</w:t>
      </w:r>
      <w:r w:rsidRPr="00093F2A">
        <w:rPr>
          <w:rFonts w:ascii="Gill Sans MT" w:hAnsi="Gill Sans MT"/>
          <w:sz w:val="24"/>
          <w:szCs w:val="24"/>
        </w:rPr>
        <w:t xml:space="preserve">. As such, the findings of Healy et al. (1992) may manifest in our sample. Simultaneously, the positive market </w:t>
      </w:r>
      <w:r w:rsidRPr="00093F2A">
        <w:rPr>
          <w:rFonts w:ascii="Gill Sans MT" w:hAnsi="Gill Sans MT"/>
          <w:sz w:val="24"/>
          <w:szCs w:val="24"/>
        </w:rPr>
        <w:lastRenderedPageBreak/>
        <w:t xml:space="preserve">reaction and higher stability in stock prices for deals with PE involvement suggest that the positive effect on operating performance may positively correlate with PE involvement. In </w:t>
      </w:r>
      <w:r w:rsidR="002B7B49" w:rsidRPr="00093F2A">
        <w:rPr>
          <w:rFonts w:ascii="Gill Sans MT" w:hAnsi="Gill Sans MT"/>
          <w:sz w:val="24"/>
          <w:szCs w:val="24"/>
        </w:rPr>
        <w:t xml:space="preserve">this section, we examine the impact of private equity involvement on the acquirers' operating performance. We look at three operating performance measures, including ROA, NET INTEREST MARGIN, and YIELD / COST SPREAD. ROA is the ratio of net income to average assets. NET INTEREST MARGIN is the ratio of net interest income to average earning assets. YIELD / COST SPREAD is the yield on earning assets (which is the ratio of total interest &amp; dividend income to average earning assets) minus the cost of interest-bearing liabilities (which is the ratio of total interest expense to average interest-bearing liabilities). We calculate the change in each of the three measures as the differences between the post-event and pre-event periods. </w:t>
      </w:r>
    </w:p>
    <w:p w14:paraId="739DCA51" w14:textId="097E1F32" w:rsidR="001E1662" w:rsidRPr="00093F2A" w:rsidRDefault="004C3C81" w:rsidP="008F5E90">
      <w:pPr>
        <w:spacing w:line="480" w:lineRule="auto"/>
        <w:ind w:firstLine="720"/>
        <w:rPr>
          <w:rFonts w:ascii="Gill Sans MT" w:eastAsia="Garamond" w:hAnsi="Gill Sans MT" w:cs="Garamond"/>
          <w:sz w:val="24"/>
          <w:szCs w:val="24"/>
        </w:rPr>
      </w:pPr>
      <w:r w:rsidRPr="00093F2A">
        <w:rPr>
          <w:rFonts w:ascii="Gill Sans MT" w:hAnsi="Gill Sans MT"/>
          <w:sz w:val="24"/>
          <w:szCs w:val="24"/>
        </w:rPr>
        <w:t>We compare the change in the operating performance between the acquirers in deals with private equity involvement and deals without such involvement in Table VII. In Panel A, we report the mean and median operating performance for each of the acquirers' groups in the pre-event period, post-event period, and the change. Acquirers in deals with private equity involvement experience significantly better operating performance change than acquirers in deals without such involvement</w:t>
      </w:r>
      <w:r w:rsidR="001E1662" w:rsidRPr="00093F2A">
        <w:rPr>
          <w:rFonts w:ascii="Gill Sans MT" w:hAnsi="Gill Sans MT"/>
          <w:sz w:val="24"/>
          <w:szCs w:val="24"/>
        </w:rPr>
        <w:t xml:space="preserve">. </w:t>
      </w:r>
      <w:r w:rsidR="003F0477" w:rsidRPr="00093F2A">
        <w:rPr>
          <w:rFonts w:ascii="Gill Sans MT" w:hAnsi="Gill Sans MT"/>
          <w:sz w:val="24"/>
          <w:szCs w:val="24"/>
        </w:rPr>
        <w:t xml:space="preserve">Looking at M&amp;As with PE involvement, we observe increases in ROA using median figures and increases in Net Interest Margin using mean figures. The benefits of PE involvement are more evident when the deals are compared to those without PE involvement. Irrespective of the measure used, the change in the operating performance measures for deals involving PE is always higher than the deals not involving PE by 11.3%, 11.6%, and 11.6% using mean figures representing changes in ROA, Net Interest Margin, and </w:t>
      </w:r>
      <w:r w:rsidR="003F0477" w:rsidRPr="00093F2A">
        <w:rPr>
          <w:rFonts w:ascii="Gill Sans MT" w:hAnsi="Gill Sans MT"/>
          <w:sz w:val="24"/>
          <w:szCs w:val="24"/>
        </w:rPr>
        <w:lastRenderedPageBreak/>
        <w:t>Yield/Cost spread, respectively. The corresponding median changes are 13.5%, 8%, and 9%, respectively.</w:t>
      </w:r>
    </w:p>
    <w:p w14:paraId="5BFC282A" w14:textId="698638EA" w:rsidR="001E1662" w:rsidRPr="00093F2A" w:rsidRDefault="001E1662"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7</w:t>
      </w:r>
      <w:r w:rsidRPr="00093F2A">
        <w:rPr>
          <w:rFonts w:ascii="Gill Sans MT" w:hAnsi="Gill Sans MT"/>
          <w:sz w:val="24"/>
          <w:szCs w:val="24"/>
        </w:rPr>
        <w:t>]</w:t>
      </w:r>
    </w:p>
    <w:p w14:paraId="191E09DB" w14:textId="086F5885" w:rsidR="001E1662" w:rsidRPr="00093F2A" w:rsidRDefault="00810A26" w:rsidP="008F5E90">
      <w:pPr>
        <w:spacing w:line="480" w:lineRule="auto"/>
        <w:ind w:firstLine="720"/>
        <w:rPr>
          <w:rFonts w:ascii="Gill Sans MT" w:hAnsi="Gill Sans MT"/>
          <w:sz w:val="24"/>
          <w:szCs w:val="24"/>
        </w:rPr>
      </w:pPr>
      <w:r w:rsidRPr="00093F2A" w:rsidDel="003A178C">
        <w:rPr>
          <w:rFonts w:ascii="Gill Sans MT" w:hAnsi="Gill Sans MT"/>
          <w:sz w:val="24"/>
          <w:szCs w:val="24"/>
        </w:rPr>
        <w:t xml:space="preserve"> </w:t>
      </w:r>
      <w:r w:rsidRPr="00093F2A">
        <w:rPr>
          <w:rFonts w:ascii="Gill Sans MT" w:hAnsi="Gill Sans MT"/>
          <w:sz w:val="24"/>
          <w:szCs w:val="24"/>
        </w:rPr>
        <w:t xml:space="preserve">In </w:t>
      </w:r>
      <w:r w:rsidR="001E1662" w:rsidRPr="00093F2A">
        <w:rPr>
          <w:rFonts w:ascii="Gill Sans MT" w:hAnsi="Gill Sans MT"/>
          <w:sz w:val="24"/>
          <w:szCs w:val="24"/>
        </w:rPr>
        <w:t xml:space="preserve">Panel B of Table </w:t>
      </w:r>
      <w:r w:rsidR="00DC4ACC" w:rsidRPr="00093F2A">
        <w:rPr>
          <w:rFonts w:ascii="Gill Sans MT" w:hAnsi="Gill Sans MT"/>
          <w:sz w:val="24"/>
          <w:szCs w:val="24"/>
        </w:rPr>
        <w:t>VII</w:t>
      </w:r>
      <w:r w:rsidRPr="00093F2A">
        <w:rPr>
          <w:rFonts w:ascii="Gill Sans MT" w:hAnsi="Gill Sans MT"/>
          <w:sz w:val="24"/>
          <w:szCs w:val="24"/>
        </w:rPr>
        <w:t xml:space="preserve">, we report the OLS regressions of the acquirers’ operating performance change using </w:t>
      </w:r>
      <w:r w:rsidR="003F0477" w:rsidRPr="00093F2A">
        <w:rPr>
          <w:rFonts w:ascii="Gill Sans MT" w:hAnsi="Gill Sans MT"/>
          <w:sz w:val="24"/>
          <w:szCs w:val="24"/>
        </w:rPr>
        <w:t xml:space="preserve">Model (5). </w:t>
      </w:r>
      <w:r w:rsidRPr="00093F2A">
        <w:rPr>
          <w:rFonts w:ascii="Gill Sans MT" w:hAnsi="Gill Sans MT"/>
          <w:sz w:val="24"/>
          <w:szCs w:val="24"/>
        </w:rPr>
        <w:t>The</w:t>
      </w:r>
      <w:r w:rsidR="004C3C81" w:rsidRPr="00093F2A">
        <w:rPr>
          <w:rFonts w:ascii="Gill Sans MT" w:hAnsi="Gill Sans MT"/>
          <w:sz w:val="24"/>
          <w:szCs w:val="24"/>
        </w:rPr>
        <w:t xml:space="preserve"> dependent variables are the changes in the acquirers’ operating performance</w:t>
      </w:r>
      <w:r w:rsidR="003F0477" w:rsidRPr="00093F2A">
        <w:rPr>
          <w:rFonts w:ascii="Gill Sans MT" w:hAnsi="Gill Sans MT"/>
          <w:sz w:val="24"/>
          <w:szCs w:val="24"/>
        </w:rPr>
        <w:t xml:space="preserve">, i.e., change in ROA (in model 1), change in NET INTEREST MARGIN (in model 2), and change in YIELD / COST SPREAD (in model 3), </w:t>
      </w:r>
      <w:r w:rsidR="004C3C81" w:rsidRPr="00093F2A">
        <w:rPr>
          <w:rFonts w:ascii="Gill Sans MT" w:hAnsi="Gill Sans MT"/>
          <w:sz w:val="24"/>
          <w:szCs w:val="24"/>
        </w:rPr>
        <w:t>from the pre-event period to the post-event period. Consistent with the univariate results in Panel A of Table VII, the coefficient on the PRIVATE EQUITY variable is positive and significant at the 5% level in all three models.</w:t>
      </w:r>
      <w:r w:rsidR="00C45FCC" w:rsidRPr="00093F2A">
        <w:rPr>
          <w:rFonts w:ascii="Gill Sans MT" w:hAnsi="Gill Sans MT"/>
        </w:rPr>
        <w:t xml:space="preserve"> </w:t>
      </w:r>
      <w:r w:rsidR="00C45FCC" w:rsidRPr="00093F2A">
        <w:rPr>
          <w:rFonts w:ascii="Gill Sans MT" w:hAnsi="Gill Sans MT"/>
          <w:sz w:val="24"/>
          <w:szCs w:val="24"/>
        </w:rPr>
        <w:t>In the multivariate setup, deals with PE involvement yield improvements in operating performance relative to deals without PE by 5.8%, 9.5%, 8.4% in ROA, Net Interest Margin, and the ratio of yield-to-cost spread, respectively.</w:t>
      </w:r>
      <w:r w:rsidR="00C45FCC" w:rsidRPr="00093F2A">
        <w:rPr>
          <w:rFonts w:ascii="Gill Sans MT" w:hAnsi="Gill Sans MT"/>
        </w:rPr>
        <w:t xml:space="preserve"> </w:t>
      </w:r>
      <w:r w:rsidR="00C45FCC" w:rsidRPr="00093F2A">
        <w:rPr>
          <w:rFonts w:ascii="Gill Sans MT" w:hAnsi="Gill Sans MT"/>
          <w:sz w:val="24"/>
          <w:szCs w:val="24"/>
        </w:rPr>
        <w:t>The acquirer's liquidity and leverage continue to be related to the performance measures following the M&amp;A. In this case, they are positively related to the changes in operating performance.</w:t>
      </w:r>
      <w:r w:rsidR="004C3C81" w:rsidRPr="00093F2A">
        <w:rPr>
          <w:rFonts w:ascii="Gill Sans MT" w:hAnsi="Gill Sans MT"/>
          <w:sz w:val="24"/>
          <w:szCs w:val="24"/>
        </w:rPr>
        <w:t xml:space="preserve"> </w:t>
      </w:r>
    </w:p>
    <w:p w14:paraId="02FDD27C" w14:textId="44FC8406" w:rsidR="00810A26" w:rsidRPr="00093F2A" w:rsidRDefault="00A42FCA" w:rsidP="001C33F9">
      <w:pPr>
        <w:pStyle w:val="ListParagraph"/>
        <w:numPr>
          <w:ilvl w:val="1"/>
          <w:numId w:val="20"/>
        </w:numPr>
        <w:spacing w:line="480" w:lineRule="auto"/>
        <w:rPr>
          <w:rFonts w:ascii="Gill Sans MT" w:hAnsi="Gill Sans MT"/>
          <w:b/>
          <w:bCs/>
          <w:sz w:val="24"/>
          <w:szCs w:val="24"/>
        </w:rPr>
      </w:pPr>
      <w:r w:rsidRPr="00093F2A">
        <w:rPr>
          <w:rFonts w:ascii="Gill Sans MT" w:hAnsi="Gill Sans MT"/>
          <w:b/>
          <w:bCs/>
          <w:sz w:val="24"/>
          <w:szCs w:val="24"/>
        </w:rPr>
        <w:t>Robustness checks</w:t>
      </w:r>
    </w:p>
    <w:p w14:paraId="5E8084BC" w14:textId="77777777" w:rsidR="00810A26" w:rsidRPr="00093F2A" w:rsidRDefault="00810A26" w:rsidP="008F5E90">
      <w:pPr>
        <w:spacing w:line="480" w:lineRule="auto"/>
        <w:ind w:firstLine="720"/>
        <w:rPr>
          <w:rFonts w:ascii="Gill Sans MT" w:hAnsi="Gill Sans MT"/>
          <w:sz w:val="24"/>
          <w:szCs w:val="24"/>
        </w:rPr>
      </w:pPr>
      <w:r w:rsidRPr="00093F2A">
        <w:rPr>
          <w:rFonts w:ascii="Gill Sans MT" w:hAnsi="Gill Sans MT"/>
          <w:sz w:val="24"/>
          <w:szCs w:val="24"/>
        </w:rPr>
        <w:t xml:space="preserve">We conduct several robustness checks to ensure that our results are not driven by self-selection bias and other confounding effects. </w:t>
      </w:r>
    </w:p>
    <w:p w14:paraId="03710827" w14:textId="77777777" w:rsidR="00810A26" w:rsidRPr="00093F2A" w:rsidRDefault="108DE40A" w:rsidP="001C33F9">
      <w:pPr>
        <w:pStyle w:val="ListParagraph"/>
        <w:numPr>
          <w:ilvl w:val="2"/>
          <w:numId w:val="20"/>
        </w:numPr>
        <w:spacing w:line="480" w:lineRule="auto"/>
        <w:rPr>
          <w:rFonts w:ascii="Gill Sans MT" w:hAnsi="Gill Sans MT"/>
          <w:b/>
          <w:bCs/>
          <w:i/>
          <w:iCs/>
          <w:sz w:val="24"/>
          <w:szCs w:val="24"/>
        </w:rPr>
      </w:pPr>
      <w:r w:rsidRPr="00093F2A">
        <w:rPr>
          <w:rFonts w:ascii="Gill Sans MT" w:hAnsi="Gill Sans MT"/>
          <w:b/>
          <w:bCs/>
          <w:i/>
          <w:iCs/>
          <w:sz w:val="24"/>
          <w:szCs w:val="24"/>
        </w:rPr>
        <w:t>Self-Selection Bias</w:t>
      </w:r>
    </w:p>
    <w:p w14:paraId="22528135" w14:textId="44855100" w:rsidR="00810A26" w:rsidRPr="00093F2A" w:rsidRDefault="00E30314" w:rsidP="00762B2E">
      <w:pPr>
        <w:spacing w:line="480" w:lineRule="auto"/>
        <w:ind w:firstLine="720"/>
        <w:rPr>
          <w:rFonts w:ascii="Gill Sans MT" w:hAnsi="Gill Sans MT"/>
          <w:sz w:val="24"/>
          <w:szCs w:val="24"/>
        </w:rPr>
      </w:pPr>
      <w:r w:rsidRPr="00093F2A">
        <w:rPr>
          <w:rFonts w:ascii="Gill Sans MT" w:hAnsi="Gill Sans MT"/>
          <w:sz w:val="24"/>
          <w:szCs w:val="24"/>
        </w:rPr>
        <w:t xml:space="preserve">We account for self-selection bias, i.e., the possibility that </w:t>
      </w:r>
      <w:r w:rsidR="00D222D0" w:rsidRPr="00093F2A">
        <w:rPr>
          <w:rFonts w:ascii="Gill Sans MT" w:hAnsi="Gill Sans MT"/>
          <w:sz w:val="24"/>
          <w:szCs w:val="24"/>
        </w:rPr>
        <w:t>private equity investors select to invest in better deals in the first place</w:t>
      </w:r>
      <w:r w:rsidR="00920025" w:rsidRPr="00093F2A">
        <w:rPr>
          <w:rFonts w:ascii="Gill Sans MT" w:hAnsi="Gill Sans MT"/>
          <w:sz w:val="24"/>
          <w:szCs w:val="24"/>
        </w:rPr>
        <w:t xml:space="preserve">, using </w:t>
      </w:r>
      <w:r w:rsidR="00D222D0" w:rsidRPr="00093F2A">
        <w:rPr>
          <w:rFonts w:ascii="Gill Sans MT" w:hAnsi="Gill Sans MT"/>
          <w:sz w:val="24"/>
          <w:szCs w:val="24"/>
        </w:rPr>
        <w:t xml:space="preserve">the Heckman two-stage </w:t>
      </w:r>
      <w:r w:rsidR="00920025" w:rsidRPr="00093F2A">
        <w:rPr>
          <w:rFonts w:ascii="Gill Sans MT" w:hAnsi="Gill Sans MT"/>
          <w:sz w:val="24"/>
          <w:szCs w:val="24"/>
        </w:rPr>
        <w:t>regressions</w:t>
      </w:r>
      <w:r w:rsidR="00D222D0" w:rsidRPr="00093F2A">
        <w:rPr>
          <w:rFonts w:ascii="Gill Sans MT" w:hAnsi="Gill Sans MT"/>
          <w:sz w:val="24"/>
          <w:szCs w:val="24"/>
        </w:rPr>
        <w:t xml:space="preserve">. </w:t>
      </w:r>
      <w:r w:rsidR="00920025" w:rsidRPr="00093F2A">
        <w:rPr>
          <w:rFonts w:ascii="Gill Sans MT" w:hAnsi="Gill Sans MT"/>
          <w:sz w:val="24"/>
          <w:szCs w:val="24"/>
        </w:rPr>
        <w:t xml:space="preserve">In the first stage, we </w:t>
      </w:r>
      <w:r w:rsidR="00D222D0" w:rsidRPr="00093F2A">
        <w:rPr>
          <w:rFonts w:ascii="Gill Sans MT" w:hAnsi="Gill Sans MT"/>
          <w:sz w:val="24"/>
          <w:szCs w:val="24"/>
        </w:rPr>
        <w:t xml:space="preserve">estimate </w:t>
      </w:r>
      <w:r w:rsidR="00920025" w:rsidRPr="00093F2A">
        <w:rPr>
          <w:rFonts w:ascii="Gill Sans MT" w:hAnsi="Gill Sans MT"/>
          <w:sz w:val="24"/>
          <w:szCs w:val="24"/>
        </w:rPr>
        <w:t xml:space="preserve">a </w:t>
      </w:r>
      <w:r w:rsidR="00D222D0" w:rsidRPr="00093F2A">
        <w:rPr>
          <w:rFonts w:ascii="Gill Sans MT" w:hAnsi="Gill Sans MT"/>
          <w:sz w:val="24"/>
          <w:szCs w:val="24"/>
        </w:rPr>
        <w:t xml:space="preserve">logistic regression for the probability of private equity involvement. We obtain the predicted probabilities from the first stage regression to calculate the inverse Mills </w:t>
      </w:r>
      <w:r w:rsidR="00D222D0" w:rsidRPr="00093F2A">
        <w:rPr>
          <w:rFonts w:ascii="Gill Sans MT" w:hAnsi="Gill Sans MT"/>
          <w:sz w:val="24"/>
          <w:szCs w:val="24"/>
        </w:rPr>
        <w:lastRenderedPageBreak/>
        <w:t xml:space="preserve">ratios. We include them in the second stage regressions of CARs, BHARs, </w:t>
      </w:r>
      <w:r w:rsidR="00920025" w:rsidRPr="00093F2A">
        <w:rPr>
          <w:rFonts w:ascii="Gill Sans MT" w:hAnsi="Gill Sans MT"/>
          <w:sz w:val="24"/>
          <w:szCs w:val="24"/>
        </w:rPr>
        <w:t>changes in stock return volatility</w:t>
      </w:r>
      <w:r w:rsidR="00D222D0" w:rsidRPr="00093F2A">
        <w:rPr>
          <w:rFonts w:ascii="Gill Sans MT" w:hAnsi="Gill Sans MT"/>
          <w:sz w:val="24"/>
          <w:szCs w:val="24"/>
        </w:rPr>
        <w:t xml:space="preserve"> and operating performance</w:t>
      </w:r>
      <w:r w:rsidR="00920025" w:rsidRPr="00093F2A">
        <w:rPr>
          <w:rFonts w:ascii="Gill Sans MT" w:hAnsi="Gill Sans MT"/>
          <w:sz w:val="24"/>
          <w:szCs w:val="24"/>
        </w:rPr>
        <w:t>, respectively</w:t>
      </w:r>
      <w:r w:rsidR="00D222D0" w:rsidRPr="00093F2A">
        <w:rPr>
          <w:rFonts w:ascii="Gill Sans MT" w:hAnsi="Gill Sans MT"/>
          <w:sz w:val="24"/>
          <w:szCs w:val="24"/>
        </w:rPr>
        <w:t>.</w:t>
      </w:r>
    </w:p>
    <w:p w14:paraId="52339B34" w14:textId="6A96E011" w:rsidR="00810A26" w:rsidRPr="00093F2A" w:rsidRDefault="00810A26" w:rsidP="008F5E90">
      <w:pPr>
        <w:spacing w:line="480" w:lineRule="auto"/>
        <w:ind w:firstLine="720"/>
        <w:rPr>
          <w:rFonts w:ascii="Gill Sans MT" w:hAnsi="Gill Sans MT"/>
          <w:sz w:val="24"/>
          <w:szCs w:val="24"/>
        </w:rPr>
      </w:pPr>
      <w:r w:rsidRPr="00093F2A">
        <w:rPr>
          <w:rFonts w:ascii="Gill Sans MT" w:hAnsi="Gill Sans MT"/>
          <w:sz w:val="24"/>
          <w:szCs w:val="24"/>
        </w:rPr>
        <w:t xml:space="preserve">In </w:t>
      </w:r>
      <w:r w:rsidR="00D222D0" w:rsidRPr="00093F2A">
        <w:rPr>
          <w:rFonts w:ascii="Gill Sans MT" w:hAnsi="Gill Sans MT"/>
          <w:sz w:val="24"/>
          <w:szCs w:val="24"/>
        </w:rPr>
        <w:t xml:space="preserve">Panel A of Table VIII, we report the logistic regression results for the probability of private equity involvement. </w:t>
      </w:r>
      <w:r w:rsidR="00905CAF" w:rsidRPr="00093F2A">
        <w:rPr>
          <w:rFonts w:ascii="Gill Sans MT" w:hAnsi="Gill Sans MT"/>
          <w:sz w:val="24"/>
          <w:szCs w:val="24"/>
        </w:rPr>
        <w:t>The outcome variable takes a value of 1</w:t>
      </w:r>
      <w:r w:rsidR="00D222D0" w:rsidRPr="00093F2A">
        <w:rPr>
          <w:rFonts w:ascii="Gill Sans MT" w:hAnsi="Gill Sans MT"/>
          <w:sz w:val="24"/>
          <w:szCs w:val="24"/>
        </w:rPr>
        <w:t xml:space="preserve"> in mergers with PE involvement</w:t>
      </w:r>
      <w:r w:rsidR="00905CAF" w:rsidRPr="00093F2A">
        <w:rPr>
          <w:rFonts w:ascii="Gill Sans MT" w:hAnsi="Gill Sans MT"/>
          <w:sz w:val="24"/>
          <w:szCs w:val="24"/>
        </w:rPr>
        <w:t>, else it takes a value of 0</w:t>
      </w:r>
      <w:r w:rsidR="00D222D0" w:rsidRPr="00093F2A">
        <w:rPr>
          <w:rFonts w:ascii="Gill Sans MT" w:hAnsi="Gill Sans MT"/>
          <w:sz w:val="24"/>
          <w:szCs w:val="24"/>
        </w:rPr>
        <w:t xml:space="preserve">. </w:t>
      </w:r>
      <w:r w:rsidR="00920025" w:rsidRPr="00093F2A">
        <w:rPr>
          <w:rFonts w:ascii="Gill Sans MT" w:hAnsi="Gill Sans MT"/>
          <w:sz w:val="24"/>
          <w:szCs w:val="24"/>
        </w:rPr>
        <w:t xml:space="preserve">The model is based on the following </w:t>
      </w:r>
      <w:r w:rsidR="00905CAF" w:rsidRPr="00093F2A">
        <w:rPr>
          <w:rFonts w:ascii="Gill Sans MT" w:hAnsi="Gill Sans MT"/>
          <w:sz w:val="24"/>
          <w:szCs w:val="24"/>
        </w:rPr>
        <w:t>predictor</w:t>
      </w:r>
      <w:r w:rsidR="00920025" w:rsidRPr="00093F2A">
        <w:rPr>
          <w:rFonts w:ascii="Gill Sans MT" w:hAnsi="Gill Sans MT"/>
          <w:sz w:val="24"/>
          <w:szCs w:val="24"/>
        </w:rPr>
        <w:t xml:space="preserve"> variables, i.e., </w:t>
      </w:r>
      <w:r w:rsidR="00D222D0" w:rsidRPr="00093F2A">
        <w:rPr>
          <w:rFonts w:ascii="Gill Sans MT" w:hAnsi="Gill Sans MT"/>
          <w:sz w:val="24"/>
          <w:szCs w:val="24"/>
        </w:rPr>
        <w:t>the natural log of lagged tier 1 capital (LN(L.TIER 1 CAPITAL)), lagged returns on asset (L.ROAA), lagged liquidity ratio (L.LIQUIDITY), the logarithm of firm age (LOG(AGE)), and the logarithm of the number of financial institutions in the same state (LOG(FIRM SAME STATE))</w:t>
      </w:r>
      <w:r w:rsidRPr="00093F2A">
        <w:rPr>
          <w:rFonts w:ascii="Gill Sans MT" w:hAnsi="Gill Sans MT"/>
          <w:sz w:val="24"/>
          <w:szCs w:val="24"/>
        </w:rPr>
        <w:t xml:space="preserve">. </w:t>
      </w:r>
      <w:r w:rsidR="002F71C2" w:rsidRPr="00093F2A">
        <w:rPr>
          <w:rFonts w:ascii="Gill Sans MT" w:hAnsi="Gill Sans MT"/>
          <w:sz w:val="24"/>
          <w:szCs w:val="24"/>
        </w:rPr>
        <w:t xml:space="preserve">The results from Panel A of Table 8 suggest that acquisitions involving PE are positively related to the acquirer's Tier 1 capital and that the acquirer and target are from the same state. </w:t>
      </w:r>
      <w:r w:rsidR="0046642B" w:rsidRPr="00093F2A">
        <w:rPr>
          <w:rFonts w:ascii="Gill Sans MT" w:hAnsi="Gill Sans MT"/>
          <w:sz w:val="24"/>
          <w:szCs w:val="24"/>
        </w:rPr>
        <w:t>Acquirers</w:t>
      </w:r>
      <w:r w:rsidR="002F71C2" w:rsidRPr="00093F2A">
        <w:rPr>
          <w:rFonts w:ascii="Gill Sans MT" w:hAnsi="Gill Sans MT"/>
          <w:sz w:val="24"/>
          <w:szCs w:val="24"/>
        </w:rPr>
        <w:t xml:space="preserve"> also tend to be younger firms.</w:t>
      </w:r>
    </w:p>
    <w:p w14:paraId="20D608A3" w14:textId="5A9F2BD3"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8]</w:t>
      </w:r>
    </w:p>
    <w:p w14:paraId="4E161A86" w14:textId="0100E27A" w:rsidR="00810A26" w:rsidRPr="00093F2A" w:rsidRDefault="00B14874" w:rsidP="008F5E90">
      <w:pPr>
        <w:spacing w:line="480" w:lineRule="auto"/>
        <w:ind w:firstLine="720"/>
        <w:rPr>
          <w:rFonts w:ascii="Gill Sans MT" w:hAnsi="Gill Sans MT"/>
          <w:sz w:val="24"/>
          <w:szCs w:val="24"/>
        </w:rPr>
      </w:pPr>
      <w:r w:rsidRPr="00093F2A">
        <w:rPr>
          <w:rFonts w:ascii="Gill Sans MT" w:hAnsi="Gill Sans MT"/>
          <w:sz w:val="24"/>
          <w:szCs w:val="24"/>
        </w:rPr>
        <w:t xml:space="preserve">In Panel B of Table VIII, we </w:t>
      </w:r>
      <w:r w:rsidR="002F71C2" w:rsidRPr="00093F2A">
        <w:rPr>
          <w:rFonts w:ascii="Gill Sans MT" w:hAnsi="Gill Sans MT"/>
          <w:sz w:val="24"/>
          <w:szCs w:val="24"/>
        </w:rPr>
        <w:t xml:space="preserve">repeat </w:t>
      </w:r>
      <w:r w:rsidRPr="00093F2A">
        <w:rPr>
          <w:rFonts w:ascii="Gill Sans MT" w:hAnsi="Gill Sans MT"/>
          <w:sz w:val="24"/>
          <w:szCs w:val="24"/>
        </w:rPr>
        <w:t xml:space="preserve">the regressions of CARs (in models 1 &amp; 2), BHARs in (+1,+12) months window (in model 3), BHARs in (+1,+36) months window (in model 4), </w:t>
      </w:r>
      <w:r w:rsidR="002F71C2" w:rsidRPr="00093F2A">
        <w:rPr>
          <w:rFonts w:ascii="Gill Sans MT" w:hAnsi="Gill Sans MT"/>
          <w:sz w:val="24"/>
          <w:szCs w:val="24"/>
        </w:rPr>
        <w:t>change in stock return volatility</w:t>
      </w:r>
      <w:r w:rsidRPr="00093F2A">
        <w:rPr>
          <w:rFonts w:ascii="Gill Sans MT" w:hAnsi="Gill Sans MT"/>
          <w:sz w:val="24"/>
          <w:szCs w:val="24"/>
        </w:rPr>
        <w:t xml:space="preserve"> (in model 5) and operating performance change (in models 6, 7 and 8)</w:t>
      </w:r>
      <w:r w:rsidR="002F71C2" w:rsidRPr="00093F2A">
        <w:rPr>
          <w:rFonts w:ascii="Gill Sans MT" w:hAnsi="Gill Sans MT"/>
          <w:sz w:val="24"/>
          <w:szCs w:val="24"/>
        </w:rPr>
        <w:t xml:space="preserve"> but controlling for the </w:t>
      </w:r>
      <w:r w:rsidRPr="00093F2A">
        <w:rPr>
          <w:rFonts w:ascii="Gill Sans MT" w:hAnsi="Gill Sans MT"/>
          <w:sz w:val="24"/>
          <w:szCs w:val="24"/>
        </w:rPr>
        <w:t>inverse Mills ratios obtained from the logistic regression in Panel A of Table VIII. For brevity, we report the coefficients on the main variables of interest, PRIVATE EQUITY only. The results are qualitatively similar to the preceding tables, confirming the consistency of the results even after controlling for potential self-selection issues</w:t>
      </w:r>
      <w:r w:rsidR="00810A26" w:rsidRPr="00093F2A">
        <w:rPr>
          <w:rFonts w:ascii="Gill Sans MT" w:hAnsi="Gill Sans MT"/>
          <w:sz w:val="24"/>
          <w:szCs w:val="24"/>
        </w:rPr>
        <w:t xml:space="preserve">. </w:t>
      </w:r>
      <w:r w:rsidR="002F71C2" w:rsidRPr="00093F2A">
        <w:rPr>
          <w:rFonts w:ascii="Gill Sans MT" w:hAnsi="Gill Sans MT"/>
          <w:sz w:val="24"/>
          <w:szCs w:val="24"/>
        </w:rPr>
        <w:t>In other words, private equity is positively associated with announcement period CARs, long-term BHARs, positive changes in operating performance</w:t>
      </w:r>
      <w:r w:rsidR="00E7248E" w:rsidRPr="00093F2A">
        <w:rPr>
          <w:rFonts w:ascii="Gill Sans MT" w:hAnsi="Gill Sans MT"/>
          <w:sz w:val="24"/>
          <w:szCs w:val="24"/>
        </w:rPr>
        <w:t>,</w:t>
      </w:r>
      <w:r w:rsidR="002F71C2" w:rsidRPr="00093F2A">
        <w:rPr>
          <w:rFonts w:ascii="Gill Sans MT" w:hAnsi="Gill Sans MT"/>
          <w:sz w:val="24"/>
          <w:szCs w:val="24"/>
        </w:rPr>
        <w:t xml:space="preserve"> and negative changes in stock return volatility when compared to deals with no private equity involvement.</w:t>
      </w:r>
    </w:p>
    <w:p w14:paraId="60117ED3" w14:textId="2ED7E3CF" w:rsidR="00810A26" w:rsidRPr="00093F2A" w:rsidRDefault="108DE40A" w:rsidP="001C33F9">
      <w:pPr>
        <w:pStyle w:val="ListParagraph"/>
        <w:numPr>
          <w:ilvl w:val="2"/>
          <w:numId w:val="20"/>
        </w:numPr>
        <w:spacing w:line="480" w:lineRule="auto"/>
        <w:rPr>
          <w:rFonts w:ascii="Gill Sans MT" w:hAnsi="Gill Sans MT"/>
          <w:b/>
          <w:bCs/>
          <w:i/>
          <w:iCs/>
          <w:sz w:val="24"/>
          <w:szCs w:val="24"/>
        </w:rPr>
      </w:pPr>
      <w:r w:rsidRPr="00093F2A">
        <w:rPr>
          <w:rFonts w:ascii="Gill Sans MT" w:hAnsi="Gill Sans MT"/>
          <w:b/>
          <w:bCs/>
          <w:i/>
          <w:iCs/>
          <w:sz w:val="24"/>
          <w:szCs w:val="24"/>
        </w:rPr>
        <w:lastRenderedPageBreak/>
        <w:t xml:space="preserve">Detangling the Effects of Bank Size – </w:t>
      </w:r>
      <w:r w:rsidR="00A42FCA" w:rsidRPr="00093F2A">
        <w:rPr>
          <w:rFonts w:ascii="Gill Sans MT" w:hAnsi="Gill Sans MT"/>
          <w:b/>
          <w:bCs/>
          <w:i/>
          <w:iCs/>
          <w:sz w:val="24"/>
          <w:szCs w:val="24"/>
        </w:rPr>
        <w:t xml:space="preserve">Large </w:t>
      </w:r>
      <w:r w:rsidRPr="00093F2A">
        <w:rPr>
          <w:rFonts w:ascii="Gill Sans MT" w:hAnsi="Gill Sans MT"/>
          <w:b/>
          <w:bCs/>
          <w:i/>
          <w:iCs/>
          <w:sz w:val="24"/>
          <w:szCs w:val="24"/>
        </w:rPr>
        <w:t xml:space="preserve">vs. </w:t>
      </w:r>
      <w:r w:rsidR="00A42FCA" w:rsidRPr="00093F2A">
        <w:rPr>
          <w:rFonts w:ascii="Gill Sans MT" w:hAnsi="Gill Sans MT"/>
          <w:b/>
          <w:bCs/>
          <w:i/>
          <w:iCs/>
          <w:sz w:val="24"/>
          <w:szCs w:val="24"/>
        </w:rPr>
        <w:t xml:space="preserve">Small </w:t>
      </w:r>
      <w:r w:rsidRPr="00093F2A">
        <w:rPr>
          <w:rFonts w:ascii="Gill Sans MT" w:hAnsi="Gill Sans MT"/>
          <w:b/>
          <w:bCs/>
          <w:i/>
          <w:iCs/>
          <w:sz w:val="24"/>
          <w:szCs w:val="24"/>
        </w:rPr>
        <w:t>Acquirers</w:t>
      </w:r>
    </w:p>
    <w:p w14:paraId="1A3B3F51" w14:textId="74910588" w:rsidR="00810A26" w:rsidRPr="00093F2A" w:rsidRDefault="00E7248E" w:rsidP="00762B2E">
      <w:pPr>
        <w:spacing w:line="480" w:lineRule="auto"/>
        <w:ind w:firstLine="720"/>
        <w:rPr>
          <w:rFonts w:ascii="Gill Sans MT" w:hAnsi="Gill Sans MT"/>
          <w:sz w:val="24"/>
          <w:szCs w:val="24"/>
        </w:rPr>
      </w:pPr>
      <w:r w:rsidRPr="00093F2A">
        <w:rPr>
          <w:rFonts w:ascii="Gill Sans MT" w:hAnsi="Gill Sans MT"/>
          <w:sz w:val="24"/>
          <w:szCs w:val="24"/>
        </w:rPr>
        <w:t xml:space="preserve">A few large institutions dominate the financial landscape, and </w:t>
      </w:r>
      <w:r w:rsidR="00D04A27" w:rsidRPr="00093F2A">
        <w:rPr>
          <w:rFonts w:ascii="Gill Sans MT" w:hAnsi="Gill Sans MT"/>
          <w:sz w:val="24"/>
          <w:szCs w:val="24"/>
        </w:rPr>
        <w:t>the</w:t>
      </w:r>
      <w:r w:rsidRPr="00093F2A">
        <w:rPr>
          <w:rFonts w:ascii="Gill Sans MT" w:hAnsi="Gill Sans MT"/>
          <w:sz w:val="24"/>
          <w:szCs w:val="24"/>
        </w:rPr>
        <w:t xml:space="preserve"> </w:t>
      </w:r>
      <w:r w:rsidR="00D04A27" w:rsidRPr="00093F2A">
        <w:rPr>
          <w:rFonts w:ascii="Gill Sans MT" w:hAnsi="Gill Sans MT"/>
          <w:sz w:val="24"/>
          <w:szCs w:val="24"/>
        </w:rPr>
        <w:t>financial</w:t>
      </w:r>
      <w:r w:rsidRPr="00093F2A">
        <w:rPr>
          <w:rFonts w:ascii="Gill Sans MT" w:hAnsi="Gill Sans MT"/>
          <w:sz w:val="24"/>
          <w:szCs w:val="24"/>
        </w:rPr>
        <w:t xml:space="preserve"> sector </w:t>
      </w:r>
      <w:r w:rsidR="00D04A27" w:rsidRPr="00093F2A">
        <w:rPr>
          <w:rFonts w:ascii="Gill Sans MT" w:hAnsi="Gill Sans MT"/>
          <w:sz w:val="24"/>
          <w:szCs w:val="24"/>
        </w:rPr>
        <w:t xml:space="preserve">is the one </w:t>
      </w:r>
      <w:r w:rsidRPr="00093F2A">
        <w:rPr>
          <w:rFonts w:ascii="Gill Sans MT" w:hAnsi="Gill Sans MT"/>
          <w:sz w:val="24"/>
          <w:szCs w:val="24"/>
        </w:rPr>
        <w:t xml:space="preserve">where the phrase "too big to fail" </w:t>
      </w:r>
      <w:r w:rsidR="00CF569A" w:rsidRPr="00093F2A">
        <w:rPr>
          <w:rFonts w:ascii="Gill Sans MT" w:hAnsi="Gill Sans MT"/>
          <w:sz w:val="24"/>
          <w:szCs w:val="24"/>
        </w:rPr>
        <w:t>sprung</w:t>
      </w:r>
      <w:r w:rsidRPr="00093F2A">
        <w:rPr>
          <w:rFonts w:ascii="Gill Sans MT" w:hAnsi="Gill Sans MT"/>
          <w:sz w:val="24"/>
          <w:szCs w:val="24"/>
        </w:rPr>
        <w:t xml:space="preserve"> to emphasize how important and systemic are some of the largest FIs. Their size also yields them </w:t>
      </w:r>
      <w:r w:rsidR="00CF569A" w:rsidRPr="00093F2A">
        <w:rPr>
          <w:rFonts w:ascii="Gill Sans MT" w:hAnsi="Gill Sans MT"/>
          <w:sz w:val="24"/>
          <w:szCs w:val="24"/>
        </w:rPr>
        <w:t>considerable</w:t>
      </w:r>
      <w:r w:rsidRPr="00093F2A">
        <w:rPr>
          <w:rFonts w:ascii="Gill Sans MT" w:hAnsi="Gill Sans MT"/>
          <w:sz w:val="24"/>
          <w:szCs w:val="24"/>
        </w:rPr>
        <w:t xml:space="preserve"> influence in the M&amp;A market. For example, the </w:t>
      </w:r>
      <w:r w:rsidRPr="00093F2A">
        <w:rPr>
          <w:rFonts w:ascii="Gill Sans MT" w:hAnsi="Gill Sans MT"/>
          <w:i/>
          <w:iCs/>
          <w:sz w:val="24"/>
          <w:szCs w:val="24"/>
        </w:rPr>
        <w:t>American Banker</w:t>
      </w:r>
      <w:r w:rsidRPr="00093F2A">
        <w:rPr>
          <w:rFonts w:ascii="Gill Sans MT" w:hAnsi="Gill Sans MT"/>
          <w:sz w:val="24"/>
          <w:szCs w:val="24"/>
        </w:rPr>
        <w:t xml:space="preserve"> reports that most M&amp;As in the banking sector involve smaller sellers relative to buyers. In 2019, for </w:t>
      </w:r>
      <w:r w:rsidR="00CF569A" w:rsidRPr="00093F2A">
        <w:rPr>
          <w:rFonts w:ascii="Gill Sans MT" w:hAnsi="Gill Sans MT"/>
          <w:sz w:val="24"/>
          <w:szCs w:val="24"/>
        </w:rPr>
        <w:t>instance</w:t>
      </w:r>
      <w:r w:rsidRPr="00093F2A">
        <w:rPr>
          <w:rFonts w:ascii="Gill Sans MT" w:hAnsi="Gill Sans MT"/>
          <w:sz w:val="24"/>
          <w:szCs w:val="24"/>
        </w:rPr>
        <w:t>, 75% of the targets had less than $500 million in assets, with a majority among them under $250 million.</w:t>
      </w:r>
      <w:r w:rsidR="00CF569A" w:rsidRPr="00093F2A">
        <w:rPr>
          <w:rStyle w:val="FootnoteReference"/>
          <w:rFonts w:ascii="Gill Sans MT" w:hAnsi="Gill Sans MT"/>
          <w:sz w:val="24"/>
          <w:szCs w:val="24"/>
        </w:rPr>
        <w:footnoteReference w:id="10"/>
      </w:r>
      <w:r w:rsidRPr="00093F2A">
        <w:rPr>
          <w:rFonts w:ascii="Gill Sans MT" w:hAnsi="Gill Sans MT"/>
          <w:sz w:val="24"/>
          <w:szCs w:val="24"/>
        </w:rPr>
        <w:t xml:space="preserve"> As such, the effectiveness of PE involvement in M&amp;A deals may be subject to the acquirer size. Table</w:t>
      </w:r>
      <w:r w:rsidR="00B14874" w:rsidRPr="00093F2A">
        <w:rPr>
          <w:rFonts w:ascii="Gill Sans MT" w:hAnsi="Gill Sans MT"/>
          <w:sz w:val="24"/>
          <w:szCs w:val="24"/>
        </w:rPr>
        <w:t xml:space="preserve"> IX perform</w:t>
      </w:r>
      <w:r w:rsidR="008E510C" w:rsidRPr="00093F2A">
        <w:rPr>
          <w:rFonts w:ascii="Gill Sans MT" w:hAnsi="Gill Sans MT"/>
          <w:sz w:val="24"/>
          <w:szCs w:val="24"/>
        </w:rPr>
        <w:t>s</w:t>
      </w:r>
      <w:r w:rsidR="00B14874" w:rsidRPr="00093F2A">
        <w:rPr>
          <w:rFonts w:ascii="Gill Sans MT" w:hAnsi="Gill Sans MT"/>
          <w:sz w:val="24"/>
          <w:szCs w:val="24"/>
        </w:rPr>
        <w:t xml:space="preserve"> the regressions of CARs, BHARs, </w:t>
      </w:r>
      <w:r w:rsidR="00D04A27" w:rsidRPr="00093F2A">
        <w:rPr>
          <w:rFonts w:ascii="Gill Sans MT" w:hAnsi="Gill Sans MT"/>
          <w:sz w:val="24"/>
          <w:szCs w:val="24"/>
        </w:rPr>
        <w:t>changes in stock return volatility</w:t>
      </w:r>
      <w:r w:rsidR="00B14874" w:rsidRPr="00093F2A">
        <w:rPr>
          <w:rFonts w:ascii="Gill Sans MT" w:hAnsi="Gill Sans MT"/>
          <w:sz w:val="24"/>
          <w:szCs w:val="24"/>
        </w:rPr>
        <w:t>, and operating performance changes separately for the subsample of acquisitions by smaller acquirers and the subsample of acquisitions by larger acquirers based upon whether the lagged asset of the acquiring firm is smaller or larger than the median sample value. We report the coefficients on the primary variable of interest for brevity, PRIVATE EQUITY</w:t>
      </w:r>
      <w:r w:rsidR="00DC4ACC" w:rsidRPr="00093F2A">
        <w:rPr>
          <w:rFonts w:ascii="Gill Sans MT" w:hAnsi="Gill Sans MT"/>
          <w:sz w:val="24"/>
          <w:szCs w:val="24"/>
        </w:rPr>
        <w:t>.</w:t>
      </w:r>
    </w:p>
    <w:p w14:paraId="6DF8D805" w14:textId="5413DFD5" w:rsidR="00810A26" w:rsidRPr="00093F2A" w:rsidRDefault="00810A26" w:rsidP="008F5E90">
      <w:pPr>
        <w:spacing w:line="480" w:lineRule="auto"/>
        <w:jc w:val="center"/>
        <w:rPr>
          <w:rFonts w:ascii="Gill Sans MT" w:hAnsi="Gill Sans MT"/>
          <w:sz w:val="24"/>
          <w:szCs w:val="24"/>
        </w:rPr>
      </w:pPr>
      <w:r w:rsidRPr="00093F2A">
        <w:rPr>
          <w:rFonts w:ascii="Gill Sans MT" w:hAnsi="Gill Sans MT"/>
          <w:sz w:val="24"/>
          <w:szCs w:val="24"/>
        </w:rPr>
        <w:t xml:space="preserve">[INSERT TABLE </w:t>
      </w:r>
      <w:r w:rsidR="00AD4CEA" w:rsidRPr="00093F2A">
        <w:rPr>
          <w:rFonts w:ascii="Gill Sans MT" w:hAnsi="Gill Sans MT"/>
          <w:sz w:val="24"/>
          <w:szCs w:val="24"/>
        </w:rPr>
        <w:t>9</w:t>
      </w:r>
      <w:r w:rsidRPr="00093F2A">
        <w:rPr>
          <w:rFonts w:ascii="Gill Sans MT" w:hAnsi="Gill Sans MT"/>
          <w:sz w:val="24"/>
          <w:szCs w:val="24"/>
        </w:rPr>
        <w:t>]</w:t>
      </w:r>
    </w:p>
    <w:p w14:paraId="4A8EA969" w14:textId="447593C9" w:rsidR="00D04A27" w:rsidRPr="00093F2A" w:rsidRDefault="00D04A27" w:rsidP="00762B2E">
      <w:pPr>
        <w:spacing w:line="480" w:lineRule="auto"/>
        <w:ind w:firstLine="720"/>
        <w:rPr>
          <w:rFonts w:ascii="Gill Sans MT" w:hAnsi="Gill Sans MT"/>
          <w:sz w:val="24"/>
          <w:szCs w:val="24"/>
        </w:rPr>
      </w:pPr>
      <w:r w:rsidRPr="00093F2A">
        <w:rPr>
          <w:rFonts w:ascii="Gill Sans MT" w:hAnsi="Gill Sans MT"/>
          <w:sz w:val="24"/>
          <w:szCs w:val="24"/>
        </w:rPr>
        <w:t xml:space="preserve">The coefficient of the dummy variable representing deal with PE involvement is of the </w:t>
      </w:r>
      <w:r w:rsidR="008E510C" w:rsidRPr="00093F2A">
        <w:rPr>
          <w:rFonts w:ascii="Gill Sans MT" w:hAnsi="Gill Sans MT"/>
          <w:sz w:val="24"/>
          <w:szCs w:val="24"/>
        </w:rPr>
        <w:t xml:space="preserve">expected </w:t>
      </w:r>
      <w:r w:rsidRPr="00093F2A">
        <w:rPr>
          <w:rFonts w:ascii="Gill Sans MT" w:hAnsi="Gill Sans MT"/>
          <w:sz w:val="24"/>
          <w:szCs w:val="24"/>
        </w:rPr>
        <w:t xml:space="preserve">sign and statistically significant in large banks' subsample only. </w:t>
      </w:r>
      <w:r w:rsidR="00DC5520" w:rsidRPr="00093F2A">
        <w:rPr>
          <w:rFonts w:ascii="Gill Sans MT" w:hAnsi="Gill Sans MT"/>
          <w:sz w:val="24"/>
          <w:szCs w:val="24"/>
        </w:rPr>
        <w:t xml:space="preserve">The positive association between the various performance measures and deals involving PE and the inverse association between such deals and acquirer’s post-announcement stock return volatility is statistically significant only in the subsample of large banks. </w:t>
      </w:r>
      <w:r w:rsidR="008E510C" w:rsidRPr="00093F2A">
        <w:rPr>
          <w:rFonts w:ascii="Gill Sans MT" w:hAnsi="Gill Sans MT"/>
          <w:sz w:val="24"/>
          <w:szCs w:val="24"/>
        </w:rPr>
        <w:t>O</w:t>
      </w:r>
      <w:r w:rsidR="00DC5520" w:rsidRPr="00093F2A">
        <w:rPr>
          <w:rFonts w:ascii="Gill Sans MT" w:hAnsi="Gill Sans MT"/>
          <w:sz w:val="24"/>
          <w:szCs w:val="24"/>
        </w:rPr>
        <w:t xml:space="preserve">ur findings suggest that large FIs continue to generate the most wealth in M&amp;As in </w:t>
      </w:r>
      <w:r w:rsidR="008E510C" w:rsidRPr="00093F2A">
        <w:rPr>
          <w:rFonts w:ascii="Gill Sans MT" w:hAnsi="Gill Sans MT"/>
          <w:sz w:val="24"/>
          <w:szCs w:val="24"/>
        </w:rPr>
        <w:t xml:space="preserve">the financial </w:t>
      </w:r>
      <w:r w:rsidR="00DC5520" w:rsidRPr="00093F2A">
        <w:rPr>
          <w:rFonts w:ascii="Gill Sans MT" w:hAnsi="Gill Sans MT"/>
          <w:sz w:val="24"/>
          <w:szCs w:val="24"/>
        </w:rPr>
        <w:t>sector. We</w:t>
      </w:r>
      <w:r w:rsidRPr="00093F2A">
        <w:rPr>
          <w:rFonts w:ascii="Gill Sans MT" w:hAnsi="Gill Sans MT"/>
          <w:sz w:val="24"/>
          <w:szCs w:val="24"/>
        </w:rPr>
        <w:t xml:space="preserve"> note that managers' pay is positively linked to the size of the FI (Rosen, 2004) as well as size confers considerable power </w:t>
      </w:r>
      <w:r w:rsidRPr="00093F2A">
        <w:rPr>
          <w:rFonts w:ascii="Gill Sans MT" w:hAnsi="Gill Sans MT"/>
          <w:sz w:val="24"/>
          <w:szCs w:val="24"/>
        </w:rPr>
        <w:lastRenderedPageBreak/>
        <w:t xml:space="preserve">to the firm in dealing with PE-backed targets, in buying targets to </w:t>
      </w:r>
      <w:r w:rsidR="008E510C" w:rsidRPr="00093F2A">
        <w:rPr>
          <w:rFonts w:ascii="Gill Sans MT" w:hAnsi="Gill Sans MT"/>
          <w:sz w:val="24"/>
          <w:szCs w:val="24"/>
        </w:rPr>
        <w:t>chase</w:t>
      </w:r>
      <w:r w:rsidRPr="00093F2A">
        <w:rPr>
          <w:rFonts w:ascii="Gill Sans MT" w:hAnsi="Gill Sans MT"/>
          <w:sz w:val="24"/>
          <w:szCs w:val="24"/>
        </w:rPr>
        <w:t xml:space="preserve"> growth, and buying the competition to pursue a "quiet life' (also see Berger and Hannan, 1998).</w:t>
      </w:r>
      <w:r w:rsidR="00DC5520" w:rsidRPr="00093F2A">
        <w:rPr>
          <w:rFonts w:ascii="Gill Sans MT" w:hAnsi="Gill Sans MT"/>
        </w:rPr>
        <w:t xml:space="preserve"> </w:t>
      </w:r>
      <w:r w:rsidR="00DC5520" w:rsidRPr="00093F2A">
        <w:rPr>
          <w:rFonts w:ascii="Gill Sans MT" w:hAnsi="Gill Sans MT"/>
          <w:sz w:val="24"/>
          <w:szCs w:val="24"/>
        </w:rPr>
        <w:t>For reasons like these, large banks reap the benefits of M&amp;A deals involving PE.</w:t>
      </w:r>
    </w:p>
    <w:p w14:paraId="5A6CE5DB" w14:textId="60FFB17D" w:rsidR="00810A26" w:rsidRPr="00093F2A" w:rsidRDefault="108DE40A" w:rsidP="001C33F9">
      <w:pPr>
        <w:pStyle w:val="ListParagraph"/>
        <w:numPr>
          <w:ilvl w:val="0"/>
          <w:numId w:val="20"/>
        </w:numPr>
        <w:spacing w:line="480" w:lineRule="auto"/>
        <w:rPr>
          <w:rFonts w:ascii="Gill Sans MT" w:hAnsi="Gill Sans MT"/>
          <w:b/>
          <w:bCs/>
          <w:sz w:val="24"/>
          <w:szCs w:val="24"/>
        </w:rPr>
      </w:pPr>
      <w:r w:rsidRPr="00093F2A">
        <w:rPr>
          <w:rFonts w:ascii="Gill Sans MT" w:hAnsi="Gill Sans MT"/>
          <w:b/>
          <w:bCs/>
          <w:sz w:val="24"/>
          <w:szCs w:val="24"/>
        </w:rPr>
        <w:t>Conclusion</w:t>
      </w:r>
    </w:p>
    <w:p w14:paraId="412760EA" w14:textId="5219EE8C" w:rsidR="00870786" w:rsidRPr="00093F2A" w:rsidDel="00324A3F" w:rsidRDefault="4DEB7C1D" w:rsidP="00762B2E">
      <w:pPr>
        <w:spacing w:line="480" w:lineRule="auto"/>
        <w:ind w:firstLine="720"/>
        <w:rPr>
          <w:rFonts w:ascii="Gill Sans MT" w:hAnsi="Gill Sans MT"/>
          <w:sz w:val="24"/>
          <w:szCs w:val="24"/>
        </w:rPr>
      </w:pPr>
      <w:r w:rsidRPr="00093F2A">
        <w:rPr>
          <w:rFonts w:ascii="Gill Sans MT" w:hAnsi="Gill Sans MT"/>
          <w:sz w:val="24"/>
          <w:szCs w:val="24"/>
        </w:rPr>
        <w:t>This paper examines whether mergers and acquisitions (M&amp;As) with private equity (PE) involvement perform better than mergers without private equity involvement. The sample of acquirers is financial institutions, mostly banks and other types of lenders. A series of tests are conducted looking at the cumulative abnormal returns for the bidder or acquirer firm around the M&amp;A announcement of a deal involving PE. We also consider the post-announcement long-term stock returns, the operating performance, and the volatility in the stock price. Based on a sample of financial institutions (FIs) from 2005 to 2017, we find that acquisitions with PE involvement perform better around the announcement date (yielding positive cumulative announcement abnormal stock returns), in the long term (yielding positive long-run buy and hold abnormal returns of the acquiring FI's stock. The positive effects seem justified as the acquiring FI's operating performance improves post-acquisition. There is also a lower variability in the stock returns of acquirers post-acquisition, which points to lesser uncertainty in the firm's stock value. Our findings are robust to the self-selection bias. Nonetheless, these effects are statistically significant among large acquirers than smaller ones. Given their resources, we conclude that large banks have more opportunities to harness the benefits borne through PE involvement. Our findings support the previous literature on the benefits PE involvement have in M&amp;As in the finance industry (2012; Graf, Kaser, and Schmidt; Glanfrate and Gouigoux, 2015).</w:t>
      </w:r>
    </w:p>
    <w:p w14:paraId="76D66A9A" w14:textId="26F349B6" w:rsidR="00D04A27" w:rsidRPr="00093F2A" w:rsidRDefault="4DEB7C1D" w:rsidP="00762B2E">
      <w:pPr>
        <w:spacing w:line="480" w:lineRule="auto"/>
        <w:ind w:firstLine="720"/>
        <w:rPr>
          <w:rFonts w:ascii="Gill Sans MT" w:hAnsi="Gill Sans MT"/>
          <w:b/>
          <w:bCs/>
          <w:sz w:val="24"/>
          <w:szCs w:val="24"/>
        </w:rPr>
      </w:pPr>
      <w:r w:rsidRPr="00093F2A">
        <w:rPr>
          <w:rFonts w:ascii="Gill Sans MT" w:hAnsi="Gill Sans MT"/>
          <w:sz w:val="24"/>
          <w:szCs w:val="24"/>
        </w:rPr>
        <w:lastRenderedPageBreak/>
        <w:t>Our study has some data limitations. First, we cannot observe the types of PE firms and consequently, cannot differentiate BHC companies that can hold a majority position in banks. Second, we cannot observe magnitude of the holdings by PE firms and this could inform us on how the types and level of PE involvement can affect bank M&amp;A. Last but not the least, we cannot observe how a consortium affects value therefore we do not examine its effects</w:t>
      </w:r>
      <w:r w:rsidR="00762B2E">
        <w:rPr>
          <w:rFonts w:ascii="Gill Sans MT" w:hAnsi="Gill Sans MT"/>
          <w:sz w:val="24"/>
          <w:szCs w:val="24"/>
        </w:rPr>
        <w:t xml:space="preserve">. </w:t>
      </w:r>
      <w:r w:rsidRPr="00093F2A">
        <w:rPr>
          <w:rFonts w:ascii="Gill Sans MT" w:hAnsi="Gill Sans MT"/>
          <w:sz w:val="24"/>
          <w:szCs w:val="24"/>
        </w:rPr>
        <w:t>While these do not detract from our main results, they present further avenues for future research.</w:t>
      </w:r>
      <w:r w:rsidR="00D04A27" w:rsidRPr="00093F2A">
        <w:rPr>
          <w:rFonts w:ascii="Gill Sans MT" w:hAnsi="Gill Sans MT"/>
          <w:b/>
          <w:bCs/>
          <w:sz w:val="24"/>
          <w:szCs w:val="24"/>
        </w:rPr>
        <w:br w:type="page"/>
      </w:r>
    </w:p>
    <w:p w14:paraId="59C437AC" w14:textId="1E13C0C1" w:rsidR="00870786" w:rsidRPr="00093F2A" w:rsidRDefault="00870786" w:rsidP="00870786">
      <w:pPr>
        <w:rPr>
          <w:rFonts w:ascii="Gill Sans MT" w:hAnsi="Gill Sans MT"/>
          <w:bCs/>
          <w:sz w:val="24"/>
          <w:szCs w:val="24"/>
        </w:rPr>
      </w:pPr>
      <w:r w:rsidRPr="00093F2A">
        <w:rPr>
          <w:rFonts w:ascii="Gill Sans MT" w:hAnsi="Gill Sans MT"/>
          <w:b/>
          <w:bCs/>
          <w:sz w:val="24"/>
          <w:szCs w:val="24"/>
        </w:rPr>
        <w:lastRenderedPageBreak/>
        <w:t>References</w:t>
      </w:r>
    </w:p>
    <w:p w14:paraId="112A0FBF"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Acharya, V. V., Franks, J., &amp; Servaes, H. (2007). Private equity: Boom and bust?. </w:t>
      </w:r>
      <w:r w:rsidRPr="00093F2A">
        <w:rPr>
          <w:rFonts w:ascii="Gill Sans MT" w:hAnsi="Gill Sans MT"/>
          <w:bCs/>
          <w:i/>
          <w:iCs/>
          <w:sz w:val="24"/>
          <w:szCs w:val="24"/>
        </w:rPr>
        <w:t>Journal of Applied Corporate Finance</w:t>
      </w:r>
      <w:r w:rsidRPr="00093F2A">
        <w:rPr>
          <w:rFonts w:ascii="Gill Sans MT" w:hAnsi="Gill Sans MT"/>
          <w:bCs/>
          <w:sz w:val="24"/>
          <w:szCs w:val="24"/>
        </w:rPr>
        <w:t>, </w:t>
      </w:r>
      <w:r w:rsidRPr="00093F2A">
        <w:rPr>
          <w:rFonts w:ascii="Gill Sans MT" w:hAnsi="Gill Sans MT"/>
          <w:bCs/>
          <w:i/>
          <w:iCs/>
          <w:sz w:val="24"/>
          <w:szCs w:val="24"/>
        </w:rPr>
        <w:t>19</w:t>
      </w:r>
      <w:r w:rsidRPr="00093F2A">
        <w:rPr>
          <w:rFonts w:ascii="Gill Sans MT" w:hAnsi="Gill Sans MT"/>
          <w:bCs/>
          <w:sz w:val="24"/>
          <w:szCs w:val="24"/>
        </w:rPr>
        <w:t>(4), 44-53.</w:t>
      </w:r>
    </w:p>
    <w:p w14:paraId="15AADFB7"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Acharya, V. V., Gottschalg, O. F., Hahn, M., &amp; Kehoe, C. (2013). Corporate governance and value creation: Evidence from private equity. </w:t>
      </w:r>
      <w:r w:rsidRPr="00093F2A">
        <w:rPr>
          <w:rFonts w:ascii="Gill Sans MT" w:hAnsi="Gill Sans MT"/>
          <w:bCs/>
          <w:i/>
          <w:iCs/>
          <w:sz w:val="24"/>
          <w:szCs w:val="24"/>
        </w:rPr>
        <w:t>The Review of Financial Studies</w:t>
      </w:r>
      <w:r w:rsidRPr="00093F2A">
        <w:rPr>
          <w:rFonts w:ascii="Gill Sans MT" w:hAnsi="Gill Sans MT"/>
          <w:bCs/>
          <w:sz w:val="24"/>
          <w:szCs w:val="24"/>
        </w:rPr>
        <w:t>, </w:t>
      </w:r>
      <w:r w:rsidRPr="00093F2A">
        <w:rPr>
          <w:rFonts w:ascii="Gill Sans MT" w:hAnsi="Gill Sans MT"/>
          <w:bCs/>
          <w:i/>
          <w:iCs/>
          <w:sz w:val="24"/>
          <w:szCs w:val="24"/>
        </w:rPr>
        <w:t>26</w:t>
      </w:r>
      <w:r w:rsidRPr="00093F2A">
        <w:rPr>
          <w:rFonts w:ascii="Gill Sans MT" w:hAnsi="Gill Sans MT"/>
          <w:bCs/>
          <w:sz w:val="24"/>
          <w:szCs w:val="24"/>
        </w:rPr>
        <w:t>(2), 368-402.</w:t>
      </w:r>
    </w:p>
    <w:p w14:paraId="57553457" w14:textId="482661DB" w:rsidR="009F3789" w:rsidRPr="00093F2A" w:rsidRDefault="009F3789" w:rsidP="0047363D">
      <w:pPr>
        <w:rPr>
          <w:rFonts w:ascii="Gill Sans MT" w:hAnsi="Gill Sans MT"/>
          <w:bCs/>
          <w:sz w:val="24"/>
          <w:szCs w:val="24"/>
        </w:rPr>
      </w:pPr>
      <w:r w:rsidRPr="00093F2A">
        <w:rPr>
          <w:rFonts w:ascii="Gill Sans MT" w:hAnsi="Gill Sans MT"/>
          <w:bCs/>
          <w:sz w:val="24"/>
          <w:szCs w:val="24"/>
        </w:rPr>
        <w:t>Agrawal, A., Jaffe, J. F., &amp; Mandelker, G. N. (1992). The post</w:t>
      </w:r>
      <w:r w:rsidRPr="00093F2A">
        <w:rPr>
          <w:rFonts w:ascii="Cambria Math" w:hAnsi="Cambria Math" w:cs="Cambria Math"/>
          <w:bCs/>
          <w:sz w:val="24"/>
          <w:szCs w:val="24"/>
        </w:rPr>
        <w:t>‐</w:t>
      </w:r>
      <w:r w:rsidRPr="00093F2A">
        <w:rPr>
          <w:rFonts w:ascii="Gill Sans MT" w:hAnsi="Gill Sans MT"/>
          <w:bCs/>
          <w:sz w:val="24"/>
          <w:szCs w:val="24"/>
        </w:rPr>
        <w:t>merger performance of acquiring firms: a re</w:t>
      </w:r>
      <w:r w:rsidRPr="00093F2A">
        <w:rPr>
          <w:rFonts w:ascii="Cambria Math" w:hAnsi="Cambria Math" w:cs="Cambria Math"/>
          <w:bCs/>
          <w:sz w:val="24"/>
          <w:szCs w:val="24"/>
        </w:rPr>
        <w:t>‐</w:t>
      </w:r>
      <w:r w:rsidRPr="00093F2A">
        <w:rPr>
          <w:rFonts w:ascii="Gill Sans MT" w:hAnsi="Gill Sans MT"/>
          <w:bCs/>
          <w:sz w:val="24"/>
          <w:szCs w:val="24"/>
        </w:rPr>
        <w:t xml:space="preserve">examination of an anomaly. </w:t>
      </w:r>
      <w:r w:rsidRPr="00093F2A">
        <w:rPr>
          <w:rFonts w:ascii="Gill Sans MT" w:hAnsi="Gill Sans MT"/>
          <w:bCs/>
          <w:i/>
          <w:iCs/>
          <w:sz w:val="24"/>
          <w:szCs w:val="24"/>
        </w:rPr>
        <w:t xml:space="preserve">The Journal of </w:t>
      </w:r>
      <w:r w:rsidR="00020349" w:rsidRPr="00093F2A">
        <w:rPr>
          <w:rFonts w:ascii="Gill Sans MT" w:hAnsi="Gill Sans MT"/>
          <w:bCs/>
          <w:i/>
          <w:iCs/>
          <w:sz w:val="24"/>
          <w:szCs w:val="24"/>
        </w:rPr>
        <w:t>F</w:t>
      </w:r>
      <w:r w:rsidRPr="00093F2A">
        <w:rPr>
          <w:rFonts w:ascii="Gill Sans MT" w:hAnsi="Gill Sans MT"/>
          <w:bCs/>
          <w:i/>
          <w:iCs/>
          <w:sz w:val="24"/>
          <w:szCs w:val="24"/>
        </w:rPr>
        <w:t>inance</w:t>
      </w:r>
      <w:r w:rsidRPr="00093F2A">
        <w:rPr>
          <w:rFonts w:ascii="Gill Sans MT" w:hAnsi="Gill Sans MT"/>
          <w:bCs/>
          <w:sz w:val="24"/>
          <w:szCs w:val="24"/>
        </w:rPr>
        <w:t>, 47(4), 1605-1621.</w:t>
      </w:r>
    </w:p>
    <w:p w14:paraId="7AC5C4AB"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Axelson, U., Strömberg, P., &amp; Weisbach, M. S. (2009). Why are buyouts levered? The financial structure of private equity funds. </w:t>
      </w:r>
      <w:r w:rsidRPr="00093F2A">
        <w:rPr>
          <w:rFonts w:ascii="Gill Sans MT" w:hAnsi="Gill Sans MT"/>
          <w:bCs/>
          <w:i/>
          <w:iCs/>
          <w:sz w:val="24"/>
          <w:szCs w:val="24"/>
        </w:rPr>
        <w:t>The Journal of Finance</w:t>
      </w:r>
      <w:r w:rsidRPr="00093F2A">
        <w:rPr>
          <w:rFonts w:ascii="Gill Sans MT" w:hAnsi="Gill Sans MT"/>
          <w:bCs/>
          <w:sz w:val="24"/>
          <w:szCs w:val="24"/>
        </w:rPr>
        <w:t>, </w:t>
      </w:r>
      <w:r w:rsidRPr="00093F2A">
        <w:rPr>
          <w:rFonts w:ascii="Gill Sans MT" w:hAnsi="Gill Sans MT"/>
          <w:bCs/>
          <w:i/>
          <w:iCs/>
          <w:sz w:val="24"/>
          <w:szCs w:val="24"/>
        </w:rPr>
        <w:t>64</w:t>
      </w:r>
      <w:r w:rsidRPr="00093F2A">
        <w:rPr>
          <w:rFonts w:ascii="Gill Sans MT" w:hAnsi="Gill Sans MT"/>
          <w:bCs/>
          <w:sz w:val="24"/>
          <w:szCs w:val="24"/>
        </w:rPr>
        <w:t>(4), 1549-1582.</w:t>
      </w:r>
    </w:p>
    <w:p w14:paraId="1016D6E0"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lang w:val="es-ES"/>
        </w:rPr>
        <w:t xml:space="preserve">Balasubramaniam, S., Gomes, A. R., &amp; Lee, S. (2018). </w:t>
      </w:r>
      <w:r w:rsidRPr="00093F2A">
        <w:rPr>
          <w:rFonts w:ascii="Gill Sans MT" w:hAnsi="Gill Sans MT"/>
          <w:bCs/>
          <w:sz w:val="24"/>
          <w:szCs w:val="24"/>
        </w:rPr>
        <w:t>Mergers and Acquisitions with Private Equity Intermediation. </w:t>
      </w:r>
      <w:r w:rsidRPr="00093F2A">
        <w:rPr>
          <w:rFonts w:ascii="Gill Sans MT" w:hAnsi="Gill Sans MT"/>
          <w:bCs/>
          <w:i/>
          <w:iCs/>
          <w:sz w:val="24"/>
          <w:szCs w:val="24"/>
        </w:rPr>
        <w:t>Available at SSRN 3302977</w:t>
      </w:r>
      <w:r w:rsidRPr="00093F2A">
        <w:rPr>
          <w:rFonts w:ascii="Gill Sans MT" w:hAnsi="Gill Sans MT"/>
          <w:bCs/>
          <w:sz w:val="24"/>
          <w:szCs w:val="24"/>
        </w:rPr>
        <w:t>.</w:t>
      </w:r>
    </w:p>
    <w:p w14:paraId="573E0180" w14:textId="77777777" w:rsidR="009F3789" w:rsidRPr="00093F2A" w:rsidRDefault="009F3789" w:rsidP="00D113E4">
      <w:pPr>
        <w:spacing w:line="257" w:lineRule="auto"/>
        <w:rPr>
          <w:rFonts w:ascii="Gill Sans MT" w:hAnsi="Gill Sans MT"/>
          <w:bCs/>
          <w:sz w:val="24"/>
          <w:szCs w:val="24"/>
        </w:rPr>
      </w:pPr>
      <w:r w:rsidRPr="00093F2A">
        <w:rPr>
          <w:rFonts w:ascii="Gill Sans MT" w:eastAsia="Arial" w:hAnsi="Gill Sans MT" w:cs="Arial"/>
          <w:sz w:val="24"/>
          <w:szCs w:val="24"/>
        </w:rPr>
        <w:t xml:space="preserve">Bargeron, L. L., Schlingemann, F. P., Stulz, R. M., &amp; Zutter, C. J. (2008). Why do private acquirers pay so little compared to public acquirers?. </w:t>
      </w:r>
      <w:r w:rsidRPr="00093F2A">
        <w:rPr>
          <w:rFonts w:ascii="Gill Sans MT" w:eastAsia="Calibri" w:hAnsi="Gill Sans MT" w:cs="Calibri"/>
          <w:i/>
          <w:iCs/>
          <w:sz w:val="24"/>
          <w:szCs w:val="24"/>
        </w:rPr>
        <w:t>Journal of Financial Economics</w:t>
      </w:r>
      <w:r w:rsidRPr="00093F2A">
        <w:rPr>
          <w:rFonts w:ascii="Gill Sans MT" w:eastAsia="Calibri" w:hAnsi="Gill Sans MT" w:cs="Calibri"/>
          <w:sz w:val="24"/>
          <w:szCs w:val="24"/>
        </w:rPr>
        <w:t xml:space="preserve">, </w:t>
      </w:r>
      <w:r w:rsidRPr="00093F2A">
        <w:rPr>
          <w:rFonts w:ascii="Gill Sans MT" w:eastAsia="Calibri" w:hAnsi="Gill Sans MT" w:cs="Calibri"/>
          <w:i/>
          <w:iCs/>
          <w:sz w:val="24"/>
          <w:szCs w:val="24"/>
        </w:rPr>
        <w:t>89</w:t>
      </w:r>
      <w:r w:rsidRPr="00093F2A">
        <w:rPr>
          <w:rFonts w:ascii="Gill Sans MT" w:eastAsia="Calibri" w:hAnsi="Gill Sans MT" w:cs="Calibri"/>
          <w:sz w:val="24"/>
          <w:szCs w:val="24"/>
        </w:rPr>
        <w:t>(3), 375-390.</w:t>
      </w:r>
    </w:p>
    <w:p w14:paraId="00CC7933" w14:textId="77777777" w:rsidR="009F3789" w:rsidRPr="00093F2A" w:rsidRDefault="009F3789" w:rsidP="00DC5520">
      <w:pPr>
        <w:rPr>
          <w:rFonts w:ascii="Gill Sans MT" w:hAnsi="Gill Sans MT"/>
          <w:bCs/>
          <w:sz w:val="24"/>
          <w:szCs w:val="24"/>
        </w:rPr>
      </w:pPr>
      <w:r w:rsidRPr="00093F2A">
        <w:rPr>
          <w:rFonts w:ascii="Gill Sans MT" w:hAnsi="Gill Sans MT"/>
          <w:bCs/>
          <w:sz w:val="24"/>
          <w:szCs w:val="24"/>
        </w:rPr>
        <w:t>Berger, A. N., &amp; Hannan, T. H. (1998). The efficiency cost of market power in the banking industry: A test of the "quiet life" and related hypotheses. Review of economics and statistics, 80(3), 454-465.</w:t>
      </w:r>
    </w:p>
    <w:p w14:paraId="3F524A02"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Billett, M. T., Jiang, Z., &amp; Lie, E. (2010). The effect of change-in-control covenants on takeovers: Evidence from leveraged buyouts. Journal of Corporate Finance, 16(1), 1-15.</w:t>
      </w:r>
    </w:p>
    <w:p w14:paraId="52EDF635"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Boone, A. L., &amp; Mulherin, J. H. (2011). Do private equity consortiums facilitate collusion in takeover bidding?. Journal of Corporate Finance, 17(5), 1475-1495.</w:t>
      </w:r>
    </w:p>
    <w:p w14:paraId="0E0B3F80" w14:textId="0384E9AD" w:rsidR="009F3789" w:rsidRPr="00093F2A" w:rsidRDefault="009F3789" w:rsidP="00DC5520">
      <w:pPr>
        <w:rPr>
          <w:rFonts w:ascii="Gill Sans MT" w:hAnsi="Gill Sans MT"/>
          <w:bCs/>
          <w:sz w:val="24"/>
          <w:szCs w:val="24"/>
        </w:rPr>
      </w:pPr>
      <w:r w:rsidRPr="00093F2A">
        <w:rPr>
          <w:rFonts w:ascii="Gill Sans MT" w:hAnsi="Gill Sans MT"/>
          <w:bCs/>
          <w:sz w:val="24"/>
          <w:szCs w:val="24"/>
          <w:lang w:val="es-ES"/>
        </w:rPr>
        <w:t xml:space="preserve">Bradley, M., Desai, A., &amp; Kim, E. H. (1988). </w:t>
      </w:r>
      <w:r w:rsidRPr="00093F2A">
        <w:rPr>
          <w:rFonts w:ascii="Gill Sans MT" w:hAnsi="Gill Sans MT"/>
          <w:bCs/>
          <w:sz w:val="24"/>
          <w:szCs w:val="24"/>
        </w:rPr>
        <w:t xml:space="preserve">Synergistic gains from corporate acquisitions and their division between the stockholders of target and acquiring firms. Journal of </w:t>
      </w:r>
      <w:r w:rsidR="00020349" w:rsidRPr="00093F2A">
        <w:rPr>
          <w:rFonts w:ascii="Gill Sans MT" w:hAnsi="Gill Sans MT"/>
          <w:bCs/>
          <w:sz w:val="24"/>
          <w:szCs w:val="24"/>
        </w:rPr>
        <w:t>F</w:t>
      </w:r>
      <w:r w:rsidRPr="00093F2A">
        <w:rPr>
          <w:rFonts w:ascii="Gill Sans MT" w:hAnsi="Gill Sans MT"/>
          <w:bCs/>
          <w:sz w:val="24"/>
          <w:szCs w:val="24"/>
        </w:rPr>
        <w:t>inancial Economics, 21(1), 3-40.</w:t>
      </w:r>
    </w:p>
    <w:p w14:paraId="608FC8B8"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Citron, D., &amp; Wright, M. (2008). Bankruptcy costs, leverage and multiple secured creditors: The case of management buy</w:t>
      </w:r>
      <w:r w:rsidRPr="00093F2A">
        <w:rPr>
          <w:rFonts w:ascii="Cambria Math" w:hAnsi="Cambria Math" w:cs="Cambria Math"/>
          <w:bCs/>
          <w:sz w:val="24"/>
          <w:szCs w:val="24"/>
        </w:rPr>
        <w:t>‐</w:t>
      </w:r>
      <w:r w:rsidRPr="00093F2A">
        <w:rPr>
          <w:rFonts w:ascii="Gill Sans MT" w:hAnsi="Gill Sans MT"/>
          <w:bCs/>
          <w:sz w:val="24"/>
          <w:szCs w:val="24"/>
        </w:rPr>
        <w:t>outs.</w:t>
      </w:r>
      <w:r w:rsidRPr="00093F2A">
        <w:rPr>
          <w:rFonts w:ascii="Gill Sans MT" w:hAnsi="Gill Sans MT" w:cs="Garamond"/>
          <w:bCs/>
          <w:sz w:val="24"/>
          <w:szCs w:val="24"/>
        </w:rPr>
        <w:t> </w:t>
      </w:r>
      <w:r w:rsidRPr="00093F2A">
        <w:rPr>
          <w:rFonts w:ascii="Gill Sans MT" w:hAnsi="Gill Sans MT"/>
          <w:bCs/>
          <w:i/>
          <w:iCs/>
          <w:sz w:val="24"/>
          <w:szCs w:val="24"/>
        </w:rPr>
        <w:t>Accounting and Business Research</w:t>
      </w:r>
      <w:r w:rsidRPr="00093F2A">
        <w:rPr>
          <w:rFonts w:ascii="Gill Sans MT" w:hAnsi="Gill Sans MT"/>
          <w:bCs/>
          <w:sz w:val="24"/>
          <w:szCs w:val="24"/>
        </w:rPr>
        <w:t>, </w:t>
      </w:r>
      <w:r w:rsidRPr="00093F2A">
        <w:rPr>
          <w:rFonts w:ascii="Gill Sans MT" w:hAnsi="Gill Sans MT"/>
          <w:bCs/>
          <w:i/>
          <w:iCs/>
          <w:sz w:val="24"/>
          <w:szCs w:val="24"/>
        </w:rPr>
        <w:t>38</w:t>
      </w:r>
      <w:r w:rsidRPr="00093F2A">
        <w:rPr>
          <w:rFonts w:ascii="Gill Sans MT" w:hAnsi="Gill Sans MT"/>
          <w:bCs/>
          <w:sz w:val="24"/>
          <w:szCs w:val="24"/>
        </w:rPr>
        <w:t>(1), 71-89.</w:t>
      </w:r>
    </w:p>
    <w:p w14:paraId="07143608"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 xml:space="preserve">Cook, D. O., Kieschnick, R., &amp; Van Ness, R. A. (2006). On the marketing of IPOs. </w:t>
      </w:r>
      <w:r w:rsidRPr="00093F2A">
        <w:rPr>
          <w:rFonts w:ascii="Gill Sans MT" w:hAnsi="Gill Sans MT"/>
          <w:bCs/>
          <w:i/>
          <w:iCs/>
          <w:sz w:val="24"/>
          <w:szCs w:val="24"/>
        </w:rPr>
        <w:t>Journal of Financial Economics</w:t>
      </w:r>
      <w:r w:rsidRPr="00093F2A">
        <w:rPr>
          <w:rFonts w:ascii="Gill Sans MT" w:hAnsi="Gill Sans MT"/>
          <w:bCs/>
          <w:sz w:val="24"/>
          <w:szCs w:val="24"/>
        </w:rPr>
        <w:t>, 82(1), 35-61.</w:t>
      </w:r>
    </w:p>
    <w:p w14:paraId="2D6975B3"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Cumming, D., &amp; Walz, U. (2010). Private equity returns and disclosure around the world. </w:t>
      </w:r>
      <w:r w:rsidRPr="00093F2A">
        <w:rPr>
          <w:rFonts w:ascii="Gill Sans MT" w:hAnsi="Gill Sans MT"/>
          <w:bCs/>
          <w:i/>
          <w:iCs/>
          <w:sz w:val="24"/>
          <w:szCs w:val="24"/>
        </w:rPr>
        <w:t>Journal of International Business Studies</w:t>
      </w:r>
      <w:r w:rsidRPr="00093F2A">
        <w:rPr>
          <w:rFonts w:ascii="Gill Sans MT" w:hAnsi="Gill Sans MT"/>
          <w:bCs/>
          <w:sz w:val="24"/>
          <w:szCs w:val="24"/>
        </w:rPr>
        <w:t>, </w:t>
      </w:r>
      <w:r w:rsidRPr="00093F2A">
        <w:rPr>
          <w:rFonts w:ascii="Gill Sans MT" w:hAnsi="Gill Sans MT"/>
          <w:bCs/>
          <w:i/>
          <w:iCs/>
          <w:sz w:val="24"/>
          <w:szCs w:val="24"/>
        </w:rPr>
        <w:t>41</w:t>
      </w:r>
      <w:r w:rsidRPr="00093F2A">
        <w:rPr>
          <w:rFonts w:ascii="Gill Sans MT" w:hAnsi="Gill Sans MT"/>
          <w:bCs/>
          <w:sz w:val="24"/>
          <w:szCs w:val="24"/>
        </w:rPr>
        <w:t>(4), 727-754.</w:t>
      </w:r>
    </w:p>
    <w:p w14:paraId="41D50E9F" w14:textId="1D054088" w:rsidR="009F3789" w:rsidRPr="00093F2A" w:rsidRDefault="009F3789" w:rsidP="006532EC">
      <w:pPr>
        <w:rPr>
          <w:rFonts w:ascii="Gill Sans MT" w:hAnsi="Gill Sans MT"/>
          <w:bCs/>
          <w:sz w:val="24"/>
          <w:szCs w:val="24"/>
        </w:rPr>
      </w:pPr>
      <w:r w:rsidRPr="00093F2A">
        <w:rPr>
          <w:rFonts w:ascii="Gill Sans MT" w:hAnsi="Gill Sans MT"/>
          <w:bCs/>
          <w:sz w:val="24"/>
          <w:szCs w:val="24"/>
        </w:rPr>
        <w:t>Desbrières, P., &amp; Schatt, A. (2002). The impacts of LBOs on the performance of acquired firms: the French case. </w:t>
      </w:r>
      <w:r w:rsidRPr="00093F2A">
        <w:rPr>
          <w:rFonts w:ascii="Gill Sans MT" w:hAnsi="Gill Sans MT"/>
          <w:bCs/>
          <w:i/>
          <w:iCs/>
          <w:sz w:val="24"/>
          <w:szCs w:val="24"/>
        </w:rPr>
        <w:t>Journal of Business Finance &amp; Accounting</w:t>
      </w:r>
      <w:r w:rsidRPr="00093F2A">
        <w:rPr>
          <w:rFonts w:ascii="Gill Sans MT" w:hAnsi="Gill Sans MT"/>
          <w:bCs/>
          <w:sz w:val="24"/>
          <w:szCs w:val="24"/>
        </w:rPr>
        <w:t>, </w:t>
      </w:r>
      <w:r w:rsidRPr="00093F2A">
        <w:rPr>
          <w:rFonts w:ascii="Gill Sans MT" w:hAnsi="Gill Sans MT"/>
          <w:bCs/>
          <w:i/>
          <w:iCs/>
          <w:sz w:val="24"/>
          <w:szCs w:val="24"/>
        </w:rPr>
        <w:t>29</w:t>
      </w:r>
      <w:r w:rsidRPr="00093F2A">
        <w:rPr>
          <w:rFonts w:ascii="Gill Sans MT" w:hAnsi="Gill Sans MT"/>
          <w:bCs/>
          <w:sz w:val="24"/>
          <w:szCs w:val="24"/>
        </w:rPr>
        <w:t>(5</w:t>
      </w:r>
      <w:r w:rsidRPr="00093F2A">
        <w:rPr>
          <w:rFonts w:ascii="Cambria Math" w:hAnsi="Cambria Math" w:cs="Cambria Math"/>
          <w:bCs/>
          <w:sz w:val="24"/>
          <w:szCs w:val="24"/>
        </w:rPr>
        <w:t>‐</w:t>
      </w:r>
      <w:r w:rsidRPr="00093F2A">
        <w:rPr>
          <w:rFonts w:ascii="Gill Sans MT" w:hAnsi="Gill Sans MT"/>
          <w:bCs/>
          <w:sz w:val="24"/>
          <w:szCs w:val="24"/>
        </w:rPr>
        <w:t>6), 695-729.</w:t>
      </w:r>
    </w:p>
    <w:p w14:paraId="259EC540"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Fang, L., Ivashina, V., &amp; Lerner, J. (2013). Combining banking with private equity investing. </w:t>
      </w:r>
      <w:r w:rsidRPr="00093F2A">
        <w:rPr>
          <w:rFonts w:ascii="Gill Sans MT" w:hAnsi="Gill Sans MT"/>
          <w:bCs/>
          <w:i/>
          <w:iCs/>
          <w:sz w:val="24"/>
          <w:szCs w:val="24"/>
        </w:rPr>
        <w:t>The Review of Financial Studies</w:t>
      </w:r>
      <w:r w:rsidRPr="00093F2A">
        <w:rPr>
          <w:rFonts w:ascii="Gill Sans MT" w:hAnsi="Gill Sans MT"/>
          <w:bCs/>
          <w:sz w:val="24"/>
          <w:szCs w:val="24"/>
        </w:rPr>
        <w:t>, </w:t>
      </w:r>
      <w:r w:rsidRPr="00093F2A">
        <w:rPr>
          <w:rFonts w:ascii="Gill Sans MT" w:hAnsi="Gill Sans MT"/>
          <w:bCs/>
          <w:i/>
          <w:iCs/>
          <w:sz w:val="24"/>
          <w:szCs w:val="24"/>
        </w:rPr>
        <w:t>26</w:t>
      </w:r>
      <w:r w:rsidRPr="00093F2A">
        <w:rPr>
          <w:rFonts w:ascii="Gill Sans MT" w:hAnsi="Gill Sans MT"/>
          <w:bCs/>
          <w:sz w:val="24"/>
          <w:szCs w:val="24"/>
        </w:rPr>
        <w:t>(9), 2139-2173.</w:t>
      </w:r>
    </w:p>
    <w:p w14:paraId="5701F9C5"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lastRenderedPageBreak/>
        <w:t xml:space="preserve">Gao, X., &amp; Ritter, J. R. (2010). The marketing of seasoned equity offerings. </w:t>
      </w:r>
      <w:r w:rsidRPr="00093F2A">
        <w:rPr>
          <w:rFonts w:ascii="Gill Sans MT" w:hAnsi="Gill Sans MT"/>
          <w:bCs/>
          <w:i/>
          <w:iCs/>
          <w:sz w:val="24"/>
          <w:szCs w:val="24"/>
        </w:rPr>
        <w:t>Journal of Financial Economics</w:t>
      </w:r>
      <w:r w:rsidRPr="00093F2A">
        <w:rPr>
          <w:rFonts w:ascii="Gill Sans MT" w:hAnsi="Gill Sans MT"/>
          <w:bCs/>
          <w:sz w:val="24"/>
          <w:szCs w:val="24"/>
        </w:rPr>
        <w:t>, 97(1), 33-52.</w:t>
      </w:r>
    </w:p>
    <w:p w14:paraId="01D7EC63"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Gaughan, P. A. (2007). How private equity and hedge funds are driving M&amp;A. </w:t>
      </w:r>
      <w:r w:rsidRPr="00093F2A">
        <w:rPr>
          <w:rFonts w:ascii="Gill Sans MT" w:hAnsi="Gill Sans MT"/>
          <w:bCs/>
          <w:i/>
          <w:iCs/>
          <w:sz w:val="24"/>
          <w:szCs w:val="24"/>
        </w:rPr>
        <w:t>Journal of Corporate Accounting &amp; Finance</w:t>
      </w:r>
      <w:r w:rsidRPr="00093F2A">
        <w:rPr>
          <w:rFonts w:ascii="Gill Sans MT" w:hAnsi="Gill Sans MT"/>
          <w:bCs/>
          <w:sz w:val="24"/>
          <w:szCs w:val="24"/>
        </w:rPr>
        <w:t>, </w:t>
      </w:r>
      <w:r w:rsidRPr="00093F2A">
        <w:rPr>
          <w:rFonts w:ascii="Gill Sans MT" w:hAnsi="Gill Sans MT"/>
          <w:bCs/>
          <w:i/>
          <w:iCs/>
          <w:sz w:val="24"/>
          <w:szCs w:val="24"/>
        </w:rPr>
        <w:t>18</w:t>
      </w:r>
      <w:r w:rsidRPr="00093F2A">
        <w:rPr>
          <w:rFonts w:ascii="Gill Sans MT" w:hAnsi="Gill Sans MT"/>
          <w:bCs/>
          <w:sz w:val="24"/>
          <w:szCs w:val="24"/>
        </w:rPr>
        <w:t>(4), 55-63.</w:t>
      </w:r>
    </w:p>
    <w:p w14:paraId="53944211"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Glanfrate, G., &amp; Gouigoux, F. (2015). Private Equity Investments in Banks. The Journal of Private Equity 18(4), 31-39.</w:t>
      </w:r>
    </w:p>
    <w:p w14:paraId="79B7778B"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Gompers, P., Kaplan, S. N., &amp; Mukharlyamov, V. (2016). What do private equity firms say they do?. </w:t>
      </w:r>
      <w:r w:rsidRPr="00093F2A">
        <w:rPr>
          <w:rFonts w:ascii="Gill Sans MT" w:hAnsi="Gill Sans MT"/>
          <w:bCs/>
          <w:i/>
          <w:iCs/>
          <w:sz w:val="24"/>
          <w:szCs w:val="24"/>
        </w:rPr>
        <w:t>Journal of Financial Economics</w:t>
      </w:r>
      <w:r w:rsidRPr="00093F2A">
        <w:rPr>
          <w:rFonts w:ascii="Gill Sans MT" w:hAnsi="Gill Sans MT"/>
          <w:bCs/>
          <w:sz w:val="24"/>
          <w:szCs w:val="24"/>
        </w:rPr>
        <w:t>, </w:t>
      </w:r>
      <w:r w:rsidRPr="00093F2A">
        <w:rPr>
          <w:rFonts w:ascii="Gill Sans MT" w:hAnsi="Gill Sans MT"/>
          <w:bCs/>
          <w:i/>
          <w:iCs/>
          <w:sz w:val="24"/>
          <w:szCs w:val="24"/>
        </w:rPr>
        <w:t>121</w:t>
      </w:r>
      <w:r w:rsidRPr="00093F2A">
        <w:rPr>
          <w:rFonts w:ascii="Gill Sans MT" w:hAnsi="Gill Sans MT"/>
          <w:bCs/>
          <w:sz w:val="24"/>
          <w:szCs w:val="24"/>
        </w:rPr>
        <w:t>(3), 449-476.</w:t>
      </w:r>
    </w:p>
    <w:p w14:paraId="0E71F986"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Graf, C., Kaserer, C., &amp; Schmidt, D. (2012). Private equity: Value creation and performance. The Oxford Handbook of Private Equity, 347-385.</w:t>
      </w:r>
    </w:p>
    <w:p w14:paraId="457E3E0E" w14:textId="77777777" w:rsidR="009F3789" w:rsidRPr="00093F2A" w:rsidRDefault="009F3789" w:rsidP="006532EC">
      <w:pPr>
        <w:spacing w:line="257" w:lineRule="auto"/>
        <w:rPr>
          <w:rFonts w:ascii="Gill Sans MT" w:eastAsia="Arial" w:hAnsi="Gill Sans MT" w:cs="Arial"/>
          <w:sz w:val="24"/>
          <w:szCs w:val="24"/>
        </w:rPr>
      </w:pPr>
      <w:r w:rsidRPr="00093F2A">
        <w:rPr>
          <w:rFonts w:ascii="Gill Sans MT" w:eastAsia="Arial" w:hAnsi="Gill Sans MT" w:cs="Arial"/>
          <w:sz w:val="24"/>
          <w:szCs w:val="24"/>
        </w:rPr>
        <w:t>Guo, S., Hotchkiss, E. S., &amp; Song, W. (2011). Do buyouts (still) create value?. </w:t>
      </w:r>
      <w:r w:rsidRPr="00093F2A">
        <w:rPr>
          <w:rFonts w:ascii="Gill Sans MT" w:eastAsia="Arial" w:hAnsi="Gill Sans MT" w:cs="Arial"/>
          <w:i/>
          <w:iCs/>
          <w:sz w:val="24"/>
          <w:szCs w:val="24"/>
        </w:rPr>
        <w:t>The Journal of Finance</w:t>
      </w:r>
      <w:r w:rsidRPr="00093F2A">
        <w:rPr>
          <w:rFonts w:ascii="Gill Sans MT" w:eastAsia="Arial" w:hAnsi="Gill Sans MT" w:cs="Arial"/>
          <w:sz w:val="24"/>
          <w:szCs w:val="24"/>
        </w:rPr>
        <w:t>, </w:t>
      </w:r>
      <w:r w:rsidRPr="00093F2A">
        <w:rPr>
          <w:rFonts w:ascii="Gill Sans MT" w:eastAsia="Arial" w:hAnsi="Gill Sans MT" w:cs="Arial"/>
          <w:i/>
          <w:iCs/>
          <w:sz w:val="24"/>
          <w:szCs w:val="24"/>
        </w:rPr>
        <w:t>66</w:t>
      </w:r>
      <w:r w:rsidRPr="00093F2A">
        <w:rPr>
          <w:rFonts w:ascii="Gill Sans MT" w:eastAsia="Arial" w:hAnsi="Gill Sans MT" w:cs="Arial"/>
          <w:sz w:val="24"/>
          <w:szCs w:val="24"/>
        </w:rPr>
        <w:t>(2), 479-517.</w:t>
      </w:r>
    </w:p>
    <w:p w14:paraId="171F77A7" w14:textId="77777777" w:rsidR="009F3789" w:rsidRPr="00093F2A" w:rsidRDefault="009F3789" w:rsidP="006532EC">
      <w:pPr>
        <w:spacing w:line="257" w:lineRule="auto"/>
        <w:rPr>
          <w:rFonts w:ascii="Gill Sans MT" w:hAnsi="Gill Sans MT"/>
          <w:sz w:val="24"/>
          <w:szCs w:val="24"/>
        </w:rPr>
      </w:pPr>
      <w:r w:rsidRPr="00093F2A">
        <w:rPr>
          <w:rFonts w:ascii="Gill Sans MT" w:eastAsia="Arial" w:hAnsi="Gill Sans MT" w:cs="Arial"/>
          <w:sz w:val="24"/>
          <w:szCs w:val="24"/>
        </w:rPr>
        <w:t xml:space="preserve">Harford, J., &amp; Kolasinski, A. (2014). Do private equity returns result from wealth transfers and short-termism? Evidence from a comprehensive sample of large buyouts. </w:t>
      </w:r>
      <w:r w:rsidRPr="00093F2A">
        <w:rPr>
          <w:rFonts w:ascii="Gill Sans MT" w:eastAsia="Calibri" w:hAnsi="Gill Sans MT" w:cs="Calibri"/>
          <w:i/>
          <w:iCs/>
          <w:sz w:val="24"/>
          <w:szCs w:val="24"/>
        </w:rPr>
        <w:t>Management Science</w:t>
      </w:r>
      <w:r w:rsidRPr="00093F2A">
        <w:rPr>
          <w:rFonts w:ascii="Gill Sans MT" w:eastAsia="Calibri" w:hAnsi="Gill Sans MT" w:cs="Calibri"/>
          <w:sz w:val="24"/>
          <w:szCs w:val="24"/>
        </w:rPr>
        <w:t xml:space="preserve">, </w:t>
      </w:r>
      <w:r w:rsidRPr="00093F2A">
        <w:rPr>
          <w:rFonts w:ascii="Gill Sans MT" w:eastAsia="Calibri" w:hAnsi="Gill Sans MT" w:cs="Calibri"/>
          <w:i/>
          <w:iCs/>
          <w:sz w:val="24"/>
          <w:szCs w:val="24"/>
        </w:rPr>
        <w:t>60</w:t>
      </w:r>
      <w:r w:rsidRPr="00093F2A">
        <w:rPr>
          <w:rFonts w:ascii="Gill Sans MT" w:eastAsia="Calibri" w:hAnsi="Gill Sans MT" w:cs="Calibri"/>
          <w:sz w:val="24"/>
          <w:szCs w:val="24"/>
        </w:rPr>
        <w:t>(4), 888-902.</w:t>
      </w:r>
    </w:p>
    <w:p w14:paraId="2D3E0FF8"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Harris, R. S., Jenkinson, T., &amp; Kaplan, S. N. (2014). Private equity performance: What do we know?. </w:t>
      </w:r>
      <w:r w:rsidRPr="00093F2A">
        <w:rPr>
          <w:rFonts w:ascii="Gill Sans MT" w:hAnsi="Gill Sans MT"/>
          <w:bCs/>
          <w:i/>
          <w:iCs/>
          <w:sz w:val="24"/>
          <w:szCs w:val="24"/>
        </w:rPr>
        <w:t>The Journal of Finance</w:t>
      </w:r>
      <w:r w:rsidRPr="00093F2A">
        <w:rPr>
          <w:rFonts w:ascii="Gill Sans MT" w:hAnsi="Gill Sans MT"/>
          <w:bCs/>
          <w:sz w:val="24"/>
          <w:szCs w:val="24"/>
        </w:rPr>
        <w:t>, </w:t>
      </w:r>
      <w:r w:rsidRPr="00093F2A">
        <w:rPr>
          <w:rFonts w:ascii="Gill Sans MT" w:hAnsi="Gill Sans MT"/>
          <w:bCs/>
          <w:i/>
          <w:iCs/>
          <w:sz w:val="24"/>
          <w:szCs w:val="24"/>
        </w:rPr>
        <w:t>69</w:t>
      </w:r>
      <w:r w:rsidRPr="00093F2A">
        <w:rPr>
          <w:rFonts w:ascii="Gill Sans MT" w:hAnsi="Gill Sans MT"/>
          <w:bCs/>
          <w:sz w:val="24"/>
          <w:szCs w:val="24"/>
        </w:rPr>
        <w:t>(5), 1851-1882.</w:t>
      </w:r>
    </w:p>
    <w:p w14:paraId="40F76FD1"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Holloway, I., Lee, H. S., &amp; Shen, T. (2016). Private equity firm heterogeneity and cross-border acquisitions. </w:t>
      </w:r>
      <w:r w:rsidRPr="00093F2A">
        <w:rPr>
          <w:rFonts w:ascii="Gill Sans MT" w:hAnsi="Gill Sans MT"/>
          <w:bCs/>
          <w:i/>
          <w:iCs/>
          <w:sz w:val="24"/>
          <w:szCs w:val="24"/>
        </w:rPr>
        <w:t>International Review of Economics &amp; Finance</w:t>
      </w:r>
      <w:r w:rsidRPr="00093F2A">
        <w:rPr>
          <w:rFonts w:ascii="Gill Sans MT" w:hAnsi="Gill Sans MT"/>
          <w:bCs/>
          <w:sz w:val="24"/>
          <w:szCs w:val="24"/>
        </w:rPr>
        <w:t>, </w:t>
      </w:r>
      <w:r w:rsidRPr="00093F2A">
        <w:rPr>
          <w:rFonts w:ascii="Gill Sans MT" w:hAnsi="Gill Sans MT"/>
          <w:bCs/>
          <w:i/>
          <w:iCs/>
          <w:sz w:val="24"/>
          <w:szCs w:val="24"/>
        </w:rPr>
        <w:t>44</w:t>
      </w:r>
      <w:r w:rsidRPr="00093F2A">
        <w:rPr>
          <w:rFonts w:ascii="Gill Sans MT" w:hAnsi="Gill Sans MT"/>
          <w:bCs/>
          <w:sz w:val="24"/>
          <w:szCs w:val="24"/>
        </w:rPr>
        <w:t>, 118-141.</w:t>
      </w:r>
    </w:p>
    <w:p w14:paraId="6F896CC8" w14:textId="77777777" w:rsidR="009F3789" w:rsidRPr="00093F2A" w:rsidRDefault="009F3789" w:rsidP="006532EC">
      <w:pPr>
        <w:rPr>
          <w:rFonts w:ascii="Gill Sans MT" w:hAnsi="Gill Sans MT"/>
          <w:b/>
          <w:bCs/>
          <w:sz w:val="24"/>
          <w:szCs w:val="24"/>
          <w:u w:val="single"/>
        </w:rPr>
      </w:pPr>
      <w:r w:rsidRPr="00093F2A">
        <w:rPr>
          <w:rFonts w:ascii="Gill Sans MT" w:hAnsi="Gill Sans MT"/>
          <w:bCs/>
          <w:sz w:val="24"/>
          <w:szCs w:val="24"/>
        </w:rPr>
        <w:t>Humphery</w:t>
      </w:r>
      <w:r w:rsidRPr="00093F2A">
        <w:rPr>
          <w:rFonts w:ascii="Cambria Math" w:hAnsi="Cambria Math" w:cs="Cambria Math"/>
          <w:bCs/>
          <w:sz w:val="24"/>
          <w:szCs w:val="24"/>
        </w:rPr>
        <w:t>‐</w:t>
      </w:r>
      <w:r w:rsidRPr="00093F2A">
        <w:rPr>
          <w:rFonts w:ascii="Gill Sans MT" w:hAnsi="Gill Sans MT"/>
          <w:bCs/>
          <w:sz w:val="24"/>
          <w:szCs w:val="24"/>
        </w:rPr>
        <w:t>Jenner, M., Sautner, Z., &amp; Suchard, J. A. (2017). Cross</w:t>
      </w:r>
      <w:r w:rsidRPr="00093F2A">
        <w:rPr>
          <w:rFonts w:ascii="Cambria Math" w:hAnsi="Cambria Math" w:cs="Cambria Math"/>
          <w:bCs/>
          <w:sz w:val="24"/>
          <w:szCs w:val="24"/>
        </w:rPr>
        <w:t>‐</w:t>
      </w:r>
      <w:r w:rsidRPr="00093F2A">
        <w:rPr>
          <w:rFonts w:ascii="Gill Sans MT" w:hAnsi="Gill Sans MT"/>
          <w:bCs/>
          <w:sz w:val="24"/>
          <w:szCs w:val="24"/>
        </w:rPr>
        <w:t>border mergers and acquisitions: The role of private equity firms.</w:t>
      </w:r>
      <w:r w:rsidRPr="00093F2A">
        <w:rPr>
          <w:rFonts w:ascii="Gill Sans MT" w:hAnsi="Gill Sans MT" w:cs="Garamond"/>
          <w:bCs/>
          <w:sz w:val="24"/>
          <w:szCs w:val="24"/>
        </w:rPr>
        <w:t> </w:t>
      </w:r>
      <w:r w:rsidRPr="00093F2A">
        <w:rPr>
          <w:rFonts w:ascii="Gill Sans MT" w:hAnsi="Gill Sans MT"/>
          <w:bCs/>
          <w:i/>
          <w:iCs/>
          <w:sz w:val="24"/>
          <w:szCs w:val="24"/>
        </w:rPr>
        <w:t>Strategic Management Journal</w:t>
      </w:r>
      <w:r w:rsidRPr="00093F2A">
        <w:rPr>
          <w:rFonts w:ascii="Gill Sans MT" w:hAnsi="Gill Sans MT"/>
          <w:bCs/>
          <w:sz w:val="24"/>
          <w:szCs w:val="24"/>
        </w:rPr>
        <w:t>, </w:t>
      </w:r>
      <w:r w:rsidRPr="00093F2A">
        <w:rPr>
          <w:rFonts w:ascii="Gill Sans MT" w:hAnsi="Gill Sans MT"/>
          <w:bCs/>
          <w:i/>
          <w:iCs/>
          <w:sz w:val="24"/>
          <w:szCs w:val="24"/>
        </w:rPr>
        <w:t>38</w:t>
      </w:r>
      <w:r w:rsidRPr="00093F2A">
        <w:rPr>
          <w:rFonts w:ascii="Gill Sans MT" w:hAnsi="Gill Sans MT"/>
          <w:bCs/>
          <w:sz w:val="24"/>
          <w:szCs w:val="24"/>
        </w:rPr>
        <w:t>(8), 1688-1700.</w:t>
      </w:r>
    </w:p>
    <w:p w14:paraId="061F15EB"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Ivashina, V., &amp; Kovner, A. (2011). The private equity advantage: Leveraged buyout firms and relationship banking. </w:t>
      </w:r>
      <w:r w:rsidRPr="00093F2A">
        <w:rPr>
          <w:rFonts w:ascii="Gill Sans MT" w:hAnsi="Gill Sans MT"/>
          <w:bCs/>
          <w:i/>
          <w:iCs/>
          <w:sz w:val="24"/>
          <w:szCs w:val="24"/>
        </w:rPr>
        <w:t>The Review of Financial Studies</w:t>
      </w:r>
      <w:r w:rsidRPr="00093F2A">
        <w:rPr>
          <w:rFonts w:ascii="Gill Sans MT" w:hAnsi="Gill Sans MT"/>
          <w:bCs/>
          <w:sz w:val="24"/>
          <w:szCs w:val="24"/>
        </w:rPr>
        <w:t>, </w:t>
      </w:r>
      <w:r w:rsidRPr="00093F2A">
        <w:rPr>
          <w:rFonts w:ascii="Gill Sans MT" w:hAnsi="Gill Sans MT"/>
          <w:bCs/>
          <w:i/>
          <w:iCs/>
          <w:sz w:val="24"/>
          <w:szCs w:val="24"/>
        </w:rPr>
        <w:t>24</w:t>
      </w:r>
      <w:r w:rsidRPr="00093F2A">
        <w:rPr>
          <w:rFonts w:ascii="Gill Sans MT" w:hAnsi="Gill Sans MT"/>
          <w:bCs/>
          <w:sz w:val="24"/>
          <w:szCs w:val="24"/>
        </w:rPr>
        <w:t>(7), 2462-2498.</w:t>
      </w:r>
    </w:p>
    <w:p w14:paraId="71988327"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Kaplan, S. N., &amp; Stromberg, P. (2009). Leveraged buyouts and private equity. </w:t>
      </w:r>
      <w:r w:rsidRPr="00093F2A">
        <w:rPr>
          <w:rFonts w:ascii="Gill Sans MT" w:hAnsi="Gill Sans MT"/>
          <w:bCs/>
          <w:i/>
          <w:iCs/>
          <w:sz w:val="24"/>
          <w:szCs w:val="24"/>
        </w:rPr>
        <w:t>Journal of Economic Perspectives</w:t>
      </w:r>
      <w:r w:rsidRPr="00093F2A">
        <w:rPr>
          <w:rFonts w:ascii="Gill Sans MT" w:hAnsi="Gill Sans MT"/>
          <w:bCs/>
          <w:sz w:val="24"/>
          <w:szCs w:val="24"/>
        </w:rPr>
        <w:t>, </w:t>
      </w:r>
      <w:r w:rsidRPr="00093F2A">
        <w:rPr>
          <w:rFonts w:ascii="Gill Sans MT" w:hAnsi="Gill Sans MT"/>
          <w:bCs/>
          <w:i/>
          <w:iCs/>
          <w:sz w:val="24"/>
          <w:szCs w:val="24"/>
        </w:rPr>
        <w:t>23</w:t>
      </w:r>
      <w:r w:rsidRPr="00093F2A">
        <w:rPr>
          <w:rFonts w:ascii="Gill Sans MT" w:hAnsi="Gill Sans MT"/>
          <w:bCs/>
          <w:sz w:val="24"/>
          <w:szCs w:val="24"/>
        </w:rPr>
        <w:t>(1), 121-46.</w:t>
      </w:r>
    </w:p>
    <w:p w14:paraId="02EC6482"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Kim, T. N., &amp; Palia, D. (2014). Private equity alliances in mergers. </w:t>
      </w:r>
      <w:r w:rsidRPr="00093F2A">
        <w:rPr>
          <w:rFonts w:ascii="Gill Sans MT" w:hAnsi="Gill Sans MT"/>
          <w:bCs/>
          <w:i/>
          <w:iCs/>
          <w:sz w:val="24"/>
          <w:szCs w:val="24"/>
        </w:rPr>
        <w:t>Journal of Empirical Finance</w:t>
      </w:r>
      <w:r w:rsidRPr="00093F2A">
        <w:rPr>
          <w:rFonts w:ascii="Gill Sans MT" w:hAnsi="Gill Sans MT"/>
          <w:bCs/>
          <w:sz w:val="24"/>
          <w:szCs w:val="24"/>
        </w:rPr>
        <w:t>, </w:t>
      </w:r>
      <w:r w:rsidRPr="00093F2A">
        <w:rPr>
          <w:rFonts w:ascii="Gill Sans MT" w:hAnsi="Gill Sans MT"/>
          <w:bCs/>
          <w:i/>
          <w:iCs/>
          <w:sz w:val="24"/>
          <w:szCs w:val="24"/>
        </w:rPr>
        <w:t>27</w:t>
      </w:r>
      <w:r w:rsidRPr="00093F2A">
        <w:rPr>
          <w:rFonts w:ascii="Gill Sans MT" w:hAnsi="Gill Sans MT"/>
          <w:bCs/>
          <w:sz w:val="24"/>
          <w:szCs w:val="24"/>
        </w:rPr>
        <w:t>, 10-20.</w:t>
      </w:r>
    </w:p>
    <w:p w14:paraId="41D89416" w14:textId="77777777" w:rsidR="009F3789" w:rsidRPr="00093F2A" w:rsidRDefault="009F3789" w:rsidP="006532EC">
      <w:pPr>
        <w:spacing w:line="257" w:lineRule="auto"/>
        <w:rPr>
          <w:rFonts w:ascii="Gill Sans MT" w:eastAsia="Arial" w:hAnsi="Gill Sans MT" w:cs="Arial"/>
          <w:sz w:val="24"/>
          <w:szCs w:val="24"/>
        </w:rPr>
      </w:pPr>
      <w:r w:rsidRPr="00093F2A">
        <w:rPr>
          <w:rFonts w:ascii="Gill Sans MT" w:eastAsia="Arial" w:hAnsi="Gill Sans MT" w:cs="Arial"/>
          <w:sz w:val="24"/>
          <w:szCs w:val="24"/>
        </w:rPr>
        <w:t xml:space="preserve">Lambkin, M., &amp; Muzellec, L. (2008). Rebranding in the banking industry following mergers and acquisitions. </w:t>
      </w:r>
      <w:r w:rsidRPr="00093F2A">
        <w:rPr>
          <w:rFonts w:ascii="Gill Sans MT" w:eastAsia="Arial" w:hAnsi="Gill Sans MT" w:cs="Arial"/>
          <w:i/>
          <w:iCs/>
          <w:sz w:val="24"/>
          <w:szCs w:val="24"/>
        </w:rPr>
        <w:t>International Journal of Bank Marketing</w:t>
      </w:r>
      <w:r w:rsidRPr="00093F2A">
        <w:rPr>
          <w:rFonts w:ascii="Gill Sans MT" w:eastAsia="Arial" w:hAnsi="Gill Sans MT" w:cs="Arial"/>
          <w:sz w:val="24"/>
          <w:szCs w:val="24"/>
        </w:rPr>
        <w:t>.</w:t>
      </w:r>
    </w:p>
    <w:p w14:paraId="2CB5E710" w14:textId="77777777" w:rsidR="009F3789" w:rsidRPr="00093F2A" w:rsidRDefault="009F3789" w:rsidP="006532EC">
      <w:pPr>
        <w:spacing w:line="257" w:lineRule="auto"/>
        <w:rPr>
          <w:rFonts w:ascii="Gill Sans MT" w:eastAsia="Arial" w:hAnsi="Gill Sans MT" w:cs="Arial"/>
          <w:sz w:val="24"/>
          <w:szCs w:val="24"/>
        </w:rPr>
      </w:pPr>
      <w:r w:rsidRPr="00093F2A">
        <w:rPr>
          <w:rFonts w:ascii="Gill Sans MT" w:eastAsia="Arial" w:hAnsi="Gill Sans MT" w:cs="Arial"/>
          <w:sz w:val="24"/>
          <w:szCs w:val="24"/>
        </w:rPr>
        <w:t>Lerner, J., Sorensen, M., &amp; Strömberg, P. (2011). Private equity and long</w:t>
      </w:r>
      <w:r w:rsidRPr="00093F2A">
        <w:rPr>
          <w:rFonts w:ascii="Cambria Math" w:eastAsia="Arial" w:hAnsi="Cambria Math" w:cs="Cambria Math"/>
          <w:sz w:val="24"/>
          <w:szCs w:val="24"/>
        </w:rPr>
        <w:t>‐</w:t>
      </w:r>
      <w:r w:rsidRPr="00093F2A">
        <w:rPr>
          <w:rFonts w:ascii="Gill Sans MT" w:eastAsia="Arial" w:hAnsi="Gill Sans MT" w:cs="Arial"/>
          <w:sz w:val="24"/>
          <w:szCs w:val="24"/>
        </w:rPr>
        <w:t>run investment: The case of innovation.</w:t>
      </w:r>
      <w:r w:rsidRPr="00093F2A">
        <w:rPr>
          <w:rFonts w:ascii="Gill Sans MT" w:eastAsia="Arial" w:hAnsi="Gill Sans MT" w:cs="Garamond"/>
          <w:sz w:val="24"/>
          <w:szCs w:val="24"/>
        </w:rPr>
        <w:t> </w:t>
      </w:r>
      <w:r w:rsidRPr="00093F2A">
        <w:rPr>
          <w:rFonts w:ascii="Gill Sans MT" w:eastAsia="Arial" w:hAnsi="Gill Sans MT" w:cs="Arial"/>
          <w:i/>
          <w:iCs/>
          <w:sz w:val="24"/>
          <w:szCs w:val="24"/>
        </w:rPr>
        <w:t>The Journal of Finance</w:t>
      </w:r>
      <w:r w:rsidRPr="00093F2A">
        <w:rPr>
          <w:rFonts w:ascii="Gill Sans MT" w:eastAsia="Arial" w:hAnsi="Gill Sans MT" w:cs="Arial"/>
          <w:sz w:val="24"/>
          <w:szCs w:val="24"/>
        </w:rPr>
        <w:t>, </w:t>
      </w:r>
      <w:r w:rsidRPr="00093F2A">
        <w:rPr>
          <w:rFonts w:ascii="Gill Sans MT" w:eastAsia="Arial" w:hAnsi="Gill Sans MT" w:cs="Arial"/>
          <w:i/>
          <w:iCs/>
          <w:sz w:val="24"/>
          <w:szCs w:val="24"/>
        </w:rPr>
        <w:t>66</w:t>
      </w:r>
      <w:r w:rsidRPr="00093F2A">
        <w:rPr>
          <w:rFonts w:ascii="Gill Sans MT" w:eastAsia="Arial" w:hAnsi="Gill Sans MT" w:cs="Arial"/>
          <w:sz w:val="24"/>
          <w:szCs w:val="24"/>
        </w:rPr>
        <w:t>(2), 445-477.</w:t>
      </w:r>
    </w:p>
    <w:p w14:paraId="596E1DD6" w14:textId="77777777" w:rsidR="009F3789" w:rsidRPr="00093F2A" w:rsidRDefault="009F3789" w:rsidP="006532EC">
      <w:pPr>
        <w:spacing w:line="257" w:lineRule="auto"/>
        <w:rPr>
          <w:rFonts w:ascii="Gill Sans MT" w:eastAsia="Calibri" w:hAnsi="Gill Sans MT" w:cs="Calibri"/>
          <w:sz w:val="24"/>
          <w:szCs w:val="24"/>
        </w:rPr>
      </w:pPr>
      <w:r w:rsidRPr="00093F2A">
        <w:rPr>
          <w:rFonts w:ascii="Gill Sans MT" w:eastAsia="Arial" w:hAnsi="Gill Sans MT" w:cs="Arial"/>
          <w:sz w:val="24"/>
          <w:szCs w:val="24"/>
        </w:rPr>
        <w:t xml:space="preserve">Leslie, P., &amp; Oyer, P. (2008). </w:t>
      </w:r>
      <w:r w:rsidRPr="00093F2A">
        <w:rPr>
          <w:rFonts w:ascii="Gill Sans MT" w:eastAsia="Calibri" w:hAnsi="Gill Sans MT" w:cs="Calibri"/>
          <w:i/>
          <w:iCs/>
          <w:sz w:val="24"/>
          <w:szCs w:val="24"/>
        </w:rPr>
        <w:t>Managerial incentives and value creation: Evidence from private equity</w:t>
      </w:r>
      <w:r w:rsidRPr="00093F2A">
        <w:rPr>
          <w:rFonts w:ascii="Gill Sans MT" w:eastAsia="Calibri" w:hAnsi="Gill Sans MT" w:cs="Calibri"/>
          <w:sz w:val="24"/>
          <w:szCs w:val="24"/>
        </w:rPr>
        <w:t xml:space="preserve"> (No. w14331). National Bureau of Economic Research.</w:t>
      </w:r>
    </w:p>
    <w:p w14:paraId="707B9074"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lastRenderedPageBreak/>
        <w:t>Metrick, A., &amp; Yasuda, A. (2010). The economics of private equity funds. </w:t>
      </w:r>
      <w:r w:rsidRPr="00093F2A">
        <w:rPr>
          <w:rFonts w:ascii="Gill Sans MT" w:hAnsi="Gill Sans MT"/>
          <w:bCs/>
          <w:i/>
          <w:iCs/>
          <w:sz w:val="24"/>
          <w:szCs w:val="24"/>
        </w:rPr>
        <w:t>The Review of Financial Studies</w:t>
      </w:r>
      <w:r w:rsidRPr="00093F2A">
        <w:rPr>
          <w:rFonts w:ascii="Gill Sans MT" w:hAnsi="Gill Sans MT"/>
          <w:bCs/>
          <w:sz w:val="24"/>
          <w:szCs w:val="24"/>
        </w:rPr>
        <w:t>, </w:t>
      </w:r>
      <w:r w:rsidRPr="00093F2A">
        <w:rPr>
          <w:rFonts w:ascii="Gill Sans MT" w:hAnsi="Gill Sans MT"/>
          <w:bCs/>
          <w:i/>
          <w:iCs/>
          <w:sz w:val="24"/>
          <w:szCs w:val="24"/>
        </w:rPr>
        <w:t>23</w:t>
      </w:r>
      <w:r w:rsidRPr="00093F2A">
        <w:rPr>
          <w:rFonts w:ascii="Gill Sans MT" w:hAnsi="Gill Sans MT"/>
          <w:bCs/>
          <w:sz w:val="24"/>
          <w:szCs w:val="24"/>
        </w:rPr>
        <w:t>(6), 2303-2341.</w:t>
      </w:r>
    </w:p>
    <w:p w14:paraId="4F6199B1" w14:textId="77777777" w:rsidR="009F3789" w:rsidRPr="00093F2A" w:rsidRDefault="009F3789" w:rsidP="006532EC">
      <w:pPr>
        <w:rPr>
          <w:rFonts w:ascii="Gill Sans MT" w:hAnsi="Gill Sans MT"/>
          <w:bCs/>
          <w:sz w:val="24"/>
          <w:szCs w:val="24"/>
        </w:rPr>
      </w:pPr>
      <w:r w:rsidRPr="00093F2A">
        <w:rPr>
          <w:rFonts w:ascii="Gill Sans MT" w:hAnsi="Gill Sans MT" w:cs="Arial"/>
          <w:sz w:val="24"/>
          <w:szCs w:val="24"/>
          <w:shd w:val="clear" w:color="auto" w:fill="FFFFFF"/>
        </w:rPr>
        <w:t>Meuleman, M., Amess, K., Wright, M., &amp; Scholes, L. (2009). Agency, Strategic Entrepreneurship, and the Performance of Private Equity–Backed Buyouts. </w:t>
      </w:r>
      <w:r w:rsidRPr="00093F2A">
        <w:rPr>
          <w:rFonts w:ascii="Gill Sans MT" w:hAnsi="Gill Sans MT" w:cs="Arial"/>
          <w:i/>
          <w:iCs/>
          <w:sz w:val="24"/>
          <w:szCs w:val="24"/>
          <w:shd w:val="clear" w:color="auto" w:fill="FFFFFF"/>
        </w:rPr>
        <w:t>Entrepreneurship Theory and Practice</w:t>
      </w:r>
      <w:r w:rsidRPr="00093F2A">
        <w:rPr>
          <w:rFonts w:ascii="Gill Sans MT" w:hAnsi="Gill Sans MT" w:cs="Arial"/>
          <w:sz w:val="24"/>
          <w:szCs w:val="24"/>
          <w:shd w:val="clear" w:color="auto" w:fill="FFFFFF"/>
        </w:rPr>
        <w:t>, </w:t>
      </w:r>
      <w:r w:rsidRPr="00093F2A">
        <w:rPr>
          <w:rFonts w:ascii="Gill Sans MT" w:hAnsi="Gill Sans MT" w:cs="Arial"/>
          <w:i/>
          <w:iCs/>
          <w:sz w:val="24"/>
          <w:szCs w:val="24"/>
          <w:shd w:val="clear" w:color="auto" w:fill="FFFFFF"/>
        </w:rPr>
        <w:t>33</w:t>
      </w:r>
      <w:r w:rsidRPr="00093F2A">
        <w:rPr>
          <w:rFonts w:ascii="Gill Sans MT" w:hAnsi="Gill Sans MT" w:cs="Arial"/>
          <w:sz w:val="24"/>
          <w:szCs w:val="24"/>
          <w:shd w:val="clear" w:color="auto" w:fill="FFFFFF"/>
        </w:rPr>
        <w:t>(1), 213-239.</w:t>
      </w:r>
    </w:p>
    <w:p w14:paraId="6E51F656"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Moeller, S. B., Schlingemann, F. P., &amp; Stulz, R. M. (2003). Do shareholders of acquiring firms gain from acquisitions? (No. w9523). National Bureau of Economic Research.</w:t>
      </w:r>
    </w:p>
    <w:p w14:paraId="596435AE" w14:textId="77777777" w:rsidR="009F3789" w:rsidRPr="00093F2A" w:rsidRDefault="009F3789" w:rsidP="0047363D">
      <w:pPr>
        <w:rPr>
          <w:rFonts w:ascii="Gill Sans MT" w:hAnsi="Gill Sans MT"/>
          <w:bCs/>
          <w:sz w:val="24"/>
          <w:szCs w:val="24"/>
        </w:rPr>
      </w:pPr>
      <w:r w:rsidRPr="00093F2A">
        <w:rPr>
          <w:rFonts w:ascii="Gill Sans MT" w:hAnsi="Gill Sans MT"/>
          <w:bCs/>
          <w:sz w:val="24"/>
          <w:szCs w:val="24"/>
        </w:rPr>
        <w:t>Mulherin, J. H., &amp; Boone, A. L. (2000). Comparing acquisitions and divestitures. Journal of corporate finance, 6(2), 117-139.</w:t>
      </w:r>
    </w:p>
    <w:p w14:paraId="746C3889"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Müller, E. (2011). Returns to private equity-idiosyncratic risk does matter!. </w:t>
      </w:r>
      <w:r w:rsidRPr="00093F2A">
        <w:rPr>
          <w:rFonts w:ascii="Gill Sans MT" w:hAnsi="Gill Sans MT"/>
          <w:bCs/>
          <w:i/>
          <w:iCs/>
          <w:sz w:val="24"/>
          <w:szCs w:val="24"/>
        </w:rPr>
        <w:t>Review of Finance</w:t>
      </w:r>
      <w:r w:rsidRPr="00093F2A">
        <w:rPr>
          <w:rFonts w:ascii="Gill Sans MT" w:hAnsi="Gill Sans MT"/>
          <w:bCs/>
          <w:sz w:val="24"/>
          <w:szCs w:val="24"/>
        </w:rPr>
        <w:t>, </w:t>
      </w:r>
      <w:r w:rsidRPr="00093F2A">
        <w:rPr>
          <w:rFonts w:ascii="Gill Sans MT" w:hAnsi="Gill Sans MT"/>
          <w:bCs/>
          <w:i/>
          <w:iCs/>
          <w:sz w:val="24"/>
          <w:szCs w:val="24"/>
        </w:rPr>
        <w:t>15</w:t>
      </w:r>
      <w:r w:rsidRPr="00093F2A">
        <w:rPr>
          <w:rFonts w:ascii="Gill Sans MT" w:hAnsi="Gill Sans MT"/>
          <w:bCs/>
          <w:sz w:val="24"/>
          <w:szCs w:val="24"/>
        </w:rPr>
        <w:t>(3), 545-574.</w:t>
      </w:r>
    </w:p>
    <w:p w14:paraId="76C1E849" w14:textId="77777777" w:rsidR="009F3789" w:rsidRPr="00093F2A" w:rsidRDefault="009F3789" w:rsidP="00DC5520">
      <w:pPr>
        <w:rPr>
          <w:rFonts w:ascii="Gill Sans MT" w:hAnsi="Gill Sans MT"/>
          <w:bCs/>
          <w:sz w:val="24"/>
          <w:szCs w:val="24"/>
        </w:rPr>
      </w:pPr>
      <w:r w:rsidRPr="00093F2A">
        <w:rPr>
          <w:rFonts w:ascii="Gill Sans MT" w:hAnsi="Gill Sans MT"/>
          <w:bCs/>
          <w:sz w:val="24"/>
          <w:szCs w:val="24"/>
        </w:rPr>
        <w:t>Rosen, R. J. (2004). Betcha Can't Acquire Just One: Merger Programs and Compensation, Working Paper 2004-22.</w:t>
      </w:r>
    </w:p>
    <w:p w14:paraId="07F936ED"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Sun, Y., &amp; Uchida, K. (2016). The Role of Bank</w:t>
      </w:r>
      <w:r w:rsidRPr="00093F2A">
        <w:rPr>
          <w:rFonts w:ascii="Cambria Math" w:hAnsi="Cambria Math" w:cs="Cambria Math"/>
          <w:bCs/>
          <w:sz w:val="24"/>
          <w:szCs w:val="24"/>
        </w:rPr>
        <w:t>‐</w:t>
      </w:r>
      <w:r w:rsidRPr="00093F2A">
        <w:rPr>
          <w:rFonts w:ascii="Gill Sans MT" w:hAnsi="Gill Sans MT"/>
          <w:bCs/>
          <w:sz w:val="24"/>
          <w:szCs w:val="24"/>
        </w:rPr>
        <w:t>Affiliated Venture Capital for Parent Banks in Japan: New Evidence.</w:t>
      </w:r>
      <w:r w:rsidRPr="00093F2A">
        <w:rPr>
          <w:rFonts w:ascii="Gill Sans MT" w:hAnsi="Gill Sans MT" w:cs="Garamond"/>
          <w:bCs/>
          <w:sz w:val="24"/>
          <w:szCs w:val="24"/>
        </w:rPr>
        <w:t> </w:t>
      </w:r>
      <w:r w:rsidRPr="00093F2A">
        <w:rPr>
          <w:rFonts w:ascii="Gill Sans MT" w:hAnsi="Gill Sans MT"/>
          <w:bCs/>
          <w:i/>
          <w:iCs/>
          <w:sz w:val="24"/>
          <w:szCs w:val="24"/>
        </w:rPr>
        <w:t>Asia</w:t>
      </w:r>
      <w:r w:rsidRPr="00093F2A">
        <w:rPr>
          <w:rFonts w:ascii="Cambria Math" w:hAnsi="Cambria Math" w:cs="Cambria Math"/>
          <w:bCs/>
          <w:i/>
          <w:iCs/>
          <w:sz w:val="24"/>
          <w:szCs w:val="24"/>
        </w:rPr>
        <w:t>‐</w:t>
      </w:r>
      <w:r w:rsidRPr="00093F2A">
        <w:rPr>
          <w:rFonts w:ascii="Gill Sans MT" w:hAnsi="Gill Sans MT"/>
          <w:bCs/>
          <w:i/>
          <w:iCs/>
          <w:sz w:val="24"/>
          <w:szCs w:val="24"/>
        </w:rPr>
        <w:t>Pacific Journal of Financial Studies</w:t>
      </w:r>
      <w:r w:rsidRPr="00093F2A">
        <w:rPr>
          <w:rFonts w:ascii="Gill Sans MT" w:hAnsi="Gill Sans MT"/>
          <w:bCs/>
          <w:sz w:val="24"/>
          <w:szCs w:val="24"/>
        </w:rPr>
        <w:t>, </w:t>
      </w:r>
      <w:r w:rsidRPr="00093F2A">
        <w:rPr>
          <w:rFonts w:ascii="Gill Sans MT" w:hAnsi="Gill Sans MT"/>
          <w:bCs/>
          <w:i/>
          <w:iCs/>
          <w:sz w:val="24"/>
          <w:szCs w:val="24"/>
        </w:rPr>
        <w:t>45</w:t>
      </w:r>
      <w:r w:rsidRPr="00093F2A">
        <w:rPr>
          <w:rFonts w:ascii="Gill Sans MT" w:hAnsi="Gill Sans MT"/>
          <w:bCs/>
          <w:sz w:val="24"/>
          <w:szCs w:val="24"/>
        </w:rPr>
        <w:t>(6), 864-885.</w:t>
      </w:r>
    </w:p>
    <w:p w14:paraId="7EBCE60E"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Thompson, S., &amp; Wright, M. (1995). Corporate governance: the role of restructuring transactions. </w:t>
      </w:r>
      <w:r w:rsidRPr="00093F2A">
        <w:rPr>
          <w:rFonts w:ascii="Gill Sans MT" w:hAnsi="Gill Sans MT"/>
          <w:bCs/>
          <w:i/>
          <w:iCs/>
          <w:sz w:val="24"/>
          <w:szCs w:val="24"/>
        </w:rPr>
        <w:t>The Economic Journal</w:t>
      </w:r>
      <w:r w:rsidRPr="00093F2A">
        <w:rPr>
          <w:rFonts w:ascii="Gill Sans MT" w:hAnsi="Gill Sans MT"/>
          <w:bCs/>
          <w:sz w:val="24"/>
          <w:szCs w:val="24"/>
        </w:rPr>
        <w:t>, </w:t>
      </w:r>
      <w:r w:rsidRPr="00093F2A">
        <w:rPr>
          <w:rFonts w:ascii="Gill Sans MT" w:hAnsi="Gill Sans MT"/>
          <w:bCs/>
          <w:i/>
          <w:iCs/>
          <w:sz w:val="24"/>
          <w:szCs w:val="24"/>
        </w:rPr>
        <w:t>105</w:t>
      </w:r>
      <w:r w:rsidRPr="00093F2A">
        <w:rPr>
          <w:rFonts w:ascii="Gill Sans MT" w:hAnsi="Gill Sans MT"/>
          <w:bCs/>
          <w:sz w:val="24"/>
          <w:szCs w:val="24"/>
        </w:rPr>
        <w:t>(430), 690-703.</w:t>
      </w:r>
    </w:p>
    <w:p w14:paraId="2FD29DA0"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Tykvová, T., &amp; Borell, M. (2012). Do private equity owners increase risk of financial distress and bankruptcy?. </w:t>
      </w:r>
      <w:r w:rsidRPr="00093F2A">
        <w:rPr>
          <w:rFonts w:ascii="Gill Sans MT" w:hAnsi="Gill Sans MT"/>
          <w:bCs/>
          <w:i/>
          <w:iCs/>
          <w:sz w:val="24"/>
          <w:szCs w:val="24"/>
        </w:rPr>
        <w:t>Journal of Corporate Finance</w:t>
      </w:r>
      <w:r w:rsidRPr="00093F2A">
        <w:rPr>
          <w:rFonts w:ascii="Gill Sans MT" w:hAnsi="Gill Sans MT"/>
          <w:bCs/>
          <w:sz w:val="24"/>
          <w:szCs w:val="24"/>
        </w:rPr>
        <w:t>, </w:t>
      </w:r>
      <w:r w:rsidRPr="00093F2A">
        <w:rPr>
          <w:rFonts w:ascii="Gill Sans MT" w:hAnsi="Gill Sans MT"/>
          <w:bCs/>
          <w:i/>
          <w:iCs/>
          <w:sz w:val="24"/>
          <w:szCs w:val="24"/>
        </w:rPr>
        <w:t>18</w:t>
      </w:r>
      <w:r w:rsidRPr="00093F2A">
        <w:rPr>
          <w:rFonts w:ascii="Gill Sans MT" w:hAnsi="Gill Sans MT"/>
          <w:bCs/>
          <w:sz w:val="24"/>
          <w:szCs w:val="24"/>
        </w:rPr>
        <w:t>(1), 138-150.</w:t>
      </w:r>
    </w:p>
    <w:p w14:paraId="3DF5C463"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Wood, G., &amp; Wright, M. (2009). Private equity: A review and synthesis. </w:t>
      </w:r>
      <w:r w:rsidRPr="00093F2A">
        <w:rPr>
          <w:rFonts w:ascii="Gill Sans MT" w:hAnsi="Gill Sans MT"/>
          <w:bCs/>
          <w:i/>
          <w:iCs/>
          <w:sz w:val="24"/>
          <w:szCs w:val="24"/>
        </w:rPr>
        <w:t>International Journal of Management Reviews</w:t>
      </w:r>
      <w:r w:rsidRPr="00093F2A">
        <w:rPr>
          <w:rFonts w:ascii="Gill Sans MT" w:hAnsi="Gill Sans MT"/>
          <w:bCs/>
          <w:sz w:val="24"/>
          <w:szCs w:val="24"/>
        </w:rPr>
        <w:t>, </w:t>
      </w:r>
      <w:r w:rsidRPr="00093F2A">
        <w:rPr>
          <w:rFonts w:ascii="Gill Sans MT" w:hAnsi="Gill Sans MT"/>
          <w:bCs/>
          <w:i/>
          <w:iCs/>
          <w:sz w:val="24"/>
          <w:szCs w:val="24"/>
        </w:rPr>
        <w:t>11</w:t>
      </w:r>
      <w:r w:rsidRPr="00093F2A">
        <w:rPr>
          <w:rFonts w:ascii="Gill Sans MT" w:hAnsi="Gill Sans MT"/>
          <w:bCs/>
          <w:sz w:val="24"/>
          <w:szCs w:val="24"/>
        </w:rPr>
        <w:t>(4), 361-380.</w:t>
      </w:r>
    </w:p>
    <w:p w14:paraId="187BEBD3"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Wright, M., &amp; Robbie, K. (1999). </w:t>
      </w:r>
      <w:r w:rsidRPr="00093F2A">
        <w:rPr>
          <w:rFonts w:ascii="Gill Sans MT" w:hAnsi="Gill Sans MT"/>
          <w:bCs/>
          <w:i/>
          <w:iCs/>
          <w:sz w:val="24"/>
          <w:szCs w:val="24"/>
        </w:rPr>
        <w:t>Management buy-outs and venture capital</w:t>
      </w:r>
      <w:r w:rsidRPr="00093F2A">
        <w:rPr>
          <w:rFonts w:ascii="Gill Sans MT" w:hAnsi="Gill Sans MT"/>
          <w:bCs/>
          <w:sz w:val="24"/>
          <w:szCs w:val="24"/>
        </w:rPr>
        <w:t>. Edward Elgar Publishing.</w:t>
      </w:r>
    </w:p>
    <w:p w14:paraId="6512B9AB" w14:textId="77777777" w:rsidR="009F3789" w:rsidRPr="00093F2A" w:rsidRDefault="009F3789" w:rsidP="006532EC">
      <w:pPr>
        <w:rPr>
          <w:rFonts w:ascii="Gill Sans MT" w:hAnsi="Gill Sans MT"/>
          <w:bCs/>
          <w:sz w:val="24"/>
          <w:szCs w:val="24"/>
        </w:rPr>
      </w:pPr>
      <w:r w:rsidRPr="00093F2A">
        <w:rPr>
          <w:rFonts w:ascii="Gill Sans MT" w:hAnsi="Gill Sans MT"/>
          <w:bCs/>
          <w:sz w:val="24"/>
          <w:szCs w:val="24"/>
        </w:rPr>
        <w:t>Wright, M., Renneboog, L., Simons, T., &amp; Scholes, L. (2006). Leveraged buyouts in the UK and Continental Europe: Retrospect and Prospect. </w:t>
      </w:r>
      <w:r w:rsidRPr="00093F2A">
        <w:rPr>
          <w:rFonts w:ascii="Gill Sans MT" w:hAnsi="Gill Sans MT"/>
          <w:bCs/>
          <w:i/>
          <w:iCs/>
          <w:sz w:val="24"/>
          <w:szCs w:val="24"/>
        </w:rPr>
        <w:t>Journal of Applied Corporate Finance</w:t>
      </w:r>
      <w:r w:rsidRPr="00093F2A">
        <w:rPr>
          <w:rFonts w:ascii="Gill Sans MT" w:hAnsi="Gill Sans MT"/>
          <w:bCs/>
          <w:sz w:val="24"/>
          <w:szCs w:val="24"/>
        </w:rPr>
        <w:t>, </w:t>
      </w:r>
      <w:r w:rsidRPr="00093F2A">
        <w:rPr>
          <w:rFonts w:ascii="Gill Sans MT" w:hAnsi="Gill Sans MT"/>
          <w:bCs/>
          <w:i/>
          <w:iCs/>
          <w:sz w:val="24"/>
          <w:szCs w:val="24"/>
        </w:rPr>
        <w:t>18</w:t>
      </w:r>
      <w:r w:rsidRPr="00093F2A">
        <w:rPr>
          <w:rFonts w:ascii="Gill Sans MT" w:hAnsi="Gill Sans MT"/>
          <w:bCs/>
          <w:sz w:val="24"/>
          <w:szCs w:val="24"/>
        </w:rPr>
        <w:t>(3), 38-55.</w:t>
      </w:r>
    </w:p>
    <w:p w14:paraId="6972F098" w14:textId="040E830A" w:rsidR="108DE40A" w:rsidRPr="00093F2A" w:rsidRDefault="108DE40A" w:rsidP="001716DA">
      <w:pPr>
        <w:spacing w:line="257" w:lineRule="auto"/>
        <w:rPr>
          <w:rFonts w:ascii="Gill Sans MT" w:hAnsi="Gill Sans MT"/>
          <w:sz w:val="24"/>
          <w:szCs w:val="24"/>
        </w:rPr>
      </w:pPr>
    </w:p>
    <w:p w14:paraId="3BC5CB28" w14:textId="2E0FA409" w:rsidR="001A3981" w:rsidRPr="00093F2A" w:rsidRDefault="001A3981" w:rsidP="001716DA">
      <w:pPr>
        <w:spacing w:line="257" w:lineRule="auto"/>
        <w:rPr>
          <w:rFonts w:ascii="Gill Sans MT" w:hAnsi="Gill Sans MT"/>
          <w:sz w:val="24"/>
          <w:szCs w:val="24"/>
        </w:rPr>
      </w:pPr>
    </w:p>
    <w:p w14:paraId="2914B354" w14:textId="1A3070FD" w:rsidR="001A3981" w:rsidRPr="00093F2A" w:rsidRDefault="001A3981" w:rsidP="001716DA">
      <w:pPr>
        <w:spacing w:line="257" w:lineRule="auto"/>
        <w:rPr>
          <w:rFonts w:ascii="Gill Sans MT" w:hAnsi="Gill Sans MT"/>
          <w:sz w:val="24"/>
          <w:szCs w:val="24"/>
        </w:rPr>
      </w:pPr>
    </w:p>
    <w:p w14:paraId="4F6B5AB9" w14:textId="6484499D" w:rsidR="001A3981" w:rsidRPr="00093F2A" w:rsidRDefault="001A3981" w:rsidP="001716DA">
      <w:pPr>
        <w:spacing w:line="257" w:lineRule="auto"/>
        <w:rPr>
          <w:rFonts w:ascii="Gill Sans MT" w:hAnsi="Gill Sans MT"/>
          <w:sz w:val="24"/>
          <w:szCs w:val="24"/>
        </w:rPr>
      </w:pPr>
    </w:p>
    <w:p w14:paraId="42090724" w14:textId="6F63DAA0" w:rsidR="001A3981" w:rsidRPr="00093F2A" w:rsidRDefault="001A3981" w:rsidP="001716DA">
      <w:pPr>
        <w:spacing w:line="257" w:lineRule="auto"/>
        <w:rPr>
          <w:rFonts w:ascii="Gill Sans MT" w:hAnsi="Gill Sans MT"/>
          <w:sz w:val="24"/>
          <w:szCs w:val="24"/>
        </w:rPr>
      </w:pPr>
    </w:p>
    <w:p w14:paraId="64C71134" w14:textId="43EBD314" w:rsidR="001A3981" w:rsidRPr="00093F2A" w:rsidRDefault="001A3981" w:rsidP="001716DA">
      <w:pPr>
        <w:spacing w:line="257" w:lineRule="auto"/>
        <w:rPr>
          <w:rFonts w:ascii="Gill Sans MT" w:hAnsi="Gill Sans MT"/>
          <w:sz w:val="24"/>
          <w:szCs w:val="24"/>
        </w:rPr>
      </w:pPr>
    </w:p>
    <w:p w14:paraId="490D8247" w14:textId="264BB9BB" w:rsidR="001A3981" w:rsidRPr="00093F2A" w:rsidRDefault="001A3981" w:rsidP="001716DA">
      <w:pPr>
        <w:spacing w:line="257" w:lineRule="auto"/>
        <w:rPr>
          <w:rFonts w:ascii="Gill Sans MT" w:hAnsi="Gill Sans MT"/>
          <w:sz w:val="24"/>
          <w:szCs w:val="24"/>
        </w:rPr>
      </w:pPr>
    </w:p>
    <w:p w14:paraId="42210FE7" w14:textId="096BEA03" w:rsidR="001A3981" w:rsidRPr="00093F2A" w:rsidRDefault="001A3981" w:rsidP="001716DA">
      <w:pPr>
        <w:spacing w:line="257" w:lineRule="auto"/>
        <w:rPr>
          <w:rFonts w:ascii="Gill Sans MT" w:hAnsi="Gill Sans MT"/>
          <w:sz w:val="24"/>
          <w:szCs w:val="24"/>
        </w:rPr>
      </w:pPr>
    </w:p>
    <w:tbl>
      <w:tblPr>
        <w:tblW w:w="9440" w:type="dxa"/>
        <w:tblLook w:val="04A0" w:firstRow="1" w:lastRow="0" w:firstColumn="1" w:lastColumn="0" w:noHBand="0" w:noVBand="1"/>
      </w:tblPr>
      <w:tblGrid>
        <w:gridCol w:w="2960"/>
        <w:gridCol w:w="1600"/>
        <w:gridCol w:w="1280"/>
        <w:gridCol w:w="3600"/>
      </w:tblGrid>
      <w:tr w:rsidR="00093F2A" w:rsidRPr="00093F2A" w14:paraId="5D6BBCA0" w14:textId="77777777" w:rsidTr="00201000">
        <w:trPr>
          <w:trHeight w:val="20"/>
        </w:trPr>
        <w:tc>
          <w:tcPr>
            <w:tcW w:w="9440" w:type="dxa"/>
            <w:gridSpan w:val="4"/>
            <w:noWrap/>
            <w:vAlign w:val="bottom"/>
            <w:hideMark/>
          </w:tcPr>
          <w:p w14:paraId="178B7DF4"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b/>
                <w:bCs/>
              </w:rPr>
              <w:lastRenderedPageBreak/>
              <w:t>Table 1  - Sample Distribution</w:t>
            </w:r>
          </w:p>
        </w:tc>
      </w:tr>
      <w:tr w:rsidR="00093F2A" w:rsidRPr="00093F2A" w14:paraId="40415B69"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09302ECE"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Year</w:t>
            </w:r>
          </w:p>
        </w:tc>
        <w:tc>
          <w:tcPr>
            <w:tcW w:w="1600" w:type="dxa"/>
            <w:tcBorders>
              <w:top w:val="single" w:sz="4" w:space="0" w:color="auto"/>
              <w:left w:val="nil"/>
              <w:bottom w:val="single" w:sz="4" w:space="0" w:color="auto"/>
              <w:right w:val="nil"/>
            </w:tcBorders>
            <w:noWrap/>
            <w:vAlign w:val="bottom"/>
            <w:hideMark/>
          </w:tcPr>
          <w:p w14:paraId="18803ECC"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0AF5E72A"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16B1DB93"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5175BE69" w14:textId="77777777" w:rsidTr="00201000">
        <w:trPr>
          <w:trHeight w:val="20"/>
        </w:trPr>
        <w:tc>
          <w:tcPr>
            <w:tcW w:w="2960" w:type="dxa"/>
            <w:noWrap/>
            <w:vAlign w:val="bottom"/>
            <w:hideMark/>
          </w:tcPr>
          <w:p w14:paraId="265CB026"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2005</w:t>
            </w:r>
          </w:p>
        </w:tc>
        <w:tc>
          <w:tcPr>
            <w:tcW w:w="1600" w:type="dxa"/>
            <w:noWrap/>
            <w:vAlign w:val="bottom"/>
            <w:hideMark/>
          </w:tcPr>
          <w:p w14:paraId="4CDE75F3"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134</w:t>
            </w:r>
          </w:p>
        </w:tc>
        <w:tc>
          <w:tcPr>
            <w:tcW w:w="1280" w:type="dxa"/>
            <w:noWrap/>
            <w:vAlign w:val="bottom"/>
            <w:hideMark/>
          </w:tcPr>
          <w:p w14:paraId="0D5FC47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11.28</w:t>
            </w:r>
          </w:p>
        </w:tc>
        <w:tc>
          <w:tcPr>
            <w:tcW w:w="3600" w:type="dxa"/>
            <w:noWrap/>
            <w:vAlign w:val="bottom"/>
            <w:hideMark/>
          </w:tcPr>
          <w:p w14:paraId="2E0002B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w:t>
            </w:r>
          </w:p>
        </w:tc>
      </w:tr>
      <w:tr w:rsidR="00093F2A" w:rsidRPr="00093F2A" w14:paraId="3A12868F" w14:textId="77777777" w:rsidTr="00201000">
        <w:trPr>
          <w:trHeight w:val="20"/>
        </w:trPr>
        <w:tc>
          <w:tcPr>
            <w:tcW w:w="2960" w:type="dxa"/>
            <w:noWrap/>
            <w:vAlign w:val="bottom"/>
            <w:hideMark/>
          </w:tcPr>
          <w:p w14:paraId="2D16B35D"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2006</w:t>
            </w:r>
          </w:p>
        </w:tc>
        <w:tc>
          <w:tcPr>
            <w:tcW w:w="1600" w:type="dxa"/>
            <w:noWrap/>
            <w:vAlign w:val="bottom"/>
            <w:hideMark/>
          </w:tcPr>
          <w:p w14:paraId="5AEBBBDE"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117</w:t>
            </w:r>
          </w:p>
        </w:tc>
        <w:tc>
          <w:tcPr>
            <w:tcW w:w="1280" w:type="dxa"/>
            <w:noWrap/>
            <w:vAlign w:val="bottom"/>
            <w:hideMark/>
          </w:tcPr>
          <w:p w14:paraId="20931F9F"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9.85</w:t>
            </w:r>
          </w:p>
        </w:tc>
        <w:tc>
          <w:tcPr>
            <w:tcW w:w="3600" w:type="dxa"/>
            <w:noWrap/>
            <w:vAlign w:val="bottom"/>
            <w:hideMark/>
          </w:tcPr>
          <w:p w14:paraId="4730E6C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0</w:t>
            </w:r>
          </w:p>
        </w:tc>
      </w:tr>
      <w:tr w:rsidR="00093F2A" w:rsidRPr="00093F2A" w14:paraId="0DC1BCF2" w14:textId="77777777" w:rsidTr="00201000">
        <w:trPr>
          <w:trHeight w:val="20"/>
        </w:trPr>
        <w:tc>
          <w:tcPr>
            <w:tcW w:w="2960" w:type="dxa"/>
            <w:noWrap/>
            <w:vAlign w:val="bottom"/>
            <w:hideMark/>
          </w:tcPr>
          <w:p w14:paraId="73C0F81C"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2007</w:t>
            </w:r>
          </w:p>
        </w:tc>
        <w:tc>
          <w:tcPr>
            <w:tcW w:w="1600" w:type="dxa"/>
            <w:noWrap/>
            <w:vAlign w:val="bottom"/>
            <w:hideMark/>
          </w:tcPr>
          <w:p w14:paraId="4CFB340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95</w:t>
            </w:r>
          </w:p>
        </w:tc>
        <w:tc>
          <w:tcPr>
            <w:tcW w:w="1280" w:type="dxa"/>
            <w:noWrap/>
            <w:vAlign w:val="bottom"/>
            <w:hideMark/>
          </w:tcPr>
          <w:p w14:paraId="5C087D2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8.00</w:t>
            </w:r>
          </w:p>
        </w:tc>
        <w:tc>
          <w:tcPr>
            <w:tcW w:w="3600" w:type="dxa"/>
            <w:noWrap/>
            <w:vAlign w:val="bottom"/>
            <w:hideMark/>
          </w:tcPr>
          <w:p w14:paraId="4CB66EB4"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w:t>
            </w:r>
          </w:p>
        </w:tc>
      </w:tr>
      <w:tr w:rsidR="00093F2A" w:rsidRPr="00093F2A" w14:paraId="4921B7F9" w14:textId="77777777" w:rsidTr="00201000">
        <w:trPr>
          <w:trHeight w:val="20"/>
        </w:trPr>
        <w:tc>
          <w:tcPr>
            <w:tcW w:w="2960" w:type="dxa"/>
            <w:noWrap/>
            <w:vAlign w:val="bottom"/>
            <w:hideMark/>
          </w:tcPr>
          <w:p w14:paraId="5C7A4350"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2008</w:t>
            </w:r>
          </w:p>
        </w:tc>
        <w:tc>
          <w:tcPr>
            <w:tcW w:w="1600" w:type="dxa"/>
            <w:noWrap/>
            <w:vAlign w:val="bottom"/>
            <w:hideMark/>
          </w:tcPr>
          <w:p w14:paraId="59754521"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48</w:t>
            </w:r>
          </w:p>
        </w:tc>
        <w:tc>
          <w:tcPr>
            <w:tcW w:w="1280" w:type="dxa"/>
            <w:noWrap/>
            <w:vAlign w:val="bottom"/>
            <w:hideMark/>
          </w:tcPr>
          <w:p w14:paraId="02E9E081"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4.04</w:t>
            </w:r>
          </w:p>
        </w:tc>
        <w:tc>
          <w:tcPr>
            <w:tcW w:w="3600" w:type="dxa"/>
            <w:noWrap/>
            <w:vAlign w:val="bottom"/>
            <w:hideMark/>
          </w:tcPr>
          <w:p w14:paraId="61565C5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w:t>
            </w:r>
          </w:p>
        </w:tc>
      </w:tr>
      <w:tr w:rsidR="00093F2A" w:rsidRPr="00093F2A" w14:paraId="7127164F" w14:textId="77777777" w:rsidTr="00201000">
        <w:trPr>
          <w:trHeight w:val="20"/>
        </w:trPr>
        <w:tc>
          <w:tcPr>
            <w:tcW w:w="2960" w:type="dxa"/>
            <w:noWrap/>
            <w:vAlign w:val="bottom"/>
            <w:hideMark/>
          </w:tcPr>
          <w:p w14:paraId="2D9B9CAE"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2009</w:t>
            </w:r>
          </w:p>
        </w:tc>
        <w:tc>
          <w:tcPr>
            <w:tcW w:w="1600" w:type="dxa"/>
            <w:noWrap/>
            <w:vAlign w:val="bottom"/>
            <w:hideMark/>
          </w:tcPr>
          <w:p w14:paraId="45D69527"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40</w:t>
            </w:r>
          </w:p>
        </w:tc>
        <w:tc>
          <w:tcPr>
            <w:tcW w:w="1280" w:type="dxa"/>
            <w:noWrap/>
            <w:vAlign w:val="bottom"/>
            <w:hideMark/>
          </w:tcPr>
          <w:p w14:paraId="5424E01E"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3.37</w:t>
            </w:r>
          </w:p>
        </w:tc>
        <w:tc>
          <w:tcPr>
            <w:tcW w:w="3600" w:type="dxa"/>
            <w:noWrap/>
            <w:vAlign w:val="bottom"/>
            <w:hideMark/>
          </w:tcPr>
          <w:p w14:paraId="25B6CEC5"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w:t>
            </w:r>
          </w:p>
        </w:tc>
      </w:tr>
      <w:tr w:rsidR="00093F2A" w:rsidRPr="00093F2A" w14:paraId="4416A051" w14:textId="77777777" w:rsidTr="00201000">
        <w:trPr>
          <w:trHeight w:val="20"/>
        </w:trPr>
        <w:tc>
          <w:tcPr>
            <w:tcW w:w="2960" w:type="dxa"/>
            <w:noWrap/>
            <w:vAlign w:val="bottom"/>
            <w:hideMark/>
          </w:tcPr>
          <w:p w14:paraId="038FBE21"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2010</w:t>
            </w:r>
          </w:p>
        </w:tc>
        <w:tc>
          <w:tcPr>
            <w:tcW w:w="1600" w:type="dxa"/>
            <w:noWrap/>
            <w:vAlign w:val="bottom"/>
            <w:hideMark/>
          </w:tcPr>
          <w:p w14:paraId="3C7D9AFB"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47</w:t>
            </w:r>
          </w:p>
        </w:tc>
        <w:tc>
          <w:tcPr>
            <w:tcW w:w="1280" w:type="dxa"/>
            <w:noWrap/>
            <w:vAlign w:val="bottom"/>
            <w:hideMark/>
          </w:tcPr>
          <w:p w14:paraId="39AF625B"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3.96</w:t>
            </w:r>
          </w:p>
        </w:tc>
        <w:tc>
          <w:tcPr>
            <w:tcW w:w="3600" w:type="dxa"/>
            <w:noWrap/>
            <w:vAlign w:val="bottom"/>
            <w:hideMark/>
          </w:tcPr>
          <w:p w14:paraId="185D085D"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w:t>
            </w:r>
          </w:p>
        </w:tc>
      </w:tr>
      <w:tr w:rsidR="00093F2A" w:rsidRPr="00093F2A" w14:paraId="174986BF" w14:textId="77777777" w:rsidTr="00201000">
        <w:trPr>
          <w:trHeight w:val="20"/>
        </w:trPr>
        <w:tc>
          <w:tcPr>
            <w:tcW w:w="2960" w:type="dxa"/>
            <w:noWrap/>
            <w:vAlign w:val="bottom"/>
            <w:hideMark/>
          </w:tcPr>
          <w:p w14:paraId="331116AC"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2011</w:t>
            </w:r>
          </w:p>
        </w:tc>
        <w:tc>
          <w:tcPr>
            <w:tcW w:w="1600" w:type="dxa"/>
            <w:noWrap/>
            <w:vAlign w:val="bottom"/>
            <w:hideMark/>
          </w:tcPr>
          <w:p w14:paraId="319F96C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72</w:t>
            </w:r>
          </w:p>
        </w:tc>
        <w:tc>
          <w:tcPr>
            <w:tcW w:w="1280" w:type="dxa"/>
            <w:noWrap/>
            <w:vAlign w:val="bottom"/>
            <w:hideMark/>
          </w:tcPr>
          <w:p w14:paraId="526754E3"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6.06</w:t>
            </w:r>
          </w:p>
        </w:tc>
        <w:tc>
          <w:tcPr>
            <w:tcW w:w="3600" w:type="dxa"/>
            <w:noWrap/>
            <w:vAlign w:val="bottom"/>
            <w:hideMark/>
          </w:tcPr>
          <w:p w14:paraId="61305C15"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8</w:t>
            </w:r>
          </w:p>
        </w:tc>
      </w:tr>
      <w:tr w:rsidR="00093F2A" w:rsidRPr="00093F2A" w14:paraId="3A7E1EEF" w14:textId="77777777" w:rsidTr="00201000">
        <w:trPr>
          <w:trHeight w:val="20"/>
        </w:trPr>
        <w:tc>
          <w:tcPr>
            <w:tcW w:w="2960" w:type="dxa"/>
            <w:noWrap/>
            <w:vAlign w:val="bottom"/>
            <w:hideMark/>
          </w:tcPr>
          <w:p w14:paraId="7AC2FD30"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2012</w:t>
            </w:r>
          </w:p>
        </w:tc>
        <w:tc>
          <w:tcPr>
            <w:tcW w:w="1600" w:type="dxa"/>
            <w:noWrap/>
            <w:vAlign w:val="bottom"/>
            <w:hideMark/>
          </w:tcPr>
          <w:p w14:paraId="2578164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75</w:t>
            </w:r>
          </w:p>
        </w:tc>
        <w:tc>
          <w:tcPr>
            <w:tcW w:w="1280" w:type="dxa"/>
            <w:noWrap/>
            <w:vAlign w:val="bottom"/>
            <w:hideMark/>
          </w:tcPr>
          <w:p w14:paraId="0AFC1ED4"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6.31</w:t>
            </w:r>
          </w:p>
        </w:tc>
        <w:tc>
          <w:tcPr>
            <w:tcW w:w="3600" w:type="dxa"/>
            <w:noWrap/>
            <w:vAlign w:val="bottom"/>
            <w:hideMark/>
          </w:tcPr>
          <w:p w14:paraId="05376DDB"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17</w:t>
            </w:r>
          </w:p>
        </w:tc>
      </w:tr>
      <w:tr w:rsidR="00093F2A" w:rsidRPr="00093F2A" w14:paraId="3A158237" w14:textId="77777777" w:rsidTr="00201000">
        <w:trPr>
          <w:trHeight w:val="20"/>
        </w:trPr>
        <w:tc>
          <w:tcPr>
            <w:tcW w:w="2960" w:type="dxa"/>
            <w:noWrap/>
            <w:vAlign w:val="bottom"/>
            <w:hideMark/>
          </w:tcPr>
          <w:p w14:paraId="13758F64"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2013</w:t>
            </w:r>
          </w:p>
        </w:tc>
        <w:tc>
          <w:tcPr>
            <w:tcW w:w="1600" w:type="dxa"/>
            <w:noWrap/>
            <w:vAlign w:val="bottom"/>
            <w:hideMark/>
          </w:tcPr>
          <w:p w14:paraId="200ABDA1"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80</w:t>
            </w:r>
          </w:p>
        </w:tc>
        <w:tc>
          <w:tcPr>
            <w:tcW w:w="1280" w:type="dxa"/>
            <w:noWrap/>
            <w:vAlign w:val="bottom"/>
            <w:hideMark/>
          </w:tcPr>
          <w:p w14:paraId="57199C35"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6.73</w:t>
            </w:r>
          </w:p>
        </w:tc>
        <w:tc>
          <w:tcPr>
            <w:tcW w:w="3600" w:type="dxa"/>
            <w:noWrap/>
            <w:vAlign w:val="bottom"/>
            <w:hideMark/>
          </w:tcPr>
          <w:p w14:paraId="0C8A8B7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18</w:t>
            </w:r>
          </w:p>
        </w:tc>
      </w:tr>
      <w:tr w:rsidR="00093F2A" w:rsidRPr="00093F2A" w14:paraId="2BA0539A" w14:textId="77777777" w:rsidTr="00201000">
        <w:trPr>
          <w:trHeight w:val="20"/>
        </w:trPr>
        <w:tc>
          <w:tcPr>
            <w:tcW w:w="2960" w:type="dxa"/>
            <w:noWrap/>
            <w:vAlign w:val="bottom"/>
            <w:hideMark/>
          </w:tcPr>
          <w:p w14:paraId="663148FA"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2014</w:t>
            </w:r>
          </w:p>
        </w:tc>
        <w:tc>
          <w:tcPr>
            <w:tcW w:w="1600" w:type="dxa"/>
            <w:noWrap/>
            <w:vAlign w:val="bottom"/>
            <w:hideMark/>
          </w:tcPr>
          <w:p w14:paraId="0BC9863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119</w:t>
            </w:r>
          </w:p>
        </w:tc>
        <w:tc>
          <w:tcPr>
            <w:tcW w:w="1280" w:type="dxa"/>
            <w:noWrap/>
            <w:vAlign w:val="bottom"/>
            <w:hideMark/>
          </w:tcPr>
          <w:p w14:paraId="4D2F05A8"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10.02</w:t>
            </w:r>
          </w:p>
        </w:tc>
        <w:tc>
          <w:tcPr>
            <w:tcW w:w="3600" w:type="dxa"/>
            <w:noWrap/>
            <w:vAlign w:val="bottom"/>
            <w:hideMark/>
          </w:tcPr>
          <w:p w14:paraId="1FF8ECC7"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21</w:t>
            </w:r>
          </w:p>
        </w:tc>
      </w:tr>
      <w:tr w:rsidR="00093F2A" w:rsidRPr="00093F2A" w14:paraId="78FDB81D" w14:textId="77777777" w:rsidTr="00201000">
        <w:trPr>
          <w:trHeight w:val="20"/>
        </w:trPr>
        <w:tc>
          <w:tcPr>
            <w:tcW w:w="2960" w:type="dxa"/>
            <w:noWrap/>
            <w:vAlign w:val="bottom"/>
            <w:hideMark/>
          </w:tcPr>
          <w:p w14:paraId="40B41575"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2015</w:t>
            </w:r>
          </w:p>
        </w:tc>
        <w:tc>
          <w:tcPr>
            <w:tcW w:w="1600" w:type="dxa"/>
            <w:noWrap/>
            <w:vAlign w:val="bottom"/>
            <w:hideMark/>
          </w:tcPr>
          <w:p w14:paraId="57A81387"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121</w:t>
            </w:r>
          </w:p>
        </w:tc>
        <w:tc>
          <w:tcPr>
            <w:tcW w:w="1280" w:type="dxa"/>
            <w:noWrap/>
            <w:vAlign w:val="bottom"/>
            <w:hideMark/>
          </w:tcPr>
          <w:p w14:paraId="6601FCB4"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10.19</w:t>
            </w:r>
          </w:p>
        </w:tc>
        <w:tc>
          <w:tcPr>
            <w:tcW w:w="3600" w:type="dxa"/>
            <w:noWrap/>
            <w:vAlign w:val="bottom"/>
            <w:hideMark/>
          </w:tcPr>
          <w:p w14:paraId="75487D5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21</w:t>
            </w:r>
          </w:p>
        </w:tc>
      </w:tr>
      <w:tr w:rsidR="00093F2A" w:rsidRPr="00093F2A" w14:paraId="34CD5361" w14:textId="77777777" w:rsidTr="00201000">
        <w:trPr>
          <w:trHeight w:val="20"/>
        </w:trPr>
        <w:tc>
          <w:tcPr>
            <w:tcW w:w="2960" w:type="dxa"/>
            <w:noWrap/>
            <w:vAlign w:val="bottom"/>
            <w:hideMark/>
          </w:tcPr>
          <w:p w14:paraId="388D293F"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2016</w:t>
            </w:r>
          </w:p>
        </w:tc>
        <w:tc>
          <w:tcPr>
            <w:tcW w:w="1600" w:type="dxa"/>
            <w:noWrap/>
            <w:vAlign w:val="bottom"/>
            <w:hideMark/>
          </w:tcPr>
          <w:p w14:paraId="1A742158"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110</w:t>
            </w:r>
          </w:p>
        </w:tc>
        <w:tc>
          <w:tcPr>
            <w:tcW w:w="1280" w:type="dxa"/>
            <w:noWrap/>
            <w:vAlign w:val="bottom"/>
            <w:hideMark/>
          </w:tcPr>
          <w:p w14:paraId="742FDD1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9.26</w:t>
            </w:r>
          </w:p>
        </w:tc>
        <w:tc>
          <w:tcPr>
            <w:tcW w:w="3600" w:type="dxa"/>
            <w:noWrap/>
            <w:vAlign w:val="bottom"/>
            <w:hideMark/>
          </w:tcPr>
          <w:p w14:paraId="6B40ECE7"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25</w:t>
            </w:r>
          </w:p>
        </w:tc>
      </w:tr>
      <w:tr w:rsidR="00093F2A" w:rsidRPr="00093F2A" w14:paraId="4069595D" w14:textId="77777777" w:rsidTr="00201000">
        <w:trPr>
          <w:trHeight w:val="20"/>
        </w:trPr>
        <w:tc>
          <w:tcPr>
            <w:tcW w:w="2960" w:type="dxa"/>
            <w:noWrap/>
            <w:vAlign w:val="bottom"/>
            <w:hideMark/>
          </w:tcPr>
          <w:p w14:paraId="440474A6"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2017</w:t>
            </w:r>
          </w:p>
        </w:tc>
        <w:tc>
          <w:tcPr>
            <w:tcW w:w="1600" w:type="dxa"/>
            <w:noWrap/>
            <w:vAlign w:val="bottom"/>
            <w:hideMark/>
          </w:tcPr>
          <w:p w14:paraId="79FBD7E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130</w:t>
            </w:r>
          </w:p>
        </w:tc>
        <w:tc>
          <w:tcPr>
            <w:tcW w:w="1280" w:type="dxa"/>
            <w:noWrap/>
            <w:vAlign w:val="bottom"/>
            <w:hideMark/>
          </w:tcPr>
          <w:p w14:paraId="4D976DD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10.94</w:t>
            </w:r>
          </w:p>
        </w:tc>
        <w:tc>
          <w:tcPr>
            <w:tcW w:w="3600" w:type="dxa"/>
            <w:noWrap/>
            <w:vAlign w:val="bottom"/>
            <w:hideMark/>
          </w:tcPr>
          <w:p w14:paraId="455DF413"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24</w:t>
            </w:r>
          </w:p>
        </w:tc>
      </w:tr>
      <w:tr w:rsidR="00093F2A" w:rsidRPr="00093F2A" w14:paraId="73B3F0A0" w14:textId="77777777" w:rsidTr="00201000">
        <w:trPr>
          <w:trHeight w:val="20"/>
        </w:trPr>
        <w:tc>
          <w:tcPr>
            <w:tcW w:w="2960" w:type="dxa"/>
            <w:noWrap/>
            <w:vAlign w:val="bottom"/>
            <w:hideMark/>
          </w:tcPr>
          <w:p w14:paraId="2496242C"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Total</w:t>
            </w:r>
          </w:p>
        </w:tc>
        <w:tc>
          <w:tcPr>
            <w:tcW w:w="1600" w:type="dxa"/>
            <w:noWrap/>
            <w:vAlign w:val="bottom"/>
            <w:hideMark/>
          </w:tcPr>
          <w:p w14:paraId="2EF6683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1,188</w:t>
            </w:r>
          </w:p>
        </w:tc>
        <w:tc>
          <w:tcPr>
            <w:tcW w:w="1280" w:type="dxa"/>
            <w:noWrap/>
            <w:vAlign w:val="bottom"/>
            <w:hideMark/>
          </w:tcPr>
          <w:p w14:paraId="3E09546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100</w:t>
            </w:r>
          </w:p>
        </w:tc>
        <w:tc>
          <w:tcPr>
            <w:tcW w:w="3600" w:type="dxa"/>
            <w:noWrap/>
            <w:vAlign w:val="bottom"/>
            <w:hideMark/>
          </w:tcPr>
          <w:p w14:paraId="06F803B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149</w:t>
            </w:r>
          </w:p>
        </w:tc>
      </w:tr>
      <w:tr w:rsidR="00093F2A" w:rsidRPr="00093F2A" w14:paraId="740363FA" w14:textId="77777777" w:rsidTr="00201000">
        <w:trPr>
          <w:trHeight w:val="20"/>
        </w:trPr>
        <w:tc>
          <w:tcPr>
            <w:tcW w:w="2960" w:type="dxa"/>
            <w:noWrap/>
            <w:vAlign w:val="bottom"/>
            <w:hideMark/>
          </w:tcPr>
          <w:p w14:paraId="59232634" w14:textId="77777777" w:rsidR="001E5D09" w:rsidRPr="00093F2A" w:rsidRDefault="001E5D09">
            <w:pPr>
              <w:rPr>
                <w:rFonts w:ascii="Gill Sans MT" w:hAnsi="Gill Sans MT" w:cs="Times New Roman"/>
              </w:rPr>
            </w:pPr>
          </w:p>
        </w:tc>
        <w:tc>
          <w:tcPr>
            <w:tcW w:w="1600" w:type="dxa"/>
            <w:noWrap/>
            <w:vAlign w:val="bottom"/>
            <w:hideMark/>
          </w:tcPr>
          <w:p w14:paraId="347D914D" w14:textId="77777777" w:rsidR="001E5D09" w:rsidRPr="00093F2A" w:rsidRDefault="001E5D09">
            <w:pPr>
              <w:spacing w:after="0"/>
              <w:rPr>
                <w:sz w:val="20"/>
                <w:szCs w:val="20"/>
              </w:rPr>
            </w:pPr>
          </w:p>
        </w:tc>
        <w:tc>
          <w:tcPr>
            <w:tcW w:w="1280" w:type="dxa"/>
            <w:noWrap/>
            <w:vAlign w:val="bottom"/>
            <w:hideMark/>
          </w:tcPr>
          <w:p w14:paraId="503C0CD7" w14:textId="77777777" w:rsidR="001E5D09" w:rsidRPr="00093F2A" w:rsidRDefault="001E5D09">
            <w:pPr>
              <w:spacing w:after="0"/>
              <w:rPr>
                <w:sz w:val="20"/>
                <w:szCs w:val="20"/>
              </w:rPr>
            </w:pPr>
          </w:p>
        </w:tc>
        <w:tc>
          <w:tcPr>
            <w:tcW w:w="3600" w:type="dxa"/>
            <w:noWrap/>
            <w:vAlign w:val="bottom"/>
            <w:hideMark/>
          </w:tcPr>
          <w:p w14:paraId="2AC57417" w14:textId="77777777" w:rsidR="001E5D09" w:rsidRPr="00093F2A" w:rsidRDefault="001E5D09">
            <w:pPr>
              <w:spacing w:after="0"/>
              <w:rPr>
                <w:sz w:val="20"/>
                <w:szCs w:val="20"/>
              </w:rPr>
            </w:pPr>
          </w:p>
        </w:tc>
      </w:tr>
      <w:tr w:rsidR="00093F2A" w:rsidRPr="00093F2A" w14:paraId="2921017E"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411F74EB"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Acquirer business line</w:t>
            </w:r>
          </w:p>
        </w:tc>
        <w:tc>
          <w:tcPr>
            <w:tcW w:w="1600" w:type="dxa"/>
            <w:tcBorders>
              <w:top w:val="single" w:sz="4" w:space="0" w:color="auto"/>
              <w:left w:val="nil"/>
              <w:bottom w:val="single" w:sz="4" w:space="0" w:color="auto"/>
              <w:right w:val="nil"/>
            </w:tcBorders>
            <w:noWrap/>
            <w:vAlign w:val="bottom"/>
            <w:hideMark/>
          </w:tcPr>
          <w:p w14:paraId="6ED52207"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01874B67"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3E644E6A"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0E77A0CD" w14:textId="77777777" w:rsidTr="00201000">
        <w:trPr>
          <w:trHeight w:val="20"/>
        </w:trPr>
        <w:tc>
          <w:tcPr>
            <w:tcW w:w="2960" w:type="dxa"/>
            <w:noWrap/>
            <w:vAlign w:val="bottom"/>
            <w:hideMark/>
          </w:tcPr>
          <w:p w14:paraId="7242FA90"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Asset Manager</w:t>
            </w:r>
          </w:p>
        </w:tc>
        <w:tc>
          <w:tcPr>
            <w:tcW w:w="1600" w:type="dxa"/>
            <w:noWrap/>
            <w:vAlign w:val="bottom"/>
            <w:hideMark/>
          </w:tcPr>
          <w:p w14:paraId="0E93649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6</w:t>
            </w:r>
          </w:p>
        </w:tc>
        <w:tc>
          <w:tcPr>
            <w:tcW w:w="1280" w:type="dxa"/>
            <w:noWrap/>
            <w:vAlign w:val="bottom"/>
            <w:hideMark/>
          </w:tcPr>
          <w:p w14:paraId="4785EB10"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0.51</w:t>
            </w:r>
          </w:p>
        </w:tc>
        <w:tc>
          <w:tcPr>
            <w:tcW w:w="3600" w:type="dxa"/>
            <w:noWrap/>
            <w:vAlign w:val="bottom"/>
            <w:hideMark/>
          </w:tcPr>
          <w:p w14:paraId="77979D3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w:t>
            </w:r>
          </w:p>
        </w:tc>
      </w:tr>
      <w:tr w:rsidR="00093F2A" w:rsidRPr="00093F2A" w14:paraId="6F65AADB" w14:textId="77777777" w:rsidTr="00201000">
        <w:trPr>
          <w:trHeight w:val="20"/>
        </w:trPr>
        <w:tc>
          <w:tcPr>
            <w:tcW w:w="2960" w:type="dxa"/>
            <w:noWrap/>
            <w:vAlign w:val="bottom"/>
            <w:hideMark/>
          </w:tcPr>
          <w:p w14:paraId="1E608D26"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Bank</w:t>
            </w:r>
          </w:p>
        </w:tc>
        <w:tc>
          <w:tcPr>
            <w:tcW w:w="1600" w:type="dxa"/>
            <w:noWrap/>
            <w:vAlign w:val="bottom"/>
            <w:hideMark/>
          </w:tcPr>
          <w:p w14:paraId="7913B8E0"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1,036</w:t>
            </w:r>
          </w:p>
        </w:tc>
        <w:tc>
          <w:tcPr>
            <w:tcW w:w="1280" w:type="dxa"/>
            <w:noWrap/>
            <w:vAlign w:val="bottom"/>
            <w:hideMark/>
          </w:tcPr>
          <w:p w14:paraId="04A873EC"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87.21</w:t>
            </w:r>
          </w:p>
        </w:tc>
        <w:tc>
          <w:tcPr>
            <w:tcW w:w="3600" w:type="dxa"/>
            <w:noWrap/>
            <w:vAlign w:val="bottom"/>
            <w:hideMark/>
          </w:tcPr>
          <w:p w14:paraId="4D73D2A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132</w:t>
            </w:r>
          </w:p>
        </w:tc>
      </w:tr>
      <w:tr w:rsidR="00093F2A" w:rsidRPr="00093F2A" w14:paraId="2729CA4B" w14:textId="77777777" w:rsidTr="00201000">
        <w:trPr>
          <w:trHeight w:val="20"/>
        </w:trPr>
        <w:tc>
          <w:tcPr>
            <w:tcW w:w="2960" w:type="dxa"/>
            <w:noWrap/>
            <w:vAlign w:val="bottom"/>
            <w:hideMark/>
          </w:tcPr>
          <w:p w14:paraId="2A58915D"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Broker-Dealer</w:t>
            </w:r>
          </w:p>
        </w:tc>
        <w:tc>
          <w:tcPr>
            <w:tcW w:w="1600" w:type="dxa"/>
            <w:noWrap/>
            <w:vAlign w:val="bottom"/>
            <w:hideMark/>
          </w:tcPr>
          <w:p w14:paraId="22CD75BA"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35</w:t>
            </w:r>
          </w:p>
        </w:tc>
        <w:tc>
          <w:tcPr>
            <w:tcW w:w="1280" w:type="dxa"/>
            <w:noWrap/>
            <w:vAlign w:val="bottom"/>
            <w:hideMark/>
          </w:tcPr>
          <w:p w14:paraId="3F2A2B59"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2.95</w:t>
            </w:r>
          </w:p>
        </w:tc>
        <w:tc>
          <w:tcPr>
            <w:tcW w:w="3600" w:type="dxa"/>
            <w:noWrap/>
            <w:vAlign w:val="bottom"/>
            <w:hideMark/>
          </w:tcPr>
          <w:p w14:paraId="4FCDD9CF"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w:t>
            </w:r>
          </w:p>
        </w:tc>
      </w:tr>
      <w:tr w:rsidR="00093F2A" w:rsidRPr="00093F2A" w14:paraId="269E997A" w14:textId="77777777" w:rsidTr="00201000">
        <w:trPr>
          <w:trHeight w:val="20"/>
        </w:trPr>
        <w:tc>
          <w:tcPr>
            <w:tcW w:w="2960" w:type="dxa"/>
            <w:noWrap/>
            <w:vAlign w:val="bottom"/>
            <w:hideMark/>
          </w:tcPr>
          <w:p w14:paraId="09426EE6"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Financial Technology</w:t>
            </w:r>
          </w:p>
        </w:tc>
        <w:tc>
          <w:tcPr>
            <w:tcW w:w="1600" w:type="dxa"/>
            <w:noWrap/>
            <w:vAlign w:val="bottom"/>
            <w:hideMark/>
          </w:tcPr>
          <w:p w14:paraId="54A52440"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w:t>
            </w:r>
          </w:p>
        </w:tc>
        <w:tc>
          <w:tcPr>
            <w:tcW w:w="1280" w:type="dxa"/>
            <w:noWrap/>
            <w:vAlign w:val="bottom"/>
            <w:hideMark/>
          </w:tcPr>
          <w:p w14:paraId="5E6C9C04"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0.34</w:t>
            </w:r>
          </w:p>
        </w:tc>
        <w:tc>
          <w:tcPr>
            <w:tcW w:w="3600" w:type="dxa"/>
            <w:noWrap/>
            <w:vAlign w:val="bottom"/>
            <w:hideMark/>
          </w:tcPr>
          <w:p w14:paraId="07AA2D75"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0</w:t>
            </w:r>
          </w:p>
        </w:tc>
      </w:tr>
      <w:tr w:rsidR="00093F2A" w:rsidRPr="00093F2A" w14:paraId="0925E3C4" w14:textId="77777777" w:rsidTr="00201000">
        <w:trPr>
          <w:trHeight w:val="20"/>
        </w:trPr>
        <w:tc>
          <w:tcPr>
            <w:tcW w:w="2960" w:type="dxa"/>
            <w:noWrap/>
            <w:vAlign w:val="bottom"/>
            <w:hideMark/>
          </w:tcPr>
          <w:p w14:paraId="2D72AB19"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Insurance Underwriter</w:t>
            </w:r>
          </w:p>
        </w:tc>
        <w:tc>
          <w:tcPr>
            <w:tcW w:w="1600" w:type="dxa"/>
            <w:noWrap/>
            <w:vAlign w:val="bottom"/>
            <w:hideMark/>
          </w:tcPr>
          <w:p w14:paraId="231AA664"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17</w:t>
            </w:r>
          </w:p>
        </w:tc>
        <w:tc>
          <w:tcPr>
            <w:tcW w:w="1280" w:type="dxa"/>
            <w:noWrap/>
            <w:vAlign w:val="bottom"/>
            <w:hideMark/>
          </w:tcPr>
          <w:p w14:paraId="506E08AB"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1.43</w:t>
            </w:r>
          </w:p>
        </w:tc>
        <w:tc>
          <w:tcPr>
            <w:tcW w:w="3600" w:type="dxa"/>
            <w:noWrap/>
            <w:vAlign w:val="bottom"/>
            <w:hideMark/>
          </w:tcPr>
          <w:p w14:paraId="284F66C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w:t>
            </w:r>
          </w:p>
        </w:tc>
      </w:tr>
      <w:tr w:rsidR="00093F2A" w:rsidRPr="00093F2A" w14:paraId="4D29834E" w14:textId="77777777" w:rsidTr="00201000">
        <w:trPr>
          <w:trHeight w:val="20"/>
        </w:trPr>
        <w:tc>
          <w:tcPr>
            <w:tcW w:w="2960" w:type="dxa"/>
            <w:noWrap/>
            <w:vAlign w:val="bottom"/>
            <w:hideMark/>
          </w:tcPr>
          <w:p w14:paraId="0D9F8E07"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Savings Bank/Thrift/Mutual</w:t>
            </w:r>
          </w:p>
        </w:tc>
        <w:tc>
          <w:tcPr>
            <w:tcW w:w="1600" w:type="dxa"/>
            <w:noWrap/>
            <w:vAlign w:val="bottom"/>
            <w:hideMark/>
          </w:tcPr>
          <w:p w14:paraId="3D186262"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76</w:t>
            </w:r>
          </w:p>
        </w:tc>
        <w:tc>
          <w:tcPr>
            <w:tcW w:w="1280" w:type="dxa"/>
            <w:noWrap/>
            <w:vAlign w:val="bottom"/>
            <w:hideMark/>
          </w:tcPr>
          <w:p w14:paraId="6B831A26"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6.4</w:t>
            </w:r>
          </w:p>
        </w:tc>
        <w:tc>
          <w:tcPr>
            <w:tcW w:w="3600" w:type="dxa"/>
            <w:noWrap/>
            <w:vAlign w:val="bottom"/>
            <w:hideMark/>
          </w:tcPr>
          <w:p w14:paraId="1F8F07C3"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7</w:t>
            </w:r>
          </w:p>
        </w:tc>
      </w:tr>
      <w:tr w:rsidR="00093F2A" w:rsidRPr="00093F2A" w14:paraId="2A56B81A" w14:textId="77777777" w:rsidTr="00201000">
        <w:trPr>
          <w:trHeight w:val="20"/>
        </w:trPr>
        <w:tc>
          <w:tcPr>
            <w:tcW w:w="2960" w:type="dxa"/>
            <w:noWrap/>
            <w:vAlign w:val="bottom"/>
            <w:hideMark/>
          </w:tcPr>
          <w:p w14:paraId="4C9F1B68"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Specialty Lender</w:t>
            </w:r>
          </w:p>
        </w:tc>
        <w:tc>
          <w:tcPr>
            <w:tcW w:w="1600" w:type="dxa"/>
            <w:noWrap/>
            <w:vAlign w:val="bottom"/>
            <w:hideMark/>
          </w:tcPr>
          <w:p w14:paraId="0EEB36FB"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14</w:t>
            </w:r>
          </w:p>
        </w:tc>
        <w:tc>
          <w:tcPr>
            <w:tcW w:w="1280" w:type="dxa"/>
            <w:noWrap/>
            <w:vAlign w:val="bottom"/>
            <w:hideMark/>
          </w:tcPr>
          <w:p w14:paraId="70A8F89F"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1.18</w:t>
            </w:r>
          </w:p>
        </w:tc>
        <w:tc>
          <w:tcPr>
            <w:tcW w:w="3600" w:type="dxa"/>
            <w:noWrap/>
            <w:vAlign w:val="bottom"/>
            <w:hideMark/>
          </w:tcPr>
          <w:p w14:paraId="1D56E9DE" w14:textId="77777777" w:rsidR="001E5D09" w:rsidRPr="00093F2A" w:rsidRDefault="001E5D09">
            <w:pPr>
              <w:spacing w:after="0" w:line="240" w:lineRule="auto"/>
              <w:rPr>
                <w:rFonts w:ascii="Gill Sans MT" w:hAnsi="Gill Sans MT" w:cs="Times New Roman"/>
              </w:rPr>
            </w:pPr>
            <w:r w:rsidRPr="00093F2A">
              <w:rPr>
                <w:rFonts w:ascii="Gill Sans MT" w:hAnsi="Gill Sans MT" w:cs="Times New Roman"/>
              </w:rPr>
              <w:t>4</w:t>
            </w:r>
          </w:p>
        </w:tc>
      </w:tr>
      <w:tr w:rsidR="00093F2A" w:rsidRPr="00093F2A" w14:paraId="667D0205" w14:textId="77777777" w:rsidTr="00201000">
        <w:trPr>
          <w:trHeight w:val="20"/>
        </w:trPr>
        <w:tc>
          <w:tcPr>
            <w:tcW w:w="2960" w:type="dxa"/>
            <w:noWrap/>
            <w:vAlign w:val="bottom"/>
            <w:hideMark/>
          </w:tcPr>
          <w:p w14:paraId="5BE177BD" w14:textId="77777777" w:rsidR="001E5D09" w:rsidRPr="00093F2A" w:rsidRDefault="001E5D09">
            <w:pPr>
              <w:rPr>
                <w:rFonts w:ascii="Gill Sans MT" w:hAnsi="Gill Sans MT" w:cs="Times New Roman"/>
              </w:rPr>
            </w:pPr>
          </w:p>
        </w:tc>
        <w:tc>
          <w:tcPr>
            <w:tcW w:w="1600" w:type="dxa"/>
            <w:noWrap/>
            <w:vAlign w:val="bottom"/>
            <w:hideMark/>
          </w:tcPr>
          <w:p w14:paraId="73BB73A2" w14:textId="77777777" w:rsidR="001E5D09" w:rsidRPr="00093F2A" w:rsidRDefault="001E5D09">
            <w:pPr>
              <w:spacing w:after="0"/>
              <w:rPr>
                <w:sz w:val="20"/>
                <w:szCs w:val="20"/>
              </w:rPr>
            </w:pPr>
          </w:p>
        </w:tc>
        <w:tc>
          <w:tcPr>
            <w:tcW w:w="1280" w:type="dxa"/>
            <w:noWrap/>
            <w:vAlign w:val="bottom"/>
            <w:hideMark/>
          </w:tcPr>
          <w:p w14:paraId="79501638" w14:textId="77777777" w:rsidR="001E5D09" w:rsidRPr="00093F2A" w:rsidRDefault="001E5D09">
            <w:pPr>
              <w:spacing w:after="0"/>
              <w:rPr>
                <w:sz w:val="20"/>
                <w:szCs w:val="20"/>
              </w:rPr>
            </w:pPr>
          </w:p>
        </w:tc>
        <w:tc>
          <w:tcPr>
            <w:tcW w:w="3600" w:type="dxa"/>
            <w:noWrap/>
            <w:vAlign w:val="bottom"/>
            <w:hideMark/>
          </w:tcPr>
          <w:p w14:paraId="107152AA" w14:textId="77777777" w:rsidR="001E5D09" w:rsidRPr="00093F2A" w:rsidRDefault="001E5D09">
            <w:pPr>
              <w:spacing w:after="0"/>
              <w:rPr>
                <w:sz w:val="20"/>
                <w:szCs w:val="20"/>
              </w:rPr>
            </w:pPr>
          </w:p>
        </w:tc>
      </w:tr>
      <w:tr w:rsidR="00093F2A" w:rsidRPr="00093F2A" w14:paraId="04EA8A15"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64C377D8"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Diversifying acquisitions</w:t>
            </w:r>
          </w:p>
        </w:tc>
        <w:tc>
          <w:tcPr>
            <w:tcW w:w="1600" w:type="dxa"/>
            <w:tcBorders>
              <w:top w:val="single" w:sz="4" w:space="0" w:color="auto"/>
              <w:left w:val="nil"/>
              <w:bottom w:val="single" w:sz="4" w:space="0" w:color="auto"/>
              <w:right w:val="nil"/>
            </w:tcBorders>
            <w:noWrap/>
            <w:vAlign w:val="bottom"/>
            <w:hideMark/>
          </w:tcPr>
          <w:p w14:paraId="39D9873D"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69260CF8"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73CC6FD1"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4E566611" w14:textId="77777777" w:rsidTr="00201000">
        <w:trPr>
          <w:trHeight w:val="20"/>
        </w:trPr>
        <w:tc>
          <w:tcPr>
            <w:tcW w:w="2960" w:type="dxa"/>
            <w:noWrap/>
            <w:vAlign w:val="bottom"/>
            <w:hideMark/>
          </w:tcPr>
          <w:p w14:paraId="34C0037F"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No</w:t>
            </w:r>
          </w:p>
        </w:tc>
        <w:tc>
          <w:tcPr>
            <w:tcW w:w="1600" w:type="dxa"/>
            <w:noWrap/>
            <w:vAlign w:val="bottom"/>
            <w:hideMark/>
          </w:tcPr>
          <w:p w14:paraId="4552FDFF"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486</w:t>
            </w:r>
          </w:p>
        </w:tc>
        <w:tc>
          <w:tcPr>
            <w:tcW w:w="1280" w:type="dxa"/>
            <w:noWrap/>
            <w:vAlign w:val="bottom"/>
            <w:hideMark/>
          </w:tcPr>
          <w:p w14:paraId="1BE6F7D4"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40.91</w:t>
            </w:r>
          </w:p>
        </w:tc>
        <w:tc>
          <w:tcPr>
            <w:tcW w:w="3600" w:type="dxa"/>
            <w:noWrap/>
            <w:vAlign w:val="bottom"/>
            <w:hideMark/>
          </w:tcPr>
          <w:p w14:paraId="06BE51D7"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52</w:t>
            </w:r>
          </w:p>
        </w:tc>
      </w:tr>
      <w:tr w:rsidR="00093F2A" w:rsidRPr="00093F2A" w14:paraId="3E866E1B" w14:textId="77777777" w:rsidTr="00201000">
        <w:trPr>
          <w:trHeight w:val="20"/>
        </w:trPr>
        <w:tc>
          <w:tcPr>
            <w:tcW w:w="2960" w:type="dxa"/>
            <w:noWrap/>
            <w:vAlign w:val="bottom"/>
            <w:hideMark/>
          </w:tcPr>
          <w:p w14:paraId="63968685"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Yes</w:t>
            </w:r>
          </w:p>
        </w:tc>
        <w:tc>
          <w:tcPr>
            <w:tcW w:w="1600" w:type="dxa"/>
            <w:noWrap/>
            <w:vAlign w:val="bottom"/>
            <w:hideMark/>
          </w:tcPr>
          <w:p w14:paraId="20B38F2F"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702</w:t>
            </w:r>
          </w:p>
        </w:tc>
        <w:tc>
          <w:tcPr>
            <w:tcW w:w="1280" w:type="dxa"/>
            <w:noWrap/>
            <w:vAlign w:val="bottom"/>
            <w:hideMark/>
          </w:tcPr>
          <w:p w14:paraId="2388C303"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59.09</w:t>
            </w:r>
          </w:p>
        </w:tc>
        <w:tc>
          <w:tcPr>
            <w:tcW w:w="3600" w:type="dxa"/>
            <w:noWrap/>
            <w:vAlign w:val="bottom"/>
            <w:hideMark/>
          </w:tcPr>
          <w:p w14:paraId="50AE01C3"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97</w:t>
            </w:r>
          </w:p>
        </w:tc>
      </w:tr>
      <w:tr w:rsidR="00093F2A" w:rsidRPr="00093F2A" w14:paraId="1FB5A40F" w14:textId="77777777" w:rsidTr="00201000">
        <w:trPr>
          <w:trHeight w:val="20"/>
        </w:trPr>
        <w:tc>
          <w:tcPr>
            <w:tcW w:w="2960" w:type="dxa"/>
            <w:noWrap/>
            <w:vAlign w:val="bottom"/>
            <w:hideMark/>
          </w:tcPr>
          <w:p w14:paraId="463ADA99" w14:textId="77777777" w:rsidR="001E5D09" w:rsidRPr="00093F2A" w:rsidRDefault="001E5D09">
            <w:pPr>
              <w:rPr>
                <w:rFonts w:ascii="Gill Sans MT" w:hAnsi="Gill Sans MT" w:cs="Times New Roman"/>
              </w:rPr>
            </w:pPr>
          </w:p>
        </w:tc>
        <w:tc>
          <w:tcPr>
            <w:tcW w:w="1600" w:type="dxa"/>
            <w:noWrap/>
            <w:vAlign w:val="bottom"/>
            <w:hideMark/>
          </w:tcPr>
          <w:p w14:paraId="5AE102C9" w14:textId="77777777" w:rsidR="001E5D09" w:rsidRPr="00093F2A" w:rsidRDefault="001E5D09">
            <w:pPr>
              <w:spacing w:after="0"/>
              <w:rPr>
                <w:sz w:val="20"/>
                <w:szCs w:val="20"/>
              </w:rPr>
            </w:pPr>
          </w:p>
        </w:tc>
        <w:tc>
          <w:tcPr>
            <w:tcW w:w="1280" w:type="dxa"/>
            <w:noWrap/>
            <w:vAlign w:val="bottom"/>
            <w:hideMark/>
          </w:tcPr>
          <w:p w14:paraId="0534C5BF" w14:textId="77777777" w:rsidR="001E5D09" w:rsidRPr="00093F2A" w:rsidRDefault="001E5D09">
            <w:pPr>
              <w:spacing w:after="0"/>
              <w:rPr>
                <w:sz w:val="20"/>
                <w:szCs w:val="20"/>
              </w:rPr>
            </w:pPr>
          </w:p>
        </w:tc>
        <w:tc>
          <w:tcPr>
            <w:tcW w:w="3600" w:type="dxa"/>
            <w:noWrap/>
            <w:vAlign w:val="bottom"/>
            <w:hideMark/>
          </w:tcPr>
          <w:p w14:paraId="5492D301" w14:textId="77777777" w:rsidR="001E5D09" w:rsidRPr="00093F2A" w:rsidRDefault="001E5D09">
            <w:pPr>
              <w:spacing w:after="0"/>
              <w:rPr>
                <w:sz w:val="20"/>
                <w:szCs w:val="20"/>
              </w:rPr>
            </w:pPr>
          </w:p>
        </w:tc>
      </w:tr>
      <w:tr w:rsidR="00093F2A" w:rsidRPr="00093F2A" w14:paraId="17E2F614"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16638CFF"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Public targets</w:t>
            </w:r>
          </w:p>
        </w:tc>
        <w:tc>
          <w:tcPr>
            <w:tcW w:w="1600" w:type="dxa"/>
            <w:tcBorders>
              <w:top w:val="single" w:sz="4" w:space="0" w:color="auto"/>
              <w:left w:val="nil"/>
              <w:bottom w:val="single" w:sz="4" w:space="0" w:color="auto"/>
              <w:right w:val="nil"/>
            </w:tcBorders>
            <w:noWrap/>
            <w:vAlign w:val="bottom"/>
            <w:hideMark/>
          </w:tcPr>
          <w:p w14:paraId="0424D94C"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14B0F71A"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640466A7"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2CDB74B1" w14:textId="77777777" w:rsidTr="00201000">
        <w:trPr>
          <w:trHeight w:val="20"/>
        </w:trPr>
        <w:tc>
          <w:tcPr>
            <w:tcW w:w="2960" w:type="dxa"/>
            <w:noWrap/>
            <w:vAlign w:val="bottom"/>
            <w:hideMark/>
          </w:tcPr>
          <w:p w14:paraId="790715D5"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No</w:t>
            </w:r>
          </w:p>
        </w:tc>
        <w:tc>
          <w:tcPr>
            <w:tcW w:w="1600" w:type="dxa"/>
            <w:noWrap/>
            <w:vAlign w:val="bottom"/>
            <w:hideMark/>
          </w:tcPr>
          <w:p w14:paraId="1FDD91E7"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949</w:t>
            </w:r>
          </w:p>
        </w:tc>
        <w:tc>
          <w:tcPr>
            <w:tcW w:w="1280" w:type="dxa"/>
            <w:noWrap/>
            <w:vAlign w:val="bottom"/>
            <w:hideMark/>
          </w:tcPr>
          <w:p w14:paraId="123318C6"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79.88</w:t>
            </w:r>
          </w:p>
        </w:tc>
        <w:tc>
          <w:tcPr>
            <w:tcW w:w="3600" w:type="dxa"/>
            <w:noWrap/>
            <w:vAlign w:val="bottom"/>
            <w:hideMark/>
          </w:tcPr>
          <w:p w14:paraId="4D4A0CD7"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105</w:t>
            </w:r>
          </w:p>
        </w:tc>
      </w:tr>
      <w:tr w:rsidR="00093F2A" w:rsidRPr="00093F2A" w14:paraId="17F46584" w14:textId="77777777" w:rsidTr="00201000">
        <w:trPr>
          <w:trHeight w:val="20"/>
        </w:trPr>
        <w:tc>
          <w:tcPr>
            <w:tcW w:w="2960" w:type="dxa"/>
            <w:noWrap/>
            <w:vAlign w:val="bottom"/>
            <w:hideMark/>
          </w:tcPr>
          <w:p w14:paraId="7A1862F1"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Yes</w:t>
            </w:r>
          </w:p>
        </w:tc>
        <w:tc>
          <w:tcPr>
            <w:tcW w:w="1600" w:type="dxa"/>
            <w:noWrap/>
            <w:vAlign w:val="bottom"/>
            <w:hideMark/>
          </w:tcPr>
          <w:p w14:paraId="1498C40B"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239</w:t>
            </w:r>
          </w:p>
        </w:tc>
        <w:tc>
          <w:tcPr>
            <w:tcW w:w="1280" w:type="dxa"/>
            <w:noWrap/>
            <w:vAlign w:val="bottom"/>
            <w:hideMark/>
          </w:tcPr>
          <w:p w14:paraId="43A5A3A7"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20.12</w:t>
            </w:r>
          </w:p>
        </w:tc>
        <w:tc>
          <w:tcPr>
            <w:tcW w:w="3600" w:type="dxa"/>
            <w:noWrap/>
            <w:vAlign w:val="bottom"/>
            <w:hideMark/>
          </w:tcPr>
          <w:p w14:paraId="44840659"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44</w:t>
            </w:r>
          </w:p>
        </w:tc>
      </w:tr>
      <w:tr w:rsidR="00093F2A" w:rsidRPr="00093F2A" w14:paraId="64CD1091" w14:textId="77777777" w:rsidTr="00201000">
        <w:trPr>
          <w:trHeight w:val="20"/>
        </w:trPr>
        <w:tc>
          <w:tcPr>
            <w:tcW w:w="2960" w:type="dxa"/>
            <w:noWrap/>
            <w:vAlign w:val="bottom"/>
            <w:hideMark/>
          </w:tcPr>
          <w:p w14:paraId="15E742FC" w14:textId="77777777" w:rsidR="001E5D09" w:rsidRPr="00093F2A" w:rsidRDefault="001E5D09">
            <w:pPr>
              <w:rPr>
                <w:rFonts w:ascii="Gill Sans MT" w:hAnsi="Gill Sans MT" w:cs="Times New Roman"/>
              </w:rPr>
            </w:pPr>
          </w:p>
        </w:tc>
        <w:tc>
          <w:tcPr>
            <w:tcW w:w="1600" w:type="dxa"/>
            <w:noWrap/>
            <w:vAlign w:val="bottom"/>
            <w:hideMark/>
          </w:tcPr>
          <w:p w14:paraId="640182B4" w14:textId="77777777" w:rsidR="001E5D09" w:rsidRPr="00093F2A" w:rsidRDefault="001E5D09">
            <w:pPr>
              <w:spacing w:after="0"/>
              <w:rPr>
                <w:sz w:val="20"/>
                <w:szCs w:val="20"/>
              </w:rPr>
            </w:pPr>
          </w:p>
        </w:tc>
        <w:tc>
          <w:tcPr>
            <w:tcW w:w="1280" w:type="dxa"/>
            <w:noWrap/>
            <w:vAlign w:val="bottom"/>
            <w:hideMark/>
          </w:tcPr>
          <w:p w14:paraId="29002655" w14:textId="77777777" w:rsidR="001E5D09" w:rsidRPr="00093F2A" w:rsidRDefault="001E5D09">
            <w:pPr>
              <w:spacing w:after="0"/>
              <w:rPr>
                <w:sz w:val="20"/>
                <w:szCs w:val="20"/>
              </w:rPr>
            </w:pPr>
          </w:p>
        </w:tc>
        <w:tc>
          <w:tcPr>
            <w:tcW w:w="3600" w:type="dxa"/>
            <w:noWrap/>
            <w:vAlign w:val="bottom"/>
            <w:hideMark/>
          </w:tcPr>
          <w:p w14:paraId="05CB56C9" w14:textId="77777777" w:rsidR="001E5D09" w:rsidRPr="00093F2A" w:rsidRDefault="001E5D09">
            <w:pPr>
              <w:spacing w:after="0"/>
              <w:rPr>
                <w:sz w:val="20"/>
                <w:szCs w:val="20"/>
              </w:rPr>
            </w:pPr>
          </w:p>
        </w:tc>
      </w:tr>
      <w:tr w:rsidR="00093F2A" w:rsidRPr="00093F2A" w14:paraId="0509C17D"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2A0189AE"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 xml:space="preserve">Cash only </w:t>
            </w:r>
          </w:p>
        </w:tc>
        <w:tc>
          <w:tcPr>
            <w:tcW w:w="1600" w:type="dxa"/>
            <w:tcBorders>
              <w:top w:val="single" w:sz="4" w:space="0" w:color="auto"/>
              <w:left w:val="nil"/>
              <w:bottom w:val="single" w:sz="4" w:space="0" w:color="auto"/>
              <w:right w:val="nil"/>
            </w:tcBorders>
            <w:noWrap/>
            <w:vAlign w:val="bottom"/>
            <w:hideMark/>
          </w:tcPr>
          <w:p w14:paraId="180BAD7B"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130B1649"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2B62B6C1"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1702F4EF" w14:textId="77777777" w:rsidTr="00201000">
        <w:trPr>
          <w:trHeight w:val="20"/>
        </w:trPr>
        <w:tc>
          <w:tcPr>
            <w:tcW w:w="2960" w:type="dxa"/>
            <w:noWrap/>
            <w:vAlign w:val="bottom"/>
            <w:hideMark/>
          </w:tcPr>
          <w:p w14:paraId="625094CD"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No</w:t>
            </w:r>
          </w:p>
        </w:tc>
        <w:tc>
          <w:tcPr>
            <w:tcW w:w="1600" w:type="dxa"/>
            <w:noWrap/>
            <w:vAlign w:val="bottom"/>
            <w:hideMark/>
          </w:tcPr>
          <w:p w14:paraId="486965BF"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951</w:t>
            </w:r>
          </w:p>
        </w:tc>
        <w:tc>
          <w:tcPr>
            <w:tcW w:w="1280" w:type="dxa"/>
            <w:noWrap/>
            <w:vAlign w:val="bottom"/>
            <w:hideMark/>
          </w:tcPr>
          <w:p w14:paraId="0E713219"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80.05</w:t>
            </w:r>
          </w:p>
        </w:tc>
        <w:tc>
          <w:tcPr>
            <w:tcW w:w="3600" w:type="dxa"/>
            <w:noWrap/>
            <w:vAlign w:val="bottom"/>
            <w:hideMark/>
          </w:tcPr>
          <w:p w14:paraId="279B972A"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120</w:t>
            </w:r>
          </w:p>
        </w:tc>
      </w:tr>
      <w:tr w:rsidR="00093F2A" w:rsidRPr="00093F2A" w14:paraId="25B15709" w14:textId="77777777" w:rsidTr="00201000">
        <w:trPr>
          <w:trHeight w:val="20"/>
        </w:trPr>
        <w:tc>
          <w:tcPr>
            <w:tcW w:w="2960" w:type="dxa"/>
            <w:noWrap/>
            <w:vAlign w:val="bottom"/>
            <w:hideMark/>
          </w:tcPr>
          <w:p w14:paraId="677B4405"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Yes</w:t>
            </w:r>
          </w:p>
        </w:tc>
        <w:tc>
          <w:tcPr>
            <w:tcW w:w="1600" w:type="dxa"/>
            <w:noWrap/>
            <w:vAlign w:val="bottom"/>
            <w:hideMark/>
          </w:tcPr>
          <w:p w14:paraId="7EED73CA"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237</w:t>
            </w:r>
          </w:p>
        </w:tc>
        <w:tc>
          <w:tcPr>
            <w:tcW w:w="1280" w:type="dxa"/>
            <w:noWrap/>
            <w:vAlign w:val="bottom"/>
            <w:hideMark/>
          </w:tcPr>
          <w:p w14:paraId="768015E0"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19.95</w:t>
            </w:r>
          </w:p>
        </w:tc>
        <w:tc>
          <w:tcPr>
            <w:tcW w:w="3600" w:type="dxa"/>
            <w:noWrap/>
            <w:vAlign w:val="bottom"/>
            <w:hideMark/>
          </w:tcPr>
          <w:p w14:paraId="2AD41834"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29</w:t>
            </w:r>
          </w:p>
        </w:tc>
      </w:tr>
      <w:tr w:rsidR="00093F2A" w:rsidRPr="00093F2A" w14:paraId="0666453D" w14:textId="77777777" w:rsidTr="00201000">
        <w:trPr>
          <w:trHeight w:val="20"/>
        </w:trPr>
        <w:tc>
          <w:tcPr>
            <w:tcW w:w="2960" w:type="dxa"/>
            <w:noWrap/>
            <w:vAlign w:val="bottom"/>
            <w:hideMark/>
          </w:tcPr>
          <w:p w14:paraId="1F64CD70" w14:textId="77777777" w:rsidR="001E5D09" w:rsidRPr="00093F2A" w:rsidRDefault="001E5D09">
            <w:pPr>
              <w:rPr>
                <w:rFonts w:ascii="Gill Sans MT" w:hAnsi="Gill Sans MT" w:cs="Times New Roman"/>
              </w:rPr>
            </w:pPr>
          </w:p>
        </w:tc>
        <w:tc>
          <w:tcPr>
            <w:tcW w:w="1600" w:type="dxa"/>
            <w:noWrap/>
            <w:vAlign w:val="bottom"/>
            <w:hideMark/>
          </w:tcPr>
          <w:p w14:paraId="7929FB01" w14:textId="77777777" w:rsidR="001E5D09" w:rsidRPr="00093F2A" w:rsidRDefault="001E5D09">
            <w:pPr>
              <w:spacing w:after="0"/>
              <w:rPr>
                <w:sz w:val="20"/>
                <w:szCs w:val="20"/>
              </w:rPr>
            </w:pPr>
          </w:p>
        </w:tc>
        <w:tc>
          <w:tcPr>
            <w:tcW w:w="1280" w:type="dxa"/>
            <w:noWrap/>
            <w:vAlign w:val="bottom"/>
            <w:hideMark/>
          </w:tcPr>
          <w:p w14:paraId="5A8F53D7" w14:textId="77777777" w:rsidR="001E5D09" w:rsidRPr="00093F2A" w:rsidRDefault="001E5D09">
            <w:pPr>
              <w:spacing w:after="0"/>
              <w:rPr>
                <w:sz w:val="20"/>
                <w:szCs w:val="20"/>
              </w:rPr>
            </w:pPr>
          </w:p>
        </w:tc>
        <w:tc>
          <w:tcPr>
            <w:tcW w:w="3600" w:type="dxa"/>
            <w:noWrap/>
            <w:vAlign w:val="bottom"/>
            <w:hideMark/>
          </w:tcPr>
          <w:p w14:paraId="47905052" w14:textId="77777777" w:rsidR="001E5D09" w:rsidRPr="00093F2A" w:rsidRDefault="001E5D09">
            <w:pPr>
              <w:spacing w:after="0"/>
              <w:rPr>
                <w:sz w:val="20"/>
                <w:szCs w:val="20"/>
              </w:rPr>
            </w:pPr>
          </w:p>
        </w:tc>
      </w:tr>
      <w:tr w:rsidR="00093F2A" w:rsidRPr="00093F2A" w14:paraId="46316838" w14:textId="77777777" w:rsidTr="00201000">
        <w:trPr>
          <w:trHeight w:val="20"/>
        </w:trPr>
        <w:tc>
          <w:tcPr>
            <w:tcW w:w="2960" w:type="dxa"/>
            <w:tcBorders>
              <w:top w:val="single" w:sz="4" w:space="0" w:color="auto"/>
              <w:left w:val="nil"/>
              <w:bottom w:val="single" w:sz="4" w:space="0" w:color="auto"/>
              <w:right w:val="nil"/>
            </w:tcBorders>
            <w:noWrap/>
            <w:vAlign w:val="bottom"/>
            <w:hideMark/>
          </w:tcPr>
          <w:p w14:paraId="1C7AFAC5"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 xml:space="preserve">Stock only </w:t>
            </w:r>
          </w:p>
        </w:tc>
        <w:tc>
          <w:tcPr>
            <w:tcW w:w="1600" w:type="dxa"/>
            <w:tcBorders>
              <w:top w:val="single" w:sz="4" w:space="0" w:color="auto"/>
              <w:left w:val="nil"/>
              <w:bottom w:val="single" w:sz="4" w:space="0" w:color="auto"/>
              <w:right w:val="nil"/>
            </w:tcBorders>
            <w:noWrap/>
            <w:vAlign w:val="bottom"/>
            <w:hideMark/>
          </w:tcPr>
          <w:p w14:paraId="34F32797"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Full Sample</w:t>
            </w:r>
          </w:p>
        </w:tc>
        <w:tc>
          <w:tcPr>
            <w:tcW w:w="1280" w:type="dxa"/>
            <w:tcBorders>
              <w:top w:val="single" w:sz="4" w:space="0" w:color="auto"/>
              <w:left w:val="nil"/>
              <w:bottom w:val="single" w:sz="4" w:space="0" w:color="auto"/>
              <w:right w:val="nil"/>
            </w:tcBorders>
            <w:noWrap/>
            <w:vAlign w:val="bottom"/>
            <w:hideMark/>
          </w:tcPr>
          <w:p w14:paraId="6F42A564"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Percent</w:t>
            </w:r>
          </w:p>
        </w:tc>
        <w:tc>
          <w:tcPr>
            <w:tcW w:w="3600" w:type="dxa"/>
            <w:tcBorders>
              <w:top w:val="single" w:sz="4" w:space="0" w:color="auto"/>
              <w:left w:val="nil"/>
              <w:bottom w:val="single" w:sz="4" w:space="0" w:color="auto"/>
              <w:right w:val="nil"/>
            </w:tcBorders>
            <w:noWrap/>
            <w:vAlign w:val="bottom"/>
            <w:hideMark/>
          </w:tcPr>
          <w:p w14:paraId="6ACFEFDA" w14:textId="77777777" w:rsidR="001E5D09" w:rsidRPr="00093F2A" w:rsidRDefault="001E5D09">
            <w:pPr>
              <w:spacing w:line="240" w:lineRule="auto"/>
              <w:contextualSpacing/>
              <w:rPr>
                <w:rFonts w:ascii="Gill Sans MT" w:eastAsia="Times New Roman" w:hAnsi="Gill Sans MT" w:cs="Times New Roman"/>
                <w:b/>
                <w:bCs/>
                <w:i/>
                <w:iCs/>
              </w:rPr>
            </w:pPr>
            <w:r w:rsidRPr="00093F2A">
              <w:rPr>
                <w:rFonts w:ascii="Gill Sans MT" w:eastAsia="Times New Roman" w:hAnsi="Gill Sans MT" w:cs="Times New Roman"/>
                <w:b/>
                <w:bCs/>
                <w:i/>
                <w:iCs/>
              </w:rPr>
              <w:t>Private Equity Subsample</w:t>
            </w:r>
          </w:p>
        </w:tc>
      </w:tr>
      <w:tr w:rsidR="00093F2A" w:rsidRPr="00093F2A" w14:paraId="2E45306E" w14:textId="77777777" w:rsidTr="00201000">
        <w:trPr>
          <w:trHeight w:val="20"/>
        </w:trPr>
        <w:tc>
          <w:tcPr>
            <w:tcW w:w="2960" w:type="dxa"/>
            <w:noWrap/>
            <w:vAlign w:val="bottom"/>
            <w:hideMark/>
          </w:tcPr>
          <w:p w14:paraId="70780714"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No</w:t>
            </w:r>
          </w:p>
        </w:tc>
        <w:tc>
          <w:tcPr>
            <w:tcW w:w="1600" w:type="dxa"/>
            <w:noWrap/>
            <w:vAlign w:val="bottom"/>
            <w:hideMark/>
          </w:tcPr>
          <w:p w14:paraId="47B48932"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1,060</w:t>
            </w:r>
          </w:p>
        </w:tc>
        <w:tc>
          <w:tcPr>
            <w:tcW w:w="1280" w:type="dxa"/>
            <w:noWrap/>
            <w:vAlign w:val="bottom"/>
            <w:hideMark/>
          </w:tcPr>
          <w:p w14:paraId="7400119C"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89.23</w:t>
            </w:r>
          </w:p>
        </w:tc>
        <w:tc>
          <w:tcPr>
            <w:tcW w:w="3600" w:type="dxa"/>
            <w:noWrap/>
            <w:vAlign w:val="bottom"/>
            <w:hideMark/>
          </w:tcPr>
          <w:p w14:paraId="41B094B1"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128</w:t>
            </w:r>
          </w:p>
        </w:tc>
      </w:tr>
      <w:tr w:rsidR="00093F2A" w:rsidRPr="00093F2A" w14:paraId="0FE3B6FE" w14:textId="77777777" w:rsidTr="00201000">
        <w:trPr>
          <w:trHeight w:val="20"/>
        </w:trPr>
        <w:tc>
          <w:tcPr>
            <w:tcW w:w="2960" w:type="dxa"/>
            <w:tcBorders>
              <w:top w:val="nil"/>
              <w:left w:val="nil"/>
              <w:bottom w:val="single" w:sz="4" w:space="0" w:color="auto"/>
              <w:right w:val="nil"/>
            </w:tcBorders>
            <w:noWrap/>
            <w:vAlign w:val="bottom"/>
            <w:hideMark/>
          </w:tcPr>
          <w:p w14:paraId="2F5FB58B" w14:textId="77777777" w:rsidR="001E5D09" w:rsidRPr="00093F2A" w:rsidRDefault="001E5D09">
            <w:pPr>
              <w:spacing w:line="240" w:lineRule="auto"/>
              <w:contextualSpacing/>
              <w:rPr>
                <w:rFonts w:ascii="Gill Sans MT" w:eastAsia="Times New Roman" w:hAnsi="Gill Sans MT" w:cs="Times New Roman"/>
              </w:rPr>
            </w:pPr>
            <w:r w:rsidRPr="00093F2A">
              <w:rPr>
                <w:rFonts w:ascii="Gill Sans MT" w:eastAsia="Times New Roman" w:hAnsi="Gill Sans MT" w:cs="Times New Roman"/>
              </w:rPr>
              <w:t>Yes</w:t>
            </w:r>
          </w:p>
        </w:tc>
        <w:tc>
          <w:tcPr>
            <w:tcW w:w="1600" w:type="dxa"/>
            <w:tcBorders>
              <w:top w:val="nil"/>
              <w:left w:val="nil"/>
              <w:bottom w:val="single" w:sz="4" w:space="0" w:color="auto"/>
              <w:right w:val="nil"/>
            </w:tcBorders>
            <w:noWrap/>
            <w:vAlign w:val="bottom"/>
            <w:hideMark/>
          </w:tcPr>
          <w:p w14:paraId="05C45736"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128</w:t>
            </w:r>
          </w:p>
        </w:tc>
        <w:tc>
          <w:tcPr>
            <w:tcW w:w="1280" w:type="dxa"/>
            <w:tcBorders>
              <w:top w:val="nil"/>
              <w:left w:val="nil"/>
              <w:bottom w:val="single" w:sz="4" w:space="0" w:color="auto"/>
              <w:right w:val="nil"/>
            </w:tcBorders>
            <w:noWrap/>
            <w:vAlign w:val="bottom"/>
            <w:hideMark/>
          </w:tcPr>
          <w:p w14:paraId="5852718E"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10.77</w:t>
            </w:r>
          </w:p>
        </w:tc>
        <w:tc>
          <w:tcPr>
            <w:tcW w:w="3600" w:type="dxa"/>
            <w:tcBorders>
              <w:top w:val="nil"/>
              <w:left w:val="nil"/>
              <w:bottom w:val="single" w:sz="4" w:space="0" w:color="auto"/>
              <w:right w:val="nil"/>
            </w:tcBorders>
            <w:noWrap/>
            <w:vAlign w:val="bottom"/>
            <w:hideMark/>
          </w:tcPr>
          <w:p w14:paraId="6DDB449A" w14:textId="77777777" w:rsidR="001E5D09" w:rsidRPr="00093F2A" w:rsidRDefault="001E5D09">
            <w:pPr>
              <w:spacing w:line="240" w:lineRule="auto"/>
              <w:contextualSpacing/>
              <w:rPr>
                <w:rFonts w:ascii="Gill Sans MT" w:hAnsi="Gill Sans MT" w:cs="Times New Roman"/>
              </w:rPr>
            </w:pPr>
            <w:r w:rsidRPr="00093F2A">
              <w:rPr>
                <w:rFonts w:ascii="Gill Sans MT" w:hAnsi="Gill Sans MT" w:cs="Times New Roman"/>
              </w:rPr>
              <w:t>21</w:t>
            </w:r>
          </w:p>
        </w:tc>
      </w:tr>
    </w:tbl>
    <w:p w14:paraId="2DEFE93E" w14:textId="77777777" w:rsidR="001E5D09" w:rsidRPr="00093F2A" w:rsidRDefault="001E5D09" w:rsidP="001E5D09">
      <w:pPr>
        <w:spacing w:line="240" w:lineRule="auto"/>
        <w:contextualSpacing/>
        <w:rPr>
          <w:rFonts w:ascii="Gill Sans MT" w:eastAsia="Times New Roman" w:hAnsi="Gill Sans MT" w:cs="Calibri"/>
          <w:b/>
          <w:bCs/>
        </w:rPr>
      </w:pPr>
      <w:r w:rsidRPr="00093F2A">
        <w:rPr>
          <w:rFonts w:ascii="Gill Sans MT" w:eastAsia="Times New Roman" w:hAnsi="Gill Sans MT" w:cs="Calibri"/>
          <w:bCs/>
          <w:sz w:val="20"/>
          <w:szCs w:val="20"/>
        </w:rPr>
        <w:t xml:space="preserve">We report sample distribution for acquisitions involving PE involvement in Table I. The table reports frequency for the full sample and subsample analyses. The final sample with PE is obtained from S&amp;P </w:t>
      </w:r>
      <w:r w:rsidRPr="00093F2A">
        <w:rPr>
          <w:rFonts w:ascii="Gill Sans MT" w:hAnsi="Gill Sans MT"/>
          <w:sz w:val="20"/>
          <w:szCs w:val="20"/>
        </w:rPr>
        <w:t>Global Market Intelligence SNL database from 2005-2017</w:t>
      </w:r>
      <w:r w:rsidRPr="00093F2A">
        <w:rPr>
          <w:rFonts w:ascii="Gill Sans MT" w:eastAsia="Times New Roman" w:hAnsi="Gill Sans MT" w:cs="Calibri"/>
          <w:bCs/>
          <w:sz w:val="20"/>
          <w:szCs w:val="20"/>
        </w:rPr>
        <w:t>.</w:t>
      </w:r>
    </w:p>
    <w:p w14:paraId="67D3C77D" w14:textId="77777777" w:rsidR="001E5D09" w:rsidRPr="00093F2A" w:rsidRDefault="001E5D09" w:rsidP="001E5D09">
      <w:pPr>
        <w:spacing w:after="0" w:line="240" w:lineRule="auto"/>
        <w:rPr>
          <w:rFonts w:ascii="Gill Sans MT" w:eastAsia="Times New Roman" w:hAnsi="Gill Sans MT" w:cs="Calibri"/>
          <w:b/>
          <w:bCs/>
        </w:rPr>
        <w:sectPr w:rsidR="001E5D09" w:rsidRPr="00093F2A">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4448"/>
        <w:gridCol w:w="1779"/>
        <w:gridCol w:w="1615"/>
        <w:gridCol w:w="1615"/>
        <w:gridCol w:w="1779"/>
        <w:gridCol w:w="1940"/>
      </w:tblGrid>
      <w:tr w:rsidR="00093F2A" w:rsidRPr="00093F2A" w14:paraId="7F49F8A0" w14:textId="77777777" w:rsidTr="00201000">
        <w:trPr>
          <w:trHeight w:val="144"/>
        </w:trPr>
        <w:tc>
          <w:tcPr>
            <w:tcW w:w="5000" w:type="pct"/>
            <w:gridSpan w:val="6"/>
            <w:noWrap/>
            <w:vAlign w:val="bottom"/>
            <w:hideMark/>
          </w:tcPr>
          <w:p w14:paraId="4298E9B1" w14:textId="77777777" w:rsidR="001E5D09" w:rsidRPr="00093F2A" w:rsidRDefault="001E5D09">
            <w:pPr>
              <w:spacing w:line="240" w:lineRule="auto"/>
              <w:contextualSpacing/>
              <w:rPr>
                <w:rFonts w:ascii="Gill Sans MT" w:eastAsia="Times New Roman" w:hAnsi="Gill Sans MT" w:cs="Times New Roman"/>
                <w:sz w:val="20"/>
                <w:szCs w:val="20"/>
              </w:rPr>
            </w:pPr>
            <w:r w:rsidRPr="00093F2A">
              <w:rPr>
                <w:rFonts w:ascii="Gill Sans MT" w:eastAsia="Times New Roman" w:hAnsi="Gill Sans MT" w:cs="Calibri"/>
                <w:b/>
                <w:bCs/>
              </w:rPr>
              <w:lastRenderedPageBreak/>
              <w:t>Table 2 - Sample Descriptive Statistics</w:t>
            </w:r>
          </w:p>
        </w:tc>
      </w:tr>
      <w:tr w:rsidR="00093F2A" w:rsidRPr="00093F2A" w14:paraId="06AB167A" w14:textId="77777777" w:rsidTr="00201000">
        <w:trPr>
          <w:trHeight w:val="144"/>
        </w:trPr>
        <w:tc>
          <w:tcPr>
            <w:tcW w:w="5000" w:type="pct"/>
            <w:gridSpan w:val="6"/>
            <w:tcBorders>
              <w:top w:val="single" w:sz="4" w:space="0" w:color="auto"/>
              <w:left w:val="nil"/>
              <w:bottom w:val="nil"/>
              <w:right w:val="nil"/>
            </w:tcBorders>
            <w:noWrap/>
            <w:vAlign w:val="bottom"/>
            <w:hideMark/>
          </w:tcPr>
          <w:p w14:paraId="53D3FD59"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Panel A -  Full Sample</w:t>
            </w:r>
          </w:p>
        </w:tc>
      </w:tr>
      <w:tr w:rsidR="00093F2A" w:rsidRPr="00093F2A" w14:paraId="4D2A5827" w14:textId="77777777" w:rsidTr="00201000">
        <w:trPr>
          <w:trHeight w:val="144"/>
        </w:trPr>
        <w:tc>
          <w:tcPr>
            <w:tcW w:w="1688" w:type="pct"/>
            <w:tcBorders>
              <w:top w:val="nil"/>
              <w:left w:val="nil"/>
              <w:bottom w:val="single" w:sz="4" w:space="0" w:color="auto"/>
              <w:right w:val="nil"/>
            </w:tcBorders>
            <w:noWrap/>
            <w:vAlign w:val="bottom"/>
            <w:hideMark/>
          </w:tcPr>
          <w:p w14:paraId="6C8A034F"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variable</w:t>
            </w:r>
          </w:p>
        </w:tc>
        <w:tc>
          <w:tcPr>
            <w:tcW w:w="675" w:type="pct"/>
            <w:tcBorders>
              <w:top w:val="nil"/>
              <w:left w:val="nil"/>
              <w:bottom w:val="single" w:sz="4" w:space="0" w:color="auto"/>
              <w:right w:val="nil"/>
            </w:tcBorders>
            <w:noWrap/>
            <w:vAlign w:val="bottom"/>
            <w:hideMark/>
          </w:tcPr>
          <w:p w14:paraId="05ADE85C"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Mean</w:t>
            </w:r>
          </w:p>
        </w:tc>
        <w:tc>
          <w:tcPr>
            <w:tcW w:w="613" w:type="pct"/>
            <w:tcBorders>
              <w:top w:val="nil"/>
              <w:left w:val="nil"/>
              <w:bottom w:val="single" w:sz="4" w:space="0" w:color="auto"/>
              <w:right w:val="nil"/>
            </w:tcBorders>
            <w:noWrap/>
            <w:vAlign w:val="bottom"/>
            <w:hideMark/>
          </w:tcPr>
          <w:p w14:paraId="7BB7D23B"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Median</w:t>
            </w:r>
          </w:p>
        </w:tc>
        <w:tc>
          <w:tcPr>
            <w:tcW w:w="613" w:type="pct"/>
            <w:tcBorders>
              <w:top w:val="nil"/>
              <w:left w:val="nil"/>
              <w:bottom w:val="single" w:sz="4" w:space="0" w:color="auto"/>
              <w:right w:val="nil"/>
            </w:tcBorders>
            <w:noWrap/>
            <w:vAlign w:val="bottom"/>
            <w:hideMark/>
          </w:tcPr>
          <w:p w14:paraId="56092635"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25th pctl</w:t>
            </w:r>
          </w:p>
        </w:tc>
        <w:tc>
          <w:tcPr>
            <w:tcW w:w="675" w:type="pct"/>
            <w:tcBorders>
              <w:top w:val="nil"/>
              <w:left w:val="nil"/>
              <w:bottom w:val="single" w:sz="4" w:space="0" w:color="auto"/>
              <w:right w:val="nil"/>
            </w:tcBorders>
            <w:noWrap/>
            <w:vAlign w:val="bottom"/>
            <w:hideMark/>
          </w:tcPr>
          <w:p w14:paraId="380B9400"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75th pctl</w:t>
            </w:r>
          </w:p>
        </w:tc>
        <w:tc>
          <w:tcPr>
            <w:tcW w:w="736" w:type="pct"/>
            <w:tcBorders>
              <w:top w:val="nil"/>
              <w:left w:val="nil"/>
              <w:bottom w:val="single" w:sz="4" w:space="0" w:color="auto"/>
              <w:right w:val="nil"/>
            </w:tcBorders>
            <w:noWrap/>
            <w:vAlign w:val="bottom"/>
            <w:hideMark/>
          </w:tcPr>
          <w:p w14:paraId="2F398830"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Stdev</w:t>
            </w:r>
          </w:p>
        </w:tc>
      </w:tr>
      <w:tr w:rsidR="00093F2A" w:rsidRPr="00093F2A" w14:paraId="2CF4DC70" w14:textId="77777777" w:rsidTr="00201000">
        <w:trPr>
          <w:trHeight w:val="144"/>
        </w:trPr>
        <w:tc>
          <w:tcPr>
            <w:tcW w:w="1688" w:type="pct"/>
            <w:noWrap/>
            <w:vAlign w:val="bottom"/>
            <w:hideMark/>
          </w:tcPr>
          <w:p w14:paraId="6C84AB47"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DEAL VALUE ($ million)</w:t>
            </w:r>
          </w:p>
        </w:tc>
        <w:tc>
          <w:tcPr>
            <w:tcW w:w="675" w:type="pct"/>
            <w:noWrap/>
            <w:vAlign w:val="bottom"/>
            <w:hideMark/>
          </w:tcPr>
          <w:p w14:paraId="38ABBE3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521.409</w:t>
            </w:r>
          </w:p>
        </w:tc>
        <w:tc>
          <w:tcPr>
            <w:tcW w:w="613" w:type="pct"/>
            <w:noWrap/>
            <w:vAlign w:val="bottom"/>
            <w:hideMark/>
          </w:tcPr>
          <w:p w14:paraId="2FAC8AA9"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51.313</w:t>
            </w:r>
          </w:p>
        </w:tc>
        <w:tc>
          <w:tcPr>
            <w:tcW w:w="613" w:type="pct"/>
            <w:noWrap/>
            <w:vAlign w:val="bottom"/>
            <w:hideMark/>
          </w:tcPr>
          <w:p w14:paraId="095050F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16.667</w:t>
            </w:r>
          </w:p>
        </w:tc>
        <w:tc>
          <w:tcPr>
            <w:tcW w:w="675" w:type="pct"/>
            <w:noWrap/>
            <w:vAlign w:val="bottom"/>
            <w:hideMark/>
          </w:tcPr>
          <w:p w14:paraId="693E9F7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154.605</w:t>
            </w:r>
          </w:p>
        </w:tc>
        <w:tc>
          <w:tcPr>
            <w:tcW w:w="736" w:type="pct"/>
            <w:noWrap/>
            <w:vAlign w:val="bottom"/>
            <w:hideMark/>
          </w:tcPr>
          <w:p w14:paraId="2279927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3,020.226</w:t>
            </w:r>
          </w:p>
        </w:tc>
      </w:tr>
      <w:tr w:rsidR="00093F2A" w:rsidRPr="00093F2A" w14:paraId="5F06BD96" w14:textId="77777777" w:rsidTr="00201000">
        <w:trPr>
          <w:trHeight w:val="144"/>
        </w:trPr>
        <w:tc>
          <w:tcPr>
            <w:tcW w:w="1688" w:type="pct"/>
            <w:noWrap/>
            <w:vAlign w:val="bottom"/>
            <w:hideMark/>
          </w:tcPr>
          <w:p w14:paraId="48B97C2B"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ACQ.ASSET ($ million)</w:t>
            </w:r>
          </w:p>
        </w:tc>
        <w:tc>
          <w:tcPr>
            <w:tcW w:w="675" w:type="pct"/>
            <w:noWrap/>
            <w:vAlign w:val="bottom"/>
            <w:hideMark/>
          </w:tcPr>
          <w:p w14:paraId="0EDD6267"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95,700.000</w:t>
            </w:r>
          </w:p>
        </w:tc>
        <w:tc>
          <w:tcPr>
            <w:tcW w:w="613" w:type="pct"/>
            <w:noWrap/>
            <w:vAlign w:val="bottom"/>
            <w:hideMark/>
          </w:tcPr>
          <w:p w14:paraId="5E14C8A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4,970.240</w:t>
            </w:r>
          </w:p>
        </w:tc>
        <w:tc>
          <w:tcPr>
            <w:tcW w:w="613" w:type="pct"/>
            <w:noWrap/>
            <w:vAlign w:val="bottom"/>
            <w:hideMark/>
          </w:tcPr>
          <w:p w14:paraId="5E62BA8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1,964.397</w:t>
            </w:r>
          </w:p>
        </w:tc>
        <w:tc>
          <w:tcPr>
            <w:tcW w:w="675" w:type="pct"/>
            <w:noWrap/>
            <w:vAlign w:val="bottom"/>
            <w:hideMark/>
          </w:tcPr>
          <w:p w14:paraId="0C9BDE8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13,800.000</w:t>
            </w:r>
          </w:p>
        </w:tc>
        <w:tc>
          <w:tcPr>
            <w:tcW w:w="736" w:type="pct"/>
            <w:noWrap/>
            <w:vAlign w:val="bottom"/>
            <w:hideMark/>
          </w:tcPr>
          <w:p w14:paraId="52B403E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323,000.000</w:t>
            </w:r>
          </w:p>
        </w:tc>
      </w:tr>
      <w:tr w:rsidR="00093F2A" w:rsidRPr="00093F2A" w14:paraId="5FCFCE21" w14:textId="77777777" w:rsidTr="00201000">
        <w:trPr>
          <w:trHeight w:val="144"/>
        </w:trPr>
        <w:tc>
          <w:tcPr>
            <w:tcW w:w="1688" w:type="pct"/>
            <w:noWrap/>
            <w:vAlign w:val="bottom"/>
            <w:hideMark/>
          </w:tcPr>
          <w:p w14:paraId="20A40952"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RELSIZE (%)</w:t>
            </w:r>
          </w:p>
        </w:tc>
        <w:tc>
          <w:tcPr>
            <w:tcW w:w="675" w:type="pct"/>
            <w:noWrap/>
            <w:vAlign w:val="bottom"/>
            <w:hideMark/>
          </w:tcPr>
          <w:p w14:paraId="500662DC"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0.002</w:t>
            </w:r>
          </w:p>
        </w:tc>
        <w:tc>
          <w:tcPr>
            <w:tcW w:w="613" w:type="pct"/>
            <w:noWrap/>
            <w:vAlign w:val="bottom"/>
            <w:hideMark/>
          </w:tcPr>
          <w:p w14:paraId="200B641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0.001</w:t>
            </w:r>
          </w:p>
        </w:tc>
        <w:tc>
          <w:tcPr>
            <w:tcW w:w="613" w:type="pct"/>
            <w:noWrap/>
            <w:vAlign w:val="bottom"/>
            <w:hideMark/>
          </w:tcPr>
          <w:p w14:paraId="700CB6B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32C9EF2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0.003</w:t>
            </w:r>
          </w:p>
        </w:tc>
        <w:tc>
          <w:tcPr>
            <w:tcW w:w="736" w:type="pct"/>
            <w:noWrap/>
            <w:vAlign w:val="bottom"/>
            <w:hideMark/>
          </w:tcPr>
          <w:p w14:paraId="07E7B9C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0.004</w:t>
            </w:r>
          </w:p>
        </w:tc>
      </w:tr>
      <w:tr w:rsidR="00093F2A" w:rsidRPr="00093F2A" w14:paraId="7E5BFF2C" w14:textId="77777777" w:rsidTr="00201000">
        <w:trPr>
          <w:trHeight w:val="144"/>
        </w:trPr>
        <w:tc>
          <w:tcPr>
            <w:tcW w:w="1688" w:type="pct"/>
            <w:noWrap/>
            <w:vAlign w:val="bottom"/>
            <w:hideMark/>
          </w:tcPr>
          <w:p w14:paraId="4223ADF7"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RELATED TARGETS</w:t>
            </w:r>
          </w:p>
        </w:tc>
        <w:tc>
          <w:tcPr>
            <w:tcW w:w="675" w:type="pct"/>
            <w:noWrap/>
            <w:vAlign w:val="bottom"/>
            <w:hideMark/>
          </w:tcPr>
          <w:p w14:paraId="6DD5BEBC"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0.591</w:t>
            </w:r>
          </w:p>
        </w:tc>
        <w:tc>
          <w:tcPr>
            <w:tcW w:w="613" w:type="pct"/>
            <w:noWrap/>
            <w:vAlign w:val="bottom"/>
            <w:hideMark/>
          </w:tcPr>
          <w:p w14:paraId="3C03229D"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5F53C5A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2BD2E26D"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736" w:type="pct"/>
            <w:noWrap/>
            <w:vAlign w:val="bottom"/>
            <w:hideMark/>
          </w:tcPr>
          <w:p w14:paraId="54453701"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0.492</w:t>
            </w:r>
          </w:p>
        </w:tc>
      </w:tr>
      <w:tr w:rsidR="00093F2A" w:rsidRPr="00093F2A" w14:paraId="5AA5E480" w14:textId="77777777" w:rsidTr="00201000">
        <w:trPr>
          <w:trHeight w:val="144"/>
        </w:trPr>
        <w:tc>
          <w:tcPr>
            <w:tcW w:w="1688" w:type="pct"/>
            <w:noWrap/>
            <w:vAlign w:val="bottom"/>
            <w:hideMark/>
          </w:tcPr>
          <w:p w14:paraId="2A5924B6"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PUBLIC TARGET</w:t>
            </w:r>
          </w:p>
        </w:tc>
        <w:tc>
          <w:tcPr>
            <w:tcW w:w="675" w:type="pct"/>
            <w:noWrap/>
            <w:vAlign w:val="bottom"/>
            <w:hideMark/>
          </w:tcPr>
          <w:p w14:paraId="38E218FC"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0.201</w:t>
            </w:r>
          </w:p>
        </w:tc>
        <w:tc>
          <w:tcPr>
            <w:tcW w:w="613" w:type="pct"/>
            <w:noWrap/>
            <w:vAlign w:val="bottom"/>
            <w:hideMark/>
          </w:tcPr>
          <w:p w14:paraId="54E53E3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7991509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56CDDE6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736" w:type="pct"/>
            <w:noWrap/>
            <w:vAlign w:val="bottom"/>
            <w:hideMark/>
          </w:tcPr>
          <w:p w14:paraId="32D96FE1"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0.401</w:t>
            </w:r>
          </w:p>
        </w:tc>
      </w:tr>
      <w:tr w:rsidR="00093F2A" w:rsidRPr="00093F2A" w14:paraId="31523CD4" w14:textId="77777777" w:rsidTr="00201000">
        <w:trPr>
          <w:trHeight w:val="144"/>
        </w:trPr>
        <w:tc>
          <w:tcPr>
            <w:tcW w:w="1688" w:type="pct"/>
            <w:noWrap/>
            <w:vAlign w:val="bottom"/>
            <w:hideMark/>
          </w:tcPr>
          <w:p w14:paraId="293BF392"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DOMESTIC TARGET</w:t>
            </w:r>
          </w:p>
        </w:tc>
        <w:tc>
          <w:tcPr>
            <w:tcW w:w="675" w:type="pct"/>
            <w:noWrap/>
            <w:vAlign w:val="bottom"/>
            <w:hideMark/>
          </w:tcPr>
          <w:p w14:paraId="7BFBDF2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0.953</w:t>
            </w:r>
          </w:p>
        </w:tc>
        <w:tc>
          <w:tcPr>
            <w:tcW w:w="613" w:type="pct"/>
            <w:noWrap/>
            <w:vAlign w:val="bottom"/>
            <w:hideMark/>
          </w:tcPr>
          <w:p w14:paraId="08AE024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169AA03C"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75" w:type="pct"/>
            <w:noWrap/>
            <w:vAlign w:val="bottom"/>
            <w:hideMark/>
          </w:tcPr>
          <w:p w14:paraId="4501DEFC"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736" w:type="pct"/>
            <w:noWrap/>
            <w:vAlign w:val="bottom"/>
            <w:hideMark/>
          </w:tcPr>
          <w:p w14:paraId="73D4446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0.212</w:t>
            </w:r>
          </w:p>
        </w:tc>
      </w:tr>
      <w:tr w:rsidR="00093F2A" w:rsidRPr="00093F2A" w14:paraId="1EE43EDC" w14:textId="77777777" w:rsidTr="00201000">
        <w:trPr>
          <w:trHeight w:val="144"/>
        </w:trPr>
        <w:tc>
          <w:tcPr>
            <w:tcW w:w="1688" w:type="pct"/>
            <w:noWrap/>
            <w:vAlign w:val="bottom"/>
            <w:hideMark/>
          </w:tcPr>
          <w:p w14:paraId="3AF45713"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CASH ONLY</w:t>
            </w:r>
          </w:p>
        </w:tc>
        <w:tc>
          <w:tcPr>
            <w:tcW w:w="675" w:type="pct"/>
            <w:noWrap/>
            <w:vAlign w:val="bottom"/>
            <w:hideMark/>
          </w:tcPr>
          <w:p w14:paraId="4ABD475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0.199</w:t>
            </w:r>
          </w:p>
        </w:tc>
        <w:tc>
          <w:tcPr>
            <w:tcW w:w="613" w:type="pct"/>
            <w:noWrap/>
            <w:vAlign w:val="bottom"/>
            <w:hideMark/>
          </w:tcPr>
          <w:p w14:paraId="5A67EEB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603CB45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13DF8F14"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736" w:type="pct"/>
            <w:noWrap/>
            <w:vAlign w:val="bottom"/>
            <w:hideMark/>
          </w:tcPr>
          <w:p w14:paraId="0280B674"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0.400</w:t>
            </w:r>
          </w:p>
        </w:tc>
      </w:tr>
      <w:tr w:rsidR="00093F2A" w:rsidRPr="00093F2A" w14:paraId="3967BA1C" w14:textId="77777777" w:rsidTr="00201000">
        <w:trPr>
          <w:trHeight w:val="144"/>
        </w:trPr>
        <w:tc>
          <w:tcPr>
            <w:tcW w:w="1688" w:type="pct"/>
            <w:noWrap/>
            <w:vAlign w:val="bottom"/>
            <w:hideMark/>
          </w:tcPr>
          <w:p w14:paraId="354C32AD"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STOCK ONLY</w:t>
            </w:r>
          </w:p>
        </w:tc>
        <w:tc>
          <w:tcPr>
            <w:tcW w:w="675" w:type="pct"/>
            <w:noWrap/>
            <w:vAlign w:val="bottom"/>
            <w:hideMark/>
          </w:tcPr>
          <w:p w14:paraId="4740DC8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0.108</w:t>
            </w:r>
          </w:p>
        </w:tc>
        <w:tc>
          <w:tcPr>
            <w:tcW w:w="613" w:type="pct"/>
            <w:noWrap/>
            <w:vAlign w:val="bottom"/>
            <w:hideMark/>
          </w:tcPr>
          <w:p w14:paraId="1E59246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5CD63279"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205B287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736" w:type="pct"/>
            <w:noWrap/>
            <w:vAlign w:val="bottom"/>
            <w:hideMark/>
          </w:tcPr>
          <w:p w14:paraId="642D502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0.310</w:t>
            </w:r>
          </w:p>
        </w:tc>
      </w:tr>
      <w:tr w:rsidR="00093F2A" w:rsidRPr="00093F2A" w14:paraId="7704144A" w14:textId="77777777" w:rsidTr="00201000">
        <w:trPr>
          <w:trHeight w:val="144"/>
        </w:trPr>
        <w:tc>
          <w:tcPr>
            <w:tcW w:w="1688" w:type="pct"/>
            <w:noWrap/>
            <w:vAlign w:val="bottom"/>
            <w:hideMark/>
          </w:tcPr>
          <w:p w14:paraId="5B5B9FE2"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L.ACQ.ROA (%)</w:t>
            </w:r>
          </w:p>
        </w:tc>
        <w:tc>
          <w:tcPr>
            <w:tcW w:w="675" w:type="pct"/>
            <w:noWrap/>
            <w:vAlign w:val="bottom"/>
            <w:hideMark/>
          </w:tcPr>
          <w:p w14:paraId="65118787"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1.043</w:t>
            </w:r>
          </w:p>
        </w:tc>
        <w:tc>
          <w:tcPr>
            <w:tcW w:w="613" w:type="pct"/>
            <w:noWrap/>
            <w:vAlign w:val="bottom"/>
            <w:hideMark/>
          </w:tcPr>
          <w:p w14:paraId="6C892B7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65567EB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0.790</w:t>
            </w:r>
          </w:p>
        </w:tc>
        <w:tc>
          <w:tcPr>
            <w:tcW w:w="675" w:type="pct"/>
            <w:noWrap/>
            <w:vAlign w:val="bottom"/>
            <w:hideMark/>
          </w:tcPr>
          <w:p w14:paraId="42488C7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1.250</w:t>
            </w:r>
          </w:p>
        </w:tc>
        <w:tc>
          <w:tcPr>
            <w:tcW w:w="736" w:type="pct"/>
            <w:noWrap/>
            <w:vAlign w:val="bottom"/>
            <w:hideMark/>
          </w:tcPr>
          <w:p w14:paraId="7440DA5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0.426</w:t>
            </w:r>
          </w:p>
        </w:tc>
      </w:tr>
      <w:tr w:rsidR="00093F2A" w:rsidRPr="00093F2A" w14:paraId="29EEB819" w14:textId="77777777" w:rsidTr="00201000">
        <w:trPr>
          <w:trHeight w:val="144"/>
        </w:trPr>
        <w:tc>
          <w:tcPr>
            <w:tcW w:w="1688" w:type="pct"/>
            <w:noWrap/>
            <w:vAlign w:val="bottom"/>
            <w:hideMark/>
          </w:tcPr>
          <w:p w14:paraId="728B4401"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L.ACQ.LIQUIDITY RATIO (%)</w:t>
            </w:r>
          </w:p>
        </w:tc>
        <w:tc>
          <w:tcPr>
            <w:tcW w:w="675" w:type="pct"/>
            <w:noWrap/>
            <w:vAlign w:val="bottom"/>
            <w:hideMark/>
          </w:tcPr>
          <w:p w14:paraId="63BCD49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19.260</w:t>
            </w:r>
          </w:p>
        </w:tc>
        <w:tc>
          <w:tcPr>
            <w:tcW w:w="613" w:type="pct"/>
            <w:noWrap/>
            <w:vAlign w:val="bottom"/>
            <w:hideMark/>
          </w:tcPr>
          <w:p w14:paraId="5E33C8C4"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15.130</w:t>
            </w:r>
          </w:p>
        </w:tc>
        <w:tc>
          <w:tcPr>
            <w:tcW w:w="613" w:type="pct"/>
            <w:noWrap/>
            <w:vAlign w:val="bottom"/>
            <w:hideMark/>
          </w:tcPr>
          <w:p w14:paraId="03A9FE5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9.930</w:t>
            </w:r>
          </w:p>
        </w:tc>
        <w:tc>
          <w:tcPr>
            <w:tcW w:w="675" w:type="pct"/>
            <w:noWrap/>
            <w:vAlign w:val="bottom"/>
            <w:hideMark/>
          </w:tcPr>
          <w:p w14:paraId="2B8F221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22.390</w:t>
            </w:r>
          </w:p>
        </w:tc>
        <w:tc>
          <w:tcPr>
            <w:tcW w:w="736" w:type="pct"/>
            <w:noWrap/>
            <w:vAlign w:val="bottom"/>
            <w:hideMark/>
          </w:tcPr>
          <w:p w14:paraId="2D1C18C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14.368</w:t>
            </w:r>
          </w:p>
        </w:tc>
      </w:tr>
      <w:tr w:rsidR="00093F2A" w:rsidRPr="00093F2A" w14:paraId="78E30636" w14:textId="77777777" w:rsidTr="00201000">
        <w:trPr>
          <w:trHeight w:val="144"/>
        </w:trPr>
        <w:tc>
          <w:tcPr>
            <w:tcW w:w="1688" w:type="pct"/>
            <w:noWrap/>
            <w:vAlign w:val="bottom"/>
            <w:hideMark/>
          </w:tcPr>
          <w:p w14:paraId="461966F5"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L.ACQ.EQUITY/ASSET (%)</w:t>
            </w:r>
          </w:p>
        </w:tc>
        <w:tc>
          <w:tcPr>
            <w:tcW w:w="675" w:type="pct"/>
            <w:noWrap/>
            <w:vAlign w:val="bottom"/>
            <w:hideMark/>
          </w:tcPr>
          <w:p w14:paraId="578F909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10.767</w:t>
            </w:r>
          </w:p>
        </w:tc>
        <w:tc>
          <w:tcPr>
            <w:tcW w:w="613" w:type="pct"/>
            <w:noWrap/>
            <w:vAlign w:val="bottom"/>
            <w:hideMark/>
          </w:tcPr>
          <w:p w14:paraId="39AB6EB7"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10.285</w:t>
            </w:r>
          </w:p>
        </w:tc>
        <w:tc>
          <w:tcPr>
            <w:tcW w:w="613" w:type="pct"/>
            <w:noWrap/>
            <w:vAlign w:val="bottom"/>
            <w:hideMark/>
          </w:tcPr>
          <w:p w14:paraId="00C3253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8.980</w:t>
            </w:r>
          </w:p>
        </w:tc>
        <w:tc>
          <w:tcPr>
            <w:tcW w:w="675" w:type="pct"/>
            <w:noWrap/>
            <w:vAlign w:val="bottom"/>
            <w:hideMark/>
          </w:tcPr>
          <w:p w14:paraId="59788F4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12.135</w:t>
            </w:r>
          </w:p>
        </w:tc>
        <w:tc>
          <w:tcPr>
            <w:tcW w:w="736" w:type="pct"/>
            <w:noWrap/>
            <w:vAlign w:val="bottom"/>
            <w:hideMark/>
          </w:tcPr>
          <w:p w14:paraId="011E0CF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2.688</w:t>
            </w:r>
          </w:p>
        </w:tc>
      </w:tr>
      <w:tr w:rsidR="00093F2A" w:rsidRPr="00093F2A" w14:paraId="1C0DAB3E" w14:textId="77777777" w:rsidTr="00201000">
        <w:trPr>
          <w:trHeight w:val="144"/>
        </w:trPr>
        <w:tc>
          <w:tcPr>
            <w:tcW w:w="1688" w:type="pct"/>
            <w:noWrap/>
            <w:vAlign w:val="bottom"/>
            <w:hideMark/>
          </w:tcPr>
          <w:p w14:paraId="38723A35" w14:textId="77777777" w:rsidR="001E5D09" w:rsidRPr="00093F2A" w:rsidRDefault="001E5D09">
            <w:pPr>
              <w:rPr>
                <w:rFonts w:ascii="Gill Sans MT" w:hAnsi="Gill Sans MT" w:cs="Calibri"/>
              </w:rPr>
            </w:pPr>
          </w:p>
        </w:tc>
        <w:tc>
          <w:tcPr>
            <w:tcW w:w="675" w:type="pct"/>
            <w:noWrap/>
            <w:vAlign w:val="bottom"/>
            <w:hideMark/>
          </w:tcPr>
          <w:p w14:paraId="112FDA8C" w14:textId="77777777" w:rsidR="001E5D09" w:rsidRPr="00093F2A" w:rsidRDefault="001E5D09">
            <w:pPr>
              <w:spacing w:after="0"/>
              <w:rPr>
                <w:sz w:val="20"/>
                <w:szCs w:val="20"/>
              </w:rPr>
            </w:pPr>
          </w:p>
        </w:tc>
        <w:tc>
          <w:tcPr>
            <w:tcW w:w="613" w:type="pct"/>
            <w:noWrap/>
            <w:vAlign w:val="bottom"/>
            <w:hideMark/>
          </w:tcPr>
          <w:p w14:paraId="73DFF7C9" w14:textId="77777777" w:rsidR="001E5D09" w:rsidRPr="00093F2A" w:rsidRDefault="001E5D09">
            <w:pPr>
              <w:spacing w:after="0"/>
              <w:rPr>
                <w:sz w:val="20"/>
                <w:szCs w:val="20"/>
              </w:rPr>
            </w:pPr>
          </w:p>
        </w:tc>
        <w:tc>
          <w:tcPr>
            <w:tcW w:w="613" w:type="pct"/>
            <w:noWrap/>
            <w:vAlign w:val="bottom"/>
            <w:hideMark/>
          </w:tcPr>
          <w:p w14:paraId="7231CC6F" w14:textId="77777777" w:rsidR="001E5D09" w:rsidRPr="00093F2A" w:rsidRDefault="001E5D09">
            <w:pPr>
              <w:spacing w:after="0"/>
              <w:rPr>
                <w:sz w:val="20"/>
                <w:szCs w:val="20"/>
              </w:rPr>
            </w:pPr>
          </w:p>
        </w:tc>
        <w:tc>
          <w:tcPr>
            <w:tcW w:w="675" w:type="pct"/>
            <w:noWrap/>
            <w:vAlign w:val="bottom"/>
            <w:hideMark/>
          </w:tcPr>
          <w:p w14:paraId="7B7CA63F" w14:textId="77777777" w:rsidR="001E5D09" w:rsidRPr="00093F2A" w:rsidRDefault="001E5D09">
            <w:pPr>
              <w:spacing w:after="0"/>
              <w:rPr>
                <w:sz w:val="20"/>
                <w:szCs w:val="20"/>
              </w:rPr>
            </w:pPr>
          </w:p>
        </w:tc>
        <w:tc>
          <w:tcPr>
            <w:tcW w:w="736" w:type="pct"/>
            <w:noWrap/>
            <w:vAlign w:val="bottom"/>
            <w:hideMark/>
          </w:tcPr>
          <w:p w14:paraId="7802BCB0" w14:textId="77777777" w:rsidR="001E5D09" w:rsidRPr="00093F2A" w:rsidRDefault="001E5D09">
            <w:pPr>
              <w:spacing w:after="0"/>
              <w:rPr>
                <w:sz w:val="20"/>
                <w:szCs w:val="20"/>
              </w:rPr>
            </w:pPr>
          </w:p>
        </w:tc>
      </w:tr>
      <w:tr w:rsidR="00093F2A" w:rsidRPr="00093F2A" w14:paraId="6C393252" w14:textId="77777777" w:rsidTr="00201000">
        <w:trPr>
          <w:trHeight w:val="144"/>
        </w:trPr>
        <w:tc>
          <w:tcPr>
            <w:tcW w:w="5000" w:type="pct"/>
            <w:gridSpan w:val="6"/>
            <w:noWrap/>
            <w:vAlign w:val="bottom"/>
            <w:hideMark/>
          </w:tcPr>
          <w:p w14:paraId="536F3460"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Panel B - Private Equity Subsample</w:t>
            </w:r>
          </w:p>
        </w:tc>
      </w:tr>
      <w:tr w:rsidR="00093F2A" w:rsidRPr="00093F2A" w14:paraId="36025541" w14:textId="77777777" w:rsidTr="00201000">
        <w:trPr>
          <w:trHeight w:val="144"/>
        </w:trPr>
        <w:tc>
          <w:tcPr>
            <w:tcW w:w="1688" w:type="pct"/>
            <w:tcBorders>
              <w:top w:val="nil"/>
              <w:left w:val="nil"/>
              <w:bottom w:val="single" w:sz="4" w:space="0" w:color="auto"/>
              <w:right w:val="nil"/>
            </w:tcBorders>
            <w:noWrap/>
            <w:vAlign w:val="bottom"/>
            <w:hideMark/>
          </w:tcPr>
          <w:p w14:paraId="694C5FC2"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variable</w:t>
            </w:r>
          </w:p>
        </w:tc>
        <w:tc>
          <w:tcPr>
            <w:tcW w:w="675" w:type="pct"/>
            <w:tcBorders>
              <w:top w:val="nil"/>
              <w:left w:val="nil"/>
              <w:bottom w:val="single" w:sz="4" w:space="0" w:color="auto"/>
              <w:right w:val="nil"/>
            </w:tcBorders>
            <w:noWrap/>
            <w:vAlign w:val="bottom"/>
            <w:hideMark/>
          </w:tcPr>
          <w:p w14:paraId="32028BF0"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Mean</w:t>
            </w:r>
          </w:p>
        </w:tc>
        <w:tc>
          <w:tcPr>
            <w:tcW w:w="613" w:type="pct"/>
            <w:tcBorders>
              <w:top w:val="nil"/>
              <w:left w:val="nil"/>
              <w:bottom w:val="single" w:sz="4" w:space="0" w:color="auto"/>
              <w:right w:val="nil"/>
            </w:tcBorders>
            <w:noWrap/>
            <w:vAlign w:val="bottom"/>
            <w:hideMark/>
          </w:tcPr>
          <w:p w14:paraId="26BF56B2"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Median</w:t>
            </w:r>
          </w:p>
        </w:tc>
        <w:tc>
          <w:tcPr>
            <w:tcW w:w="613" w:type="pct"/>
            <w:tcBorders>
              <w:top w:val="nil"/>
              <w:left w:val="nil"/>
              <w:bottom w:val="single" w:sz="4" w:space="0" w:color="auto"/>
              <w:right w:val="nil"/>
            </w:tcBorders>
            <w:noWrap/>
            <w:vAlign w:val="bottom"/>
            <w:hideMark/>
          </w:tcPr>
          <w:p w14:paraId="156DC2B5"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25th pctl</w:t>
            </w:r>
          </w:p>
        </w:tc>
        <w:tc>
          <w:tcPr>
            <w:tcW w:w="675" w:type="pct"/>
            <w:tcBorders>
              <w:top w:val="nil"/>
              <w:left w:val="nil"/>
              <w:bottom w:val="single" w:sz="4" w:space="0" w:color="auto"/>
              <w:right w:val="nil"/>
            </w:tcBorders>
            <w:noWrap/>
            <w:vAlign w:val="bottom"/>
            <w:hideMark/>
          </w:tcPr>
          <w:p w14:paraId="2ED35DA4"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75th pctl</w:t>
            </w:r>
          </w:p>
        </w:tc>
        <w:tc>
          <w:tcPr>
            <w:tcW w:w="736" w:type="pct"/>
            <w:tcBorders>
              <w:top w:val="nil"/>
              <w:left w:val="nil"/>
              <w:bottom w:val="single" w:sz="4" w:space="0" w:color="auto"/>
              <w:right w:val="nil"/>
            </w:tcBorders>
            <w:noWrap/>
            <w:vAlign w:val="bottom"/>
            <w:hideMark/>
          </w:tcPr>
          <w:p w14:paraId="7DBC25C8"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Stdev</w:t>
            </w:r>
          </w:p>
        </w:tc>
      </w:tr>
      <w:tr w:rsidR="00093F2A" w:rsidRPr="00093F2A" w14:paraId="0EF6FE9A" w14:textId="77777777" w:rsidTr="00201000">
        <w:trPr>
          <w:trHeight w:val="144"/>
        </w:trPr>
        <w:tc>
          <w:tcPr>
            <w:tcW w:w="1688" w:type="pct"/>
            <w:noWrap/>
            <w:vAlign w:val="bottom"/>
            <w:hideMark/>
          </w:tcPr>
          <w:p w14:paraId="128D7229"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DEAL VALUE ($ million)</w:t>
            </w:r>
          </w:p>
        </w:tc>
        <w:tc>
          <w:tcPr>
            <w:tcW w:w="675" w:type="pct"/>
            <w:noWrap/>
            <w:vAlign w:val="bottom"/>
            <w:hideMark/>
          </w:tcPr>
          <w:p w14:paraId="576156AD"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297.002</w:t>
            </w:r>
          </w:p>
        </w:tc>
        <w:tc>
          <w:tcPr>
            <w:tcW w:w="613" w:type="pct"/>
            <w:noWrap/>
            <w:vAlign w:val="bottom"/>
            <w:hideMark/>
          </w:tcPr>
          <w:p w14:paraId="4C47052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78.260</w:t>
            </w:r>
          </w:p>
        </w:tc>
        <w:tc>
          <w:tcPr>
            <w:tcW w:w="613" w:type="pct"/>
            <w:noWrap/>
            <w:vAlign w:val="bottom"/>
            <w:hideMark/>
          </w:tcPr>
          <w:p w14:paraId="5B9CE4D5"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29.691</w:t>
            </w:r>
          </w:p>
        </w:tc>
        <w:tc>
          <w:tcPr>
            <w:tcW w:w="675" w:type="pct"/>
            <w:noWrap/>
            <w:vAlign w:val="bottom"/>
            <w:hideMark/>
          </w:tcPr>
          <w:p w14:paraId="2D03A66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243.872</w:t>
            </w:r>
          </w:p>
        </w:tc>
        <w:tc>
          <w:tcPr>
            <w:tcW w:w="736" w:type="pct"/>
            <w:noWrap/>
            <w:vAlign w:val="bottom"/>
            <w:hideMark/>
          </w:tcPr>
          <w:p w14:paraId="0013B44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656.280</w:t>
            </w:r>
          </w:p>
        </w:tc>
      </w:tr>
      <w:tr w:rsidR="00093F2A" w:rsidRPr="00093F2A" w14:paraId="7382E48C" w14:textId="77777777" w:rsidTr="00201000">
        <w:trPr>
          <w:trHeight w:val="144"/>
        </w:trPr>
        <w:tc>
          <w:tcPr>
            <w:tcW w:w="1688" w:type="pct"/>
            <w:noWrap/>
            <w:vAlign w:val="bottom"/>
            <w:hideMark/>
          </w:tcPr>
          <w:p w14:paraId="34921D62"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ACQ.ASSET ($ million)</w:t>
            </w:r>
          </w:p>
        </w:tc>
        <w:tc>
          <w:tcPr>
            <w:tcW w:w="675" w:type="pct"/>
            <w:noWrap/>
            <w:vAlign w:val="bottom"/>
            <w:hideMark/>
          </w:tcPr>
          <w:p w14:paraId="647E0C0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60,700.000</w:t>
            </w:r>
          </w:p>
        </w:tc>
        <w:tc>
          <w:tcPr>
            <w:tcW w:w="613" w:type="pct"/>
            <w:noWrap/>
            <w:vAlign w:val="bottom"/>
            <w:hideMark/>
          </w:tcPr>
          <w:p w14:paraId="529FCDC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5,529.355</w:t>
            </w:r>
          </w:p>
        </w:tc>
        <w:tc>
          <w:tcPr>
            <w:tcW w:w="613" w:type="pct"/>
            <w:noWrap/>
            <w:vAlign w:val="bottom"/>
            <w:hideMark/>
          </w:tcPr>
          <w:p w14:paraId="57A6C481"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2,598.879</w:t>
            </w:r>
          </w:p>
        </w:tc>
        <w:tc>
          <w:tcPr>
            <w:tcW w:w="675" w:type="pct"/>
            <w:noWrap/>
            <w:vAlign w:val="bottom"/>
            <w:hideMark/>
          </w:tcPr>
          <w:p w14:paraId="33CD67F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12,000.000</w:t>
            </w:r>
          </w:p>
        </w:tc>
        <w:tc>
          <w:tcPr>
            <w:tcW w:w="736" w:type="pct"/>
            <w:noWrap/>
            <w:vAlign w:val="bottom"/>
            <w:hideMark/>
          </w:tcPr>
          <w:p w14:paraId="6A199C0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249,000.000</w:t>
            </w:r>
          </w:p>
        </w:tc>
      </w:tr>
      <w:tr w:rsidR="00093F2A" w:rsidRPr="00093F2A" w14:paraId="2D91FD3B" w14:textId="77777777" w:rsidTr="00201000">
        <w:trPr>
          <w:trHeight w:val="144"/>
        </w:trPr>
        <w:tc>
          <w:tcPr>
            <w:tcW w:w="1688" w:type="pct"/>
            <w:noWrap/>
            <w:vAlign w:val="bottom"/>
            <w:hideMark/>
          </w:tcPr>
          <w:p w14:paraId="7F86B74E"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RELSIZE (%)</w:t>
            </w:r>
          </w:p>
        </w:tc>
        <w:tc>
          <w:tcPr>
            <w:tcW w:w="675" w:type="pct"/>
            <w:noWrap/>
            <w:vAlign w:val="bottom"/>
            <w:hideMark/>
          </w:tcPr>
          <w:p w14:paraId="6E3333A1"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0.004</w:t>
            </w:r>
          </w:p>
        </w:tc>
        <w:tc>
          <w:tcPr>
            <w:tcW w:w="613" w:type="pct"/>
            <w:noWrap/>
            <w:vAlign w:val="bottom"/>
            <w:hideMark/>
          </w:tcPr>
          <w:p w14:paraId="3D5090E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0.002</w:t>
            </w:r>
          </w:p>
        </w:tc>
        <w:tc>
          <w:tcPr>
            <w:tcW w:w="613" w:type="pct"/>
            <w:noWrap/>
            <w:vAlign w:val="bottom"/>
            <w:hideMark/>
          </w:tcPr>
          <w:p w14:paraId="56D42A5D"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0.001</w:t>
            </w:r>
          </w:p>
        </w:tc>
        <w:tc>
          <w:tcPr>
            <w:tcW w:w="675" w:type="pct"/>
            <w:noWrap/>
            <w:vAlign w:val="bottom"/>
            <w:hideMark/>
          </w:tcPr>
          <w:p w14:paraId="246A04F5"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0.004</w:t>
            </w:r>
          </w:p>
        </w:tc>
        <w:tc>
          <w:tcPr>
            <w:tcW w:w="736" w:type="pct"/>
            <w:noWrap/>
            <w:vAlign w:val="bottom"/>
            <w:hideMark/>
          </w:tcPr>
          <w:p w14:paraId="124CF64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0.005</w:t>
            </w:r>
          </w:p>
        </w:tc>
      </w:tr>
      <w:tr w:rsidR="00093F2A" w:rsidRPr="00093F2A" w14:paraId="508F3BB1" w14:textId="77777777" w:rsidTr="00201000">
        <w:trPr>
          <w:trHeight w:val="144"/>
        </w:trPr>
        <w:tc>
          <w:tcPr>
            <w:tcW w:w="1688" w:type="pct"/>
            <w:noWrap/>
            <w:vAlign w:val="bottom"/>
            <w:hideMark/>
          </w:tcPr>
          <w:p w14:paraId="54AC93AE"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RELATED TARGETS</w:t>
            </w:r>
          </w:p>
        </w:tc>
        <w:tc>
          <w:tcPr>
            <w:tcW w:w="675" w:type="pct"/>
            <w:noWrap/>
            <w:vAlign w:val="bottom"/>
            <w:hideMark/>
          </w:tcPr>
          <w:p w14:paraId="7BAA4C7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0.651</w:t>
            </w:r>
          </w:p>
        </w:tc>
        <w:tc>
          <w:tcPr>
            <w:tcW w:w="613" w:type="pct"/>
            <w:noWrap/>
            <w:vAlign w:val="bottom"/>
            <w:hideMark/>
          </w:tcPr>
          <w:p w14:paraId="4F44F575"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23895D3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67C9433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736" w:type="pct"/>
            <w:noWrap/>
            <w:vAlign w:val="bottom"/>
            <w:hideMark/>
          </w:tcPr>
          <w:p w14:paraId="2F2599E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0.478</w:t>
            </w:r>
          </w:p>
        </w:tc>
      </w:tr>
      <w:tr w:rsidR="00093F2A" w:rsidRPr="00093F2A" w14:paraId="2F170F6E" w14:textId="77777777" w:rsidTr="00201000">
        <w:trPr>
          <w:trHeight w:val="144"/>
        </w:trPr>
        <w:tc>
          <w:tcPr>
            <w:tcW w:w="1688" w:type="pct"/>
            <w:noWrap/>
            <w:vAlign w:val="bottom"/>
            <w:hideMark/>
          </w:tcPr>
          <w:p w14:paraId="21F1D549"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PUBLIC TARGET</w:t>
            </w:r>
          </w:p>
        </w:tc>
        <w:tc>
          <w:tcPr>
            <w:tcW w:w="675" w:type="pct"/>
            <w:noWrap/>
            <w:vAlign w:val="bottom"/>
            <w:hideMark/>
          </w:tcPr>
          <w:p w14:paraId="55901F25"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0.295</w:t>
            </w:r>
          </w:p>
        </w:tc>
        <w:tc>
          <w:tcPr>
            <w:tcW w:w="613" w:type="pct"/>
            <w:noWrap/>
            <w:vAlign w:val="bottom"/>
            <w:hideMark/>
          </w:tcPr>
          <w:p w14:paraId="1507AF2D"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62D817E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171AE359"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736" w:type="pct"/>
            <w:noWrap/>
            <w:vAlign w:val="bottom"/>
            <w:hideMark/>
          </w:tcPr>
          <w:p w14:paraId="7D9097A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0.458</w:t>
            </w:r>
          </w:p>
        </w:tc>
      </w:tr>
      <w:tr w:rsidR="00093F2A" w:rsidRPr="00093F2A" w14:paraId="30A0474E" w14:textId="77777777" w:rsidTr="00201000">
        <w:trPr>
          <w:trHeight w:val="144"/>
        </w:trPr>
        <w:tc>
          <w:tcPr>
            <w:tcW w:w="1688" w:type="pct"/>
            <w:noWrap/>
            <w:vAlign w:val="bottom"/>
            <w:hideMark/>
          </w:tcPr>
          <w:p w14:paraId="22B7AB21"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DOMESTIC TARGET</w:t>
            </w:r>
          </w:p>
        </w:tc>
        <w:tc>
          <w:tcPr>
            <w:tcW w:w="675" w:type="pct"/>
            <w:noWrap/>
            <w:vAlign w:val="bottom"/>
            <w:hideMark/>
          </w:tcPr>
          <w:p w14:paraId="7B2CE55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0467C22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13" w:type="pct"/>
            <w:noWrap/>
            <w:vAlign w:val="bottom"/>
            <w:hideMark/>
          </w:tcPr>
          <w:p w14:paraId="1B8F3F6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675" w:type="pct"/>
            <w:noWrap/>
            <w:vAlign w:val="bottom"/>
            <w:hideMark/>
          </w:tcPr>
          <w:p w14:paraId="617F72CF"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1.000</w:t>
            </w:r>
          </w:p>
        </w:tc>
        <w:tc>
          <w:tcPr>
            <w:tcW w:w="736" w:type="pct"/>
            <w:noWrap/>
            <w:vAlign w:val="bottom"/>
            <w:hideMark/>
          </w:tcPr>
          <w:p w14:paraId="716451B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r>
      <w:tr w:rsidR="00093F2A" w:rsidRPr="00093F2A" w14:paraId="78A02D68" w14:textId="77777777" w:rsidTr="00201000">
        <w:trPr>
          <w:trHeight w:val="144"/>
        </w:trPr>
        <w:tc>
          <w:tcPr>
            <w:tcW w:w="1688" w:type="pct"/>
            <w:noWrap/>
            <w:vAlign w:val="bottom"/>
            <w:hideMark/>
          </w:tcPr>
          <w:p w14:paraId="0FDC4332"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CASH ONLY</w:t>
            </w:r>
          </w:p>
        </w:tc>
        <w:tc>
          <w:tcPr>
            <w:tcW w:w="675" w:type="pct"/>
            <w:noWrap/>
            <w:vAlign w:val="bottom"/>
            <w:hideMark/>
          </w:tcPr>
          <w:p w14:paraId="100A901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0.195</w:t>
            </w:r>
          </w:p>
        </w:tc>
        <w:tc>
          <w:tcPr>
            <w:tcW w:w="613" w:type="pct"/>
            <w:noWrap/>
            <w:vAlign w:val="bottom"/>
            <w:hideMark/>
          </w:tcPr>
          <w:p w14:paraId="0045607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0091DCD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76D10AE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736" w:type="pct"/>
            <w:noWrap/>
            <w:vAlign w:val="bottom"/>
            <w:hideMark/>
          </w:tcPr>
          <w:p w14:paraId="4C9B307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0.397</w:t>
            </w:r>
          </w:p>
        </w:tc>
      </w:tr>
      <w:tr w:rsidR="00093F2A" w:rsidRPr="00093F2A" w14:paraId="28947139" w14:textId="77777777" w:rsidTr="00201000">
        <w:trPr>
          <w:trHeight w:val="144"/>
        </w:trPr>
        <w:tc>
          <w:tcPr>
            <w:tcW w:w="1688" w:type="pct"/>
            <w:noWrap/>
            <w:vAlign w:val="bottom"/>
            <w:hideMark/>
          </w:tcPr>
          <w:p w14:paraId="33FAF49B"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STOCK ONLY</w:t>
            </w:r>
          </w:p>
        </w:tc>
        <w:tc>
          <w:tcPr>
            <w:tcW w:w="675" w:type="pct"/>
            <w:noWrap/>
            <w:vAlign w:val="bottom"/>
            <w:hideMark/>
          </w:tcPr>
          <w:p w14:paraId="3D86A1AB"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0.141</w:t>
            </w:r>
          </w:p>
        </w:tc>
        <w:tc>
          <w:tcPr>
            <w:tcW w:w="613" w:type="pct"/>
            <w:noWrap/>
            <w:vAlign w:val="bottom"/>
            <w:hideMark/>
          </w:tcPr>
          <w:p w14:paraId="70F5024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13" w:type="pct"/>
            <w:noWrap/>
            <w:vAlign w:val="bottom"/>
            <w:hideMark/>
          </w:tcPr>
          <w:p w14:paraId="02651984"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675" w:type="pct"/>
            <w:noWrap/>
            <w:vAlign w:val="bottom"/>
            <w:hideMark/>
          </w:tcPr>
          <w:p w14:paraId="7B90879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0.000</w:t>
            </w:r>
          </w:p>
        </w:tc>
        <w:tc>
          <w:tcPr>
            <w:tcW w:w="736" w:type="pct"/>
            <w:noWrap/>
            <w:vAlign w:val="bottom"/>
            <w:hideMark/>
          </w:tcPr>
          <w:p w14:paraId="72AE6CE5"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0.349</w:t>
            </w:r>
          </w:p>
        </w:tc>
      </w:tr>
      <w:tr w:rsidR="00093F2A" w:rsidRPr="00093F2A" w14:paraId="2150B6E9" w14:textId="77777777" w:rsidTr="00201000">
        <w:trPr>
          <w:trHeight w:val="144"/>
        </w:trPr>
        <w:tc>
          <w:tcPr>
            <w:tcW w:w="1688" w:type="pct"/>
            <w:noWrap/>
            <w:vAlign w:val="bottom"/>
            <w:hideMark/>
          </w:tcPr>
          <w:p w14:paraId="61C85E10"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L.ACQ.ROA (%)</w:t>
            </w:r>
          </w:p>
        </w:tc>
        <w:tc>
          <w:tcPr>
            <w:tcW w:w="675" w:type="pct"/>
            <w:noWrap/>
            <w:vAlign w:val="bottom"/>
            <w:hideMark/>
          </w:tcPr>
          <w:p w14:paraId="5ECD7B2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0.928</w:t>
            </w:r>
          </w:p>
        </w:tc>
        <w:tc>
          <w:tcPr>
            <w:tcW w:w="613" w:type="pct"/>
            <w:noWrap/>
            <w:vAlign w:val="bottom"/>
            <w:hideMark/>
          </w:tcPr>
          <w:p w14:paraId="0BFA843A"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0.890</w:t>
            </w:r>
          </w:p>
        </w:tc>
        <w:tc>
          <w:tcPr>
            <w:tcW w:w="613" w:type="pct"/>
            <w:noWrap/>
            <w:vAlign w:val="bottom"/>
            <w:hideMark/>
          </w:tcPr>
          <w:p w14:paraId="24AF5E9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0.670</w:t>
            </w:r>
          </w:p>
        </w:tc>
        <w:tc>
          <w:tcPr>
            <w:tcW w:w="675" w:type="pct"/>
            <w:noWrap/>
            <w:vAlign w:val="bottom"/>
            <w:hideMark/>
          </w:tcPr>
          <w:p w14:paraId="76CD9A0E"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1.090</w:t>
            </w:r>
          </w:p>
        </w:tc>
        <w:tc>
          <w:tcPr>
            <w:tcW w:w="736" w:type="pct"/>
            <w:noWrap/>
            <w:vAlign w:val="bottom"/>
            <w:hideMark/>
          </w:tcPr>
          <w:p w14:paraId="489BEFF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0.455</w:t>
            </w:r>
          </w:p>
        </w:tc>
      </w:tr>
      <w:tr w:rsidR="00093F2A" w:rsidRPr="00093F2A" w14:paraId="7E1FC36A" w14:textId="77777777" w:rsidTr="00201000">
        <w:trPr>
          <w:trHeight w:val="144"/>
        </w:trPr>
        <w:tc>
          <w:tcPr>
            <w:tcW w:w="1688" w:type="pct"/>
            <w:noWrap/>
            <w:vAlign w:val="bottom"/>
            <w:hideMark/>
          </w:tcPr>
          <w:p w14:paraId="3085D1A0"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L.ACQ.LIQUIDITY RATIO (%)</w:t>
            </w:r>
          </w:p>
        </w:tc>
        <w:tc>
          <w:tcPr>
            <w:tcW w:w="675" w:type="pct"/>
            <w:noWrap/>
            <w:vAlign w:val="bottom"/>
            <w:hideMark/>
          </w:tcPr>
          <w:p w14:paraId="18C7BDD2"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18.438</w:t>
            </w:r>
          </w:p>
        </w:tc>
        <w:tc>
          <w:tcPr>
            <w:tcW w:w="613" w:type="pct"/>
            <w:noWrap/>
            <w:vAlign w:val="bottom"/>
            <w:hideMark/>
          </w:tcPr>
          <w:p w14:paraId="41C9DAD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14.630</w:t>
            </w:r>
          </w:p>
        </w:tc>
        <w:tc>
          <w:tcPr>
            <w:tcW w:w="613" w:type="pct"/>
            <w:noWrap/>
            <w:vAlign w:val="bottom"/>
            <w:hideMark/>
          </w:tcPr>
          <w:p w14:paraId="77DD0A6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10.970</w:t>
            </w:r>
          </w:p>
        </w:tc>
        <w:tc>
          <w:tcPr>
            <w:tcW w:w="675" w:type="pct"/>
            <w:noWrap/>
            <w:vAlign w:val="bottom"/>
            <w:hideMark/>
          </w:tcPr>
          <w:p w14:paraId="75E4CFE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21.140</w:t>
            </w:r>
          </w:p>
        </w:tc>
        <w:tc>
          <w:tcPr>
            <w:tcW w:w="736" w:type="pct"/>
            <w:noWrap/>
            <w:vAlign w:val="bottom"/>
            <w:hideMark/>
          </w:tcPr>
          <w:p w14:paraId="6608E400"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13.191</w:t>
            </w:r>
          </w:p>
        </w:tc>
      </w:tr>
      <w:tr w:rsidR="00093F2A" w:rsidRPr="00093F2A" w14:paraId="561DD8B5" w14:textId="77777777" w:rsidTr="00201000">
        <w:trPr>
          <w:trHeight w:val="144"/>
        </w:trPr>
        <w:tc>
          <w:tcPr>
            <w:tcW w:w="1688" w:type="pct"/>
            <w:tcBorders>
              <w:top w:val="nil"/>
              <w:left w:val="nil"/>
              <w:bottom w:val="single" w:sz="4" w:space="0" w:color="auto"/>
              <w:right w:val="nil"/>
            </w:tcBorders>
            <w:noWrap/>
            <w:vAlign w:val="bottom"/>
            <w:hideMark/>
          </w:tcPr>
          <w:p w14:paraId="2398BD89" w14:textId="77777777" w:rsidR="001E5D09" w:rsidRPr="00093F2A" w:rsidRDefault="001E5D09">
            <w:pPr>
              <w:spacing w:line="240" w:lineRule="auto"/>
              <w:contextualSpacing/>
              <w:rPr>
                <w:rFonts w:ascii="Gill Sans MT" w:eastAsia="Times New Roman" w:hAnsi="Gill Sans MT" w:cs="Calibri"/>
                <w:i/>
              </w:rPr>
            </w:pPr>
            <w:r w:rsidRPr="00093F2A">
              <w:rPr>
                <w:rFonts w:ascii="Gill Sans MT" w:eastAsia="Times New Roman" w:hAnsi="Gill Sans MT" w:cs="Calibri"/>
                <w:i/>
              </w:rPr>
              <w:t>L.ACQ.EQUITY/ASSET (%)</w:t>
            </w:r>
          </w:p>
        </w:tc>
        <w:tc>
          <w:tcPr>
            <w:tcW w:w="675" w:type="pct"/>
            <w:tcBorders>
              <w:top w:val="nil"/>
              <w:left w:val="nil"/>
              <w:bottom w:val="single" w:sz="4" w:space="0" w:color="auto"/>
              <w:right w:val="nil"/>
            </w:tcBorders>
            <w:noWrap/>
            <w:vAlign w:val="bottom"/>
            <w:hideMark/>
          </w:tcPr>
          <w:p w14:paraId="35ABE658"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11.131</w:t>
            </w:r>
          </w:p>
        </w:tc>
        <w:tc>
          <w:tcPr>
            <w:tcW w:w="613" w:type="pct"/>
            <w:tcBorders>
              <w:top w:val="nil"/>
              <w:left w:val="nil"/>
              <w:bottom w:val="single" w:sz="4" w:space="0" w:color="auto"/>
              <w:right w:val="nil"/>
            </w:tcBorders>
            <w:noWrap/>
            <w:vAlign w:val="bottom"/>
            <w:hideMark/>
          </w:tcPr>
          <w:p w14:paraId="1EB092F1"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10.530</w:t>
            </w:r>
          </w:p>
        </w:tc>
        <w:tc>
          <w:tcPr>
            <w:tcW w:w="613" w:type="pct"/>
            <w:tcBorders>
              <w:top w:val="nil"/>
              <w:left w:val="nil"/>
              <w:bottom w:val="single" w:sz="4" w:space="0" w:color="auto"/>
              <w:right w:val="nil"/>
            </w:tcBorders>
            <w:noWrap/>
            <w:vAlign w:val="bottom"/>
            <w:hideMark/>
          </w:tcPr>
          <w:p w14:paraId="7701DA4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9.540</w:t>
            </w:r>
          </w:p>
        </w:tc>
        <w:tc>
          <w:tcPr>
            <w:tcW w:w="675" w:type="pct"/>
            <w:tcBorders>
              <w:top w:val="nil"/>
              <w:left w:val="nil"/>
              <w:bottom w:val="single" w:sz="4" w:space="0" w:color="auto"/>
              <w:right w:val="nil"/>
            </w:tcBorders>
            <w:noWrap/>
            <w:vAlign w:val="bottom"/>
            <w:hideMark/>
          </w:tcPr>
          <w:p w14:paraId="1D1FAE83"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12.660</w:t>
            </w:r>
          </w:p>
        </w:tc>
        <w:tc>
          <w:tcPr>
            <w:tcW w:w="736" w:type="pct"/>
            <w:tcBorders>
              <w:top w:val="nil"/>
              <w:left w:val="nil"/>
              <w:bottom w:val="single" w:sz="4" w:space="0" w:color="auto"/>
              <w:right w:val="nil"/>
            </w:tcBorders>
            <w:noWrap/>
            <w:vAlign w:val="bottom"/>
            <w:hideMark/>
          </w:tcPr>
          <w:p w14:paraId="63768D76" w14:textId="77777777" w:rsidR="001E5D09" w:rsidRPr="00093F2A" w:rsidRDefault="001E5D09">
            <w:pPr>
              <w:spacing w:line="240" w:lineRule="auto"/>
              <w:contextualSpacing/>
              <w:rPr>
                <w:rFonts w:ascii="Gill Sans MT" w:hAnsi="Gill Sans MT" w:cs="Calibri"/>
              </w:rPr>
            </w:pPr>
            <w:r w:rsidRPr="00093F2A">
              <w:rPr>
                <w:rFonts w:ascii="Gill Sans MT" w:hAnsi="Gill Sans MT" w:cs="Calibri"/>
              </w:rPr>
              <w:t>2.607</w:t>
            </w:r>
          </w:p>
        </w:tc>
      </w:tr>
    </w:tbl>
    <w:p w14:paraId="520F86B9" w14:textId="77777777" w:rsidR="001E5D09" w:rsidRPr="00093F2A" w:rsidRDefault="001E5D09" w:rsidP="001E5D09">
      <w:pPr>
        <w:spacing w:line="240" w:lineRule="auto"/>
        <w:contextualSpacing/>
        <w:rPr>
          <w:rFonts w:ascii="Gill Sans MT" w:hAnsi="Gill Sans MT"/>
        </w:rPr>
      </w:pPr>
      <w:r w:rsidRPr="00093F2A">
        <w:rPr>
          <w:rFonts w:ascii="Gill Sans MT" w:hAnsi="Gill Sans MT"/>
          <w:sz w:val="20"/>
          <w:szCs w:val="20"/>
        </w:rPr>
        <w:t>We present sample descriptive statistics for the full sample (in Panel A) and the sample with PE involvement (in Panel B)</w:t>
      </w:r>
    </w:p>
    <w:p w14:paraId="38B0416C" w14:textId="77777777" w:rsidR="001E5D09" w:rsidRPr="00093F2A" w:rsidRDefault="001E5D09" w:rsidP="001E5D09">
      <w:pPr>
        <w:spacing w:after="0" w:line="240" w:lineRule="auto"/>
        <w:rPr>
          <w:rFonts w:ascii="Gill Sans MT" w:hAnsi="Gill Sans MT"/>
        </w:rPr>
        <w:sectPr w:rsidR="001E5D09" w:rsidRPr="00093F2A">
          <w:pgSz w:w="15840" w:h="12240" w:orient="landscape"/>
          <w:pgMar w:top="1440" w:right="1440" w:bottom="1440" w:left="1440" w:header="720" w:footer="720" w:gutter="0"/>
          <w:cols w:space="720"/>
        </w:sectPr>
      </w:pPr>
    </w:p>
    <w:p w14:paraId="5CCA9A62" w14:textId="77777777" w:rsidR="001E5D09" w:rsidRPr="00093F2A" w:rsidRDefault="001E5D09" w:rsidP="001E5D09">
      <w:pPr>
        <w:spacing w:line="240" w:lineRule="auto"/>
        <w:contextualSpacing/>
        <w:rPr>
          <w:rFonts w:ascii="Gill Sans MT" w:hAnsi="Gill Sans MT"/>
        </w:rPr>
      </w:pPr>
    </w:p>
    <w:tbl>
      <w:tblPr>
        <w:tblW w:w="5000" w:type="pct"/>
        <w:tblLook w:val="04A0" w:firstRow="1" w:lastRow="0" w:firstColumn="1" w:lastColumn="0" w:noHBand="0" w:noVBand="1"/>
      </w:tblPr>
      <w:tblGrid>
        <w:gridCol w:w="3399"/>
        <w:gridCol w:w="1313"/>
        <w:gridCol w:w="1159"/>
        <w:gridCol w:w="1161"/>
        <w:gridCol w:w="1116"/>
        <w:gridCol w:w="1204"/>
        <w:gridCol w:w="738"/>
        <w:gridCol w:w="822"/>
        <w:gridCol w:w="874"/>
        <w:gridCol w:w="1390"/>
      </w:tblGrid>
      <w:tr w:rsidR="00093F2A" w:rsidRPr="00201000" w14:paraId="61D171D9" w14:textId="77777777" w:rsidTr="00201000">
        <w:trPr>
          <w:trHeight w:val="20"/>
        </w:trPr>
        <w:tc>
          <w:tcPr>
            <w:tcW w:w="5000" w:type="pct"/>
            <w:gridSpan w:val="10"/>
            <w:tcBorders>
              <w:top w:val="single" w:sz="4" w:space="0" w:color="auto"/>
              <w:left w:val="nil"/>
              <w:bottom w:val="nil"/>
              <w:right w:val="nil"/>
            </w:tcBorders>
            <w:noWrap/>
            <w:vAlign w:val="bottom"/>
            <w:hideMark/>
          </w:tcPr>
          <w:p w14:paraId="63918CBF"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sz w:val="18"/>
                <w:szCs w:val="18"/>
              </w:rPr>
              <w:t>Table 3 - Univariate Comparisons of CARs</w:t>
            </w:r>
          </w:p>
        </w:tc>
      </w:tr>
      <w:tr w:rsidR="00093F2A" w:rsidRPr="00201000" w14:paraId="21A4E369" w14:textId="77777777" w:rsidTr="00201000">
        <w:trPr>
          <w:trHeight w:val="20"/>
        </w:trPr>
        <w:tc>
          <w:tcPr>
            <w:tcW w:w="660" w:type="pct"/>
            <w:vMerge w:val="restart"/>
            <w:tcBorders>
              <w:top w:val="single" w:sz="4" w:space="0" w:color="auto"/>
              <w:left w:val="nil"/>
              <w:bottom w:val="single" w:sz="4" w:space="0" w:color="auto"/>
              <w:right w:val="nil"/>
            </w:tcBorders>
            <w:noWrap/>
            <w:vAlign w:val="bottom"/>
            <w:hideMark/>
          </w:tcPr>
          <w:p w14:paraId="3B097257"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 </w:t>
            </w:r>
          </w:p>
          <w:p w14:paraId="74744BA5"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CAR Estimation method</w:t>
            </w:r>
          </w:p>
        </w:tc>
        <w:tc>
          <w:tcPr>
            <w:tcW w:w="590" w:type="pct"/>
            <w:vMerge w:val="restart"/>
            <w:tcBorders>
              <w:top w:val="single" w:sz="4" w:space="0" w:color="auto"/>
              <w:left w:val="nil"/>
              <w:bottom w:val="single" w:sz="4" w:space="0" w:color="auto"/>
              <w:right w:val="nil"/>
            </w:tcBorders>
            <w:noWrap/>
            <w:vAlign w:val="bottom"/>
            <w:hideMark/>
          </w:tcPr>
          <w:p w14:paraId="2C86E331"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 </w:t>
            </w:r>
          </w:p>
          <w:p w14:paraId="4DC69828"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Windows</w:t>
            </w:r>
          </w:p>
        </w:tc>
        <w:tc>
          <w:tcPr>
            <w:tcW w:w="903" w:type="pct"/>
            <w:gridSpan w:val="2"/>
            <w:tcBorders>
              <w:top w:val="single" w:sz="4" w:space="0" w:color="auto"/>
              <w:left w:val="nil"/>
              <w:bottom w:val="nil"/>
              <w:right w:val="nil"/>
            </w:tcBorders>
            <w:noWrap/>
            <w:vAlign w:val="bottom"/>
            <w:hideMark/>
          </w:tcPr>
          <w:p w14:paraId="56C809B3"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Private equity involvement</w:t>
            </w:r>
          </w:p>
        </w:tc>
        <w:tc>
          <w:tcPr>
            <w:tcW w:w="938" w:type="pct"/>
            <w:gridSpan w:val="2"/>
            <w:tcBorders>
              <w:top w:val="single" w:sz="4" w:space="0" w:color="auto"/>
              <w:left w:val="nil"/>
              <w:bottom w:val="nil"/>
              <w:right w:val="nil"/>
            </w:tcBorders>
            <w:noWrap/>
            <w:vAlign w:val="bottom"/>
            <w:hideMark/>
          </w:tcPr>
          <w:p w14:paraId="532909B1"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Private equity involvement</w:t>
            </w:r>
          </w:p>
        </w:tc>
        <w:tc>
          <w:tcPr>
            <w:tcW w:w="1909" w:type="pct"/>
            <w:gridSpan w:val="4"/>
            <w:tcBorders>
              <w:top w:val="single" w:sz="4" w:space="0" w:color="auto"/>
              <w:left w:val="nil"/>
              <w:bottom w:val="nil"/>
              <w:right w:val="nil"/>
            </w:tcBorders>
            <w:noWrap/>
            <w:hideMark/>
          </w:tcPr>
          <w:p w14:paraId="6865BA31"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Difference</w:t>
            </w:r>
          </w:p>
        </w:tc>
      </w:tr>
      <w:tr w:rsidR="00093F2A" w:rsidRPr="00201000" w14:paraId="3807B103" w14:textId="77777777" w:rsidTr="00201000">
        <w:trPr>
          <w:trHeight w:val="20"/>
        </w:trPr>
        <w:tc>
          <w:tcPr>
            <w:tcW w:w="0" w:type="auto"/>
            <w:vMerge/>
            <w:tcBorders>
              <w:top w:val="single" w:sz="4" w:space="0" w:color="auto"/>
              <w:left w:val="nil"/>
              <w:bottom w:val="single" w:sz="4" w:space="0" w:color="auto"/>
              <w:right w:val="nil"/>
            </w:tcBorders>
            <w:vAlign w:val="center"/>
            <w:hideMark/>
          </w:tcPr>
          <w:p w14:paraId="4DB5056A" w14:textId="77777777" w:rsidR="001E5D09" w:rsidRPr="00201000" w:rsidRDefault="001E5D09">
            <w:pPr>
              <w:spacing w:after="0"/>
              <w:rPr>
                <w:rFonts w:ascii="Gill Sans MT" w:eastAsia="Times New Roman" w:hAnsi="Gill Sans MT" w:cs="Calibri"/>
                <w:b/>
                <w:bCs/>
                <w:i/>
                <w:iCs/>
                <w:sz w:val="18"/>
                <w:szCs w:val="18"/>
              </w:rPr>
            </w:pPr>
          </w:p>
        </w:tc>
        <w:tc>
          <w:tcPr>
            <w:tcW w:w="0" w:type="auto"/>
            <w:vMerge/>
            <w:tcBorders>
              <w:top w:val="single" w:sz="4" w:space="0" w:color="auto"/>
              <w:left w:val="nil"/>
              <w:bottom w:val="single" w:sz="4" w:space="0" w:color="auto"/>
              <w:right w:val="nil"/>
            </w:tcBorders>
            <w:vAlign w:val="center"/>
            <w:hideMark/>
          </w:tcPr>
          <w:p w14:paraId="349D9E48" w14:textId="77777777" w:rsidR="001E5D09" w:rsidRPr="00201000" w:rsidRDefault="001E5D09">
            <w:pPr>
              <w:spacing w:after="0"/>
              <w:rPr>
                <w:rFonts w:ascii="Gill Sans MT" w:eastAsia="Times New Roman" w:hAnsi="Gill Sans MT" w:cs="Calibri"/>
                <w:b/>
                <w:bCs/>
                <w:i/>
                <w:iCs/>
                <w:sz w:val="18"/>
                <w:szCs w:val="18"/>
              </w:rPr>
            </w:pPr>
          </w:p>
        </w:tc>
        <w:tc>
          <w:tcPr>
            <w:tcW w:w="451" w:type="pct"/>
            <w:tcBorders>
              <w:top w:val="nil"/>
              <w:left w:val="nil"/>
              <w:bottom w:val="single" w:sz="4" w:space="0" w:color="auto"/>
              <w:right w:val="nil"/>
            </w:tcBorders>
            <w:noWrap/>
            <w:vAlign w:val="bottom"/>
            <w:hideMark/>
          </w:tcPr>
          <w:p w14:paraId="1DCE03C7"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Mean</w:t>
            </w:r>
          </w:p>
        </w:tc>
        <w:tc>
          <w:tcPr>
            <w:tcW w:w="452" w:type="pct"/>
            <w:tcBorders>
              <w:top w:val="nil"/>
              <w:left w:val="nil"/>
              <w:bottom w:val="single" w:sz="4" w:space="0" w:color="auto"/>
              <w:right w:val="nil"/>
            </w:tcBorders>
            <w:noWrap/>
            <w:vAlign w:val="bottom"/>
            <w:hideMark/>
          </w:tcPr>
          <w:p w14:paraId="0373B80C"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Median</w:t>
            </w:r>
          </w:p>
        </w:tc>
        <w:tc>
          <w:tcPr>
            <w:tcW w:w="451" w:type="pct"/>
            <w:tcBorders>
              <w:top w:val="nil"/>
              <w:left w:val="nil"/>
              <w:bottom w:val="single" w:sz="4" w:space="0" w:color="auto"/>
              <w:right w:val="nil"/>
            </w:tcBorders>
            <w:noWrap/>
            <w:vAlign w:val="bottom"/>
            <w:hideMark/>
          </w:tcPr>
          <w:p w14:paraId="0968542B"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Mean</w:t>
            </w:r>
          </w:p>
        </w:tc>
        <w:tc>
          <w:tcPr>
            <w:tcW w:w="487" w:type="pct"/>
            <w:tcBorders>
              <w:top w:val="nil"/>
              <w:left w:val="nil"/>
              <w:bottom w:val="single" w:sz="4" w:space="0" w:color="auto"/>
              <w:right w:val="nil"/>
            </w:tcBorders>
            <w:noWrap/>
            <w:vAlign w:val="bottom"/>
            <w:hideMark/>
          </w:tcPr>
          <w:p w14:paraId="0271A4C1"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Median</w:t>
            </w:r>
          </w:p>
        </w:tc>
        <w:tc>
          <w:tcPr>
            <w:tcW w:w="451" w:type="pct"/>
            <w:tcBorders>
              <w:top w:val="nil"/>
              <w:left w:val="nil"/>
              <w:bottom w:val="single" w:sz="4" w:space="0" w:color="auto"/>
              <w:right w:val="nil"/>
            </w:tcBorders>
            <w:noWrap/>
            <w:vAlign w:val="bottom"/>
            <w:hideMark/>
          </w:tcPr>
          <w:p w14:paraId="5CCA3D41"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Mean</w:t>
            </w:r>
          </w:p>
        </w:tc>
        <w:tc>
          <w:tcPr>
            <w:tcW w:w="451" w:type="pct"/>
            <w:tcBorders>
              <w:top w:val="nil"/>
              <w:left w:val="nil"/>
              <w:bottom w:val="single" w:sz="4" w:space="0" w:color="auto"/>
              <w:right w:val="nil"/>
            </w:tcBorders>
            <w:noWrap/>
            <w:vAlign w:val="bottom"/>
            <w:hideMark/>
          </w:tcPr>
          <w:p w14:paraId="559CC8D8"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Median</w:t>
            </w:r>
          </w:p>
        </w:tc>
        <w:tc>
          <w:tcPr>
            <w:tcW w:w="453" w:type="pct"/>
            <w:tcBorders>
              <w:top w:val="nil"/>
              <w:left w:val="nil"/>
              <w:bottom w:val="single" w:sz="4" w:space="0" w:color="auto"/>
              <w:right w:val="nil"/>
            </w:tcBorders>
            <w:noWrap/>
            <w:vAlign w:val="bottom"/>
            <w:hideMark/>
          </w:tcPr>
          <w:p w14:paraId="7AD1FC54"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t-stats</w:t>
            </w:r>
          </w:p>
        </w:tc>
        <w:tc>
          <w:tcPr>
            <w:tcW w:w="554" w:type="pct"/>
            <w:tcBorders>
              <w:top w:val="nil"/>
              <w:left w:val="nil"/>
              <w:bottom w:val="single" w:sz="4" w:space="0" w:color="auto"/>
              <w:right w:val="nil"/>
            </w:tcBorders>
            <w:noWrap/>
            <w:vAlign w:val="bottom"/>
            <w:hideMark/>
          </w:tcPr>
          <w:p w14:paraId="64CA1800"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Wilcoxon-stats</w:t>
            </w:r>
          </w:p>
        </w:tc>
      </w:tr>
      <w:tr w:rsidR="00093F2A" w:rsidRPr="00201000" w14:paraId="6C4D9378" w14:textId="77777777" w:rsidTr="00201000">
        <w:trPr>
          <w:trHeight w:val="20"/>
        </w:trPr>
        <w:tc>
          <w:tcPr>
            <w:tcW w:w="660" w:type="pct"/>
            <w:vMerge w:val="restart"/>
            <w:tcBorders>
              <w:top w:val="single" w:sz="4" w:space="0" w:color="auto"/>
              <w:left w:val="nil"/>
              <w:bottom w:val="nil"/>
              <w:right w:val="nil"/>
            </w:tcBorders>
            <w:noWrap/>
            <w:hideMark/>
          </w:tcPr>
          <w:p w14:paraId="1A1E80FB"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Market-adjusted CARs </w:t>
            </w:r>
          </w:p>
        </w:tc>
        <w:tc>
          <w:tcPr>
            <w:tcW w:w="590" w:type="pct"/>
            <w:tcBorders>
              <w:top w:val="single" w:sz="4" w:space="0" w:color="auto"/>
              <w:left w:val="nil"/>
              <w:bottom w:val="nil"/>
              <w:right w:val="nil"/>
            </w:tcBorders>
            <w:noWrap/>
            <w:vAlign w:val="bottom"/>
            <w:hideMark/>
          </w:tcPr>
          <w:p w14:paraId="1F46DC33"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tcBorders>
              <w:top w:val="single" w:sz="4" w:space="0" w:color="auto"/>
              <w:left w:val="nil"/>
              <w:bottom w:val="nil"/>
              <w:right w:val="nil"/>
            </w:tcBorders>
            <w:noWrap/>
            <w:vAlign w:val="bottom"/>
            <w:hideMark/>
          </w:tcPr>
          <w:p w14:paraId="7C7A612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w:t>
            </w:r>
          </w:p>
        </w:tc>
        <w:tc>
          <w:tcPr>
            <w:tcW w:w="452" w:type="pct"/>
            <w:tcBorders>
              <w:top w:val="single" w:sz="4" w:space="0" w:color="auto"/>
              <w:left w:val="nil"/>
              <w:bottom w:val="nil"/>
              <w:right w:val="nil"/>
            </w:tcBorders>
            <w:noWrap/>
            <w:vAlign w:val="bottom"/>
            <w:hideMark/>
          </w:tcPr>
          <w:p w14:paraId="7DEDD9B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w:t>
            </w:r>
          </w:p>
        </w:tc>
        <w:tc>
          <w:tcPr>
            <w:tcW w:w="451" w:type="pct"/>
            <w:tcBorders>
              <w:top w:val="single" w:sz="4" w:space="0" w:color="auto"/>
              <w:left w:val="nil"/>
              <w:bottom w:val="nil"/>
              <w:right w:val="nil"/>
            </w:tcBorders>
            <w:noWrap/>
            <w:vAlign w:val="bottom"/>
            <w:hideMark/>
          </w:tcPr>
          <w:p w14:paraId="28C6963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0.81%</w:t>
            </w:r>
          </w:p>
        </w:tc>
        <w:tc>
          <w:tcPr>
            <w:tcW w:w="487" w:type="pct"/>
            <w:tcBorders>
              <w:top w:val="single" w:sz="4" w:space="0" w:color="auto"/>
              <w:left w:val="nil"/>
              <w:bottom w:val="nil"/>
              <w:right w:val="nil"/>
            </w:tcBorders>
            <w:noWrap/>
            <w:vAlign w:val="bottom"/>
            <w:hideMark/>
          </w:tcPr>
          <w:p w14:paraId="657D167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0.16%</w:t>
            </w:r>
          </w:p>
        </w:tc>
        <w:tc>
          <w:tcPr>
            <w:tcW w:w="451" w:type="pct"/>
            <w:tcBorders>
              <w:top w:val="single" w:sz="4" w:space="0" w:color="auto"/>
              <w:left w:val="nil"/>
              <w:bottom w:val="nil"/>
              <w:right w:val="nil"/>
            </w:tcBorders>
            <w:noWrap/>
            <w:vAlign w:val="bottom"/>
            <w:hideMark/>
          </w:tcPr>
          <w:p w14:paraId="0AD2C6D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0.87%</w:t>
            </w:r>
          </w:p>
        </w:tc>
        <w:tc>
          <w:tcPr>
            <w:tcW w:w="451" w:type="pct"/>
            <w:tcBorders>
              <w:top w:val="single" w:sz="4" w:space="0" w:color="auto"/>
              <w:left w:val="nil"/>
              <w:bottom w:val="nil"/>
              <w:right w:val="nil"/>
            </w:tcBorders>
            <w:noWrap/>
            <w:vAlign w:val="bottom"/>
            <w:hideMark/>
          </w:tcPr>
          <w:p w14:paraId="53220AA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0.20%</w:t>
            </w:r>
          </w:p>
        </w:tc>
        <w:tc>
          <w:tcPr>
            <w:tcW w:w="453" w:type="pct"/>
            <w:tcBorders>
              <w:top w:val="single" w:sz="4" w:space="0" w:color="auto"/>
              <w:left w:val="nil"/>
              <w:bottom w:val="nil"/>
              <w:right w:val="nil"/>
            </w:tcBorders>
            <w:noWrap/>
            <w:vAlign w:val="bottom"/>
            <w:hideMark/>
          </w:tcPr>
          <w:p w14:paraId="5BFE9FF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2.76***</w:t>
            </w:r>
          </w:p>
        </w:tc>
        <w:tc>
          <w:tcPr>
            <w:tcW w:w="554" w:type="pct"/>
            <w:tcBorders>
              <w:top w:val="single" w:sz="4" w:space="0" w:color="auto"/>
              <w:left w:val="nil"/>
              <w:bottom w:val="nil"/>
              <w:right w:val="nil"/>
            </w:tcBorders>
            <w:noWrap/>
            <w:vAlign w:val="bottom"/>
            <w:hideMark/>
          </w:tcPr>
          <w:p w14:paraId="524CEDD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2.06**</w:t>
            </w:r>
          </w:p>
        </w:tc>
      </w:tr>
      <w:tr w:rsidR="00093F2A" w:rsidRPr="00201000" w14:paraId="1DFE6E58" w14:textId="77777777" w:rsidTr="00201000">
        <w:trPr>
          <w:trHeight w:val="20"/>
        </w:trPr>
        <w:tc>
          <w:tcPr>
            <w:tcW w:w="0" w:type="auto"/>
            <w:vMerge/>
            <w:tcBorders>
              <w:top w:val="single" w:sz="4" w:space="0" w:color="auto"/>
              <w:left w:val="nil"/>
              <w:bottom w:val="nil"/>
              <w:right w:val="nil"/>
            </w:tcBorders>
            <w:vAlign w:val="center"/>
            <w:hideMark/>
          </w:tcPr>
          <w:p w14:paraId="771F432C"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0560F470"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738E0D2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w:t>
            </w:r>
          </w:p>
        </w:tc>
        <w:tc>
          <w:tcPr>
            <w:tcW w:w="452" w:type="pct"/>
            <w:noWrap/>
            <w:vAlign w:val="bottom"/>
            <w:hideMark/>
          </w:tcPr>
          <w:p w14:paraId="2B9A9DC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w:t>
            </w:r>
          </w:p>
        </w:tc>
        <w:tc>
          <w:tcPr>
            <w:tcW w:w="451" w:type="pct"/>
            <w:noWrap/>
            <w:vAlign w:val="bottom"/>
            <w:hideMark/>
          </w:tcPr>
          <w:p w14:paraId="65A3BF9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0.95%</w:t>
            </w:r>
          </w:p>
        </w:tc>
        <w:tc>
          <w:tcPr>
            <w:tcW w:w="487" w:type="pct"/>
            <w:noWrap/>
            <w:vAlign w:val="bottom"/>
            <w:hideMark/>
          </w:tcPr>
          <w:p w14:paraId="55FB18E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0.34%</w:t>
            </w:r>
          </w:p>
        </w:tc>
        <w:tc>
          <w:tcPr>
            <w:tcW w:w="451" w:type="pct"/>
            <w:noWrap/>
            <w:vAlign w:val="bottom"/>
            <w:hideMark/>
          </w:tcPr>
          <w:p w14:paraId="1CF7C74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1.00%</w:t>
            </w:r>
          </w:p>
        </w:tc>
        <w:tc>
          <w:tcPr>
            <w:tcW w:w="451" w:type="pct"/>
            <w:noWrap/>
            <w:vAlign w:val="bottom"/>
            <w:hideMark/>
          </w:tcPr>
          <w:p w14:paraId="68A431A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w:t>
            </w:r>
          </w:p>
        </w:tc>
        <w:tc>
          <w:tcPr>
            <w:tcW w:w="453" w:type="pct"/>
            <w:noWrap/>
            <w:vAlign w:val="bottom"/>
            <w:hideMark/>
          </w:tcPr>
          <w:p w14:paraId="7E11A51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3.05***</w:t>
            </w:r>
          </w:p>
        </w:tc>
        <w:tc>
          <w:tcPr>
            <w:tcW w:w="554" w:type="pct"/>
            <w:noWrap/>
            <w:vAlign w:val="bottom"/>
            <w:hideMark/>
          </w:tcPr>
          <w:p w14:paraId="05F8346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2.6***</w:t>
            </w:r>
          </w:p>
        </w:tc>
      </w:tr>
      <w:tr w:rsidR="00093F2A" w:rsidRPr="00201000" w14:paraId="536AEF23" w14:textId="77777777" w:rsidTr="00201000">
        <w:trPr>
          <w:trHeight w:val="20"/>
        </w:trPr>
        <w:tc>
          <w:tcPr>
            <w:tcW w:w="0" w:type="auto"/>
            <w:vMerge/>
            <w:tcBorders>
              <w:top w:val="single" w:sz="4" w:space="0" w:color="auto"/>
              <w:left w:val="nil"/>
              <w:bottom w:val="nil"/>
              <w:right w:val="nil"/>
            </w:tcBorders>
            <w:vAlign w:val="center"/>
            <w:hideMark/>
          </w:tcPr>
          <w:p w14:paraId="44DBD82C"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4100DE49"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noWrap/>
            <w:vAlign w:val="bottom"/>
            <w:hideMark/>
          </w:tcPr>
          <w:p w14:paraId="595C693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w:t>
            </w:r>
          </w:p>
        </w:tc>
        <w:tc>
          <w:tcPr>
            <w:tcW w:w="452" w:type="pct"/>
            <w:noWrap/>
            <w:vAlign w:val="bottom"/>
            <w:hideMark/>
          </w:tcPr>
          <w:p w14:paraId="493E376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w:t>
            </w:r>
          </w:p>
        </w:tc>
        <w:tc>
          <w:tcPr>
            <w:tcW w:w="451" w:type="pct"/>
            <w:noWrap/>
            <w:vAlign w:val="bottom"/>
            <w:hideMark/>
          </w:tcPr>
          <w:p w14:paraId="72DF657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0.92%</w:t>
            </w:r>
          </w:p>
        </w:tc>
        <w:tc>
          <w:tcPr>
            <w:tcW w:w="487" w:type="pct"/>
            <w:noWrap/>
            <w:vAlign w:val="bottom"/>
            <w:hideMark/>
          </w:tcPr>
          <w:p w14:paraId="7F458A2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0.56%</w:t>
            </w:r>
          </w:p>
        </w:tc>
        <w:tc>
          <w:tcPr>
            <w:tcW w:w="451" w:type="pct"/>
            <w:noWrap/>
            <w:vAlign w:val="bottom"/>
            <w:hideMark/>
          </w:tcPr>
          <w:p w14:paraId="29D121D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0.93%</w:t>
            </w:r>
          </w:p>
        </w:tc>
        <w:tc>
          <w:tcPr>
            <w:tcW w:w="451" w:type="pct"/>
            <w:noWrap/>
            <w:vAlign w:val="bottom"/>
            <w:hideMark/>
          </w:tcPr>
          <w:p w14:paraId="570B960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0.60%</w:t>
            </w:r>
          </w:p>
        </w:tc>
        <w:tc>
          <w:tcPr>
            <w:tcW w:w="453" w:type="pct"/>
            <w:noWrap/>
            <w:vAlign w:val="bottom"/>
            <w:hideMark/>
          </w:tcPr>
          <w:p w14:paraId="7286BC5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2.7***</w:t>
            </w:r>
          </w:p>
        </w:tc>
        <w:tc>
          <w:tcPr>
            <w:tcW w:w="554" w:type="pct"/>
            <w:noWrap/>
            <w:vAlign w:val="bottom"/>
            <w:hideMark/>
          </w:tcPr>
          <w:p w14:paraId="35F3575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2.38**</w:t>
            </w:r>
          </w:p>
        </w:tc>
      </w:tr>
      <w:tr w:rsidR="00093F2A" w:rsidRPr="00201000" w14:paraId="3A542D13" w14:textId="77777777" w:rsidTr="00201000">
        <w:trPr>
          <w:trHeight w:val="20"/>
        </w:trPr>
        <w:tc>
          <w:tcPr>
            <w:tcW w:w="660" w:type="pct"/>
            <w:noWrap/>
            <w:hideMark/>
          </w:tcPr>
          <w:p w14:paraId="4864EA94" w14:textId="77777777" w:rsidR="001E5D09" w:rsidRPr="00201000" w:rsidRDefault="001E5D09">
            <w:pPr>
              <w:rPr>
                <w:rFonts w:ascii="Gill Sans MT" w:hAnsi="Gill Sans MT" w:cs="Calibri"/>
                <w:sz w:val="18"/>
                <w:szCs w:val="18"/>
              </w:rPr>
            </w:pPr>
          </w:p>
        </w:tc>
        <w:tc>
          <w:tcPr>
            <w:tcW w:w="590" w:type="pct"/>
            <w:noWrap/>
            <w:vAlign w:val="bottom"/>
            <w:hideMark/>
          </w:tcPr>
          <w:p w14:paraId="628819F0" w14:textId="77777777" w:rsidR="001E5D09" w:rsidRPr="00201000" w:rsidRDefault="001E5D09">
            <w:pPr>
              <w:spacing w:after="0"/>
              <w:rPr>
                <w:sz w:val="18"/>
                <w:szCs w:val="18"/>
              </w:rPr>
            </w:pPr>
          </w:p>
        </w:tc>
        <w:tc>
          <w:tcPr>
            <w:tcW w:w="451" w:type="pct"/>
            <w:noWrap/>
            <w:vAlign w:val="bottom"/>
            <w:hideMark/>
          </w:tcPr>
          <w:p w14:paraId="1A57F4CA" w14:textId="77777777" w:rsidR="001E5D09" w:rsidRPr="00201000" w:rsidRDefault="001E5D09">
            <w:pPr>
              <w:spacing w:after="0"/>
              <w:rPr>
                <w:sz w:val="18"/>
                <w:szCs w:val="18"/>
              </w:rPr>
            </w:pPr>
          </w:p>
        </w:tc>
        <w:tc>
          <w:tcPr>
            <w:tcW w:w="452" w:type="pct"/>
            <w:noWrap/>
            <w:vAlign w:val="bottom"/>
            <w:hideMark/>
          </w:tcPr>
          <w:p w14:paraId="3B56B2BD" w14:textId="77777777" w:rsidR="001E5D09" w:rsidRPr="00201000" w:rsidRDefault="001E5D09">
            <w:pPr>
              <w:spacing w:after="0"/>
              <w:rPr>
                <w:sz w:val="18"/>
                <w:szCs w:val="18"/>
              </w:rPr>
            </w:pPr>
          </w:p>
        </w:tc>
        <w:tc>
          <w:tcPr>
            <w:tcW w:w="451" w:type="pct"/>
            <w:noWrap/>
            <w:vAlign w:val="bottom"/>
            <w:hideMark/>
          </w:tcPr>
          <w:p w14:paraId="0813CFD6" w14:textId="77777777" w:rsidR="001E5D09" w:rsidRPr="00201000" w:rsidRDefault="001E5D09">
            <w:pPr>
              <w:spacing w:after="0"/>
              <w:rPr>
                <w:sz w:val="18"/>
                <w:szCs w:val="18"/>
              </w:rPr>
            </w:pPr>
          </w:p>
        </w:tc>
        <w:tc>
          <w:tcPr>
            <w:tcW w:w="487" w:type="pct"/>
            <w:noWrap/>
            <w:vAlign w:val="bottom"/>
            <w:hideMark/>
          </w:tcPr>
          <w:p w14:paraId="7B18E9AE" w14:textId="77777777" w:rsidR="001E5D09" w:rsidRPr="00201000" w:rsidRDefault="001E5D09">
            <w:pPr>
              <w:spacing w:after="0"/>
              <w:rPr>
                <w:sz w:val="18"/>
                <w:szCs w:val="18"/>
              </w:rPr>
            </w:pPr>
          </w:p>
        </w:tc>
        <w:tc>
          <w:tcPr>
            <w:tcW w:w="451" w:type="pct"/>
            <w:noWrap/>
            <w:vAlign w:val="bottom"/>
            <w:hideMark/>
          </w:tcPr>
          <w:p w14:paraId="05C9A71C" w14:textId="77777777" w:rsidR="001E5D09" w:rsidRPr="00201000" w:rsidRDefault="001E5D09">
            <w:pPr>
              <w:spacing w:after="0"/>
              <w:rPr>
                <w:sz w:val="18"/>
                <w:szCs w:val="18"/>
              </w:rPr>
            </w:pPr>
          </w:p>
        </w:tc>
        <w:tc>
          <w:tcPr>
            <w:tcW w:w="451" w:type="pct"/>
            <w:noWrap/>
            <w:vAlign w:val="bottom"/>
            <w:hideMark/>
          </w:tcPr>
          <w:p w14:paraId="241C8A0E" w14:textId="77777777" w:rsidR="001E5D09" w:rsidRPr="00201000" w:rsidRDefault="001E5D09">
            <w:pPr>
              <w:spacing w:after="0"/>
              <w:rPr>
                <w:sz w:val="18"/>
                <w:szCs w:val="18"/>
              </w:rPr>
            </w:pPr>
          </w:p>
        </w:tc>
        <w:tc>
          <w:tcPr>
            <w:tcW w:w="453" w:type="pct"/>
            <w:noWrap/>
            <w:vAlign w:val="bottom"/>
            <w:hideMark/>
          </w:tcPr>
          <w:p w14:paraId="75E90D5B" w14:textId="77777777" w:rsidR="001E5D09" w:rsidRPr="00201000" w:rsidRDefault="001E5D09">
            <w:pPr>
              <w:spacing w:after="0"/>
              <w:rPr>
                <w:sz w:val="18"/>
                <w:szCs w:val="18"/>
              </w:rPr>
            </w:pPr>
          </w:p>
        </w:tc>
        <w:tc>
          <w:tcPr>
            <w:tcW w:w="554" w:type="pct"/>
            <w:noWrap/>
            <w:vAlign w:val="bottom"/>
            <w:hideMark/>
          </w:tcPr>
          <w:p w14:paraId="08B246D6" w14:textId="77777777" w:rsidR="001E5D09" w:rsidRPr="00201000" w:rsidRDefault="001E5D09">
            <w:pPr>
              <w:spacing w:after="0"/>
              <w:rPr>
                <w:sz w:val="18"/>
                <w:szCs w:val="18"/>
              </w:rPr>
            </w:pPr>
          </w:p>
        </w:tc>
      </w:tr>
      <w:tr w:rsidR="00093F2A" w:rsidRPr="00201000" w14:paraId="1837566E" w14:textId="77777777" w:rsidTr="00201000">
        <w:trPr>
          <w:trHeight w:val="20"/>
        </w:trPr>
        <w:tc>
          <w:tcPr>
            <w:tcW w:w="660" w:type="pct"/>
            <w:vMerge w:val="restart"/>
            <w:noWrap/>
            <w:hideMark/>
          </w:tcPr>
          <w:p w14:paraId="4A52079F"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Market-model CARs</w:t>
            </w:r>
          </w:p>
        </w:tc>
        <w:tc>
          <w:tcPr>
            <w:tcW w:w="590" w:type="pct"/>
            <w:noWrap/>
            <w:vAlign w:val="bottom"/>
            <w:hideMark/>
          </w:tcPr>
          <w:p w14:paraId="47FB30CF"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noWrap/>
            <w:vAlign w:val="bottom"/>
            <w:hideMark/>
          </w:tcPr>
          <w:p w14:paraId="0A8C4B1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w:t>
            </w:r>
          </w:p>
        </w:tc>
        <w:tc>
          <w:tcPr>
            <w:tcW w:w="452" w:type="pct"/>
            <w:noWrap/>
            <w:vAlign w:val="bottom"/>
            <w:hideMark/>
          </w:tcPr>
          <w:p w14:paraId="4328AB2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w:t>
            </w:r>
          </w:p>
        </w:tc>
        <w:tc>
          <w:tcPr>
            <w:tcW w:w="451" w:type="pct"/>
            <w:noWrap/>
            <w:vAlign w:val="bottom"/>
            <w:hideMark/>
          </w:tcPr>
          <w:p w14:paraId="0A3B118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0.82%</w:t>
            </w:r>
          </w:p>
        </w:tc>
        <w:tc>
          <w:tcPr>
            <w:tcW w:w="487" w:type="pct"/>
            <w:noWrap/>
            <w:vAlign w:val="bottom"/>
            <w:hideMark/>
          </w:tcPr>
          <w:p w14:paraId="171BFC0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0.33%</w:t>
            </w:r>
          </w:p>
        </w:tc>
        <w:tc>
          <w:tcPr>
            <w:tcW w:w="451" w:type="pct"/>
            <w:noWrap/>
            <w:vAlign w:val="bottom"/>
            <w:hideMark/>
          </w:tcPr>
          <w:p w14:paraId="27A1454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0.89%</w:t>
            </w:r>
          </w:p>
        </w:tc>
        <w:tc>
          <w:tcPr>
            <w:tcW w:w="451" w:type="pct"/>
            <w:noWrap/>
            <w:vAlign w:val="bottom"/>
            <w:hideMark/>
          </w:tcPr>
          <w:p w14:paraId="70EC9F3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0.39%</w:t>
            </w:r>
          </w:p>
        </w:tc>
        <w:tc>
          <w:tcPr>
            <w:tcW w:w="453" w:type="pct"/>
            <w:noWrap/>
            <w:vAlign w:val="bottom"/>
            <w:hideMark/>
          </w:tcPr>
          <w:p w14:paraId="40A5180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2.86***</w:t>
            </w:r>
          </w:p>
        </w:tc>
        <w:tc>
          <w:tcPr>
            <w:tcW w:w="554" w:type="pct"/>
            <w:noWrap/>
            <w:vAlign w:val="bottom"/>
            <w:hideMark/>
          </w:tcPr>
          <w:p w14:paraId="1897F24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w:t>
            </w:r>
          </w:p>
        </w:tc>
      </w:tr>
      <w:tr w:rsidR="00093F2A" w:rsidRPr="00201000" w14:paraId="5AD725B7" w14:textId="77777777" w:rsidTr="00201000">
        <w:trPr>
          <w:trHeight w:val="20"/>
        </w:trPr>
        <w:tc>
          <w:tcPr>
            <w:tcW w:w="0" w:type="auto"/>
            <w:vMerge/>
            <w:vAlign w:val="center"/>
            <w:hideMark/>
          </w:tcPr>
          <w:p w14:paraId="1DFB875D"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5584C69D"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61C447F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w:t>
            </w:r>
          </w:p>
        </w:tc>
        <w:tc>
          <w:tcPr>
            <w:tcW w:w="452" w:type="pct"/>
            <w:noWrap/>
            <w:vAlign w:val="bottom"/>
            <w:hideMark/>
          </w:tcPr>
          <w:p w14:paraId="420A44F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-0.10%</w:t>
            </w:r>
          </w:p>
        </w:tc>
        <w:tc>
          <w:tcPr>
            <w:tcW w:w="451" w:type="pct"/>
            <w:noWrap/>
            <w:vAlign w:val="bottom"/>
            <w:hideMark/>
          </w:tcPr>
          <w:p w14:paraId="1F03CCC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1.00%</w:t>
            </w:r>
          </w:p>
        </w:tc>
        <w:tc>
          <w:tcPr>
            <w:tcW w:w="487" w:type="pct"/>
            <w:noWrap/>
            <w:vAlign w:val="bottom"/>
            <w:hideMark/>
          </w:tcPr>
          <w:p w14:paraId="6FD4F35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0.29%</w:t>
            </w:r>
          </w:p>
        </w:tc>
        <w:tc>
          <w:tcPr>
            <w:tcW w:w="451" w:type="pct"/>
            <w:noWrap/>
            <w:vAlign w:val="bottom"/>
            <w:hideMark/>
          </w:tcPr>
          <w:p w14:paraId="57876DA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1.07%</w:t>
            </w:r>
          </w:p>
        </w:tc>
        <w:tc>
          <w:tcPr>
            <w:tcW w:w="451" w:type="pct"/>
            <w:noWrap/>
            <w:vAlign w:val="bottom"/>
            <w:hideMark/>
          </w:tcPr>
          <w:p w14:paraId="01856F1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0.40%</w:t>
            </w:r>
          </w:p>
        </w:tc>
        <w:tc>
          <w:tcPr>
            <w:tcW w:w="453" w:type="pct"/>
            <w:noWrap/>
            <w:vAlign w:val="bottom"/>
            <w:hideMark/>
          </w:tcPr>
          <w:p w14:paraId="77028DC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3.21***</w:t>
            </w:r>
          </w:p>
        </w:tc>
        <w:tc>
          <w:tcPr>
            <w:tcW w:w="554" w:type="pct"/>
            <w:noWrap/>
            <w:vAlign w:val="bottom"/>
            <w:hideMark/>
          </w:tcPr>
          <w:p w14:paraId="38060AB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2.81***</w:t>
            </w:r>
          </w:p>
        </w:tc>
      </w:tr>
      <w:tr w:rsidR="00093F2A" w:rsidRPr="00201000" w14:paraId="7962E926" w14:textId="77777777" w:rsidTr="00201000">
        <w:trPr>
          <w:trHeight w:val="20"/>
        </w:trPr>
        <w:tc>
          <w:tcPr>
            <w:tcW w:w="0" w:type="auto"/>
            <w:vMerge/>
            <w:vAlign w:val="center"/>
            <w:hideMark/>
          </w:tcPr>
          <w:p w14:paraId="0ACEBFA4"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389AA81B"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noWrap/>
            <w:vAlign w:val="bottom"/>
            <w:hideMark/>
          </w:tcPr>
          <w:p w14:paraId="202FF01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w:t>
            </w:r>
          </w:p>
        </w:tc>
        <w:tc>
          <w:tcPr>
            <w:tcW w:w="452" w:type="pct"/>
            <w:noWrap/>
            <w:vAlign w:val="bottom"/>
            <w:hideMark/>
          </w:tcPr>
          <w:p w14:paraId="6A1BA6B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w:t>
            </w:r>
          </w:p>
        </w:tc>
        <w:tc>
          <w:tcPr>
            <w:tcW w:w="451" w:type="pct"/>
            <w:noWrap/>
            <w:vAlign w:val="bottom"/>
            <w:hideMark/>
          </w:tcPr>
          <w:p w14:paraId="41D7589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0.91%</w:t>
            </w:r>
          </w:p>
        </w:tc>
        <w:tc>
          <w:tcPr>
            <w:tcW w:w="487" w:type="pct"/>
            <w:noWrap/>
            <w:vAlign w:val="bottom"/>
            <w:hideMark/>
          </w:tcPr>
          <w:p w14:paraId="7D6EE68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0.36%</w:t>
            </w:r>
          </w:p>
        </w:tc>
        <w:tc>
          <w:tcPr>
            <w:tcW w:w="451" w:type="pct"/>
            <w:noWrap/>
            <w:vAlign w:val="bottom"/>
            <w:hideMark/>
          </w:tcPr>
          <w:p w14:paraId="228EE06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0.98%</w:t>
            </w:r>
          </w:p>
        </w:tc>
        <w:tc>
          <w:tcPr>
            <w:tcW w:w="451" w:type="pct"/>
            <w:noWrap/>
            <w:vAlign w:val="bottom"/>
            <w:hideMark/>
          </w:tcPr>
          <w:p w14:paraId="5E437F9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w:t>
            </w:r>
          </w:p>
        </w:tc>
        <w:tc>
          <w:tcPr>
            <w:tcW w:w="453" w:type="pct"/>
            <w:noWrap/>
            <w:vAlign w:val="bottom"/>
            <w:hideMark/>
          </w:tcPr>
          <w:p w14:paraId="5E82E28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2.82***</w:t>
            </w:r>
          </w:p>
        </w:tc>
        <w:tc>
          <w:tcPr>
            <w:tcW w:w="554" w:type="pct"/>
            <w:noWrap/>
            <w:vAlign w:val="bottom"/>
            <w:hideMark/>
          </w:tcPr>
          <w:p w14:paraId="5E3A307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2.29**</w:t>
            </w:r>
          </w:p>
        </w:tc>
      </w:tr>
      <w:tr w:rsidR="00093F2A" w:rsidRPr="00201000" w14:paraId="7C3EE494" w14:textId="77777777" w:rsidTr="00201000">
        <w:trPr>
          <w:trHeight w:val="20"/>
        </w:trPr>
        <w:tc>
          <w:tcPr>
            <w:tcW w:w="660" w:type="pct"/>
            <w:noWrap/>
            <w:hideMark/>
          </w:tcPr>
          <w:p w14:paraId="62974A6B" w14:textId="77777777" w:rsidR="001E5D09" w:rsidRPr="00201000" w:rsidRDefault="001E5D09">
            <w:pPr>
              <w:rPr>
                <w:rFonts w:ascii="Gill Sans MT" w:hAnsi="Gill Sans MT" w:cs="Calibri"/>
                <w:sz w:val="18"/>
                <w:szCs w:val="18"/>
              </w:rPr>
            </w:pPr>
          </w:p>
        </w:tc>
        <w:tc>
          <w:tcPr>
            <w:tcW w:w="590" w:type="pct"/>
            <w:noWrap/>
            <w:vAlign w:val="bottom"/>
            <w:hideMark/>
          </w:tcPr>
          <w:p w14:paraId="610ECF33" w14:textId="77777777" w:rsidR="001E5D09" w:rsidRPr="00201000" w:rsidRDefault="001E5D09">
            <w:pPr>
              <w:spacing w:after="0"/>
              <w:rPr>
                <w:sz w:val="18"/>
                <w:szCs w:val="18"/>
              </w:rPr>
            </w:pPr>
          </w:p>
        </w:tc>
        <w:tc>
          <w:tcPr>
            <w:tcW w:w="451" w:type="pct"/>
            <w:noWrap/>
            <w:vAlign w:val="bottom"/>
            <w:hideMark/>
          </w:tcPr>
          <w:p w14:paraId="102FB9B0" w14:textId="77777777" w:rsidR="001E5D09" w:rsidRPr="00201000" w:rsidRDefault="001E5D09">
            <w:pPr>
              <w:spacing w:after="0"/>
              <w:rPr>
                <w:sz w:val="18"/>
                <w:szCs w:val="18"/>
              </w:rPr>
            </w:pPr>
          </w:p>
        </w:tc>
        <w:tc>
          <w:tcPr>
            <w:tcW w:w="452" w:type="pct"/>
            <w:noWrap/>
            <w:vAlign w:val="bottom"/>
            <w:hideMark/>
          </w:tcPr>
          <w:p w14:paraId="11F34678" w14:textId="77777777" w:rsidR="001E5D09" w:rsidRPr="00201000" w:rsidRDefault="001E5D09">
            <w:pPr>
              <w:spacing w:after="0"/>
              <w:rPr>
                <w:sz w:val="18"/>
                <w:szCs w:val="18"/>
              </w:rPr>
            </w:pPr>
          </w:p>
        </w:tc>
        <w:tc>
          <w:tcPr>
            <w:tcW w:w="451" w:type="pct"/>
            <w:noWrap/>
            <w:vAlign w:val="bottom"/>
            <w:hideMark/>
          </w:tcPr>
          <w:p w14:paraId="3CE31F8B" w14:textId="77777777" w:rsidR="001E5D09" w:rsidRPr="00201000" w:rsidRDefault="001E5D09">
            <w:pPr>
              <w:spacing w:after="0"/>
              <w:rPr>
                <w:sz w:val="18"/>
                <w:szCs w:val="18"/>
              </w:rPr>
            </w:pPr>
          </w:p>
        </w:tc>
        <w:tc>
          <w:tcPr>
            <w:tcW w:w="487" w:type="pct"/>
            <w:noWrap/>
            <w:vAlign w:val="bottom"/>
            <w:hideMark/>
          </w:tcPr>
          <w:p w14:paraId="703DE8F1" w14:textId="77777777" w:rsidR="001E5D09" w:rsidRPr="00201000" w:rsidRDefault="001E5D09">
            <w:pPr>
              <w:spacing w:after="0"/>
              <w:rPr>
                <w:sz w:val="18"/>
                <w:szCs w:val="18"/>
              </w:rPr>
            </w:pPr>
          </w:p>
        </w:tc>
        <w:tc>
          <w:tcPr>
            <w:tcW w:w="451" w:type="pct"/>
            <w:noWrap/>
            <w:vAlign w:val="bottom"/>
            <w:hideMark/>
          </w:tcPr>
          <w:p w14:paraId="121E5067" w14:textId="77777777" w:rsidR="001E5D09" w:rsidRPr="00201000" w:rsidRDefault="001E5D09">
            <w:pPr>
              <w:spacing w:after="0"/>
              <w:rPr>
                <w:sz w:val="18"/>
                <w:szCs w:val="18"/>
              </w:rPr>
            </w:pPr>
          </w:p>
        </w:tc>
        <w:tc>
          <w:tcPr>
            <w:tcW w:w="451" w:type="pct"/>
            <w:noWrap/>
            <w:vAlign w:val="bottom"/>
            <w:hideMark/>
          </w:tcPr>
          <w:p w14:paraId="2FFF33CB" w14:textId="77777777" w:rsidR="001E5D09" w:rsidRPr="00201000" w:rsidRDefault="001E5D09">
            <w:pPr>
              <w:spacing w:after="0"/>
              <w:rPr>
                <w:sz w:val="18"/>
                <w:szCs w:val="18"/>
              </w:rPr>
            </w:pPr>
          </w:p>
        </w:tc>
        <w:tc>
          <w:tcPr>
            <w:tcW w:w="453" w:type="pct"/>
            <w:noWrap/>
            <w:vAlign w:val="bottom"/>
            <w:hideMark/>
          </w:tcPr>
          <w:p w14:paraId="6C72CB4F" w14:textId="77777777" w:rsidR="001E5D09" w:rsidRPr="00201000" w:rsidRDefault="001E5D09">
            <w:pPr>
              <w:spacing w:after="0"/>
              <w:rPr>
                <w:sz w:val="18"/>
                <w:szCs w:val="18"/>
              </w:rPr>
            </w:pPr>
          </w:p>
        </w:tc>
        <w:tc>
          <w:tcPr>
            <w:tcW w:w="554" w:type="pct"/>
            <w:noWrap/>
            <w:vAlign w:val="bottom"/>
            <w:hideMark/>
          </w:tcPr>
          <w:p w14:paraId="0AEE8A5E" w14:textId="77777777" w:rsidR="001E5D09" w:rsidRPr="00201000" w:rsidRDefault="001E5D09">
            <w:pPr>
              <w:spacing w:after="0"/>
              <w:rPr>
                <w:sz w:val="18"/>
                <w:szCs w:val="18"/>
              </w:rPr>
            </w:pPr>
          </w:p>
        </w:tc>
      </w:tr>
      <w:tr w:rsidR="00093F2A" w:rsidRPr="00201000" w14:paraId="2D3A7127" w14:textId="77777777" w:rsidTr="00201000">
        <w:trPr>
          <w:trHeight w:val="20"/>
        </w:trPr>
        <w:tc>
          <w:tcPr>
            <w:tcW w:w="660" w:type="pct"/>
            <w:vMerge w:val="restart"/>
            <w:noWrap/>
            <w:hideMark/>
          </w:tcPr>
          <w:p w14:paraId="13D3F6F5"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Fama-French 3-factor model CARs – CRSP </w:t>
            </w:r>
          </w:p>
        </w:tc>
        <w:tc>
          <w:tcPr>
            <w:tcW w:w="590" w:type="pct"/>
            <w:noWrap/>
            <w:vAlign w:val="bottom"/>
            <w:hideMark/>
          </w:tcPr>
          <w:p w14:paraId="45B5CBC7"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noWrap/>
            <w:vAlign w:val="bottom"/>
            <w:hideMark/>
          </w:tcPr>
          <w:p w14:paraId="6A5762A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w:t>
            </w:r>
          </w:p>
        </w:tc>
        <w:tc>
          <w:tcPr>
            <w:tcW w:w="452" w:type="pct"/>
            <w:noWrap/>
            <w:vAlign w:val="bottom"/>
            <w:hideMark/>
          </w:tcPr>
          <w:p w14:paraId="3570F7A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w:t>
            </w:r>
          </w:p>
        </w:tc>
        <w:tc>
          <w:tcPr>
            <w:tcW w:w="451" w:type="pct"/>
            <w:noWrap/>
            <w:vAlign w:val="bottom"/>
            <w:hideMark/>
          </w:tcPr>
          <w:p w14:paraId="49D906E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0.84%</w:t>
            </w:r>
          </w:p>
        </w:tc>
        <w:tc>
          <w:tcPr>
            <w:tcW w:w="487" w:type="pct"/>
            <w:noWrap/>
            <w:vAlign w:val="bottom"/>
            <w:hideMark/>
          </w:tcPr>
          <w:p w14:paraId="25EB7C5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0.38%</w:t>
            </w:r>
          </w:p>
        </w:tc>
        <w:tc>
          <w:tcPr>
            <w:tcW w:w="451" w:type="pct"/>
            <w:noWrap/>
            <w:vAlign w:val="bottom"/>
            <w:hideMark/>
          </w:tcPr>
          <w:p w14:paraId="560E62C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0.91%</w:t>
            </w:r>
          </w:p>
        </w:tc>
        <w:tc>
          <w:tcPr>
            <w:tcW w:w="451" w:type="pct"/>
            <w:noWrap/>
            <w:vAlign w:val="bottom"/>
            <w:hideMark/>
          </w:tcPr>
          <w:p w14:paraId="00EF930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0.43%</w:t>
            </w:r>
          </w:p>
        </w:tc>
        <w:tc>
          <w:tcPr>
            <w:tcW w:w="453" w:type="pct"/>
            <w:noWrap/>
            <w:vAlign w:val="bottom"/>
            <w:hideMark/>
          </w:tcPr>
          <w:p w14:paraId="01E94D1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2.9***</w:t>
            </w:r>
          </w:p>
        </w:tc>
        <w:tc>
          <w:tcPr>
            <w:tcW w:w="554" w:type="pct"/>
            <w:noWrap/>
            <w:vAlign w:val="bottom"/>
            <w:hideMark/>
          </w:tcPr>
          <w:p w14:paraId="6E4020E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2.27**</w:t>
            </w:r>
          </w:p>
        </w:tc>
      </w:tr>
      <w:tr w:rsidR="00093F2A" w:rsidRPr="00201000" w14:paraId="6CFA2811" w14:textId="77777777" w:rsidTr="00201000">
        <w:trPr>
          <w:trHeight w:val="20"/>
        </w:trPr>
        <w:tc>
          <w:tcPr>
            <w:tcW w:w="0" w:type="auto"/>
            <w:vMerge/>
            <w:vAlign w:val="center"/>
            <w:hideMark/>
          </w:tcPr>
          <w:p w14:paraId="3613B7D1"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2D7F8DD1"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117049F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w:t>
            </w:r>
          </w:p>
        </w:tc>
        <w:tc>
          <w:tcPr>
            <w:tcW w:w="452" w:type="pct"/>
            <w:noWrap/>
            <w:vAlign w:val="bottom"/>
            <w:hideMark/>
          </w:tcPr>
          <w:p w14:paraId="1BD1732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-0.09%</w:t>
            </w:r>
          </w:p>
        </w:tc>
        <w:tc>
          <w:tcPr>
            <w:tcW w:w="451" w:type="pct"/>
            <w:noWrap/>
            <w:vAlign w:val="bottom"/>
            <w:hideMark/>
          </w:tcPr>
          <w:p w14:paraId="4D3C49E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0.99%</w:t>
            </w:r>
          </w:p>
        </w:tc>
        <w:tc>
          <w:tcPr>
            <w:tcW w:w="487" w:type="pct"/>
            <w:noWrap/>
            <w:vAlign w:val="bottom"/>
            <w:hideMark/>
          </w:tcPr>
          <w:p w14:paraId="1CEC2AD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w:t>
            </w:r>
          </w:p>
        </w:tc>
        <w:tc>
          <w:tcPr>
            <w:tcW w:w="451" w:type="pct"/>
            <w:noWrap/>
            <w:vAlign w:val="bottom"/>
            <w:hideMark/>
          </w:tcPr>
          <w:p w14:paraId="2B34409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1.06%</w:t>
            </w:r>
          </w:p>
        </w:tc>
        <w:tc>
          <w:tcPr>
            <w:tcW w:w="451" w:type="pct"/>
            <w:noWrap/>
            <w:vAlign w:val="bottom"/>
            <w:hideMark/>
          </w:tcPr>
          <w:p w14:paraId="0E9F9DF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0.50%</w:t>
            </w:r>
          </w:p>
        </w:tc>
        <w:tc>
          <w:tcPr>
            <w:tcW w:w="453" w:type="pct"/>
            <w:noWrap/>
            <w:vAlign w:val="bottom"/>
            <w:hideMark/>
          </w:tcPr>
          <w:p w14:paraId="1C7B681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3.22***</w:t>
            </w:r>
          </w:p>
        </w:tc>
        <w:tc>
          <w:tcPr>
            <w:tcW w:w="554" w:type="pct"/>
            <w:noWrap/>
            <w:vAlign w:val="bottom"/>
            <w:hideMark/>
          </w:tcPr>
          <w:p w14:paraId="45551B0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2.8***</w:t>
            </w:r>
          </w:p>
        </w:tc>
      </w:tr>
      <w:tr w:rsidR="00093F2A" w:rsidRPr="00201000" w14:paraId="31A69C26" w14:textId="77777777" w:rsidTr="00201000">
        <w:trPr>
          <w:trHeight w:val="20"/>
        </w:trPr>
        <w:tc>
          <w:tcPr>
            <w:tcW w:w="0" w:type="auto"/>
            <w:vMerge/>
            <w:vAlign w:val="center"/>
            <w:hideMark/>
          </w:tcPr>
          <w:p w14:paraId="53DFF62E"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51F43307"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noWrap/>
            <w:vAlign w:val="bottom"/>
            <w:hideMark/>
          </w:tcPr>
          <w:p w14:paraId="2056781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w:t>
            </w:r>
          </w:p>
        </w:tc>
        <w:tc>
          <w:tcPr>
            <w:tcW w:w="452" w:type="pct"/>
            <w:noWrap/>
            <w:vAlign w:val="bottom"/>
            <w:hideMark/>
          </w:tcPr>
          <w:p w14:paraId="304A27C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w:t>
            </w:r>
          </w:p>
        </w:tc>
        <w:tc>
          <w:tcPr>
            <w:tcW w:w="451" w:type="pct"/>
            <w:noWrap/>
            <w:vAlign w:val="bottom"/>
            <w:hideMark/>
          </w:tcPr>
          <w:p w14:paraId="27E4EF3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0.91%</w:t>
            </w:r>
          </w:p>
        </w:tc>
        <w:tc>
          <w:tcPr>
            <w:tcW w:w="487" w:type="pct"/>
            <w:noWrap/>
            <w:vAlign w:val="bottom"/>
            <w:hideMark/>
          </w:tcPr>
          <w:p w14:paraId="14B8BB8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0.36%</w:t>
            </w:r>
          </w:p>
        </w:tc>
        <w:tc>
          <w:tcPr>
            <w:tcW w:w="451" w:type="pct"/>
            <w:noWrap/>
            <w:vAlign w:val="bottom"/>
            <w:hideMark/>
          </w:tcPr>
          <w:p w14:paraId="0DFE577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0.97%</w:t>
            </w:r>
          </w:p>
        </w:tc>
        <w:tc>
          <w:tcPr>
            <w:tcW w:w="451" w:type="pct"/>
            <w:noWrap/>
            <w:vAlign w:val="bottom"/>
            <w:hideMark/>
          </w:tcPr>
          <w:p w14:paraId="716E905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0.44%</w:t>
            </w:r>
          </w:p>
        </w:tc>
        <w:tc>
          <w:tcPr>
            <w:tcW w:w="453" w:type="pct"/>
            <w:noWrap/>
            <w:vAlign w:val="bottom"/>
            <w:hideMark/>
          </w:tcPr>
          <w:p w14:paraId="39A4ACE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2.79***</w:t>
            </w:r>
          </w:p>
        </w:tc>
        <w:tc>
          <w:tcPr>
            <w:tcW w:w="554" w:type="pct"/>
            <w:noWrap/>
            <w:vAlign w:val="bottom"/>
            <w:hideMark/>
          </w:tcPr>
          <w:p w14:paraId="7D89FC7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2.33**</w:t>
            </w:r>
          </w:p>
        </w:tc>
      </w:tr>
      <w:tr w:rsidR="00093F2A" w:rsidRPr="00201000" w14:paraId="47894B0A" w14:textId="77777777" w:rsidTr="00201000">
        <w:trPr>
          <w:trHeight w:val="20"/>
        </w:trPr>
        <w:tc>
          <w:tcPr>
            <w:tcW w:w="660" w:type="pct"/>
            <w:noWrap/>
            <w:hideMark/>
          </w:tcPr>
          <w:p w14:paraId="5FC125A9" w14:textId="77777777" w:rsidR="001E5D09" w:rsidRPr="00201000" w:rsidRDefault="001E5D09">
            <w:pPr>
              <w:rPr>
                <w:rFonts w:ascii="Gill Sans MT" w:hAnsi="Gill Sans MT" w:cs="Calibri"/>
                <w:sz w:val="18"/>
                <w:szCs w:val="18"/>
              </w:rPr>
            </w:pPr>
          </w:p>
        </w:tc>
        <w:tc>
          <w:tcPr>
            <w:tcW w:w="590" w:type="pct"/>
            <w:noWrap/>
            <w:vAlign w:val="bottom"/>
            <w:hideMark/>
          </w:tcPr>
          <w:p w14:paraId="0FCEA5A8" w14:textId="77777777" w:rsidR="001E5D09" w:rsidRPr="00201000" w:rsidRDefault="001E5D09">
            <w:pPr>
              <w:spacing w:after="0"/>
              <w:rPr>
                <w:sz w:val="18"/>
                <w:szCs w:val="18"/>
              </w:rPr>
            </w:pPr>
          </w:p>
        </w:tc>
        <w:tc>
          <w:tcPr>
            <w:tcW w:w="451" w:type="pct"/>
            <w:noWrap/>
            <w:vAlign w:val="bottom"/>
            <w:hideMark/>
          </w:tcPr>
          <w:p w14:paraId="05B5C8AB" w14:textId="77777777" w:rsidR="001E5D09" w:rsidRPr="00201000" w:rsidRDefault="001E5D09">
            <w:pPr>
              <w:spacing w:after="0"/>
              <w:rPr>
                <w:sz w:val="18"/>
                <w:szCs w:val="18"/>
              </w:rPr>
            </w:pPr>
          </w:p>
        </w:tc>
        <w:tc>
          <w:tcPr>
            <w:tcW w:w="452" w:type="pct"/>
            <w:noWrap/>
            <w:vAlign w:val="bottom"/>
            <w:hideMark/>
          </w:tcPr>
          <w:p w14:paraId="29E00929" w14:textId="77777777" w:rsidR="001E5D09" w:rsidRPr="00201000" w:rsidRDefault="001E5D09">
            <w:pPr>
              <w:spacing w:after="0"/>
              <w:rPr>
                <w:sz w:val="18"/>
                <w:szCs w:val="18"/>
              </w:rPr>
            </w:pPr>
          </w:p>
        </w:tc>
        <w:tc>
          <w:tcPr>
            <w:tcW w:w="451" w:type="pct"/>
            <w:noWrap/>
            <w:vAlign w:val="bottom"/>
            <w:hideMark/>
          </w:tcPr>
          <w:p w14:paraId="12CC36D9" w14:textId="77777777" w:rsidR="001E5D09" w:rsidRPr="00201000" w:rsidRDefault="001E5D09">
            <w:pPr>
              <w:spacing w:after="0"/>
              <w:rPr>
                <w:sz w:val="18"/>
                <w:szCs w:val="18"/>
              </w:rPr>
            </w:pPr>
          </w:p>
        </w:tc>
        <w:tc>
          <w:tcPr>
            <w:tcW w:w="487" w:type="pct"/>
            <w:noWrap/>
            <w:vAlign w:val="bottom"/>
            <w:hideMark/>
          </w:tcPr>
          <w:p w14:paraId="3F60EB37" w14:textId="77777777" w:rsidR="001E5D09" w:rsidRPr="00201000" w:rsidRDefault="001E5D09">
            <w:pPr>
              <w:spacing w:after="0"/>
              <w:rPr>
                <w:sz w:val="18"/>
                <w:szCs w:val="18"/>
              </w:rPr>
            </w:pPr>
          </w:p>
        </w:tc>
        <w:tc>
          <w:tcPr>
            <w:tcW w:w="451" w:type="pct"/>
            <w:noWrap/>
            <w:vAlign w:val="bottom"/>
            <w:hideMark/>
          </w:tcPr>
          <w:p w14:paraId="042C624B" w14:textId="77777777" w:rsidR="001E5D09" w:rsidRPr="00201000" w:rsidRDefault="001E5D09">
            <w:pPr>
              <w:spacing w:after="0"/>
              <w:rPr>
                <w:sz w:val="18"/>
                <w:szCs w:val="18"/>
              </w:rPr>
            </w:pPr>
          </w:p>
        </w:tc>
        <w:tc>
          <w:tcPr>
            <w:tcW w:w="451" w:type="pct"/>
            <w:noWrap/>
            <w:vAlign w:val="bottom"/>
            <w:hideMark/>
          </w:tcPr>
          <w:p w14:paraId="35C38B66" w14:textId="77777777" w:rsidR="001E5D09" w:rsidRPr="00201000" w:rsidRDefault="001E5D09">
            <w:pPr>
              <w:spacing w:after="0"/>
              <w:rPr>
                <w:sz w:val="18"/>
                <w:szCs w:val="18"/>
              </w:rPr>
            </w:pPr>
          </w:p>
        </w:tc>
        <w:tc>
          <w:tcPr>
            <w:tcW w:w="453" w:type="pct"/>
            <w:noWrap/>
            <w:vAlign w:val="bottom"/>
            <w:hideMark/>
          </w:tcPr>
          <w:p w14:paraId="29C78BB7" w14:textId="77777777" w:rsidR="001E5D09" w:rsidRPr="00201000" w:rsidRDefault="001E5D09">
            <w:pPr>
              <w:spacing w:after="0"/>
              <w:rPr>
                <w:sz w:val="18"/>
                <w:szCs w:val="18"/>
              </w:rPr>
            </w:pPr>
          </w:p>
        </w:tc>
        <w:tc>
          <w:tcPr>
            <w:tcW w:w="554" w:type="pct"/>
            <w:noWrap/>
            <w:vAlign w:val="bottom"/>
            <w:hideMark/>
          </w:tcPr>
          <w:p w14:paraId="6747C624" w14:textId="77777777" w:rsidR="001E5D09" w:rsidRPr="00201000" w:rsidRDefault="001E5D09">
            <w:pPr>
              <w:spacing w:after="0"/>
              <w:rPr>
                <w:sz w:val="18"/>
                <w:szCs w:val="18"/>
              </w:rPr>
            </w:pPr>
          </w:p>
        </w:tc>
      </w:tr>
      <w:tr w:rsidR="00093F2A" w:rsidRPr="00201000" w14:paraId="5AC017CE" w14:textId="77777777" w:rsidTr="00201000">
        <w:trPr>
          <w:trHeight w:val="20"/>
        </w:trPr>
        <w:tc>
          <w:tcPr>
            <w:tcW w:w="660" w:type="pct"/>
            <w:vMerge w:val="restart"/>
            <w:noWrap/>
            <w:hideMark/>
          </w:tcPr>
          <w:p w14:paraId="7910910D"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Fama-French 4-factor model CARs - CRSP</w:t>
            </w:r>
          </w:p>
        </w:tc>
        <w:tc>
          <w:tcPr>
            <w:tcW w:w="590" w:type="pct"/>
            <w:noWrap/>
            <w:vAlign w:val="bottom"/>
            <w:hideMark/>
          </w:tcPr>
          <w:p w14:paraId="0B999870"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noWrap/>
            <w:vAlign w:val="bottom"/>
            <w:hideMark/>
          </w:tcPr>
          <w:p w14:paraId="1E79A5C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-0.049%</w:t>
            </w:r>
          </w:p>
        </w:tc>
        <w:tc>
          <w:tcPr>
            <w:tcW w:w="452" w:type="pct"/>
            <w:noWrap/>
            <w:vAlign w:val="bottom"/>
            <w:hideMark/>
          </w:tcPr>
          <w:p w14:paraId="3BD999C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-0.001%</w:t>
            </w:r>
          </w:p>
        </w:tc>
        <w:tc>
          <w:tcPr>
            <w:tcW w:w="451" w:type="pct"/>
            <w:noWrap/>
            <w:vAlign w:val="bottom"/>
            <w:hideMark/>
          </w:tcPr>
          <w:p w14:paraId="25EC98D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0.795%</w:t>
            </w:r>
          </w:p>
        </w:tc>
        <w:tc>
          <w:tcPr>
            <w:tcW w:w="487" w:type="pct"/>
            <w:noWrap/>
            <w:vAlign w:val="bottom"/>
            <w:hideMark/>
          </w:tcPr>
          <w:p w14:paraId="00B0697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0.242%</w:t>
            </w:r>
          </w:p>
        </w:tc>
        <w:tc>
          <w:tcPr>
            <w:tcW w:w="451" w:type="pct"/>
            <w:noWrap/>
            <w:vAlign w:val="bottom"/>
            <w:hideMark/>
          </w:tcPr>
          <w:p w14:paraId="0ACBC42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0.844%</w:t>
            </w:r>
          </w:p>
        </w:tc>
        <w:tc>
          <w:tcPr>
            <w:tcW w:w="451" w:type="pct"/>
            <w:noWrap/>
            <w:vAlign w:val="bottom"/>
            <w:hideMark/>
          </w:tcPr>
          <w:p w14:paraId="463069D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0.243%</w:t>
            </w:r>
          </w:p>
        </w:tc>
        <w:tc>
          <w:tcPr>
            <w:tcW w:w="453" w:type="pct"/>
            <w:noWrap/>
            <w:vAlign w:val="bottom"/>
            <w:hideMark/>
          </w:tcPr>
          <w:p w14:paraId="4A59AE3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2.58***</w:t>
            </w:r>
          </w:p>
        </w:tc>
        <w:tc>
          <w:tcPr>
            <w:tcW w:w="554" w:type="pct"/>
            <w:noWrap/>
            <w:vAlign w:val="bottom"/>
            <w:hideMark/>
          </w:tcPr>
          <w:p w14:paraId="6D7C75C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1.99**</w:t>
            </w:r>
          </w:p>
        </w:tc>
      </w:tr>
      <w:tr w:rsidR="00093F2A" w:rsidRPr="00201000" w14:paraId="54AFB221" w14:textId="77777777" w:rsidTr="00201000">
        <w:trPr>
          <w:trHeight w:val="20"/>
        </w:trPr>
        <w:tc>
          <w:tcPr>
            <w:tcW w:w="0" w:type="auto"/>
            <w:vMerge/>
            <w:vAlign w:val="center"/>
            <w:hideMark/>
          </w:tcPr>
          <w:p w14:paraId="165E2E0D"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361977FF"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0A1D523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-0.066%</w:t>
            </w:r>
          </w:p>
        </w:tc>
        <w:tc>
          <w:tcPr>
            <w:tcW w:w="452" w:type="pct"/>
            <w:noWrap/>
            <w:vAlign w:val="bottom"/>
            <w:hideMark/>
          </w:tcPr>
          <w:p w14:paraId="21E80D5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-0.098%</w:t>
            </w:r>
          </w:p>
        </w:tc>
        <w:tc>
          <w:tcPr>
            <w:tcW w:w="451" w:type="pct"/>
            <w:noWrap/>
            <w:vAlign w:val="bottom"/>
            <w:hideMark/>
          </w:tcPr>
          <w:p w14:paraId="5E551BD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0.825%</w:t>
            </w:r>
          </w:p>
        </w:tc>
        <w:tc>
          <w:tcPr>
            <w:tcW w:w="487" w:type="pct"/>
            <w:noWrap/>
            <w:vAlign w:val="bottom"/>
            <w:hideMark/>
          </w:tcPr>
          <w:p w14:paraId="0219373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0.333%</w:t>
            </w:r>
          </w:p>
        </w:tc>
        <w:tc>
          <w:tcPr>
            <w:tcW w:w="451" w:type="pct"/>
            <w:noWrap/>
            <w:vAlign w:val="bottom"/>
            <w:hideMark/>
          </w:tcPr>
          <w:p w14:paraId="1C68BA8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0.891%</w:t>
            </w:r>
          </w:p>
        </w:tc>
        <w:tc>
          <w:tcPr>
            <w:tcW w:w="451" w:type="pct"/>
            <w:noWrap/>
            <w:vAlign w:val="bottom"/>
            <w:hideMark/>
          </w:tcPr>
          <w:p w14:paraId="78C7F28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0.431%</w:t>
            </w:r>
          </w:p>
        </w:tc>
        <w:tc>
          <w:tcPr>
            <w:tcW w:w="453" w:type="pct"/>
            <w:noWrap/>
            <w:vAlign w:val="bottom"/>
            <w:hideMark/>
          </w:tcPr>
          <w:p w14:paraId="29B02C1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2.71***</w:t>
            </w:r>
          </w:p>
        </w:tc>
        <w:tc>
          <w:tcPr>
            <w:tcW w:w="554" w:type="pct"/>
            <w:noWrap/>
            <w:vAlign w:val="bottom"/>
            <w:hideMark/>
          </w:tcPr>
          <w:p w14:paraId="669747F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2.17**</w:t>
            </w:r>
          </w:p>
        </w:tc>
      </w:tr>
      <w:tr w:rsidR="00093F2A" w:rsidRPr="00201000" w14:paraId="15E0E9F6" w14:textId="77777777" w:rsidTr="00201000">
        <w:trPr>
          <w:trHeight w:val="20"/>
        </w:trPr>
        <w:tc>
          <w:tcPr>
            <w:tcW w:w="0" w:type="auto"/>
            <w:vMerge/>
            <w:vAlign w:val="center"/>
            <w:hideMark/>
          </w:tcPr>
          <w:p w14:paraId="73518410"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19443F1E"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noWrap/>
            <w:vAlign w:val="bottom"/>
            <w:hideMark/>
          </w:tcPr>
          <w:p w14:paraId="6A362B8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-0.086%</w:t>
            </w:r>
          </w:p>
        </w:tc>
        <w:tc>
          <w:tcPr>
            <w:tcW w:w="452" w:type="pct"/>
            <w:noWrap/>
            <w:vAlign w:val="bottom"/>
            <w:hideMark/>
          </w:tcPr>
          <w:p w14:paraId="3B31AF4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-0.011%</w:t>
            </w:r>
          </w:p>
        </w:tc>
        <w:tc>
          <w:tcPr>
            <w:tcW w:w="451" w:type="pct"/>
            <w:noWrap/>
            <w:vAlign w:val="bottom"/>
            <w:hideMark/>
          </w:tcPr>
          <w:p w14:paraId="7C1DA4E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0.820%</w:t>
            </w:r>
          </w:p>
        </w:tc>
        <w:tc>
          <w:tcPr>
            <w:tcW w:w="487" w:type="pct"/>
            <w:noWrap/>
            <w:vAlign w:val="bottom"/>
            <w:hideMark/>
          </w:tcPr>
          <w:p w14:paraId="184B627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0.400%</w:t>
            </w:r>
          </w:p>
        </w:tc>
        <w:tc>
          <w:tcPr>
            <w:tcW w:w="451" w:type="pct"/>
            <w:noWrap/>
            <w:vAlign w:val="bottom"/>
            <w:hideMark/>
          </w:tcPr>
          <w:p w14:paraId="1F0E674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0.907%</w:t>
            </w:r>
          </w:p>
        </w:tc>
        <w:tc>
          <w:tcPr>
            <w:tcW w:w="451" w:type="pct"/>
            <w:noWrap/>
            <w:vAlign w:val="bottom"/>
            <w:hideMark/>
          </w:tcPr>
          <w:p w14:paraId="069D9B3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0.411%</w:t>
            </w:r>
          </w:p>
        </w:tc>
        <w:tc>
          <w:tcPr>
            <w:tcW w:w="453" w:type="pct"/>
            <w:noWrap/>
            <w:vAlign w:val="bottom"/>
            <w:hideMark/>
          </w:tcPr>
          <w:p w14:paraId="67574C5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2.75***</w:t>
            </w:r>
          </w:p>
        </w:tc>
        <w:tc>
          <w:tcPr>
            <w:tcW w:w="554" w:type="pct"/>
            <w:noWrap/>
            <w:vAlign w:val="bottom"/>
            <w:hideMark/>
          </w:tcPr>
          <w:p w14:paraId="1B187F8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2.32**</w:t>
            </w:r>
          </w:p>
        </w:tc>
      </w:tr>
      <w:tr w:rsidR="00093F2A" w:rsidRPr="00201000" w14:paraId="0B5E690F" w14:textId="77777777" w:rsidTr="00201000">
        <w:trPr>
          <w:trHeight w:val="20"/>
        </w:trPr>
        <w:tc>
          <w:tcPr>
            <w:tcW w:w="660" w:type="pct"/>
            <w:noWrap/>
            <w:hideMark/>
          </w:tcPr>
          <w:p w14:paraId="707C3145" w14:textId="77777777" w:rsidR="001E5D09" w:rsidRPr="00201000" w:rsidRDefault="001E5D09">
            <w:pPr>
              <w:rPr>
                <w:rFonts w:ascii="Gill Sans MT" w:hAnsi="Gill Sans MT" w:cs="Calibri"/>
                <w:sz w:val="18"/>
                <w:szCs w:val="18"/>
              </w:rPr>
            </w:pPr>
          </w:p>
        </w:tc>
        <w:tc>
          <w:tcPr>
            <w:tcW w:w="590" w:type="pct"/>
            <w:noWrap/>
            <w:vAlign w:val="bottom"/>
            <w:hideMark/>
          </w:tcPr>
          <w:p w14:paraId="677B1907" w14:textId="77777777" w:rsidR="001E5D09" w:rsidRPr="00201000" w:rsidRDefault="001E5D09">
            <w:pPr>
              <w:spacing w:after="0"/>
              <w:rPr>
                <w:sz w:val="18"/>
                <w:szCs w:val="18"/>
              </w:rPr>
            </w:pPr>
          </w:p>
        </w:tc>
        <w:tc>
          <w:tcPr>
            <w:tcW w:w="451" w:type="pct"/>
            <w:noWrap/>
            <w:vAlign w:val="bottom"/>
            <w:hideMark/>
          </w:tcPr>
          <w:p w14:paraId="787C1035" w14:textId="77777777" w:rsidR="001E5D09" w:rsidRPr="00201000" w:rsidRDefault="001E5D09">
            <w:pPr>
              <w:spacing w:after="0"/>
              <w:rPr>
                <w:sz w:val="18"/>
                <w:szCs w:val="18"/>
              </w:rPr>
            </w:pPr>
          </w:p>
        </w:tc>
        <w:tc>
          <w:tcPr>
            <w:tcW w:w="452" w:type="pct"/>
            <w:noWrap/>
            <w:vAlign w:val="bottom"/>
            <w:hideMark/>
          </w:tcPr>
          <w:p w14:paraId="4A86CC52" w14:textId="77777777" w:rsidR="001E5D09" w:rsidRPr="00201000" w:rsidRDefault="001E5D09">
            <w:pPr>
              <w:spacing w:after="0"/>
              <w:rPr>
                <w:sz w:val="18"/>
                <w:szCs w:val="18"/>
              </w:rPr>
            </w:pPr>
          </w:p>
        </w:tc>
        <w:tc>
          <w:tcPr>
            <w:tcW w:w="451" w:type="pct"/>
            <w:noWrap/>
            <w:vAlign w:val="bottom"/>
            <w:hideMark/>
          </w:tcPr>
          <w:p w14:paraId="3059446D" w14:textId="77777777" w:rsidR="001E5D09" w:rsidRPr="00201000" w:rsidRDefault="001E5D09">
            <w:pPr>
              <w:spacing w:after="0"/>
              <w:rPr>
                <w:sz w:val="18"/>
                <w:szCs w:val="18"/>
              </w:rPr>
            </w:pPr>
          </w:p>
        </w:tc>
        <w:tc>
          <w:tcPr>
            <w:tcW w:w="487" w:type="pct"/>
            <w:noWrap/>
            <w:vAlign w:val="bottom"/>
            <w:hideMark/>
          </w:tcPr>
          <w:p w14:paraId="6BA2CCE2" w14:textId="77777777" w:rsidR="001E5D09" w:rsidRPr="00201000" w:rsidRDefault="001E5D09">
            <w:pPr>
              <w:spacing w:after="0"/>
              <w:rPr>
                <w:sz w:val="18"/>
                <w:szCs w:val="18"/>
              </w:rPr>
            </w:pPr>
          </w:p>
        </w:tc>
        <w:tc>
          <w:tcPr>
            <w:tcW w:w="451" w:type="pct"/>
            <w:noWrap/>
            <w:vAlign w:val="bottom"/>
            <w:hideMark/>
          </w:tcPr>
          <w:p w14:paraId="5F9AD849" w14:textId="77777777" w:rsidR="001E5D09" w:rsidRPr="00201000" w:rsidRDefault="001E5D09">
            <w:pPr>
              <w:spacing w:after="0"/>
              <w:rPr>
                <w:sz w:val="18"/>
                <w:szCs w:val="18"/>
              </w:rPr>
            </w:pPr>
          </w:p>
        </w:tc>
        <w:tc>
          <w:tcPr>
            <w:tcW w:w="451" w:type="pct"/>
            <w:noWrap/>
            <w:vAlign w:val="bottom"/>
            <w:hideMark/>
          </w:tcPr>
          <w:p w14:paraId="52684ECC" w14:textId="77777777" w:rsidR="001E5D09" w:rsidRPr="00201000" w:rsidRDefault="001E5D09">
            <w:pPr>
              <w:spacing w:after="0"/>
              <w:rPr>
                <w:sz w:val="18"/>
                <w:szCs w:val="18"/>
              </w:rPr>
            </w:pPr>
          </w:p>
        </w:tc>
        <w:tc>
          <w:tcPr>
            <w:tcW w:w="453" w:type="pct"/>
            <w:noWrap/>
            <w:vAlign w:val="bottom"/>
            <w:hideMark/>
          </w:tcPr>
          <w:p w14:paraId="06A3BFA1" w14:textId="77777777" w:rsidR="001E5D09" w:rsidRPr="00201000" w:rsidRDefault="001E5D09">
            <w:pPr>
              <w:spacing w:after="0"/>
              <w:rPr>
                <w:sz w:val="18"/>
                <w:szCs w:val="18"/>
              </w:rPr>
            </w:pPr>
          </w:p>
        </w:tc>
        <w:tc>
          <w:tcPr>
            <w:tcW w:w="554" w:type="pct"/>
            <w:noWrap/>
            <w:vAlign w:val="bottom"/>
            <w:hideMark/>
          </w:tcPr>
          <w:p w14:paraId="52FB3CF5" w14:textId="77777777" w:rsidR="001E5D09" w:rsidRPr="00201000" w:rsidRDefault="001E5D09">
            <w:pPr>
              <w:spacing w:after="0"/>
              <w:rPr>
                <w:sz w:val="18"/>
                <w:szCs w:val="18"/>
              </w:rPr>
            </w:pPr>
          </w:p>
        </w:tc>
      </w:tr>
      <w:tr w:rsidR="00093F2A" w:rsidRPr="00201000" w14:paraId="7E784D48" w14:textId="77777777" w:rsidTr="00201000">
        <w:trPr>
          <w:trHeight w:val="20"/>
        </w:trPr>
        <w:tc>
          <w:tcPr>
            <w:tcW w:w="660" w:type="pct"/>
            <w:vMerge w:val="restart"/>
            <w:noWrap/>
            <w:hideMark/>
          </w:tcPr>
          <w:p w14:paraId="3FF12710"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Fama-French 3-factor model CARs - Sector</w:t>
            </w:r>
          </w:p>
        </w:tc>
        <w:tc>
          <w:tcPr>
            <w:tcW w:w="590" w:type="pct"/>
            <w:noWrap/>
            <w:vAlign w:val="bottom"/>
            <w:hideMark/>
          </w:tcPr>
          <w:p w14:paraId="217456A6"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noWrap/>
            <w:vAlign w:val="bottom"/>
            <w:hideMark/>
          </w:tcPr>
          <w:p w14:paraId="072CDCE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-0.039%</w:t>
            </w:r>
          </w:p>
        </w:tc>
        <w:tc>
          <w:tcPr>
            <w:tcW w:w="452" w:type="pct"/>
            <w:noWrap/>
            <w:vAlign w:val="bottom"/>
            <w:hideMark/>
          </w:tcPr>
          <w:p w14:paraId="5F22243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0.035%</w:t>
            </w:r>
          </w:p>
        </w:tc>
        <w:tc>
          <w:tcPr>
            <w:tcW w:w="451" w:type="pct"/>
            <w:noWrap/>
            <w:vAlign w:val="bottom"/>
            <w:hideMark/>
          </w:tcPr>
          <w:p w14:paraId="3BD322B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0.725%</w:t>
            </w:r>
          </w:p>
        </w:tc>
        <w:tc>
          <w:tcPr>
            <w:tcW w:w="487" w:type="pct"/>
            <w:noWrap/>
            <w:vAlign w:val="bottom"/>
            <w:hideMark/>
          </w:tcPr>
          <w:p w14:paraId="2DE7F28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0.427%</w:t>
            </w:r>
          </w:p>
        </w:tc>
        <w:tc>
          <w:tcPr>
            <w:tcW w:w="451" w:type="pct"/>
            <w:noWrap/>
            <w:vAlign w:val="bottom"/>
            <w:hideMark/>
          </w:tcPr>
          <w:p w14:paraId="364F8D9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0.763%</w:t>
            </w:r>
          </w:p>
        </w:tc>
        <w:tc>
          <w:tcPr>
            <w:tcW w:w="451" w:type="pct"/>
            <w:noWrap/>
            <w:vAlign w:val="bottom"/>
            <w:hideMark/>
          </w:tcPr>
          <w:p w14:paraId="24F7B95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0.392%</w:t>
            </w:r>
          </w:p>
        </w:tc>
        <w:tc>
          <w:tcPr>
            <w:tcW w:w="453" w:type="pct"/>
            <w:noWrap/>
            <w:vAlign w:val="bottom"/>
            <w:hideMark/>
          </w:tcPr>
          <w:p w14:paraId="4E8D1BA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2.48**</w:t>
            </w:r>
          </w:p>
        </w:tc>
        <w:tc>
          <w:tcPr>
            <w:tcW w:w="554" w:type="pct"/>
            <w:noWrap/>
            <w:vAlign w:val="bottom"/>
            <w:hideMark/>
          </w:tcPr>
          <w:p w14:paraId="166A136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2.15**</w:t>
            </w:r>
          </w:p>
        </w:tc>
      </w:tr>
      <w:tr w:rsidR="00093F2A" w:rsidRPr="00201000" w14:paraId="40D51F23" w14:textId="77777777" w:rsidTr="00201000">
        <w:trPr>
          <w:trHeight w:val="20"/>
        </w:trPr>
        <w:tc>
          <w:tcPr>
            <w:tcW w:w="0" w:type="auto"/>
            <w:vMerge/>
            <w:vAlign w:val="center"/>
            <w:hideMark/>
          </w:tcPr>
          <w:p w14:paraId="6839B9B1"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0995A2EE"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4C983FF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-0.030%</w:t>
            </w:r>
          </w:p>
        </w:tc>
        <w:tc>
          <w:tcPr>
            <w:tcW w:w="452" w:type="pct"/>
            <w:noWrap/>
            <w:vAlign w:val="bottom"/>
            <w:hideMark/>
          </w:tcPr>
          <w:p w14:paraId="07DA560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-0.046%</w:t>
            </w:r>
          </w:p>
        </w:tc>
        <w:tc>
          <w:tcPr>
            <w:tcW w:w="451" w:type="pct"/>
            <w:noWrap/>
            <w:vAlign w:val="bottom"/>
            <w:hideMark/>
          </w:tcPr>
          <w:p w14:paraId="5E22EA9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0.749%</w:t>
            </w:r>
          </w:p>
        </w:tc>
        <w:tc>
          <w:tcPr>
            <w:tcW w:w="487" w:type="pct"/>
            <w:noWrap/>
            <w:vAlign w:val="bottom"/>
            <w:hideMark/>
          </w:tcPr>
          <w:p w14:paraId="7C8F58F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0.387%</w:t>
            </w:r>
          </w:p>
        </w:tc>
        <w:tc>
          <w:tcPr>
            <w:tcW w:w="451" w:type="pct"/>
            <w:noWrap/>
            <w:vAlign w:val="bottom"/>
            <w:hideMark/>
          </w:tcPr>
          <w:p w14:paraId="22558E1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0.779%</w:t>
            </w:r>
          </w:p>
        </w:tc>
        <w:tc>
          <w:tcPr>
            <w:tcW w:w="451" w:type="pct"/>
            <w:noWrap/>
            <w:vAlign w:val="bottom"/>
            <w:hideMark/>
          </w:tcPr>
          <w:p w14:paraId="4739F55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0.433%</w:t>
            </w:r>
          </w:p>
        </w:tc>
        <w:tc>
          <w:tcPr>
            <w:tcW w:w="453" w:type="pct"/>
            <w:noWrap/>
            <w:vAlign w:val="bottom"/>
            <w:hideMark/>
          </w:tcPr>
          <w:p w14:paraId="15858EF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2.49**</w:t>
            </w:r>
          </w:p>
        </w:tc>
        <w:tc>
          <w:tcPr>
            <w:tcW w:w="554" w:type="pct"/>
            <w:noWrap/>
            <w:vAlign w:val="bottom"/>
            <w:hideMark/>
          </w:tcPr>
          <w:p w14:paraId="3FC9EEA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1.99**</w:t>
            </w:r>
          </w:p>
        </w:tc>
      </w:tr>
      <w:tr w:rsidR="00093F2A" w:rsidRPr="00201000" w14:paraId="39804C51" w14:textId="77777777" w:rsidTr="00201000">
        <w:trPr>
          <w:trHeight w:val="20"/>
        </w:trPr>
        <w:tc>
          <w:tcPr>
            <w:tcW w:w="0" w:type="auto"/>
            <w:vMerge/>
            <w:vAlign w:val="center"/>
            <w:hideMark/>
          </w:tcPr>
          <w:p w14:paraId="4B184A78"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7DEDC5BE"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noWrap/>
            <w:vAlign w:val="bottom"/>
            <w:hideMark/>
          </w:tcPr>
          <w:p w14:paraId="25C7F64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-0.021%</w:t>
            </w:r>
          </w:p>
        </w:tc>
        <w:tc>
          <w:tcPr>
            <w:tcW w:w="452" w:type="pct"/>
            <w:noWrap/>
            <w:vAlign w:val="bottom"/>
            <w:hideMark/>
          </w:tcPr>
          <w:p w14:paraId="0340873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0.036%</w:t>
            </w:r>
          </w:p>
        </w:tc>
        <w:tc>
          <w:tcPr>
            <w:tcW w:w="451" w:type="pct"/>
            <w:noWrap/>
            <w:vAlign w:val="bottom"/>
            <w:hideMark/>
          </w:tcPr>
          <w:p w14:paraId="5D903F5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0.810%</w:t>
            </w:r>
          </w:p>
        </w:tc>
        <w:tc>
          <w:tcPr>
            <w:tcW w:w="487" w:type="pct"/>
            <w:noWrap/>
            <w:vAlign w:val="bottom"/>
            <w:hideMark/>
          </w:tcPr>
          <w:p w14:paraId="01DBD2B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0.711%</w:t>
            </w:r>
          </w:p>
        </w:tc>
        <w:tc>
          <w:tcPr>
            <w:tcW w:w="451" w:type="pct"/>
            <w:noWrap/>
            <w:vAlign w:val="bottom"/>
            <w:hideMark/>
          </w:tcPr>
          <w:p w14:paraId="692E9D1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0.831%</w:t>
            </w:r>
          </w:p>
        </w:tc>
        <w:tc>
          <w:tcPr>
            <w:tcW w:w="451" w:type="pct"/>
            <w:noWrap/>
            <w:vAlign w:val="bottom"/>
            <w:hideMark/>
          </w:tcPr>
          <w:p w14:paraId="3C4DCF4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0.674%</w:t>
            </w:r>
          </w:p>
        </w:tc>
        <w:tc>
          <w:tcPr>
            <w:tcW w:w="453" w:type="pct"/>
            <w:noWrap/>
            <w:vAlign w:val="bottom"/>
            <w:hideMark/>
          </w:tcPr>
          <w:p w14:paraId="1014D52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2.6***</w:t>
            </w:r>
          </w:p>
        </w:tc>
        <w:tc>
          <w:tcPr>
            <w:tcW w:w="554" w:type="pct"/>
            <w:noWrap/>
            <w:vAlign w:val="bottom"/>
            <w:hideMark/>
          </w:tcPr>
          <w:p w14:paraId="0A42A35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w:t>
            </w:r>
          </w:p>
        </w:tc>
      </w:tr>
      <w:tr w:rsidR="00093F2A" w:rsidRPr="00201000" w14:paraId="26DB1B7B" w14:textId="77777777" w:rsidTr="00201000">
        <w:trPr>
          <w:trHeight w:val="20"/>
        </w:trPr>
        <w:tc>
          <w:tcPr>
            <w:tcW w:w="660" w:type="pct"/>
            <w:noWrap/>
            <w:hideMark/>
          </w:tcPr>
          <w:p w14:paraId="09FC9CDD" w14:textId="77777777" w:rsidR="001E5D09" w:rsidRPr="00201000" w:rsidRDefault="001E5D09">
            <w:pPr>
              <w:rPr>
                <w:rFonts w:ascii="Gill Sans MT" w:hAnsi="Gill Sans MT" w:cs="Calibri"/>
                <w:sz w:val="18"/>
                <w:szCs w:val="18"/>
              </w:rPr>
            </w:pPr>
          </w:p>
        </w:tc>
        <w:tc>
          <w:tcPr>
            <w:tcW w:w="590" w:type="pct"/>
            <w:noWrap/>
            <w:vAlign w:val="bottom"/>
            <w:hideMark/>
          </w:tcPr>
          <w:p w14:paraId="3B1A912B" w14:textId="77777777" w:rsidR="001E5D09" w:rsidRPr="00201000" w:rsidRDefault="001E5D09">
            <w:pPr>
              <w:spacing w:after="0"/>
              <w:rPr>
                <w:sz w:val="18"/>
                <w:szCs w:val="18"/>
              </w:rPr>
            </w:pPr>
          </w:p>
        </w:tc>
        <w:tc>
          <w:tcPr>
            <w:tcW w:w="451" w:type="pct"/>
            <w:noWrap/>
            <w:vAlign w:val="bottom"/>
            <w:hideMark/>
          </w:tcPr>
          <w:p w14:paraId="053FF205" w14:textId="77777777" w:rsidR="001E5D09" w:rsidRPr="00201000" w:rsidRDefault="001E5D09">
            <w:pPr>
              <w:spacing w:after="0"/>
              <w:rPr>
                <w:sz w:val="18"/>
                <w:szCs w:val="18"/>
              </w:rPr>
            </w:pPr>
          </w:p>
        </w:tc>
        <w:tc>
          <w:tcPr>
            <w:tcW w:w="452" w:type="pct"/>
            <w:noWrap/>
            <w:vAlign w:val="bottom"/>
            <w:hideMark/>
          </w:tcPr>
          <w:p w14:paraId="013463AA" w14:textId="77777777" w:rsidR="001E5D09" w:rsidRPr="00201000" w:rsidRDefault="001E5D09">
            <w:pPr>
              <w:spacing w:after="0"/>
              <w:rPr>
                <w:sz w:val="18"/>
                <w:szCs w:val="18"/>
              </w:rPr>
            </w:pPr>
          </w:p>
        </w:tc>
        <w:tc>
          <w:tcPr>
            <w:tcW w:w="451" w:type="pct"/>
            <w:noWrap/>
            <w:vAlign w:val="bottom"/>
            <w:hideMark/>
          </w:tcPr>
          <w:p w14:paraId="51E02CED" w14:textId="77777777" w:rsidR="001E5D09" w:rsidRPr="00201000" w:rsidRDefault="001E5D09">
            <w:pPr>
              <w:spacing w:after="0"/>
              <w:rPr>
                <w:sz w:val="18"/>
                <w:szCs w:val="18"/>
              </w:rPr>
            </w:pPr>
          </w:p>
        </w:tc>
        <w:tc>
          <w:tcPr>
            <w:tcW w:w="487" w:type="pct"/>
            <w:noWrap/>
            <w:vAlign w:val="bottom"/>
            <w:hideMark/>
          </w:tcPr>
          <w:p w14:paraId="20285478" w14:textId="77777777" w:rsidR="001E5D09" w:rsidRPr="00201000" w:rsidRDefault="001E5D09">
            <w:pPr>
              <w:spacing w:after="0"/>
              <w:rPr>
                <w:sz w:val="18"/>
                <w:szCs w:val="18"/>
              </w:rPr>
            </w:pPr>
          </w:p>
        </w:tc>
        <w:tc>
          <w:tcPr>
            <w:tcW w:w="451" w:type="pct"/>
            <w:noWrap/>
            <w:vAlign w:val="bottom"/>
            <w:hideMark/>
          </w:tcPr>
          <w:p w14:paraId="463D52C4" w14:textId="77777777" w:rsidR="001E5D09" w:rsidRPr="00201000" w:rsidRDefault="001E5D09">
            <w:pPr>
              <w:spacing w:after="0"/>
              <w:rPr>
                <w:sz w:val="18"/>
                <w:szCs w:val="18"/>
              </w:rPr>
            </w:pPr>
          </w:p>
        </w:tc>
        <w:tc>
          <w:tcPr>
            <w:tcW w:w="451" w:type="pct"/>
            <w:noWrap/>
            <w:vAlign w:val="bottom"/>
            <w:hideMark/>
          </w:tcPr>
          <w:p w14:paraId="399CF482" w14:textId="77777777" w:rsidR="001E5D09" w:rsidRPr="00201000" w:rsidRDefault="001E5D09">
            <w:pPr>
              <w:spacing w:after="0"/>
              <w:rPr>
                <w:sz w:val="18"/>
                <w:szCs w:val="18"/>
              </w:rPr>
            </w:pPr>
          </w:p>
        </w:tc>
        <w:tc>
          <w:tcPr>
            <w:tcW w:w="453" w:type="pct"/>
            <w:noWrap/>
            <w:vAlign w:val="bottom"/>
            <w:hideMark/>
          </w:tcPr>
          <w:p w14:paraId="555CE7C2" w14:textId="77777777" w:rsidR="001E5D09" w:rsidRPr="00201000" w:rsidRDefault="001E5D09">
            <w:pPr>
              <w:spacing w:after="0"/>
              <w:rPr>
                <w:sz w:val="18"/>
                <w:szCs w:val="18"/>
              </w:rPr>
            </w:pPr>
          </w:p>
        </w:tc>
        <w:tc>
          <w:tcPr>
            <w:tcW w:w="554" w:type="pct"/>
            <w:noWrap/>
            <w:vAlign w:val="bottom"/>
            <w:hideMark/>
          </w:tcPr>
          <w:p w14:paraId="6833D0B8" w14:textId="77777777" w:rsidR="001E5D09" w:rsidRPr="00201000" w:rsidRDefault="001E5D09">
            <w:pPr>
              <w:spacing w:after="0"/>
              <w:rPr>
                <w:sz w:val="18"/>
                <w:szCs w:val="18"/>
              </w:rPr>
            </w:pPr>
          </w:p>
        </w:tc>
      </w:tr>
      <w:tr w:rsidR="00093F2A" w:rsidRPr="00201000" w14:paraId="045F8DBD" w14:textId="77777777" w:rsidTr="00201000">
        <w:trPr>
          <w:trHeight w:val="20"/>
        </w:trPr>
        <w:tc>
          <w:tcPr>
            <w:tcW w:w="660" w:type="pct"/>
            <w:vMerge w:val="restart"/>
            <w:tcBorders>
              <w:top w:val="nil"/>
              <w:left w:val="nil"/>
              <w:bottom w:val="single" w:sz="4" w:space="0" w:color="000000"/>
              <w:right w:val="nil"/>
            </w:tcBorders>
            <w:noWrap/>
            <w:hideMark/>
          </w:tcPr>
          <w:p w14:paraId="3EBA0218"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Fama-French 4-factor model CARs - Sector</w:t>
            </w:r>
          </w:p>
        </w:tc>
        <w:tc>
          <w:tcPr>
            <w:tcW w:w="590" w:type="pct"/>
            <w:noWrap/>
            <w:vAlign w:val="bottom"/>
            <w:hideMark/>
          </w:tcPr>
          <w:p w14:paraId="00EF2658"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(0,+1) days</w:t>
            </w:r>
          </w:p>
        </w:tc>
        <w:tc>
          <w:tcPr>
            <w:tcW w:w="451" w:type="pct"/>
            <w:noWrap/>
            <w:vAlign w:val="bottom"/>
            <w:hideMark/>
          </w:tcPr>
          <w:p w14:paraId="719EA65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-0.040%</w:t>
            </w:r>
          </w:p>
        </w:tc>
        <w:tc>
          <w:tcPr>
            <w:tcW w:w="452" w:type="pct"/>
            <w:noWrap/>
            <w:vAlign w:val="bottom"/>
            <w:hideMark/>
          </w:tcPr>
          <w:p w14:paraId="6E60C73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0.024%</w:t>
            </w:r>
          </w:p>
        </w:tc>
        <w:tc>
          <w:tcPr>
            <w:tcW w:w="451" w:type="pct"/>
            <w:noWrap/>
            <w:vAlign w:val="bottom"/>
            <w:hideMark/>
          </w:tcPr>
          <w:p w14:paraId="11C7DD1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0.688%</w:t>
            </w:r>
          </w:p>
        </w:tc>
        <w:tc>
          <w:tcPr>
            <w:tcW w:w="487" w:type="pct"/>
            <w:noWrap/>
            <w:vAlign w:val="bottom"/>
            <w:hideMark/>
          </w:tcPr>
          <w:p w14:paraId="3B7A10F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0.408%</w:t>
            </w:r>
          </w:p>
        </w:tc>
        <w:tc>
          <w:tcPr>
            <w:tcW w:w="451" w:type="pct"/>
            <w:noWrap/>
            <w:vAlign w:val="bottom"/>
            <w:hideMark/>
          </w:tcPr>
          <w:p w14:paraId="54EA1B3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0.727%</w:t>
            </w:r>
          </w:p>
        </w:tc>
        <w:tc>
          <w:tcPr>
            <w:tcW w:w="451" w:type="pct"/>
            <w:noWrap/>
            <w:vAlign w:val="bottom"/>
            <w:hideMark/>
          </w:tcPr>
          <w:p w14:paraId="3421EE8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0.383%</w:t>
            </w:r>
          </w:p>
        </w:tc>
        <w:tc>
          <w:tcPr>
            <w:tcW w:w="453" w:type="pct"/>
            <w:noWrap/>
            <w:vAlign w:val="bottom"/>
            <w:hideMark/>
          </w:tcPr>
          <w:p w14:paraId="14C7C48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2.34**</w:t>
            </w:r>
          </w:p>
        </w:tc>
        <w:tc>
          <w:tcPr>
            <w:tcW w:w="554" w:type="pct"/>
            <w:noWrap/>
            <w:vAlign w:val="bottom"/>
            <w:hideMark/>
          </w:tcPr>
          <w:p w14:paraId="4ECC081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2.05**</w:t>
            </w:r>
          </w:p>
        </w:tc>
      </w:tr>
      <w:tr w:rsidR="00093F2A" w:rsidRPr="00201000" w14:paraId="77355AA7" w14:textId="77777777" w:rsidTr="00201000">
        <w:trPr>
          <w:trHeight w:val="20"/>
        </w:trPr>
        <w:tc>
          <w:tcPr>
            <w:tcW w:w="0" w:type="auto"/>
            <w:vMerge/>
            <w:tcBorders>
              <w:top w:val="nil"/>
              <w:left w:val="nil"/>
              <w:bottom w:val="single" w:sz="4" w:space="0" w:color="000000"/>
              <w:right w:val="nil"/>
            </w:tcBorders>
            <w:vAlign w:val="center"/>
            <w:hideMark/>
          </w:tcPr>
          <w:p w14:paraId="60CD394A" w14:textId="77777777" w:rsidR="001E5D09" w:rsidRPr="00201000" w:rsidRDefault="001E5D09">
            <w:pPr>
              <w:spacing w:after="0"/>
              <w:rPr>
                <w:rFonts w:ascii="Gill Sans MT" w:eastAsia="Times New Roman" w:hAnsi="Gill Sans MT" w:cs="Calibri"/>
                <w:sz w:val="18"/>
                <w:szCs w:val="18"/>
              </w:rPr>
            </w:pPr>
          </w:p>
        </w:tc>
        <w:tc>
          <w:tcPr>
            <w:tcW w:w="590" w:type="pct"/>
            <w:noWrap/>
            <w:vAlign w:val="bottom"/>
            <w:hideMark/>
          </w:tcPr>
          <w:p w14:paraId="3C1BBD7A"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(-1,+1) days</w:t>
            </w:r>
          </w:p>
        </w:tc>
        <w:tc>
          <w:tcPr>
            <w:tcW w:w="451" w:type="pct"/>
            <w:noWrap/>
            <w:vAlign w:val="bottom"/>
            <w:hideMark/>
          </w:tcPr>
          <w:p w14:paraId="0F40B2E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-0.031%</w:t>
            </w:r>
          </w:p>
        </w:tc>
        <w:tc>
          <w:tcPr>
            <w:tcW w:w="452" w:type="pct"/>
            <w:noWrap/>
            <w:vAlign w:val="bottom"/>
            <w:hideMark/>
          </w:tcPr>
          <w:p w14:paraId="401B5F7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-0.074%</w:t>
            </w:r>
          </w:p>
        </w:tc>
        <w:tc>
          <w:tcPr>
            <w:tcW w:w="451" w:type="pct"/>
            <w:noWrap/>
            <w:vAlign w:val="bottom"/>
            <w:hideMark/>
          </w:tcPr>
          <w:p w14:paraId="752A507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0.682%</w:t>
            </w:r>
          </w:p>
        </w:tc>
        <w:tc>
          <w:tcPr>
            <w:tcW w:w="487" w:type="pct"/>
            <w:noWrap/>
            <w:vAlign w:val="bottom"/>
            <w:hideMark/>
          </w:tcPr>
          <w:p w14:paraId="735EB9B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0.295%</w:t>
            </w:r>
          </w:p>
        </w:tc>
        <w:tc>
          <w:tcPr>
            <w:tcW w:w="451" w:type="pct"/>
            <w:noWrap/>
            <w:vAlign w:val="bottom"/>
            <w:hideMark/>
          </w:tcPr>
          <w:p w14:paraId="1407169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0.713%</w:t>
            </w:r>
          </w:p>
        </w:tc>
        <w:tc>
          <w:tcPr>
            <w:tcW w:w="451" w:type="pct"/>
            <w:noWrap/>
            <w:vAlign w:val="bottom"/>
            <w:hideMark/>
          </w:tcPr>
          <w:p w14:paraId="6EFB785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0.369%</w:t>
            </w:r>
          </w:p>
        </w:tc>
        <w:tc>
          <w:tcPr>
            <w:tcW w:w="453" w:type="pct"/>
            <w:noWrap/>
            <w:vAlign w:val="bottom"/>
            <w:hideMark/>
          </w:tcPr>
          <w:p w14:paraId="4044DD1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2.25**</w:t>
            </w:r>
          </w:p>
        </w:tc>
        <w:tc>
          <w:tcPr>
            <w:tcW w:w="554" w:type="pct"/>
            <w:noWrap/>
            <w:vAlign w:val="bottom"/>
            <w:hideMark/>
          </w:tcPr>
          <w:p w14:paraId="2CE20DB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1.73*</w:t>
            </w:r>
          </w:p>
        </w:tc>
      </w:tr>
      <w:tr w:rsidR="00093F2A" w:rsidRPr="00201000" w14:paraId="5152DC51" w14:textId="77777777" w:rsidTr="00201000">
        <w:trPr>
          <w:trHeight w:val="20"/>
        </w:trPr>
        <w:tc>
          <w:tcPr>
            <w:tcW w:w="0" w:type="auto"/>
            <w:vMerge/>
            <w:tcBorders>
              <w:top w:val="nil"/>
              <w:left w:val="nil"/>
              <w:bottom w:val="single" w:sz="4" w:space="0" w:color="000000"/>
              <w:right w:val="nil"/>
            </w:tcBorders>
            <w:vAlign w:val="center"/>
            <w:hideMark/>
          </w:tcPr>
          <w:p w14:paraId="54E3C0D0" w14:textId="77777777" w:rsidR="001E5D09" w:rsidRPr="00201000" w:rsidRDefault="001E5D09">
            <w:pPr>
              <w:spacing w:after="0"/>
              <w:rPr>
                <w:rFonts w:ascii="Gill Sans MT" w:eastAsia="Times New Roman" w:hAnsi="Gill Sans MT" w:cs="Calibri"/>
                <w:sz w:val="18"/>
                <w:szCs w:val="18"/>
              </w:rPr>
            </w:pPr>
          </w:p>
        </w:tc>
        <w:tc>
          <w:tcPr>
            <w:tcW w:w="590" w:type="pct"/>
            <w:tcBorders>
              <w:top w:val="nil"/>
              <w:left w:val="nil"/>
              <w:bottom w:val="single" w:sz="4" w:space="0" w:color="auto"/>
              <w:right w:val="nil"/>
            </w:tcBorders>
            <w:noWrap/>
            <w:vAlign w:val="bottom"/>
            <w:hideMark/>
          </w:tcPr>
          <w:p w14:paraId="4068C70D"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(-2,+1) days</w:t>
            </w:r>
          </w:p>
        </w:tc>
        <w:tc>
          <w:tcPr>
            <w:tcW w:w="451" w:type="pct"/>
            <w:tcBorders>
              <w:top w:val="nil"/>
              <w:left w:val="nil"/>
              <w:bottom w:val="single" w:sz="4" w:space="0" w:color="auto"/>
              <w:right w:val="nil"/>
            </w:tcBorders>
            <w:noWrap/>
            <w:vAlign w:val="bottom"/>
            <w:hideMark/>
          </w:tcPr>
          <w:p w14:paraId="0EA90F3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-0.029%</w:t>
            </w:r>
          </w:p>
        </w:tc>
        <w:tc>
          <w:tcPr>
            <w:tcW w:w="452" w:type="pct"/>
            <w:tcBorders>
              <w:top w:val="nil"/>
              <w:left w:val="nil"/>
              <w:bottom w:val="single" w:sz="4" w:space="0" w:color="auto"/>
              <w:right w:val="nil"/>
            </w:tcBorders>
            <w:noWrap/>
            <w:vAlign w:val="bottom"/>
            <w:hideMark/>
          </w:tcPr>
          <w:p w14:paraId="06BAAF5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0.030%</w:t>
            </w:r>
          </w:p>
        </w:tc>
        <w:tc>
          <w:tcPr>
            <w:tcW w:w="451" w:type="pct"/>
            <w:tcBorders>
              <w:top w:val="nil"/>
              <w:left w:val="nil"/>
              <w:bottom w:val="single" w:sz="4" w:space="0" w:color="auto"/>
              <w:right w:val="nil"/>
            </w:tcBorders>
            <w:noWrap/>
            <w:vAlign w:val="bottom"/>
            <w:hideMark/>
          </w:tcPr>
          <w:p w14:paraId="42E5731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0.734%</w:t>
            </w:r>
          </w:p>
        </w:tc>
        <w:tc>
          <w:tcPr>
            <w:tcW w:w="487" w:type="pct"/>
            <w:tcBorders>
              <w:top w:val="nil"/>
              <w:left w:val="nil"/>
              <w:bottom w:val="single" w:sz="4" w:space="0" w:color="auto"/>
              <w:right w:val="nil"/>
            </w:tcBorders>
            <w:noWrap/>
            <w:vAlign w:val="bottom"/>
            <w:hideMark/>
          </w:tcPr>
          <w:p w14:paraId="777C6AE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0.629%</w:t>
            </w:r>
          </w:p>
        </w:tc>
        <w:tc>
          <w:tcPr>
            <w:tcW w:w="451" w:type="pct"/>
            <w:tcBorders>
              <w:top w:val="nil"/>
              <w:left w:val="nil"/>
              <w:bottom w:val="single" w:sz="4" w:space="0" w:color="auto"/>
              <w:right w:val="nil"/>
            </w:tcBorders>
            <w:noWrap/>
            <w:vAlign w:val="bottom"/>
            <w:hideMark/>
          </w:tcPr>
          <w:p w14:paraId="7B1E194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0.764%</w:t>
            </w:r>
          </w:p>
        </w:tc>
        <w:tc>
          <w:tcPr>
            <w:tcW w:w="451" w:type="pct"/>
            <w:tcBorders>
              <w:top w:val="nil"/>
              <w:left w:val="nil"/>
              <w:bottom w:val="single" w:sz="4" w:space="0" w:color="auto"/>
              <w:right w:val="nil"/>
            </w:tcBorders>
            <w:noWrap/>
            <w:vAlign w:val="bottom"/>
            <w:hideMark/>
          </w:tcPr>
          <w:p w14:paraId="4CBD82B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0.599%</w:t>
            </w:r>
          </w:p>
        </w:tc>
        <w:tc>
          <w:tcPr>
            <w:tcW w:w="453" w:type="pct"/>
            <w:tcBorders>
              <w:top w:val="nil"/>
              <w:left w:val="nil"/>
              <w:bottom w:val="single" w:sz="4" w:space="0" w:color="auto"/>
              <w:right w:val="nil"/>
            </w:tcBorders>
            <w:noWrap/>
            <w:vAlign w:val="bottom"/>
            <w:hideMark/>
          </w:tcPr>
          <w:p w14:paraId="1D4C043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2.37**</w:t>
            </w:r>
          </w:p>
        </w:tc>
        <w:tc>
          <w:tcPr>
            <w:tcW w:w="554" w:type="pct"/>
            <w:tcBorders>
              <w:top w:val="nil"/>
              <w:left w:val="nil"/>
              <w:bottom w:val="single" w:sz="4" w:space="0" w:color="auto"/>
              <w:right w:val="nil"/>
            </w:tcBorders>
            <w:noWrap/>
            <w:vAlign w:val="bottom"/>
            <w:hideMark/>
          </w:tcPr>
          <w:p w14:paraId="084B71A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2.11**</w:t>
            </w:r>
          </w:p>
        </w:tc>
      </w:tr>
    </w:tbl>
    <w:p w14:paraId="72DAFD6B" w14:textId="3F0F4DAE" w:rsidR="001E5D09" w:rsidRPr="00093F2A" w:rsidRDefault="001E5D09" w:rsidP="001E5D09">
      <w:pPr>
        <w:spacing w:line="240" w:lineRule="auto"/>
        <w:contextualSpacing/>
        <w:rPr>
          <w:rFonts w:ascii="Gill Sans MT" w:hAnsi="Gill Sans MT"/>
        </w:rPr>
      </w:pPr>
      <w:r w:rsidRPr="00093F2A">
        <w:rPr>
          <w:rFonts w:ascii="Gill Sans MT" w:hAnsi="Gill Sans MT"/>
          <w:sz w:val="20"/>
          <w:szCs w:val="20"/>
        </w:rPr>
        <w:t xml:space="preserve">In Table </w:t>
      </w:r>
      <w:r w:rsidR="00201000">
        <w:rPr>
          <w:rFonts w:ascii="Gill Sans MT" w:hAnsi="Gill Sans MT"/>
          <w:sz w:val="20"/>
          <w:szCs w:val="20"/>
        </w:rPr>
        <w:t>3</w:t>
      </w:r>
      <w:r w:rsidRPr="00093F2A">
        <w:rPr>
          <w:rFonts w:ascii="Gill Sans MT" w:hAnsi="Gill Sans MT"/>
          <w:sz w:val="20"/>
          <w:szCs w:val="20"/>
        </w:rPr>
        <w:t xml:space="preserve">, we present results for CARs using different estimation models for the sample with PE involvement and the sample without PE. We report difference in means and medians test between the samples. </w:t>
      </w:r>
    </w:p>
    <w:p w14:paraId="5638E496" w14:textId="77777777" w:rsidR="001E5D09" w:rsidRPr="00093F2A" w:rsidRDefault="001E5D09" w:rsidP="001E5D09">
      <w:pPr>
        <w:spacing w:after="0" w:line="240" w:lineRule="auto"/>
        <w:rPr>
          <w:rFonts w:ascii="Gill Sans MT" w:hAnsi="Gill Sans MT"/>
        </w:rPr>
        <w:sectPr w:rsidR="001E5D09" w:rsidRPr="00093F2A">
          <w:pgSz w:w="15840" w:h="12240" w:orient="landscape"/>
          <w:pgMar w:top="1440" w:right="1440" w:bottom="1440" w:left="1440" w:header="720" w:footer="720" w:gutter="0"/>
          <w:cols w:space="720"/>
        </w:sectPr>
      </w:pPr>
    </w:p>
    <w:tbl>
      <w:tblPr>
        <w:tblW w:w="9593" w:type="dxa"/>
        <w:tblLayout w:type="fixed"/>
        <w:tblLook w:val="04A0" w:firstRow="1" w:lastRow="0" w:firstColumn="1" w:lastColumn="0" w:noHBand="0" w:noVBand="1"/>
      </w:tblPr>
      <w:tblGrid>
        <w:gridCol w:w="2448"/>
        <w:gridCol w:w="1800"/>
        <w:gridCol w:w="1440"/>
        <w:gridCol w:w="540"/>
        <w:gridCol w:w="1710"/>
        <w:gridCol w:w="1655"/>
      </w:tblGrid>
      <w:tr w:rsidR="00093F2A" w:rsidRPr="00201000" w14:paraId="04F01059" w14:textId="77777777" w:rsidTr="00201000">
        <w:trPr>
          <w:trHeight w:val="20"/>
        </w:trPr>
        <w:tc>
          <w:tcPr>
            <w:tcW w:w="9593" w:type="dxa"/>
            <w:gridSpan w:val="6"/>
            <w:noWrap/>
            <w:vAlign w:val="bottom"/>
            <w:hideMark/>
          </w:tcPr>
          <w:p w14:paraId="5FA62BED" w14:textId="77777777" w:rsidR="001E5D09" w:rsidRPr="00201000" w:rsidRDefault="001E5D09">
            <w:pPr>
              <w:spacing w:line="240" w:lineRule="auto"/>
              <w:contextualSpacing/>
              <w:rPr>
                <w:rFonts w:ascii="Gill Sans MT" w:eastAsia="Times New Roman" w:hAnsi="Gill Sans MT" w:cs="Times New Roman"/>
                <w:sz w:val="18"/>
                <w:szCs w:val="18"/>
              </w:rPr>
            </w:pPr>
            <w:r w:rsidRPr="00201000">
              <w:rPr>
                <w:rFonts w:ascii="Gill Sans MT" w:eastAsia="Times New Roman" w:hAnsi="Gill Sans MT" w:cs="Calibri"/>
                <w:b/>
                <w:bCs/>
                <w:sz w:val="18"/>
                <w:szCs w:val="18"/>
              </w:rPr>
              <w:lastRenderedPageBreak/>
              <w:t>Table 4 - Regressions of Acquirer CARs</w:t>
            </w:r>
          </w:p>
        </w:tc>
      </w:tr>
      <w:tr w:rsidR="00093F2A" w:rsidRPr="00201000" w14:paraId="47DF101C" w14:textId="77777777" w:rsidTr="00201000">
        <w:trPr>
          <w:trHeight w:val="20"/>
        </w:trPr>
        <w:tc>
          <w:tcPr>
            <w:tcW w:w="2448" w:type="dxa"/>
            <w:tcBorders>
              <w:top w:val="single" w:sz="4" w:space="0" w:color="auto"/>
              <w:left w:val="nil"/>
              <w:bottom w:val="nil"/>
              <w:right w:val="nil"/>
            </w:tcBorders>
            <w:noWrap/>
            <w:vAlign w:val="bottom"/>
            <w:hideMark/>
          </w:tcPr>
          <w:p w14:paraId="08AFD35E"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w:t>
            </w:r>
          </w:p>
        </w:tc>
        <w:tc>
          <w:tcPr>
            <w:tcW w:w="3240" w:type="dxa"/>
            <w:gridSpan w:val="2"/>
            <w:tcBorders>
              <w:top w:val="single" w:sz="4" w:space="0" w:color="auto"/>
              <w:left w:val="nil"/>
              <w:bottom w:val="nil"/>
              <w:right w:val="nil"/>
            </w:tcBorders>
            <w:noWrap/>
            <w:vAlign w:val="bottom"/>
            <w:hideMark/>
          </w:tcPr>
          <w:p w14:paraId="5C4C76FE"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Panel A - CARs from Fama-French 4-factor model with CRSP EW index as market benchmark</w:t>
            </w:r>
          </w:p>
        </w:tc>
        <w:tc>
          <w:tcPr>
            <w:tcW w:w="540" w:type="dxa"/>
            <w:tcBorders>
              <w:top w:val="single" w:sz="4" w:space="0" w:color="auto"/>
              <w:left w:val="nil"/>
              <w:bottom w:val="nil"/>
              <w:right w:val="nil"/>
            </w:tcBorders>
            <w:vAlign w:val="bottom"/>
          </w:tcPr>
          <w:p w14:paraId="7C7DD0CD" w14:textId="77777777" w:rsidR="001E5D09" w:rsidRPr="00201000" w:rsidRDefault="001E5D09">
            <w:pPr>
              <w:spacing w:line="240" w:lineRule="auto"/>
              <w:contextualSpacing/>
              <w:rPr>
                <w:rFonts w:ascii="Gill Sans MT" w:eastAsia="Times New Roman" w:hAnsi="Gill Sans MT" w:cs="Calibri"/>
                <w:b/>
                <w:bCs/>
                <w:i/>
                <w:iCs/>
                <w:sz w:val="18"/>
                <w:szCs w:val="18"/>
              </w:rPr>
            </w:pPr>
          </w:p>
        </w:tc>
        <w:tc>
          <w:tcPr>
            <w:tcW w:w="3365" w:type="dxa"/>
            <w:gridSpan w:val="2"/>
            <w:tcBorders>
              <w:top w:val="single" w:sz="4" w:space="0" w:color="auto"/>
              <w:left w:val="nil"/>
              <w:bottom w:val="nil"/>
              <w:right w:val="nil"/>
            </w:tcBorders>
            <w:noWrap/>
            <w:vAlign w:val="bottom"/>
            <w:hideMark/>
          </w:tcPr>
          <w:p w14:paraId="01C04336"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Panel B - CARs from Fama-French 4-factor model with Fama-French 48-Sector Returns as market benchmark</w:t>
            </w:r>
          </w:p>
        </w:tc>
      </w:tr>
      <w:tr w:rsidR="00093F2A" w:rsidRPr="00201000" w14:paraId="72B3801B" w14:textId="77777777" w:rsidTr="00201000">
        <w:trPr>
          <w:trHeight w:val="20"/>
        </w:trPr>
        <w:tc>
          <w:tcPr>
            <w:tcW w:w="2448" w:type="dxa"/>
            <w:noWrap/>
            <w:vAlign w:val="bottom"/>
            <w:hideMark/>
          </w:tcPr>
          <w:p w14:paraId="5379E36E" w14:textId="77777777" w:rsidR="001E5D09" w:rsidRPr="00201000" w:rsidRDefault="001E5D09">
            <w:pPr>
              <w:rPr>
                <w:rFonts w:ascii="Gill Sans MT" w:eastAsia="Times New Roman" w:hAnsi="Gill Sans MT" w:cs="Calibri"/>
                <w:b/>
                <w:bCs/>
                <w:i/>
                <w:iCs/>
                <w:sz w:val="18"/>
                <w:szCs w:val="18"/>
              </w:rPr>
            </w:pPr>
          </w:p>
        </w:tc>
        <w:tc>
          <w:tcPr>
            <w:tcW w:w="1800" w:type="dxa"/>
            <w:noWrap/>
            <w:vAlign w:val="bottom"/>
            <w:hideMark/>
          </w:tcPr>
          <w:p w14:paraId="0616DAF7"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Model 1</w:t>
            </w:r>
          </w:p>
        </w:tc>
        <w:tc>
          <w:tcPr>
            <w:tcW w:w="1440" w:type="dxa"/>
            <w:noWrap/>
            <w:vAlign w:val="bottom"/>
            <w:hideMark/>
          </w:tcPr>
          <w:p w14:paraId="35DAEDB4"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Model 2</w:t>
            </w:r>
          </w:p>
        </w:tc>
        <w:tc>
          <w:tcPr>
            <w:tcW w:w="540" w:type="dxa"/>
            <w:noWrap/>
            <w:vAlign w:val="bottom"/>
            <w:hideMark/>
          </w:tcPr>
          <w:p w14:paraId="2ADDE02B" w14:textId="77777777" w:rsidR="001E5D09" w:rsidRPr="00201000" w:rsidRDefault="001E5D09">
            <w:pPr>
              <w:rPr>
                <w:rFonts w:ascii="Gill Sans MT" w:eastAsia="Times New Roman" w:hAnsi="Gill Sans MT" w:cs="Calibri"/>
                <w:b/>
                <w:bCs/>
                <w:i/>
                <w:iCs/>
                <w:sz w:val="18"/>
                <w:szCs w:val="18"/>
              </w:rPr>
            </w:pPr>
          </w:p>
        </w:tc>
        <w:tc>
          <w:tcPr>
            <w:tcW w:w="1710" w:type="dxa"/>
            <w:noWrap/>
            <w:vAlign w:val="bottom"/>
            <w:hideMark/>
          </w:tcPr>
          <w:p w14:paraId="1CED99EE"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Model 3</w:t>
            </w:r>
          </w:p>
        </w:tc>
        <w:tc>
          <w:tcPr>
            <w:tcW w:w="1655" w:type="dxa"/>
            <w:noWrap/>
            <w:vAlign w:val="bottom"/>
            <w:hideMark/>
          </w:tcPr>
          <w:p w14:paraId="6236FDCD"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Model 4</w:t>
            </w:r>
          </w:p>
        </w:tc>
      </w:tr>
      <w:tr w:rsidR="00093F2A" w:rsidRPr="00201000" w14:paraId="7C820B86" w14:textId="77777777" w:rsidTr="00201000">
        <w:trPr>
          <w:trHeight w:val="20"/>
        </w:trPr>
        <w:tc>
          <w:tcPr>
            <w:tcW w:w="2448" w:type="dxa"/>
            <w:tcBorders>
              <w:top w:val="nil"/>
              <w:left w:val="nil"/>
              <w:bottom w:val="single" w:sz="4" w:space="0" w:color="auto"/>
              <w:right w:val="nil"/>
            </w:tcBorders>
            <w:noWrap/>
            <w:vAlign w:val="bottom"/>
            <w:hideMark/>
          </w:tcPr>
          <w:p w14:paraId="6B467575" w14:textId="77777777" w:rsidR="001E5D09" w:rsidRPr="00201000" w:rsidRDefault="001E5D09">
            <w:pPr>
              <w:spacing w:line="240" w:lineRule="auto"/>
              <w:contextualSpacing/>
              <w:rPr>
                <w:rFonts w:ascii="Gill Sans MT" w:eastAsia="Times New Roman" w:hAnsi="Gill Sans MT" w:cs="Calibri"/>
                <w:b/>
                <w:bCs/>
                <w:i/>
                <w:iCs/>
                <w:sz w:val="18"/>
                <w:szCs w:val="18"/>
              </w:rPr>
            </w:pPr>
            <w:r w:rsidRPr="00201000">
              <w:rPr>
                <w:rFonts w:ascii="Gill Sans MT" w:eastAsia="Times New Roman" w:hAnsi="Gill Sans MT" w:cs="Calibri"/>
                <w:b/>
                <w:bCs/>
                <w:i/>
                <w:iCs/>
                <w:sz w:val="18"/>
                <w:szCs w:val="18"/>
              </w:rPr>
              <w:t>Variables</w:t>
            </w:r>
          </w:p>
        </w:tc>
        <w:tc>
          <w:tcPr>
            <w:tcW w:w="1800" w:type="dxa"/>
            <w:tcBorders>
              <w:top w:val="nil"/>
              <w:left w:val="nil"/>
              <w:bottom w:val="single" w:sz="4" w:space="0" w:color="auto"/>
              <w:right w:val="nil"/>
            </w:tcBorders>
            <w:noWrap/>
            <w:vAlign w:val="bottom"/>
            <w:hideMark/>
          </w:tcPr>
          <w:p w14:paraId="0914E7D8"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(-2,+1) days </w:t>
            </w:r>
          </w:p>
        </w:tc>
        <w:tc>
          <w:tcPr>
            <w:tcW w:w="1440" w:type="dxa"/>
            <w:tcBorders>
              <w:top w:val="nil"/>
              <w:left w:val="nil"/>
              <w:bottom w:val="single" w:sz="4" w:space="0" w:color="auto"/>
              <w:right w:val="nil"/>
            </w:tcBorders>
            <w:noWrap/>
            <w:vAlign w:val="bottom"/>
            <w:hideMark/>
          </w:tcPr>
          <w:p w14:paraId="020EF0F6"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(-1,+1) days </w:t>
            </w:r>
          </w:p>
        </w:tc>
        <w:tc>
          <w:tcPr>
            <w:tcW w:w="540" w:type="dxa"/>
            <w:tcBorders>
              <w:top w:val="nil"/>
              <w:left w:val="nil"/>
              <w:bottom w:val="single" w:sz="4" w:space="0" w:color="auto"/>
              <w:right w:val="nil"/>
            </w:tcBorders>
            <w:vAlign w:val="bottom"/>
          </w:tcPr>
          <w:p w14:paraId="123EB648" w14:textId="77777777" w:rsidR="001E5D09" w:rsidRPr="00201000" w:rsidRDefault="001E5D09">
            <w:pPr>
              <w:spacing w:line="240" w:lineRule="auto"/>
              <w:contextualSpacing/>
              <w:rPr>
                <w:rFonts w:ascii="Gill Sans MT" w:eastAsia="Times New Roman" w:hAnsi="Gill Sans MT" w:cs="Calibri"/>
                <w:sz w:val="18"/>
                <w:szCs w:val="18"/>
              </w:rPr>
            </w:pPr>
          </w:p>
        </w:tc>
        <w:tc>
          <w:tcPr>
            <w:tcW w:w="1710" w:type="dxa"/>
            <w:tcBorders>
              <w:top w:val="nil"/>
              <w:left w:val="nil"/>
              <w:bottom w:val="single" w:sz="4" w:space="0" w:color="auto"/>
              <w:right w:val="nil"/>
            </w:tcBorders>
            <w:noWrap/>
            <w:vAlign w:val="bottom"/>
            <w:hideMark/>
          </w:tcPr>
          <w:p w14:paraId="0AE3A262"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(-2,+1) days </w:t>
            </w:r>
          </w:p>
        </w:tc>
        <w:tc>
          <w:tcPr>
            <w:tcW w:w="1655" w:type="dxa"/>
            <w:tcBorders>
              <w:top w:val="nil"/>
              <w:left w:val="nil"/>
              <w:bottom w:val="single" w:sz="4" w:space="0" w:color="auto"/>
              <w:right w:val="nil"/>
            </w:tcBorders>
            <w:noWrap/>
            <w:vAlign w:val="bottom"/>
            <w:hideMark/>
          </w:tcPr>
          <w:p w14:paraId="59D932E3"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 xml:space="preserve">(-1,+1) days </w:t>
            </w:r>
          </w:p>
        </w:tc>
      </w:tr>
      <w:tr w:rsidR="00093F2A" w:rsidRPr="00201000" w14:paraId="3A333C68" w14:textId="77777777" w:rsidTr="00201000">
        <w:trPr>
          <w:trHeight w:val="20"/>
        </w:trPr>
        <w:tc>
          <w:tcPr>
            <w:tcW w:w="2448" w:type="dxa"/>
            <w:vMerge w:val="restart"/>
            <w:tcBorders>
              <w:top w:val="single" w:sz="4" w:space="0" w:color="auto"/>
              <w:left w:val="nil"/>
              <w:bottom w:val="nil"/>
              <w:right w:val="nil"/>
            </w:tcBorders>
            <w:noWrap/>
            <w:hideMark/>
          </w:tcPr>
          <w:p w14:paraId="24010473"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PRIVATE EQUITY</w:t>
            </w:r>
          </w:p>
        </w:tc>
        <w:tc>
          <w:tcPr>
            <w:tcW w:w="1800" w:type="dxa"/>
            <w:noWrap/>
            <w:vAlign w:val="bottom"/>
            <w:hideMark/>
          </w:tcPr>
          <w:p w14:paraId="5614717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0.090</w:t>
            </w:r>
          </w:p>
        </w:tc>
        <w:tc>
          <w:tcPr>
            <w:tcW w:w="1440" w:type="dxa"/>
            <w:noWrap/>
            <w:vAlign w:val="bottom"/>
            <w:hideMark/>
          </w:tcPr>
          <w:p w14:paraId="6952ADB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0.091</w:t>
            </w:r>
          </w:p>
        </w:tc>
        <w:tc>
          <w:tcPr>
            <w:tcW w:w="540" w:type="dxa"/>
            <w:noWrap/>
            <w:vAlign w:val="bottom"/>
            <w:hideMark/>
          </w:tcPr>
          <w:p w14:paraId="23DF0F23" w14:textId="77777777" w:rsidR="001E5D09" w:rsidRPr="00201000" w:rsidRDefault="001E5D09">
            <w:pPr>
              <w:rPr>
                <w:rFonts w:ascii="Gill Sans MT" w:hAnsi="Gill Sans MT" w:cs="Calibri"/>
                <w:sz w:val="18"/>
                <w:szCs w:val="18"/>
              </w:rPr>
            </w:pPr>
          </w:p>
        </w:tc>
        <w:tc>
          <w:tcPr>
            <w:tcW w:w="1710" w:type="dxa"/>
            <w:noWrap/>
            <w:vAlign w:val="bottom"/>
            <w:hideMark/>
          </w:tcPr>
          <w:p w14:paraId="3F547A6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0.085</w:t>
            </w:r>
          </w:p>
        </w:tc>
        <w:tc>
          <w:tcPr>
            <w:tcW w:w="1655" w:type="dxa"/>
            <w:noWrap/>
            <w:vAlign w:val="bottom"/>
            <w:hideMark/>
          </w:tcPr>
          <w:p w14:paraId="26E855E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0.080</w:t>
            </w:r>
          </w:p>
        </w:tc>
      </w:tr>
      <w:tr w:rsidR="00093F2A" w:rsidRPr="00201000" w14:paraId="048B305A" w14:textId="77777777" w:rsidTr="00201000">
        <w:trPr>
          <w:trHeight w:val="20"/>
        </w:trPr>
        <w:tc>
          <w:tcPr>
            <w:tcW w:w="2448" w:type="dxa"/>
            <w:vMerge/>
            <w:tcBorders>
              <w:top w:val="single" w:sz="4" w:space="0" w:color="auto"/>
              <w:left w:val="nil"/>
              <w:bottom w:val="nil"/>
              <w:right w:val="nil"/>
            </w:tcBorders>
            <w:vAlign w:val="center"/>
            <w:hideMark/>
          </w:tcPr>
          <w:p w14:paraId="5AA126F0" w14:textId="77777777" w:rsidR="001E5D09" w:rsidRPr="00201000" w:rsidRDefault="001E5D09">
            <w:pPr>
              <w:spacing w:after="0"/>
              <w:rPr>
                <w:rFonts w:ascii="Gill Sans MT" w:eastAsia="Times New Roman" w:hAnsi="Gill Sans MT" w:cs="Calibri"/>
                <w:i/>
                <w:iCs/>
                <w:sz w:val="18"/>
                <w:szCs w:val="18"/>
              </w:rPr>
            </w:pPr>
          </w:p>
        </w:tc>
        <w:tc>
          <w:tcPr>
            <w:tcW w:w="1800" w:type="dxa"/>
            <w:noWrap/>
            <w:vAlign w:val="bottom"/>
            <w:hideMark/>
          </w:tcPr>
          <w:p w14:paraId="735FB82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(2.654***)</w:t>
            </w:r>
          </w:p>
        </w:tc>
        <w:tc>
          <w:tcPr>
            <w:tcW w:w="1440" w:type="dxa"/>
            <w:noWrap/>
            <w:vAlign w:val="bottom"/>
            <w:hideMark/>
          </w:tcPr>
          <w:p w14:paraId="3A2795E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(2.571**)</w:t>
            </w:r>
          </w:p>
        </w:tc>
        <w:tc>
          <w:tcPr>
            <w:tcW w:w="540" w:type="dxa"/>
            <w:noWrap/>
            <w:vAlign w:val="bottom"/>
            <w:hideMark/>
          </w:tcPr>
          <w:p w14:paraId="1BAE25D2" w14:textId="77777777" w:rsidR="001E5D09" w:rsidRPr="00201000" w:rsidRDefault="001E5D09">
            <w:pPr>
              <w:rPr>
                <w:rFonts w:ascii="Gill Sans MT" w:hAnsi="Gill Sans MT" w:cs="Calibri"/>
                <w:sz w:val="18"/>
                <w:szCs w:val="18"/>
              </w:rPr>
            </w:pPr>
          </w:p>
        </w:tc>
        <w:tc>
          <w:tcPr>
            <w:tcW w:w="1710" w:type="dxa"/>
            <w:noWrap/>
            <w:vAlign w:val="bottom"/>
            <w:hideMark/>
          </w:tcPr>
          <w:p w14:paraId="02EDA28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(2.576**)</w:t>
            </w:r>
          </w:p>
        </w:tc>
        <w:tc>
          <w:tcPr>
            <w:tcW w:w="1655" w:type="dxa"/>
            <w:noWrap/>
            <w:vAlign w:val="bottom"/>
            <w:hideMark/>
          </w:tcPr>
          <w:p w14:paraId="718132E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(2.339**)</w:t>
            </w:r>
          </w:p>
        </w:tc>
      </w:tr>
      <w:tr w:rsidR="00093F2A" w:rsidRPr="00201000" w14:paraId="060440C4" w14:textId="77777777" w:rsidTr="00201000">
        <w:trPr>
          <w:trHeight w:val="20"/>
        </w:trPr>
        <w:tc>
          <w:tcPr>
            <w:tcW w:w="2448" w:type="dxa"/>
            <w:vMerge w:val="restart"/>
            <w:noWrap/>
            <w:hideMark/>
          </w:tcPr>
          <w:p w14:paraId="6ACAA21E"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RUNUP</w:t>
            </w:r>
          </w:p>
        </w:tc>
        <w:tc>
          <w:tcPr>
            <w:tcW w:w="1800" w:type="dxa"/>
            <w:noWrap/>
            <w:vAlign w:val="bottom"/>
            <w:hideMark/>
          </w:tcPr>
          <w:p w14:paraId="7ABA464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0.047</w:t>
            </w:r>
          </w:p>
        </w:tc>
        <w:tc>
          <w:tcPr>
            <w:tcW w:w="1440" w:type="dxa"/>
            <w:noWrap/>
            <w:vAlign w:val="bottom"/>
            <w:hideMark/>
          </w:tcPr>
          <w:p w14:paraId="57278C9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0.037</w:t>
            </w:r>
          </w:p>
        </w:tc>
        <w:tc>
          <w:tcPr>
            <w:tcW w:w="540" w:type="dxa"/>
            <w:noWrap/>
            <w:vAlign w:val="bottom"/>
            <w:hideMark/>
          </w:tcPr>
          <w:p w14:paraId="2348E1CF" w14:textId="77777777" w:rsidR="001E5D09" w:rsidRPr="00201000" w:rsidRDefault="001E5D09">
            <w:pPr>
              <w:rPr>
                <w:rFonts w:ascii="Gill Sans MT" w:hAnsi="Gill Sans MT" w:cs="Calibri"/>
                <w:sz w:val="18"/>
                <w:szCs w:val="18"/>
              </w:rPr>
            </w:pPr>
          </w:p>
        </w:tc>
        <w:tc>
          <w:tcPr>
            <w:tcW w:w="1710" w:type="dxa"/>
            <w:noWrap/>
            <w:vAlign w:val="bottom"/>
            <w:hideMark/>
          </w:tcPr>
          <w:p w14:paraId="3E0B861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0.032</w:t>
            </w:r>
          </w:p>
        </w:tc>
        <w:tc>
          <w:tcPr>
            <w:tcW w:w="1655" w:type="dxa"/>
            <w:noWrap/>
            <w:vAlign w:val="bottom"/>
            <w:hideMark/>
          </w:tcPr>
          <w:p w14:paraId="5B23C33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0.021</w:t>
            </w:r>
          </w:p>
        </w:tc>
      </w:tr>
      <w:tr w:rsidR="00093F2A" w:rsidRPr="00201000" w14:paraId="570E1D00" w14:textId="77777777" w:rsidTr="00201000">
        <w:trPr>
          <w:trHeight w:val="20"/>
        </w:trPr>
        <w:tc>
          <w:tcPr>
            <w:tcW w:w="2448" w:type="dxa"/>
            <w:vMerge/>
            <w:vAlign w:val="center"/>
            <w:hideMark/>
          </w:tcPr>
          <w:p w14:paraId="6C354C62" w14:textId="77777777" w:rsidR="001E5D09" w:rsidRPr="00201000" w:rsidRDefault="001E5D09">
            <w:pPr>
              <w:spacing w:after="0"/>
              <w:rPr>
                <w:rFonts w:ascii="Gill Sans MT" w:eastAsia="Times New Roman" w:hAnsi="Gill Sans MT" w:cs="Calibri"/>
                <w:i/>
                <w:iCs/>
                <w:sz w:val="18"/>
                <w:szCs w:val="18"/>
              </w:rPr>
            </w:pPr>
          </w:p>
        </w:tc>
        <w:tc>
          <w:tcPr>
            <w:tcW w:w="1800" w:type="dxa"/>
            <w:noWrap/>
            <w:vAlign w:val="bottom"/>
            <w:hideMark/>
          </w:tcPr>
          <w:p w14:paraId="53C039B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(1.286)</w:t>
            </w:r>
          </w:p>
        </w:tc>
        <w:tc>
          <w:tcPr>
            <w:tcW w:w="1440" w:type="dxa"/>
            <w:noWrap/>
            <w:vAlign w:val="bottom"/>
            <w:hideMark/>
          </w:tcPr>
          <w:p w14:paraId="10742ED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(1.016)</w:t>
            </w:r>
          </w:p>
        </w:tc>
        <w:tc>
          <w:tcPr>
            <w:tcW w:w="540" w:type="dxa"/>
            <w:noWrap/>
            <w:vAlign w:val="bottom"/>
            <w:hideMark/>
          </w:tcPr>
          <w:p w14:paraId="543537B5" w14:textId="77777777" w:rsidR="001E5D09" w:rsidRPr="00201000" w:rsidRDefault="001E5D09">
            <w:pPr>
              <w:rPr>
                <w:rFonts w:ascii="Gill Sans MT" w:hAnsi="Gill Sans MT" w:cs="Calibri"/>
                <w:sz w:val="18"/>
                <w:szCs w:val="18"/>
              </w:rPr>
            </w:pPr>
          </w:p>
        </w:tc>
        <w:tc>
          <w:tcPr>
            <w:tcW w:w="1710" w:type="dxa"/>
            <w:noWrap/>
            <w:vAlign w:val="bottom"/>
            <w:hideMark/>
          </w:tcPr>
          <w:p w14:paraId="18A6F98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(0.910)</w:t>
            </w:r>
          </w:p>
        </w:tc>
        <w:tc>
          <w:tcPr>
            <w:tcW w:w="1655" w:type="dxa"/>
            <w:noWrap/>
            <w:vAlign w:val="bottom"/>
            <w:hideMark/>
          </w:tcPr>
          <w:p w14:paraId="58BFF45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(0.600)</w:t>
            </w:r>
          </w:p>
        </w:tc>
      </w:tr>
      <w:tr w:rsidR="00093F2A" w:rsidRPr="00201000" w14:paraId="6410BA45" w14:textId="77777777" w:rsidTr="00201000">
        <w:trPr>
          <w:trHeight w:val="20"/>
        </w:trPr>
        <w:tc>
          <w:tcPr>
            <w:tcW w:w="2448" w:type="dxa"/>
            <w:noWrap/>
            <w:hideMark/>
          </w:tcPr>
          <w:p w14:paraId="537B6FF3"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RELSIZE</w:t>
            </w:r>
          </w:p>
        </w:tc>
        <w:tc>
          <w:tcPr>
            <w:tcW w:w="1800" w:type="dxa"/>
            <w:noWrap/>
            <w:vAlign w:val="bottom"/>
            <w:hideMark/>
          </w:tcPr>
          <w:p w14:paraId="4182AD2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0.042</w:t>
            </w:r>
          </w:p>
        </w:tc>
        <w:tc>
          <w:tcPr>
            <w:tcW w:w="1440" w:type="dxa"/>
            <w:noWrap/>
            <w:vAlign w:val="bottom"/>
            <w:hideMark/>
          </w:tcPr>
          <w:p w14:paraId="4D39458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0.057</w:t>
            </w:r>
          </w:p>
        </w:tc>
        <w:tc>
          <w:tcPr>
            <w:tcW w:w="540" w:type="dxa"/>
            <w:noWrap/>
            <w:vAlign w:val="bottom"/>
            <w:hideMark/>
          </w:tcPr>
          <w:p w14:paraId="292DF549" w14:textId="77777777" w:rsidR="001E5D09" w:rsidRPr="00201000" w:rsidRDefault="001E5D09">
            <w:pPr>
              <w:rPr>
                <w:rFonts w:ascii="Gill Sans MT" w:hAnsi="Gill Sans MT" w:cs="Calibri"/>
                <w:sz w:val="18"/>
                <w:szCs w:val="18"/>
              </w:rPr>
            </w:pPr>
          </w:p>
        </w:tc>
        <w:tc>
          <w:tcPr>
            <w:tcW w:w="1710" w:type="dxa"/>
            <w:noWrap/>
            <w:vAlign w:val="bottom"/>
            <w:hideMark/>
          </w:tcPr>
          <w:p w14:paraId="6327BAC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0.045</w:t>
            </w:r>
          </w:p>
        </w:tc>
        <w:tc>
          <w:tcPr>
            <w:tcW w:w="1655" w:type="dxa"/>
            <w:noWrap/>
            <w:vAlign w:val="bottom"/>
            <w:hideMark/>
          </w:tcPr>
          <w:p w14:paraId="063616A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0.052</w:t>
            </w:r>
          </w:p>
        </w:tc>
      </w:tr>
      <w:tr w:rsidR="00093F2A" w:rsidRPr="00201000" w14:paraId="6C4E3E0D" w14:textId="77777777" w:rsidTr="00201000">
        <w:trPr>
          <w:trHeight w:val="20"/>
        </w:trPr>
        <w:tc>
          <w:tcPr>
            <w:tcW w:w="2448" w:type="dxa"/>
            <w:noWrap/>
          </w:tcPr>
          <w:p w14:paraId="70C6D795" w14:textId="77777777" w:rsidR="001E5D09" w:rsidRPr="00201000" w:rsidRDefault="001E5D09">
            <w:pPr>
              <w:spacing w:line="240" w:lineRule="auto"/>
              <w:contextualSpacing/>
              <w:rPr>
                <w:rFonts w:ascii="Gill Sans MT" w:eastAsia="Times New Roman" w:hAnsi="Gill Sans MT" w:cs="Calibri"/>
                <w:sz w:val="18"/>
                <w:szCs w:val="18"/>
              </w:rPr>
            </w:pPr>
          </w:p>
        </w:tc>
        <w:tc>
          <w:tcPr>
            <w:tcW w:w="1800" w:type="dxa"/>
            <w:noWrap/>
            <w:vAlign w:val="bottom"/>
            <w:hideMark/>
          </w:tcPr>
          <w:p w14:paraId="17496C4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(0.912)</w:t>
            </w:r>
          </w:p>
        </w:tc>
        <w:tc>
          <w:tcPr>
            <w:tcW w:w="1440" w:type="dxa"/>
            <w:noWrap/>
            <w:vAlign w:val="bottom"/>
            <w:hideMark/>
          </w:tcPr>
          <w:p w14:paraId="76CB070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(1.031)</w:t>
            </w:r>
          </w:p>
        </w:tc>
        <w:tc>
          <w:tcPr>
            <w:tcW w:w="540" w:type="dxa"/>
            <w:noWrap/>
            <w:vAlign w:val="bottom"/>
            <w:hideMark/>
          </w:tcPr>
          <w:p w14:paraId="65D881D6" w14:textId="77777777" w:rsidR="001E5D09" w:rsidRPr="00201000" w:rsidRDefault="001E5D09">
            <w:pPr>
              <w:rPr>
                <w:rFonts w:ascii="Gill Sans MT" w:hAnsi="Gill Sans MT" w:cs="Calibri"/>
                <w:sz w:val="18"/>
                <w:szCs w:val="18"/>
              </w:rPr>
            </w:pPr>
          </w:p>
        </w:tc>
        <w:tc>
          <w:tcPr>
            <w:tcW w:w="1710" w:type="dxa"/>
            <w:noWrap/>
            <w:vAlign w:val="bottom"/>
            <w:hideMark/>
          </w:tcPr>
          <w:p w14:paraId="3DF9CBE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(1.002)</w:t>
            </w:r>
          </w:p>
        </w:tc>
        <w:tc>
          <w:tcPr>
            <w:tcW w:w="1655" w:type="dxa"/>
            <w:noWrap/>
            <w:vAlign w:val="bottom"/>
            <w:hideMark/>
          </w:tcPr>
          <w:p w14:paraId="330F481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(0.952)</w:t>
            </w:r>
          </w:p>
        </w:tc>
      </w:tr>
      <w:tr w:rsidR="00093F2A" w:rsidRPr="00201000" w14:paraId="251BE25A" w14:textId="77777777" w:rsidTr="00201000">
        <w:trPr>
          <w:trHeight w:val="20"/>
        </w:trPr>
        <w:tc>
          <w:tcPr>
            <w:tcW w:w="2448" w:type="dxa"/>
            <w:noWrap/>
            <w:hideMark/>
          </w:tcPr>
          <w:p w14:paraId="10AF576F"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LN(L.ACQ.ASSETS)</w:t>
            </w:r>
          </w:p>
        </w:tc>
        <w:tc>
          <w:tcPr>
            <w:tcW w:w="1800" w:type="dxa"/>
            <w:noWrap/>
            <w:vAlign w:val="bottom"/>
            <w:hideMark/>
          </w:tcPr>
          <w:p w14:paraId="31BA079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0.019</w:t>
            </w:r>
          </w:p>
        </w:tc>
        <w:tc>
          <w:tcPr>
            <w:tcW w:w="1440" w:type="dxa"/>
            <w:noWrap/>
            <w:vAlign w:val="bottom"/>
            <w:hideMark/>
          </w:tcPr>
          <w:p w14:paraId="48C192D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0.026</w:t>
            </w:r>
          </w:p>
        </w:tc>
        <w:tc>
          <w:tcPr>
            <w:tcW w:w="540" w:type="dxa"/>
            <w:noWrap/>
            <w:vAlign w:val="bottom"/>
            <w:hideMark/>
          </w:tcPr>
          <w:p w14:paraId="452AB598" w14:textId="77777777" w:rsidR="001E5D09" w:rsidRPr="00201000" w:rsidRDefault="001E5D09">
            <w:pPr>
              <w:rPr>
                <w:rFonts w:ascii="Gill Sans MT" w:hAnsi="Gill Sans MT" w:cs="Calibri"/>
                <w:sz w:val="18"/>
                <w:szCs w:val="18"/>
              </w:rPr>
            </w:pPr>
          </w:p>
        </w:tc>
        <w:tc>
          <w:tcPr>
            <w:tcW w:w="1710" w:type="dxa"/>
            <w:noWrap/>
            <w:vAlign w:val="bottom"/>
            <w:hideMark/>
          </w:tcPr>
          <w:p w14:paraId="1285554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0.018</w:t>
            </w:r>
          </w:p>
        </w:tc>
        <w:tc>
          <w:tcPr>
            <w:tcW w:w="1655" w:type="dxa"/>
            <w:noWrap/>
            <w:vAlign w:val="bottom"/>
            <w:hideMark/>
          </w:tcPr>
          <w:p w14:paraId="2024213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0.010</w:t>
            </w:r>
          </w:p>
        </w:tc>
      </w:tr>
      <w:tr w:rsidR="00093F2A" w:rsidRPr="00201000" w14:paraId="108B88B5" w14:textId="77777777" w:rsidTr="00201000">
        <w:trPr>
          <w:trHeight w:val="20"/>
        </w:trPr>
        <w:tc>
          <w:tcPr>
            <w:tcW w:w="2448" w:type="dxa"/>
            <w:noWrap/>
          </w:tcPr>
          <w:p w14:paraId="39C74B39" w14:textId="77777777" w:rsidR="001E5D09" w:rsidRPr="00201000" w:rsidRDefault="001E5D09">
            <w:pPr>
              <w:spacing w:line="240" w:lineRule="auto"/>
              <w:contextualSpacing/>
              <w:rPr>
                <w:rFonts w:ascii="Gill Sans MT" w:eastAsia="Times New Roman" w:hAnsi="Gill Sans MT" w:cs="Calibri"/>
                <w:sz w:val="18"/>
                <w:szCs w:val="18"/>
              </w:rPr>
            </w:pPr>
          </w:p>
        </w:tc>
        <w:tc>
          <w:tcPr>
            <w:tcW w:w="1800" w:type="dxa"/>
            <w:noWrap/>
            <w:vAlign w:val="bottom"/>
            <w:hideMark/>
          </w:tcPr>
          <w:p w14:paraId="2D9D89D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(0.456)</w:t>
            </w:r>
          </w:p>
        </w:tc>
        <w:tc>
          <w:tcPr>
            <w:tcW w:w="1440" w:type="dxa"/>
            <w:noWrap/>
            <w:vAlign w:val="bottom"/>
            <w:hideMark/>
          </w:tcPr>
          <w:p w14:paraId="0FBE0FE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(0.591)</w:t>
            </w:r>
          </w:p>
        </w:tc>
        <w:tc>
          <w:tcPr>
            <w:tcW w:w="540" w:type="dxa"/>
            <w:noWrap/>
            <w:vAlign w:val="bottom"/>
            <w:hideMark/>
          </w:tcPr>
          <w:p w14:paraId="0974714D" w14:textId="77777777" w:rsidR="001E5D09" w:rsidRPr="00201000" w:rsidRDefault="001E5D09">
            <w:pPr>
              <w:rPr>
                <w:rFonts w:ascii="Gill Sans MT" w:hAnsi="Gill Sans MT" w:cs="Calibri"/>
                <w:sz w:val="18"/>
                <w:szCs w:val="18"/>
              </w:rPr>
            </w:pPr>
          </w:p>
        </w:tc>
        <w:tc>
          <w:tcPr>
            <w:tcW w:w="1710" w:type="dxa"/>
            <w:noWrap/>
            <w:vAlign w:val="bottom"/>
            <w:hideMark/>
          </w:tcPr>
          <w:p w14:paraId="532B57C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(0.435)</w:t>
            </w:r>
          </w:p>
        </w:tc>
        <w:tc>
          <w:tcPr>
            <w:tcW w:w="1655" w:type="dxa"/>
            <w:noWrap/>
            <w:vAlign w:val="bottom"/>
            <w:hideMark/>
          </w:tcPr>
          <w:p w14:paraId="40D3986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(0.245)</w:t>
            </w:r>
          </w:p>
        </w:tc>
      </w:tr>
      <w:tr w:rsidR="00093F2A" w:rsidRPr="00201000" w14:paraId="117B2374" w14:textId="77777777" w:rsidTr="00201000">
        <w:trPr>
          <w:trHeight w:val="20"/>
        </w:trPr>
        <w:tc>
          <w:tcPr>
            <w:tcW w:w="2448" w:type="dxa"/>
            <w:noWrap/>
            <w:hideMark/>
          </w:tcPr>
          <w:p w14:paraId="54084BF0"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RELATED TARGETS</w:t>
            </w:r>
          </w:p>
        </w:tc>
        <w:tc>
          <w:tcPr>
            <w:tcW w:w="1800" w:type="dxa"/>
            <w:noWrap/>
            <w:vAlign w:val="bottom"/>
            <w:hideMark/>
          </w:tcPr>
          <w:p w14:paraId="5D561B4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0.037</w:t>
            </w:r>
          </w:p>
        </w:tc>
        <w:tc>
          <w:tcPr>
            <w:tcW w:w="1440" w:type="dxa"/>
            <w:noWrap/>
            <w:vAlign w:val="bottom"/>
            <w:hideMark/>
          </w:tcPr>
          <w:p w14:paraId="4B60DAD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0.039</w:t>
            </w:r>
          </w:p>
        </w:tc>
        <w:tc>
          <w:tcPr>
            <w:tcW w:w="540" w:type="dxa"/>
            <w:noWrap/>
            <w:vAlign w:val="bottom"/>
            <w:hideMark/>
          </w:tcPr>
          <w:p w14:paraId="5DB758F8" w14:textId="77777777" w:rsidR="001E5D09" w:rsidRPr="00201000" w:rsidRDefault="001E5D09">
            <w:pPr>
              <w:rPr>
                <w:rFonts w:ascii="Gill Sans MT" w:hAnsi="Gill Sans MT" w:cs="Calibri"/>
                <w:sz w:val="18"/>
                <w:szCs w:val="18"/>
              </w:rPr>
            </w:pPr>
          </w:p>
        </w:tc>
        <w:tc>
          <w:tcPr>
            <w:tcW w:w="1710" w:type="dxa"/>
            <w:noWrap/>
            <w:vAlign w:val="bottom"/>
            <w:hideMark/>
          </w:tcPr>
          <w:p w14:paraId="5DDD022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0.032</w:t>
            </w:r>
          </w:p>
        </w:tc>
        <w:tc>
          <w:tcPr>
            <w:tcW w:w="1655" w:type="dxa"/>
            <w:noWrap/>
            <w:vAlign w:val="bottom"/>
            <w:hideMark/>
          </w:tcPr>
          <w:p w14:paraId="02A866C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0.030</w:t>
            </w:r>
          </w:p>
        </w:tc>
      </w:tr>
      <w:tr w:rsidR="00093F2A" w:rsidRPr="00201000" w14:paraId="174C3201" w14:textId="77777777" w:rsidTr="00201000">
        <w:trPr>
          <w:trHeight w:val="20"/>
        </w:trPr>
        <w:tc>
          <w:tcPr>
            <w:tcW w:w="2448" w:type="dxa"/>
            <w:noWrap/>
          </w:tcPr>
          <w:p w14:paraId="3C0BE01A" w14:textId="77777777" w:rsidR="001E5D09" w:rsidRPr="00201000" w:rsidRDefault="001E5D09">
            <w:pPr>
              <w:spacing w:line="240" w:lineRule="auto"/>
              <w:contextualSpacing/>
              <w:rPr>
                <w:rFonts w:ascii="Gill Sans MT" w:eastAsia="Times New Roman" w:hAnsi="Gill Sans MT" w:cs="Calibri"/>
                <w:sz w:val="18"/>
                <w:szCs w:val="18"/>
              </w:rPr>
            </w:pPr>
          </w:p>
        </w:tc>
        <w:tc>
          <w:tcPr>
            <w:tcW w:w="1800" w:type="dxa"/>
            <w:noWrap/>
            <w:vAlign w:val="bottom"/>
            <w:hideMark/>
          </w:tcPr>
          <w:p w14:paraId="2EA1107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(1.143)</w:t>
            </w:r>
          </w:p>
        </w:tc>
        <w:tc>
          <w:tcPr>
            <w:tcW w:w="1440" w:type="dxa"/>
            <w:noWrap/>
            <w:vAlign w:val="bottom"/>
            <w:hideMark/>
          </w:tcPr>
          <w:p w14:paraId="7400DEC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(1.256)</w:t>
            </w:r>
          </w:p>
        </w:tc>
        <w:tc>
          <w:tcPr>
            <w:tcW w:w="540" w:type="dxa"/>
            <w:noWrap/>
            <w:vAlign w:val="bottom"/>
            <w:hideMark/>
          </w:tcPr>
          <w:p w14:paraId="60701BD6" w14:textId="77777777" w:rsidR="001E5D09" w:rsidRPr="00201000" w:rsidRDefault="001E5D09">
            <w:pPr>
              <w:rPr>
                <w:rFonts w:ascii="Gill Sans MT" w:hAnsi="Gill Sans MT" w:cs="Calibri"/>
                <w:sz w:val="18"/>
                <w:szCs w:val="18"/>
              </w:rPr>
            </w:pPr>
          </w:p>
        </w:tc>
        <w:tc>
          <w:tcPr>
            <w:tcW w:w="1710" w:type="dxa"/>
            <w:noWrap/>
            <w:vAlign w:val="bottom"/>
            <w:hideMark/>
          </w:tcPr>
          <w:p w14:paraId="47E8D7F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(1.066)</w:t>
            </w:r>
          </w:p>
        </w:tc>
        <w:tc>
          <w:tcPr>
            <w:tcW w:w="1655" w:type="dxa"/>
            <w:noWrap/>
            <w:vAlign w:val="bottom"/>
            <w:hideMark/>
          </w:tcPr>
          <w:p w14:paraId="4AB1851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(0.992)</w:t>
            </w:r>
          </w:p>
        </w:tc>
      </w:tr>
      <w:tr w:rsidR="00093F2A" w:rsidRPr="00201000" w14:paraId="034201CB" w14:textId="77777777" w:rsidTr="00201000">
        <w:trPr>
          <w:trHeight w:val="20"/>
        </w:trPr>
        <w:tc>
          <w:tcPr>
            <w:tcW w:w="2448" w:type="dxa"/>
            <w:noWrap/>
            <w:hideMark/>
          </w:tcPr>
          <w:p w14:paraId="612717FE"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PUBLIC TARGETS</w:t>
            </w:r>
          </w:p>
        </w:tc>
        <w:tc>
          <w:tcPr>
            <w:tcW w:w="1800" w:type="dxa"/>
            <w:noWrap/>
            <w:vAlign w:val="bottom"/>
            <w:hideMark/>
          </w:tcPr>
          <w:p w14:paraId="33D05DF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-0.252</w:t>
            </w:r>
          </w:p>
        </w:tc>
        <w:tc>
          <w:tcPr>
            <w:tcW w:w="1440" w:type="dxa"/>
            <w:noWrap/>
            <w:vAlign w:val="bottom"/>
            <w:hideMark/>
          </w:tcPr>
          <w:p w14:paraId="5BB2904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-0.274</w:t>
            </w:r>
          </w:p>
        </w:tc>
        <w:tc>
          <w:tcPr>
            <w:tcW w:w="540" w:type="dxa"/>
            <w:noWrap/>
            <w:vAlign w:val="bottom"/>
            <w:hideMark/>
          </w:tcPr>
          <w:p w14:paraId="6C558D57" w14:textId="77777777" w:rsidR="001E5D09" w:rsidRPr="00201000" w:rsidRDefault="001E5D09">
            <w:pPr>
              <w:rPr>
                <w:rFonts w:ascii="Gill Sans MT" w:hAnsi="Gill Sans MT" w:cs="Calibri"/>
                <w:sz w:val="18"/>
                <w:szCs w:val="18"/>
              </w:rPr>
            </w:pPr>
          </w:p>
        </w:tc>
        <w:tc>
          <w:tcPr>
            <w:tcW w:w="1710" w:type="dxa"/>
            <w:noWrap/>
            <w:vAlign w:val="bottom"/>
            <w:hideMark/>
          </w:tcPr>
          <w:p w14:paraId="291C407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-0.270</w:t>
            </w:r>
          </w:p>
        </w:tc>
        <w:tc>
          <w:tcPr>
            <w:tcW w:w="1655" w:type="dxa"/>
            <w:noWrap/>
            <w:vAlign w:val="bottom"/>
            <w:hideMark/>
          </w:tcPr>
          <w:p w14:paraId="3BE2B4E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-0.285</w:t>
            </w:r>
          </w:p>
        </w:tc>
      </w:tr>
      <w:tr w:rsidR="00093F2A" w:rsidRPr="00201000" w14:paraId="3B9DBF71" w14:textId="77777777" w:rsidTr="00201000">
        <w:trPr>
          <w:trHeight w:val="20"/>
        </w:trPr>
        <w:tc>
          <w:tcPr>
            <w:tcW w:w="2448" w:type="dxa"/>
            <w:noWrap/>
          </w:tcPr>
          <w:p w14:paraId="164B8B5C" w14:textId="77777777" w:rsidR="001E5D09" w:rsidRPr="00201000" w:rsidRDefault="001E5D09">
            <w:pPr>
              <w:spacing w:line="240" w:lineRule="auto"/>
              <w:contextualSpacing/>
              <w:rPr>
                <w:rFonts w:ascii="Gill Sans MT" w:eastAsia="Times New Roman" w:hAnsi="Gill Sans MT" w:cs="Calibri"/>
                <w:sz w:val="18"/>
                <w:szCs w:val="18"/>
              </w:rPr>
            </w:pPr>
          </w:p>
        </w:tc>
        <w:tc>
          <w:tcPr>
            <w:tcW w:w="1800" w:type="dxa"/>
            <w:noWrap/>
            <w:vAlign w:val="bottom"/>
            <w:hideMark/>
          </w:tcPr>
          <w:p w14:paraId="6B2E0E4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(-6.692***)</w:t>
            </w:r>
          </w:p>
        </w:tc>
        <w:tc>
          <w:tcPr>
            <w:tcW w:w="1440" w:type="dxa"/>
            <w:noWrap/>
            <w:vAlign w:val="bottom"/>
            <w:hideMark/>
          </w:tcPr>
          <w:p w14:paraId="60E5CF8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(-6.837***)</w:t>
            </w:r>
          </w:p>
        </w:tc>
        <w:tc>
          <w:tcPr>
            <w:tcW w:w="540" w:type="dxa"/>
            <w:noWrap/>
            <w:vAlign w:val="bottom"/>
          </w:tcPr>
          <w:p w14:paraId="6B57F21E" w14:textId="77777777" w:rsidR="001E5D09" w:rsidRPr="00201000" w:rsidRDefault="001E5D09">
            <w:pPr>
              <w:spacing w:line="240" w:lineRule="auto"/>
              <w:contextualSpacing/>
              <w:rPr>
                <w:rFonts w:ascii="Gill Sans MT" w:hAnsi="Gill Sans MT" w:cs="Calibri"/>
                <w:sz w:val="18"/>
                <w:szCs w:val="18"/>
              </w:rPr>
            </w:pPr>
          </w:p>
        </w:tc>
        <w:tc>
          <w:tcPr>
            <w:tcW w:w="1710" w:type="dxa"/>
            <w:noWrap/>
            <w:vAlign w:val="bottom"/>
            <w:hideMark/>
          </w:tcPr>
          <w:p w14:paraId="27F054F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(-7.262***)</w:t>
            </w:r>
          </w:p>
        </w:tc>
        <w:tc>
          <w:tcPr>
            <w:tcW w:w="1655" w:type="dxa"/>
            <w:noWrap/>
            <w:vAlign w:val="bottom"/>
            <w:hideMark/>
          </w:tcPr>
          <w:p w14:paraId="49F79F0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(-7.200***)</w:t>
            </w:r>
          </w:p>
        </w:tc>
      </w:tr>
      <w:tr w:rsidR="00093F2A" w:rsidRPr="00201000" w14:paraId="114DE5F5" w14:textId="77777777" w:rsidTr="00201000">
        <w:trPr>
          <w:trHeight w:val="20"/>
        </w:trPr>
        <w:tc>
          <w:tcPr>
            <w:tcW w:w="2448" w:type="dxa"/>
            <w:noWrap/>
            <w:hideMark/>
          </w:tcPr>
          <w:p w14:paraId="2DC62659"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DOMESTIC TARGETS</w:t>
            </w:r>
          </w:p>
        </w:tc>
        <w:tc>
          <w:tcPr>
            <w:tcW w:w="1800" w:type="dxa"/>
            <w:noWrap/>
            <w:vAlign w:val="bottom"/>
            <w:hideMark/>
          </w:tcPr>
          <w:p w14:paraId="25B9E51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0.041</w:t>
            </w:r>
          </w:p>
        </w:tc>
        <w:tc>
          <w:tcPr>
            <w:tcW w:w="1440" w:type="dxa"/>
            <w:noWrap/>
            <w:vAlign w:val="bottom"/>
            <w:hideMark/>
          </w:tcPr>
          <w:p w14:paraId="6795BAF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0.045</w:t>
            </w:r>
          </w:p>
        </w:tc>
        <w:tc>
          <w:tcPr>
            <w:tcW w:w="540" w:type="dxa"/>
            <w:noWrap/>
            <w:vAlign w:val="bottom"/>
            <w:hideMark/>
          </w:tcPr>
          <w:p w14:paraId="7633080C" w14:textId="77777777" w:rsidR="001E5D09" w:rsidRPr="00201000" w:rsidRDefault="001E5D09">
            <w:pPr>
              <w:rPr>
                <w:rFonts w:ascii="Gill Sans MT" w:hAnsi="Gill Sans MT" w:cs="Calibri"/>
                <w:sz w:val="18"/>
                <w:szCs w:val="18"/>
              </w:rPr>
            </w:pPr>
          </w:p>
        </w:tc>
        <w:tc>
          <w:tcPr>
            <w:tcW w:w="1710" w:type="dxa"/>
            <w:noWrap/>
            <w:vAlign w:val="bottom"/>
            <w:hideMark/>
          </w:tcPr>
          <w:p w14:paraId="1EC89E8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0.006</w:t>
            </w:r>
          </w:p>
        </w:tc>
        <w:tc>
          <w:tcPr>
            <w:tcW w:w="1655" w:type="dxa"/>
            <w:noWrap/>
            <w:vAlign w:val="bottom"/>
            <w:hideMark/>
          </w:tcPr>
          <w:p w14:paraId="1176B01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0.017</w:t>
            </w:r>
          </w:p>
        </w:tc>
      </w:tr>
      <w:tr w:rsidR="00093F2A" w:rsidRPr="00201000" w14:paraId="73429388" w14:textId="77777777" w:rsidTr="00201000">
        <w:trPr>
          <w:trHeight w:val="20"/>
        </w:trPr>
        <w:tc>
          <w:tcPr>
            <w:tcW w:w="2448" w:type="dxa"/>
            <w:noWrap/>
          </w:tcPr>
          <w:p w14:paraId="747B90B0" w14:textId="77777777" w:rsidR="001E5D09" w:rsidRPr="00201000" w:rsidRDefault="001E5D09">
            <w:pPr>
              <w:spacing w:line="240" w:lineRule="auto"/>
              <w:contextualSpacing/>
              <w:rPr>
                <w:rFonts w:ascii="Gill Sans MT" w:eastAsia="Times New Roman" w:hAnsi="Gill Sans MT" w:cs="Calibri"/>
                <w:sz w:val="18"/>
                <w:szCs w:val="18"/>
              </w:rPr>
            </w:pPr>
          </w:p>
        </w:tc>
        <w:tc>
          <w:tcPr>
            <w:tcW w:w="1800" w:type="dxa"/>
            <w:noWrap/>
            <w:vAlign w:val="bottom"/>
            <w:hideMark/>
          </w:tcPr>
          <w:p w14:paraId="436AA1F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(1.179)</w:t>
            </w:r>
          </w:p>
        </w:tc>
        <w:tc>
          <w:tcPr>
            <w:tcW w:w="1440" w:type="dxa"/>
            <w:noWrap/>
            <w:vAlign w:val="bottom"/>
            <w:hideMark/>
          </w:tcPr>
          <w:p w14:paraId="6CD4DF5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(1.533)</w:t>
            </w:r>
          </w:p>
        </w:tc>
        <w:tc>
          <w:tcPr>
            <w:tcW w:w="540" w:type="dxa"/>
            <w:noWrap/>
            <w:vAlign w:val="bottom"/>
            <w:hideMark/>
          </w:tcPr>
          <w:p w14:paraId="3D88FF8C" w14:textId="77777777" w:rsidR="001E5D09" w:rsidRPr="00201000" w:rsidRDefault="001E5D09">
            <w:pPr>
              <w:rPr>
                <w:rFonts w:ascii="Gill Sans MT" w:hAnsi="Gill Sans MT" w:cs="Calibri"/>
                <w:sz w:val="18"/>
                <w:szCs w:val="18"/>
              </w:rPr>
            </w:pPr>
          </w:p>
        </w:tc>
        <w:tc>
          <w:tcPr>
            <w:tcW w:w="1710" w:type="dxa"/>
            <w:noWrap/>
            <w:vAlign w:val="bottom"/>
            <w:hideMark/>
          </w:tcPr>
          <w:p w14:paraId="4BC069E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(0.199)</w:t>
            </w:r>
          </w:p>
        </w:tc>
        <w:tc>
          <w:tcPr>
            <w:tcW w:w="1655" w:type="dxa"/>
            <w:noWrap/>
            <w:vAlign w:val="bottom"/>
            <w:hideMark/>
          </w:tcPr>
          <w:p w14:paraId="2FABF77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(0.600)</w:t>
            </w:r>
          </w:p>
        </w:tc>
      </w:tr>
      <w:tr w:rsidR="00093F2A" w:rsidRPr="00201000" w14:paraId="7221179A" w14:textId="77777777" w:rsidTr="00201000">
        <w:trPr>
          <w:trHeight w:val="20"/>
        </w:trPr>
        <w:tc>
          <w:tcPr>
            <w:tcW w:w="2448" w:type="dxa"/>
            <w:noWrap/>
            <w:hideMark/>
          </w:tcPr>
          <w:p w14:paraId="5C22C4C9"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CASH ONLY</w:t>
            </w:r>
          </w:p>
        </w:tc>
        <w:tc>
          <w:tcPr>
            <w:tcW w:w="1800" w:type="dxa"/>
            <w:noWrap/>
            <w:vAlign w:val="bottom"/>
            <w:hideMark/>
          </w:tcPr>
          <w:p w14:paraId="3CE440F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0.008</w:t>
            </w:r>
          </w:p>
        </w:tc>
        <w:tc>
          <w:tcPr>
            <w:tcW w:w="1440" w:type="dxa"/>
            <w:noWrap/>
            <w:vAlign w:val="bottom"/>
            <w:hideMark/>
          </w:tcPr>
          <w:p w14:paraId="1B9C22F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0.015</w:t>
            </w:r>
          </w:p>
        </w:tc>
        <w:tc>
          <w:tcPr>
            <w:tcW w:w="540" w:type="dxa"/>
            <w:noWrap/>
            <w:vAlign w:val="bottom"/>
            <w:hideMark/>
          </w:tcPr>
          <w:p w14:paraId="4FF50C4E" w14:textId="77777777" w:rsidR="001E5D09" w:rsidRPr="00201000" w:rsidRDefault="001E5D09">
            <w:pPr>
              <w:rPr>
                <w:rFonts w:ascii="Gill Sans MT" w:hAnsi="Gill Sans MT" w:cs="Calibri"/>
                <w:sz w:val="18"/>
                <w:szCs w:val="18"/>
              </w:rPr>
            </w:pPr>
          </w:p>
        </w:tc>
        <w:tc>
          <w:tcPr>
            <w:tcW w:w="1710" w:type="dxa"/>
            <w:noWrap/>
            <w:vAlign w:val="bottom"/>
            <w:hideMark/>
          </w:tcPr>
          <w:p w14:paraId="06E5F23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0.012</w:t>
            </w:r>
          </w:p>
        </w:tc>
        <w:tc>
          <w:tcPr>
            <w:tcW w:w="1655" w:type="dxa"/>
            <w:noWrap/>
            <w:vAlign w:val="bottom"/>
            <w:hideMark/>
          </w:tcPr>
          <w:p w14:paraId="3E8AE93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0.022</w:t>
            </w:r>
          </w:p>
        </w:tc>
      </w:tr>
      <w:tr w:rsidR="00093F2A" w:rsidRPr="00201000" w14:paraId="4A5AB67F" w14:textId="77777777" w:rsidTr="00201000">
        <w:trPr>
          <w:trHeight w:val="20"/>
        </w:trPr>
        <w:tc>
          <w:tcPr>
            <w:tcW w:w="2448" w:type="dxa"/>
            <w:noWrap/>
            <w:hideMark/>
          </w:tcPr>
          <w:p w14:paraId="7A93531F" w14:textId="77777777" w:rsidR="001E5D09" w:rsidRPr="00201000" w:rsidRDefault="001E5D09">
            <w:pPr>
              <w:rPr>
                <w:rFonts w:ascii="Gill Sans MT" w:hAnsi="Gill Sans MT" w:cs="Calibri"/>
                <w:sz w:val="18"/>
                <w:szCs w:val="18"/>
              </w:rPr>
            </w:pPr>
          </w:p>
        </w:tc>
        <w:tc>
          <w:tcPr>
            <w:tcW w:w="1800" w:type="dxa"/>
            <w:noWrap/>
            <w:vAlign w:val="bottom"/>
            <w:hideMark/>
          </w:tcPr>
          <w:p w14:paraId="00E8C6E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(0.254)</w:t>
            </w:r>
          </w:p>
        </w:tc>
        <w:tc>
          <w:tcPr>
            <w:tcW w:w="1440" w:type="dxa"/>
            <w:noWrap/>
            <w:vAlign w:val="bottom"/>
            <w:hideMark/>
          </w:tcPr>
          <w:p w14:paraId="7D240C8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(0.515)</w:t>
            </w:r>
          </w:p>
        </w:tc>
        <w:tc>
          <w:tcPr>
            <w:tcW w:w="540" w:type="dxa"/>
            <w:noWrap/>
            <w:vAlign w:val="bottom"/>
            <w:hideMark/>
          </w:tcPr>
          <w:p w14:paraId="6B023545" w14:textId="77777777" w:rsidR="001E5D09" w:rsidRPr="00201000" w:rsidRDefault="001E5D09">
            <w:pPr>
              <w:rPr>
                <w:rFonts w:ascii="Gill Sans MT" w:hAnsi="Gill Sans MT" w:cs="Calibri"/>
                <w:sz w:val="18"/>
                <w:szCs w:val="18"/>
              </w:rPr>
            </w:pPr>
          </w:p>
        </w:tc>
        <w:tc>
          <w:tcPr>
            <w:tcW w:w="1710" w:type="dxa"/>
            <w:noWrap/>
            <w:vAlign w:val="bottom"/>
            <w:hideMark/>
          </w:tcPr>
          <w:p w14:paraId="4EC2785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(0.424)</w:t>
            </w:r>
          </w:p>
        </w:tc>
        <w:tc>
          <w:tcPr>
            <w:tcW w:w="1655" w:type="dxa"/>
            <w:noWrap/>
            <w:vAlign w:val="bottom"/>
            <w:hideMark/>
          </w:tcPr>
          <w:p w14:paraId="158FD7E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(0.782)</w:t>
            </w:r>
          </w:p>
        </w:tc>
      </w:tr>
      <w:tr w:rsidR="00093F2A" w:rsidRPr="00201000" w14:paraId="35DD49A4" w14:textId="77777777" w:rsidTr="00201000">
        <w:trPr>
          <w:trHeight w:val="20"/>
        </w:trPr>
        <w:tc>
          <w:tcPr>
            <w:tcW w:w="2448" w:type="dxa"/>
            <w:noWrap/>
            <w:hideMark/>
          </w:tcPr>
          <w:p w14:paraId="15181077"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STOCK ONLY</w:t>
            </w:r>
          </w:p>
        </w:tc>
        <w:tc>
          <w:tcPr>
            <w:tcW w:w="1800" w:type="dxa"/>
            <w:noWrap/>
            <w:vAlign w:val="bottom"/>
            <w:hideMark/>
          </w:tcPr>
          <w:p w14:paraId="573C4F0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-0.042</w:t>
            </w:r>
          </w:p>
        </w:tc>
        <w:tc>
          <w:tcPr>
            <w:tcW w:w="1440" w:type="dxa"/>
            <w:noWrap/>
            <w:vAlign w:val="bottom"/>
            <w:hideMark/>
          </w:tcPr>
          <w:p w14:paraId="3FB11A1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-0.014</w:t>
            </w:r>
          </w:p>
        </w:tc>
        <w:tc>
          <w:tcPr>
            <w:tcW w:w="540" w:type="dxa"/>
            <w:noWrap/>
            <w:vAlign w:val="bottom"/>
          </w:tcPr>
          <w:p w14:paraId="08437818" w14:textId="77777777" w:rsidR="001E5D09" w:rsidRPr="00201000" w:rsidRDefault="001E5D09">
            <w:pPr>
              <w:spacing w:line="240" w:lineRule="auto"/>
              <w:contextualSpacing/>
              <w:rPr>
                <w:rFonts w:ascii="Gill Sans MT" w:hAnsi="Gill Sans MT" w:cs="Calibri"/>
                <w:sz w:val="18"/>
                <w:szCs w:val="18"/>
              </w:rPr>
            </w:pPr>
          </w:p>
        </w:tc>
        <w:tc>
          <w:tcPr>
            <w:tcW w:w="1710" w:type="dxa"/>
            <w:noWrap/>
            <w:vAlign w:val="bottom"/>
            <w:hideMark/>
          </w:tcPr>
          <w:p w14:paraId="1F62F4F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-0.050</w:t>
            </w:r>
          </w:p>
        </w:tc>
        <w:tc>
          <w:tcPr>
            <w:tcW w:w="1655" w:type="dxa"/>
            <w:noWrap/>
            <w:vAlign w:val="bottom"/>
            <w:hideMark/>
          </w:tcPr>
          <w:p w14:paraId="325D06D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-0.016</w:t>
            </w:r>
          </w:p>
        </w:tc>
      </w:tr>
      <w:tr w:rsidR="00093F2A" w:rsidRPr="00201000" w14:paraId="2EDE5B95" w14:textId="77777777" w:rsidTr="00201000">
        <w:trPr>
          <w:trHeight w:val="20"/>
        </w:trPr>
        <w:tc>
          <w:tcPr>
            <w:tcW w:w="2448" w:type="dxa"/>
            <w:noWrap/>
          </w:tcPr>
          <w:p w14:paraId="055EEE00" w14:textId="77777777" w:rsidR="001E5D09" w:rsidRPr="00201000" w:rsidRDefault="001E5D09">
            <w:pPr>
              <w:spacing w:line="240" w:lineRule="auto"/>
              <w:contextualSpacing/>
              <w:rPr>
                <w:rFonts w:ascii="Gill Sans MT" w:eastAsia="Times New Roman" w:hAnsi="Gill Sans MT" w:cs="Calibri"/>
                <w:i/>
                <w:iCs/>
                <w:sz w:val="18"/>
                <w:szCs w:val="18"/>
              </w:rPr>
            </w:pPr>
          </w:p>
        </w:tc>
        <w:tc>
          <w:tcPr>
            <w:tcW w:w="1800" w:type="dxa"/>
            <w:noWrap/>
            <w:vAlign w:val="bottom"/>
            <w:hideMark/>
          </w:tcPr>
          <w:p w14:paraId="25DD2C2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(-1.237)</w:t>
            </w:r>
          </w:p>
        </w:tc>
        <w:tc>
          <w:tcPr>
            <w:tcW w:w="1440" w:type="dxa"/>
            <w:noWrap/>
            <w:vAlign w:val="bottom"/>
            <w:hideMark/>
          </w:tcPr>
          <w:p w14:paraId="30F47A5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(-0.393)</w:t>
            </w:r>
          </w:p>
        </w:tc>
        <w:tc>
          <w:tcPr>
            <w:tcW w:w="540" w:type="dxa"/>
            <w:noWrap/>
            <w:vAlign w:val="bottom"/>
          </w:tcPr>
          <w:p w14:paraId="2E0613BA" w14:textId="77777777" w:rsidR="001E5D09" w:rsidRPr="00201000" w:rsidRDefault="001E5D09">
            <w:pPr>
              <w:spacing w:line="240" w:lineRule="auto"/>
              <w:contextualSpacing/>
              <w:rPr>
                <w:rFonts w:ascii="Gill Sans MT" w:hAnsi="Gill Sans MT" w:cs="Calibri"/>
                <w:sz w:val="18"/>
                <w:szCs w:val="18"/>
              </w:rPr>
            </w:pPr>
          </w:p>
        </w:tc>
        <w:tc>
          <w:tcPr>
            <w:tcW w:w="1710" w:type="dxa"/>
            <w:noWrap/>
            <w:vAlign w:val="bottom"/>
            <w:hideMark/>
          </w:tcPr>
          <w:p w14:paraId="3A2FA24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(-1.424)</w:t>
            </w:r>
          </w:p>
        </w:tc>
        <w:tc>
          <w:tcPr>
            <w:tcW w:w="1655" w:type="dxa"/>
            <w:noWrap/>
            <w:vAlign w:val="bottom"/>
            <w:hideMark/>
          </w:tcPr>
          <w:p w14:paraId="50718A9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(-0.429)</w:t>
            </w:r>
          </w:p>
        </w:tc>
      </w:tr>
      <w:tr w:rsidR="00093F2A" w:rsidRPr="00201000" w14:paraId="4FE4CB9C" w14:textId="77777777" w:rsidTr="00201000">
        <w:trPr>
          <w:trHeight w:val="20"/>
        </w:trPr>
        <w:tc>
          <w:tcPr>
            <w:tcW w:w="2448" w:type="dxa"/>
            <w:noWrap/>
            <w:hideMark/>
          </w:tcPr>
          <w:p w14:paraId="236C3AB9"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L.ACQ.ROA</w:t>
            </w:r>
          </w:p>
        </w:tc>
        <w:tc>
          <w:tcPr>
            <w:tcW w:w="1800" w:type="dxa"/>
            <w:noWrap/>
            <w:vAlign w:val="bottom"/>
            <w:hideMark/>
          </w:tcPr>
          <w:p w14:paraId="0A158BA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0.015</w:t>
            </w:r>
          </w:p>
        </w:tc>
        <w:tc>
          <w:tcPr>
            <w:tcW w:w="1440" w:type="dxa"/>
            <w:noWrap/>
            <w:vAlign w:val="bottom"/>
            <w:hideMark/>
          </w:tcPr>
          <w:p w14:paraId="779B1AD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0.011</w:t>
            </w:r>
          </w:p>
        </w:tc>
        <w:tc>
          <w:tcPr>
            <w:tcW w:w="540" w:type="dxa"/>
            <w:noWrap/>
            <w:vAlign w:val="bottom"/>
            <w:hideMark/>
          </w:tcPr>
          <w:p w14:paraId="1462C65D" w14:textId="77777777" w:rsidR="001E5D09" w:rsidRPr="00201000" w:rsidRDefault="001E5D09">
            <w:pPr>
              <w:rPr>
                <w:rFonts w:ascii="Gill Sans MT" w:hAnsi="Gill Sans MT" w:cs="Calibri"/>
                <w:sz w:val="18"/>
                <w:szCs w:val="18"/>
              </w:rPr>
            </w:pPr>
          </w:p>
        </w:tc>
        <w:tc>
          <w:tcPr>
            <w:tcW w:w="1710" w:type="dxa"/>
            <w:noWrap/>
            <w:vAlign w:val="bottom"/>
            <w:hideMark/>
          </w:tcPr>
          <w:p w14:paraId="2C60A04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0.001</w:t>
            </w:r>
          </w:p>
        </w:tc>
        <w:tc>
          <w:tcPr>
            <w:tcW w:w="1655" w:type="dxa"/>
            <w:noWrap/>
            <w:vAlign w:val="bottom"/>
            <w:hideMark/>
          </w:tcPr>
          <w:p w14:paraId="11F06F2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-0.009</w:t>
            </w:r>
          </w:p>
        </w:tc>
      </w:tr>
      <w:tr w:rsidR="00093F2A" w:rsidRPr="00201000" w14:paraId="54FC299E" w14:textId="77777777" w:rsidTr="00201000">
        <w:trPr>
          <w:trHeight w:val="20"/>
        </w:trPr>
        <w:tc>
          <w:tcPr>
            <w:tcW w:w="2448" w:type="dxa"/>
            <w:noWrap/>
            <w:hideMark/>
          </w:tcPr>
          <w:p w14:paraId="17641277" w14:textId="77777777" w:rsidR="001E5D09" w:rsidRPr="00201000" w:rsidRDefault="001E5D09">
            <w:pPr>
              <w:rPr>
                <w:rFonts w:ascii="Gill Sans MT" w:hAnsi="Gill Sans MT" w:cs="Calibri"/>
                <w:sz w:val="18"/>
                <w:szCs w:val="18"/>
              </w:rPr>
            </w:pPr>
          </w:p>
        </w:tc>
        <w:tc>
          <w:tcPr>
            <w:tcW w:w="1800" w:type="dxa"/>
            <w:noWrap/>
            <w:vAlign w:val="bottom"/>
            <w:hideMark/>
          </w:tcPr>
          <w:p w14:paraId="75251D3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(0.430)</w:t>
            </w:r>
          </w:p>
        </w:tc>
        <w:tc>
          <w:tcPr>
            <w:tcW w:w="1440" w:type="dxa"/>
            <w:noWrap/>
            <w:vAlign w:val="bottom"/>
            <w:hideMark/>
          </w:tcPr>
          <w:p w14:paraId="2BDDE95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(0.302)</w:t>
            </w:r>
          </w:p>
        </w:tc>
        <w:tc>
          <w:tcPr>
            <w:tcW w:w="540" w:type="dxa"/>
            <w:noWrap/>
            <w:vAlign w:val="bottom"/>
            <w:hideMark/>
          </w:tcPr>
          <w:p w14:paraId="7B4CC6D4" w14:textId="77777777" w:rsidR="001E5D09" w:rsidRPr="00201000" w:rsidRDefault="001E5D09">
            <w:pPr>
              <w:rPr>
                <w:rFonts w:ascii="Gill Sans MT" w:hAnsi="Gill Sans MT" w:cs="Calibri"/>
                <w:sz w:val="18"/>
                <w:szCs w:val="18"/>
              </w:rPr>
            </w:pPr>
          </w:p>
        </w:tc>
        <w:tc>
          <w:tcPr>
            <w:tcW w:w="1710" w:type="dxa"/>
            <w:noWrap/>
            <w:vAlign w:val="bottom"/>
            <w:hideMark/>
          </w:tcPr>
          <w:p w14:paraId="4B749D4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(0.039)</w:t>
            </w:r>
          </w:p>
        </w:tc>
        <w:tc>
          <w:tcPr>
            <w:tcW w:w="1655" w:type="dxa"/>
            <w:noWrap/>
            <w:vAlign w:val="bottom"/>
            <w:hideMark/>
          </w:tcPr>
          <w:p w14:paraId="53C2030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(-0.255)</w:t>
            </w:r>
          </w:p>
        </w:tc>
      </w:tr>
      <w:tr w:rsidR="00093F2A" w:rsidRPr="00201000" w14:paraId="0C13DB53" w14:textId="77777777" w:rsidTr="00201000">
        <w:trPr>
          <w:trHeight w:val="20"/>
        </w:trPr>
        <w:tc>
          <w:tcPr>
            <w:tcW w:w="2448" w:type="dxa"/>
            <w:noWrap/>
            <w:hideMark/>
          </w:tcPr>
          <w:p w14:paraId="68D58410"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L.ACQ.LIQUIDITY</w:t>
            </w:r>
          </w:p>
        </w:tc>
        <w:tc>
          <w:tcPr>
            <w:tcW w:w="1800" w:type="dxa"/>
            <w:noWrap/>
            <w:vAlign w:val="bottom"/>
            <w:hideMark/>
          </w:tcPr>
          <w:p w14:paraId="623848B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-0.013</w:t>
            </w:r>
          </w:p>
        </w:tc>
        <w:tc>
          <w:tcPr>
            <w:tcW w:w="1440" w:type="dxa"/>
            <w:noWrap/>
            <w:vAlign w:val="bottom"/>
            <w:hideMark/>
          </w:tcPr>
          <w:p w14:paraId="244A1B0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-0.044</w:t>
            </w:r>
          </w:p>
        </w:tc>
        <w:tc>
          <w:tcPr>
            <w:tcW w:w="540" w:type="dxa"/>
            <w:noWrap/>
            <w:vAlign w:val="bottom"/>
            <w:hideMark/>
          </w:tcPr>
          <w:p w14:paraId="49FAA145" w14:textId="77777777" w:rsidR="001E5D09" w:rsidRPr="00201000" w:rsidRDefault="001E5D09">
            <w:pPr>
              <w:rPr>
                <w:rFonts w:ascii="Gill Sans MT" w:hAnsi="Gill Sans MT" w:cs="Calibri"/>
                <w:sz w:val="18"/>
                <w:szCs w:val="18"/>
              </w:rPr>
            </w:pPr>
          </w:p>
        </w:tc>
        <w:tc>
          <w:tcPr>
            <w:tcW w:w="1710" w:type="dxa"/>
            <w:noWrap/>
            <w:vAlign w:val="bottom"/>
            <w:hideMark/>
          </w:tcPr>
          <w:p w14:paraId="2F09BED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-0.019</w:t>
            </w:r>
          </w:p>
        </w:tc>
        <w:tc>
          <w:tcPr>
            <w:tcW w:w="1655" w:type="dxa"/>
            <w:noWrap/>
            <w:vAlign w:val="bottom"/>
            <w:hideMark/>
          </w:tcPr>
          <w:p w14:paraId="23EB11B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-0.034</w:t>
            </w:r>
          </w:p>
        </w:tc>
      </w:tr>
      <w:tr w:rsidR="00093F2A" w:rsidRPr="00201000" w14:paraId="22BD70C5" w14:textId="77777777" w:rsidTr="00201000">
        <w:trPr>
          <w:trHeight w:val="20"/>
        </w:trPr>
        <w:tc>
          <w:tcPr>
            <w:tcW w:w="2448" w:type="dxa"/>
            <w:noWrap/>
            <w:hideMark/>
          </w:tcPr>
          <w:p w14:paraId="70D1AEF4" w14:textId="77777777" w:rsidR="001E5D09" w:rsidRPr="00201000" w:rsidRDefault="001E5D09">
            <w:pPr>
              <w:rPr>
                <w:rFonts w:ascii="Gill Sans MT" w:hAnsi="Gill Sans MT" w:cs="Calibri"/>
                <w:sz w:val="18"/>
                <w:szCs w:val="18"/>
              </w:rPr>
            </w:pPr>
          </w:p>
        </w:tc>
        <w:tc>
          <w:tcPr>
            <w:tcW w:w="1800" w:type="dxa"/>
            <w:noWrap/>
            <w:vAlign w:val="bottom"/>
            <w:hideMark/>
          </w:tcPr>
          <w:p w14:paraId="3731C27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(-0.305)</w:t>
            </w:r>
          </w:p>
        </w:tc>
        <w:tc>
          <w:tcPr>
            <w:tcW w:w="1440" w:type="dxa"/>
            <w:noWrap/>
            <w:vAlign w:val="bottom"/>
            <w:hideMark/>
          </w:tcPr>
          <w:p w14:paraId="0AFF65B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(-1.029)</w:t>
            </w:r>
          </w:p>
        </w:tc>
        <w:tc>
          <w:tcPr>
            <w:tcW w:w="540" w:type="dxa"/>
            <w:noWrap/>
            <w:vAlign w:val="bottom"/>
            <w:hideMark/>
          </w:tcPr>
          <w:p w14:paraId="02EE06AF" w14:textId="77777777" w:rsidR="001E5D09" w:rsidRPr="00201000" w:rsidRDefault="001E5D09">
            <w:pPr>
              <w:rPr>
                <w:rFonts w:ascii="Gill Sans MT" w:hAnsi="Gill Sans MT" w:cs="Calibri"/>
                <w:sz w:val="18"/>
                <w:szCs w:val="18"/>
              </w:rPr>
            </w:pPr>
          </w:p>
        </w:tc>
        <w:tc>
          <w:tcPr>
            <w:tcW w:w="1710" w:type="dxa"/>
            <w:noWrap/>
            <w:vAlign w:val="bottom"/>
            <w:hideMark/>
          </w:tcPr>
          <w:p w14:paraId="00831BF4"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(-0.419)</w:t>
            </w:r>
          </w:p>
        </w:tc>
        <w:tc>
          <w:tcPr>
            <w:tcW w:w="1655" w:type="dxa"/>
            <w:noWrap/>
            <w:vAlign w:val="bottom"/>
            <w:hideMark/>
          </w:tcPr>
          <w:p w14:paraId="40D411D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(-0.764)</w:t>
            </w:r>
          </w:p>
        </w:tc>
      </w:tr>
      <w:tr w:rsidR="00093F2A" w:rsidRPr="00201000" w14:paraId="140DE0E1" w14:textId="77777777" w:rsidTr="00201000">
        <w:trPr>
          <w:trHeight w:val="20"/>
        </w:trPr>
        <w:tc>
          <w:tcPr>
            <w:tcW w:w="2448" w:type="dxa"/>
            <w:vMerge w:val="restart"/>
            <w:noWrap/>
            <w:hideMark/>
          </w:tcPr>
          <w:p w14:paraId="589BEC1D" w14:textId="77777777" w:rsidR="001E5D09" w:rsidRPr="00201000" w:rsidRDefault="001E5D09">
            <w:pPr>
              <w:spacing w:line="240" w:lineRule="auto"/>
              <w:contextualSpacing/>
              <w:rPr>
                <w:rFonts w:ascii="Gill Sans MT" w:eastAsia="Times New Roman" w:hAnsi="Gill Sans MT" w:cs="Calibri"/>
                <w:i/>
                <w:iCs/>
                <w:sz w:val="18"/>
                <w:szCs w:val="18"/>
              </w:rPr>
            </w:pPr>
            <w:r w:rsidRPr="00201000">
              <w:rPr>
                <w:rFonts w:ascii="Gill Sans MT" w:eastAsia="Times New Roman" w:hAnsi="Gill Sans MT" w:cs="Calibri"/>
                <w:i/>
                <w:iCs/>
                <w:sz w:val="18"/>
                <w:szCs w:val="18"/>
              </w:rPr>
              <w:t>L.ACQ. EQUITY/ASSET</w:t>
            </w:r>
          </w:p>
        </w:tc>
        <w:tc>
          <w:tcPr>
            <w:tcW w:w="1800" w:type="dxa"/>
            <w:noWrap/>
            <w:vAlign w:val="bottom"/>
            <w:hideMark/>
          </w:tcPr>
          <w:p w14:paraId="70BDF75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0.023</w:t>
            </w:r>
          </w:p>
        </w:tc>
        <w:tc>
          <w:tcPr>
            <w:tcW w:w="1440" w:type="dxa"/>
            <w:noWrap/>
            <w:vAlign w:val="bottom"/>
            <w:hideMark/>
          </w:tcPr>
          <w:p w14:paraId="42C79B07"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0.036</w:t>
            </w:r>
          </w:p>
        </w:tc>
        <w:tc>
          <w:tcPr>
            <w:tcW w:w="540" w:type="dxa"/>
            <w:noWrap/>
            <w:vAlign w:val="bottom"/>
            <w:hideMark/>
          </w:tcPr>
          <w:p w14:paraId="7E933946" w14:textId="77777777" w:rsidR="001E5D09" w:rsidRPr="00201000" w:rsidRDefault="001E5D09">
            <w:pPr>
              <w:rPr>
                <w:rFonts w:ascii="Gill Sans MT" w:hAnsi="Gill Sans MT" w:cs="Calibri"/>
                <w:sz w:val="18"/>
                <w:szCs w:val="18"/>
              </w:rPr>
            </w:pPr>
          </w:p>
        </w:tc>
        <w:tc>
          <w:tcPr>
            <w:tcW w:w="1710" w:type="dxa"/>
            <w:noWrap/>
            <w:vAlign w:val="bottom"/>
            <w:hideMark/>
          </w:tcPr>
          <w:p w14:paraId="71093B8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0.043</w:t>
            </w:r>
          </w:p>
        </w:tc>
        <w:tc>
          <w:tcPr>
            <w:tcW w:w="1655" w:type="dxa"/>
            <w:noWrap/>
            <w:vAlign w:val="bottom"/>
            <w:hideMark/>
          </w:tcPr>
          <w:p w14:paraId="0A3E534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0.056</w:t>
            </w:r>
          </w:p>
        </w:tc>
      </w:tr>
      <w:tr w:rsidR="00093F2A" w:rsidRPr="00201000" w14:paraId="3F04EA71" w14:textId="77777777" w:rsidTr="00201000">
        <w:trPr>
          <w:trHeight w:val="20"/>
        </w:trPr>
        <w:tc>
          <w:tcPr>
            <w:tcW w:w="2448" w:type="dxa"/>
            <w:vMerge/>
            <w:vAlign w:val="center"/>
            <w:hideMark/>
          </w:tcPr>
          <w:p w14:paraId="7378C48B" w14:textId="77777777" w:rsidR="001E5D09" w:rsidRPr="00201000" w:rsidRDefault="001E5D09">
            <w:pPr>
              <w:spacing w:after="0"/>
              <w:rPr>
                <w:rFonts w:ascii="Gill Sans MT" w:eastAsia="Times New Roman" w:hAnsi="Gill Sans MT" w:cs="Calibri"/>
                <w:i/>
                <w:iCs/>
                <w:sz w:val="18"/>
                <w:szCs w:val="18"/>
              </w:rPr>
            </w:pPr>
          </w:p>
        </w:tc>
        <w:tc>
          <w:tcPr>
            <w:tcW w:w="1800" w:type="dxa"/>
            <w:noWrap/>
            <w:vAlign w:val="bottom"/>
            <w:hideMark/>
          </w:tcPr>
          <w:p w14:paraId="7B18FA29"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(0.661)</w:t>
            </w:r>
          </w:p>
        </w:tc>
        <w:tc>
          <w:tcPr>
            <w:tcW w:w="1440" w:type="dxa"/>
            <w:noWrap/>
            <w:vAlign w:val="bottom"/>
            <w:hideMark/>
          </w:tcPr>
          <w:p w14:paraId="0841E5D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(1.013)</w:t>
            </w:r>
          </w:p>
        </w:tc>
        <w:tc>
          <w:tcPr>
            <w:tcW w:w="540" w:type="dxa"/>
            <w:noWrap/>
            <w:vAlign w:val="bottom"/>
            <w:hideMark/>
          </w:tcPr>
          <w:p w14:paraId="631C2992" w14:textId="77777777" w:rsidR="001E5D09" w:rsidRPr="00201000" w:rsidRDefault="001E5D09">
            <w:pPr>
              <w:rPr>
                <w:rFonts w:ascii="Gill Sans MT" w:hAnsi="Gill Sans MT" w:cs="Calibri"/>
                <w:sz w:val="18"/>
                <w:szCs w:val="18"/>
              </w:rPr>
            </w:pPr>
          </w:p>
        </w:tc>
        <w:tc>
          <w:tcPr>
            <w:tcW w:w="1710" w:type="dxa"/>
            <w:noWrap/>
            <w:vAlign w:val="bottom"/>
            <w:hideMark/>
          </w:tcPr>
          <w:p w14:paraId="4A73C18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(1.267)</w:t>
            </w:r>
          </w:p>
        </w:tc>
        <w:tc>
          <w:tcPr>
            <w:tcW w:w="1655" w:type="dxa"/>
            <w:noWrap/>
            <w:vAlign w:val="bottom"/>
            <w:hideMark/>
          </w:tcPr>
          <w:p w14:paraId="55D3F258"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(1.610)</w:t>
            </w:r>
          </w:p>
        </w:tc>
      </w:tr>
      <w:tr w:rsidR="00093F2A" w:rsidRPr="00201000" w14:paraId="50FA72C7" w14:textId="77777777" w:rsidTr="00201000">
        <w:trPr>
          <w:trHeight w:val="20"/>
        </w:trPr>
        <w:tc>
          <w:tcPr>
            <w:tcW w:w="2448" w:type="dxa"/>
            <w:noWrap/>
            <w:vAlign w:val="bottom"/>
            <w:hideMark/>
          </w:tcPr>
          <w:p w14:paraId="3AA2CE0A"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Constant</w:t>
            </w:r>
          </w:p>
        </w:tc>
        <w:tc>
          <w:tcPr>
            <w:tcW w:w="1800" w:type="dxa"/>
            <w:noWrap/>
            <w:vAlign w:val="bottom"/>
            <w:hideMark/>
          </w:tcPr>
          <w:p w14:paraId="12C7191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-0.036**</w:t>
            </w:r>
          </w:p>
        </w:tc>
        <w:tc>
          <w:tcPr>
            <w:tcW w:w="1440" w:type="dxa"/>
            <w:noWrap/>
            <w:vAlign w:val="bottom"/>
            <w:hideMark/>
          </w:tcPr>
          <w:p w14:paraId="7B198D4B"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-0.030*</w:t>
            </w:r>
          </w:p>
        </w:tc>
        <w:tc>
          <w:tcPr>
            <w:tcW w:w="540" w:type="dxa"/>
            <w:noWrap/>
            <w:vAlign w:val="bottom"/>
            <w:hideMark/>
          </w:tcPr>
          <w:p w14:paraId="1E4E7A92" w14:textId="77777777" w:rsidR="001E5D09" w:rsidRPr="00201000" w:rsidRDefault="001E5D09">
            <w:pPr>
              <w:rPr>
                <w:rFonts w:ascii="Gill Sans MT" w:hAnsi="Gill Sans MT" w:cs="Calibri"/>
                <w:sz w:val="18"/>
                <w:szCs w:val="18"/>
              </w:rPr>
            </w:pPr>
          </w:p>
        </w:tc>
        <w:tc>
          <w:tcPr>
            <w:tcW w:w="1710" w:type="dxa"/>
            <w:noWrap/>
            <w:vAlign w:val="bottom"/>
            <w:hideMark/>
          </w:tcPr>
          <w:p w14:paraId="43C1047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-0.026</w:t>
            </w:r>
          </w:p>
        </w:tc>
        <w:tc>
          <w:tcPr>
            <w:tcW w:w="1655" w:type="dxa"/>
            <w:noWrap/>
            <w:vAlign w:val="bottom"/>
            <w:hideMark/>
          </w:tcPr>
          <w:p w14:paraId="5ED5F3E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-0.021</w:t>
            </w:r>
          </w:p>
        </w:tc>
      </w:tr>
      <w:tr w:rsidR="00093F2A" w:rsidRPr="00201000" w14:paraId="0248C14C" w14:textId="77777777" w:rsidTr="00201000">
        <w:trPr>
          <w:trHeight w:val="20"/>
        </w:trPr>
        <w:tc>
          <w:tcPr>
            <w:tcW w:w="2448" w:type="dxa"/>
            <w:noWrap/>
            <w:vAlign w:val="bottom"/>
            <w:hideMark/>
          </w:tcPr>
          <w:p w14:paraId="33122D49" w14:textId="77777777" w:rsidR="001E5D09" w:rsidRPr="00201000" w:rsidRDefault="001E5D09">
            <w:pPr>
              <w:rPr>
                <w:rFonts w:ascii="Gill Sans MT" w:hAnsi="Gill Sans MT" w:cs="Calibri"/>
                <w:sz w:val="18"/>
                <w:szCs w:val="18"/>
              </w:rPr>
            </w:pPr>
          </w:p>
        </w:tc>
        <w:tc>
          <w:tcPr>
            <w:tcW w:w="1800" w:type="dxa"/>
            <w:noWrap/>
            <w:vAlign w:val="bottom"/>
            <w:hideMark/>
          </w:tcPr>
          <w:p w14:paraId="5B60200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(-2.246**)</w:t>
            </w:r>
          </w:p>
        </w:tc>
        <w:tc>
          <w:tcPr>
            <w:tcW w:w="1440" w:type="dxa"/>
            <w:noWrap/>
            <w:vAlign w:val="bottom"/>
            <w:hideMark/>
          </w:tcPr>
          <w:p w14:paraId="11BAD7C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(-1.779*)</w:t>
            </w:r>
          </w:p>
        </w:tc>
        <w:tc>
          <w:tcPr>
            <w:tcW w:w="540" w:type="dxa"/>
            <w:noWrap/>
            <w:vAlign w:val="bottom"/>
            <w:hideMark/>
          </w:tcPr>
          <w:p w14:paraId="47F508EB" w14:textId="77777777" w:rsidR="001E5D09" w:rsidRPr="00201000" w:rsidRDefault="001E5D09">
            <w:pPr>
              <w:rPr>
                <w:rFonts w:ascii="Gill Sans MT" w:hAnsi="Gill Sans MT" w:cs="Calibri"/>
                <w:sz w:val="18"/>
                <w:szCs w:val="18"/>
              </w:rPr>
            </w:pPr>
          </w:p>
        </w:tc>
        <w:tc>
          <w:tcPr>
            <w:tcW w:w="1710" w:type="dxa"/>
            <w:noWrap/>
            <w:vAlign w:val="bottom"/>
            <w:hideMark/>
          </w:tcPr>
          <w:p w14:paraId="1E64037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(-1.609)</w:t>
            </w:r>
          </w:p>
        </w:tc>
        <w:tc>
          <w:tcPr>
            <w:tcW w:w="1655" w:type="dxa"/>
            <w:noWrap/>
            <w:vAlign w:val="bottom"/>
            <w:hideMark/>
          </w:tcPr>
          <w:p w14:paraId="7DE62C9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(-1.337)</w:t>
            </w:r>
          </w:p>
        </w:tc>
      </w:tr>
      <w:tr w:rsidR="00093F2A" w:rsidRPr="00201000" w14:paraId="1E6547C4" w14:textId="77777777" w:rsidTr="00201000">
        <w:trPr>
          <w:trHeight w:val="20"/>
        </w:trPr>
        <w:tc>
          <w:tcPr>
            <w:tcW w:w="2448" w:type="dxa"/>
            <w:noWrap/>
            <w:vAlign w:val="bottom"/>
            <w:hideMark/>
          </w:tcPr>
          <w:p w14:paraId="3C2C3596" w14:textId="77777777" w:rsidR="001E5D09" w:rsidRPr="00201000" w:rsidRDefault="001E5D09">
            <w:pPr>
              <w:rPr>
                <w:rFonts w:ascii="Gill Sans MT" w:hAnsi="Gill Sans MT" w:cs="Calibri"/>
                <w:sz w:val="18"/>
                <w:szCs w:val="18"/>
              </w:rPr>
            </w:pPr>
          </w:p>
        </w:tc>
        <w:tc>
          <w:tcPr>
            <w:tcW w:w="1800" w:type="dxa"/>
            <w:noWrap/>
            <w:vAlign w:val="bottom"/>
            <w:hideMark/>
          </w:tcPr>
          <w:p w14:paraId="07107F15" w14:textId="77777777" w:rsidR="001E5D09" w:rsidRPr="00201000" w:rsidRDefault="001E5D09">
            <w:pPr>
              <w:spacing w:after="0"/>
              <w:rPr>
                <w:sz w:val="18"/>
                <w:szCs w:val="18"/>
              </w:rPr>
            </w:pPr>
          </w:p>
        </w:tc>
        <w:tc>
          <w:tcPr>
            <w:tcW w:w="1440" w:type="dxa"/>
            <w:noWrap/>
            <w:vAlign w:val="bottom"/>
            <w:hideMark/>
          </w:tcPr>
          <w:p w14:paraId="1EE80CF7" w14:textId="77777777" w:rsidR="001E5D09" w:rsidRPr="00201000" w:rsidRDefault="001E5D09">
            <w:pPr>
              <w:spacing w:after="0"/>
              <w:rPr>
                <w:sz w:val="18"/>
                <w:szCs w:val="18"/>
              </w:rPr>
            </w:pPr>
          </w:p>
        </w:tc>
        <w:tc>
          <w:tcPr>
            <w:tcW w:w="540" w:type="dxa"/>
            <w:noWrap/>
            <w:vAlign w:val="bottom"/>
            <w:hideMark/>
          </w:tcPr>
          <w:p w14:paraId="47462C62" w14:textId="77777777" w:rsidR="001E5D09" w:rsidRPr="00201000" w:rsidRDefault="001E5D09">
            <w:pPr>
              <w:spacing w:after="0"/>
              <w:rPr>
                <w:sz w:val="18"/>
                <w:szCs w:val="18"/>
              </w:rPr>
            </w:pPr>
          </w:p>
        </w:tc>
        <w:tc>
          <w:tcPr>
            <w:tcW w:w="1710" w:type="dxa"/>
            <w:noWrap/>
            <w:vAlign w:val="bottom"/>
            <w:hideMark/>
          </w:tcPr>
          <w:p w14:paraId="6A217E78" w14:textId="77777777" w:rsidR="001E5D09" w:rsidRPr="00201000" w:rsidRDefault="001E5D09">
            <w:pPr>
              <w:spacing w:after="0"/>
              <w:rPr>
                <w:sz w:val="18"/>
                <w:szCs w:val="18"/>
              </w:rPr>
            </w:pPr>
          </w:p>
        </w:tc>
        <w:tc>
          <w:tcPr>
            <w:tcW w:w="1655" w:type="dxa"/>
            <w:noWrap/>
            <w:vAlign w:val="bottom"/>
            <w:hideMark/>
          </w:tcPr>
          <w:p w14:paraId="21FDBDC1" w14:textId="77777777" w:rsidR="001E5D09" w:rsidRPr="00201000" w:rsidRDefault="001E5D09">
            <w:pPr>
              <w:spacing w:after="0"/>
              <w:rPr>
                <w:sz w:val="18"/>
                <w:szCs w:val="18"/>
              </w:rPr>
            </w:pPr>
          </w:p>
        </w:tc>
      </w:tr>
      <w:tr w:rsidR="00093F2A" w:rsidRPr="00201000" w14:paraId="5A7C2C95" w14:textId="77777777" w:rsidTr="00201000">
        <w:trPr>
          <w:trHeight w:val="20"/>
        </w:trPr>
        <w:tc>
          <w:tcPr>
            <w:tcW w:w="2448" w:type="dxa"/>
            <w:noWrap/>
            <w:vAlign w:val="bottom"/>
            <w:hideMark/>
          </w:tcPr>
          <w:p w14:paraId="2E7EFBF4"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Adj. R-squared</w:t>
            </w:r>
          </w:p>
        </w:tc>
        <w:tc>
          <w:tcPr>
            <w:tcW w:w="1800" w:type="dxa"/>
            <w:noWrap/>
            <w:vAlign w:val="bottom"/>
            <w:hideMark/>
          </w:tcPr>
          <w:p w14:paraId="589479A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0.0656</w:t>
            </w:r>
          </w:p>
        </w:tc>
        <w:tc>
          <w:tcPr>
            <w:tcW w:w="1440" w:type="dxa"/>
            <w:noWrap/>
            <w:vAlign w:val="bottom"/>
            <w:hideMark/>
          </w:tcPr>
          <w:p w14:paraId="530B2C5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0.0763</w:t>
            </w:r>
          </w:p>
        </w:tc>
        <w:tc>
          <w:tcPr>
            <w:tcW w:w="540" w:type="dxa"/>
            <w:noWrap/>
            <w:vAlign w:val="bottom"/>
            <w:hideMark/>
          </w:tcPr>
          <w:p w14:paraId="6EB011EA" w14:textId="77777777" w:rsidR="001E5D09" w:rsidRPr="00201000" w:rsidRDefault="001E5D09">
            <w:pPr>
              <w:rPr>
                <w:rFonts w:ascii="Gill Sans MT" w:hAnsi="Gill Sans MT" w:cs="Calibri"/>
                <w:sz w:val="18"/>
                <w:szCs w:val="18"/>
              </w:rPr>
            </w:pPr>
          </w:p>
        </w:tc>
        <w:tc>
          <w:tcPr>
            <w:tcW w:w="1710" w:type="dxa"/>
            <w:noWrap/>
            <w:vAlign w:val="bottom"/>
            <w:hideMark/>
          </w:tcPr>
          <w:p w14:paraId="73AC2CD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0.0671</w:t>
            </w:r>
          </w:p>
        </w:tc>
        <w:tc>
          <w:tcPr>
            <w:tcW w:w="1655" w:type="dxa"/>
            <w:noWrap/>
            <w:vAlign w:val="bottom"/>
            <w:hideMark/>
          </w:tcPr>
          <w:p w14:paraId="2F408D5E"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0.0762</w:t>
            </w:r>
          </w:p>
        </w:tc>
      </w:tr>
      <w:tr w:rsidR="00093F2A" w:rsidRPr="00201000" w14:paraId="2D36098C" w14:textId="77777777" w:rsidTr="00201000">
        <w:trPr>
          <w:trHeight w:val="20"/>
        </w:trPr>
        <w:tc>
          <w:tcPr>
            <w:tcW w:w="2448" w:type="dxa"/>
            <w:noWrap/>
            <w:vAlign w:val="bottom"/>
            <w:hideMark/>
          </w:tcPr>
          <w:p w14:paraId="68C73D5F"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Year fixed effects</w:t>
            </w:r>
          </w:p>
        </w:tc>
        <w:tc>
          <w:tcPr>
            <w:tcW w:w="1800" w:type="dxa"/>
            <w:noWrap/>
            <w:vAlign w:val="bottom"/>
            <w:hideMark/>
          </w:tcPr>
          <w:p w14:paraId="3E8A5F45"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440" w:type="dxa"/>
            <w:noWrap/>
            <w:vAlign w:val="bottom"/>
            <w:hideMark/>
          </w:tcPr>
          <w:p w14:paraId="5D75BA4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540" w:type="dxa"/>
            <w:noWrap/>
            <w:vAlign w:val="bottom"/>
            <w:hideMark/>
          </w:tcPr>
          <w:p w14:paraId="0877F1F7" w14:textId="77777777" w:rsidR="001E5D09" w:rsidRPr="00201000" w:rsidRDefault="001E5D09">
            <w:pPr>
              <w:rPr>
                <w:rFonts w:ascii="Gill Sans MT" w:hAnsi="Gill Sans MT" w:cs="Calibri"/>
                <w:sz w:val="18"/>
                <w:szCs w:val="18"/>
              </w:rPr>
            </w:pPr>
          </w:p>
        </w:tc>
        <w:tc>
          <w:tcPr>
            <w:tcW w:w="1710" w:type="dxa"/>
            <w:noWrap/>
            <w:vAlign w:val="bottom"/>
            <w:hideMark/>
          </w:tcPr>
          <w:p w14:paraId="7C8A3EB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655" w:type="dxa"/>
            <w:noWrap/>
            <w:vAlign w:val="bottom"/>
            <w:hideMark/>
          </w:tcPr>
          <w:p w14:paraId="5E95A05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r>
      <w:tr w:rsidR="00093F2A" w:rsidRPr="00201000" w14:paraId="0A8A78C7" w14:textId="77777777" w:rsidTr="00201000">
        <w:trPr>
          <w:trHeight w:val="20"/>
        </w:trPr>
        <w:tc>
          <w:tcPr>
            <w:tcW w:w="2448" w:type="dxa"/>
            <w:noWrap/>
            <w:vAlign w:val="bottom"/>
            <w:hideMark/>
          </w:tcPr>
          <w:p w14:paraId="0D18F9B5"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Industry fixed effects</w:t>
            </w:r>
          </w:p>
        </w:tc>
        <w:tc>
          <w:tcPr>
            <w:tcW w:w="1800" w:type="dxa"/>
            <w:noWrap/>
            <w:vAlign w:val="bottom"/>
            <w:hideMark/>
          </w:tcPr>
          <w:p w14:paraId="123050ED"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440" w:type="dxa"/>
            <w:noWrap/>
            <w:vAlign w:val="bottom"/>
            <w:hideMark/>
          </w:tcPr>
          <w:p w14:paraId="629D421A"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540" w:type="dxa"/>
            <w:noWrap/>
            <w:vAlign w:val="bottom"/>
            <w:hideMark/>
          </w:tcPr>
          <w:p w14:paraId="45FDCD84" w14:textId="77777777" w:rsidR="001E5D09" w:rsidRPr="00201000" w:rsidRDefault="001E5D09">
            <w:pPr>
              <w:rPr>
                <w:rFonts w:ascii="Gill Sans MT" w:hAnsi="Gill Sans MT" w:cs="Calibri"/>
                <w:sz w:val="18"/>
                <w:szCs w:val="18"/>
              </w:rPr>
            </w:pPr>
          </w:p>
        </w:tc>
        <w:tc>
          <w:tcPr>
            <w:tcW w:w="1710" w:type="dxa"/>
            <w:noWrap/>
            <w:vAlign w:val="bottom"/>
            <w:hideMark/>
          </w:tcPr>
          <w:p w14:paraId="34C21446"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655" w:type="dxa"/>
            <w:noWrap/>
            <w:vAlign w:val="bottom"/>
            <w:hideMark/>
          </w:tcPr>
          <w:p w14:paraId="14909AAC"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r>
      <w:tr w:rsidR="00093F2A" w:rsidRPr="00201000" w14:paraId="7314746F" w14:textId="77777777" w:rsidTr="00201000">
        <w:trPr>
          <w:trHeight w:val="20"/>
        </w:trPr>
        <w:tc>
          <w:tcPr>
            <w:tcW w:w="2448" w:type="dxa"/>
            <w:noWrap/>
            <w:vAlign w:val="bottom"/>
            <w:hideMark/>
          </w:tcPr>
          <w:p w14:paraId="7D4817EC"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Robust std err</w:t>
            </w:r>
          </w:p>
        </w:tc>
        <w:tc>
          <w:tcPr>
            <w:tcW w:w="1800" w:type="dxa"/>
            <w:noWrap/>
            <w:vAlign w:val="bottom"/>
            <w:hideMark/>
          </w:tcPr>
          <w:p w14:paraId="51CAAA5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440" w:type="dxa"/>
            <w:noWrap/>
            <w:vAlign w:val="bottom"/>
            <w:hideMark/>
          </w:tcPr>
          <w:p w14:paraId="66F51A1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540" w:type="dxa"/>
            <w:noWrap/>
            <w:vAlign w:val="bottom"/>
            <w:hideMark/>
          </w:tcPr>
          <w:p w14:paraId="63F648A1" w14:textId="77777777" w:rsidR="001E5D09" w:rsidRPr="00201000" w:rsidRDefault="001E5D09">
            <w:pPr>
              <w:rPr>
                <w:rFonts w:ascii="Gill Sans MT" w:hAnsi="Gill Sans MT" w:cs="Calibri"/>
                <w:sz w:val="18"/>
                <w:szCs w:val="18"/>
              </w:rPr>
            </w:pPr>
          </w:p>
        </w:tc>
        <w:tc>
          <w:tcPr>
            <w:tcW w:w="1710" w:type="dxa"/>
            <w:noWrap/>
            <w:vAlign w:val="bottom"/>
            <w:hideMark/>
          </w:tcPr>
          <w:p w14:paraId="7A4D40B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c>
          <w:tcPr>
            <w:tcW w:w="1655" w:type="dxa"/>
            <w:noWrap/>
            <w:vAlign w:val="bottom"/>
            <w:hideMark/>
          </w:tcPr>
          <w:p w14:paraId="00B9CDAF"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Yes</w:t>
            </w:r>
          </w:p>
        </w:tc>
      </w:tr>
      <w:tr w:rsidR="00093F2A" w:rsidRPr="00201000" w14:paraId="118157AC" w14:textId="77777777" w:rsidTr="00201000">
        <w:trPr>
          <w:trHeight w:val="20"/>
        </w:trPr>
        <w:tc>
          <w:tcPr>
            <w:tcW w:w="2448" w:type="dxa"/>
            <w:tcBorders>
              <w:top w:val="nil"/>
              <w:left w:val="nil"/>
              <w:bottom w:val="single" w:sz="4" w:space="0" w:color="auto"/>
              <w:right w:val="nil"/>
            </w:tcBorders>
            <w:noWrap/>
            <w:vAlign w:val="bottom"/>
            <w:hideMark/>
          </w:tcPr>
          <w:p w14:paraId="72C3B990" w14:textId="77777777" w:rsidR="001E5D09" w:rsidRPr="00201000" w:rsidRDefault="001E5D09">
            <w:pPr>
              <w:spacing w:line="240" w:lineRule="auto"/>
              <w:contextualSpacing/>
              <w:rPr>
                <w:rFonts w:ascii="Gill Sans MT" w:eastAsia="Times New Roman" w:hAnsi="Gill Sans MT" w:cs="Calibri"/>
                <w:sz w:val="18"/>
                <w:szCs w:val="18"/>
              </w:rPr>
            </w:pPr>
            <w:r w:rsidRPr="00201000">
              <w:rPr>
                <w:rFonts w:ascii="Gill Sans MT" w:eastAsia="Times New Roman" w:hAnsi="Gill Sans MT" w:cs="Calibri"/>
                <w:sz w:val="18"/>
                <w:szCs w:val="18"/>
              </w:rPr>
              <w:t>Observations</w:t>
            </w:r>
          </w:p>
        </w:tc>
        <w:tc>
          <w:tcPr>
            <w:tcW w:w="1800" w:type="dxa"/>
            <w:tcBorders>
              <w:top w:val="nil"/>
              <w:left w:val="nil"/>
              <w:bottom w:val="single" w:sz="4" w:space="0" w:color="auto"/>
              <w:right w:val="nil"/>
            </w:tcBorders>
            <w:noWrap/>
            <w:vAlign w:val="bottom"/>
            <w:hideMark/>
          </w:tcPr>
          <w:p w14:paraId="59B2BCA0"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1,132</w:t>
            </w:r>
          </w:p>
        </w:tc>
        <w:tc>
          <w:tcPr>
            <w:tcW w:w="1440" w:type="dxa"/>
            <w:tcBorders>
              <w:top w:val="nil"/>
              <w:left w:val="nil"/>
              <w:bottom w:val="single" w:sz="4" w:space="0" w:color="auto"/>
              <w:right w:val="nil"/>
            </w:tcBorders>
            <w:noWrap/>
            <w:vAlign w:val="bottom"/>
            <w:hideMark/>
          </w:tcPr>
          <w:p w14:paraId="38FB34F2"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1,132</w:t>
            </w:r>
          </w:p>
        </w:tc>
        <w:tc>
          <w:tcPr>
            <w:tcW w:w="540" w:type="dxa"/>
            <w:tcBorders>
              <w:top w:val="nil"/>
              <w:left w:val="nil"/>
              <w:bottom w:val="single" w:sz="4" w:space="0" w:color="auto"/>
              <w:right w:val="nil"/>
            </w:tcBorders>
            <w:noWrap/>
            <w:vAlign w:val="bottom"/>
            <w:hideMark/>
          </w:tcPr>
          <w:p w14:paraId="182AF432" w14:textId="77777777" w:rsidR="001E5D09" w:rsidRPr="00201000" w:rsidRDefault="001E5D09">
            <w:pPr>
              <w:rPr>
                <w:rFonts w:ascii="Gill Sans MT" w:hAnsi="Gill Sans MT" w:cs="Calibri"/>
                <w:sz w:val="18"/>
                <w:szCs w:val="18"/>
              </w:rPr>
            </w:pPr>
          </w:p>
        </w:tc>
        <w:tc>
          <w:tcPr>
            <w:tcW w:w="1710" w:type="dxa"/>
            <w:tcBorders>
              <w:top w:val="nil"/>
              <w:left w:val="nil"/>
              <w:bottom w:val="single" w:sz="4" w:space="0" w:color="auto"/>
              <w:right w:val="nil"/>
            </w:tcBorders>
            <w:noWrap/>
            <w:vAlign w:val="bottom"/>
            <w:hideMark/>
          </w:tcPr>
          <w:p w14:paraId="42E6D231"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1,132</w:t>
            </w:r>
          </w:p>
        </w:tc>
        <w:tc>
          <w:tcPr>
            <w:tcW w:w="1655" w:type="dxa"/>
            <w:tcBorders>
              <w:top w:val="nil"/>
              <w:left w:val="nil"/>
              <w:bottom w:val="single" w:sz="4" w:space="0" w:color="auto"/>
              <w:right w:val="nil"/>
            </w:tcBorders>
            <w:noWrap/>
            <w:vAlign w:val="bottom"/>
            <w:hideMark/>
          </w:tcPr>
          <w:p w14:paraId="2C1A8C33" w14:textId="77777777" w:rsidR="001E5D09" w:rsidRPr="00201000" w:rsidRDefault="001E5D09">
            <w:pPr>
              <w:spacing w:line="240" w:lineRule="auto"/>
              <w:contextualSpacing/>
              <w:rPr>
                <w:rFonts w:ascii="Gill Sans MT" w:hAnsi="Gill Sans MT" w:cs="Calibri"/>
                <w:sz w:val="18"/>
                <w:szCs w:val="18"/>
              </w:rPr>
            </w:pPr>
            <w:r w:rsidRPr="00201000">
              <w:rPr>
                <w:rFonts w:ascii="Gill Sans MT" w:hAnsi="Gill Sans MT" w:cs="Calibri"/>
                <w:sz w:val="18"/>
                <w:szCs w:val="18"/>
              </w:rPr>
              <w:t>1,132</w:t>
            </w:r>
          </w:p>
        </w:tc>
      </w:tr>
    </w:tbl>
    <w:p w14:paraId="2A0D1E7A" w14:textId="77777777" w:rsidR="001E5D09" w:rsidRPr="00201000" w:rsidRDefault="001E5D09" w:rsidP="001E5D09">
      <w:pPr>
        <w:spacing w:line="240" w:lineRule="auto"/>
        <w:contextualSpacing/>
        <w:rPr>
          <w:rFonts w:ascii="Gill Sans MT" w:hAnsi="Gill Sans MT"/>
          <w:sz w:val="18"/>
          <w:szCs w:val="18"/>
        </w:rPr>
      </w:pPr>
      <w:r w:rsidRPr="00201000">
        <w:rPr>
          <w:rFonts w:ascii="Gill Sans MT" w:hAnsi="Gill Sans MT"/>
          <w:sz w:val="18"/>
          <w:szCs w:val="18"/>
        </w:rPr>
        <w:t>We report results from OLS regressions in Table IV using acquirer CARs as the dependent variables. CARs are from (-2, +1) and (-1, +1) days windows using benchmarks of EW (Models 1-2) and FF-48 sector returns (Models 3-4). The independent variable of interest is the dummy variable for deals with private equity involvement (</w:t>
      </w:r>
      <w:r w:rsidRPr="00201000">
        <w:rPr>
          <w:rFonts w:ascii="Gill Sans MT" w:hAnsi="Gill Sans MT"/>
          <w:i/>
          <w:iCs/>
          <w:sz w:val="18"/>
          <w:szCs w:val="18"/>
        </w:rPr>
        <w:t>PRIVATE EQUITY</w:t>
      </w:r>
      <w:r w:rsidRPr="00201000">
        <w:rPr>
          <w:rFonts w:ascii="Gill Sans MT" w:hAnsi="Gill Sans MT"/>
          <w:sz w:val="18"/>
          <w:szCs w:val="18"/>
        </w:rPr>
        <w:t>). We control for year and industry fixed effects. We calculate the t-statistics based upon clustered standard errors. ***, **, and * denote significance at 1%, 5%, and 10% levels.</w:t>
      </w:r>
    </w:p>
    <w:p w14:paraId="5457029D" w14:textId="77777777" w:rsidR="001E5D09" w:rsidRPr="00093F2A" w:rsidRDefault="001E5D09" w:rsidP="001E5D09">
      <w:pPr>
        <w:spacing w:line="240" w:lineRule="auto"/>
        <w:contextualSpacing/>
        <w:rPr>
          <w:rFonts w:ascii="Gill Sans MT" w:hAnsi="Gill Sans MT"/>
        </w:rPr>
      </w:pPr>
    </w:p>
    <w:p w14:paraId="290C2823" w14:textId="77777777" w:rsidR="001E5D09" w:rsidRPr="00093F2A" w:rsidRDefault="001E5D09" w:rsidP="001E5D09">
      <w:pPr>
        <w:spacing w:line="240" w:lineRule="auto"/>
        <w:contextualSpacing/>
        <w:rPr>
          <w:rFonts w:ascii="Gill Sans MT" w:hAnsi="Gill Sans MT"/>
        </w:rPr>
      </w:pPr>
    </w:p>
    <w:p w14:paraId="526C9E28" w14:textId="77777777" w:rsidR="001E5D09" w:rsidRPr="00093F2A" w:rsidRDefault="001E5D09" w:rsidP="001E5D09">
      <w:pPr>
        <w:spacing w:line="240" w:lineRule="auto"/>
        <w:contextualSpacing/>
        <w:rPr>
          <w:rFonts w:ascii="Gill Sans MT" w:hAnsi="Gill Sans MT"/>
        </w:rPr>
      </w:pPr>
    </w:p>
    <w:p w14:paraId="2BFC3D66" w14:textId="77777777" w:rsidR="001E5D09" w:rsidRPr="00093F2A" w:rsidRDefault="001E5D09" w:rsidP="001E5D09">
      <w:pPr>
        <w:spacing w:line="240" w:lineRule="auto"/>
        <w:contextualSpacing/>
        <w:rPr>
          <w:rFonts w:ascii="Gill Sans MT" w:hAnsi="Gill Sans MT"/>
        </w:rPr>
      </w:pPr>
    </w:p>
    <w:p w14:paraId="06CC35DE" w14:textId="77777777" w:rsidR="001E5D09" w:rsidRPr="00093F2A" w:rsidRDefault="001E5D09" w:rsidP="001E5D09">
      <w:pPr>
        <w:spacing w:after="0" w:line="240" w:lineRule="auto"/>
        <w:rPr>
          <w:rFonts w:ascii="Gill Sans MT" w:eastAsia="Times New Roman" w:hAnsi="Gill Sans MT" w:cs="Calibri"/>
          <w:b/>
          <w:bCs/>
        </w:rPr>
        <w:sectPr w:rsidR="001E5D09" w:rsidRPr="00093F2A">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2669"/>
        <w:gridCol w:w="1274"/>
        <w:gridCol w:w="2021"/>
        <w:gridCol w:w="1806"/>
        <w:gridCol w:w="1806"/>
      </w:tblGrid>
      <w:tr w:rsidR="00093F2A" w:rsidRPr="00201000" w14:paraId="744198D1" w14:textId="77777777" w:rsidTr="00201000">
        <w:trPr>
          <w:trHeight w:val="20"/>
        </w:trPr>
        <w:tc>
          <w:tcPr>
            <w:tcW w:w="5000" w:type="pct"/>
            <w:gridSpan w:val="5"/>
            <w:noWrap/>
            <w:vAlign w:val="bottom"/>
            <w:hideMark/>
          </w:tcPr>
          <w:p w14:paraId="633B47E2" w14:textId="77777777" w:rsidR="001E5D09" w:rsidRPr="00201000" w:rsidRDefault="001E5D09">
            <w:pPr>
              <w:spacing w:after="0" w:line="240" w:lineRule="auto"/>
              <w:rPr>
                <w:rFonts w:ascii="Gill Sans MT" w:eastAsia="Times New Roman" w:hAnsi="Gill Sans MT" w:cs="Calibri"/>
                <w:b/>
                <w:bCs/>
                <w:sz w:val="20"/>
                <w:szCs w:val="20"/>
              </w:rPr>
            </w:pPr>
            <w:r w:rsidRPr="00201000">
              <w:rPr>
                <w:rFonts w:ascii="Gill Sans MT" w:eastAsia="Times New Roman" w:hAnsi="Gill Sans MT" w:cs="Calibri"/>
                <w:b/>
                <w:bCs/>
                <w:sz w:val="20"/>
                <w:szCs w:val="20"/>
              </w:rPr>
              <w:lastRenderedPageBreak/>
              <w:t>Table 5 – The Impacts of Private Equity Involvement on Acquirer BHARs</w:t>
            </w:r>
          </w:p>
        </w:tc>
      </w:tr>
      <w:tr w:rsidR="00207B60" w:rsidRPr="00201000" w14:paraId="4021A7FB" w14:textId="77777777" w:rsidTr="00207B60">
        <w:trPr>
          <w:trHeight w:val="20"/>
        </w:trPr>
        <w:tc>
          <w:tcPr>
            <w:tcW w:w="5000" w:type="pct"/>
            <w:gridSpan w:val="5"/>
            <w:tcBorders>
              <w:top w:val="single" w:sz="4" w:space="0" w:color="auto"/>
              <w:left w:val="nil"/>
              <w:bottom w:val="single" w:sz="4" w:space="0" w:color="auto"/>
              <w:right w:val="nil"/>
            </w:tcBorders>
            <w:noWrap/>
            <w:vAlign w:val="bottom"/>
            <w:hideMark/>
          </w:tcPr>
          <w:p w14:paraId="45754D42" w14:textId="57A709AF" w:rsidR="00207B60" w:rsidRPr="00201000" w:rsidRDefault="00207B60">
            <w:pPr>
              <w:spacing w:after="0" w:line="240" w:lineRule="auto"/>
              <w:rPr>
                <w:rFonts w:ascii="Gill Sans MT" w:eastAsia="Times New Roman" w:hAnsi="Gill Sans MT" w:cs="Calibri"/>
                <w:b/>
                <w:bCs/>
                <w:i/>
                <w:iCs/>
                <w:sz w:val="20"/>
                <w:szCs w:val="20"/>
              </w:rPr>
            </w:pPr>
            <w:r w:rsidRPr="00201000">
              <w:rPr>
                <w:rFonts w:ascii="Gill Sans MT" w:eastAsia="Times New Roman" w:hAnsi="Gill Sans MT" w:cs="Calibri"/>
                <w:b/>
                <w:bCs/>
                <w:i/>
                <w:iCs/>
                <w:sz w:val="20"/>
                <w:szCs w:val="20"/>
              </w:rPr>
              <w:t>Panel A – Univariate Comparison of BHARs</w:t>
            </w:r>
          </w:p>
        </w:tc>
      </w:tr>
      <w:tr w:rsidR="00093F2A" w:rsidRPr="00201000" w14:paraId="46A21344" w14:textId="77777777" w:rsidTr="00207B60">
        <w:trPr>
          <w:trHeight w:val="20"/>
        </w:trPr>
        <w:tc>
          <w:tcPr>
            <w:tcW w:w="1394" w:type="pct"/>
            <w:noWrap/>
            <w:vAlign w:val="bottom"/>
            <w:hideMark/>
          </w:tcPr>
          <w:p w14:paraId="66361B34" w14:textId="77777777" w:rsidR="001E5D09" w:rsidRPr="00201000" w:rsidRDefault="001E5D09">
            <w:pPr>
              <w:rPr>
                <w:rFonts w:ascii="Gill Sans MT" w:eastAsia="Times New Roman" w:hAnsi="Gill Sans MT" w:cs="Calibri"/>
                <w:b/>
                <w:bCs/>
                <w:i/>
                <w:iCs/>
                <w:sz w:val="20"/>
                <w:szCs w:val="20"/>
              </w:rPr>
            </w:pPr>
          </w:p>
        </w:tc>
        <w:tc>
          <w:tcPr>
            <w:tcW w:w="1720" w:type="pct"/>
            <w:gridSpan w:val="2"/>
            <w:noWrap/>
            <w:vAlign w:val="bottom"/>
            <w:hideMark/>
          </w:tcPr>
          <w:p w14:paraId="44BE7D9F" w14:textId="77777777" w:rsidR="001E5D09" w:rsidRPr="00201000" w:rsidRDefault="001E5D09">
            <w:pPr>
              <w:spacing w:after="0" w:line="240" w:lineRule="auto"/>
              <w:rPr>
                <w:rFonts w:ascii="Gill Sans MT" w:eastAsia="Times New Roman" w:hAnsi="Gill Sans MT" w:cs="Calibri"/>
                <w:sz w:val="20"/>
                <w:szCs w:val="20"/>
                <w:u w:val="single"/>
              </w:rPr>
            </w:pPr>
            <w:r w:rsidRPr="00201000">
              <w:rPr>
                <w:rFonts w:ascii="Gill Sans MT" w:eastAsia="Times New Roman" w:hAnsi="Gill Sans MT" w:cs="Calibri"/>
                <w:sz w:val="20"/>
                <w:szCs w:val="20"/>
                <w:u w:val="single"/>
              </w:rPr>
              <w:t>No private equity involvement</w:t>
            </w:r>
          </w:p>
        </w:tc>
        <w:tc>
          <w:tcPr>
            <w:tcW w:w="1886" w:type="pct"/>
            <w:gridSpan w:val="2"/>
            <w:noWrap/>
            <w:vAlign w:val="bottom"/>
            <w:hideMark/>
          </w:tcPr>
          <w:p w14:paraId="5AE60D88" w14:textId="77777777" w:rsidR="001E5D09" w:rsidRPr="00201000" w:rsidRDefault="001E5D09">
            <w:pPr>
              <w:spacing w:after="0" w:line="240" w:lineRule="auto"/>
              <w:rPr>
                <w:rFonts w:ascii="Gill Sans MT" w:eastAsia="Times New Roman" w:hAnsi="Gill Sans MT" w:cs="Calibri"/>
                <w:sz w:val="20"/>
                <w:szCs w:val="20"/>
                <w:u w:val="single"/>
              </w:rPr>
            </w:pPr>
            <w:r w:rsidRPr="00201000">
              <w:rPr>
                <w:rFonts w:ascii="Gill Sans MT" w:eastAsia="Times New Roman" w:hAnsi="Gill Sans MT" w:cs="Calibri"/>
                <w:sz w:val="20"/>
                <w:szCs w:val="20"/>
                <w:u w:val="single"/>
              </w:rPr>
              <w:t>Private equity involvement</w:t>
            </w:r>
          </w:p>
        </w:tc>
      </w:tr>
      <w:tr w:rsidR="00093F2A" w:rsidRPr="00201000" w14:paraId="4C60D258" w14:textId="77777777" w:rsidTr="00207B60">
        <w:trPr>
          <w:trHeight w:val="20"/>
        </w:trPr>
        <w:tc>
          <w:tcPr>
            <w:tcW w:w="1394" w:type="pct"/>
            <w:noWrap/>
            <w:vAlign w:val="bottom"/>
            <w:hideMark/>
          </w:tcPr>
          <w:p w14:paraId="52C9F10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Windows</w:t>
            </w:r>
          </w:p>
        </w:tc>
        <w:tc>
          <w:tcPr>
            <w:tcW w:w="665" w:type="pct"/>
            <w:noWrap/>
            <w:vAlign w:val="bottom"/>
            <w:hideMark/>
          </w:tcPr>
          <w:p w14:paraId="2830141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Mean</w:t>
            </w:r>
          </w:p>
        </w:tc>
        <w:tc>
          <w:tcPr>
            <w:tcW w:w="1055" w:type="pct"/>
            <w:noWrap/>
            <w:vAlign w:val="bottom"/>
            <w:hideMark/>
          </w:tcPr>
          <w:p w14:paraId="577EECC6"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Median</w:t>
            </w:r>
          </w:p>
        </w:tc>
        <w:tc>
          <w:tcPr>
            <w:tcW w:w="943" w:type="pct"/>
            <w:noWrap/>
            <w:vAlign w:val="bottom"/>
            <w:hideMark/>
          </w:tcPr>
          <w:p w14:paraId="3B4E59E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Mean</w:t>
            </w:r>
          </w:p>
        </w:tc>
        <w:tc>
          <w:tcPr>
            <w:tcW w:w="943" w:type="pct"/>
            <w:noWrap/>
            <w:vAlign w:val="bottom"/>
            <w:hideMark/>
          </w:tcPr>
          <w:p w14:paraId="47DB8A9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Median</w:t>
            </w:r>
          </w:p>
        </w:tc>
      </w:tr>
      <w:tr w:rsidR="00093F2A" w:rsidRPr="00201000" w14:paraId="1F166439" w14:textId="77777777" w:rsidTr="00207B60">
        <w:trPr>
          <w:trHeight w:val="20"/>
        </w:trPr>
        <w:tc>
          <w:tcPr>
            <w:tcW w:w="1394" w:type="pct"/>
            <w:noWrap/>
            <w:vAlign w:val="bottom"/>
            <w:hideMark/>
          </w:tcPr>
          <w:p w14:paraId="39724DB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(+1,+12) months</w:t>
            </w:r>
          </w:p>
        </w:tc>
        <w:tc>
          <w:tcPr>
            <w:tcW w:w="665" w:type="pct"/>
            <w:noWrap/>
            <w:vAlign w:val="bottom"/>
            <w:hideMark/>
          </w:tcPr>
          <w:p w14:paraId="711D285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-5.012%</w:t>
            </w:r>
          </w:p>
        </w:tc>
        <w:tc>
          <w:tcPr>
            <w:tcW w:w="1055" w:type="pct"/>
            <w:noWrap/>
            <w:vAlign w:val="bottom"/>
            <w:hideMark/>
          </w:tcPr>
          <w:p w14:paraId="06A1AC4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-3.913%</w:t>
            </w:r>
          </w:p>
        </w:tc>
        <w:tc>
          <w:tcPr>
            <w:tcW w:w="943" w:type="pct"/>
            <w:noWrap/>
            <w:vAlign w:val="bottom"/>
            <w:hideMark/>
          </w:tcPr>
          <w:p w14:paraId="035A363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1.555%</w:t>
            </w:r>
          </w:p>
        </w:tc>
        <w:tc>
          <w:tcPr>
            <w:tcW w:w="943" w:type="pct"/>
            <w:noWrap/>
            <w:vAlign w:val="bottom"/>
            <w:hideMark/>
          </w:tcPr>
          <w:p w14:paraId="36DEDEC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0.852%</w:t>
            </w:r>
          </w:p>
        </w:tc>
      </w:tr>
      <w:tr w:rsidR="00093F2A" w:rsidRPr="00201000" w14:paraId="01CF6293" w14:textId="77777777" w:rsidTr="00207B60">
        <w:trPr>
          <w:trHeight w:val="20"/>
        </w:trPr>
        <w:tc>
          <w:tcPr>
            <w:tcW w:w="1394" w:type="pct"/>
            <w:noWrap/>
            <w:vAlign w:val="bottom"/>
            <w:hideMark/>
          </w:tcPr>
          <w:p w14:paraId="390F9AF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(+1,+24) months</w:t>
            </w:r>
          </w:p>
        </w:tc>
        <w:tc>
          <w:tcPr>
            <w:tcW w:w="665" w:type="pct"/>
            <w:noWrap/>
            <w:vAlign w:val="bottom"/>
            <w:hideMark/>
          </w:tcPr>
          <w:p w14:paraId="26B8379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-11.446%</w:t>
            </w:r>
          </w:p>
        </w:tc>
        <w:tc>
          <w:tcPr>
            <w:tcW w:w="1055" w:type="pct"/>
            <w:noWrap/>
            <w:vAlign w:val="bottom"/>
            <w:hideMark/>
          </w:tcPr>
          <w:p w14:paraId="043A6BF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-7.153%</w:t>
            </w:r>
          </w:p>
        </w:tc>
        <w:tc>
          <w:tcPr>
            <w:tcW w:w="943" w:type="pct"/>
            <w:noWrap/>
            <w:vAlign w:val="bottom"/>
            <w:hideMark/>
          </w:tcPr>
          <w:p w14:paraId="504D763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-2.304%</w:t>
            </w:r>
          </w:p>
        </w:tc>
        <w:tc>
          <w:tcPr>
            <w:tcW w:w="943" w:type="pct"/>
            <w:noWrap/>
            <w:vAlign w:val="bottom"/>
            <w:hideMark/>
          </w:tcPr>
          <w:p w14:paraId="46BDFE3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-4.622%</w:t>
            </w:r>
          </w:p>
        </w:tc>
      </w:tr>
      <w:tr w:rsidR="00093F2A" w:rsidRPr="00201000" w14:paraId="382327C8" w14:textId="77777777" w:rsidTr="00207B60">
        <w:trPr>
          <w:trHeight w:val="20"/>
        </w:trPr>
        <w:tc>
          <w:tcPr>
            <w:tcW w:w="1394" w:type="pct"/>
            <w:noWrap/>
            <w:vAlign w:val="bottom"/>
            <w:hideMark/>
          </w:tcPr>
          <w:p w14:paraId="0C0550E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(+1,+36) months</w:t>
            </w:r>
          </w:p>
        </w:tc>
        <w:tc>
          <w:tcPr>
            <w:tcW w:w="665" w:type="pct"/>
            <w:noWrap/>
            <w:vAlign w:val="bottom"/>
            <w:hideMark/>
          </w:tcPr>
          <w:p w14:paraId="42FDB44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-17.640%</w:t>
            </w:r>
          </w:p>
        </w:tc>
        <w:tc>
          <w:tcPr>
            <w:tcW w:w="1055" w:type="pct"/>
            <w:noWrap/>
            <w:vAlign w:val="bottom"/>
            <w:hideMark/>
          </w:tcPr>
          <w:p w14:paraId="19F9795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-7.751%</w:t>
            </w:r>
          </w:p>
        </w:tc>
        <w:tc>
          <w:tcPr>
            <w:tcW w:w="943" w:type="pct"/>
            <w:noWrap/>
            <w:vAlign w:val="bottom"/>
            <w:hideMark/>
          </w:tcPr>
          <w:p w14:paraId="12B02D8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-2.881%</w:t>
            </w:r>
          </w:p>
        </w:tc>
        <w:tc>
          <w:tcPr>
            <w:tcW w:w="943" w:type="pct"/>
            <w:noWrap/>
            <w:vAlign w:val="bottom"/>
            <w:hideMark/>
          </w:tcPr>
          <w:p w14:paraId="0BCFA61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-4.271%</w:t>
            </w:r>
          </w:p>
        </w:tc>
      </w:tr>
      <w:tr w:rsidR="00093F2A" w:rsidRPr="00201000" w14:paraId="4E100C2A" w14:textId="77777777" w:rsidTr="00207B60">
        <w:trPr>
          <w:trHeight w:val="20"/>
        </w:trPr>
        <w:tc>
          <w:tcPr>
            <w:tcW w:w="1394" w:type="pct"/>
            <w:noWrap/>
            <w:vAlign w:val="bottom"/>
            <w:hideMark/>
          </w:tcPr>
          <w:p w14:paraId="37B9E75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Difference</w:t>
            </w:r>
          </w:p>
        </w:tc>
        <w:tc>
          <w:tcPr>
            <w:tcW w:w="665" w:type="pct"/>
            <w:noWrap/>
            <w:vAlign w:val="bottom"/>
            <w:hideMark/>
          </w:tcPr>
          <w:p w14:paraId="71EBE916"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259E8F5" w14:textId="77777777" w:rsidR="001E5D09" w:rsidRPr="00201000" w:rsidRDefault="001E5D09">
            <w:pPr>
              <w:spacing w:after="0"/>
              <w:rPr>
                <w:sz w:val="20"/>
                <w:szCs w:val="20"/>
              </w:rPr>
            </w:pPr>
          </w:p>
        </w:tc>
        <w:tc>
          <w:tcPr>
            <w:tcW w:w="943" w:type="pct"/>
            <w:noWrap/>
            <w:vAlign w:val="bottom"/>
            <w:hideMark/>
          </w:tcPr>
          <w:p w14:paraId="4E4AAB23" w14:textId="77777777" w:rsidR="001E5D09" w:rsidRPr="00201000" w:rsidRDefault="001E5D09">
            <w:pPr>
              <w:spacing w:after="0"/>
              <w:rPr>
                <w:sz w:val="20"/>
                <w:szCs w:val="20"/>
              </w:rPr>
            </w:pPr>
          </w:p>
        </w:tc>
        <w:tc>
          <w:tcPr>
            <w:tcW w:w="943" w:type="pct"/>
            <w:noWrap/>
            <w:vAlign w:val="bottom"/>
            <w:hideMark/>
          </w:tcPr>
          <w:p w14:paraId="21943709" w14:textId="77777777" w:rsidR="001E5D09" w:rsidRPr="00201000" w:rsidRDefault="001E5D09">
            <w:pPr>
              <w:spacing w:after="0"/>
              <w:rPr>
                <w:sz w:val="20"/>
                <w:szCs w:val="20"/>
              </w:rPr>
            </w:pPr>
          </w:p>
        </w:tc>
      </w:tr>
      <w:tr w:rsidR="00093F2A" w:rsidRPr="00201000" w14:paraId="69B802C0" w14:textId="77777777" w:rsidTr="00207B60">
        <w:trPr>
          <w:trHeight w:val="20"/>
        </w:trPr>
        <w:tc>
          <w:tcPr>
            <w:tcW w:w="1394" w:type="pct"/>
            <w:noWrap/>
            <w:vAlign w:val="bottom"/>
            <w:hideMark/>
          </w:tcPr>
          <w:p w14:paraId="58AF946D" w14:textId="77777777" w:rsidR="001E5D09" w:rsidRPr="00201000" w:rsidRDefault="001E5D09">
            <w:pPr>
              <w:spacing w:after="0"/>
              <w:rPr>
                <w:sz w:val="20"/>
                <w:szCs w:val="20"/>
              </w:rPr>
            </w:pPr>
          </w:p>
        </w:tc>
        <w:tc>
          <w:tcPr>
            <w:tcW w:w="665" w:type="pct"/>
            <w:noWrap/>
            <w:vAlign w:val="bottom"/>
            <w:hideMark/>
          </w:tcPr>
          <w:p w14:paraId="62DE0C6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Mean diff.</w:t>
            </w:r>
          </w:p>
        </w:tc>
        <w:tc>
          <w:tcPr>
            <w:tcW w:w="1055" w:type="pct"/>
            <w:noWrap/>
            <w:vAlign w:val="bottom"/>
            <w:hideMark/>
          </w:tcPr>
          <w:p w14:paraId="7B8E164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Median diff</w:t>
            </w:r>
          </w:p>
        </w:tc>
        <w:tc>
          <w:tcPr>
            <w:tcW w:w="943" w:type="pct"/>
            <w:noWrap/>
            <w:vAlign w:val="bottom"/>
            <w:hideMark/>
          </w:tcPr>
          <w:p w14:paraId="14FA1D6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t-stats</w:t>
            </w:r>
          </w:p>
        </w:tc>
        <w:tc>
          <w:tcPr>
            <w:tcW w:w="943" w:type="pct"/>
            <w:noWrap/>
            <w:vAlign w:val="bottom"/>
            <w:hideMark/>
          </w:tcPr>
          <w:p w14:paraId="5A46D07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Wilcoxon-stats</w:t>
            </w:r>
          </w:p>
        </w:tc>
      </w:tr>
      <w:tr w:rsidR="00093F2A" w:rsidRPr="00201000" w14:paraId="499C0CF6" w14:textId="77777777" w:rsidTr="00207B60">
        <w:trPr>
          <w:trHeight w:val="20"/>
        </w:trPr>
        <w:tc>
          <w:tcPr>
            <w:tcW w:w="1394" w:type="pct"/>
            <w:noWrap/>
            <w:vAlign w:val="bottom"/>
            <w:hideMark/>
          </w:tcPr>
          <w:p w14:paraId="534E6F5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(+1,+12) months</w:t>
            </w:r>
          </w:p>
        </w:tc>
        <w:tc>
          <w:tcPr>
            <w:tcW w:w="665" w:type="pct"/>
            <w:noWrap/>
            <w:vAlign w:val="bottom"/>
            <w:hideMark/>
          </w:tcPr>
          <w:p w14:paraId="03116207"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6.57%</w:t>
            </w:r>
          </w:p>
        </w:tc>
        <w:tc>
          <w:tcPr>
            <w:tcW w:w="1055" w:type="pct"/>
            <w:noWrap/>
            <w:vAlign w:val="bottom"/>
            <w:hideMark/>
          </w:tcPr>
          <w:p w14:paraId="4CEA53B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4.76%</w:t>
            </w:r>
          </w:p>
        </w:tc>
        <w:tc>
          <w:tcPr>
            <w:tcW w:w="943" w:type="pct"/>
            <w:noWrap/>
            <w:vAlign w:val="bottom"/>
            <w:hideMark/>
          </w:tcPr>
          <w:p w14:paraId="549ACE5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3.13***</w:t>
            </w:r>
          </w:p>
        </w:tc>
        <w:tc>
          <w:tcPr>
            <w:tcW w:w="943" w:type="pct"/>
            <w:noWrap/>
            <w:vAlign w:val="bottom"/>
            <w:hideMark/>
          </w:tcPr>
          <w:p w14:paraId="51EB43FC"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2.61***</w:t>
            </w:r>
          </w:p>
        </w:tc>
      </w:tr>
      <w:tr w:rsidR="00093F2A" w:rsidRPr="00201000" w14:paraId="5F148515" w14:textId="77777777" w:rsidTr="00207B60">
        <w:trPr>
          <w:trHeight w:val="20"/>
        </w:trPr>
        <w:tc>
          <w:tcPr>
            <w:tcW w:w="1394" w:type="pct"/>
            <w:noWrap/>
            <w:vAlign w:val="bottom"/>
            <w:hideMark/>
          </w:tcPr>
          <w:p w14:paraId="02AA213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(+1,+24) months</w:t>
            </w:r>
          </w:p>
        </w:tc>
        <w:tc>
          <w:tcPr>
            <w:tcW w:w="665" w:type="pct"/>
            <w:noWrap/>
            <w:vAlign w:val="bottom"/>
            <w:hideMark/>
          </w:tcPr>
          <w:p w14:paraId="53C931B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9.14%</w:t>
            </w:r>
          </w:p>
        </w:tc>
        <w:tc>
          <w:tcPr>
            <w:tcW w:w="1055" w:type="pct"/>
            <w:noWrap/>
            <w:vAlign w:val="bottom"/>
            <w:hideMark/>
          </w:tcPr>
          <w:p w14:paraId="68861C0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2.53%</w:t>
            </w:r>
          </w:p>
        </w:tc>
        <w:tc>
          <w:tcPr>
            <w:tcW w:w="943" w:type="pct"/>
            <w:noWrap/>
            <w:vAlign w:val="bottom"/>
            <w:hideMark/>
          </w:tcPr>
          <w:p w14:paraId="7BEEB08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2.41**</w:t>
            </w:r>
          </w:p>
        </w:tc>
        <w:tc>
          <w:tcPr>
            <w:tcW w:w="943" w:type="pct"/>
            <w:noWrap/>
            <w:vAlign w:val="bottom"/>
            <w:hideMark/>
          </w:tcPr>
          <w:p w14:paraId="0EF81A4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1.93*</w:t>
            </w:r>
          </w:p>
        </w:tc>
      </w:tr>
      <w:tr w:rsidR="00093F2A" w:rsidRPr="00201000" w14:paraId="6178B36D" w14:textId="77777777" w:rsidTr="00207B60">
        <w:trPr>
          <w:trHeight w:val="20"/>
        </w:trPr>
        <w:tc>
          <w:tcPr>
            <w:tcW w:w="1394" w:type="pct"/>
            <w:noWrap/>
            <w:vAlign w:val="bottom"/>
            <w:hideMark/>
          </w:tcPr>
          <w:p w14:paraId="3142636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(+1,+36) months</w:t>
            </w:r>
          </w:p>
        </w:tc>
        <w:tc>
          <w:tcPr>
            <w:tcW w:w="665" w:type="pct"/>
            <w:noWrap/>
            <w:vAlign w:val="bottom"/>
            <w:hideMark/>
          </w:tcPr>
          <w:p w14:paraId="5AED1C8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14.76%</w:t>
            </w:r>
          </w:p>
        </w:tc>
        <w:tc>
          <w:tcPr>
            <w:tcW w:w="1055" w:type="pct"/>
            <w:noWrap/>
            <w:vAlign w:val="bottom"/>
            <w:hideMark/>
          </w:tcPr>
          <w:p w14:paraId="556CF96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3.48%</w:t>
            </w:r>
          </w:p>
        </w:tc>
        <w:tc>
          <w:tcPr>
            <w:tcW w:w="943" w:type="pct"/>
            <w:noWrap/>
            <w:vAlign w:val="bottom"/>
            <w:hideMark/>
          </w:tcPr>
          <w:p w14:paraId="50A9D13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3.12***</w:t>
            </w:r>
          </w:p>
        </w:tc>
        <w:tc>
          <w:tcPr>
            <w:tcW w:w="943" w:type="pct"/>
            <w:noWrap/>
            <w:vAlign w:val="bottom"/>
            <w:hideMark/>
          </w:tcPr>
          <w:p w14:paraId="1DCD2106"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2.08**</w:t>
            </w:r>
          </w:p>
        </w:tc>
      </w:tr>
      <w:tr w:rsidR="00093F2A" w:rsidRPr="00201000" w14:paraId="610013ED" w14:textId="77777777" w:rsidTr="00207B60">
        <w:trPr>
          <w:trHeight w:val="20"/>
        </w:trPr>
        <w:tc>
          <w:tcPr>
            <w:tcW w:w="1394" w:type="pct"/>
            <w:noWrap/>
            <w:vAlign w:val="bottom"/>
            <w:hideMark/>
          </w:tcPr>
          <w:p w14:paraId="6E884B0A"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7DB3B4CB" w14:textId="77777777" w:rsidR="001E5D09" w:rsidRPr="00201000" w:rsidRDefault="001E5D09">
            <w:pPr>
              <w:spacing w:after="0"/>
              <w:rPr>
                <w:sz w:val="20"/>
                <w:szCs w:val="20"/>
              </w:rPr>
            </w:pPr>
          </w:p>
        </w:tc>
        <w:tc>
          <w:tcPr>
            <w:tcW w:w="1055" w:type="pct"/>
            <w:noWrap/>
            <w:vAlign w:val="bottom"/>
            <w:hideMark/>
          </w:tcPr>
          <w:p w14:paraId="722BBAD1" w14:textId="77777777" w:rsidR="001E5D09" w:rsidRPr="00201000" w:rsidRDefault="001E5D09">
            <w:pPr>
              <w:spacing w:after="0"/>
              <w:rPr>
                <w:sz w:val="20"/>
                <w:szCs w:val="20"/>
              </w:rPr>
            </w:pPr>
          </w:p>
        </w:tc>
        <w:tc>
          <w:tcPr>
            <w:tcW w:w="943" w:type="pct"/>
            <w:noWrap/>
            <w:vAlign w:val="bottom"/>
            <w:hideMark/>
          </w:tcPr>
          <w:p w14:paraId="12AAD37F" w14:textId="77777777" w:rsidR="001E5D09" w:rsidRPr="00201000" w:rsidRDefault="001E5D09">
            <w:pPr>
              <w:spacing w:after="0"/>
              <w:rPr>
                <w:sz w:val="20"/>
                <w:szCs w:val="20"/>
              </w:rPr>
            </w:pPr>
          </w:p>
        </w:tc>
        <w:tc>
          <w:tcPr>
            <w:tcW w:w="943" w:type="pct"/>
            <w:noWrap/>
            <w:vAlign w:val="bottom"/>
            <w:hideMark/>
          </w:tcPr>
          <w:p w14:paraId="3E807472" w14:textId="77777777" w:rsidR="001E5D09" w:rsidRPr="00201000" w:rsidRDefault="001E5D09">
            <w:pPr>
              <w:spacing w:after="0"/>
              <w:rPr>
                <w:sz w:val="20"/>
                <w:szCs w:val="20"/>
              </w:rPr>
            </w:pPr>
          </w:p>
        </w:tc>
      </w:tr>
      <w:tr w:rsidR="00FE4E82" w:rsidRPr="00201000" w14:paraId="5B57DE56" w14:textId="77777777" w:rsidTr="00FE4E82">
        <w:trPr>
          <w:trHeight w:val="20"/>
        </w:trPr>
        <w:tc>
          <w:tcPr>
            <w:tcW w:w="5000" w:type="pct"/>
            <w:gridSpan w:val="5"/>
            <w:tcBorders>
              <w:top w:val="single" w:sz="4" w:space="0" w:color="auto"/>
              <w:left w:val="nil"/>
              <w:bottom w:val="nil"/>
              <w:right w:val="nil"/>
            </w:tcBorders>
            <w:noWrap/>
            <w:vAlign w:val="bottom"/>
            <w:hideMark/>
          </w:tcPr>
          <w:p w14:paraId="356AC016" w14:textId="6E79A7F6" w:rsidR="00FE4E82" w:rsidRPr="00FE4E82" w:rsidRDefault="00FE4E82">
            <w:pPr>
              <w:spacing w:after="0" w:line="240" w:lineRule="auto"/>
              <w:rPr>
                <w:rFonts w:ascii="Gill Sans MT" w:eastAsia="Times New Roman" w:hAnsi="Gill Sans MT" w:cs="Calibri"/>
                <w:b/>
                <w:bCs/>
                <w:i/>
                <w:iCs/>
                <w:sz w:val="20"/>
                <w:szCs w:val="20"/>
              </w:rPr>
            </w:pPr>
            <w:r w:rsidRPr="00201000">
              <w:rPr>
                <w:rFonts w:ascii="Gill Sans MT" w:eastAsia="Times New Roman" w:hAnsi="Gill Sans MT" w:cs="Calibri"/>
                <w:b/>
                <w:bCs/>
                <w:i/>
                <w:iCs/>
                <w:sz w:val="20"/>
                <w:szCs w:val="20"/>
              </w:rPr>
              <w:t>Panel B – BHAR Regressions</w:t>
            </w:r>
          </w:p>
        </w:tc>
      </w:tr>
      <w:tr w:rsidR="00093F2A" w:rsidRPr="00201000" w14:paraId="1525F2E7" w14:textId="77777777" w:rsidTr="00207B60">
        <w:trPr>
          <w:trHeight w:val="20"/>
        </w:trPr>
        <w:tc>
          <w:tcPr>
            <w:tcW w:w="1394" w:type="pct"/>
            <w:noWrap/>
            <w:vAlign w:val="bottom"/>
            <w:hideMark/>
          </w:tcPr>
          <w:p w14:paraId="54F97AFB"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01EFE50D" w14:textId="77777777" w:rsidR="001E5D09" w:rsidRPr="00201000" w:rsidRDefault="001E5D09">
            <w:pPr>
              <w:spacing w:after="0"/>
              <w:rPr>
                <w:sz w:val="20"/>
                <w:szCs w:val="20"/>
              </w:rPr>
            </w:pPr>
          </w:p>
        </w:tc>
        <w:tc>
          <w:tcPr>
            <w:tcW w:w="1055" w:type="pct"/>
            <w:noWrap/>
            <w:vAlign w:val="bottom"/>
            <w:hideMark/>
          </w:tcPr>
          <w:p w14:paraId="6B32CC7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Model 1</w:t>
            </w:r>
          </w:p>
        </w:tc>
        <w:tc>
          <w:tcPr>
            <w:tcW w:w="943" w:type="pct"/>
            <w:noWrap/>
            <w:vAlign w:val="bottom"/>
            <w:hideMark/>
          </w:tcPr>
          <w:p w14:paraId="16DB83B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Model 2</w:t>
            </w:r>
          </w:p>
        </w:tc>
        <w:tc>
          <w:tcPr>
            <w:tcW w:w="943" w:type="pct"/>
            <w:noWrap/>
            <w:vAlign w:val="bottom"/>
            <w:hideMark/>
          </w:tcPr>
          <w:p w14:paraId="7E581B8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Model 3</w:t>
            </w:r>
          </w:p>
        </w:tc>
      </w:tr>
      <w:tr w:rsidR="00093F2A" w:rsidRPr="00201000" w14:paraId="38C67878" w14:textId="77777777" w:rsidTr="00207B60">
        <w:trPr>
          <w:trHeight w:val="20"/>
        </w:trPr>
        <w:tc>
          <w:tcPr>
            <w:tcW w:w="1394" w:type="pct"/>
            <w:tcBorders>
              <w:top w:val="nil"/>
              <w:left w:val="nil"/>
              <w:bottom w:val="single" w:sz="4" w:space="0" w:color="auto"/>
              <w:right w:val="nil"/>
            </w:tcBorders>
            <w:noWrap/>
            <w:vAlign w:val="bottom"/>
            <w:hideMark/>
          </w:tcPr>
          <w:p w14:paraId="6BE4330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Variables</w:t>
            </w:r>
          </w:p>
        </w:tc>
        <w:tc>
          <w:tcPr>
            <w:tcW w:w="665" w:type="pct"/>
            <w:tcBorders>
              <w:top w:val="nil"/>
              <w:left w:val="nil"/>
              <w:bottom w:val="single" w:sz="4" w:space="0" w:color="auto"/>
              <w:right w:val="nil"/>
            </w:tcBorders>
            <w:noWrap/>
            <w:vAlign w:val="bottom"/>
            <w:hideMark/>
          </w:tcPr>
          <w:p w14:paraId="2C8571D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 </w:t>
            </w:r>
          </w:p>
        </w:tc>
        <w:tc>
          <w:tcPr>
            <w:tcW w:w="1055" w:type="pct"/>
            <w:tcBorders>
              <w:top w:val="nil"/>
              <w:left w:val="nil"/>
              <w:bottom w:val="single" w:sz="4" w:space="0" w:color="auto"/>
              <w:right w:val="nil"/>
            </w:tcBorders>
            <w:noWrap/>
            <w:vAlign w:val="bottom"/>
            <w:hideMark/>
          </w:tcPr>
          <w:p w14:paraId="166D6C9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(+1,+12) months</w:t>
            </w:r>
          </w:p>
        </w:tc>
        <w:tc>
          <w:tcPr>
            <w:tcW w:w="943" w:type="pct"/>
            <w:tcBorders>
              <w:top w:val="nil"/>
              <w:left w:val="nil"/>
              <w:bottom w:val="single" w:sz="4" w:space="0" w:color="auto"/>
              <w:right w:val="nil"/>
            </w:tcBorders>
            <w:noWrap/>
            <w:vAlign w:val="bottom"/>
            <w:hideMark/>
          </w:tcPr>
          <w:p w14:paraId="7EEAF59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(+1,+24) months</w:t>
            </w:r>
          </w:p>
        </w:tc>
        <w:tc>
          <w:tcPr>
            <w:tcW w:w="943" w:type="pct"/>
            <w:tcBorders>
              <w:top w:val="nil"/>
              <w:left w:val="nil"/>
              <w:bottom w:val="single" w:sz="4" w:space="0" w:color="auto"/>
              <w:right w:val="nil"/>
            </w:tcBorders>
            <w:noWrap/>
            <w:vAlign w:val="bottom"/>
            <w:hideMark/>
          </w:tcPr>
          <w:p w14:paraId="16DD099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(+1,+36) months</w:t>
            </w:r>
          </w:p>
        </w:tc>
      </w:tr>
      <w:tr w:rsidR="00093F2A" w:rsidRPr="00201000" w14:paraId="70405D84" w14:textId="77777777" w:rsidTr="00207B60">
        <w:trPr>
          <w:trHeight w:val="20"/>
        </w:trPr>
        <w:tc>
          <w:tcPr>
            <w:tcW w:w="1394" w:type="pct"/>
            <w:noWrap/>
            <w:vAlign w:val="bottom"/>
            <w:hideMark/>
          </w:tcPr>
          <w:p w14:paraId="3108626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PRIVATE EQUITY</w:t>
            </w:r>
          </w:p>
        </w:tc>
        <w:tc>
          <w:tcPr>
            <w:tcW w:w="665" w:type="pct"/>
            <w:noWrap/>
            <w:vAlign w:val="bottom"/>
            <w:hideMark/>
          </w:tcPr>
          <w:p w14:paraId="29B48002"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C9F9E1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0.034</w:t>
            </w:r>
          </w:p>
        </w:tc>
        <w:tc>
          <w:tcPr>
            <w:tcW w:w="943" w:type="pct"/>
            <w:noWrap/>
            <w:vAlign w:val="bottom"/>
            <w:hideMark/>
          </w:tcPr>
          <w:p w14:paraId="628108F6"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0.038</w:t>
            </w:r>
          </w:p>
        </w:tc>
        <w:tc>
          <w:tcPr>
            <w:tcW w:w="943" w:type="pct"/>
            <w:noWrap/>
            <w:vAlign w:val="bottom"/>
            <w:hideMark/>
          </w:tcPr>
          <w:p w14:paraId="0B41A41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0.040</w:t>
            </w:r>
          </w:p>
        </w:tc>
      </w:tr>
      <w:tr w:rsidR="00093F2A" w:rsidRPr="00201000" w14:paraId="3D7C7EB2" w14:textId="77777777" w:rsidTr="00207B60">
        <w:trPr>
          <w:trHeight w:val="20"/>
        </w:trPr>
        <w:tc>
          <w:tcPr>
            <w:tcW w:w="1394" w:type="pct"/>
            <w:noWrap/>
            <w:vAlign w:val="bottom"/>
            <w:hideMark/>
          </w:tcPr>
          <w:p w14:paraId="70509161"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5DE61CF7" w14:textId="77777777" w:rsidR="001E5D09" w:rsidRPr="00201000" w:rsidRDefault="001E5D09">
            <w:pPr>
              <w:spacing w:after="0"/>
              <w:rPr>
                <w:sz w:val="20"/>
                <w:szCs w:val="20"/>
              </w:rPr>
            </w:pPr>
          </w:p>
        </w:tc>
        <w:tc>
          <w:tcPr>
            <w:tcW w:w="1055" w:type="pct"/>
            <w:noWrap/>
            <w:vAlign w:val="bottom"/>
            <w:hideMark/>
          </w:tcPr>
          <w:p w14:paraId="5FF20AC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(1.487)</w:t>
            </w:r>
          </w:p>
        </w:tc>
        <w:tc>
          <w:tcPr>
            <w:tcW w:w="943" w:type="pct"/>
            <w:noWrap/>
            <w:vAlign w:val="bottom"/>
            <w:hideMark/>
          </w:tcPr>
          <w:p w14:paraId="6393F5A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(1.654*)</w:t>
            </w:r>
          </w:p>
        </w:tc>
        <w:tc>
          <w:tcPr>
            <w:tcW w:w="943" w:type="pct"/>
            <w:noWrap/>
            <w:vAlign w:val="bottom"/>
            <w:hideMark/>
          </w:tcPr>
          <w:p w14:paraId="3E4378C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(2.206**)</w:t>
            </w:r>
          </w:p>
        </w:tc>
      </w:tr>
      <w:tr w:rsidR="00093F2A" w:rsidRPr="00201000" w14:paraId="1A1718FB" w14:textId="77777777" w:rsidTr="00207B60">
        <w:trPr>
          <w:trHeight w:val="20"/>
        </w:trPr>
        <w:tc>
          <w:tcPr>
            <w:tcW w:w="1394" w:type="pct"/>
            <w:noWrap/>
            <w:vAlign w:val="bottom"/>
            <w:hideMark/>
          </w:tcPr>
          <w:p w14:paraId="6C1552C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RELSIZE</w:t>
            </w:r>
          </w:p>
        </w:tc>
        <w:tc>
          <w:tcPr>
            <w:tcW w:w="665" w:type="pct"/>
            <w:noWrap/>
            <w:vAlign w:val="bottom"/>
            <w:hideMark/>
          </w:tcPr>
          <w:p w14:paraId="091637AD"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34629A2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-0.040</w:t>
            </w:r>
          </w:p>
        </w:tc>
        <w:tc>
          <w:tcPr>
            <w:tcW w:w="943" w:type="pct"/>
            <w:noWrap/>
            <w:vAlign w:val="bottom"/>
            <w:hideMark/>
          </w:tcPr>
          <w:p w14:paraId="45BF92E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-0.090</w:t>
            </w:r>
          </w:p>
        </w:tc>
        <w:tc>
          <w:tcPr>
            <w:tcW w:w="943" w:type="pct"/>
            <w:noWrap/>
            <w:vAlign w:val="bottom"/>
            <w:hideMark/>
          </w:tcPr>
          <w:p w14:paraId="617329C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-0.049</w:t>
            </w:r>
          </w:p>
        </w:tc>
      </w:tr>
      <w:tr w:rsidR="00093F2A" w:rsidRPr="00201000" w14:paraId="7502A907" w14:textId="77777777" w:rsidTr="00207B60">
        <w:trPr>
          <w:trHeight w:val="20"/>
        </w:trPr>
        <w:tc>
          <w:tcPr>
            <w:tcW w:w="1394" w:type="pct"/>
            <w:noWrap/>
            <w:vAlign w:val="bottom"/>
            <w:hideMark/>
          </w:tcPr>
          <w:p w14:paraId="03260C8F"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65BC8657" w14:textId="77777777" w:rsidR="001E5D09" w:rsidRPr="00201000" w:rsidRDefault="001E5D09">
            <w:pPr>
              <w:spacing w:after="0"/>
              <w:rPr>
                <w:sz w:val="20"/>
                <w:szCs w:val="20"/>
              </w:rPr>
            </w:pPr>
          </w:p>
        </w:tc>
        <w:tc>
          <w:tcPr>
            <w:tcW w:w="1055" w:type="pct"/>
            <w:noWrap/>
            <w:vAlign w:val="bottom"/>
            <w:hideMark/>
          </w:tcPr>
          <w:p w14:paraId="0C7AA0E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(-1.085)</w:t>
            </w:r>
          </w:p>
        </w:tc>
        <w:tc>
          <w:tcPr>
            <w:tcW w:w="943" w:type="pct"/>
            <w:noWrap/>
            <w:vAlign w:val="bottom"/>
            <w:hideMark/>
          </w:tcPr>
          <w:p w14:paraId="577AD07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(-2.724***)</w:t>
            </w:r>
          </w:p>
        </w:tc>
        <w:tc>
          <w:tcPr>
            <w:tcW w:w="943" w:type="pct"/>
            <w:noWrap/>
            <w:vAlign w:val="bottom"/>
            <w:hideMark/>
          </w:tcPr>
          <w:p w14:paraId="1D9B972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(-1.631)</w:t>
            </w:r>
          </w:p>
        </w:tc>
      </w:tr>
      <w:tr w:rsidR="00093F2A" w:rsidRPr="00201000" w14:paraId="02B68D89" w14:textId="77777777" w:rsidTr="00207B60">
        <w:trPr>
          <w:trHeight w:val="20"/>
        </w:trPr>
        <w:tc>
          <w:tcPr>
            <w:tcW w:w="1394" w:type="pct"/>
            <w:noWrap/>
            <w:vAlign w:val="bottom"/>
            <w:hideMark/>
          </w:tcPr>
          <w:p w14:paraId="021B670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RELATED TARGETS</w:t>
            </w:r>
          </w:p>
        </w:tc>
        <w:tc>
          <w:tcPr>
            <w:tcW w:w="665" w:type="pct"/>
            <w:noWrap/>
            <w:vAlign w:val="bottom"/>
            <w:hideMark/>
          </w:tcPr>
          <w:p w14:paraId="704C708D"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3F86B87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0.061</w:t>
            </w:r>
          </w:p>
        </w:tc>
        <w:tc>
          <w:tcPr>
            <w:tcW w:w="943" w:type="pct"/>
            <w:noWrap/>
            <w:vAlign w:val="bottom"/>
            <w:hideMark/>
          </w:tcPr>
          <w:p w14:paraId="2E5FF66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0.045</w:t>
            </w:r>
          </w:p>
        </w:tc>
        <w:tc>
          <w:tcPr>
            <w:tcW w:w="943" w:type="pct"/>
            <w:noWrap/>
            <w:vAlign w:val="bottom"/>
            <w:hideMark/>
          </w:tcPr>
          <w:p w14:paraId="327D0F0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0.015</w:t>
            </w:r>
          </w:p>
        </w:tc>
      </w:tr>
      <w:tr w:rsidR="00093F2A" w:rsidRPr="00201000" w14:paraId="36D338C1" w14:textId="77777777" w:rsidTr="00207B60">
        <w:trPr>
          <w:trHeight w:val="20"/>
        </w:trPr>
        <w:tc>
          <w:tcPr>
            <w:tcW w:w="1394" w:type="pct"/>
            <w:noWrap/>
            <w:vAlign w:val="bottom"/>
            <w:hideMark/>
          </w:tcPr>
          <w:p w14:paraId="30607C44"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008BF8BA" w14:textId="77777777" w:rsidR="001E5D09" w:rsidRPr="00201000" w:rsidRDefault="001E5D09">
            <w:pPr>
              <w:spacing w:after="0"/>
              <w:rPr>
                <w:sz w:val="20"/>
                <w:szCs w:val="20"/>
              </w:rPr>
            </w:pPr>
          </w:p>
        </w:tc>
        <w:tc>
          <w:tcPr>
            <w:tcW w:w="1055" w:type="pct"/>
            <w:noWrap/>
            <w:vAlign w:val="bottom"/>
            <w:hideMark/>
          </w:tcPr>
          <w:p w14:paraId="14D1AEA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(1.816*)</w:t>
            </w:r>
          </w:p>
        </w:tc>
        <w:tc>
          <w:tcPr>
            <w:tcW w:w="943" w:type="pct"/>
            <w:noWrap/>
            <w:vAlign w:val="bottom"/>
            <w:hideMark/>
          </w:tcPr>
          <w:p w14:paraId="4B25B6D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(1.570)</w:t>
            </w:r>
          </w:p>
        </w:tc>
        <w:tc>
          <w:tcPr>
            <w:tcW w:w="943" w:type="pct"/>
            <w:noWrap/>
            <w:vAlign w:val="bottom"/>
            <w:hideMark/>
          </w:tcPr>
          <w:p w14:paraId="00E39B8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(0.585)</w:t>
            </w:r>
          </w:p>
        </w:tc>
      </w:tr>
      <w:tr w:rsidR="00093F2A" w:rsidRPr="00201000" w14:paraId="2FE66B5E" w14:textId="77777777" w:rsidTr="00207B60">
        <w:trPr>
          <w:trHeight w:val="20"/>
        </w:trPr>
        <w:tc>
          <w:tcPr>
            <w:tcW w:w="1394" w:type="pct"/>
            <w:noWrap/>
            <w:vAlign w:val="bottom"/>
            <w:hideMark/>
          </w:tcPr>
          <w:p w14:paraId="6035175C"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PUBLIC TARGETS</w:t>
            </w:r>
          </w:p>
        </w:tc>
        <w:tc>
          <w:tcPr>
            <w:tcW w:w="665" w:type="pct"/>
            <w:noWrap/>
            <w:vAlign w:val="bottom"/>
            <w:hideMark/>
          </w:tcPr>
          <w:p w14:paraId="6FCE0228"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4D359B4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0.066</w:t>
            </w:r>
          </w:p>
        </w:tc>
        <w:tc>
          <w:tcPr>
            <w:tcW w:w="943" w:type="pct"/>
            <w:noWrap/>
            <w:vAlign w:val="bottom"/>
            <w:hideMark/>
          </w:tcPr>
          <w:p w14:paraId="1C9328F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0.031</w:t>
            </w:r>
          </w:p>
        </w:tc>
        <w:tc>
          <w:tcPr>
            <w:tcW w:w="943" w:type="pct"/>
            <w:noWrap/>
            <w:vAlign w:val="bottom"/>
            <w:hideMark/>
          </w:tcPr>
          <w:p w14:paraId="5496953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0.051</w:t>
            </w:r>
          </w:p>
        </w:tc>
      </w:tr>
      <w:tr w:rsidR="00093F2A" w:rsidRPr="00201000" w14:paraId="20F6E12A" w14:textId="77777777" w:rsidTr="00207B60">
        <w:trPr>
          <w:trHeight w:val="20"/>
        </w:trPr>
        <w:tc>
          <w:tcPr>
            <w:tcW w:w="1394" w:type="pct"/>
            <w:noWrap/>
            <w:vAlign w:val="bottom"/>
            <w:hideMark/>
          </w:tcPr>
          <w:p w14:paraId="35B1C493"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7FCF038E" w14:textId="77777777" w:rsidR="001E5D09" w:rsidRPr="00201000" w:rsidRDefault="001E5D09">
            <w:pPr>
              <w:spacing w:after="0"/>
              <w:rPr>
                <w:sz w:val="20"/>
                <w:szCs w:val="20"/>
              </w:rPr>
            </w:pPr>
          </w:p>
        </w:tc>
        <w:tc>
          <w:tcPr>
            <w:tcW w:w="1055" w:type="pct"/>
            <w:noWrap/>
            <w:vAlign w:val="bottom"/>
            <w:hideMark/>
          </w:tcPr>
          <w:p w14:paraId="43C85BB7"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(2.009**)</w:t>
            </w:r>
          </w:p>
        </w:tc>
        <w:tc>
          <w:tcPr>
            <w:tcW w:w="943" w:type="pct"/>
            <w:noWrap/>
            <w:vAlign w:val="bottom"/>
            <w:hideMark/>
          </w:tcPr>
          <w:p w14:paraId="7873628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(1.029)</w:t>
            </w:r>
          </w:p>
        </w:tc>
        <w:tc>
          <w:tcPr>
            <w:tcW w:w="943" w:type="pct"/>
            <w:noWrap/>
            <w:vAlign w:val="bottom"/>
            <w:hideMark/>
          </w:tcPr>
          <w:p w14:paraId="7D96E5B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(1.823*)</w:t>
            </w:r>
          </w:p>
        </w:tc>
      </w:tr>
      <w:tr w:rsidR="00093F2A" w:rsidRPr="00201000" w14:paraId="14805CB5" w14:textId="77777777" w:rsidTr="00207B60">
        <w:trPr>
          <w:trHeight w:val="20"/>
        </w:trPr>
        <w:tc>
          <w:tcPr>
            <w:tcW w:w="1394" w:type="pct"/>
            <w:noWrap/>
            <w:vAlign w:val="bottom"/>
            <w:hideMark/>
          </w:tcPr>
          <w:p w14:paraId="3A28D9B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DOMESTIC TARGETS</w:t>
            </w:r>
          </w:p>
        </w:tc>
        <w:tc>
          <w:tcPr>
            <w:tcW w:w="665" w:type="pct"/>
            <w:noWrap/>
            <w:vAlign w:val="bottom"/>
            <w:hideMark/>
          </w:tcPr>
          <w:p w14:paraId="4C34B93D"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1DB333C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0.014</w:t>
            </w:r>
          </w:p>
        </w:tc>
        <w:tc>
          <w:tcPr>
            <w:tcW w:w="943" w:type="pct"/>
            <w:noWrap/>
            <w:vAlign w:val="bottom"/>
            <w:hideMark/>
          </w:tcPr>
          <w:p w14:paraId="7ED5176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0.050</w:t>
            </w:r>
          </w:p>
        </w:tc>
        <w:tc>
          <w:tcPr>
            <w:tcW w:w="943" w:type="pct"/>
            <w:noWrap/>
            <w:vAlign w:val="bottom"/>
            <w:hideMark/>
          </w:tcPr>
          <w:p w14:paraId="4FEEBAC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0.044</w:t>
            </w:r>
          </w:p>
        </w:tc>
      </w:tr>
      <w:tr w:rsidR="00093F2A" w:rsidRPr="00201000" w14:paraId="6793D874" w14:textId="77777777" w:rsidTr="00207B60">
        <w:trPr>
          <w:trHeight w:val="20"/>
        </w:trPr>
        <w:tc>
          <w:tcPr>
            <w:tcW w:w="1394" w:type="pct"/>
            <w:noWrap/>
            <w:vAlign w:val="bottom"/>
            <w:hideMark/>
          </w:tcPr>
          <w:p w14:paraId="1B713B43"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61FB32F5" w14:textId="77777777" w:rsidR="001E5D09" w:rsidRPr="00201000" w:rsidRDefault="001E5D09">
            <w:pPr>
              <w:spacing w:after="0"/>
              <w:rPr>
                <w:sz w:val="20"/>
                <w:szCs w:val="20"/>
              </w:rPr>
            </w:pPr>
          </w:p>
        </w:tc>
        <w:tc>
          <w:tcPr>
            <w:tcW w:w="1055" w:type="pct"/>
            <w:noWrap/>
            <w:vAlign w:val="bottom"/>
            <w:hideMark/>
          </w:tcPr>
          <w:p w14:paraId="7CDED4F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(0.407)</w:t>
            </w:r>
          </w:p>
        </w:tc>
        <w:tc>
          <w:tcPr>
            <w:tcW w:w="943" w:type="pct"/>
            <w:noWrap/>
            <w:vAlign w:val="bottom"/>
            <w:hideMark/>
          </w:tcPr>
          <w:p w14:paraId="0B9DF50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(2.062**)</w:t>
            </w:r>
          </w:p>
        </w:tc>
        <w:tc>
          <w:tcPr>
            <w:tcW w:w="943" w:type="pct"/>
            <w:noWrap/>
            <w:vAlign w:val="bottom"/>
            <w:hideMark/>
          </w:tcPr>
          <w:p w14:paraId="45CD146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(1.965**)</w:t>
            </w:r>
          </w:p>
        </w:tc>
      </w:tr>
      <w:tr w:rsidR="00093F2A" w:rsidRPr="00201000" w14:paraId="54CD3F0F" w14:textId="77777777" w:rsidTr="00207B60">
        <w:trPr>
          <w:trHeight w:val="20"/>
        </w:trPr>
        <w:tc>
          <w:tcPr>
            <w:tcW w:w="1394" w:type="pct"/>
            <w:noWrap/>
            <w:vAlign w:val="bottom"/>
            <w:hideMark/>
          </w:tcPr>
          <w:p w14:paraId="2DE3C6B7"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CASH ONLY</w:t>
            </w:r>
          </w:p>
        </w:tc>
        <w:tc>
          <w:tcPr>
            <w:tcW w:w="665" w:type="pct"/>
            <w:noWrap/>
            <w:vAlign w:val="bottom"/>
            <w:hideMark/>
          </w:tcPr>
          <w:p w14:paraId="164B1587"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5985949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0.067</w:t>
            </w:r>
          </w:p>
        </w:tc>
        <w:tc>
          <w:tcPr>
            <w:tcW w:w="943" w:type="pct"/>
            <w:noWrap/>
            <w:vAlign w:val="bottom"/>
            <w:hideMark/>
          </w:tcPr>
          <w:p w14:paraId="74A32A3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0.036</w:t>
            </w:r>
          </w:p>
        </w:tc>
        <w:tc>
          <w:tcPr>
            <w:tcW w:w="943" w:type="pct"/>
            <w:noWrap/>
            <w:vAlign w:val="bottom"/>
            <w:hideMark/>
          </w:tcPr>
          <w:p w14:paraId="32968DD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0.068</w:t>
            </w:r>
          </w:p>
        </w:tc>
      </w:tr>
      <w:tr w:rsidR="00093F2A" w:rsidRPr="00201000" w14:paraId="1E7A711A" w14:textId="77777777" w:rsidTr="00207B60">
        <w:trPr>
          <w:trHeight w:val="20"/>
        </w:trPr>
        <w:tc>
          <w:tcPr>
            <w:tcW w:w="1394" w:type="pct"/>
            <w:noWrap/>
            <w:vAlign w:val="bottom"/>
            <w:hideMark/>
          </w:tcPr>
          <w:p w14:paraId="60F9123E"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4E3DAEA9" w14:textId="77777777" w:rsidR="001E5D09" w:rsidRPr="00201000" w:rsidRDefault="001E5D09">
            <w:pPr>
              <w:spacing w:after="0"/>
              <w:rPr>
                <w:sz w:val="20"/>
                <w:szCs w:val="20"/>
              </w:rPr>
            </w:pPr>
          </w:p>
        </w:tc>
        <w:tc>
          <w:tcPr>
            <w:tcW w:w="1055" w:type="pct"/>
            <w:noWrap/>
            <w:vAlign w:val="bottom"/>
            <w:hideMark/>
          </w:tcPr>
          <w:p w14:paraId="2F6276F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(2.261**)</w:t>
            </w:r>
          </w:p>
        </w:tc>
        <w:tc>
          <w:tcPr>
            <w:tcW w:w="943" w:type="pct"/>
            <w:noWrap/>
            <w:vAlign w:val="bottom"/>
            <w:hideMark/>
          </w:tcPr>
          <w:p w14:paraId="6F79C47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(1.243)</w:t>
            </w:r>
          </w:p>
        </w:tc>
        <w:tc>
          <w:tcPr>
            <w:tcW w:w="943" w:type="pct"/>
            <w:noWrap/>
            <w:vAlign w:val="bottom"/>
            <w:hideMark/>
          </w:tcPr>
          <w:p w14:paraId="2D728C3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(2.664***)</w:t>
            </w:r>
          </w:p>
        </w:tc>
      </w:tr>
      <w:tr w:rsidR="00093F2A" w:rsidRPr="00201000" w14:paraId="1F777A28" w14:textId="77777777" w:rsidTr="00207B60">
        <w:trPr>
          <w:trHeight w:val="20"/>
        </w:trPr>
        <w:tc>
          <w:tcPr>
            <w:tcW w:w="1394" w:type="pct"/>
            <w:noWrap/>
            <w:vAlign w:val="bottom"/>
            <w:hideMark/>
          </w:tcPr>
          <w:p w14:paraId="5A51B8B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STOCK ONLY</w:t>
            </w:r>
          </w:p>
        </w:tc>
        <w:tc>
          <w:tcPr>
            <w:tcW w:w="665" w:type="pct"/>
            <w:noWrap/>
            <w:vAlign w:val="center"/>
            <w:hideMark/>
          </w:tcPr>
          <w:p w14:paraId="0C289FF3"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D8CE1B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-0.038</w:t>
            </w:r>
          </w:p>
        </w:tc>
        <w:tc>
          <w:tcPr>
            <w:tcW w:w="943" w:type="pct"/>
            <w:noWrap/>
            <w:vAlign w:val="bottom"/>
            <w:hideMark/>
          </w:tcPr>
          <w:p w14:paraId="70BC7C1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0.011</w:t>
            </w:r>
          </w:p>
        </w:tc>
        <w:tc>
          <w:tcPr>
            <w:tcW w:w="943" w:type="pct"/>
            <w:noWrap/>
            <w:vAlign w:val="bottom"/>
            <w:hideMark/>
          </w:tcPr>
          <w:p w14:paraId="09F1E1F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0.003</w:t>
            </w:r>
          </w:p>
        </w:tc>
      </w:tr>
      <w:tr w:rsidR="00093F2A" w:rsidRPr="00201000" w14:paraId="6BB88D67" w14:textId="77777777" w:rsidTr="00207B60">
        <w:trPr>
          <w:trHeight w:val="20"/>
        </w:trPr>
        <w:tc>
          <w:tcPr>
            <w:tcW w:w="1394" w:type="pct"/>
            <w:noWrap/>
            <w:vAlign w:val="bottom"/>
            <w:hideMark/>
          </w:tcPr>
          <w:p w14:paraId="459622CD" w14:textId="77777777" w:rsidR="001E5D09" w:rsidRPr="00201000" w:rsidRDefault="001E5D09">
            <w:pPr>
              <w:rPr>
                <w:rFonts w:ascii="Gill Sans MT" w:eastAsia="Times New Roman" w:hAnsi="Gill Sans MT" w:cs="Calibri"/>
                <w:sz w:val="20"/>
                <w:szCs w:val="20"/>
              </w:rPr>
            </w:pPr>
          </w:p>
        </w:tc>
        <w:tc>
          <w:tcPr>
            <w:tcW w:w="665" w:type="pct"/>
            <w:noWrap/>
            <w:vAlign w:val="center"/>
            <w:hideMark/>
          </w:tcPr>
          <w:p w14:paraId="2BC1FD3F" w14:textId="77777777" w:rsidR="001E5D09" w:rsidRPr="00201000" w:rsidRDefault="001E5D09">
            <w:pPr>
              <w:spacing w:after="0"/>
              <w:rPr>
                <w:sz w:val="20"/>
                <w:szCs w:val="20"/>
              </w:rPr>
            </w:pPr>
          </w:p>
        </w:tc>
        <w:tc>
          <w:tcPr>
            <w:tcW w:w="1055" w:type="pct"/>
            <w:noWrap/>
            <w:vAlign w:val="bottom"/>
            <w:hideMark/>
          </w:tcPr>
          <w:p w14:paraId="4C1D2D8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(-1.316)</w:t>
            </w:r>
          </w:p>
        </w:tc>
        <w:tc>
          <w:tcPr>
            <w:tcW w:w="943" w:type="pct"/>
            <w:noWrap/>
            <w:vAlign w:val="bottom"/>
            <w:hideMark/>
          </w:tcPr>
          <w:p w14:paraId="1667A2F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(0.442)</w:t>
            </w:r>
          </w:p>
        </w:tc>
        <w:tc>
          <w:tcPr>
            <w:tcW w:w="943" w:type="pct"/>
            <w:noWrap/>
            <w:vAlign w:val="bottom"/>
            <w:hideMark/>
          </w:tcPr>
          <w:p w14:paraId="20E426F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(0.111)</w:t>
            </w:r>
          </w:p>
        </w:tc>
      </w:tr>
      <w:tr w:rsidR="00093F2A" w:rsidRPr="00201000" w14:paraId="7D51BB09" w14:textId="77777777" w:rsidTr="00207B60">
        <w:trPr>
          <w:trHeight w:val="20"/>
        </w:trPr>
        <w:tc>
          <w:tcPr>
            <w:tcW w:w="1394" w:type="pct"/>
            <w:noWrap/>
            <w:vAlign w:val="bottom"/>
            <w:hideMark/>
          </w:tcPr>
          <w:p w14:paraId="22158BE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LN(ACQ.ASSETS)</w:t>
            </w:r>
          </w:p>
        </w:tc>
        <w:tc>
          <w:tcPr>
            <w:tcW w:w="665" w:type="pct"/>
            <w:noWrap/>
            <w:vAlign w:val="center"/>
            <w:hideMark/>
          </w:tcPr>
          <w:p w14:paraId="2FA5BEF7"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49BE89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-0.036</w:t>
            </w:r>
          </w:p>
        </w:tc>
        <w:tc>
          <w:tcPr>
            <w:tcW w:w="943" w:type="pct"/>
            <w:noWrap/>
            <w:vAlign w:val="bottom"/>
            <w:hideMark/>
          </w:tcPr>
          <w:p w14:paraId="6C36C10B"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0B98BB2F" w14:textId="77777777" w:rsidR="001E5D09" w:rsidRPr="00201000" w:rsidRDefault="001E5D09">
            <w:pPr>
              <w:spacing w:after="0"/>
              <w:rPr>
                <w:sz w:val="20"/>
                <w:szCs w:val="20"/>
              </w:rPr>
            </w:pPr>
          </w:p>
        </w:tc>
      </w:tr>
      <w:tr w:rsidR="00093F2A" w:rsidRPr="00201000" w14:paraId="63E9558E" w14:textId="77777777" w:rsidTr="00207B60">
        <w:trPr>
          <w:trHeight w:val="20"/>
        </w:trPr>
        <w:tc>
          <w:tcPr>
            <w:tcW w:w="1394" w:type="pct"/>
            <w:noWrap/>
            <w:vAlign w:val="bottom"/>
            <w:hideMark/>
          </w:tcPr>
          <w:p w14:paraId="4381349E" w14:textId="77777777" w:rsidR="001E5D09" w:rsidRPr="00201000" w:rsidRDefault="001E5D09">
            <w:pPr>
              <w:spacing w:after="0"/>
              <w:rPr>
                <w:sz w:val="20"/>
                <w:szCs w:val="20"/>
              </w:rPr>
            </w:pPr>
          </w:p>
        </w:tc>
        <w:tc>
          <w:tcPr>
            <w:tcW w:w="665" w:type="pct"/>
            <w:noWrap/>
            <w:vAlign w:val="center"/>
            <w:hideMark/>
          </w:tcPr>
          <w:p w14:paraId="4ECC5E0D" w14:textId="77777777" w:rsidR="001E5D09" w:rsidRPr="00201000" w:rsidRDefault="001E5D09">
            <w:pPr>
              <w:spacing w:after="0"/>
              <w:rPr>
                <w:sz w:val="20"/>
                <w:szCs w:val="20"/>
              </w:rPr>
            </w:pPr>
          </w:p>
        </w:tc>
        <w:tc>
          <w:tcPr>
            <w:tcW w:w="1055" w:type="pct"/>
            <w:noWrap/>
            <w:vAlign w:val="bottom"/>
            <w:hideMark/>
          </w:tcPr>
          <w:p w14:paraId="1140EB9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(-0.766)</w:t>
            </w:r>
          </w:p>
        </w:tc>
        <w:tc>
          <w:tcPr>
            <w:tcW w:w="943" w:type="pct"/>
            <w:noWrap/>
            <w:vAlign w:val="bottom"/>
            <w:hideMark/>
          </w:tcPr>
          <w:p w14:paraId="029AFC04"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0EC2D81C" w14:textId="77777777" w:rsidR="001E5D09" w:rsidRPr="00201000" w:rsidRDefault="001E5D09">
            <w:pPr>
              <w:spacing w:after="0"/>
              <w:rPr>
                <w:sz w:val="20"/>
                <w:szCs w:val="20"/>
              </w:rPr>
            </w:pPr>
          </w:p>
        </w:tc>
      </w:tr>
      <w:tr w:rsidR="00093F2A" w:rsidRPr="00201000" w14:paraId="5ED8F8CB" w14:textId="77777777" w:rsidTr="00207B60">
        <w:trPr>
          <w:trHeight w:val="20"/>
        </w:trPr>
        <w:tc>
          <w:tcPr>
            <w:tcW w:w="1394" w:type="pct"/>
            <w:noWrap/>
            <w:vAlign w:val="bottom"/>
            <w:hideMark/>
          </w:tcPr>
          <w:p w14:paraId="09841FF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ACQ.ROA</w:t>
            </w:r>
          </w:p>
        </w:tc>
        <w:tc>
          <w:tcPr>
            <w:tcW w:w="665" w:type="pct"/>
            <w:noWrap/>
            <w:vAlign w:val="center"/>
            <w:hideMark/>
          </w:tcPr>
          <w:p w14:paraId="2CCA6E51"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6CF6E66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0.307</w:t>
            </w:r>
          </w:p>
        </w:tc>
        <w:tc>
          <w:tcPr>
            <w:tcW w:w="943" w:type="pct"/>
            <w:noWrap/>
            <w:vAlign w:val="bottom"/>
            <w:hideMark/>
          </w:tcPr>
          <w:p w14:paraId="56F0DF9E"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71BF9C38" w14:textId="77777777" w:rsidR="001E5D09" w:rsidRPr="00201000" w:rsidRDefault="001E5D09">
            <w:pPr>
              <w:spacing w:after="0"/>
              <w:rPr>
                <w:sz w:val="20"/>
                <w:szCs w:val="20"/>
              </w:rPr>
            </w:pPr>
          </w:p>
        </w:tc>
      </w:tr>
      <w:tr w:rsidR="00093F2A" w:rsidRPr="00201000" w14:paraId="1D4DFAC5" w14:textId="77777777" w:rsidTr="00207B60">
        <w:trPr>
          <w:trHeight w:val="20"/>
        </w:trPr>
        <w:tc>
          <w:tcPr>
            <w:tcW w:w="1394" w:type="pct"/>
            <w:noWrap/>
            <w:vAlign w:val="bottom"/>
            <w:hideMark/>
          </w:tcPr>
          <w:p w14:paraId="44CD65AD" w14:textId="77777777" w:rsidR="001E5D09" w:rsidRPr="00201000" w:rsidRDefault="001E5D09">
            <w:pPr>
              <w:spacing w:after="0"/>
              <w:rPr>
                <w:sz w:val="20"/>
                <w:szCs w:val="20"/>
              </w:rPr>
            </w:pPr>
          </w:p>
        </w:tc>
        <w:tc>
          <w:tcPr>
            <w:tcW w:w="665" w:type="pct"/>
            <w:noWrap/>
            <w:vAlign w:val="center"/>
            <w:hideMark/>
          </w:tcPr>
          <w:p w14:paraId="16C28733" w14:textId="77777777" w:rsidR="001E5D09" w:rsidRPr="00201000" w:rsidRDefault="001E5D09">
            <w:pPr>
              <w:spacing w:after="0"/>
              <w:rPr>
                <w:sz w:val="20"/>
                <w:szCs w:val="20"/>
              </w:rPr>
            </w:pPr>
          </w:p>
        </w:tc>
        <w:tc>
          <w:tcPr>
            <w:tcW w:w="1055" w:type="pct"/>
            <w:noWrap/>
            <w:vAlign w:val="bottom"/>
            <w:hideMark/>
          </w:tcPr>
          <w:p w14:paraId="3FC971D7"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(3.553***)</w:t>
            </w:r>
          </w:p>
        </w:tc>
        <w:tc>
          <w:tcPr>
            <w:tcW w:w="943" w:type="pct"/>
            <w:noWrap/>
            <w:vAlign w:val="bottom"/>
            <w:hideMark/>
          </w:tcPr>
          <w:p w14:paraId="2E21156E"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463FEC03" w14:textId="77777777" w:rsidR="001E5D09" w:rsidRPr="00201000" w:rsidRDefault="001E5D09">
            <w:pPr>
              <w:spacing w:after="0"/>
              <w:rPr>
                <w:sz w:val="20"/>
                <w:szCs w:val="20"/>
              </w:rPr>
            </w:pPr>
          </w:p>
        </w:tc>
      </w:tr>
      <w:tr w:rsidR="00093F2A" w:rsidRPr="00201000" w14:paraId="5D0D2A1C" w14:textId="77777777" w:rsidTr="00207B60">
        <w:trPr>
          <w:trHeight w:val="20"/>
        </w:trPr>
        <w:tc>
          <w:tcPr>
            <w:tcW w:w="1394" w:type="pct"/>
            <w:noWrap/>
            <w:vAlign w:val="bottom"/>
            <w:hideMark/>
          </w:tcPr>
          <w:p w14:paraId="539A1C9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ACQ.LIQUIDITY</w:t>
            </w:r>
          </w:p>
        </w:tc>
        <w:tc>
          <w:tcPr>
            <w:tcW w:w="665" w:type="pct"/>
            <w:noWrap/>
            <w:vAlign w:val="center"/>
            <w:hideMark/>
          </w:tcPr>
          <w:p w14:paraId="5A471868"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748021EC"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0.133</w:t>
            </w:r>
          </w:p>
        </w:tc>
        <w:tc>
          <w:tcPr>
            <w:tcW w:w="943" w:type="pct"/>
            <w:noWrap/>
            <w:vAlign w:val="bottom"/>
            <w:hideMark/>
          </w:tcPr>
          <w:p w14:paraId="72A25A42"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596D9C2C" w14:textId="77777777" w:rsidR="001E5D09" w:rsidRPr="00201000" w:rsidRDefault="001E5D09">
            <w:pPr>
              <w:spacing w:after="0"/>
              <w:rPr>
                <w:sz w:val="20"/>
                <w:szCs w:val="20"/>
              </w:rPr>
            </w:pPr>
          </w:p>
        </w:tc>
      </w:tr>
      <w:tr w:rsidR="00093F2A" w:rsidRPr="00201000" w14:paraId="66435B0D" w14:textId="77777777" w:rsidTr="00207B60">
        <w:trPr>
          <w:trHeight w:val="20"/>
        </w:trPr>
        <w:tc>
          <w:tcPr>
            <w:tcW w:w="1394" w:type="pct"/>
            <w:noWrap/>
            <w:vAlign w:val="bottom"/>
            <w:hideMark/>
          </w:tcPr>
          <w:p w14:paraId="5D15641D" w14:textId="77777777" w:rsidR="001E5D09" w:rsidRPr="00201000" w:rsidRDefault="001E5D09">
            <w:pPr>
              <w:spacing w:after="0"/>
              <w:rPr>
                <w:sz w:val="20"/>
                <w:szCs w:val="20"/>
              </w:rPr>
            </w:pPr>
          </w:p>
        </w:tc>
        <w:tc>
          <w:tcPr>
            <w:tcW w:w="665" w:type="pct"/>
            <w:noWrap/>
            <w:vAlign w:val="center"/>
            <w:hideMark/>
          </w:tcPr>
          <w:p w14:paraId="18AE949D" w14:textId="77777777" w:rsidR="001E5D09" w:rsidRPr="00201000" w:rsidRDefault="001E5D09">
            <w:pPr>
              <w:spacing w:after="0"/>
              <w:rPr>
                <w:sz w:val="20"/>
                <w:szCs w:val="20"/>
              </w:rPr>
            </w:pPr>
          </w:p>
        </w:tc>
        <w:tc>
          <w:tcPr>
            <w:tcW w:w="1055" w:type="pct"/>
            <w:noWrap/>
            <w:vAlign w:val="bottom"/>
            <w:hideMark/>
          </w:tcPr>
          <w:p w14:paraId="7C8809F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(2.568**)</w:t>
            </w:r>
          </w:p>
        </w:tc>
        <w:tc>
          <w:tcPr>
            <w:tcW w:w="943" w:type="pct"/>
            <w:noWrap/>
            <w:vAlign w:val="bottom"/>
            <w:hideMark/>
          </w:tcPr>
          <w:p w14:paraId="09F3857A"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5E546213" w14:textId="77777777" w:rsidR="001E5D09" w:rsidRPr="00201000" w:rsidRDefault="001E5D09">
            <w:pPr>
              <w:spacing w:after="0"/>
              <w:rPr>
                <w:sz w:val="20"/>
                <w:szCs w:val="20"/>
              </w:rPr>
            </w:pPr>
          </w:p>
        </w:tc>
      </w:tr>
      <w:tr w:rsidR="00093F2A" w:rsidRPr="00201000" w14:paraId="71F1444D" w14:textId="77777777" w:rsidTr="00207B60">
        <w:trPr>
          <w:trHeight w:val="20"/>
        </w:trPr>
        <w:tc>
          <w:tcPr>
            <w:tcW w:w="1394" w:type="pct"/>
            <w:noWrap/>
            <w:vAlign w:val="bottom"/>
            <w:hideMark/>
          </w:tcPr>
          <w:p w14:paraId="4108EDFF"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 EQUITY/ASSET</w:t>
            </w:r>
          </w:p>
        </w:tc>
        <w:tc>
          <w:tcPr>
            <w:tcW w:w="665" w:type="pct"/>
            <w:noWrap/>
            <w:vAlign w:val="center"/>
            <w:hideMark/>
          </w:tcPr>
          <w:p w14:paraId="0E9F152C"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7FC020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-0.107</w:t>
            </w:r>
          </w:p>
        </w:tc>
        <w:tc>
          <w:tcPr>
            <w:tcW w:w="943" w:type="pct"/>
            <w:noWrap/>
            <w:vAlign w:val="bottom"/>
            <w:hideMark/>
          </w:tcPr>
          <w:p w14:paraId="69E7174A"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61757408" w14:textId="77777777" w:rsidR="001E5D09" w:rsidRPr="00201000" w:rsidRDefault="001E5D09">
            <w:pPr>
              <w:spacing w:after="0"/>
              <w:rPr>
                <w:sz w:val="20"/>
                <w:szCs w:val="20"/>
              </w:rPr>
            </w:pPr>
          </w:p>
        </w:tc>
      </w:tr>
      <w:tr w:rsidR="00093F2A" w:rsidRPr="00201000" w14:paraId="4E029A73" w14:textId="77777777" w:rsidTr="00207B60">
        <w:trPr>
          <w:trHeight w:val="20"/>
        </w:trPr>
        <w:tc>
          <w:tcPr>
            <w:tcW w:w="1394" w:type="pct"/>
            <w:noWrap/>
            <w:vAlign w:val="bottom"/>
            <w:hideMark/>
          </w:tcPr>
          <w:p w14:paraId="4FD61F4E" w14:textId="77777777" w:rsidR="001E5D09" w:rsidRPr="00201000" w:rsidRDefault="001E5D09">
            <w:pPr>
              <w:spacing w:after="0"/>
              <w:rPr>
                <w:sz w:val="20"/>
                <w:szCs w:val="20"/>
              </w:rPr>
            </w:pPr>
          </w:p>
        </w:tc>
        <w:tc>
          <w:tcPr>
            <w:tcW w:w="665" w:type="pct"/>
            <w:noWrap/>
            <w:vAlign w:val="center"/>
            <w:hideMark/>
          </w:tcPr>
          <w:p w14:paraId="647BCB60" w14:textId="77777777" w:rsidR="001E5D09" w:rsidRPr="00201000" w:rsidRDefault="001E5D09">
            <w:pPr>
              <w:spacing w:after="0"/>
              <w:rPr>
                <w:sz w:val="20"/>
                <w:szCs w:val="20"/>
              </w:rPr>
            </w:pPr>
          </w:p>
        </w:tc>
        <w:tc>
          <w:tcPr>
            <w:tcW w:w="1055" w:type="pct"/>
            <w:noWrap/>
            <w:vAlign w:val="bottom"/>
            <w:hideMark/>
          </w:tcPr>
          <w:p w14:paraId="7C360C1F"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(-1.829*)</w:t>
            </w:r>
          </w:p>
        </w:tc>
        <w:tc>
          <w:tcPr>
            <w:tcW w:w="943" w:type="pct"/>
            <w:noWrap/>
            <w:vAlign w:val="bottom"/>
            <w:hideMark/>
          </w:tcPr>
          <w:p w14:paraId="407BF0D5" w14:textId="77777777" w:rsidR="001E5D09" w:rsidRPr="00201000" w:rsidRDefault="001E5D09">
            <w:pPr>
              <w:rPr>
                <w:rFonts w:ascii="Gill Sans MT" w:eastAsia="Times New Roman" w:hAnsi="Gill Sans MT" w:cs="Calibri"/>
                <w:sz w:val="20"/>
                <w:szCs w:val="20"/>
              </w:rPr>
            </w:pPr>
          </w:p>
        </w:tc>
        <w:tc>
          <w:tcPr>
            <w:tcW w:w="943" w:type="pct"/>
            <w:noWrap/>
            <w:vAlign w:val="bottom"/>
            <w:hideMark/>
          </w:tcPr>
          <w:p w14:paraId="6DD2E0AF" w14:textId="77777777" w:rsidR="001E5D09" w:rsidRPr="00201000" w:rsidRDefault="001E5D09">
            <w:pPr>
              <w:spacing w:after="0"/>
              <w:rPr>
                <w:sz w:val="20"/>
                <w:szCs w:val="20"/>
              </w:rPr>
            </w:pPr>
          </w:p>
        </w:tc>
      </w:tr>
      <w:tr w:rsidR="00093F2A" w:rsidRPr="00201000" w14:paraId="354AAD4A" w14:textId="77777777" w:rsidTr="00207B60">
        <w:trPr>
          <w:trHeight w:val="20"/>
        </w:trPr>
        <w:tc>
          <w:tcPr>
            <w:tcW w:w="1394" w:type="pct"/>
            <w:noWrap/>
            <w:vAlign w:val="bottom"/>
            <w:hideMark/>
          </w:tcPr>
          <w:p w14:paraId="54EC17C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LN(ACQ.ASSETS)t+1</w:t>
            </w:r>
          </w:p>
        </w:tc>
        <w:tc>
          <w:tcPr>
            <w:tcW w:w="665" w:type="pct"/>
            <w:noWrap/>
            <w:vAlign w:val="center"/>
            <w:hideMark/>
          </w:tcPr>
          <w:p w14:paraId="0059EE24"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15118651" w14:textId="77777777" w:rsidR="001E5D09" w:rsidRPr="00201000" w:rsidRDefault="001E5D09">
            <w:pPr>
              <w:spacing w:after="0"/>
              <w:rPr>
                <w:sz w:val="20"/>
                <w:szCs w:val="20"/>
              </w:rPr>
            </w:pPr>
          </w:p>
        </w:tc>
        <w:tc>
          <w:tcPr>
            <w:tcW w:w="943" w:type="pct"/>
            <w:noWrap/>
            <w:vAlign w:val="bottom"/>
            <w:hideMark/>
          </w:tcPr>
          <w:p w14:paraId="5C5A7D7C"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0.004</w:t>
            </w:r>
          </w:p>
        </w:tc>
        <w:tc>
          <w:tcPr>
            <w:tcW w:w="943" w:type="pct"/>
            <w:noWrap/>
            <w:vAlign w:val="bottom"/>
            <w:hideMark/>
          </w:tcPr>
          <w:p w14:paraId="168CDEC3" w14:textId="77777777" w:rsidR="001E5D09" w:rsidRPr="00201000" w:rsidRDefault="001E5D09">
            <w:pPr>
              <w:rPr>
                <w:rFonts w:ascii="Gill Sans MT" w:eastAsia="Times New Roman" w:hAnsi="Gill Sans MT" w:cs="Calibri"/>
                <w:sz w:val="20"/>
                <w:szCs w:val="20"/>
              </w:rPr>
            </w:pPr>
          </w:p>
        </w:tc>
      </w:tr>
      <w:tr w:rsidR="00093F2A" w:rsidRPr="00201000" w14:paraId="1C4059EA" w14:textId="77777777" w:rsidTr="00207B60">
        <w:trPr>
          <w:trHeight w:val="20"/>
        </w:trPr>
        <w:tc>
          <w:tcPr>
            <w:tcW w:w="1394" w:type="pct"/>
            <w:noWrap/>
            <w:vAlign w:val="bottom"/>
            <w:hideMark/>
          </w:tcPr>
          <w:p w14:paraId="0CE6D08B" w14:textId="77777777" w:rsidR="001E5D09" w:rsidRPr="00201000" w:rsidRDefault="001E5D09">
            <w:pPr>
              <w:spacing w:after="0"/>
              <w:rPr>
                <w:sz w:val="20"/>
                <w:szCs w:val="20"/>
              </w:rPr>
            </w:pPr>
          </w:p>
        </w:tc>
        <w:tc>
          <w:tcPr>
            <w:tcW w:w="665" w:type="pct"/>
            <w:noWrap/>
            <w:vAlign w:val="center"/>
            <w:hideMark/>
          </w:tcPr>
          <w:p w14:paraId="0DDB241D" w14:textId="77777777" w:rsidR="001E5D09" w:rsidRPr="00201000" w:rsidRDefault="001E5D09">
            <w:pPr>
              <w:spacing w:after="0"/>
              <w:rPr>
                <w:sz w:val="20"/>
                <w:szCs w:val="20"/>
              </w:rPr>
            </w:pPr>
          </w:p>
        </w:tc>
        <w:tc>
          <w:tcPr>
            <w:tcW w:w="1055" w:type="pct"/>
            <w:noWrap/>
            <w:vAlign w:val="bottom"/>
            <w:hideMark/>
          </w:tcPr>
          <w:p w14:paraId="2B05282E" w14:textId="77777777" w:rsidR="001E5D09" w:rsidRPr="00201000" w:rsidRDefault="001E5D09">
            <w:pPr>
              <w:spacing w:after="0"/>
              <w:rPr>
                <w:sz w:val="20"/>
                <w:szCs w:val="20"/>
              </w:rPr>
            </w:pPr>
          </w:p>
        </w:tc>
        <w:tc>
          <w:tcPr>
            <w:tcW w:w="943" w:type="pct"/>
            <w:noWrap/>
            <w:vAlign w:val="bottom"/>
            <w:hideMark/>
          </w:tcPr>
          <w:p w14:paraId="7FE336A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(0.091)</w:t>
            </w:r>
          </w:p>
        </w:tc>
        <w:tc>
          <w:tcPr>
            <w:tcW w:w="943" w:type="pct"/>
            <w:noWrap/>
            <w:vAlign w:val="bottom"/>
            <w:hideMark/>
          </w:tcPr>
          <w:p w14:paraId="4AB4FC50" w14:textId="77777777" w:rsidR="001E5D09" w:rsidRPr="00201000" w:rsidRDefault="001E5D09">
            <w:pPr>
              <w:rPr>
                <w:rFonts w:ascii="Gill Sans MT" w:eastAsia="Times New Roman" w:hAnsi="Gill Sans MT" w:cs="Calibri"/>
                <w:sz w:val="20"/>
                <w:szCs w:val="20"/>
              </w:rPr>
            </w:pPr>
          </w:p>
        </w:tc>
      </w:tr>
      <w:tr w:rsidR="00093F2A" w:rsidRPr="00201000" w14:paraId="060D9E8D" w14:textId="77777777" w:rsidTr="00207B60">
        <w:trPr>
          <w:trHeight w:val="20"/>
        </w:trPr>
        <w:tc>
          <w:tcPr>
            <w:tcW w:w="1394" w:type="pct"/>
            <w:noWrap/>
            <w:vAlign w:val="bottom"/>
            <w:hideMark/>
          </w:tcPr>
          <w:p w14:paraId="6BC6191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ACQ.ROAt+1</w:t>
            </w:r>
          </w:p>
        </w:tc>
        <w:tc>
          <w:tcPr>
            <w:tcW w:w="665" w:type="pct"/>
            <w:noWrap/>
            <w:vAlign w:val="center"/>
            <w:hideMark/>
          </w:tcPr>
          <w:p w14:paraId="29BE1C5E"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7D5309DA" w14:textId="77777777" w:rsidR="001E5D09" w:rsidRPr="00201000" w:rsidRDefault="001E5D09">
            <w:pPr>
              <w:spacing w:after="0"/>
              <w:rPr>
                <w:sz w:val="20"/>
                <w:szCs w:val="20"/>
              </w:rPr>
            </w:pPr>
          </w:p>
        </w:tc>
        <w:tc>
          <w:tcPr>
            <w:tcW w:w="943" w:type="pct"/>
            <w:noWrap/>
            <w:vAlign w:val="bottom"/>
            <w:hideMark/>
          </w:tcPr>
          <w:p w14:paraId="75ADE9E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0.461</w:t>
            </w:r>
          </w:p>
        </w:tc>
        <w:tc>
          <w:tcPr>
            <w:tcW w:w="943" w:type="pct"/>
            <w:noWrap/>
            <w:vAlign w:val="bottom"/>
            <w:hideMark/>
          </w:tcPr>
          <w:p w14:paraId="2BF235FB" w14:textId="77777777" w:rsidR="001E5D09" w:rsidRPr="00201000" w:rsidRDefault="001E5D09">
            <w:pPr>
              <w:rPr>
                <w:rFonts w:ascii="Gill Sans MT" w:eastAsia="Times New Roman" w:hAnsi="Gill Sans MT" w:cs="Calibri"/>
                <w:sz w:val="20"/>
                <w:szCs w:val="20"/>
              </w:rPr>
            </w:pPr>
          </w:p>
        </w:tc>
      </w:tr>
      <w:tr w:rsidR="00093F2A" w:rsidRPr="00201000" w14:paraId="543DAC51" w14:textId="77777777" w:rsidTr="00207B60">
        <w:trPr>
          <w:trHeight w:val="20"/>
        </w:trPr>
        <w:tc>
          <w:tcPr>
            <w:tcW w:w="1394" w:type="pct"/>
            <w:noWrap/>
            <w:vAlign w:val="bottom"/>
            <w:hideMark/>
          </w:tcPr>
          <w:p w14:paraId="53883BD2" w14:textId="77777777" w:rsidR="001E5D09" w:rsidRPr="00201000" w:rsidRDefault="001E5D09">
            <w:pPr>
              <w:spacing w:after="0"/>
              <w:rPr>
                <w:sz w:val="20"/>
                <w:szCs w:val="20"/>
              </w:rPr>
            </w:pPr>
          </w:p>
        </w:tc>
        <w:tc>
          <w:tcPr>
            <w:tcW w:w="665" w:type="pct"/>
            <w:noWrap/>
            <w:vAlign w:val="center"/>
            <w:hideMark/>
          </w:tcPr>
          <w:p w14:paraId="2C6BD4C3" w14:textId="77777777" w:rsidR="001E5D09" w:rsidRPr="00201000" w:rsidRDefault="001E5D09">
            <w:pPr>
              <w:spacing w:after="0"/>
              <w:rPr>
                <w:sz w:val="20"/>
                <w:szCs w:val="20"/>
              </w:rPr>
            </w:pPr>
          </w:p>
        </w:tc>
        <w:tc>
          <w:tcPr>
            <w:tcW w:w="1055" w:type="pct"/>
            <w:noWrap/>
            <w:vAlign w:val="bottom"/>
            <w:hideMark/>
          </w:tcPr>
          <w:p w14:paraId="3FCDFEC7" w14:textId="77777777" w:rsidR="001E5D09" w:rsidRPr="00201000" w:rsidRDefault="001E5D09">
            <w:pPr>
              <w:spacing w:after="0"/>
              <w:rPr>
                <w:sz w:val="20"/>
                <w:szCs w:val="20"/>
              </w:rPr>
            </w:pPr>
          </w:p>
        </w:tc>
        <w:tc>
          <w:tcPr>
            <w:tcW w:w="943" w:type="pct"/>
            <w:noWrap/>
            <w:vAlign w:val="bottom"/>
            <w:hideMark/>
          </w:tcPr>
          <w:p w14:paraId="5CB3EC2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(9.898***)</w:t>
            </w:r>
          </w:p>
        </w:tc>
        <w:tc>
          <w:tcPr>
            <w:tcW w:w="943" w:type="pct"/>
            <w:noWrap/>
            <w:vAlign w:val="bottom"/>
            <w:hideMark/>
          </w:tcPr>
          <w:p w14:paraId="7D76DE5E" w14:textId="77777777" w:rsidR="001E5D09" w:rsidRPr="00201000" w:rsidRDefault="001E5D09">
            <w:pPr>
              <w:rPr>
                <w:rFonts w:ascii="Gill Sans MT" w:eastAsia="Times New Roman" w:hAnsi="Gill Sans MT" w:cs="Calibri"/>
                <w:sz w:val="20"/>
                <w:szCs w:val="20"/>
              </w:rPr>
            </w:pPr>
          </w:p>
        </w:tc>
      </w:tr>
      <w:tr w:rsidR="00093F2A" w:rsidRPr="00201000" w14:paraId="06B32EE4" w14:textId="77777777" w:rsidTr="00207B60">
        <w:trPr>
          <w:trHeight w:val="20"/>
        </w:trPr>
        <w:tc>
          <w:tcPr>
            <w:tcW w:w="1394" w:type="pct"/>
            <w:noWrap/>
            <w:vAlign w:val="bottom"/>
            <w:hideMark/>
          </w:tcPr>
          <w:p w14:paraId="5D08761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ACQ.LIQUIDITYt+1</w:t>
            </w:r>
          </w:p>
        </w:tc>
        <w:tc>
          <w:tcPr>
            <w:tcW w:w="665" w:type="pct"/>
            <w:noWrap/>
            <w:vAlign w:val="center"/>
            <w:hideMark/>
          </w:tcPr>
          <w:p w14:paraId="28A83CCF"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593197DB" w14:textId="77777777" w:rsidR="001E5D09" w:rsidRPr="00201000" w:rsidRDefault="001E5D09">
            <w:pPr>
              <w:spacing w:after="0"/>
              <w:rPr>
                <w:sz w:val="20"/>
                <w:szCs w:val="20"/>
              </w:rPr>
            </w:pPr>
          </w:p>
        </w:tc>
        <w:tc>
          <w:tcPr>
            <w:tcW w:w="943" w:type="pct"/>
            <w:noWrap/>
            <w:vAlign w:val="bottom"/>
            <w:hideMark/>
          </w:tcPr>
          <w:p w14:paraId="5E9B916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0.124</w:t>
            </w:r>
          </w:p>
        </w:tc>
        <w:tc>
          <w:tcPr>
            <w:tcW w:w="943" w:type="pct"/>
            <w:noWrap/>
            <w:vAlign w:val="bottom"/>
            <w:hideMark/>
          </w:tcPr>
          <w:p w14:paraId="112655B8" w14:textId="77777777" w:rsidR="001E5D09" w:rsidRPr="00201000" w:rsidRDefault="001E5D09">
            <w:pPr>
              <w:rPr>
                <w:rFonts w:ascii="Gill Sans MT" w:eastAsia="Times New Roman" w:hAnsi="Gill Sans MT" w:cs="Calibri"/>
                <w:sz w:val="20"/>
                <w:szCs w:val="20"/>
              </w:rPr>
            </w:pPr>
          </w:p>
        </w:tc>
      </w:tr>
      <w:tr w:rsidR="00093F2A" w:rsidRPr="00201000" w14:paraId="380E4EDB" w14:textId="77777777" w:rsidTr="00207B60">
        <w:trPr>
          <w:trHeight w:val="20"/>
        </w:trPr>
        <w:tc>
          <w:tcPr>
            <w:tcW w:w="1394" w:type="pct"/>
            <w:noWrap/>
            <w:vAlign w:val="bottom"/>
            <w:hideMark/>
          </w:tcPr>
          <w:p w14:paraId="231A9967" w14:textId="77777777" w:rsidR="001E5D09" w:rsidRPr="00201000" w:rsidRDefault="001E5D09">
            <w:pPr>
              <w:spacing w:after="0"/>
              <w:rPr>
                <w:sz w:val="20"/>
                <w:szCs w:val="20"/>
              </w:rPr>
            </w:pPr>
          </w:p>
        </w:tc>
        <w:tc>
          <w:tcPr>
            <w:tcW w:w="665" w:type="pct"/>
            <w:noWrap/>
            <w:vAlign w:val="bottom"/>
            <w:hideMark/>
          </w:tcPr>
          <w:p w14:paraId="4E7BBD37" w14:textId="77777777" w:rsidR="001E5D09" w:rsidRPr="00201000" w:rsidRDefault="001E5D09">
            <w:pPr>
              <w:spacing w:after="0"/>
              <w:rPr>
                <w:sz w:val="20"/>
                <w:szCs w:val="20"/>
              </w:rPr>
            </w:pPr>
          </w:p>
        </w:tc>
        <w:tc>
          <w:tcPr>
            <w:tcW w:w="1055" w:type="pct"/>
            <w:noWrap/>
            <w:vAlign w:val="bottom"/>
            <w:hideMark/>
          </w:tcPr>
          <w:p w14:paraId="7C16B4AE" w14:textId="77777777" w:rsidR="001E5D09" w:rsidRPr="00201000" w:rsidRDefault="001E5D09">
            <w:pPr>
              <w:spacing w:after="0"/>
              <w:rPr>
                <w:sz w:val="20"/>
                <w:szCs w:val="20"/>
              </w:rPr>
            </w:pPr>
          </w:p>
        </w:tc>
        <w:tc>
          <w:tcPr>
            <w:tcW w:w="943" w:type="pct"/>
            <w:noWrap/>
            <w:vAlign w:val="bottom"/>
            <w:hideMark/>
          </w:tcPr>
          <w:p w14:paraId="0E1E5EE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(3.434***)</w:t>
            </w:r>
          </w:p>
        </w:tc>
        <w:tc>
          <w:tcPr>
            <w:tcW w:w="943" w:type="pct"/>
            <w:noWrap/>
            <w:vAlign w:val="bottom"/>
            <w:hideMark/>
          </w:tcPr>
          <w:p w14:paraId="3E2BF978" w14:textId="77777777" w:rsidR="001E5D09" w:rsidRPr="00201000" w:rsidRDefault="001E5D09">
            <w:pPr>
              <w:rPr>
                <w:rFonts w:ascii="Gill Sans MT" w:eastAsia="Times New Roman" w:hAnsi="Gill Sans MT" w:cs="Calibri"/>
                <w:sz w:val="20"/>
                <w:szCs w:val="20"/>
              </w:rPr>
            </w:pPr>
          </w:p>
        </w:tc>
      </w:tr>
      <w:tr w:rsidR="00093F2A" w:rsidRPr="00201000" w14:paraId="3F25C633" w14:textId="77777777" w:rsidTr="00207B60">
        <w:trPr>
          <w:trHeight w:val="20"/>
        </w:trPr>
        <w:tc>
          <w:tcPr>
            <w:tcW w:w="1394" w:type="pct"/>
            <w:noWrap/>
            <w:vAlign w:val="bottom"/>
            <w:hideMark/>
          </w:tcPr>
          <w:p w14:paraId="17F3EE5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 EQUITY/ASSETt+1</w:t>
            </w:r>
          </w:p>
        </w:tc>
        <w:tc>
          <w:tcPr>
            <w:tcW w:w="665" w:type="pct"/>
            <w:noWrap/>
            <w:vAlign w:val="bottom"/>
            <w:hideMark/>
          </w:tcPr>
          <w:p w14:paraId="040C5894"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68AEE3BB" w14:textId="77777777" w:rsidR="001E5D09" w:rsidRPr="00201000" w:rsidRDefault="001E5D09">
            <w:pPr>
              <w:spacing w:after="0"/>
              <w:rPr>
                <w:sz w:val="20"/>
                <w:szCs w:val="20"/>
              </w:rPr>
            </w:pPr>
          </w:p>
        </w:tc>
        <w:tc>
          <w:tcPr>
            <w:tcW w:w="943" w:type="pct"/>
            <w:noWrap/>
            <w:vAlign w:val="bottom"/>
            <w:hideMark/>
          </w:tcPr>
          <w:p w14:paraId="18635F1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-0.100</w:t>
            </w:r>
          </w:p>
        </w:tc>
        <w:tc>
          <w:tcPr>
            <w:tcW w:w="943" w:type="pct"/>
            <w:noWrap/>
            <w:vAlign w:val="bottom"/>
            <w:hideMark/>
          </w:tcPr>
          <w:p w14:paraId="3743CD3F" w14:textId="77777777" w:rsidR="001E5D09" w:rsidRPr="00201000" w:rsidRDefault="001E5D09">
            <w:pPr>
              <w:rPr>
                <w:rFonts w:ascii="Gill Sans MT" w:eastAsia="Times New Roman" w:hAnsi="Gill Sans MT" w:cs="Calibri"/>
                <w:sz w:val="20"/>
                <w:szCs w:val="20"/>
              </w:rPr>
            </w:pPr>
          </w:p>
        </w:tc>
      </w:tr>
      <w:tr w:rsidR="00093F2A" w:rsidRPr="00201000" w14:paraId="4AD90A95" w14:textId="77777777" w:rsidTr="00207B60">
        <w:trPr>
          <w:trHeight w:val="20"/>
        </w:trPr>
        <w:tc>
          <w:tcPr>
            <w:tcW w:w="1394" w:type="pct"/>
            <w:noWrap/>
            <w:vAlign w:val="bottom"/>
            <w:hideMark/>
          </w:tcPr>
          <w:p w14:paraId="273163FA" w14:textId="77777777" w:rsidR="001E5D09" w:rsidRPr="00201000" w:rsidRDefault="001E5D09">
            <w:pPr>
              <w:spacing w:after="0"/>
              <w:rPr>
                <w:sz w:val="20"/>
                <w:szCs w:val="20"/>
              </w:rPr>
            </w:pPr>
          </w:p>
        </w:tc>
        <w:tc>
          <w:tcPr>
            <w:tcW w:w="665" w:type="pct"/>
            <w:noWrap/>
            <w:vAlign w:val="bottom"/>
            <w:hideMark/>
          </w:tcPr>
          <w:p w14:paraId="2CD5324E" w14:textId="77777777" w:rsidR="001E5D09" w:rsidRPr="00201000" w:rsidRDefault="001E5D09">
            <w:pPr>
              <w:spacing w:after="0"/>
              <w:rPr>
                <w:sz w:val="20"/>
                <w:szCs w:val="20"/>
              </w:rPr>
            </w:pPr>
          </w:p>
        </w:tc>
        <w:tc>
          <w:tcPr>
            <w:tcW w:w="1055" w:type="pct"/>
            <w:noWrap/>
            <w:vAlign w:val="bottom"/>
            <w:hideMark/>
          </w:tcPr>
          <w:p w14:paraId="09F7B4EE" w14:textId="77777777" w:rsidR="001E5D09" w:rsidRPr="00201000" w:rsidRDefault="001E5D09">
            <w:pPr>
              <w:spacing w:after="0"/>
              <w:rPr>
                <w:sz w:val="20"/>
                <w:szCs w:val="20"/>
              </w:rPr>
            </w:pPr>
          </w:p>
        </w:tc>
        <w:tc>
          <w:tcPr>
            <w:tcW w:w="943" w:type="pct"/>
            <w:noWrap/>
            <w:vAlign w:val="bottom"/>
            <w:hideMark/>
          </w:tcPr>
          <w:p w14:paraId="7EE4B2B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(-2.782***)</w:t>
            </w:r>
          </w:p>
        </w:tc>
        <w:tc>
          <w:tcPr>
            <w:tcW w:w="943" w:type="pct"/>
            <w:noWrap/>
            <w:vAlign w:val="bottom"/>
            <w:hideMark/>
          </w:tcPr>
          <w:p w14:paraId="26A9601D" w14:textId="77777777" w:rsidR="001E5D09" w:rsidRPr="00201000" w:rsidRDefault="001E5D09">
            <w:pPr>
              <w:rPr>
                <w:rFonts w:ascii="Gill Sans MT" w:eastAsia="Times New Roman" w:hAnsi="Gill Sans MT" w:cs="Calibri"/>
                <w:sz w:val="20"/>
                <w:szCs w:val="20"/>
              </w:rPr>
            </w:pPr>
          </w:p>
        </w:tc>
      </w:tr>
      <w:tr w:rsidR="00093F2A" w:rsidRPr="00201000" w14:paraId="6565C38E" w14:textId="77777777" w:rsidTr="00207B60">
        <w:trPr>
          <w:trHeight w:val="20"/>
        </w:trPr>
        <w:tc>
          <w:tcPr>
            <w:tcW w:w="1394" w:type="pct"/>
            <w:noWrap/>
            <w:vAlign w:val="bottom"/>
            <w:hideMark/>
          </w:tcPr>
          <w:p w14:paraId="0377CC0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LN(ACQ.ASSETS)t+2</w:t>
            </w:r>
          </w:p>
        </w:tc>
        <w:tc>
          <w:tcPr>
            <w:tcW w:w="665" w:type="pct"/>
            <w:noWrap/>
            <w:vAlign w:val="bottom"/>
            <w:hideMark/>
          </w:tcPr>
          <w:p w14:paraId="25D9D59F"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30E50264" w14:textId="77777777" w:rsidR="001E5D09" w:rsidRPr="00201000" w:rsidRDefault="001E5D09">
            <w:pPr>
              <w:spacing w:after="0"/>
              <w:rPr>
                <w:sz w:val="20"/>
                <w:szCs w:val="20"/>
              </w:rPr>
            </w:pPr>
          </w:p>
        </w:tc>
        <w:tc>
          <w:tcPr>
            <w:tcW w:w="943" w:type="pct"/>
            <w:noWrap/>
            <w:vAlign w:val="bottom"/>
            <w:hideMark/>
          </w:tcPr>
          <w:p w14:paraId="5C9970B2" w14:textId="77777777" w:rsidR="001E5D09" w:rsidRPr="00201000" w:rsidRDefault="001E5D09">
            <w:pPr>
              <w:spacing w:after="0"/>
              <w:rPr>
                <w:sz w:val="20"/>
                <w:szCs w:val="20"/>
              </w:rPr>
            </w:pPr>
          </w:p>
        </w:tc>
        <w:tc>
          <w:tcPr>
            <w:tcW w:w="943" w:type="pct"/>
            <w:noWrap/>
            <w:vAlign w:val="bottom"/>
            <w:hideMark/>
          </w:tcPr>
          <w:p w14:paraId="0585499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0.015</w:t>
            </w:r>
          </w:p>
        </w:tc>
      </w:tr>
      <w:tr w:rsidR="00093F2A" w:rsidRPr="00201000" w14:paraId="17CF9441" w14:textId="77777777" w:rsidTr="00207B60">
        <w:trPr>
          <w:trHeight w:val="20"/>
        </w:trPr>
        <w:tc>
          <w:tcPr>
            <w:tcW w:w="1394" w:type="pct"/>
            <w:noWrap/>
            <w:vAlign w:val="bottom"/>
            <w:hideMark/>
          </w:tcPr>
          <w:p w14:paraId="0C0C0F48"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45B2F7D3" w14:textId="77777777" w:rsidR="001E5D09" w:rsidRPr="00201000" w:rsidRDefault="001E5D09">
            <w:pPr>
              <w:spacing w:after="0"/>
              <w:rPr>
                <w:sz w:val="20"/>
                <w:szCs w:val="20"/>
              </w:rPr>
            </w:pPr>
          </w:p>
        </w:tc>
        <w:tc>
          <w:tcPr>
            <w:tcW w:w="1055" w:type="pct"/>
            <w:noWrap/>
            <w:vAlign w:val="bottom"/>
            <w:hideMark/>
          </w:tcPr>
          <w:p w14:paraId="7DDA3C1B" w14:textId="77777777" w:rsidR="001E5D09" w:rsidRPr="00201000" w:rsidRDefault="001E5D09">
            <w:pPr>
              <w:spacing w:after="0"/>
              <w:rPr>
                <w:sz w:val="20"/>
                <w:szCs w:val="20"/>
              </w:rPr>
            </w:pPr>
          </w:p>
        </w:tc>
        <w:tc>
          <w:tcPr>
            <w:tcW w:w="943" w:type="pct"/>
            <w:noWrap/>
            <w:vAlign w:val="bottom"/>
            <w:hideMark/>
          </w:tcPr>
          <w:p w14:paraId="3840CB93" w14:textId="77777777" w:rsidR="001E5D09" w:rsidRPr="00201000" w:rsidRDefault="001E5D09">
            <w:pPr>
              <w:spacing w:after="0"/>
              <w:rPr>
                <w:sz w:val="20"/>
                <w:szCs w:val="20"/>
              </w:rPr>
            </w:pPr>
          </w:p>
        </w:tc>
        <w:tc>
          <w:tcPr>
            <w:tcW w:w="943" w:type="pct"/>
            <w:noWrap/>
            <w:vAlign w:val="bottom"/>
            <w:hideMark/>
          </w:tcPr>
          <w:p w14:paraId="28CE924E"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(0.368)</w:t>
            </w:r>
          </w:p>
        </w:tc>
      </w:tr>
      <w:tr w:rsidR="00093F2A" w:rsidRPr="00201000" w14:paraId="79F2D0DE" w14:textId="77777777" w:rsidTr="00207B60">
        <w:trPr>
          <w:trHeight w:val="20"/>
        </w:trPr>
        <w:tc>
          <w:tcPr>
            <w:tcW w:w="1394" w:type="pct"/>
            <w:noWrap/>
            <w:vAlign w:val="bottom"/>
            <w:hideMark/>
          </w:tcPr>
          <w:p w14:paraId="117733E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ACQ.ROAt+2</w:t>
            </w:r>
          </w:p>
        </w:tc>
        <w:tc>
          <w:tcPr>
            <w:tcW w:w="665" w:type="pct"/>
            <w:noWrap/>
            <w:vAlign w:val="bottom"/>
            <w:hideMark/>
          </w:tcPr>
          <w:p w14:paraId="250E8719"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396198AF" w14:textId="77777777" w:rsidR="001E5D09" w:rsidRPr="00201000" w:rsidRDefault="001E5D09">
            <w:pPr>
              <w:spacing w:after="0"/>
              <w:rPr>
                <w:sz w:val="20"/>
                <w:szCs w:val="20"/>
              </w:rPr>
            </w:pPr>
          </w:p>
        </w:tc>
        <w:tc>
          <w:tcPr>
            <w:tcW w:w="943" w:type="pct"/>
            <w:noWrap/>
            <w:vAlign w:val="bottom"/>
            <w:hideMark/>
          </w:tcPr>
          <w:p w14:paraId="702B39CD" w14:textId="77777777" w:rsidR="001E5D09" w:rsidRPr="00201000" w:rsidRDefault="001E5D09">
            <w:pPr>
              <w:spacing w:after="0"/>
              <w:rPr>
                <w:sz w:val="20"/>
                <w:szCs w:val="20"/>
              </w:rPr>
            </w:pPr>
          </w:p>
        </w:tc>
        <w:tc>
          <w:tcPr>
            <w:tcW w:w="943" w:type="pct"/>
            <w:noWrap/>
            <w:vAlign w:val="bottom"/>
            <w:hideMark/>
          </w:tcPr>
          <w:p w14:paraId="4555719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0.733</w:t>
            </w:r>
          </w:p>
        </w:tc>
      </w:tr>
      <w:tr w:rsidR="00093F2A" w:rsidRPr="00201000" w14:paraId="3D1C6EB2" w14:textId="77777777" w:rsidTr="00207B60">
        <w:trPr>
          <w:trHeight w:val="20"/>
        </w:trPr>
        <w:tc>
          <w:tcPr>
            <w:tcW w:w="1394" w:type="pct"/>
            <w:noWrap/>
            <w:vAlign w:val="bottom"/>
            <w:hideMark/>
          </w:tcPr>
          <w:p w14:paraId="7343C4E3"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09E53C91" w14:textId="77777777" w:rsidR="001E5D09" w:rsidRPr="00201000" w:rsidRDefault="001E5D09">
            <w:pPr>
              <w:spacing w:after="0"/>
              <w:rPr>
                <w:sz w:val="20"/>
                <w:szCs w:val="20"/>
              </w:rPr>
            </w:pPr>
          </w:p>
        </w:tc>
        <w:tc>
          <w:tcPr>
            <w:tcW w:w="1055" w:type="pct"/>
            <w:noWrap/>
            <w:vAlign w:val="bottom"/>
            <w:hideMark/>
          </w:tcPr>
          <w:p w14:paraId="3A514325" w14:textId="77777777" w:rsidR="001E5D09" w:rsidRPr="00201000" w:rsidRDefault="001E5D09">
            <w:pPr>
              <w:spacing w:after="0"/>
              <w:rPr>
                <w:sz w:val="20"/>
                <w:szCs w:val="20"/>
              </w:rPr>
            </w:pPr>
          </w:p>
        </w:tc>
        <w:tc>
          <w:tcPr>
            <w:tcW w:w="943" w:type="pct"/>
            <w:noWrap/>
            <w:vAlign w:val="bottom"/>
            <w:hideMark/>
          </w:tcPr>
          <w:p w14:paraId="5A89AC52" w14:textId="77777777" w:rsidR="001E5D09" w:rsidRPr="00201000" w:rsidRDefault="001E5D09">
            <w:pPr>
              <w:spacing w:after="0"/>
              <w:rPr>
                <w:sz w:val="20"/>
                <w:szCs w:val="20"/>
              </w:rPr>
            </w:pPr>
          </w:p>
        </w:tc>
        <w:tc>
          <w:tcPr>
            <w:tcW w:w="943" w:type="pct"/>
            <w:noWrap/>
            <w:vAlign w:val="bottom"/>
            <w:hideMark/>
          </w:tcPr>
          <w:p w14:paraId="6EA4A35F"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(11.679***)</w:t>
            </w:r>
          </w:p>
        </w:tc>
      </w:tr>
      <w:tr w:rsidR="00093F2A" w:rsidRPr="00201000" w14:paraId="7D43BAC4" w14:textId="77777777" w:rsidTr="00207B60">
        <w:trPr>
          <w:trHeight w:val="20"/>
        </w:trPr>
        <w:tc>
          <w:tcPr>
            <w:tcW w:w="1394" w:type="pct"/>
            <w:noWrap/>
            <w:vAlign w:val="bottom"/>
            <w:hideMark/>
          </w:tcPr>
          <w:p w14:paraId="06CF6DD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ACQ.LIQUIDITYt+2</w:t>
            </w:r>
          </w:p>
        </w:tc>
        <w:tc>
          <w:tcPr>
            <w:tcW w:w="665" w:type="pct"/>
            <w:noWrap/>
            <w:vAlign w:val="bottom"/>
            <w:hideMark/>
          </w:tcPr>
          <w:p w14:paraId="5EB4CBE2"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58FE7896" w14:textId="77777777" w:rsidR="001E5D09" w:rsidRPr="00201000" w:rsidRDefault="001E5D09">
            <w:pPr>
              <w:spacing w:after="0"/>
              <w:rPr>
                <w:sz w:val="20"/>
                <w:szCs w:val="20"/>
              </w:rPr>
            </w:pPr>
          </w:p>
        </w:tc>
        <w:tc>
          <w:tcPr>
            <w:tcW w:w="943" w:type="pct"/>
            <w:noWrap/>
            <w:vAlign w:val="bottom"/>
            <w:hideMark/>
          </w:tcPr>
          <w:p w14:paraId="35650A61" w14:textId="77777777" w:rsidR="001E5D09" w:rsidRPr="00201000" w:rsidRDefault="001E5D09">
            <w:pPr>
              <w:spacing w:after="0"/>
              <w:rPr>
                <w:sz w:val="20"/>
                <w:szCs w:val="20"/>
              </w:rPr>
            </w:pPr>
          </w:p>
        </w:tc>
        <w:tc>
          <w:tcPr>
            <w:tcW w:w="943" w:type="pct"/>
            <w:noWrap/>
            <w:vAlign w:val="bottom"/>
            <w:hideMark/>
          </w:tcPr>
          <w:p w14:paraId="004BF6B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0.116</w:t>
            </w:r>
          </w:p>
        </w:tc>
      </w:tr>
      <w:tr w:rsidR="00093F2A" w:rsidRPr="00201000" w14:paraId="473E7107" w14:textId="77777777" w:rsidTr="00207B60">
        <w:trPr>
          <w:trHeight w:val="20"/>
        </w:trPr>
        <w:tc>
          <w:tcPr>
            <w:tcW w:w="1394" w:type="pct"/>
            <w:noWrap/>
            <w:vAlign w:val="bottom"/>
            <w:hideMark/>
          </w:tcPr>
          <w:p w14:paraId="2A60E293"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61E0DC85" w14:textId="77777777" w:rsidR="001E5D09" w:rsidRPr="00201000" w:rsidRDefault="001E5D09">
            <w:pPr>
              <w:spacing w:after="0"/>
              <w:rPr>
                <w:sz w:val="20"/>
                <w:szCs w:val="20"/>
              </w:rPr>
            </w:pPr>
          </w:p>
        </w:tc>
        <w:tc>
          <w:tcPr>
            <w:tcW w:w="1055" w:type="pct"/>
            <w:noWrap/>
            <w:vAlign w:val="bottom"/>
            <w:hideMark/>
          </w:tcPr>
          <w:p w14:paraId="0A78C039" w14:textId="77777777" w:rsidR="001E5D09" w:rsidRPr="00201000" w:rsidRDefault="001E5D09">
            <w:pPr>
              <w:spacing w:after="0"/>
              <w:rPr>
                <w:sz w:val="20"/>
                <w:szCs w:val="20"/>
              </w:rPr>
            </w:pPr>
          </w:p>
        </w:tc>
        <w:tc>
          <w:tcPr>
            <w:tcW w:w="943" w:type="pct"/>
            <w:noWrap/>
            <w:vAlign w:val="bottom"/>
            <w:hideMark/>
          </w:tcPr>
          <w:p w14:paraId="5572FF61" w14:textId="77777777" w:rsidR="001E5D09" w:rsidRPr="00201000" w:rsidRDefault="001E5D09">
            <w:pPr>
              <w:spacing w:after="0"/>
              <w:rPr>
                <w:sz w:val="20"/>
                <w:szCs w:val="20"/>
              </w:rPr>
            </w:pPr>
          </w:p>
        </w:tc>
        <w:tc>
          <w:tcPr>
            <w:tcW w:w="943" w:type="pct"/>
            <w:noWrap/>
            <w:vAlign w:val="bottom"/>
            <w:hideMark/>
          </w:tcPr>
          <w:p w14:paraId="37BC20A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(2.293**)</w:t>
            </w:r>
          </w:p>
        </w:tc>
      </w:tr>
      <w:tr w:rsidR="00093F2A" w:rsidRPr="00201000" w14:paraId="46F9A4BF" w14:textId="77777777" w:rsidTr="00207B60">
        <w:trPr>
          <w:trHeight w:val="20"/>
        </w:trPr>
        <w:tc>
          <w:tcPr>
            <w:tcW w:w="1394" w:type="pct"/>
            <w:noWrap/>
            <w:vAlign w:val="bottom"/>
            <w:hideMark/>
          </w:tcPr>
          <w:p w14:paraId="4182EDC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ACQ. EQUITY/ASSETt+2</w:t>
            </w:r>
          </w:p>
        </w:tc>
        <w:tc>
          <w:tcPr>
            <w:tcW w:w="665" w:type="pct"/>
            <w:noWrap/>
            <w:vAlign w:val="bottom"/>
            <w:hideMark/>
          </w:tcPr>
          <w:p w14:paraId="56E831F9"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24D1F905" w14:textId="77777777" w:rsidR="001E5D09" w:rsidRPr="00201000" w:rsidRDefault="001E5D09">
            <w:pPr>
              <w:spacing w:after="0"/>
              <w:rPr>
                <w:sz w:val="20"/>
                <w:szCs w:val="20"/>
              </w:rPr>
            </w:pPr>
          </w:p>
        </w:tc>
        <w:tc>
          <w:tcPr>
            <w:tcW w:w="943" w:type="pct"/>
            <w:noWrap/>
            <w:vAlign w:val="bottom"/>
            <w:hideMark/>
          </w:tcPr>
          <w:p w14:paraId="264B0D4F" w14:textId="77777777" w:rsidR="001E5D09" w:rsidRPr="00201000" w:rsidRDefault="001E5D09">
            <w:pPr>
              <w:spacing w:after="0"/>
              <w:rPr>
                <w:sz w:val="20"/>
                <w:szCs w:val="20"/>
              </w:rPr>
            </w:pPr>
          </w:p>
        </w:tc>
        <w:tc>
          <w:tcPr>
            <w:tcW w:w="943" w:type="pct"/>
            <w:noWrap/>
            <w:vAlign w:val="bottom"/>
            <w:hideMark/>
          </w:tcPr>
          <w:p w14:paraId="284A570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-0.128</w:t>
            </w:r>
          </w:p>
        </w:tc>
      </w:tr>
      <w:tr w:rsidR="00093F2A" w:rsidRPr="00201000" w14:paraId="14C8E3ED" w14:textId="77777777" w:rsidTr="00207B60">
        <w:trPr>
          <w:trHeight w:val="20"/>
        </w:trPr>
        <w:tc>
          <w:tcPr>
            <w:tcW w:w="1394" w:type="pct"/>
            <w:noWrap/>
            <w:vAlign w:val="bottom"/>
            <w:hideMark/>
          </w:tcPr>
          <w:p w14:paraId="7232213B"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0831B937" w14:textId="77777777" w:rsidR="001E5D09" w:rsidRPr="00201000" w:rsidRDefault="001E5D09">
            <w:pPr>
              <w:spacing w:after="0"/>
              <w:rPr>
                <w:sz w:val="20"/>
                <w:szCs w:val="20"/>
              </w:rPr>
            </w:pPr>
          </w:p>
        </w:tc>
        <w:tc>
          <w:tcPr>
            <w:tcW w:w="1055" w:type="pct"/>
            <w:noWrap/>
            <w:vAlign w:val="bottom"/>
            <w:hideMark/>
          </w:tcPr>
          <w:p w14:paraId="769B324B" w14:textId="77777777" w:rsidR="001E5D09" w:rsidRPr="00201000" w:rsidRDefault="001E5D09">
            <w:pPr>
              <w:spacing w:after="0"/>
              <w:rPr>
                <w:sz w:val="20"/>
                <w:szCs w:val="20"/>
              </w:rPr>
            </w:pPr>
          </w:p>
        </w:tc>
        <w:tc>
          <w:tcPr>
            <w:tcW w:w="943" w:type="pct"/>
            <w:noWrap/>
            <w:vAlign w:val="bottom"/>
            <w:hideMark/>
          </w:tcPr>
          <w:p w14:paraId="3AE553BE" w14:textId="77777777" w:rsidR="001E5D09" w:rsidRPr="00201000" w:rsidRDefault="001E5D09">
            <w:pPr>
              <w:spacing w:after="0"/>
              <w:rPr>
                <w:sz w:val="20"/>
                <w:szCs w:val="20"/>
              </w:rPr>
            </w:pPr>
          </w:p>
        </w:tc>
        <w:tc>
          <w:tcPr>
            <w:tcW w:w="943" w:type="pct"/>
            <w:noWrap/>
            <w:vAlign w:val="bottom"/>
            <w:hideMark/>
          </w:tcPr>
          <w:p w14:paraId="0ACA7A77"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(-2.280**)</w:t>
            </w:r>
          </w:p>
        </w:tc>
      </w:tr>
      <w:tr w:rsidR="00093F2A" w:rsidRPr="00201000" w14:paraId="642A86A9" w14:textId="77777777" w:rsidTr="00207B60">
        <w:trPr>
          <w:trHeight w:val="20"/>
        </w:trPr>
        <w:tc>
          <w:tcPr>
            <w:tcW w:w="1394" w:type="pct"/>
            <w:noWrap/>
            <w:vAlign w:val="bottom"/>
            <w:hideMark/>
          </w:tcPr>
          <w:p w14:paraId="79DCB38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Constant</w:t>
            </w:r>
          </w:p>
        </w:tc>
        <w:tc>
          <w:tcPr>
            <w:tcW w:w="665" w:type="pct"/>
            <w:noWrap/>
            <w:vAlign w:val="bottom"/>
            <w:hideMark/>
          </w:tcPr>
          <w:p w14:paraId="22DFC68A"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7DD07212"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-0.885</w:t>
            </w:r>
          </w:p>
        </w:tc>
        <w:tc>
          <w:tcPr>
            <w:tcW w:w="943" w:type="pct"/>
            <w:noWrap/>
            <w:vAlign w:val="bottom"/>
            <w:hideMark/>
          </w:tcPr>
          <w:p w14:paraId="40B529D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-0.861</w:t>
            </w:r>
          </w:p>
        </w:tc>
        <w:tc>
          <w:tcPr>
            <w:tcW w:w="943" w:type="pct"/>
            <w:noWrap/>
            <w:vAlign w:val="bottom"/>
            <w:hideMark/>
          </w:tcPr>
          <w:p w14:paraId="0113803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-3.098</w:t>
            </w:r>
          </w:p>
        </w:tc>
      </w:tr>
      <w:tr w:rsidR="00093F2A" w:rsidRPr="00201000" w14:paraId="24014FD7" w14:textId="77777777" w:rsidTr="00207B60">
        <w:trPr>
          <w:trHeight w:val="20"/>
        </w:trPr>
        <w:tc>
          <w:tcPr>
            <w:tcW w:w="1394" w:type="pct"/>
            <w:noWrap/>
            <w:vAlign w:val="bottom"/>
            <w:hideMark/>
          </w:tcPr>
          <w:p w14:paraId="4E7CE294"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280D1D43" w14:textId="77777777" w:rsidR="001E5D09" w:rsidRPr="00201000" w:rsidRDefault="001E5D09">
            <w:pPr>
              <w:spacing w:after="0"/>
              <w:rPr>
                <w:sz w:val="20"/>
                <w:szCs w:val="20"/>
              </w:rPr>
            </w:pPr>
          </w:p>
        </w:tc>
        <w:tc>
          <w:tcPr>
            <w:tcW w:w="1055" w:type="pct"/>
            <w:noWrap/>
            <w:vAlign w:val="bottom"/>
            <w:hideMark/>
          </w:tcPr>
          <w:p w14:paraId="1A28507C"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(-2.972***)</w:t>
            </w:r>
          </w:p>
        </w:tc>
        <w:tc>
          <w:tcPr>
            <w:tcW w:w="943" w:type="pct"/>
            <w:noWrap/>
            <w:vAlign w:val="bottom"/>
            <w:hideMark/>
          </w:tcPr>
          <w:p w14:paraId="17A460E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(-4.701***)</w:t>
            </w:r>
          </w:p>
        </w:tc>
        <w:tc>
          <w:tcPr>
            <w:tcW w:w="943" w:type="pct"/>
            <w:noWrap/>
            <w:vAlign w:val="bottom"/>
            <w:hideMark/>
          </w:tcPr>
          <w:p w14:paraId="1826CFDF"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(-6.214***)</w:t>
            </w:r>
          </w:p>
        </w:tc>
      </w:tr>
      <w:tr w:rsidR="00093F2A" w:rsidRPr="00201000" w14:paraId="20520A0F" w14:textId="77777777" w:rsidTr="00207B60">
        <w:trPr>
          <w:trHeight w:val="20"/>
        </w:trPr>
        <w:tc>
          <w:tcPr>
            <w:tcW w:w="1394" w:type="pct"/>
            <w:noWrap/>
            <w:vAlign w:val="bottom"/>
            <w:hideMark/>
          </w:tcPr>
          <w:p w14:paraId="6160BCED" w14:textId="77777777" w:rsidR="001E5D09" w:rsidRPr="00201000" w:rsidRDefault="001E5D09">
            <w:pPr>
              <w:rPr>
                <w:rFonts w:ascii="Gill Sans MT" w:eastAsia="Times New Roman" w:hAnsi="Gill Sans MT" w:cs="Calibri"/>
                <w:sz w:val="20"/>
                <w:szCs w:val="20"/>
              </w:rPr>
            </w:pPr>
          </w:p>
        </w:tc>
        <w:tc>
          <w:tcPr>
            <w:tcW w:w="665" w:type="pct"/>
            <w:noWrap/>
            <w:vAlign w:val="bottom"/>
            <w:hideMark/>
          </w:tcPr>
          <w:p w14:paraId="573CB76C" w14:textId="77777777" w:rsidR="001E5D09" w:rsidRPr="00201000" w:rsidRDefault="001E5D09">
            <w:pPr>
              <w:spacing w:after="0"/>
              <w:rPr>
                <w:sz w:val="20"/>
                <w:szCs w:val="20"/>
              </w:rPr>
            </w:pPr>
          </w:p>
        </w:tc>
        <w:tc>
          <w:tcPr>
            <w:tcW w:w="1055" w:type="pct"/>
            <w:noWrap/>
            <w:vAlign w:val="bottom"/>
            <w:hideMark/>
          </w:tcPr>
          <w:p w14:paraId="4F559694" w14:textId="77777777" w:rsidR="001E5D09" w:rsidRPr="00201000" w:rsidRDefault="001E5D09">
            <w:pPr>
              <w:spacing w:after="0"/>
              <w:rPr>
                <w:sz w:val="20"/>
                <w:szCs w:val="20"/>
              </w:rPr>
            </w:pPr>
          </w:p>
        </w:tc>
        <w:tc>
          <w:tcPr>
            <w:tcW w:w="943" w:type="pct"/>
            <w:noWrap/>
            <w:vAlign w:val="bottom"/>
            <w:hideMark/>
          </w:tcPr>
          <w:p w14:paraId="217E9EA2" w14:textId="77777777" w:rsidR="001E5D09" w:rsidRPr="00201000" w:rsidRDefault="001E5D09">
            <w:pPr>
              <w:spacing w:after="0"/>
              <w:rPr>
                <w:sz w:val="20"/>
                <w:szCs w:val="20"/>
              </w:rPr>
            </w:pPr>
          </w:p>
        </w:tc>
        <w:tc>
          <w:tcPr>
            <w:tcW w:w="943" w:type="pct"/>
            <w:noWrap/>
            <w:vAlign w:val="bottom"/>
            <w:hideMark/>
          </w:tcPr>
          <w:p w14:paraId="119871CA" w14:textId="77777777" w:rsidR="001E5D09" w:rsidRPr="00201000" w:rsidRDefault="001E5D09">
            <w:pPr>
              <w:spacing w:after="0"/>
              <w:rPr>
                <w:sz w:val="20"/>
                <w:szCs w:val="20"/>
              </w:rPr>
            </w:pPr>
          </w:p>
        </w:tc>
      </w:tr>
      <w:tr w:rsidR="00093F2A" w:rsidRPr="00201000" w14:paraId="406E6361" w14:textId="77777777" w:rsidTr="00207B60">
        <w:trPr>
          <w:trHeight w:val="20"/>
        </w:trPr>
        <w:tc>
          <w:tcPr>
            <w:tcW w:w="1394" w:type="pct"/>
            <w:noWrap/>
            <w:vAlign w:val="bottom"/>
            <w:hideMark/>
          </w:tcPr>
          <w:p w14:paraId="0658935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lastRenderedPageBreak/>
              <w:t>Adj. R-squared</w:t>
            </w:r>
          </w:p>
        </w:tc>
        <w:tc>
          <w:tcPr>
            <w:tcW w:w="665" w:type="pct"/>
            <w:noWrap/>
            <w:vAlign w:val="bottom"/>
            <w:hideMark/>
          </w:tcPr>
          <w:p w14:paraId="0F19BC7D"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6960C44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0.176</w:t>
            </w:r>
          </w:p>
        </w:tc>
        <w:tc>
          <w:tcPr>
            <w:tcW w:w="943" w:type="pct"/>
            <w:noWrap/>
            <w:vAlign w:val="bottom"/>
            <w:hideMark/>
          </w:tcPr>
          <w:p w14:paraId="4055B7F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0.360</w:t>
            </w:r>
          </w:p>
        </w:tc>
        <w:tc>
          <w:tcPr>
            <w:tcW w:w="943" w:type="pct"/>
            <w:noWrap/>
            <w:vAlign w:val="bottom"/>
            <w:hideMark/>
          </w:tcPr>
          <w:p w14:paraId="337F947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0.509</w:t>
            </w:r>
          </w:p>
        </w:tc>
      </w:tr>
      <w:tr w:rsidR="00093F2A" w:rsidRPr="00201000" w14:paraId="2D3108BA" w14:textId="77777777" w:rsidTr="00207B60">
        <w:trPr>
          <w:trHeight w:val="20"/>
        </w:trPr>
        <w:tc>
          <w:tcPr>
            <w:tcW w:w="1394" w:type="pct"/>
            <w:noWrap/>
            <w:vAlign w:val="bottom"/>
            <w:hideMark/>
          </w:tcPr>
          <w:p w14:paraId="65E76025"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Year fixed effect</w:t>
            </w:r>
          </w:p>
        </w:tc>
        <w:tc>
          <w:tcPr>
            <w:tcW w:w="665" w:type="pct"/>
            <w:noWrap/>
            <w:vAlign w:val="bottom"/>
            <w:hideMark/>
          </w:tcPr>
          <w:p w14:paraId="78605875"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232E8BB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4BB2FE9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2CDCC9A8"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r>
      <w:tr w:rsidR="00093F2A" w:rsidRPr="00201000" w14:paraId="1CB5DA8A" w14:textId="77777777" w:rsidTr="00207B60">
        <w:trPr>
          <w:trHeight w:val="20"/>
        </w:trPr>
        <w:tc>
          <w:tcPr>
            <w:tcW w:w="1394" w:type="pct"/>
            <w:noWrap/>
            <w:vAlign w:val="bottom"/>
            <w:hideMark/>
          </w:tcPr>
          <w:p w14:paraId="4D28811D"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Industry fixed effect</w:t>
            </w:r>
          </w:p>
        </w:tc>
        <w:tc>
          <w:tcPr>
            <w:tcW w:w="665" w:type="pct"/>
            <w:noWrap/>
            <w:vAlign w:val="bottom"/>
            <w:hideMark/>
          </w:tcPr>
          <w:p w14:paraId="25EE228F"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3BB0867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7E22634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0846BC63"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r>
      <w:tr w:rsidR="00093F2A" w:rsidRPr="00201000" w14:paraId="5838BAEF" w14:textId="77777777" w:rsidTr="00207B60">
        <w:trPr>
          <w:trHeight w:val="20"/>
        </w:trPr>
        <w:tc>
          <w:tcPr>
            <w:tcW w:w="1394" w:type="pct"/>
            <w:noWrap/>
            <w:vAlign w:val="bottom"/>
            <w:hideMark/>
          </w:tcPr>
          <w:p w14:paraId="078D98EF"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Robust std err</w:t>
            </w:r>
          </w:p>
        </w:tc>
        <w:tc>
          <w:tcPr>
            <w:tcW w:w="665" w:type="pct"/>
            <w:noWrap/>
            <w:vAlign w:val="bottom"/>
            <w:hideMark/>
          </w:tcPr>
          <w:p w14:paraId="5E30B029" w14:textId="77777777" w:rsidR="001E5D09" w:rsidRPr="00201000" w:rsidRDefault="001E5D09">
            <w:pPr>
              <w:rPr>
                <w:rFonts w:ascii="Gill Sans MT" w:eastAsia="Times New Roman" w:hAnsi="Gill Sans MT" w:cs="Calibri"/>
                <w:sz w:val="20"/>
                <w:szCs w:val="20"/>
              </w:rPr>
            </w:pPr>
          </w:p>
        </w:tc>
        <w:tc>
          <w:tcPr>
            <w:tcW w:w="1055" w:type="pct"/>
            <w:noWrap/>
            <w:vAlign w:val="bottom"/>
            <w:hideMark/>
          </w:tcPr>
          <w:p w14:paraId="0CE2FC99"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7B013C0A"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c>
          <w:tcPr>
            <w:tcW w:w="943" w:type="pct"/>
            <w:noWrap/>
            <w:vAlign w:val="bottom"/>
            <w:hideMark/>
          </w:tcPr>
          <w:p w14:paraId="79695041"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Yes</w:t>
            </w:r>
          </w:p>
        </w:tc>
      </w:tr>
      <w:tr w:rsidR="00093F2A" w:rsidRPr="00201000" w14:paraId="0A270DA5" w14:textId="77777777" w:rsidTr="00207B60">
        <w:trPr>
          <w:trHeight w:val="20"/>
        </w:trPr>
        <w:tc>
          <w:tcPr>
            <w:tcW w:w="1394" w:type="pct"/>
            <w:tcBorders>
              <w:top w:val="nil"/>
              <w:left w:val="nil"/>
              <w:bottom w:val="single" w:sz="4" w:space="0" w:color="auto"/>
              <w:right w:val="nil"/>
            </w:tcBorders>
            <w:noWrap/>
            <w:vAlign w:val="bottom"/>
            <w:hideMark/>
          </w:tcPr>
          <w:p w14:paraId="13683D44"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Observations</w:t>
            </w:r>
          </w:p>
        </w:tc>
        <w:tc>
          <w:tcPr>
            <w:tcW w:w="665" w:type="pct"/>
            <w:tcBorders>
              <w:top w:val="nil"/>
              <w:left w:val="nil"/>
              <w:bottom w:val="single" w:sz="4" w:space="0" w:color="auto"/>
              <w:right w:val="nil"/>
            </w:tcBorders>
            <w:noWrap/>
            <w:vAlign w:val="bottom"/>
            <w:hideMark/>
          </w:tcPr>
          <w:p w14:paraId="21031666" w14:textId="77777777" w:rsidR="001E5D09" w:rsidRPr="00201000" w:rsidRDefault="001E5D09">
            <w:pPr>
              <w:rPr>
                <w:rFonts w:ascii="Gill Sans MT" w:eastAsia="Times New Roman" w:hAnsi="Gill Sans MT" w:cs="Calibri"/>
                <w:sz w:val="20"/>
                <w:szCs w:val="20"/>
              </w:rPr>
            </w:pPr>
          </w:p>
        </w:tc>
        <w:tc>
          <w:tcPr>
            <w:tcW w:w="1055" w:type="pct"/>
            <w:tcBorders>
              <w:top w:val="nil"/>
              <w:left w:val="nil"/>
              <w:bottom w:val="single" w:sz="4" w:space="0" w:color="auto"/>
              <w:right w:val="nil"/>
            </w:tcBorders>
            <w:noWrap/>
            <w:vAlign w:val="bottom"/>
            <w:hideMark/>
          </w:tcPr>
          <w:p w14:paraId="0E7EFF7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1,124</w:t>
            </w:r>
          </w:p>
        </w:tc>
        <w:tc>
          <w:tcPr>
            <w:tcW w:w="943" w:type="pct"/>
            <w:tcBorders>
              <w:top w:val="nil"/>
              <w:left w:val="nil"/>
              <w:bottom w:val="single" w:sz="4" w:space="0" w:color="auto"/>
              <w:right w:val="nil"/>
            </w:tcBorders>
            <w:noWrap/>
            <w:vAlign w:val="bottom"/>
            <w:hideMark/>
          </w:tcPr>
          <w:p w14:paraId="391BBC8B"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1,084</w:t>
            </w:r>
          </w:p>
        </w:tc>
        <w:tc>
          <w:tcPr>
            <w:tcW w:w="943" w:type="pct"/>
            <w:tcBorders>
              <w:top w:val="nil"/>
              <w:left w:val="nil"/>
              <w:bottom w:val="single" w:sz="4" w:space="0" w:color="auto"/>
              <w:right w:val="nil"/>
            </w:tcBorders>
            <w:noWrap/>
            <w:vAlign w:val="bottom"/>
            <w:hideMark/>
          </w:tcPr>
          <w:p w14:paraId="781CF670" w14:textId="77777777" w:rsidR="001E5D09" w:rsidRPr="00201000" w:rsidRDefault="001E5D09">
            <w:pPr>
              <w:spacing w:after="0" w:line="240" w:lineRule="auto"/>
              <w:rPr>
                <w:rFonts w:ascii="Gill Sans MT" w:eastAsia="Times New Roman" w:hAnsi="Gill Sans MT" w:cs="Calibri"/>
                <w:sz w:val="20"/>
                <w:szCs w:val="20"/>
              </w:rPr>
            </w:pPr>
            <w:r w:rsidRPr="00201000">
              <w:rPr>
                <w:rFonts w:ascii="Gill Sans MT" w:eastAsia="Times New Roman" w:hAnsi="Gill Sans MT" w:cs="Calibri"/>
                <w:sz w:val="20"/>
                <w:szCs w:val="20"/>
              </w:rPr>
              <w:t>920</w:t>
            </w:r>
          </w:p>
        </w:tc>
      </w:tr>
    </w:tbl>
    <w:p w14:paraId="1743163C" w14:textId="77777777" w:rsidR="001E5D09" w:rsidRPr="00093F2A" w:rsidRDefault="001E5D09" w:rsidP="001E5D09">
      <w:pPr>
        <w:spacing w:line="240" w:lineRule="auto"/>
        <w:contextualSpacing/>
        <w:rPr>
          <w:rFonts w:ascii="Gill Sans MT" w:hAnsi="Gill Sans MT"/>
        </w:rPr>
      </w:pPr>
      <w:r w:rsidRPr="00093F2A">
        <w:rPr>
          <w:rFonts w:ascii="Gill Sans MT" w:hAnsi="Gill Sans MT"/>
          <w:sz w:val="20"/>
          <w:szCs w:val="20"/>
        </w:rPr>
        <w:t>We report univariate results in Panel A, and multivariate results in Panel B of Table V using acquirer BHARs as the dependent variables. BHARs are constructed for 1, 2, and 3 years after acquisitions. The independent variable of interest is the dummy variable for deals with private equity involvement (</w:t>
      </w:r>
      <w:r w:rsidRPr="00093F2A">
        <w:rPr>
          <w:rFonts w:ascii="Gill Sans MT" w:hAnsi="Gill Sans MT"/>
          <w:i/>
          <w:iCs/>
          <w:sz w:val="20"/>
          <w:szCs w:val="20"/>
        </w:rPr>
        <w:t>PRIVATE EQUITY</w:t>
      </w:r>
      <w:r w:rsidRPr="00093F2A">
        <w:rPr>
          <w:rFonts w:ascii="Gill Sans MT" w:hAnsi="Gill Sans MT"/>
          <w:sz w:val="20"/>
          <w:szCs w:val="20"/>
        </w:rPr>
        <w:t>). We control for year and industry fixed effects. We calculate the t-statistics based upon clustered standard errors. ***, **, and * denote significance at 1%, 5%, and 10% levels.</w:t>
      </w:r>
    </w:p>
    <w:p w14:paraId="03B8C47B" w14:textId="77777777" w:rsidR="001E5D09" w:rsidRPr="00093F2A" w:rsidRDefault="001E5D09" w:rsidP="001E5D09">
      <w:pPr>
        <w:spacing w:after="0" w:line="240" w:lineRule="auto"/>
        <w:rPr>
          <w:rFonts w:ascii="Gill Sans MT" w:hAnsi="Gill Sans MT"/>
        </w:rPr>
        <w:sectPr w:rsidR="001E5D09" w:rsidRPr="00093F2A">
          <w:pgSz w:w="12240" w:h="15840"/>
          <w:pgMar w:top="1440" w:right="1440" w:bottom="1440" w:left="1440" w:header="720" w:footer="720" w:gutter="0"/>
          <w:cols w:space="720"/>
        </w:sectPr>
      </w:pPr>
    </w:p>
    <w:tbl>
      <w:tblPr>
        <w:tblW w:w="4772" w:type="pct"/>
        <w:tblLook w:val="04A0" w:firstRow="1" w:lastRow="0" w:firstColumn="1" w:lastColumn="0" w:noHBand="0" w:noVBand="1"/>
      </w:tblPr>
      <w:tblGrid>
        <w:gridCol w:w="1781"/>
        <w:gridCol w:w="1965"/>
        <w:gridCol w:w="1638"/>
        <w:gridCol w:w="543"/>
        <w:gridCol w:w="1632"/>
        <w:gridCol w:w="1067"/>
        <w:gridCol w:w="241"/>
        <w:gridCol w:w="272"/>
      </w:tblGrid>
      <w:tr w:rsidR="00093F2A" w:rsidRPr="00093F2A" w14:paraId="264DE7E5" w14:textId="77777777" w:rsidTr="00FE4E82">
        <w:trPr>
          <w:trHeight w:val="144"/>
        </w:trPr>
        <w:tc>
          <w:tcPr>
            <w:tcW w:w="5000" w:type="pct"/>
            <w:gridSpan w:val="8"/>
            <w:noWrap/>
            <w:vAlign w:val="bottom"/>
            <w:hideMark/>
          </w:tcPr>
          <w:p w14:paraId="62565D80" w14:textId="77777777" w:rsidR="001E5D09" w:rsidRPr="00093F2A" w:rsidRDefault="001E5D09">
            <w:pPr>
              <w:spacing w:line="240" w:lineRule="auto"/>
              <w:contextualSpacing/>
              <w:rPr>
                <w:rFonts w:ascii="Gill Sans MT" w:eastAsia="Times New Roman" w:hAnsi="Gill Sans MT" w:cs="Calibri"/>
                <w:b/>
                <w:bCs/>
              </w:rPr>
            </w:pPr>
            <w:r w:rsidRPr="00093F2A">
              <w:rPr>
                <w:rFonts w:ascii="Gill Sans MT" w:eastAsia="Times New Roman" w:hAnsi="Gill Sans MT" w:cs="Calibri"/>
                <w:b/>
                <w:bCs/>
              </w:rPr>
              <w:lastRenderedPageBreak/>
              <w:t>Table 6 –Private Equity Involvement on Acquirer Total Stock Return Volatility Change</w:t>
            </w:r>
          </w:p>
        </w:tc>
      </w:tr>
      <w:tr w:rsidR="00093F2A" w:rsidRPr="00093F2A" w14:paraId="682EA645" w14:textId="77777777" w:rsidTr="00FE4E82">
        <w:trPr>
          <w:trHeight w:val="144"/>
        </w:trPr>
        <w:tc>
          <w:tcPr>
            <w:tcW w:w="5000" w:type="pct"/>
            <w:gridSpan w:val="8"/>
            <w:tcBorders>
              <w:top w:val="single" w:sz="4" w:space="0" w:color="auto"/>
              <w:left w:val="nil"/>
              <w:bottom w:val="single" w:sz="4" w:space="0" w:color="auto"/>
              <w:right w:val="nil"/>
            </w:tcBorders>
            <w:noWrap/>
            <w:vAlign w:val="bottom"/>
            <w:hideMark/>
          </w:tcPr>
          <w:p w14:paraId="15C6015A"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Panel A – Univariate Comparison of Risk</w:t>
            </w:r>
          </w:p>
        </w:tc>
      </w:tr>
      <w:tr w:rsidR="00093F2A" w:rsidRPr="00093F2A" w14:paraId="711C184E" w14:textId="77777777" w:rsidTr="00FE4E82">
        <w:trPr>
          <w:trHeight w:val="144"/>
        </w:trPr>
        <w:tc>
          <w:tcPr>
            <w:tcW w:w="974" w:type="pct"/>
            <w:noWrap/>
            <w:vAlign w:val="bottom"/>
            <w:hideMark/>
          </w:tcPr>
          <w:p w14:paraId="60AD9755" w14:textId="77777777" w:rsidR="001E5D09" w:rsidRPr="00093F2A" w:rsidRDefault="001E5D09">
            <w:pPr>
              <w:rPr>
                <w:rFonts w:ascii="Gill Sans MT" w:eastAsia="Times New Roman" w:hAnsi="Gill Sans MT" w:cs="Calibri"/>
                <w:b/>
                <w:bCs/>
                <w:i/>
                <w:iCs/>
              </w:rPr>
            </w:pPr>
          </w:p>
        </w:tc>
        <w:tc>
          <w:tcPr>
            <w:tcW w:w="2267" w:type="pct"/>
            <w:gridSpan w:val="3"/>
            <w:noWrap/>
            <w:vAlign w:val="bottom"/>
            <w:hideMark/>
          </w:tcPr>
          <w:p w14:paraId="7E9371C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No private equity involvement</w:t>
            </w:r>
          </w:p>
        </w:tc>
        <w:tc>
          <w:tcPr>
            <w:tcW w:w="1758" w:type="pct"/>
            <w:gridSpan w:val="4"/>
            <w:noWrap/>
            <w:vAlign w:val="bottom"/>
            <w:hideMark/>
          </w:tcPr>
          <w:p w14:paraId="79815162"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Private equity involvement</w:t>
            </w:r>
          </w:p>
        </w:tc>
      </w:tr>
      <w:tr w:rsidR="00093F2A" w:rsidRPr="00093F2A" w14:paraId="2429495F" w14:textId="77777777" w:rsidTr="00FE4E82">
        <w:trPr>
          <w:trHeight w:val="144"/>
        </w:trPr>
        <w:tc>
          <w:tcPr>
            <w:tcW w:w="974" w:type="pct"/>
            <w:noWrap/>
            <w:vAlign w:val="bottom"/>
            <w:hideMark/>
          </w:tcPr>
          <w:p w14:paraId="5DDD645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Window</w:t>
            </w:r>
          </w:p>
        </w:tc>
        <w:tc>
          <w:tcPr>
            <w:tcW w:w="1075" w:type="pct"/>
            <w:noWrap/>
            <w:vAlign w:val="bottom"/>
            <w:hideMark/>
          </w:tcPr>
          <w:p w14:paraId="115F4F2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Mean</w:t>
            </w:r>
          </w:p>
        </w:tc>
        <w:tc>
          <w:tcPr>
            <w:tcW w:w="1193" w:type="pct"/>
            <w:gridSpan w:val="2"/>
            <w:noWrap/>
            <w:vAlign w:val="bottom"/>
            <w:hideMark/>
          </w:tcPr>
          <w:p w14:paraId="106B393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Median</w:t>
            </w:r>
          </w:p>
        </w:tc>
        <w:tc>
          <w:tcPr>
            <w:tcW w:w="893" w:type="pct"/>
            <w:noWrap/>
            <w:vAlign w:val="bottom"/>
            <w:hideMark/>
          </w:tcPr>
          <w:p w14:paraId="7C7EF4D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Mean</w:t>
            </w:r>
          </w:p>
        </w:tc>
        <w:tc>
          <w:tcPr>
            <w:tcW w:w="866" w:type="pct"/>
            <w:gridSpan w:val="3"/>
            <w:noWrap/>
            <w:vAlign w:val="bottom"/>
            <w:hideMark/>
          </w:tcPr>
          <w:p w14:paraId="2D8360E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Median</w:t>
            </w:r>
          </w:p>
        </w:tc>
      </w:tr>
      <w:tr w:rsidR="00093F2A" w:rsidRPr="00093F2A" w14:paraId="2B641C89" w14:textId="77777777" w:rsidTr="00FE4E82">
        <w:trPr>
          <w:trHeight w:val="144"/>
        </w:trPr>
        <w:tc>
          <w:tcPr>
            <w:tcW w:w="974" w:type="pct"/>
            <w:noWrap/>
            <w:vAlign w:val="bottom"/>
            <w:hideMark/>
          </w:tcPr>
          <w:p w14:paraId="5EF097F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Before M&amp;A</w:t>
            </w:r>
          </w:p>
        </w:tc>
        <w:tc>
          <w:tcPr>
            <w:tcW w:w="1075" w:type="pct"/>
            <w:noWrap/>
            <w:vAlign w:val="bottom"/>
            <w:hideMark/>
          </w:tcPr>
          <w:p w14:paraId="4F03433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1.78%</w:t>
            </w:r>
          </w:p>
        </w:tc>
        <w:tc>
          <w:tcPr>
            <w:tcW w:w="1193" w:type="pct"/>
            <w:gridSpan w:val="2"/>
            <w:noWrap/>
            <w:vAlign w:val="bottom"/>
            <w:hideMark/>
          </w:tcPr>
          <w:p w14:paraId="4B355B75"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1.56%</w:t>
            </w:r>
          </w:p>
        </w:tc>
        <w:tc>
          <w:tcPr>
            <w:tcW w:w="893" w:type="pct"/>
            <w:noWrap/>
            <w:vAlign w:val="bottom"/>
            <w:hideMark/>
          </w:tcPr>
          <w:p w14:paraId="59027B3B"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1.82%</w:t>
            </w:r>
          </w:p>
        </w:tc>
        <w:tc>
          <w:tcPr>
            <w:tcW w:w="866" w:type="pct"/>
            <w:gridSpan w:val="3"/>
            <w:noWrap/>
            <w:vAlign w:val="bottom"/>
            <w:hideMark/>
          </w:tcPr>
          <w:p w14:paraId="4F3E7D92"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1.60%</w:t>
            </w:r>
          </w:p>
        </w:tc>
      </w:tr>
      <w:tr w:rsidR="00093F2A" w:rsidRPr="00093F2A" w14:paraId="17B4CA16" w14:textId="77777777" w:rsidTr="00FE4E82">
        <w:trPr>
          <w:trHeight w:val="144"/>
        </w:trPr>
        <w:tc>
          <w:tcPr>
            <w:tcW w:w="974" w:type="pct"/>
            <w:noWrap/>
            <w:vAlign w:val="bottom"/>
            <w:hideMark/>
          </w:tcPr>
          <w:p w14:paraId="3AA78D1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After M&amp;A</w:t>
            </w:r>
          </w:p>
        </w:tc>
        <w:tc>
          <w:tcPr>
            <w:tcW w:w="1075" w:type="pct"/>
            <w:noWrap/>
            <w:vAlign w:val="bottom"/>
            <w:hideMark/>
          </w:tcPr>
          <w:p w14:paraId="48DC4C4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1.91%</w:t>
            </w:r>
          </w:p>
        </w:tc>
        <w:tc>
          <w:tcPr>
            <w:tcW w:w="1193" w:type="pct"/>
            <w:gridSpan w:val="2"/>
            <w:noWrap/>
            <w:vAlign w:val="bottom"/>
            <w:hideMark/>
          </w:tcPr>
          <w:p w14:paraId="4666032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1.58%</w:t>
            </w:r>
          </w:p>
        </w:tc>
        <w:tc>
          <w:tcPr>
            <w:tcW w:w="893" w:type="pct"/>
            <w:noWrap/>
            <w:vAlign w:val="bottom"/>
            <w:hideMark/>
          </w:tcPr>
          <w:p w14:paraId="5292AE3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1.73%</w:t>
            </w:r>
          </w:p>
        </w:tc>
        <w:tc>
          <w:tcPr>
            <w:tcW w:w="866" w:type="pct"/>
            <w:gridSpan w:val="3"/>
            <w:noWrap/>
            <w:vAlign w:val="bottom"/>
            <w:hideMark/>
          </w:tcPr>
          <w:p w14:paraId="6032CB7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1.57%</w:t>
            </w:r>
          </w:p>
        </w:tc>
      </w:tr>
      <w:tr w:rsidR="00093F2A" w:rsidRPr="00093F2A" w14:paraId="04C425AE" w14:textId="77777777" w:rsidTr="00FE4E82">
        <w:trPr>
          <w:trHeight w:val="144"/>
        </w:trPr>
        <w:tc>
          <w:tcPr>
            <w:tcW w:w="974" w:type="pct"/>
            <w:noWrap/>
            <w:vAlign w:val="bottom"/>
            <w:hideMark/>
          </w:tcPr>
          <w:p w14:paraId="0DB95B6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Change</w:t>
            </w:r>
          </w:p>
        </w:tc>
        <w:tc>
          <w:tcPr>
            <w:tcW w:w="1075" w:type="pct"/>
            <w:noWrap/>
            <w:vAlign w:val="bottom"/>
            <w:hideMark/>
          </w:tcPr>
          <w:p w14:paraId="1AF434BE"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0.14%</w:t>
            </w:r>
          </w:p>
        </w:tc>
        <w:tc>
          <w:tcPr>
            <w:tcW w:w="1193" w:type="pct"/>
            <w:gridSpan w:val="2"/>
            <w:noWrap/>
            <w:vAlign w:val="bottom"/>
            <w:hideMark/>
          </w:tcPr>
          <w:p w14:paraId="25982AF3"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0.02%</w:t>
            </w:r>
          </w:p>
        </w:tc>
        <w:tc>
          <w:tcPr>
            <w:tcW w:w="893" w:type="pct"/>
            <w:noWrap/>
            <w:vAlign w:val="bottom"/>
            <w:hideMark/>
          </w:tcPr>
          <w:p w14:paraId="59B48285"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-0.09%</w:t>
            </w:r>
          </w:p>
        </w:tc>
        <w:tc>
          <w:tcPr>
            <w:tcW w:w="866" w:type="pct"/>
            <w:gridSpan w:val="3"/>
            <w:noWrap/>
            <w:vAlign w:val="bottom"/>
            <w:hideMark/>
          </w:tcPr>
          <w:p w14:paraId="7D0004C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w:t>
            </w:r>
          </w:p>
        </w:tc>
      </w:tr>
      <w:tr w:rsidR="00093F2A" w:rsidRPr="00093F2A" w14:paraId="3BD2DAED" w14:textId="77777777" w:rsidTr="00FE4E82">
        <w:trPr>
          <w:trHeight w:val="144"/>
        </w:trPr>
        <w:tc>
          <w:tcPr>
            <w:tcW w:w="2049" w:type="pct"/>
            <w:gridSpan w:val="2"/>
            <w:noWrap/>
            <w:vAlign w:val="bottom"/>
            <w:hideMark/>
          </w:tcPr>
          <w:p w14:paraId="73E64086" w14:textId="77777777" w:rsidR="001E5D09" w:rsidRPr="00093F2A" w:rsidRDefault="001E5D09">
            <w:pPr>
              <w:spacing w:line="240" w:lineRule="auto"/>
              <w:contextualSpacing/>
              <w:rPr>
                <w:rFonts w:ascii="Gill Sans MT" w:eastAsia="Times New Roman" w:hAnsi="Gill Sans MT" w:cs="Calibri"/>
                <w:u w:val="single"/>
              </w:rPr>
            </w:pPr>
            <w:r w:rsidRPr="00093F2A">
              <w:rPr>
                <w:rFonts w:ascii="Gill Sans MT" w:eastAsia="Times New Roman" w:hAnsi="Gill Sans MT" w:cs="Calibri"/>
                <w:u w:val="single"/>
              </w:rPr>
              <w:t>Difference</w:t>
            </w:r>
          </w:p>
        </w:tc>
        <w:tc>
          <w:tcPr>
            <w:tcW w:w="1193" w:type="pct"/>
            <w:gridSpan w:val="2"/>
            <w:noWrap/>
            <w:vAlign w:val="bottom"/>
            <w:hideMark/>
          </w:tcPr>
          <w:p w14:paraId="63465D59" w14:textId="77777777" w:rsidR="001E5D09" w:rsidRPr="00093F2A" w:rsidRDefault="001E5D09">
            <w:pPr>
              <w:rPr>
                <w:rFonts w:ascii="Gill Sans MT" w:eastAsia="Times New Roman" w:hAnsi="Gill Sans MT" w:cs="Calibri"/>
                <w:u w:val="single"/>
              </w:rPr>
            </w:pPr>
          </w:p>
        </w:tc>
        <w:tc>
          <w:tcPr>
            <w:tcW w:w="893" w:type="pct"/>
            <w:noWrap/>
            <w:vAlign w:val="bottom"/>
            <w:hideMark/>
          </w:tcPr>
          <w:p w14:paraId="1D780529" w14:textId="77777777" w:rsidR="001E5D09" w:rsidRPr="00093F2A" w:rsidRDefault="001E5D09">
            <w:pPr>
              <w:spacing w:after="0"/>
              <w:rPr>
                <w:sz w:val="20"/>
                <w:szCs w:val="20"/>
              </w:rPr>
            </w:pPr>
          </w:p>
        </w:tc>
        <w:tc>
          <w:tcPr>
            <w:tcW w:w="866" w:type="pct"/>
            <w:gridSpan w:val="3"/>
            <w:noWrap/>
            <w:vAlign w:val="bottom"/>
            <w:hideMark/>
          </w:tcPr>
          <w:p w14:paraId="206AC9F7" w14:textId="77777777" w:rsidR="001E5D09" w:rsidRPr="00093F2A" w:rsidRDefault="001E5D09">
            <w:pPr>
              <w:spacing w:after="0"/>
              <w:rPr>
                <w:sz w:val="20"/>
                <w:szCs w:val="20"/>
              </w:rPr>
            </w:pPr>
          </w:p>
        </w:tc>
      </w:tr>
      <w:tr w:rsidR="00093F2A" w:rsidRPr="00093F2A" w14:paraId="3BA40CAE" w14:textId="77777777" w:rsidTr="00FE4E82">
        <w:trPr>
          <w:trHeight w:val="144"/>
        </w:trPr>
        <w:tc>
          <w:tcPr>
            <w:tcW w:w="974" w:type="pct"/>
            <w:noWrap/>
            <w:vAlign w:val="bottom"/>
            <w:hideMark/>
          </w:tcPr>
          <w:p w14:paraId="232599E7" w14:textId="77777777" w:rsidR="001E5D09" w:rsidRPr="00093F2A" w:rsidRDefault="001E5D09">
            <w:pPr>
              <w:spacing w:after="0"/>
              <w:rPr>
                <w:sz w:val="20"/>
                <w:szCs w:val="20"/>
              </w:rPr>
            </w:pPr>
          </w:p>
        </w:tc>
        <w:tc>
          <w:tcPr>
            <w:tcW w:w="1075" w:type="pct"/>
            <w:noWrap/>
            <w:vAlign w:val="bottom"/>
            <w:hideMark/>
          </w:tcPr>
          <w:p w14:paraId="748E0AA8"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Mean diff.</w:t>
            </w:r>
          </w:p>
        </w:tc>
        <w:tc>
          <w:tcPr>
            <w:tcW w:w="1193" w:type="pct"/>
            <w:gridSpan w:val="2"/>
            <w:noWrap/>
            <w:vAlign w:val="bottom"/>
            <w:hideMark/>
          </w:tcPr>
          <w:p w14:paraId="083BC3C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Median diff</w:t>
            </w:r>
          </w:p>
        </w:tc>
        <w:tc>
          <w:tcPr>
            <w:tcW w:w="893" w:type="pct"/>
            <w:noWrap/>
            <w:vAlign w:val="bottom"/>
            <w:hideMark/>
          </w:tcPr>
          <w:p w14:paraId="77D2366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t-stats</w:t>
            </w:r>
          </w:p>
        </w:tc>
        <w:tc>
          <w:tcPr>
            <w:tcW w:w="866" w:type="pct"/>
            <w:gridSpan w:val="3"/>
            <w:noWrap/>
            <w:vAlign w:val="bottom"/>
            <w:hideMark/>
          </w:tcPr>
          <w:p w14:paraId="567E057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Wilcoxon-stats</w:t>
            </w:r>
          </w:p>
        </w:tc>
      </w:tr>
      <w:tr w:rsidR="00093F2A" w:rsidRPr="00093F2A" w14:paraId="1F783C24" w14:textId="77777777" w:rsidTr="00FE4E82">
        <w:trPr>
          <w:trHeight w:val="144"/>
        </w:trPr>
        <w:tc>
          <w:tcPr>
            <w:tcW w:w="974" w:type="pct"/>
            <w:noWrap/>
            <w:vAlign w:val="bottom"/>
            <w:hideMark/>
          </w:tcPr>
          <w:p w14:paraId="1F874B6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Before M&amp;A</w:t>
            </w:r>
          </w:p>
        </w:tc>
        <w:tc>
          <w:tcPr>
            <w:tcW w:w="1075" w:type="pct"/>
            <w:noWrap/>
            <w:vAlign w:val="bottom"/>
            <w:hideMark/>
          </w:tcPr>
          <w:p w14:paraId="24636563"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w:t>
            </w:r>
          </w:p>
        </w:tc>
        <w:tc>
          <w:tcPr>
            <w:tcW w:w="1193" w:type="pct"/>
            <w:gridSpan w:val="2"/>
            <w:noWrap/>
            <w:vAlign w:val="bottom"/>
            <w:hideMark/>
          </w:tcPr>
          <w:p w14:paraId="143553B2"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w:t>
            </w:r>
          </w:p>
        </w:tc>
        <w:tc>
          <w:tcPr>
            <w:tcW w:w="893" w:type="pct"/>
            <w:noWrap/>
            <w:vAlign w:val="bottom"/>
            <w:hideMark/>
          </w:tcPr>
          <w:p w14:paraId="5CD88723"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0.61</w:t>
            </w:r>
          </w:p>
        </w:tc>
        <w:tc>
          <w:tcPr>
            <w:tcW w:w="866" w:type="pct"/>
            <w:gridSpan w:val="3"/>
            <w:noWrap/>
            <w:vAlign w:val="bottom"/>
            <w:hideMark/>
          </w:tcPr>
          <w:p w14:paraId="79C541BF"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1.69*</w:t>
            </w:r>
          </w:p>
        </w:tc>
      </w:tr>
      <w:tr w:rsidR="00093F2A" w:rsidRPr="00093F2A" w14:paraId="242864F9" w14:textId="77777777" w:rsidTr="00FE4E82">
        <w:trPr>
          <w:trHeight w:val="144"/>
        </w:trPr>
        <w:tc>
          <w:tcPr>
            <w:tcW w:w="974" w:type="pct"/>
            <w:noWrap/>
            <w:vAlign w:val="bottom"/>
            <w:hideMark/>
          </w:tcPr>
          <w:p w14:paraId="62A7FF6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After M&amp;A</w:t>
            </w:r>
          </w:p>
        </w:tc>
        <w:tc>
          <w:tcPr>
            <w:tcW w:w="1075" w:type="pct"/>
            <w:noWrap/>
            <w:vAlign w:val="bottom"/>
            <w:hideMark/>
          </w:tcPr>
          <w:p w14:paraId="61FCFEF5"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-0.18%</w:t>
            </w:r>
          </w:p>
        </w:tc>
        <w:tc>
          <w:tcPr>
            <w:tcW w:w="1193" w:type="pct"/>
            <w:gridSpan w:val="2"/>
            <w:noWrap/>
            <w:vAlign w:val="bottom"/>
            <w:hideMark/>
          </w:tcPr>
          <w:p w14:paraId="41CDEB3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-0.01%</w:t>
            </w:r>
          </w:p>
        </w:tc>
        <w:tc>
          <w:tcPr>
            <w:tcW w:w="893" w:type="pct"/>
            <w:noWrap/>
            <w:vAlign w:val="bottom"/>
            <w:hideMark/>
          </w:tcPr>
          <w:p w14:paraId="13C5CAF8"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-2.97***</w:t>
            </w:r>
          </w:p>
        </w:tc>
        <w:tc>
          <w:tcPr>
            <w:tcW w:w="866" w:type="pct"/>
            <w:gridSpan w:val="3"/>
            <w:noWrap/>
            <w:vAlign w:val="bottom"/>
            <w:hideMark/>
          </w:tcPr>
          <w:p w14:paraId="260836BB"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-1.14</w:t>
            </w:r>
          </w:p>
        </w:tc>
      </w:tr>
      <w:tr w:rsidR="00093F2A" w:rsidRPr="00093F2A" w14:paraId="1601BD76" w14:textId="77777777" w:rsidTr="00FE4E82">
        <w:trPr>
          <w:trHeight w:val="144"/>
        </w:trPr>
        <w:tc>
          <w:tcPr>
            <w:tcW w:w="974" w:type="pct"/>
            <w:noWrap/>
            <w:vAlign w:val="bottom"/>
            <w:hideMark/>
          </w:tcPr>
          <w:p w14:paraId="3CB6716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Change</w:t>
            </w:r>
          </w:p>
        </w:tc>
        <w:tc>
          <w:tcPr>
            <w:tcW w:w="1075" w:type="pct"/>
            <w:noWrap/>
            <w:vAlign w:val="bottom"/>
            <w:hideMark/>
          </w:tcPr>
          <w:p w14:paraId="3E29918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-0.22%</w:t>
            </w:r>
          </w:p>
        </w:tc>
        <w:tc>
          <w:tcPr>
            <w:tcW w:w="1193" w:type="pct"/>
            <w:gridSpan w:val="2"/>
            <w:noWrap/>
            <w:vAlign w:val="bottom"/>
            <w:hideMark/>
          </w:tcPr>
          <w:p w14:paraId="5BC0AD5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-0.05%</w:t>
            </w:r>
          </w:p>
        </w:tc>
        <w:tc>
          <w:tcPr>
            <w:tcW w:w="893" w:type="pct"/>
            <w:noWrap/>
            <w:vAlign w:val="bottom"/>
            <w:hideMark/>
          </w:tcPr>
          <w:p w14:paraId="09C7303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-3.19***</w:t>
            </w:r>
          </w:p>
        </w:tc>
        <w:tc>
          <w:tcPr>
            <w:tcW w:w="866" w:type="pct"/>
            <w:gridSpan w:val="3"/>
            <w:noWrap/>
            <w:vAlign w:val="bottom"/>
            <w:hideMark/>
          </w:tcPr>
          <w:p w14:paraId="39914B4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-2.47**</w:t>
            </w:r>
          </w:p>
        </w:tc>
      </w:tr>
      <w:tr w:rsidR="00093F2A" w:rsidRPr="00093F2A" w14:paraId="1D5055C4" w14:textId="77777777" w:rsidTr="00FE4E82">
        <w:trPr>
          <w:trHeight w:val="144"/>
        </w:trPr>
        <w:tc>
          <w:tcPr>
            <w:tcW w:w="974" w:type="pct"/>
            <w:tcBorders>
              <w:top w:val="nil"/>
              <w:left w:val="nil"/>
              <w:bottom w:val="single" w:sz="4" w:space="0" w:color="auto"/>
              <w:right w:val="nil"/>
            </w:tcBorders>
            <w:noWrap/>
            <w:vAlign w:val="bottom"/>
            <w:hideMark/>
          </w:tcPr>
          <w:p w14:paraId="5BCE0319" w14:textId="77777777" w:rsidR="001E5D09" w:rsidRPr="00093F2A" w:rsidRDefault="001E5D09">
            <w:pPr>
              <w:rPr>
                <w:rFonts w:ascii="Gill Sans MT" w:eastAsia="Times New Roman" w:hAnsi="Gill Sans MT" w:cs="Calibri"/>
              </w:rPr>
            </w:pPr>
          </w:p>
        </w:tc>
        <w:tc>
          <w:tcPr>
            <w:tcW w:w="1075" w:type="pct"/>
            <w:tcBorders>
              <w:top w:val="nil"/>
              <w:left w:val="nil"/>
              <w:bottom w:val="single" w:sz="4" w:space="0" w:color="auto"/>
              <w:right w:val="nil"/>
            </w:tcBorders>
            <w:noWrap/>
            <w:vAlign w:val="bottom"/>
            <w:hideMark/>
          </w:tcPr>
          <w:p w14:paraId="0959CEDF" w14:textId="77777777" w:rsidR="001E5D09" w:rsidRPr="00093F2A" w:rsidRDefault="001E5D09">
            <w:pPr>
              <w:spacing w:after="0"/>
              <w:rPr>
                <w:sz w:val="20"/>
                <w:szCs w:val="20"/>
              </w:rPr>
            </w:pPr>
          </w:p>
        </w:tc>
        <w:tc>
          <w:tcPr>
            <w:tcW w:w="1193" w:type="pct"/>
            <w:gridSpan w:val="2"/>
            <w:tcBorders>
              <w:top w:val="nil"/>
              <w:left w:val="nil"/>
              <w:bottom w:val="single" w:sz="4" w:space="0" w:color="auto"/>
              <w:right w:val="nil"/>
            </w:tcBorders>
            <w:noWrap/>
            <w:vAlign w:val="bottom"/>
            <w:hideMark/>
          </w:tcPr>
          <w:p w14:paraId="5561ECFE" w14:textId="77777777" w:rsidR="001E5D09" w:rsidRPr="00093F2A" w:rsidRDefault="001E5D09">
            <w:pPr>
              <w:spacing w:after="0"/>
              <w:rPr>
                <w:sz w:val="20"/>
                <w:szCs w:val="20"/>
              </w:rPr>
            </w:pPr>
          </w:p>
        </w:tc>
        <w:tc>
          <w:tcPr>
            <w:tcW w:w="893" w:type="pct"/>
            <w:tcBorders>
              <w:top w:val="nil"/>
              <w:left w:val="nil"/>
              <w:bottom w:val="single" w:sz="4" w:space="0" w:color="auto"/>
              <w:right w:val="nil"/>
            </w:tcBorders>
            <w:noWrap/>
            <w:vAlign w:val="bottom"/>
            <w:hideMark/>
          </w:tcPr>
          <w:p w14:paraId="28CDBE04" w14:textId="77777777" w:rsidR="001E5D09" w:rsidRPr="00093F2A" w:rsidRDefault="001E5D09">
            <w:pPr>
              <w:spacing w:after="0"/>
              <w:rPr>
                <w:sz w:val="20"/>
                <w:szCs w:val="20"/>
              </w:rPr>
            </w:pPr>
          </w:p>
        </w:tc>
        <w:tc>
          <w:tcPr>
            <w:tcW w:w="866" w:type="pct"/>
            <w:gridSpan w:val="3"/>
            <w:tcBorders>
              <w:top w:val="nil"/>
              <w:left w:val="nil"/>
              <w:bottom w:val="single" w:sz="4" w:space="0" w:color="auto"/>
              <w:right w:val="nil"/>
            </w:tcBorders>
            <w:noWrap/>
            <w:vAlign w:val="bottom"/>
            <w:hideMark/>
          </w:tcPr>
          <w:p w14:paraId="77FF6EF3" w14:textId="77777777" w:rsidR="001E5D09" w:rsidRPr="00093F2A" w:rsidRDefault="001E5D09">
            <w:pPr>
              <w:spacing w:after="0"/>
              <w:rPr>
                <w:sz w:val="20"/>
                <w:szCs w:val="20"/>
              </w:rPr>
            </w:pPr>
          </w:p>
        </w:tc>
      </w:tr>
      <w:tr w:rsidR="00093F2A" w:rsidRPr="00093F2A" w14:paraId="7A9AF614" w14:textId="77777777" w:rsidTr="00FE4E82">
        <w:trPr>
          <w:trHeight w:val="144"/>
        </w:trPr>
        <w:tc>
          <w:tcPr>
            <w:tcW w:w="5000" w:type="pct"/>
            <w:gridSpan w:val="8"/>
            <w:tcBorders>
              <w:top w:val="single" w:sz="4" w:space="0" w:color="auto"/>
              <w:left w:val="nil"/>
              <w:bottom w:val="nil"/>
              <w:right w:val="nil"/>
            </w:tcBorders>
            <w:noWrap/>
            <w:vAlign w:val="bottom"/>
            <w:hideMark/>
          </w:tcPr>
          <w:p w14:paraId="2DF712DA" w14:textId="77777777" w:rsidR="001E5D09" w:rsidRPr="00093F2A" w:rsidRDefault="001E5D09">
            <w:pPr>
              <w:spacing w:line="240" w:lineRule="auto"/>
              <w:contextualSpacing/>
              <w:rPr>
                <w:rFonts w:ascii="Gill Sans MT" w:eastAsia="Times New Roman" w:hAnsi="Gill Sans MT" w:cs="Calibri"/>
                <w:b/>
                <w:bCs/>
                <w:i/>
                <w:iCs/>
              </w:rPr>
            </w:pPr>
            <w:r w:rsidRPr="00093F2A">
              <w:rPr>
                <w:rFonts w:ascii="Gill Sans MT" w:eastAsia="Times New Roman" w:hAnsi="Gill Sans MT" w:cs="Calibri"/>
                <w:b/>
                <w:bCs/>
                <w:i/>
                <w:iCs/>
              </w:rPr>
              <w:t>Panel B – Total Stock Return Volatility Change Regression</w:t>
            </w:r>
          </w:p>
        </w:tc>
      </w:tr>
      <w:tr w:rsidR="00093F2A" w:rsidRPr="00093F2A" w14:paraId="097EB410" w14:textId="77777777" w:rsidTr="00FE4E82">
        <w:trPr>
          <w:gridAfter w:val="1"/>
          <w:wAfter w:w="149" w:type="pct"/>
          <w:trHeight w:val="144"/>
        </w:trPr>
        <w:tc>
          <w:tcPr>
            <w:tcW w:w="974" w:type="pct"/>
            <w:tcBorders>
              <w:top w:val="nil"/>
              <w:left w:val="nil"/>
              <w:bottom w:val="single" w:sz="4" w:space="0" w:color="auto"/>
              <w:right w:val="nil"/>
            </w:tcBorders>
            <w:noWrap/>
            <w:vAlign w:val="bottom"/>
            <w:hideMark/>
          </w:tcPr>
          <w:p w14:paraId="25DF6902"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Variables</w:t>
            </w:r>
          </w:p>
        </w:tc>
        <w:tc>
          <w:tcPr>
            <w:tcW w:w="1075" w:type="pct"/>
            <w:tcBorders>
              <w:top w:val="nil"/>
              <w:left w:val="nil"/>
              <w:bottom w:val="single" w:sz="4" w:space="0" w:color="auto"/>
              <w:right w:val="nil"/>
            </w:tcBorders>
            <w:noWrap/>
            <w:vAlign w:val="bottom"/>
            <w:hideMark/>
          </w:tcPr>
          <w:p w14:paraId="06CC426E" w14:textId="77777777" w:rsidR="001E5D09" w:rsidRPr="00093F2A" w:rsidRDefault="001E5D09">
            <w:pPr>
              <w:rPr>
                <w:rFonts w:ascii="Gill Sans MT" w:eastAsia="Times New Roman" w:hAnsi="Gill Sans MT" w:cs="Calibri"/>
              </w:rPr>
            </w:pPr>
          </w:p>
        </w:tc>
        <w:tc>
          <w:tcPr>
            <w:tcW w:w="896" w:type="pct"/>
            <w:tcBorders>
              <w:top w:val="nil"/>
              <w:left w:val="nil"/>
              <w:bottom w:val="single" w:sz="4" w:space="0" w:color="auto"/>
              <w:right w:val="nil"/>
            </w:tcBorders>
            <w:noWrap/>
            <w:vAlign w:val="bottom"/>
            <w:hideMark/>
          </w:tcPr>
          <w:p w14:paraId="651D1B2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Coefficients</w:t>
            </w:r>
          </w:p>
        </w:tc>
        <w:tc>
          <w:tcPr>
            <w:tcW w:w="1774" w:type="pct"/>
            <w:gridSpan w:val="3"/>
            <w:tcBorders>
              <w:top w:val="nil"/>
              <w:left w:val="nil"/>
              <w:bottom w:val="single" w:sz="4" w:space="0" w:color="auto"/>
              <w:right w:val="nil"/>
            </w:tcBorders>
            <w:vAlign w:val="bottom"/>
            <w:hideMark/>
          </w:tcPr>
          <w:p w14:paraId="28A67810" w14:textId="77777777" w:rsidR="001E5D09" w:rsidRPr="00093F2A" w:rsidRDefault="001E5D09">
            <w:pPr>
              <w:spacing w:line="240" w:lineRule="auto"/>
              <w:contextualSpacing/>
              <w:jc w:val="center"/>
              <w:rPr>
                <w:rFonts w:ascii="Gill Sans MT" w:eastAsia="Times New Roman" w:hAnsi="Gill Sans MT" w:cs="Calibri"/>
              </w:rPr>
            </w:pPr>
            <w:r w:rsidRPr="00093F2A">
              <w:rPr>
                <w:rFonts w:ascii="Gill Sans MT" w:eastAsia="Times New Roman" w:hAnsi="Gill Sans MT" w:cs="Calibri"/>
              </w:rPr>
              <w:t>(T-statistic)</w:t>
            </w:r>
          </w:p>
        </w:tc>
        <w:tc>
          <w:tcPr>
            <w:tcW w:w="132" w:type="pct"/>
            <w:tcBorders>
              <w:top w:val="nil"/>
              <w:left w:val="nil"/>
              <w:bottom w:val="single" w:sz="4" w:space="0" w:color="auto"/>
              <w:right w:val="nil"/>
            </w:tcBorders>
            <w:vAlign w:val="bottom"/>
          </w:tcPr>
          <w:p w14:paraId="1558C4B3" w14:textId="77777777" w:rsidR="001E5D09" w:rsidRPr="00093F2A" w:rsidRDefault="001E5D09">
            <w:pPr>
              <w:spacing w:line="240" w:lineRule="auto"/>
              <w:contextualSpacing/>
              <w:rPr>
                <w:rFonts w:ascii="Gill Sans MT" w:eastAsia="Times New Roman" w:hAnsi="Gill Sans MT" w:cs="Calibri"/>
              </w:rPr>
            </w:pPr>
          </w:p>
        </w:tc>
      </w:tr>
      <w:tr w:rsidR="00093F2A" w:rsidRPr="00093F2A" w14:paraId="4C6C1F6E" w14:textId="77777777" w:rsidTr="00FE4E82">
        <w:trPr>
          <w:gridAfter w:val="2"/>
          <w:wAfter w:w="281" w:type="pct"/>
          <w:trHeight w:val="144"/>
        </w:trPr>
        <w:tc>
          <w:tcPr>
            <w:tcW w:w="2049" w:type="pct"/>
            <w:gridSpan w:val="2"/>
            <w:tcBorders>
              <w:top w:val="single" w:sz="4" w:space="0" w:color="auto"/>
              <w:left w:val="nil"/>
              <w:bottom w:val="nil"/>
              <w:right w:val="nil"/>
            </w:tcBorders>
            <w:noWrap/>
            <w:vAlign w:val="bottom"/>
            <w:hideMark/>
          </w:tcPr>
          <w:p w14:paraId="5CCE83A8"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PRIVATE EQUITY</w:t>
            </w:r>
          </w:p>
        </w:tc>
        <w:tc>
          <w:tcPr>
            <w:tcW w:w="896" w:type="pct"/>
            <w:tcBorders>
              <w:top w:val="single" w:sz="4" w:space="0" w:color="auto"/>
              <w:left w:val="nil"/>
              <w:bottom w:val="nil"/>
              <w:right w:val="nil"/>
            </w:tcBorders>
            <w:noWrap/>
            <w:vAlign w:val="bottom"/>
            <w:hideMark/>
          </w:tcPr>
          <w:p w14:paraId="799DA68F"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-0.080</w:t>
            </w:r>
          </w:p>
        </w:tc>
        <w:tc>
          <w:tcPr>
            <w:tcW w:w="1774" w:type="pct"/>
            <w:gridSpan w:val="3"/>
            <w:tcBorders>
              <w:top w:val="single" w:sz="4" w:space="0" w:color="auto"/>
              <w:left w:val="nil"/>
              <w:bottom w:val="nil"/>
              <w:right w:val="nil"/>
            </w:tcBorders>
            <w:noWrap/>
            <w:vAlign w:val="bottom"/>
            <w:hideMark/>
          </w:tcPr>
          <w:p w14:paraId="300BB6AF"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(-3.251***)</w:t>
            </w:r>
          </w:p>
        </w:tc>
      </w:tr>
      <w:tr w:rsidR="00093F2A" w:rsidRPr="00093F2A" w14:paraId="20433C7C" w14:textId="77777777" w:rsidTr="00FE4E82">
        <w:trPr>
          <w:gridAfter w:val="2"/>
          <w:wAfter w:w="281" w:type="pct"/>
          <w:trHeight w:val="144"/>
        </w:trPr>
        <w:tc>
          <w:tcPr>
            <w:tcW w:w="974" w:type="pct"/>
            <w:noWrap/>
            <w:vAlign w:val="bottom"/>
            <w:hideMark/>
          </w:tcPr>
          <w:p w14:paraId="6AFEA037"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RELSIZE</w:t>
            </w:r>
          </w:p>
        </w:tc>
        <w:tc>
          <w:tcPr>
            <w:tcW w:w="1075" w:type="pct"/>
            <w:noWrap/>
            <w:vAlign w:val="bottom"/>
            <w:hideMark/>
          </w:tcPr>
          <w:p w14:paraId="45555557" w14:textId="77777777" w:rsidR="001E5D09" w:rsidRPr="00093F2A" w:rsidRDefault="001E5D09">
            <w:pPr>
              <w:rPr>
                <w:rFonts w:ascii="Gill Sans MT" w:eastAsia="Times New Roman" w:hAnsi="Gill Sans MT" w:cs="Calibri"/>
                <w:i/>
                <w:iCs/>
              </w:rPr>
            </w:pPr>
          </w:p>
        </w:tc>
        <w:tc>
          <w:tcPr>
            <w:tcW w:w="896" w:type="pct"/>
            <w:noWrap/>
            <w:vAlign w:val="bottom"/>
            <w:hideMark/>
          </w:tcPr>
          <w:p w14:paraId="75B7D21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0.021</w:t>
            </w:r>
          </w:p>
        </w:tc>
        <w:tc>
          <w:tcPr>
            <w:tcW w:w="1774" w:type="pct"/>
            <w:gridSpan w:val="3"/>
            <w:noWrap/>
            <w:vAlign w:val="bottom"/>
            <w:hideMark/>
          </w:tcPr>
          <w:p w14:paraId="2803438D"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(0.453)</w:t>
            </w:r>
          </w:p>
        </w:tc>
      </w:tr>
      <w:tr w:rsidR="00093F2A" w:rsidRPr="00093F2A" w14:paraId="625C737D" w14:textId="77777777" w:rsidTr="00FE4E82">
        <w:trPr>
          <w:gridAfter w:val="2"/>
          <w:wAfter w:w="281" w:type="pct"/>
          <w:trHeight w:val="144"/>
        </w:trPr>
        <w:tc>
          <w:tcPr>
            <w:tcW w:w="2049" w:type="pct"/>
            <w:gridSpan w:val="2"/>
            <w:noWrap/>
            <w:vAlign w:val="bottom"/>
            <w:hideMark/>
          </w:tcPr>
          <w:p w14:paraId="4E7426BB"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RELATED TARGETS</w:t>
            </w:r>
          </w:p>
        </w:tc>
        <w:tc>
          <w:tcPr>
            <w:tcW w:w="896" w:type="pct"/>
            <w:noWrap/>
            <w:vAlign w:val="bottom"/>
            <w:hideMark/>
          </w:tcPr>
          <w:p w14:paraId="58FEAAED"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0.004</w:t>
            </w:r>
          </w:p>
        </w:tc>
        <w:tc>
          <w:tcPr>
            <w:tcW w:w="1774" w:type="pct"/>
            <w:gridSpan w:val="3"/>
            <w:noWrap/>
            <w:vAlign w:val="bottom"/>
            <w:hideMark/>
          </w:tcPr>
          <w:p w14:paraId="3CF01B8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(0.127)</w:t>
            </w:r>
          </w:p>
        </w:tc>
      </w:tr>
      <w:tr w:rsidR="00093F2A" w:rsidRPr="00093F2A" w14:paraId="14AC5AB7" w14:textId="77777777" w:rsidTr="00FE4E82">
        <w:trPr>
          <w:gridAfter w:val="2"/>
          <w:wAfter w:w="281" w:type="pct"/>
          <w:trHeight w:val="144"/>
        </w:trPr>
        <w:tc>
          <w:tcPr>
            <w:tcW w:w="2049" w:type="pct"/>
            <w:gridSpan w:val="2"/>
            <w:noWrap/>
            <w:vAlign w:val="bottom"/>
            <w:hideMark/>
          </w:tcPr>
          <w:p w14:paraId="0FC768C4"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PUBLIC TARGETS</w:t>
            </w:r>
          </w:p>
        </w:tc>
        <w:tc>
          <w:tcPr>
            <w:tcW w:w="896" w:type="pct"/>
            <w:noWrap/>
            <w:vAlign w:val="bottom"/>
            <w:hideMark/>
          </w:tcPr>
          <w:p w14:paraId="700ADF52"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0.026</w:t>
            </w:r>
          </w:p>
        </w:tc>
        <w:tc>
          <w:tcPr>
            <w:tcW w:w="1774" w:type="pct"/>
            <w:gridSpan w:val="3"/>
            <w:noWrap/>
            <w:vAlign w:val="bottom"/>
            <w:hideMark/>
          </w:tcPr>
          <w:p w14:paraId="6C264EDD"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(0.793)</w:t>
            </w:r>
          </w:p>
        </w:tc>
      </w:tr>
      <w:tr w:rsidR="00093F2A" w:rsidRPr="00093F2A" w14:paraId="05489D05" w14:textId="77777777" w:rsidTr="00FE4E82">
        <w:trPr>
          <w:gridAfter w:val="2"/>
          <w:wAfter w:w="281" w:type="pct"/>
          <w:trHeight w:val="144"/>
        </w:trPr>
        <w:tc>
          <w:tcPr>
            <w:tcW w:w="2049" w:type="pct"/>
            <w:gridSpan w:val="2"/>
            <w:noWrap/>
            <w:vAlign w:val="bottom"/>
            <w:hideMark/>
          </w:tcPr>
          <w:p w14:paraId="3320DDA5"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DOMESTIC TARGETS</w:t>
            </w:r>
          </w:p>
        </w:tc>
        <w:tc>
          <w:tcPr>
            <w:tcW w:w="896" w:type="pct"/>
            <w:noWrap/>
            <w:vAlign w:val="bottom"/>
            <w:hideMark/>
          </w:tcPr>
          <w:p w14:paraId="0EE3E181"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-0.045</w:t>
            </w:r>
          </w:p>
        </w:tc>
        <w:tc>
          <w:tcPr>
            <w:tcW w:w="1774" w:type="pct"/>
            <w:gridSpan w:val="3"/>
            <w:noWrap/>
            <w:vAlign w:val="bottom"/>
            <w:hideMark/>
          </w:tcPr>
          <w:p w14:paraId="574ECE2E"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(-0.839)</w:t>
            </w:r>
          </w:p>
        </w:tc>
      </w:tr>
      <w:tr w:rsidR="00093F2A" w:rsidRPr="00093F2A" w14:paraId="21796183" w14:textId="77777777" w:rsidTr="00FE4E82">
        <w:trPr>
          <w:gridAfter w:val="2"/>
          <w:wAfter w:w="281" w:type="pct"/>
          <w:trHeight w:val="144"/>
        </w:trPr>
        <w:tc>
          <w:tcPr>
            <w:tcW w:w="2049" w:type="pct"/>
            <w:gridSpan w:val="2"/>
            <w:noWrap/>
            <w:vAlign w:val="bottom"/>
            <w:hideMark/>
          </w:tcPr>
          <w:p w14:paraId="4DBC8848"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CASH ONLY</w:t>
            </w:r>
          </w:p>
        </w:tc>
        <w:tc>
          <w:tcPr>
            <w:tcW w:w="896" w:type="pct"/>
            <w:noWrap/>
            <w:vAlign w:val="bottom"/>
            <w:hideMark/>
          </w:tcPr>
          <w:p w14:paraId="54C5063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-0.026</w:t>
            </w:r>
          </w:p>
        </w:tc>
        <w:tc>
          <w:tcPr>
            <w:tcW w:w="1774" w:type="pct"/>
            <w:gridSpan w:val="3"/>
            <w:noWrap/>
            <w:vAlign w:val="bottom"/>
            <w:hideMark/>
          </w:tcPr>
          <w:p w14:paraId="258CB145"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(-0.862)</w:t>
            </w:r>
          </w:p>
        </w:tc>
      </w:tr>
      <w:tr w:rsidR="00093F2A" w:rsidRPr="00093F2A" w14:paraId="770D9840" w14:textId="77777777" w:rsidTr="00FE4E82">
        <w:trPr>
          <w:gridAfter w:val="2"/>
          <w:wAfter w:w="281" w:type="pct"/>
          <w:trHeight w:val="144"/>
        </w:trPr>
        <w:tc>
          <w:tcPr>
            <w:tcW w:w="2049" w:type="pct"/>
            <w:gridSpan w:val="2"/>
            <w:noWrap/>
            <w:vAlign w:val="bottom"/>
            <w:hideMark/>
          </w:tcPr>
          <w:p w14:paraId="489E8FF8"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STOCK ONLY</w:t>
            </w:r>
          </w:p>
        </w:tc>
        <w:tc>
          <w:tcPr>
            <w:tcW w:w="896" w:type="pct"/>
            <w:noWrap/>
            <w:vAlign w:val="bottom"/>
            <w:hideMark/>
          </w:tcPr>
          <w:p w14:paraId="0605EB7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0.066</w:t>
            </w:r>
          </w:p>
        </w:tc>
        <w:tc>
          <w:tcPr>
            <w:tcW w:w="1774" w:type="pct"/>
            <w:gridSpan w:val="3"/>
            <w:noWrap/>
            <w:vAlign w:val="bottom"/>
            <w:hideMark/>
          </w:tcPr>
          <w:p w14:paraId="2C273449"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(2.166**)</w:t>
            </w:r>
          </w:p>
        </w:tc>
      </w:tr>
      <w:tr w:rsidR="00093F2A" w:rsidRPr="00093F2A" w14:paraId="3814E7D8" w14:textId="77777777" w:rsidTr="00FE4E82">
        <w:trPr>
          <w:gridAfter w:val="2"/>
          <w:wAfter w:w="281" w:type="pct"/>
          <w:trHeight w:val="144"/>
        </w:trPr>
        <w:tc>
          <w:tcPr>
            <w:tcW w:w="2049" w:type="pct"/>
            <w:gridSpan w:val="2"/>
            <w:noWrap/>
            <w:vAlign w:val="bottom"/>
            <w:hideMark/>
          </w:tcPr>
          <w:p w14:paraId="5F96D73E"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LN(ACQ.ASSETS)</w:t>
            </w:r>
          </w:p>
        </w:tc>
        <w:tc>
          <w:tcPr>
            <w:tcW w:w="896" w:type="pct"/>
            <w:noWrap/>
            <w:vAlign w:val="bottom"/>
            <w:hideMark/>
          </w:tcPr>
          <w:p w14:paraId="38CC5970"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0.188</w:t>
            </w:r>
          </w:p>
        </w:tc>
        <w:tc>
          <w:tcPr>
            <w:tcW w:w="1774" w:type="pct"/>
            <w:gridSpan w:val="3"/>
            <w:noWrap/>
            <w:vAlign w:val="bottom"/>
            <w:hideMark/>
          </w:tcPr>
          <w:p w14:paraId="128FF77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(3.603***)</w:t>
            </w:r>
          </w:p>
        </w:tc>
      </w:tr>
      <w:tr w:rsidR="00093F2A" w:rsidRPr="00093F2A" w14:paraId="270E2FC7" w14:textId="77777777" w:rsidTr="00FE4E82">
        <w:trPr>
          <w:gridAfter w:val="2"/>
          <w:wAfter w:w="281" w:type="pct"/>
          <w:trHeight w:val="144"/>
        </w:trPr>
        <w:tc>
          <w:tcPr>
            <w:tcW w:w="974" w:type="pct"/>
            <w:noWrap/>
            <w:vAlign w:val="bottom"/>
            <w:hideMark/>
          </w:tcPr>
          <w:p w14:paraId="150F26FB"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ACQ.ROA</w:t>
            </w:r>
          </w:p>
        </w:tc>
        <w:tc>
          <w:tcPr>
            <w:tcW w:w="1075" w:type="pct"/>
            <w:noWrap/>
            <w:vAlign w:val="bottom"/>
            <w:hideMark/>
          </w:tcPr>
          <w:p w14:paraId="0157390A" w14:textId="77777777" w:rsidR="001E5D09" w:rsidRPr="00093F2A" w:rsidRDefault="001E5D09">
            <w:pPr>
              <w:rPr>
                <w:rFonts w:ascii="Gill Sans MT" w:eastAsia="Times New Roman" w:hAnsi="Gill Sans MT" w:cs="Calibri"/>
                <w:i/>
                <w:iCs/>
              </w:rPr>
            </w:pPr>
          </w:p>
        </w:tc>
        <w:tc>
          <w:tcPr>
            <w:tcW w:w="896" w:type="pct"/>
            <w:noWrap/>
            <w:vAlign w:val="bottom"/>
            <w:hideMark/>
          </w:tcPr>
          <w:p w14:paraId="0A33DD8C"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-0.043</w:t>
            </w:r>
          </w:p>
        </w:tc>
        <w:tc>
          <w:tcPr>
            <w:tcW w:w="1774" w:type="pct"/>
            <w:gridSpan w:val="3"/>
            <w:noWrap/>
            <w:vAlign w:val="bottom"/>
            <w:hideMark/>
          </w:tcPr>
          <w:p w14:paraId="02C6FE15"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(-0.437)</w:t>
            </w:r>
          </w:p>
        </w:tc>
      </w:tr>
      <w:tr w:rsidR="00093F2A" w:rsidRPr="00093F2A" w14:paraId="2B7D2CB7" w14:textId="77777777" w:rsidTr="00FE4E82">
        <w:trPr>
          <w:gridAfter w:val="2"/>
          <w:wAfter w:w="281" w:type="pct"/>
          <w:trHeight w:val="144"/>
        </w:trPr>
        <w:tc>
          <w:tcPr>
            <w:tcW w:w="2049" w:type="pct"/>
            <w:gridSpan w:val="2"/>
            <w:noWrap/>
            <w:vAlign w:val="bottom"/>
            <w:hideMark/>
          </w:tcPr>
          <w:p w14:paraId="664BB3B5"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ACQ.LIQUIDITY</w:t>
            </w:r>
          </w:p>
        </w:tc>
        <w:tc>
          <w:tcPr>
            <w:tcW w:w="896" w:type="pct"/>
            <w:noWrap/>
            <w:vAlign w:val="bottom"/>
            <w:hideMark/>
          </w:tcPr>
          <w:p w14:paraId="013A07C1"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-0.344</w:t>
            </w:r>
          </w:p>
        </w:tc>
        <w:tc>
          <w:tcPr>
            <w:tcW w:w="1774" w:type="pct"/>
            <w:gridSpan w:val="3"/>
            <w:noWrap/>
            <w:vAlign w:val="bottom"/>
            <w:hideMark/>
          </w:tcPr>
          <w:p w14:paraId="2A481C9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(-5.297***)</w:t>
            </w:r>
          </w:p>
        </w:tc>
      </w:tr>
      <w:tr w:rsidR="00093F2A" w:rsidRPr="00093F2A" w14:paraId="22A7CE3A" w14:textId="77777777" w:rsidTr="00FE4E82">
        <w:trPr>
          <w:gridAfter w:val="2"/>
          <w:wAfter w:w="281" w:type="pct"/>
          <w:trHeight w:val="144"/>
        </w:trPr>
        <w:tc>
          <w:tcPr>
            <w:tcW w:w="2049" w:type="pct"/>
            <w:gridSpan w:val="2"/>
            <w:noWrap/>
            <w:vAlign w:val="bottom"/>
            <w:hideMark/>
          </w:tcPr>
          <w:p w14:paraId="7C292A60" w14:textId="77777777" w:rsidR="001E5D09" w:rsidRPr="00093F2A" w:rsidRDefault="001E5D09">
            <w:pPr>
              <w:spacing w:line="240" w:lineRule="auto"/>
              <w:contextualSpacing/>
              <w:rPr>
                <w:rFonts w:ascii="Gill Sans MT" w:eastAsia="Times New Roman" w:hAnsi="Gill Sans MT" w:cs="Calibri"/>
                <w:i/>
                <w:iCs/>
              </w:rPr>
            </w:pPr>
            <w:r w:rsidRPr="00093F2A">
              <w:rPr>
                <w:rFonts w:ascii="Gill Sans MT" w:eastAsia="Times New Roman" w:hAnsi="Gill Sans MT" w:cs="Calibri"/>
                <w:i/>
                <w:iCs/>
              </w:rPr>
              <w:t>ACQ. EQUITY/ASSET</w:t>
            </w:r>
          </w:p>
        </w:tc>
        <w:tc>
          <w:tcPr>
            <w:tcW w:w="896" w:type="pct"/>
            <w:noWrap/>
            <w:vAlign w:val="bottom"/>
            <w:hideMark/>
          </w:tcPr>
          <w:p w14:paraId="524BAEC8"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-0.167</w:t>
            </w:r>
          </w:p>
        </w:tc>
        <w:tc>
          <w:tcPr>
            <w:tcW w:w="1774" w:type="pct"/>
            <w:gridSpan w:val="3"/>
            <w:noWrap/>
            <w:vAlign w:val="bottom"/>
            <w:hideMark/>
          </w:tcPr>
          <w:p w14:paraId="3C7D014D"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(-2.960***)</w:t>
            </w:r>
          </w:p>
        </w:tc>
      </w:tr>
      <w:tr w:rsidR="00093F2A" w:rsidRPr="00093F2A" w14:paraId="2125DDB1" w14:textId="77777777" w:rsidTr="00FE4E82">
        <w:trPr>
          <w:gridAfter w:val="2"/>
          <w:wAfter w:w="281" w:type="pct"/>
          <w:trHeight w:val="144"/>
        </w:trPr>
        <w:tc>
          <w:tcPr>
            <w:tcW w:w="974" w:type="pct"/>
            <w:noWrap/>
            <w:vAlign w:val="bottom"/>
            <w:hideMark/>
          </w:tcPr>
          <w:p w14:paraId="1A9F461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Constant</w:t>
            </w:r>
          </w:p>
        </w:tc>
        <w:tc>
          <w:tcPr>
            <w:tcW w:w="1075" w:type="pct"/>
            <w:noWrap/>
            <w:vAlign w:val="bottom"/>
            <w:hideMark/>
          </w:tcPr>
          <w:p w14:paraId="6B508A9D" w14:textId="77777777" w:rsidR="001E5D09" w:rsidRPr="00093F2A" w:rsidRDefault="001E5D09">
            <w:pPr>
              <w:rPr>
                <w:rFonts w:ascii="Gill Sans MT" w:eastAsia="Times New Roman" w:hAnsi="Gill Sans MT" w:cs="Calibri"/>
              </w:rPr>
            </w:pPr>
          </w:p>
        </w:tc>
        <w:tc>
          <w:tcPr>
            <w:tcW w:w="896" w:type="pct"/>
            <w:noWrap/>
            <w:vAlign w:val="bottom"/>
            <w:hideMark/>
          </w:tcPr>
          <w:p w14:paraId="0BE293F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0.0469</w:t>
            </w:r>
          </w:p>
        </w:tc>
        <w:tc>
          <w:tcPr>
            <w:tcW w:w="1774" w:type="pct"/>
            <w:gridSpan w:val="3"/>
            <w:noWrap/>
            <w:vAlign w:val="bottom"/>
            <w:hideMark/>
          </w:tcPr>
          <w:p w14:paraId="0E52FFA4"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(3.099***)</w:t>
            </w:r>
          </w:p>
        </w:tc>
      </w:tr>
      <w:tr w:rsidR="00093F2A" w:rsidRPr="00093F2A" w14:paraId="4489363E" w14:textId="77777777" w:rsidTr="00FE4E82">
        <w:trPr>
          <w:gridAfter w:val="2"/>
          <w:wAfter w:w="281" w:type="pct"/>
          <w:trHeight w:val="144"/>
        </w:trPr>
        <w:tc>
          <w:tcPr>
            <w:tcW w:w="2049" w:type="pct"/>
            <w:gridSpan w:val="2"/>
            <w:noWrap/>
            <w:vAlign w:val="bottom"/>
          </w:tcPr>
          <w:p w14:paraId="44B6A219" w14:textId="77777777" w:rsidR="001E5D09" w:rsidRPr="00093F2A" w:rsidRDefault="001E5D09">
            <w:pPr>
              <w:spacing w:line="240" w:lineRule="auto"/>
              <w:contextualSpacing/>
              <w:rPr>
                <w:rFonts w:ascii="Gill Sans MT" w:eastAsia="Times New Roman" w:hAnsi="Gill Sans MT" w:cs="Calibri"/>
              </w:rPr>
            </w:pPr>
          </w:p>
        </w:tc>
        <w:tc>
          <w:tcPr>
            <w:tcW w:w="896" w:type="pct"/>
            <w:noWrap/>
            <w:vAlign w:val="bottom"/>
          </w:tcPr>
          <w:p w14:paraId="2D7567E8" w14:textId="77777777" w:rsidR="001E5D09" w:rsidRPr="00093F2A" w:rsidRDefault="001E5D09">
            <w:pPr>
              <w:spacing w:line="240" w:lineRule="auto"/>
              <w:contextualSpacing/>
              <w:rPr>
                <w:rFonts w:ascii="Gill Sans MT" w:eastAsia="Times New Roman" w:hAnsi="Gill Sans MT" w:cs="Calibri"/>
              </w:rPr>
            </w:pPr>
          </w:p>
        </w:tc>
        <w:tc>
          <w:tcPr>
            <w:tcW w:w="1774" w:type="pct"/>
            <w:gridSpan w:val="3"/>
            <w:noWrap/>
            <w:vAlign w:val="bottom"/>
          </w:tcPr>
          <w:p w14:paraId="0C200C6C" w14:textId="77777777" w:rsidR="001E5D09" w:rsidRPr="00093F2A" w:rsidRDefault="001E5D09">
            <w:pPr>
              <w:spacing w:line="240" w:lineRule="auto"/>
              <w:contextualSpacing/>
              <w:rPr>
                <w:rFonts w:ascii="Gill Sans MT" w:eastAsia="Times New Roman" w:hAnsi="Gill Sans MT" w:cs="Calibri"/>
              </w:rPr>
            </w:pPr>
          </w:p>
        </w:tc>
      </w:tr>
      <w:tr w:rsidR="00093F2A" w:rsidRPr="00093F2A" w14:paraId="215CAA97" w14:textId="77777777" w:rsidTr="00FE4E82">
        <w:trPr>
          <w:gridAfter w:val="2"/>
          <w:wAfter w:w="281" w:type="pct"/>
          <w:trHeight w:val="144"/>
        </w:trPr>
        <w:tc>
          <w:tcPr>
            <w:tcW w:w="2049" w:type="pct"/>
            <w:gridSpan w:val="2"/>
            <w:noWrap/>
            <w:vAlign w:val="bottom"/>
            <w:hideMark/>
          </w:tcPr>
          <w:p w14:paraId="5EF2CC6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Adj. R-squared</w:t>
            </w:r>
          </w:p>
        </w:tc>
        <w:tc>
          <w:tcPr>
            <w:tcW w:w="896" w:type="pct"/>
            <w:noWrap/>
            <w:vAlign w:val="bottom"/>
            <w:hideMark/>
          </w:tcPr>
          <w:p w14:paraId="23986A21"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0.0788</w:t>
            </w:r>
          </w:p>
        </w:tc>
        <w:tc>
          <w:tcPr>
            <w:tcW w:w="1774" w:type="pct"/>
            <w:gridSpan w:val="3"/>
            <w:noWrap/>
            <w:vAlign w:val="bottom"/>
            <w:hideMark/>
          </w:tcPr>
          <w:p w14:paraId="292C3E3E" w14:textId="77777777" w:rsidR="001E5D09" w:rsidRPr="00093F2A" w:rsidRDefault="001E5D09">
            <w:pPr>
              <w:rPr>
                <w:rFonts w:ascii="Gill Sans MT" w:eastAsia="Times New Roman" w:hAnsi="Gill Sans MT" w:cs="Calibri"/>
              </w:rPr>
            </w:pPr>
          </w:p>
        </w:tc>
      </w:tr>
      <w:tr w:rsidR="00093F2A" w:rsidRPr="00093F2A" w14:paraId="6B8955BA" w14:textId="77777777" w:rsidTr="00FE4E82">
        <w:trPr>
          <w:gridAfter w:val="2"/>
          <w:wAfter w:w="281" w:type="pct"/>
          <w:trHeight w:val="144"/>
        </w:trPr>
        <w:tc>
          <w:tcPr>
            <w:tcW w:w="2049" w:type="pct"/>
            <w:gridSpan w:val="2"/>
            <w:noWrap/>
            <w:vAlign w:val="bottom"/>
            <w:hideMark/>
          </w:tcPr>
          <w:p w14:paraId="7B092311"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Year fixed effect</w:t>
            </w:r>
          </w:p>
        </w:tc>
        <w:tc>
          <w:tcPr>
            <w:tcW w:w="896" w:type="pct"/>
            <w:noWrap/>
            <w:vAlign w:val="bottom"/>
            <w:hideMark/>
          </w:tcPr>
          <w:p w14:paraId="28933691"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Yes</w:t>
            </w:r>
          </w:p>
        </w:tc>
        <w:tc>
          <w:tcPr>
            <w:tcW w:w="1774" w:type="pct"/>
            <w:gridSpan w:val="3"/>
            <w:noWrap/>
            <w:vAlign w:val="bottom"/>
            <w:hideMark/>
          </w:tcPr>
          <w:p w14:paraId="32A12807" w14:textId="77777777" w:rsidR="001E5D09" w:rsidRPr="00093F2A" w:rsidRDefault="001E5D09">
            <w:pPr>
              <w:rPr>
                <w:rFonts w:ascii="Gill Sans MT" w:eastAsia="Times New Roman" w:hAnsi="Gill Sans MT" w:cs="Calibri"/>
              </w:rPr>
            </w:pPr>
          </w:p>
        </w:tc>
      </w:tr>
      <w:tr w:rsidR="00093F2A" w:rsidRPr="00093F2A" w14:paraId="4DC27C32" w14:textId="77777777" w:rsidTr="00FE4E82">
        <w:trPr>
          <w:gridAfter w:val="2"/>
          <w:wAfter w:w="281" w:type="pct"/>
          <w:trHeight w:val="144"/>
        </w:trPr>
        <w:tc>
          <w:tcPr>
            <w:tcW w:w="2049" w:type="pct"/>
            <w:gridSpan w:val="2"/>
            <w:noWrap/>
            <w:vAlign w:val="bottom"/>
            <w:hideMark/>
          </w:tcPr>
          <w:p w14:paraId="0EAAC1D3"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Industry fixed effect</w:t>
            </w:r>
          </w:p>
        </w:tc>
        <w:tc>
          <w:tcPr>
            <w:tcW w:w="896" w:type="pct"/>
            <w:noWrap/>
            <w:vAlign w:val="bottom"/>
            <w:hideMark/>
          </w:tcPr>
          <w:p w14:paraId="47DA7BDE"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Yes</w:t>
            </w:r>
          </w:p>
        </w:tc>
        <w:tc>
          <w:tcPr>
            <w:tcW w:w="1774" w:type="pct"/>
            <w:gridSpan w:val="3"/>
            <w:noWrap/>
            <w:vAlign w:val="bottom"/>
            <w:hideMark/>
          </w:tcPr>
          <w:p w14:paraId="23CEC0AD" w14:textId="77777777" w:rsidR="001E5D09" w:rsidRPr="00093F2A" w:rsidRDefault="001E5D09">
            <w:pPr>
              <w:rPr>
                <w:rFonts w:ascii="Gill Sans MT" w:eastAsia="Times New Roman" w:hAnsi="Gill Sans MT" w:cs="Calibri"/>
              </w:rPr>
            </w:pPr>
          </w:p>
        </w:tc>
      </w:tr>
      <w:tr w:rsidR="00093F2A" w:rsidRPr="00093F2A" w14:paraId="6E5F4CB9" w14:textId="77777777" w:rsidTr="00FE4E82">
        <w:trPr>
          <w:gridAfter w:val="2"/>
          <w:wAfter w:w="281" w:type="pct"/>
          <w:trHeight w:val="144"/>
        </w:trPr>
        <w:tc>
          <w:tcPr>
            <w:tcW w:w="2049" w:type="pct"/>
            <w:gridSpan w:val="2"/>
            <w:noWrap/>
            <w:vAlign w:val="bottom"/>
            <w:hideMark/>
          </w:tcPr>
          <w:p w14:paraId="392371B7"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Robust std err</w:t>
            </w:r>
          </w:p>
        </w:tc>
        <w:tc>
          <w:tcPr>
            <w:tcW w:w="896" w:type="pct"/>
            <w:noWrap/>
            <w:vAlign w:val="bottom"/>
            <w:hideMark/>
          </w:tcPr>
          <w:p w14:paraId="1FCE545F"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Yes</w:t>
            </w:r>
          </w:p>
        </w:tc>
        <w:tc>
          <w:tcPr>
            <w:tcW w:w="1774" w:type="pct"/>
            <w:gridSpan w:val="3"/>
            <w:noWrap/>
            <w:vAlign w:val="bottom"/>
            <w:hideMark/>
          </w:tcPr>
          <w:p w14:paraId="498780A6" w14:textId="77777777" w:rsidR="001E5D09" w:rsidRPr="00093F2A" w:rsidRDefault="001E5D09">
            <w:pPr>
              <w:rPr>
                <w:rFonts w:ascii="Gill Sans MT" w:eastAsia="Times New Roman" w:hAnsi="Gill Sans MT" w:cs="Calibri"/>
              </w:rPr>
            </w:pPr>
          </w:p>
        </w:tc>
      </w:tr>
      <w:tr w:rsidR="00093F2A" w:rsidRPr="00093F2A" w14:paraId="23F52133" w14:textId="77777777" w:rsidTr="00FE4E82">
        <w:trPr>
          <w:gridAfter w:val="2"/>
          <w:wAfter w:w="281" w:type="pct"/>
          <w:trHeight w:val="144"/>
        </w:trPr>
        <w:tc>
          <w:tcPr>
            <w:tcW w:w="2049" w:type="pct"/>
            <w:gridSpan w:val="2"/>
            <w:tcBorders>
              <w:top w:val="nil"/>
              <w:left w:val="nil"/>
              <w:bottom w:val="single" w:sz="4" w:space="0" w:color="auto"/>
              <w:right w:val="nil"/>
            </w:tcBorders>
            <w:noWrap/>
            <w:vAlign w:val="bottom"/>
            <w:hideMark/>
          </w:tcPr>
          <w:p w14:paraId="590F4F0A"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Observations</w:t>
            </w:r>
          </w:p>
        </w:tc>
        <w:tc>
          <w:tcPr>
            <w:tcW w:w="896" w:type="pct"/>
            <w:tcBorders>
              <w:top w:val="nil"/>
              <w:left w:val="nil"/>
              <w:bottom w:val="single" w:sz="4" w:space="0" w:color="auto"/>
              <w:right w:val="nil"/>
            </w:tcBorders>
            <w:noWrap/>
            <w:vAlign w:val="bottom"/>
            <w:hideMark/>
          </w:tcPr>
          <w:p w14:paraId="3B5819F6" w14:textId="77777777" w:rsidR="001E5D09" w:rsidRPr="00093F2A" w:rsidRDefault="001E5D09">
            <w:pPr>
              <w:spacing w:line="240" w:lineRule="auto"/>
              <w:contextualSpacing/>
              <w:rPr>
                <w:rFonts w:ascii="Gill Sans MT" w:eastAsia="Times New Roman" w:hAnsi="Gill Sans MT" w:cs="Calibri"/>
              </w:rPr>
            </w:pPr>
            <w:r w:rsidRPr="00093F2A">
              <w:rPr>
                <w:rFonts w:ascii="Gill Sans MT" w:eastAsia="Times New Roman" w:hAnsi="Gill Sans MT" w:cs="Calibri"/>
              </w:rPr>
              <w:t>1,153</w:t>
            </w:r>
          </w:p>
        </w:tc>
        <w:tc>
          <w:tcPr>
            <w:tcW w:w="1774" w:type="pct"/>
            <w:gridSpan w:val="3"/>
            <w:tcBorders>
              <w:top w:val="nil"/>
              <w:left w:val="nil"/>
              <w:bottom w:val="single" w:sz="4" w:space="0" w:color="auto"/>
              <w:right w:val="nil"/>
            </w:tcBorders>
            <w:noWrap/>
            <w:vAlign w:val="bottom"/>
            <w:hideMark/>
          </w:tcPr>
          <w:p w14:paraId="3DE8B85A" w14:textId="77777777" w:rsidR="001E5D09" w:rsidRPr="00093F2A" w:rsidRDefault="001E5D09">
            <w:pPr>
              <w:rPr>
                <w:rFonts w:ascii="Gill Sans MT" w:eastAsia="Times New Roman" w:hAnsi="Gill Sans MT" w:cs="Calibri"/>
              </w:rPr>
            </w:pPr>
          </w:p>
        </w:tc>
      </w:tr>
    </w:tbl>
    <w:p w14:paraId="0E076677" w14:textId="77777777" w:rsidR="001E5D09" w:rsidRPr="00093F2A" w:rsidRDefault="001E5D09" w:rsidP="001E5D09">
      <w:pPr>
        <w:spacing w:line="240" w:lineRule="auto"/>
        <w:contextualSpacing/>
        <w:rPr>
          <w:rFonts w:ascii="Gill Sans MT" w:hAnsi="Gill Sans MT"/>
        </w:rPr>
      </w:pPr>
      <w:r w:rsidRPr="00093F2A">
        <w:rPr>
          <w:rFonts w:ascii="Gill Sans MT" w:hAnsi="Gill Sans MT"/>
          <w:sz w:val="20"/>
          <w:szCs w:val="20"/>
        </w:rPr>
        <w:t>We report univariate results in Panel A, and multivariate results in Panel B of Table VI using acquirer BHARs as the dependent variables. BHARs are constructed for 1, 2, and 3 years after acquisitions. The independent variable of interest is the dummy variable for deals with private equity involvement (</w:t>
      </w:r>
      <w:r w:rsidRPr="00093F2A">
        <w:rPr>
          <w:rFonts w:ascii="Gill Sans MT" w:hAnsi="Gill Sans MT"/>
          <w:i/>
          <w:iCs/>
          <w:sz w:val="20"/>
          <w:szCs w:val="20"/>
        </w:rPr>
        <w:t>PRIVATE EQUITY</w:t>
      </w:r>
      <w:r w:rsidRPr="00093F2A">
        <w:rPr>
          <w:rFonts w:ascii="Gill Sans MT" w:hAnsi="Gill Sans MT"/>
          <w:sz w:val="20"/>
          <w:szCs w:val="20"/>
        </w:rPr>
        <w:t>). We control for year and industry fixed effects. We calculate the t-statistics based upon clustered standard errors. ***, **, and * denote significance at 1%, 5%, and 10% levels.</w:t>
      </w:r>
    </w:p>
    <w:p w14:paraId="4CF29AE7" w14:textId="77777777" w:rsidR="001E5D09" w:rsidRPr="00093F2A" w:rsidRDefault="001E5D09" w:rsidP="001E5D09">
      <w:pPr>
        <w:spacing w:after="0" w:line="240" w:lineRule="auto"/>
        <w:rPr>
          <w:rFonts w:ascii="Gill Sans MT" w:hAnsi="Gill Sans MT"/>
        </w:rPr>
        <w:sectPr w:rsidR="001E5D09" w:rsidRPr="00093F2A">
          <w:pgSz w:w="12240" w:h="15840"/>
          <w:pgMar w:top="1440" w:right="1440" w:bottom="1440" w:left="1440" w:header="720" w:footer="720" w:gutter="0"/>
          <w:cols w:space="720"/>
        </w:sectPr>
      </w:pPr>
    </w:p>
    <w:tbl>
      <w:tblPr>
        <w:tblW w:w="13230" w:type="dxa"/>
        <w:tblLayout w:type="fixed"/>
        <w:tblLook w:val="04A0" w:firstRow="1" w:lastRow="0" w:firstColumn="1" w:lastColumn="0" w:noHBand="0" w:noVBand="1"/>
      </w:tblPr>
      <w:tblGrid>
        <w:gridCol w:w="2249"/>
        <w:gridCol w:w="359"/>
        <w:gridCol w:w="360"/>
        <w:gridCol w:w="360"/>
        <w:gridCol w:w="257"/>
        <w:gridCol w:w="1357"/>
        <w:gridCol w:w="379"/>
        <w:gridCol w:w="257"/>
        <w:gridCol w:w="720"/>
        <w:gridCol w:w="870"/>
        <w:gridCol w:w="392"/>
        <w:gridCol w:w="1168"/>
        <w:gridCol w:w="894"/>
        <w:gridCol w:w="548"/>
        <w:gridCol w:w="277"/>
        <w:gridCol w:w="135"/>
        <w:gridCol w:w="1116"/>
        <w:gridCol w:w="1532"/>
      </w:tblGrid>
      <w:tr w:rsidR="00093F2A" w:rsidRPr="00093F2A" w14:paraId="7302ABDD" w14:textId="77777777" w:rsidTr="001E5D09">
        <w:trPr>
          <w:trHeight w:val="20"/>
        </w:trPr>
        <w:tc>
          <w:tcPr>
            <w:tcW w:w="13230" w:type="dxa"/>
            <w:gridSpan w:val="18"/>
            <w:hideMark/>
          </w:tcPr>
          <w:p w14:paraId="122D6830" w14:textId="77777777" w:rsidR="001E5D09" w:rsidRPr="00093F2A" w:rsidRDefault="001E5D09">
            <w:pPr>
              <w:spacing w:line="240" w:lineRule="auto"/>
              <w:contextualSpacing/>
              <w:rPr>
                <w:rFonts w:ascii="Gill Sans MT" w:eastAsia="Times New Roman" w:hAnsi="Gill Sans MT" w:cs="Calibri"/>
                <w:b/>
                <w:bCs/>
                <w:sz w:val="20"/>
                <w:szCs w:val="20"/>
              </w:rPr>
            </w:pPr>
            <w:r w:rsidRPr="00093F2A">
              <w:rPr>
                <w:rFonts w:ascii="Gill Sans MT" w:eastAsia="Times New Roman" w:hAnsi="Gill Sans MT" w:cs="Calibri"/>
                <w:b/>
                <w:bCs/>
                <w:sz w:val="20"/>
                <w:szCs w:val="20"/>
              </w:rPr>
              <w:lastRenderedPageBreak/>
              <w:t>Table 7 – The Impacts of Private Equity Involvement on Acquirer Operating Performance Change</w:t>
            </w:r>
          </w:p>
        </w:tc>
      </w:tr>
      <w:tr w:rsidR="00093F2A" w:rsidRPr="00093F2A" w14:paraId="29534822" w14:textId="77777777" w:rsidTr="001E5D09">
        <w:trPr>
          <w:trHeight w:val="20"/>
        </w:trPr>
        <w:tc>
          <w:tcPr>
            <w:tcW w:w="13230" w:type="dxa"/>
            <w:gridSpan w:val="18"/>
            <w:tcBorders>
              <w:top w:val="single" w:sz="4" w:space="0" w:color="auto"/>
              <w:left w:val="nil"/>
              <w:bottom w:val="nil"/>
              <w:right w:val="nil"/>
            </w:tcBorders>
            <w:noWrap/>
            <w:hideMark/>
          </w:tcPr>
          <w:p w14:paraId="4888207D" w14:textId="77777777" w:rsidR="001E5D09" w:rsidRPr="00093F2A" w:rsidRDefault="001E5D09">
            <w:pPr>
              <w:spacing w:after="0" w:line="240" w:lineRule="auto"/>
              <w:rPr>
                <w:rFonts w:ascii="Gill Sans MT" w:eastAsia="Times New Roman" w:hAnsi="Gill Sans MT" w:cs="Calibri"/>
                <w:b/>
                <w:bCs/>
                <w:i/>
                <w:iCs/>
                <w:sz w:val="20"/>
                <w:szCs w:val="20"/>
              </w:rPr>
            </w:pPr>
            <w:r w:rsidRPr="00093F2A">
              <w:rPr>
                <w:rFonts w:ascii="Gill Sans MT" w:eastAsia="Times New Roman" w:hAnsi="Gill Sans MT" w:cs="Calibri"/>
                <w:b/>
                <w:bCs/>
                <w:i/>
                <w:iCs/>
                <w:sz w:val="20"/>
                <w:szCs w:val="20"/>
              </w:rPr>
              <w:t>Panel A – Univariate Comparison of Operating Performance Change</w:t>
            </w:r>
          </w:p>
        </w:tc>
      </w:tr>
      <w:tr w:rsidR="00093F2A" w:rsidRPr="00093F2A" w14:paraId="2630B2A0" w14:textId="77777777" w:rsidTr="001E5D09">
        <w:trPr>
          <w:trHeight w:val="20"/>
        </w:trPr>
        <w:tc>
          <w:tcPr>
            <w:tcW w:w="2249" w:type="dxa"/>
            <w:noWrap/>
            <w:hideMark/>
          </w:tcPr>
          <w:p w14:paraId="7B030954" w14:textId="77777777" w:rsidR="001E5D09" w:rsidRPr="00093F2A" w:rsidRDefault="001E5D09">
            <w:pPr>
              <w:rPr>
                <w:rFonts w:ascii="Gill Sans MT" w:eastAsia="Times New Roman" w:hAnsi="Gill Sans MT" w:cs="Calibri"/>
                <w:b/>
                <w:bCs/>
                <w:i/>
                <w:iCs/>
                <w:sz w:val="20"/>
                <w:szCs w:val="20"/>
              </w:rPr>
            </w:pPr>
            <w:bookmarkStart w:id="1" w:name="_Hlk28970446" w:colFirst="5" w:colLast="17"/>
          </w:p>
        </w:tc>
        <w:tc>
          <w:tcPr>
            <w:tcW w:w="1336" w:type="dxa"/>
            <w:gridSpan w:val="4"/>
            <w:noWrap/>
            <w:hideMark/>
          </w:tcPr>
          <w:p w14:paraId="3E89D892" w14:textId="77777777" w:rsidR="001E5D09" w:rsidRPr="00093F2A" w:rsidRDefault="001E5D09">
            <w:pPr>
              <w:spacing w:after="0"/>
              <w:rPr>
                <w:sz w:val="20"/>
                <w:szCs w:val="20"/>
              </w:rPr>
            </w:pPr>
          </w:p>
        </w:tc>
        <w:tc>
          <w:tcPr>
            <w:tcW w:w="2713" w:type="dxa"/>
            <w:gridSpan w:val="4"/>
            <w:noWrap/>
            <w:hideMark/>
          </w:tcPr>
          <w:p w14:paraId="49463906" w14:textId="77777777" w:rsidR="001E5D09" w:rsidRPr="00093F2A" w:rsidRDefault="001E5D09">
            <w:pPr>
              <w:spacing w:after="0" w:line="240" w:lineRule="auto"/>
              <w:rPr>
                <w:rFonts w:ascii="Gill Sans MT" w:eastAsia="Times New Roman" w:hAnsi="Gill Sans MT" w:cs="Calibri"/>
                <w:sz w:val="20"/>
                <w:szCs w:val="20"/>
                <w:u w:val="single"/>
              </w:rPr>
            </w:pPr>
            <w:r w:rsidRPr="00093F2A">
              <w:rPr>
                <w:rFonts w:ascii="Gill Sans MT" w:eastAsia="Times New Roman" w:hAnsi="Gill Sans MT" w:cs="Calibri"/>
                <w:sz w:val="20"/>
                <w:szCs w:val="20"/>
                <w:u w:val="single"/>
              </w:rPr>
              <w:t>Non private equity involvement</w:t>
            </w:r>
          </w:p>
        </w:tc>
        <w:tc>
          <w:tcPr>
            <w:tcW w:w="2430" w:type="dxa"/>
            <w:gridSpan w:val="3"/>
            <w:noWrap/>
            <w:hideMark/>
          </w:tcPr>
          <w:p w14:paraId="260668CF" w14:textId="77777777" w:rsidR="001E5D09" w:rsidRPr="00093F2A" w:rsidRDefault="001E5D09">
            <w:pPr>
              <w:spacing w:after="0" w:line="240" w:lineRule="auto"/>
              <w:rPr>
                <w:rFonts w:ascii="Gill Sans MT" w:eastAsia="Times New Roman" w:hAnsi="Gill Sans MT" w:cs="Calibri"/>
                <w:sz w:val="20"/>
                <w:szCs w:val="20"/>
                <w:u w:val="single"/>
              </w:rPr>
            </w:pPr>
            <w:r w:rsidRPr="00093F2A">
              <w:rPr>
                <w:rFonts w:ascii="Gill Sans MT" w:eastAsia="Times New Roman" w:hAnsi="Gill Sans MT" w:cs="Calibri"/>
                <w:sz w:val="20"/>
                <w:szCs w:val="20"/>
                <w:u w:val="single"/>
              </w:rPr>
              <w:t>Private equity involvement</w:t>
            </w:r>
          </w:p>
        </w:tc>
        <w:tc>
          <w:tcPr>
            <w:tcW w:w="4502" w:type="dxa"/>
            <w:gridSpan w:val="6"/>
            <w:noWrap/>
            <w:hideMark/>
          </w:tcPr>
          <w:p w14:paraId="5EEF8791" w14:textId="77777777" w:rsidR="001E5D09" w:rsidRPr="00093F2A" w:rsidRDefault="001E5D09">
            <w:pPr>
              <w:spacing w:after="0" w:line="240" w:lineRule="auto"/>
              <w:rPr>
                <w:rFonts w:ascii="Gill Sans MT" w:eastAsia="Times New Roman" w:hAnsi="Gill Sans MT" w:cs="Times New Roman"/>
                <w:sz w:val="20"/>
                <w:szCs w:val="20"/>
              </w:rPr>
            </w:pPr>
            <w:r w:rsidRPr="00093F2A">
              <w:rPr>
                <w:rFonts w:ascii="Gill Sans MT" w:eastAsia="Times New Roman" w:hAnsi="Gill Sans MT" w:cs="Calibri"/>
                <w:sz w:val="20"/>
                <w:szCs w:val="20"/>
                <w:u w:val="single"/>
              </w:rPr>
              <w:t>Difference</w:t>
            </w:r>
          </w:p>
        </w:tc>
      </w:tr>
      <w:tr w:rsidR="00093F2A" w:rsidRPr="00093F2A" w14:paraId="18DC2D56" w14:textId="77777777" w:rsidTr="001E5D09">
        <w:trPr>
          <w:trHeight w:val="20"/>
        </w:trPr>
        <w:tc>
          <w:tcPr>
            <w:tcW w:w="2249" w:type="dxa"/>
            <w:tcBorders>
              <w:top w:val="nil"/>
              <w:left w:val="nil"/>
              <w:bottom w:val="single" w:sz="4" w:space="0" w:color="auto"/>
              <w:right w:val="nil"/>
            </w:tcBorders>
            <w:noWrap/>
            <w:hideMark/>
          </w:tcPr>
          <w:p w14:paraId="35415BA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Variable</w:t>
            </w:r>
          </w:p>
        </w:tc>
        <w:tc>
          <w:tcPr>
            <w:tcW w:w="1336" w:type="dxa"/>
            <w:gridSpan w:val="4"/>
            <w:tcBorders>
              <w:top w:val="nil"/>
              <w:left w:val="nil"/>
              <w:bottom w:val="single" w:sz="4" w:space="0" w:color="auto"/>
              <w:right w:val="nil"/>
            </w:tcBorders>
            <w:noWrap/>
            <w:hideMark/>
          </w:tcPr>
          <w:p w14:paraId="2765B9A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Window</w:t>
            </w:r>
          </w:p>
        </w:tc>
        <w:tc>
          <w:tcPr>
            <w:tcW w:w="1357" w:type="dxa"/>
            <w:tcBorders>
              <w:top w:val="nil"/>
              <w:left w:val="nil"/>
              <w:bottom w:val="single" w:sz="4" w:space="0" w:color="auto"/>
              <w:right w:val="nil"/>
            </w:tcBorders>
            <w:noWrap/>
            <w:hideMark/>
          </w:tcPr>
          <w:p w14:paraId="048F5CE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Mean</w:t>
            </w:r>
          </w:p>
        </w:tc>
        <w:tc>
          <w:tcPr>
            <w:tcW w:w="1356" w:type="dxa"/>
            <w:gridSpan w:val="3"/>
            <w:tcBorders>
              <w:top w:val="nil"/>
              <w:left w:val="nil"/>
              <w:bottom w:val="single" w:sz="4" w:space="0" w:color="auto"/>
              <w:right w:val="nil"/>
            </w:tcBorders>
            <w:noWrap/>
            <w:hideMark/>
          </w:tcPr>
          <w:p w14:paraId="0AEB2C9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Median</w:t>
            </w:r>
          </w:p>
        </w:tc>
        <w:tc>
          <w:tcPr>
            <w:tcW w:w="1262" w:type="dxa"/>
            <w:gridSpan w:val="2"/>
            <w:tcBorders>
              <w:top w:val="nil"/>
              <w:left w:val="nil"/>
              <w:bottom w:val="single" w:sz="4" w:space="0" w:color="auto"/>
              <w:right w:val="nil"/>
            </w:tcBorders>
            <w:noWrap/>
            <w:hideMark/>
          </w:tcPr>
          <w:p w14:paraId="7B193759"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Mean</w:t>
            </w:r>
          </w:p>
        </w:tc>
        <w:tc>
          <w:tcPr>
            <w:tcW w:w="1168" w:type="dxa"/>
            <w:tcBorders>
              <w:top w:val="nil"/>
              <w:left w:val="nil"/>
              <w:bottom w:val="single" w:sz="4" w:space="0" w:color="auto"/>
              <w:right w:val="nil"/>
            </w:tcBorders>
            <w:noWrap/>
            <w:hideMark/>
          </w:tcPr>
          <w:p w14:paraId="116D438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Median</w:t>
            </w:r>
          </w:p>
        </w:tc>
        <w:tc>
          <w:tcPr>
            <w:tcW w:w="894" w:type="dxa"/>
            <w:tcBorders>
              <w:top w:val="nil"/>
              <w:left w:val="nil"/>
              <w:bottom w:val="single" w:sz="4" w:space="0" w:color="auto"/>
              <w:right w:val="nil"/>
            </w:tcBorders>
            <w:noWrap/>
            <w:hideMark/>
          </w:tcPr>
          <w:p w14:paraId="27C43EA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Mean</w:t>
            </w:r>
          </w:p>
        </w:tc>
        <w:tc>
          <w:tcPr>
            <w:tcW w:w="960" w:type="dxa"/>
            <w:gridSpan w:val="3"/>
            <w:tcBorders>
              <w:top w:val="nil"/>
              <w:left w:val="nil"/>
              <w:bottom w:val="single" w:sz="4" w:space="0" w:color="auto"/>
              <w:right w:val="nil"/>
            </w:tcBorders>
            <w:noWrap/>
            <w:hideMark/>
          </w:tcPr>
          <w:p w14:paraId="2EA35CE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Median</w:t>
            </w:r>
          </w:p>
        </w:tc>
        <w:tc>
          <w:tcPr>
            <w:tcW w:w="1116" w:type="dxa"/>
            <w:tcBorders>
              <w:top w:val="nil"/>
              <w:left w:val="nil"/>
              <w:bottom w:val="single" w:sz="4" w:space="0" w:color="auto"/>
              <w:right w:val="nil"/>
            </w:tcBorders>
            <w:noWrap/>
            <w:hideMark/>
          </w:tcPr>
          <w:p w14:paraId="4C2F455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t-stats</w:t>
            </w:r>
          </w:p>
        </w:tc>
        <w:tc>
          <w:tcPr>
            <w:tcW w:w="1532" w:type="dxa"/>
            <w:tcBorders>
              <w:top w:val="nil"/>
              <w:left w:val="nil"/>
              <w:bottom w:val="single" w:sz="4" w:space="0" w:color="auto"/>
              <w:right w:val="nil"/>
            </w:tcBorders>
            <w:noWrap/>
            <w:hideMark/>
          </w:tcPr>
          <w:p w14:paraId="4C84AC8B"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Wilcoxon-stats</w:t>
            </w:r>
          </w:p>
        </w:tc>
      </w:tr>
      <w:tr w:rsidR="00093F2A" w:rsidRPr="00093F2A" w14:paraId="6A8F4C0D" w14:textId="77777777" w:rsidTr="001E5D09">
        <w:trPr>
          <w:trHeight w:val="20"/>
        </w:trPr>
        <w:tc>
          <w:tcPr>
            <w:tcW w:w="2249" w:type="dxa"/>
            <w:vMerge w:val="restart"/>
            <w:tcBorders>
              <w:top w:val="single" w:sz="4" w:space="0" w:color="auto"/>
              <w:left w:val="nil"/>
              <w:bottom w:val="nil"/>
              <w:right w:val="nil"/>
            </w:tcBorders>
            <w:noWrap/>
            <w:hideMark/>
          </w:tcPr>
          <w:p w14:paraId="51C3F1BD" w14:textId="77777777" w:rsidR="001E5D09" w:rsidRPr="00093F2A" w:rsidRDefault="001E5D09">
            <w:pPr>
              <w:spacing w:after="0" w:line="240" w:lineRule="auto"/>
              <w:rPr>
                <w:rFonts w:ascii="Gill Sans MT" w:eastAsia="Times New Roman" w:hAnsi="Gill Sans MT" w:cs="Calibri"/>
                <w:i/>
                <w:iCs/>
                <w:sz w:val="20"/>
                <w:szCs w:val="20"/>
              </w:rPr>
            </w:pPr>
            <w:r w:rsidRPr="00093F2A">
              <w:rPr>
                <w:rFonts w:ascii="Gill Sans MT" w:eastAsia="Times New Roman" w:hAnsi="Gill Sans MT" w:cs="Calibri"/>
                <w:i/>
                <w:iCs/>
                <w:sz w:val="20"/>
                <w:szCs w:val="20"/>
              </w:rPr>
              <w:t>ROA (%)</w:t>
            </w:r>
          </w:p>
        </w:tc>
        <w:tc>
          <w:tcPr>
            <w:tcW w:w="1336" w:type="dxa"/>
            <w:gridSpan w:val="4"/>
            <w:noWrap/>
            <w:hideMark/>
          </w:tcPr>
          <w:p w14:paraId="651DD40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Before M&amp;A</w:t>
            </w:r>
          </w:p>
        </w:tc>
        <w:tc>
          <w:tcPr>
            <w:tcW w:w="1357" w:type="dxa"/>
            <w:noWrap/>
            <w:hideMark/>
          </w:tcPr>
          <w:p w14:paraId="445BC764"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1.060</w:t>
            </w:r>
          </w:p>
        </w:tc>
        <w:tc>
          <w:tcPr>
            <w:tcW w:w="1356" w:type="dxa"/>
            <w:gridSpan w:val="3"/>
            <w:noWrap/>
            <w:hideMark/>
          </w:tcPr>
          <w:p w14:paraId="0FFD1FA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1.015</w:t>
            </w:r>
          </w:p>
        </w:tc>
        <w:tc>
          <w:tcPr>
            <w:tcW w:w="1262" w:type="dxa"/>
            <w:gridSpan w:val="2"/>
            <w:noWrap/>
            <w:hideMark/>
          </w:tcPr>
          <w:p w14:paraId="7CB4C2E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0.928</w:t>
            </w:r>
          </w:p>
        </w:tc>
        <w:tc>
          <w:tcPr>
            <w:tcW w:w="1168" w:type="dxa"/>
            <w:noWrap/>
            <w:hideMark/>
          </w:tcPr>
          <w:p w14:paraId="3DA510D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0.890</w:t>
            </w:r>
          </w:p>
        </w:tc>
        <w:tc>
          <w:tcPr>
            <w:tcW w:w="894" w:type="dxa"/>
            <w:noWrap/>
            <w:hideMark/>
          </w:tcPr>
          <w:p w14:paraId="0083357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-0.132</w:t>
            </w:r>
          </w:p>
        </w:tc>
        <w:tc>
          <w:tcPr>
            <w:tcW w:w="960" w:type="dxa"/>
            <w:gridSpan w:val="3"/>
            <w:noWrap/>
            <w:hideMark/>
          </w:tcPr>
          <w:p w14:paraId="44A6BC4B"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-0.125</w:t>
            </w:r>
          </w:p>
        </w:tc>
        <w:tc>
          <w:tcPr>
            <w:tcW w:w="1116" w:type="dxa"/>
            <w:noWrap/>
            <w:hideMark/>
          </w:tcPr>
          <w:p w14:paraId="4B926D9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-3.29***</w:t>
            </w:r>
          </w:p>
        </w:tc>
        <w:tc>
          <w:tcPr>
            <w:tcW w:w="1532" w:type="dxa"/>
            <w:noWrap/>
            <w:hideMark/>
          </w:tcPr>
          <w:p w14:paraId="4B828E0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-4.29***</w:t>
            </w:r>
          </w:p>
        </w:tc>
      </w:tr>
      <w:tr w:rsidR="00093F2A" w:rsidRPr="00093F2A" w14:paraId="2291D1E2" w14:textId="77777777" w:rsidTr="001E5D09">
        <w:trPr>
          <w:trHeight w:val="20"/>
        </w:trPr>
        <w:tc>
          <w:tcPr>
            <w:tcW w:w="300" w:type="dxa"/>
            <w:vMerge/>
            <w:tcBorders>
              <w:top w:val="single" w:sz="4" w:space="0" w:color="auto"/>
              <w:left w:val="nil"/>
              <w:bottom w:val="nil"/>
              <w:right w:val="nil"/>
            </w:tcBorders>
            <w:vAlign w:val="center"/>
            <w:hideMark/>
          </w:tcPr>
          <w:p w14:paraId="166580B1" w14:textId="77777777" w:rsidR="001E5D09" w:rsidRPr="00093F2A" w:rsidRDefault="001E5D09">
            <w:pPr>
              <w:spacing w:after="0"/>
              <w:rPr>
                <w:rFonts w:ascii="Gill Sans MT" w:eastAsia="Times New Roman" w:hAnsi="Gill Sans MT" w:cs="Calibri"/>
                <w:i/>
                <w:iCs/>
                <w:sz w:val="20"/>
                <w:szCs w:val="20"/>
              </w:rPr>
            </w:pPr>
          </w:p>
        </w:tc>
        <w:tc>
          <w:tcPr>
            <w:tcW w:w="1336" w:type="dxa"/>
            <w:gridSpan w:val="4"/>
            <w:noWrap/>
            <w:hideMark/>
          </w:tcPr>
          <w:p w14:paraId="4F06C45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After M&amp;A</w:t>
            </w:r>
          </w:p>
        </w:tc>
        <w:tc>
          <w:tcPr>
            <w:tcW w:w="1357" w:type="dxa"/>
            <w:noWrap/>
            <w:hideMark/>
          </w:tcPr>
          <w:p w14:paraId="51A726BB"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0.920</w:t>
            </w:r>
          </w:p>
        </w:tc>
        <w:tc>
          <w:tcPr>
            <w:tcW w:w="1356" w:type="dxa"/>
            <w:gridSpan w:val="3"/>
            <w:noWrap/>
            <w:hideMark/>
          </w:tcPr>
          <w:p w14:paraId="1485A7B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0.940</w:t>
            </w:r>
          </w:p>
        </w:tc>
        <w:tc>
          <w:tcPr>
            <w:tcW w:w="1262" w:type="dxa"/>
            <w:gridSpan w:val="2"/>
            <w:noWrap/>
            <w:hideMark/>
          </w:tcPr>
          <w:p w14:paraId="667F811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0.915</w:t>
            </w:r>
          </w:p>
        </w:tc>
        <w:tc>
          <w:tcPr>
            <w:tcW w:w="1168" w:type="dxa"/>
            <w:noWrap/>
            <w:hideMark/>
          </w:tcPr>
          <w:p w14:paraId="4487AA3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0.920</w:t>
            </w:r>
          </w:p>
        </w:tc>
        <w:tc>
          <w:tcPr>
            <w:tcW w:w="894" w:type="dxa"/>
            <w:noWrap/>
            <w:hideMark/>
          </w:tcPr>
          <w:p w14:paraId="2398F00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-0.006</w:t>
            </w:r>
          </w:p>
        </w:tc>
        <w:tc>
          <w:tcPr>
            <w:tcW w:w="960" w:type="dxa"/>
            <w:gridSpan w:val="3"/>
            <w:noWrap/>
            <w:hideMark/>
          </w:tcPr>
          <w:p w14:paraId="3D3DB27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-0.02</w:t>
            </w:r>
          </w:p>
        </w:tc>
        <w:tc>
          <w:tcPr>
            <w:tcW w:w="1116" w:type="dxa"/>
            <w:noWrap/>
            <w:hideMark/>
          </w:tcPr>
          <w:p w14:paraId="02F411E4"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-0.13</w:t>
            </w:r>
          </w:p>
        </w:tc>
        <w:tc>
          <w:tcPr>
            <w:tcW w:w="1532" w:type="dxa"/>
            <w:noWrap/>
            <w:hideMark/>
          </w:tcPr>
          <w:p w14:paraId="685F141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-0.81</w:t>
            </w:r>
          </w:p>
        </w:tc>
      </w:tr>
      <w:tr w:rsidR="00093F2A" w:rsidRPr="00093F2A" w14:paraId="01542B9B" w14:textId="77777777" w:rsidTr="001E5D09">
        <w:trPr>
          <w:trHeight w:val="20"/>
        </w:trPr>
        <w:tc>
          <w:tcPr>
            <w:tcW w:w="300" w:type="dxa"/>
            <w:vMerge/>
            <w:tcBorders>
              <w:top w:val="single" w:sz="4" w:space="0" w:color="auto"/>
              <w:left w:val="nil"/>
              <w:bottom w:val="nil"/>
              <w:right w:val="nil"/>
            </w:tcBorders>
            <w:vAlign w:val="center"/>
            <w:hideMark/>
          </w:tcPr>
          <w:p w14:paraId="4F2D7F53" w14:textId="77777777" w:rsidR="001E5D09" w:rsidRPr="00093F2A" w:rsidRDefault="001E5D09">
            <w:pPr>
              <w:spacing w:after="0"/>
              <w:rPr>
                <w:rFonts w:ascii="Gill Sans MT" w:eastAsia="Times New Roman" w:hAnsi="Gill Sans MT" w:cs="Calibri"/>
                <w:i/>
                <w:iCs/>
                <w:sz w:val="20"/>
                <w:szCs w:val="20"/>
              </w:rPr>
            </w:pPr>
          </w:p>
        </w:tc>
        <w:tc>
          <w:tcPr>
            <w:tcW w:w="1336" w:type="dxa"/>
            <w:gridSpan w:val="4"/>
            <w:noWrap/>
            <w:hideMark/>
          </w:tcPr>
          <w:p w14:paraId="1F7A842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Change</w:t>
            </w:r>
          </w:p>
        </w:tc>
        <w:tc>
          <w:tcPr>
            <w:tcW w:w="1357" w:type="dxa"/>
            <w:noWrap/>
            <w:hideMark/>
          </w:tcPr>
          <w:p w14:paraId="3A2C55F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-0.151</w:t>
            </w:r>
          </w:p>
        </w:tc>
        <w:tc>
          <w:tcPr>
            <w:tcW w:w="1356" w:type="dxa"/>
            <w:gridSpan w:val="3"/>
            <w:noWrap/>
            <w:hideMark/>
          </w:tcPr>
          <w:p w14:paraId="51EB768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-0.040</w:t>
            </w:r>
          </w:p>
        </w:tc>
        <w:tc>
          <w:tcPr>
            <w:tcW w:w="1262" w:type="dxa"/>
            <w:gridSpan w:val="2"/>
            <w:noWrap/>
            <w:hideMark/>
          </w:tcPr>
          <w:p w14:paraId="512E9B3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-0.038</w:t>
            </w:r>
          </w:p>
        </w:tc>
        <w:tc>
          <w:tcPr>
            <w:tcW w:w="1168" w:type="dxa"/>
            <w:noWrap/>
            <w:hideMark/>
          </w:tcPr>
          <w:p w14:paraId="0405711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0.095</w:t>
            </w:r>
          </w:p>
        </w:tc>
        <w:tc>
          <w:tcPr>
            <w:tcW w:w="894" w:type="dxa"/>
            <w:noWrap/>
            <w:hideMark/>
          </w:tcPr>
          <w:p w14:paraId="5FD0263E"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0.113</w:t>
            </w:r>
          </w:p>
        </w:tc>
        <w:tc>
          <w:tcPr>
            <w:tcW w:w="960" w:type="dxa"/>
            <w:gridSpan w:val="3"/>
            <w:noWrap/>
            <w:hideMark/>
          </w:tcPr>
          <w:p w14:paraId="4F57FCC7"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0.135</w:t>
            </w:r>
          </w:p>
        </w:tc>
        <w:tc>
          <w:tcPr>
            <w:tcW w:w="1116" w:type="dxa"/>
            <w:noWrap/>
            <w:hideMark/>
          </w:tcPr>
          <w:p w14:paraId="7D89397A"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2.13**</w:t>
            </w:r>
          </w:p>
        </w:tc>
        <w:tc>
          <w:tcPr>
            <w:tcW w:w="1532" w:type="dxa"/>
            <w:noWrap/>
            <w:hideMark/>
          </w:tcPr>
          <w:p w14:paraId="146EFFB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3.59***</w:t>
            </w:r>
          </w:p>
        </w:tc>
      </w:tr>
      <w:tr w:rsidR="00093F2A" w:rsidRPr="00093F2A" w14:paraId="704D64EC" w14:textId="77777777" w:rsidTr="001E5D09">
        <w:trPr>
          <w:trHeight w:val="20"/>
        </w:trPr>
        <w:tc>
          <w:tcPr>
            <w:tcW w:w="2249" w:type="dxa"/>
            <w:noWrap/>
            <w:hideMark/>
          </w:tcPr>
          <w:p w14:paraId="151987EB" w14:textId="77777777" w:rsidR="001E5D09" w:rsidRPr="00093F2A" w:rsidRDefault="001E5D09">
            <w:pPr>
              <w:rPr>
                <w:rFonts w:ascii="Gill Sans MT" w:eastAsia="Times New Roman" w:hAnsi="Gill Sans MT" w:cs="Calibri"/>
                <w:sz w:val="20"/>
                <w:szCs w:val="20"/>
              </w:rPr>
            </w:pPr>
          </w:p>
        </w:tc>
        <w:tc>
          <w:tcPr>
            <w:tcW w:w="1336" w:type="dxa"/>
            <w:gridSpan w:val="4"/>
            <w:noWrap/>
            <w:hideMark/>
          </w:tcPr>
          <w:p w14:paraId="0F7FF51A" w14:textId="77777777" w:rsidR="001E5D09" w:rsidRPr="00093F2A" w:rsidRDefault="001E5D09">
            <w:pPr>
              <w:spacing w:after="0"/>
              <w:rPr>
                <w:sz w:val="20"/>
                <w:szCs w:val="20"/>
              </w:rPr>
            </w:pPr>
          </w:p>
        </w:tc>
        <w:tc>
          <w:tcPr>
            <w:tcW w:w="1357" w:type="dxa"/>
            <w:noWrap/>
            <w:hideMark/>
          </w:tcPr>
          <w:p w14:paraId="3AEAA44D" w14:textId="77777777" w:rsidR="001E5D09" w:rsidRPr="00093F2A" w:rsidRDefault="001E5D09">
            <w:pPr>
              <w:spacing w:after="0"/>
              <w:rPr>
                <w:sz w:val="20"/>
                <w:szCs w:val="20"/>
              </w:rPr>
            </w:pPr>
          </w:p>
        </w:tc>
        <w:tc>
          <w:tcPr>
            <w:tcW w:w="1356" w:type="dxa"/>
            <w:gridSpan w:val="3"/>
            <w:noWrap/>
            <w:hideMark/>
          </w:tcPr>
          <w:p w14:paraId="56ADE27E" w14:textId="77777777" w:rsidR="001E5D09" w:rsidRPr="00093F2A" w:rsidRDefault="001E5D09">
            <w:pPr>
              <w:spacing w:after="0"/>
              <w:rPr>
                <w:sz w:val="20"/>
                <w:szCs w:val="20"/>
              </w:rPr>
            </w:pPr>
          </w:p>
        </w:tc>
        <w:tc>
          <w:tcPr>
            <w:tcW w:w="1262" w:type="dxa"/>
            <w:gridSpan w:val="2"/>
            <w:noWrap/>
            <w:hideMark/>
          </w:tcPr>
          <w:p w14:paraId="67D6ED10" w14:textId="77777777" w:rsidR="001E5D09" w:rsidRPr="00093F2A" w:rsidRDefault="001E5D09">
            <w:pPr>
              <w:spacing w:after="0"/>
              <w:rPr>
                <w:sz w:val="20"/>
                <w:szCs w:val="20"/>
              </w:rPr>
            </w:pPr>
          </w:p>
        </w:tc>
        <w:tc>
          <w:tcPr>
            <w:tcW w:w="1168" w:type="dxa"/>
            <w:noWrap/>
            <w:hideMark/>
          </w:tcPr>
          <w:p w14:paraId="3B51713B" w14:textId="77777777" w:rsidR="001E5D09" w:rsidRPr="00093F2A" w:rsidRDefault="001E5D09">
            <w:pPr>
              <w:spacing w:after="0"/>
              <w:rPr>
                <w:sz w:val="20"/>
                <w:szCs w:val="20"/>
              </w:rPr>
            </w:pPr>
          </w:p>
        </w:tc>
        <w:tc>
          <w:tcPr>
            <w:tcW w:w="894" w:type="dxa"/>
            <w:noWrap/>
            <w:hideMark/>
          </w:tcPr>
          <w:p w14:paraId="3E71A5EC" w14:textId="77777777" w:rsidR="001E5D09" w:rsidRPr="00093F2A" w:rsidRDefault="001E5D09">
            <w:pPr>
              <w:spacing w:after="0"/>
              <w:rPr>
                <w:sz w:val="20"/>
                <w:szCs w:val="20"/>
              </w:rPr>
            </w:pPr>
          </w:p>
        </w:tc>
        <w:tc>
          <w:tcPr>
            <w:tcW w:w="960" w:type="dxa"/>
            <w:gridSpan w:val="3"/>
            <w:noWrap/>
            <w:hideMark/>
          </w:tcPr>
          <w:p w14:paraId="28F71F22" w14:textId="77777777" w:rsidR="001E5D09" w:rsidRPr="00093F2A" w:rsidRDefault="001E5D09">
            <w:pPr>
              <w:spacing w:after="0"/>
              <w:rPr>
                <w:sz w:val="20"/>
                <w:szCs w:val="20"/>
              </w:rPr>
            </w:pPr>
          </w:p>
        </w:tc>
        <w:tc>
          <w:tcPr>
            <w:tcW w:w="1116" w:type="dxa"/>
            <w:noWrap/>
            <w:hideMark/>
          </w:tcPr>
          <w:p w14:paraId="2B72315F" w14:textId="77777777" w:rsidR="001E5D09" w:rsidRPr="00093F2A" w:rsidRDefault="001E5D09">
            <w:pPr>
              <w:spacing w:after="0"/>
              <w:rPr>
                <w:sz w:val="20"/>
                <w:szCs w:val="20"/>
              </w:rPr>
            </w:pPr>
          </w:p>
        </w:tc>
        <w:tc>
          <w:tcPr>
            <w:tcW w:w="1532" w:type="dxa"/>
            <w:noWrap/>
            <w:hideMark/>
          </w:tcPr>
          <w:p w14:paraId="56DCD111" w14:textId="77777777" w:rsidR="001E5D09" w:rsidRPr="00093F2A" w:rsidRDefault="001E5D09">
            <w:pPr>
              <w:spacing w:after="0"/>
              <w:rPr>
                <w:sz w:val="20"/>
                <w:szCs w:val="20"/>
              </w:rPr>
            </w:pPr>
          </w:p>
        </w:tc>
      </w:tr>
      <w:tr w:rsidR="00093F2A" w:rsidRPr="00093F2A" w14:paraId="3865C01F" w14:textId="77777777" w:rsidTr="001E5D09">
        <w:trPr>
          <w:trHeight w:val="20"/>
        </w:trPr>
        <w:tc>
          <w:tcPr>
            <w:tcW w:w="2249" w:type="dxa"/>
            <w:vMerge w:val="restart"/>
            <w:noWrap/>
            <w:hideMark/>
          </w:tcPr>
          <w:p w14:paraId="64259337" w14:textId="77777777" w:rsidR="001E5D09" w:rsidRPr="00093F2A" w:rsidRDefault="001E5D09">
            <w:pPr>
              <w:spacing w:after="0" w:line="240" w:lineRule="auto"/>
              <w:rPr>
                <w:rFonts w:ascii="Gill Sans MT" w:eastAsia="Times New Roman" w:hAnsi="Gill Sans MT" w:cs="Calibri"/>
                <w:i/>
                <w:iCs/>
                <w:sz w:val="20"/>
                <w:szCs w:val="20"/>
              </w:rPr>
            </w:pPr>
            <w:r w:rsidRPr="00093F2A">
              <w:rPr>
                <w:rFonts w:ascii="Gill Sans MT" w:eastAsia="Times New Roman" w:hAnsi="Gill Sans MT" w:cs="Calibri"/>
                <w:i/>
                <w:iCs/>
                <w:sz w:val="20"/>
                <w:szCs w:val="20"/>
              </w:rPr>
              <w:t>NET INTEREST MARGIN (%)</w:t>
            </w:r>
          </w:p>
        </w:tc>
        <w:tc>
          <w:tcPr>
            <w:tcW w:w="1336" w:type="dxa"/>
            <w:gridSpan w:val="4"/>
            <w:noWrap/>
            <w:hideMark/>
          </w:tcPr>
          <w:p w14:paraId="108D8AF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Before M&amp;A</w:t>
            </w:r>
          </w:p>
        </w:tc>
        <w:tc>
          <w:tcPr>
            <w:tcW w:w="1357" w:type="dxa"/>
            <w:noWrap/>
            <w:hideMark/>
          </w:tcPr>
          <w:p w14:paraId="2118BB0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3.650</w:t>
            </w:r>
          </w:p>
        </w:tc>
        <w:tc>
          <w:tcPr>
            <w:tcW w:w="1356" w:type="dxa"/>
            <w:gridSpan w:val="3"/>
            <w:noWrap/>
            <w:hideMark/>
          </w:tcPr>
          <w:p w14:paraId="4CCB2C0B"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3.640</w:t>
            </w:r>
          </w:p>
        </w:tc>
        <w:tc>
          <w:tcPr>
            <w:tcW w:w="1262" w:type="dxa"/>
            <w:gridSpan w:val="2"/>
            <w:noWrap/>
            <w:hideMark/>
          </w:tcPr>
          <w:p w14:paraId="2965868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3.638</w:t>
            </w:r>
          </w:p>
        </w:tc>
        <w:tc>
          <w:tcPr>
            <w:tcW w:w="1168" w:type="dxa"/>
            <w:noWrap/>
            <w:hideMark/>
          </w:tcPr>
          <w:p w14:paraId="36E79FE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3.660</w:t>
            </w:r>
          </w:p>
        </w:tc>
        <w:tc>
          <w:tcPr>
            <w:tcW w:w="894" w:type="dxa"/>
            <w:noWrap/>
            <w:hideMark/>
          </w:tcPr>
          <w:p w14:paraId="6EEEEC42"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-0.013</w:t>
            </w:r>
          </w:p>
        </w:tc>
        <w:tc>
          <w:tcPr>
            <w:tcW w:w="960" w:type="dxa"/>
            <w:gridSpan w:val="3"/>
            <w:noWrap/>
            <w:hideMark/>
          </w:tcPr>
          <w:p w14:paraId="5EEAA3C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0.02</w:t>
            </w:r>
          </w:p>
        </w:tc>
        <w:tc>
          <w:tcPr>
            <w:tcW w:w="1116" w:type="dxa"/>
            <w:noWrap/>
            <w:hideMark/>
          </w:tcPr>
          <w:p w14:paraId="6A99D03F"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-0.16</w:t>
            </w:r>
          </w:p>
        </w:tc>
        <w:tc>
          <w:tcPr>
            <w:tcW w:w="1532" w:type="dxa"/>
            <w:noWrap/>
            <w:hideMark/>
          </w:tcPr>
          <w:p w14:paraId="29D7019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-0.11</w:t>
            </w:r>
          </w:p>
        </w:tc>
      </w:tr>
      <w:tr w:rsidR="00093F2A" w:rsidRPr="00093F2A" w14:paraId="6D665622" w14:textId="77777777" w:rsidTr="001E5D09">
        <w:trPr>
          <w:trHeight w:val="20"/>
        </w:trPr>
        <w:tc>
          <w:tcPr>
            <w:tcW w:w="300" w:type="dxa"/>
            <w:vMerge/>
            <w:vAlign w:val="center"/>
            <w:hideMark/>
          </w:tcPr>
          <w:p w14:paraId="3288482B" w14:textId="77777777" w:rsidR="001E5D09" w:rsidRPr="00093F2A" w:rsidRDefault="001E5D09">
            <w:pPr>
              <w:spacing w:after="0"/>
              <w:rPr>
                <w:rFonts w:ascii="Gill Sans MT" w:eastAsia="Times New Roman" w:hAnsi="Gill Sans MT" w:cs="Calibri"/>
                <w:i/>
                <w:iCs/>
                <w:sz w:val="20"/>
                <w:szCs w:val="20"/>
              </w:rPr>
            </w:pPr>
          </w:p>
        </w:tc>
        <w:tc>
          <w:tcPr>
            <w:tcW w:w="1336" w:type="dxa"/>
            <w:gridSpan w:val="4"/>
            <w:noWrap/>
            <w:hideMark/>
          </w:tcPr>
          <w:p w14:paraId="31456A78"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After M&amp;A</w:t>
            </w:r>
          </w:p>
        </w:tc>
        <w:tc>
          <w:tcPr>
            <w:tcW w:w="1357" w:type="dxa"/>
            <w:noWrap/>
            <w:hideMark/>
          </w:tcPr>
          <w:p w14:paraId="4F12570F"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3.548</w:t>
            </w:r>
          </w:p>
        </w:tc>
        <w:tc>
          <w:tcPr>
            <w:tcW w:w="1356" w:type="dxa"/>
            <w:gridSpan w:val="3"/>
            <w:noWrap/>
            <w:hideMark/>
          </w:tcPr>
          <w:p w14:paraId="0DA2AFA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3.590</w:t>
            </w:r>
          </w:p>
        </w:tc>
        <w:tc>
          <w:tcPr>
            <w:tcW w:w="1262" w:type="dxa"/>
            <w:gridSpan w:val="2"/>
            <w:noWrap/>
            <w:hideMark/>
          </w:tcPr>
          <w:p w14:paraId="3539149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3.658</w:t>
            </w:r>
          </w:p>
        </w:tc>
        <w:tc>
          <w:tcPr>
            <w:tcW w:w="1168" w:type="dxa"/>
            <w:noWrap/>
            <w:hideMark/>
          </w:tcPr>
          <w:p w14:paraId="69D717C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3.660</w:t>
            </w:r>
          </w:p>
        </w:tc>
        <w:tc>
          <w:tcPr>
            <w:tcW w:w="894" w:type="dxa"/>
            <w:noWrap/>
            <w:hideMark/>
          </w:tcPr>
          <w:p w14:paraId="7BB72478"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0.109</w:t>
            </w:r>
          </w:p>
        </w:tc>
        <w:tc>
          <w:tcPr>
            <w:tcW w:w="960" w:type="dxa"/>
            <w:gridSpan w:val="3"/>
            <w:noWrap/>
            <w:hideMark/>
          </w:tcPr>
          <w:p w14:paraId="3BFF1C3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0.07</w:t>
            </w:r>
          </w:p>
        </w:tc>
        <w:tc>
          <w:tcPr>
            <w:tcW w:w="1116" w:type="dxa"/>
            <w:noWrap/>
            <w:hideMark/>
          </w:tcPr>
          <w:p w14:paraId="44EB0163"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1.44</w:t>
            </w:r>
          </w:p>
        </w:tc>
        <w:tc>
          <w:tcPr>
            <w:tcW w:w="1532" w:type="dxa"/>
            <w:noWrap/>
            <w:hideMark/>
          </w:tcPr>
          <w:p w14:paraId="06A119C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1.9*</w:t>
            </w:r>
          </w:p>
        </w:tc>
      </w:tr>
      <w:tr w:rsidR="00093F2A" w:rsidRPr="00093F2A" w14:paraId="1D052329" w14:textId="77777777" w:rsidTr="001E5D09">
        <w:trPr>
          <w:trHeight w:val="20"/>
        </w:trPr>
        <w:tc>
          <w:tcPr>
            <w:tcW w:w="300" w:type="dxa"/>
            <w:vMerge/>
            <w:vAlign w:val="center"/>
            <w:hideMark/>
          </w:tcPr>
          <w:p w14:paraId="0A033FB4" w14:textId="77777777" w:rsidR="001E5D09" w:rsidRPr="00093F2A" w:rsidRDefault="001E5D09">
            <w:pPr>
              <w:spacing w:after="0"/>
              <w:rPr>
                <w:rFonts w:ascii="Gill Sans MT" w:eastAsia="Times New Roman" w:hAnsi="Gill Sans MT" w:cs="Calibri"/>
                <w:i/>
                <w:iCs/>
                <w:sz w:val="20"/>
                <w:szCs w:val="20"/>
              </w:rPr>
            </w:pPr>
          </w:p>
        </w:tc>
        <w:tc>
          <w:tcPr>
            <w:tcW w:w="1336" w:type="dxa"/>
            <w:gridSpan w:val="4"/>
            <w:noWrap/>
            <w:hideMark/>
          </w:tcPr>
          <w:p w14:paraId="39AF9EDA"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Change</w:t>
            </w:r>
          </w:p>
        </w:tc>
        <w:tc>
          <w:tcPr>
            <w:tcW w:w="1357" w:type="dxa"/>
            <w:noWrap/>
            <w:hideMark/>
          </w:tcPr>
          <w:p w14:paraId="216DEF7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-0.094</w:t>
            </w:r>
          </w:p>
        </w:tc>
        <w:tc>
          <w:tcPr>
            <w:tcW w:w="1356" w:type="dxa"/>
            <w:gridSpan w:val="3"/>
            <w:noWrap/>
            <w:hideMark/>
          </w:tcPr>
          <w:p w14:paraId="1188225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-0.080</w:t>
            </w:r>
          </w:p>
        </w:tc>
        <w:tc>
          <w:tcPr>
            <w:tcW w:w="1262" w:type="dxa"/>
            <w:gridSpan w:val="2"/>
            <w:noWrap/>
            <w:hideMark/>
          </w:tcPr>
          <w:p w14:paraId="2E99237E"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0.022</w:t>
            </w:r>
          </w:p>
        </w:tc>
        <w:tc>
          <w:tcPr>
            <w:tcW w:w="1168" w:type="dxa"/>
            <w:noWrap/>
            <w:hideMark/>
          </w:tcPr>
          <w:p w14:paraId="43F356B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0.000</w:t>
            </w:r>
          </w:p>
        </w:tc>
        <w:tc>
          <w:tcPr>
            <w:tcW w:w="894" w:type="dxa"/>
            <w:noWrap/>
            <w:hideMark/>
          </w:tcPr>
          <w:p w14:paraId="695372D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0.116</w:t>
            </w:r>
          </w:p>
        </w:tc>
        <w:tc>
          <w:tcPr>
            <w:tcW w:w="960" w:type="dxa"/>
            <w:gridSpan w:val="3"/>
            <w:noWrap/>
            <w:hideMark/>
          </w:tcPr>
          <w:p w14:paraId="416893D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0.08</w:t>
            </w:r>
          </w:p>
        </w:tc>
        <w:tc>
          <w:tcPr>
            <w:tcW w:w="1116" w:type="dxa"/>
            <w:noWrap/>
            <w:hideMark/>
          </w:tcPr>
          <w:p w14:paraId="63FB953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3.2***</w:t>
            </w:r>
          </w:p>
        </w:tc>
        <w:tc>
          <w:tcPr>
            <w:tcW w:w="1532" w:type="dxa"/>
            <w:noWrap/>
            <w:hideMark/>
          </w:tcPr>
          <w:p w14:paraId="4599169B"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3.22***</w:t>
            </w:r>
          </w:p>
        </w:tc>
      </w:tr>
      <w:tr w:rsidR="00093F2A" w:rsidRPr="00093F2A" w14:paraId="26662C87" w14:textId="77777777" w:rsidTr="001E5D09">
        <w:trPr>
          <w:trHeight w:val="20"/>
        </w:trPr>
        <w:tc>
          <w:tcPr>
            <w:tcW w:w="2249" w:type="dxa"/>
            <w:noWrap/>
            <w:hideMark/>
          </w:tcPr>
          <w:p w14:paraId="6922901E" w14:textId="77777777" w:rsidR="001E5D09" w:rsidRPr="00093F2A" w:rsidRDefault="001E5D09">
            <w:pPr>
              <w:rPr>
                <w:rFonts w:ascii="Gill Sans MT" w:eastAsia="Times New Roman" w:hAnsi="Gill Sans MT" w:cs="Calibri"/>
                <w:sz w:val="20"/>
                <w:szCs w:val="20"/>
              </w:rPr>
            </w:pPr>
          </w:p>
        </w:tc>
        <w:tc>
          <w:tcPr>
            <w:tcW w:w="1336" w:type="dxa"/>
            <w:gridSpan w:val="4"/>
            <w:noWrap/>
            <w:hideMark/>
          </w:tcPr>
          <w:p w14:paraId="6DFFBFE3" w14:textId="77777777" w:rsidR="001E5D09" w:rsidRPr="00093F2A" w:rsidRDefault="001E5D09">
            <w:pPr>
              <w:spacing w:after="0"/>
              <w:rPr>
                <w:sz w:val="20"/>
                <w:szCs w:val="20"/>
              </w:rPr>
            </w:pPr>
          </w:p>
        </w:tc>
        <w:tc>
          <w:tcPr>
            <w:tcW w:w="1357" w:type="dxa"/>
            <w:noWrap/>
            <w:hideMark/>
          </w:tcPr>
          <w:p w14:paraId="07716460" w14:textId="77777777" w:rsidR="001E5D09" w:rsidRPr="00093F2A" w:rsidRDefault="001E5D09">
            <w:pPr>
              <w:spacing w:after="0"/>
              <w:rPr>
                <w:sz w:val="20"/>
                <w:szCs w:val="20"/>
              </w:rPr>
            </w:pPr>
          </w:p>
        </w:tc>
        <w:tc>
          <w:tcPr>
            <w:tcW w:w="1356" w:type="dxa"/>
            <w:gridSpan w:val="3"/>
            <w:noWrap/>
            <w:hideMark/>
          </w:tcPr>
          <w:p w14:paraId="2424628F" w14:textId="77777777" w:rsidR="001E5D09" w:rsidRPr="00093F2A" w:rsidRDefault="001E5D09">
            <w:pPr>
              <w:spacing w:after="0"/>
              <w:rPr>
                <w:sz w:val="20"/>
                <w:szCs w:val="20"/>
              </w:rPr>
            </w:pPr>
          </w:p>
        </w:tc>
        <w:tc>
          <w:tcPr>
            <w:tcW w:w="1262" w:type="dxa"/>
            <w:gridSpan w:val="2"/>
            <w:noWrap/>
            <w:hideMark/>
          </w:tcPr>
          <w:p w14:paraId="22E5DDD2" w14:textId="77777777" w:rsidR="001E5D09" w:rsidRPr="00093F2A" w:rsidRDefault="001E5D09">
            <w:pPr>
              <w:spacing w:after="0"/>
              <w:rPr>
                <w:sz w:val="20"/>
                <w:szCs w:val="20"/>
              </w:rPr>
            </w:pPr>
          </w:p>
        </w:tc>
        <w:tc>
          <w:tcPr>
            <w:tcW w:w="1168" w:type="dxa"/>
            <w:noWrap/>
            <w:hideMark/>
          </w:tcPr>
          <w:p w14:paraId="677B7AE8" w14:textId="77777777" w:rsidR="001E5D09" w:rsidRPr="00093F2A" w:rsidRDefault="001E5D09">
            <w:pPr>
              <w:spacing w:after="0"/>
              <w:rPr>
                <w:sz w:val="20"/>
                <w:szCs w:val="20"/>
              </w:rPr>
            </w:pPr>
          </w:p>
        </w:tc>
        <w:tc>
          <w:tcPr>
            <w:tcW w:w="894" w:type="dxa"/>
            <w:noWrap/>
            <w:hideMark/>
          </w:tcPr>
          <w:p w14:paraId="07270A46" w14:textId="77777777" w:rsidR="001E5D09" w:rsidRPr="00093F2A" w:rsidRDefault="001E5D09">
            <w:pPr>
              <w:spacing w:after="0"/>
              <w:rPr>
                <w:sz w:val="20"/>
                <w:szCs w:val="20"/>
              </w:rPr>
            </w:pPr>
          </w:p>
        </w:tc>
        <w:tc>
          <w:tcPr>
            <w:tcW w:w="960" w:type="dxa"/>
            <w:gridSpan w:val="3"/>
            <w:noWrap/>
            <w:hideMark/>
          </w:tcPr>
          <w:p w14:paraId="7FC1D9CC" w14:textId="77777777" w:rsidR="001E5D09" w:rsidRPr="00093F2A" w:rsidRDefault="001E5D09">
            <w:pPr>
              <w:spacing w:after="0"/>
              <w:rPr>
                <w:sz w:val="20"/>
                <w:szCs w:val="20"/>
              </w:rPr>
            </w:pPr>
          </w:p>
        </w:tc>
        <w:tc>
          <w:tcPr>
            <w:tcW w:w="1116" w:type="dxa"/>
            <w:noWrap/>
            <w:hideMark/>
          </w:tcPr>
          <w:p w14:paraId="4ACD540E" w14:textId="77777777" w:rsidR="001E5D09" w:rsidRPr="00093F2A" w:rsidRDefault="001E5D09">
            <w:pPr>
              <w:spacing w:after="0"/>
              <w:rPr>
                <w:sz w:val="20"/>
                <w:szCs w:val="20"/>
              </w:rPr>
            </w:pPr>
          </w:p>
        </w:tc>
        <w:tc>
          <w:tcPr>
            <w:tcW w:w="1532" w:type="dxa"/>
            <w:noWrap/>
            <w:hideMark/>
          </w:tcPr>
          <w:p w14:paraId="421E7B1F" w14:textId="77777777" w:rsidR="001E5D09" w:rsidRPr="00093F2A" w:rsidRDefault="001E5D09">
            <w:pPr>
              <w:spacing w:after="0"/>
              <w:rPr>
                <w:sz w:val="20"/>
                <w:szCs w:val="20"/>
              </w:rPr>
            </w:pPr>
          </w:p>
        </w:tc>
      </w:tr>
      <w:tr w:rsidR="00093F2A" w:rsidRPr="00093F2A" w14:paraId="0AB3BF52" w14:textId="77777777" w:rsidTr="001E5D09">
        <w:trPr>
          <w:trHeight w:val="20"/>
        </w:trPr>
        <w:tc>
          <w:tcPr>
            <w:tcW w:w="2249" w:type="dxa"/>
            <w:vMerge w:val="restart"/>
            <w:tcBorders>
              <w:top w:val="nil"/>
              <w:left w:val="nil"/>
              <w:bottom w:val="single" w:sz="4" w:space="0" w:color="auto"/>
              <w:right w:val="nil"/>
            </w:tcBorders>
            <w:noWrap/>
            <w:hideMark/>
          </w:tcPr>
          <w:p w14:paraId="38C70FD5" w14:textId="77777777" w:rsidR="001E5D09" w:rsidRPr="00093F2A" w:rsidRDefault="001E5D09">
            <w:pPr>
              <w:spacing w:after="0" w:line="240" w:lineRule="auto"/>
              <w:rPr>
                <w:rFonts w:ascii="Gill Sans MT" w:eastAsia="Times New Roman" w:hAnsi="Gill Sans MT" w:cs="Calibri"/>
                <w:i/>
                <w:iCs/>
                <w:sz w:val="20"/>
                <w:szCs w:val="20"/>
              </w:rPr>
            </w:pPr>
            <w:r w:rsidRPr="00093F2A">
              <w:rPr>
                <w:rFonts w:ascii="Gill Sans MT" w:eastAsia="Times New Roman" w:hAnsi="Gill Sans MT" w:cs="Calibri"/>
                <w:i/>
                <w:iCs/>
                <w:sz w:val="20"/>
                <w:szCs w:val="20"/>
              </w:rPr>
              <w:t>YIELD / COST SPREAD (%)</w:t>
            </w:r>
          </w:p>
        </w:tc>
        <w:tc>
          <w:tcPr>
            <w:tcW w:w="1336" w:type="dxa"/>
            <w:gridSpan w:val="4"/>
            <w:noWrap/>
            <w:hideMark/>
          </w:tcPr>
          <w:p w14:paraId="47B7419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Before M&amp;A</w:t>
            </w:r>
          </w:p>
        </w:tc>
        <w:tc>
          <w:tcPr>
            <w:tcW w:w="1357" w:type="dxa"/>
            <w:noWrap/>
            <w:hideMark/>
          </w:tcPr>
          <w:p w14:paraId="5C5BDDD9"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3.392</w:t>
            </w:r>
          </w:p>
        </w:tc>
        <w:tc>
          <w:tcPr>
            <w:tcW w:w="1356" w:type="dxa"/>
            <w:gridSpan w:val="3"/>
            <w:noWrap/>
            <w:hideMark/>
          </w:tcPr>
          <w:p w14:paraId="4B5ABD2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3.420</w:t>
            </w:r>
          </w:p>
        </w:tc>
        <w:tc>
          <w:tcPr>
            <w:tcW w:w="1262" w:type="dxa"/>
            <w:gridSpan w:val="2"/>
            <w:noWrap/>
            <w:hideMark/>
          </w:tcPr>
          <w:p w14:paraId="73183E09"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3.493</w:t>
            </w:r>
          </w:p>
        </w:tc>
        <w:tc>
          <w:tcPr>
            <w:tcW w:w="1168" w:type="dxa"/>
            <w:noWrap/>
            <w:hideMark/>
          </w:tcPr>
          <w:p w14:paraId="0410E58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3.530</w:t>
            </w:r>
          </w:p>
        </w:tc>
        <w:tc>
          <w:tcPr>
            <w:tcW w:w="894" w:type="dxa"/>
            <w:noWrap/>
            <w:hideMark/>
          </w:tcPr>
          <w:p w14:paraId="1742CC28"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0.101</w:t>
            </w:r>
          </w:p>
        </w:tc>
        <w:tc>
          <w:tcPr>
            <w:tcW w:w="960" w:type="dxa"/>
            <w:gridSpan w:val="3"/>
            <w:noWrap/>
            <w:hideMark/>
          </w:tcPr>
          <w:p w14:paraId="789ED90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0.11</w:t>
            </w:r>
          </w:p>
        </w:tc>
        <w:tc>
          <w:tcPr>
            <w:tcW w:w="1116" w:type="dxa"/>
            <w:noWrap/>
            <w:hideMark/>
          </w:tcPr>
          <w:p w14:paraId="00F88164"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1.25</w:t>
            </w:r>
          </w:p>
        </w:tc>
        <w:tc>
          <w:tcPr>
            <w:tcW w:w="1532" w:type="dxa"/>
            <w:noWrap/>
            <w:hideMark/>
          </w:tcPr>
          <w:p w14:paraId="58889472"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1.63</w:t>
            </w:r>
          </w:p>
        </w:tc>
      </w:tr>
      <w:tr w:rsidR="00093F2A" w:rsidRPr="00093F2A" w14:paraId="730E7EA7" w14:textId="77777777" w:rsidTr="001E5D09">
        <w:trPr>
          <w:trHeight w:val="20"/>
        </w:trPr>
        <w:tc>
          <w:tcPr>
            <w:tcW w:w="300" w:type="dxa"/>
            <w:vMerge/>
            <w:tcBorders>
              <w:top w:val="nil"/>
              <w:left w:val="nil"/>
              <w:bottom w:val="single" w:sz="4" w:space="0" w:color="auto"/>
              <w:right w:val="nil"/>
            </w:tcBorders>
            <w:vAlign w:val="center"/>
            <w:hideMark/>
          </w:tcPr>
          <w:p w14:paraId="2CBF6CEE" w14:textId="77777777" w:rsidR="001E5D09" w:rsidRPr="00093F2A" w:rsidRDefault="001E5D09">
            <w:pPr>
              <w:spacing w:after="0"/>
              <w:rPr>
                <w:rFonts w:ascii="Gill Sans MT" w:eastAsia="Times New Roman" w:hAnsi="Gill Sans MT" w:cs="Calibri"/>
                <w:i/>
                <w:iCs/>
                <w:sz w:val="20"/>
                <w:szCs w:val="20"/>
              </w:rPr>
            </w:pPr>
          </w:p>
        </w:tc>
        <w:tc>
          <w:tcPr>
            <w:tcW w:w="1336" w:type="dxa"/>
            <w:gridSpan w:val="4"/>
            <w:noWrap/>
            <w:hideMark/>
          </w:tcPr>
          <w:p w14:paraId="46C2AC8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After M&amp;A</w:t>
            </w:r>
          </w:p>
        </w:tc>
        <w:tc>
          <w:tcPr>
            <w:tcW w:w="1357" w:type="dxa"/>
            <w:noWrap/>
            <w:hideMark/>
          </w:tcPr>
          <w:p w14:paraId="35613DCA"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3.299</w:t>
            </w:r>
          </w:p>
        </w:tc>
        <w:tc>
          <w:tcPr>
            <w:tcW w:w="1356" w:type="dxa"/>
            <w:gridSpan w:val="3"/>
            <w:noWrap/>
            <w:hideMark/>
          </w:tcPr>
          <w:p w14:paraId="6E8C2F31"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3.380</w:t>
            </w:r>
          </w:p>
        </w:tc>
        <w:tc>
          <w:tcPr>
            <w:tcW w:w="1262" w:type="dxa"/>
            <w:gridSpan w:val="2"/>
            <w:noWrap/>
            <w:hideMark/>
          </w:tcPr>
          <w:p w14:paraId="12FB6F94"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3.494</w:t>
            </w:r>
          </w:p>
        </w:tc>
        <w:tc>
          <w:tcPr>
            <w:tcW w:w="1168" w:type="dxa"/>
            <w:noWrap/>
            <w:hideMark/>
          </w:tcPr>
          <w:p w14:paraId="52F42F2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3.515</w:t>
            </w:r>
          </w:p>
        </w:tc>
        <w:tc>
          <w:tcPr>
            <w:tcW w:w="894" w:type="dxa"/>
            <w:noWrap/>
            <w:hideMark/>
          </w:tcPr>
          <w:p w14:paraId="7CC188FC"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0.195</w:t>
            </w:r>
          </w:p>
        </w:tc>
        <w:tc>
          <w:tcPr>
            <w:tcW w:w="960" w:type="dxa"/>
            <w:gridSpan w:val="3"/>
            <w:noWrap/>
            <w:hideMark/>
          </w:tcPr>
          <w:p w14:paraId="27B136FE"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0.135</w:t>
            </w:r>
          </w:p>
        </w:tc>
        <w:tc>
          <w:tcPr>
            <w:tcW w:w="1116" w:type="dxa"/>
            <w:noWrap/>
            <w:hideMark/>
          </w:tcPr>
          <w:p w14:paraId="54976319"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2.56***</w:t>
            </w:r>
          </w:p>
        </w:tc>
        <w:tc>
          <w:tcPr>
            <w:tcW w:w="1532" w:type="dxa"/>
            <w:noWrap/>
            <w:hideMark/>
          </w:tcPr>
          <w:p w14:paraId="4EC19218"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3.15***</w:t>
            </w:r>
          </w:p>
        </w:tc>
      </w:tr>
      <w:tr w:rsidR="00093F2A" w:rsidRPr="00093F2A" w14:paraId="580AD639" w14:textId="77777777" w:rsidTr="001E5D09">
        <w:trPr>
          <w:trHeight w:val="20"/>
        </w:trPr>
        <w:tc>
          <w:tcPr>
            <w:tcW w:w="300" w:type="dxa"/>
            <w:vMerge/>
            <w:tcBorders>
              <w:top w:val="nil"/>
              <w:left w:val="nil"/>
              <w:bottom w:val="single" w:sz="4" w:space="0" w:color="auto"/>
              <w:right w:val="nil"/>
            </w:tcBorders>
            <w:vAlign w:val="center"/>
            <w:hideMark/>
          </w:tcPr>
          <w:p w14:paraId="0E1DC801" w14:textId="77777777" w:rsidR="001E5D09" w:rsidRPr="00093F2A" w:rsidRDefault="001E5D09">
            <w:pPr>
              <w:spacing w:after="0"/>
              <w:rPr>
                <w:rFonts w:ascii="Gill Sans MT" w:eastAsia="Times New Roman" w:hAnsi="Gill Sans MT" w:cs="Calibri"/>
                <w:i/>
                <w:iCs/>
                <w:sz w:val="20"/>
                <w:szCs w:val="20"/>
              </w:rPr>
            </w:pPr>
          </w:p>
        </w:tc>
        <w:tc>
          <w:tcPr>
            <w:tcW w:w="1336" w:type="dxa"/>
            <w:gridSpan w:val="4"/>
            <w:tcBorders>
              <w:top w:val="nil"/>
              <w:left w:val="nil"/>
              <w:bottom w:val="single" w:sz="4" w:space="0" w:color="auto"/>
              <w:right w:val="nil"/>
            </w:tcBorders>
            <w:noWrap/>
            <w:hideMark/>
          </w:tcPr>
          <w:p w14:paraId="278E813E"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Change</w:t>
            </w:r>
          </w:p>
        </w:tc>
        <w:tc>
          <w:tcPr>
            <w:tcW w:w="1357" w:type="dxa"/>
            <w:tcBorders>
              <w:top w:val="nil"/>
              <w:left w:val="nil"/>
              <w:bottom w:val="single" w:sz="4" w:space="0" w:color="auto"/>
              <w:right w:val="nil"/>
            </w:tcBorders>
            <w:noWrap/>
            <w:hideMark/>
          </w:tcPr>
          <w:p w14:paraId="2100E7D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-0.083</w:t>
            </w:r>
          </w:p>
        </w:tc>
        <w:tc>
          <w:tcPr>
            <w:tcW w:w="1356" w:type="dxa"/>
            <w:gridSpan w:val="3"/>
            <w:tcBorders>
              <w:top w:val="nil"/>
              <w:left w:val="nil"/>
              <w:bottom w:val="single" w:sz="4" w:space="0" w:color="auto"/>
              <w:right w:val="nil"/>
            </w:tcBorders>
            <w:noWrap/>
            <w:hideMark/>
          </w:tcPr>
          <w:p w14:paraId="3AC9EA8F"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-0.070</w:t>
            </w:r>
          </w:p>
        </w:tc>
        <w:tc>
          <w:tcPr>
            <w:tcW w:w="1262" w:type="dxa"/>
            <w:gridSpan w:val="2"/>
            <w:tcBorders>
              <w:top w:val="nil"/>
              <w:left w:val="nil"/>
              <w:bottom w:val="single" w:sz="4" w:space="0" w:color="auto"/>
              <w:right w:val="nil"/>
            </w:tcBorders>
            <w:noWrap/>
            <w:hideMark/>
          </w:tcPr>
          <w:p w14:paraId="6F383B2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0.033</w:t>
            </w:r>
          </w:p>
        </w:tc>
        <w:tc>
          <w:tcPr>
            <w:tcW w:w="1168" w:type="dxa"/>
            <w:tcBorders>
              <w:top w:val="nil"/>
              <w:left w:val="nil"/>
              <w:bottom w:val="single" w:sz="4" w:space="0" w:color="auto"/>
              <w:right w:val="nil"/>
            </w:tcBorders>
            <w:noWrap/>
            <w:hideMark/>
          </w:tcPr>
          <w:p w14:paraId="5B431546"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0.020</w:t>
            </w:r>
          </w:p>
        </w:tc>
        <w:tc>
          <w:tcPr>
            <w:tcW w:w="894" w:type="dxa"/>
            <w:tcBorders>
              <w:top w:val="nil"/>
              <w:left w:val="nil"/>
              <w:bottom w:val="single" w:sz="4" w:space="0" w:color="auto"/>
              <w:right w:val="nil"/>
            </w:tcBorders>
            <w:noWrap/>
            <w:hideMark/>
          </w:tcPr>
          <w:p w14:paraId="3793F5DF"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0.116</w:t>
            </w:r>
          </w:p>
        </w:tc>
        <w:tc>
          <w:tcPr>
            <w:tcW w:w="960" w:type="dxa"/>
            <w:gridSpan w:val="3"/>
            <w:tcBorders>
              <w:top w:val="nil"/>
              <w:left w:val="nil"/>
              <w:bottom w:val="single" w:sz="4" w:space="0" w:color="auto"/>
              <w:right w:val="nil"/>
            </w:tcBorders>
            <w:noWrap/>
            <w:hideMark/>
          </w:tcPr>
          <w:p w14:paraId="424C44E0"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0.09</w:t>
            </w:r>
          </w:p>
        </w:tc>
        <w:tc>
          <w:tcPr>
            <w:tcW w:w="1116" w:type="dxa"/>
            <w:tcBorders>
              <w:top w:val="nil"/>
              <w:left w:val="nil"/>
              <w:bottom w:val="single" w:sz="4" w:space="0" w:color="auto"/>
              <w:right w:val="nil"/>
            </w:tcBorders>
            <w:noWrap/>
            <w:hideMark/>
          </w:tcPr>
          <w:p w14:paraId="02FB2F8D"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2.78***</w:t>
            </w:r>
          </w:p>
        </w:tc>
        <w:tc>
          <w:tcPr>
            <w:tcW w:w="1532" w:type="dxa"/>
            <w:tcBorders>
              <w:top w:val="nil"/>
              <w:left w:val="nil"/>
              <w:bottom w:val="single" w:sz="4" w:space="0" w:color="auto"/>
              <w:right w:val="nil"/>
            </w:tcBorders>
            <w:noWrap/>
            <w:hideMark/>
          </w:tcPr>
          <w:p w14:paraId="795BF675" w14:textId="77777777" w:rsidR="001E5D09" w:rsidRPr="00093F2A" w:rsidRDefault="001E5D09">
            <w:pPr>
              <w:spacing w:after="0" w:line="240" w:lineRule="auto"/>
              <w:rPr>
                <w:rFonts w:ascii="Gill Sans MT" w:eastAsia="Times New Roman" w:hAnsi="Gill Sans MT" w:cs="Calibri"/>
                <w:sz w:val="20"/>
                <w:szCs w:val="20"/>
              </w:rPr>
            </w:pPr>
            <w:r w:rsidRPr="00093F2A">
              <w:rPr>
                <w:rFonts w:ascii="Gill Sans MT" w:eastAsia="Times New Roman" w:hAnsi="Gill Sans MT" w:cs="Calibri"/>
                <w:sz w:val="20"/>
                <w:szCs w:val="20"/>
              </w:rPr>
              <w:t>2.92***</w:t>
            </w:r>
          </w:p>
        </w:tc>
      </w:tr>
      <w:bookmarkEnd w:id="1"/>
      <w:tr w:rsidR="00093F2A" w:rsidRPr="00093F2A" w14:paraId="6BB1CA56" w14:textId="77777777" w:rsidTr="001E5D09">
        <w:trPr>
          <w:trHeight w:val="144"/>
        </w:trPr>
        <w:tc>
          <w:tcPr>
            <w:tcW w:w="13230" w:type="dxa"/>
            <w:gridSpan w:val="18"/>
            <w:tcBorders>
              <w:top w:val="single" w:sz="4" w:space="0" w:color="auto"/>
              <w:left w:val="nil"/>
              <w:bottom w:val="nil"/>
              <w:right w:val="nil"/>
            </w:tcBorders>
            <w:noWrap/>
            <w:hideMark/>
          </w:tcPr>
          <w:p w14:paraId="32C932E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b/>
                <w:bCs/>
                <w:i/>
                <w:iCs/>
                <w:sz w:val="20"/>
                <w:szCs w:val="20"/>
              </w:rPr>
              <w:t>Panel B - Regressions of Operating Performance Changes</w:t>
            </w:r>
            <w:r w:rsidRPr="00093F2A">
              <w:rPr>
                <w:rFonts w:ascii="Gill Sans MT" w:eastAsia="Times New Roman" w:hAnsi="Gill Sans MT" w:cs="Calibri"/>
                <w:sz w:val="20"/>
                <w:szCs w:val="20"/>
              </w:rPr>
              <w:t> </w:t>
            </w:r>
          </w:p>
        </w:tc>
      </w:tr>
      <w:tr w:rsidR="00093F2A" w:rsidRPr="00093F2A" w14:paraId="24A24BB8" w14:textId="77777777" w:rsidTr="001E5D09">
        <w:trPr>
          <w:trHeight w:val="144"/>
        </w:trPr>
        <w:tc>
          <w:tcPr>
            <w:tcW w:w="2608" w:type="dxa"/>
            <w:gridSpan w:val="2"/>
            <w:noWrap/>
            <w:hideMark/>
          </w:tcPr>
          <w:p w14:paraId="1EAC34F6" w14:textId="77777777" w:rsidR="001E5D09" w:rsidRPr="00093F2A" w:rsidRDefault="001E5D09">
            <w:pPr>
              <w:rPr>
                <w:rFonts w:ascii="Gill Sans MT" w:eastAsia="Times New Roman" w:hAnsi="Gill Sans MT" w:cs="Calibri"/>
                <w:sz w:val="20"/>
                <w:szCs w:val="20"/>
              </w:rPr>
            </w:pPr>
          </w:p>
        </w:tc>
        <w:tc>
          <w:tcPr>
            <w:tcW w:w="360" w:type="dxa"/>
            <w:noWrap/>
            <w:hideMark/>
          </w:tcPr>
          <w:p w14:paraId="4F78949D" w14:textId="77777777" w:rsidR="001E5D09" w:rsidRPr="00093F2A" w:rsidRDefault="001E5D09">
            <w:pPr>
              <w:spacing w:after="0"/>
              <w:rPr>
                <w:sz w:val="20"/>
                <w:szCs w:val="20"/>
              </w:rPr>
            </w:pPr>
          </w:p>
        </w:tc>
        <w:tc>
          <w:tcPr>
            <w:tcW w:w="360" w:type="dxa"/>
            <w:noWrap/>
            <w:hideMark/>
          </w:tcPr>
          <w:p w14:paraId="5FEA1D4E" w14:textId="77777777" w:rsidR="001E5D09" w:rsidRPr="00093F2A" w:rsidRDefault="001E5D09">
            <w:pPr>
              <w:spacing w:after="0"/>
              <w:rPr>
                <w:sz w:val="20"/>
                <w:szCs w:val="20"/>
              </w:rPr>
            </w:pPr>
          </w:p>
        </w:tc>
        <w:tc>
          <w:tcPr>
            <w:tcW w:w="1993" w:type="dxa"/>
            <w:gridSpan w:val="3"/>
            <w:noWrap/>
            <w:hideMark/>
          </w:tcPr>
          <w:p w14:paraId="3373241C" w14:textId="77777777" w:rsidR="001E5D09" w:rsidRPr="00093F2A" w:rsidRDefault="001E5D09">
            <w:pPr>
              <w:spacing w:line="240" w:lineRule="auto"/>
              <w:contextualSpacing/>
              <w:rPr>
                <w:rFonts w:ascii="Gill Sans MT" w:eastAsia="Times New Roman" w:hAnsi="Gill Sans MT" w:cs="Calibri"/>
                <w:sz w:val="20"/>
                <w:szCs w:val="20"/>
                <w:u w:val="single"/>
              </w:rPr>
            </w:pPr>
            <w:r w:rsidRPr="00093F2A">
              <w:rPr>
                <w:rFonts w:ascii="Gill Sans MT" w:eastAsia="Times New Roman" w:hAnsi="Gill Sans MT" w:cs="Calibri"/>
                <w:sz w:val="20"/>
                <w:szCs w:val="20"/>
                <w:u w:val="single"/>
              </w:rPr>
              <w:t>Model 1</w:t>
            </w:r>
          </w:p>
        </w:tc>
        <w:tc>
          <w:tcPr>
            <w:tcW w:w="257" w:type="dxa"/>
            <w:noWrap/>
            <w:hideMark/>
          </w:tcPr>
          <w:p w14:paraId="633D19CA" w14:textId="77777777" w:rsidR="001E5D09" w:rsidRPr="00093F2A" w:rsidRDefault="001E5D09">
            <w:pPr>
              <w:rPr>
                <w:rFonts w:ascii="Gill Sans MT" w:eastAsia="Times New Roman" w:hAnsi="Gill Sans MT" w:cs="Calibri"/>
                <w:sz w:val="20"/>
                <w:szCs w:val="20"/>
                <w:u w:val="single"/>
              </w:rPr>
            </w:pPr>
          </w:p>
        </w:tc>
        <w:tc>
          <w:tcPr>
            <w:tcW w:w="1590" w:type="dxa"/>
            <w:gridSpan w:val="2"/>
            <w:noWrap/>
          </w:tcPr>
          <w:p w14:paraId="3A134F7F" w14:textId="77777777" w:rsidR="001E5D09" w:rsidRPr="00093F2A" w:rsidRDefault="001E5D09">
            <w:pPr>
              <w:spacing w:line="240" w:lineRule="auto"/>
              <w:contextualSpacing/>
              <w:rPr>
                <w:rFonts w:ascii="Gill Sans MT" w:eastAsia="Times New Roman" w:hAnsi="Gill Sans MT" w:cs="Calibri"/>
                <w:sz w:val="20"/>
                <w:szCs w:val="20"/>
                <w:u w:val="single"/>
              </w:rPr>
            </w:pPr>
          </w:p>
        </w:tc>
        <w:tc>
          <w:tcPr>
            <w:tcW w:w="392" w:type="dxa"/>
            <w:noWrap/>
          </w:tcPr>
          <w:p w14:paraId="11DD914F" w14:textId="77777777" w:rsidR="001E5D09" w:rsidRPr="00093F2A" w:rsidRDefault="001E5D09">
            <w:pPr>
              <w:spacing w:line="240" w:lineRule="auto"/>
              <w:contextualSpacing/>
              <w:rPr>
                <w:rFonts w:ascii="Gill Sans MT" w:eastAsia="Times New Roman" w:hAnsi="Gill Sans MT" w:cs="Calibri"/>
                <w:sz w:val="20"/>
                <w:szCs w:val="20"/>
                <w:u w:val="single"/>
              </w:rPr>
            </w:pPr>
          </w:p>
        </w:tc>
        <w:tc>
          <w:tcPr>
            <w:tcW w:w="2610" w:type="dxa"/>
            <w:gridSpan w:val="3"/>
            <w:noWrap/>
            <w:hideMark/>
          </w:tcPr>
          <w:p w14:paraId="7C1C32D3" w14:textId="77777777" w:rsidR="001E5D09" w:rsidRPr="00093F2A" w:rsidRDefault="001E5D09">
            <w:pPr>
              <w:spacing w:line="240" w:lineRule="auto"/>
              <w:contextualSpacing/>
              <w:rPr>
                <w:rFonts w:ascii="Gill Sans MT" w:eastAsia="Times New Roman" w:hAnsi="Gill Sans MT" w:cs="Calibri"/>
                <w:sz w:val="20"/>
                <w:szCs w:val="20"/>
                <w:u w:val="single"/>
              </w:rPr>
            </w:pPr>
            <w:r w:rsidRPr="00093F2A">
              <w:rPr>
                <w:rFonts w:ascii="Gill Sans MT" w:eastAsia="Times New Roman" w:hAnsi="Gill Sans MT" w:cs="Calibri"/>
                <w:sz w:val="20"/>
                <w:szCs w:val="20"/>
                <w:u w:val="single"/>
              </w:rPr>
              <w:t>Model 2</w:t>
            </w:r>
          </w:p>
        </w:tc>
        <w:tc>
          <w:tcPr>
            <w:tcW w:w="277" w:type="dxa"/>
            <w:noWrap/>
            <w:hideMark/>
          </w:tcPr>
          <w:p w14:paraId="60D6D285" w14:textId="77777777" w:rsidR="001E5D09" w:rsidRPr="00093F2A" w:rsidRDefault="001E5D09">
            <w:pPr>
              <w:rPr>
                <w:rFonts w:ascii="Gill Sans MT" w:eastAsia="Times New Roman" w:hAnsi="Gill Sans MT" w:cs="Calibri"/>
                <w:sz w:val="20"/>
                <w:szCs w:val="20"/>
                <w:u w:val="single"/>
              </w:rPr>
            </w:pPr>
          </w:p>
        </w:tc>
        <w:tc>
          <w:tcPr>
            <w:tcW w:w="2783" w:type="dxa"/>
            <w:gridSpan w:val="3"/>
            <w:noWrap/>
            <w:hideMark/>
          </w:tcPr>
          <w:p w14:paraId="2C571A8D" w14:textId="77777777" w:rsidR="001E5D09" w:rsidRPr="00093F2A" w:rsidRDefault="001E5D09">
            <w:pPr>
              <w:spacing w:line="240" w:lineRule="auto"/>
              <w:contextualSpacing/>
              <w:rPr>
                <w:rFonts w:ascii="Gill Sans MT" w:eastAsia="Times New Roman" w:hAnsi="Gill Sans MT" w:cs="Calibri"/>
                <w:sz w:val="20"/>
                <w:szCs w:val="20"/>
                <w:u w:val="single"/>
              </w:rPr>
            </w:pPr>
            <w:r w:rsidRPr="00093F2A">
              <w:rPr>
                <w:rFonts w:ascii="Gill Sans MT" w:eastAsia="Times New Roman" w:hAnsi="Gill Sans MT" w:cs="Calibri"/>
                <w:sz w:val="20"/>
                <w:szCs w:val="20"/>
                <w:u w:val="single"/>
              </w:rPr>
              <w:t>Model 3</w:t>
            </w:r>
          </w:p>
        </w:tc>
      </w:tr>
      <w:tr w:rsidR="00093F2A" w:rsidRPr="00093F2A" w14:paraId="4BDE8472" w14:textId="77777777" w:rsidTr="001E5D09">
        <w:trPr>
          <w:trHeight w:val="144"/>
        </w:trPr>
        <w:tc>
          <w:tcPr>
            <w:tcW w:w="2608" w:type="dxa"/>
            <w:gridSpan w:val="2"/>
            <w:tcBorders>
              <w:top w:val="nil"/>
              <w:left w:val="nil"/>
              <w:bottom w:val="single" w:sz="4" w:space="0" w:color="auto"/>
              <w:right w:val="nil"/>
            </w:tcBorders>
            <w:noWrap/>
            <w:hideMark/>
          </w:tcPr>
          <w:p w14:paraId="013FAA0A"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Variables</w:t>
            </w:r>
          </w:p>
        </w:tc>
        <w:tc>
          <w:tcPr>
            <w:tcW w:w="360" w:type="dxa"/>
            <w:tcBorders>
              <w:top w:val="nil"/>
              <w:left w:val="nil"/>
              <w:bottom w:val="single" w:sz="4" w:space="0" w:color="auto"/>
              <w:right w:val="nil"/>
            </w:tcBorders>
            <w:noWrap/>
            <w:hideMark/>
          </w:tcPr>
          <w:p w14:paraId="026AED18"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360" w:type="dxa"/>
            <w:tcBorders>
              <w:top w:val="nil"/>
              <w:left w:val="nil"/>
              <w:bottom w:val="single" w:sz="4" w:space="0" w:color="auto"/>
              <w:right w:val="nil"/>
            </w:tcBorders>
            <w:noWrap/>
            <w:hideMark/>
          </w:tcPr>
          <w:p w14:paraId="5B1672AE"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2250" w:type="dxa"/>
            <w:gridSpan w:val="4"/>
            <w:tcBorders>
              <w:top w:val="nil"/>
              <w:left w:val="nil"/>
              <w:bottom w:val="single" w:sz="4" w:space="0" w:color="auto"/>
              <w:right w:val="nil"/>
            </w:tcBorders>
            <w:noWrap/>
            <w:hideMark/>
          </w:tcPr>
          <w:p w14:paraId="073A750F"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ROA CHANGE</w:t>
            </w:r>
          </w:p>
        </w:tc>
        <w:tc>
          <w:tcPr>
            <w:tcW w:w="1982" w:type="dxa"/>
            <w:gridSpan w:val="3"/>
            <w:tcBorders>
              <w:top w:val="nil"/>
              <w:left w:val="nil"/>
              <w:bottom w:val="single" w:sz="4" w:space="0" w:color="auto"/>
              <w:right w:val="nil"/>
            </w:tcBorders>
            <w:noWrap/>
          </w:tcPr>
          <w:p w14:paraId="68A984A2" w14:textId="77777777" w:rsidR="001E5D09" w:rsidRPr="00093F2A" w:rsidRDefault="001E5D09">
            <w:pPr>
              <w:spacing w:line="240" w:lineRule="auto"/>
              <w:contextualSpacing/>
              <w:rPr>
                <w:rFonts w:ascii="Gill Sans MT" w:eastAsia="Times New Roman" w:hAnsi="Gill Sans MT" w:cs="Calibri"/>
                <w:i/>
                <w:iCs/>
                <w:sz w:val="20"/>
                <w:szCs w:val="20"/>
              </w:rPr>
            </w:pPr>
          </w:p>
        </w:tc>
        <w:tc>
          <w:tcPr>
            <w:tcW w:w="2887" w:type="dxa"/>
            <w:gridSpan w:val="4"/>
            <w:tcBorders>
              <w:top w:val="nil"/>
              <w:left w:val="nil"/>
              <w:bottom w:val="single" w:sz="4" w:space="0" w:color="auto"/>
              <w:right w:val="nil"/>
            </w:tcBorders>
            <w:noWrap/>
            <w:hideMark/>
          </w:tcPr>
          <w:p w14:paraId="4A521FEE"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NET INTEREST MARGIN CHANGE</w:t>
            </w:r>
          </w:p>
        </w:tc>
        <w:tc>
          <w:tcPr>
            <w:tcW w:w="2783" w:type="dxa"/>
            <w:gridSpan w:val="3"/>
            <w:tcBorders>
              <w:top w:val="nil"/>
              <w:left w:val="nil"/>
              <w:bottom w:val="single" w:sz="4" w:space="0" w:color="auto"/>
              <w:right w:val="nil"/>
            </w:tcBorders>
            <w:noWrap/>
            <w:hideMark/>
          </w:tcPr>
          <w:p w14:paraId="4B9FC893"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YIELD / COST SPREAD CHANGE</w:t>
            </w:r>
          </w:p>
        </w:tc>
      </w:tr>
      <w:tr w:rsidR="00093F2A" w:rsidRPr="00093F2A" w14:paraId="3C757F14" w14:textId="77777777" w:rsidTr="001E5D09">
        <w:trPr>
          <w:trHeight w:val="144"/>
        </w:trPr>
        <w:tc>
          <w:tcPr>
            <w:tcW w:w="2968" w:type="dxa"/>
            <w:gridSpan w:val="3"/>
            <w:tcBorders>
              <w:top w:val="single" w:sz="4" w:space="0" w:color="auto"/>
              <w:left w:val="nil"/>
              <w:bottom w:val="nil"/>
              <w:right w:val="nil"/>
            </w:tcBorders>
            <w:noWrap/>
            <w:hideMark/>
          </w:tcPr>
          <w:p w14:paraId="328BE979"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PRIVATE EQUITY</w:t>
            </w:r>
          </w:p>
        </w:tc>
        <w:tc>
          <w:tcPr>
            <w:tcW w:w="360" w:type="dxa"/>
            <w:tcBorders>
              <w:top w:val="single" w:sz="4" w:space="0" w:color="auto"/>
              <w:left w:val="nil"/>
              <w:bottom w:val="nil"/>
              <w:right w:val="nil"/>
            </w:tcBorders>
            <w:noWrap/>
            <w:hideMark/>
          </w:tcPr>
          <w:p w14:paraId="3C889B8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1993" w:type="dxa"/>
            <w:gridSpan w:val="3"/>
            <w:tcBorders>
              <w:top w:val="single" w:sz="4" w:space="0" w:color="auto"/>
              <w:left w:val="nil"/>
              <w:bottom w:val="nil"/>
              <w:right w:val="nil"/>
            </w:tcBorders>
            <w:noWrap/>
            <w:hideMark/>
          </w:tcPr>
          <w:p w14:paraId="5FC44CD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0.058</w:t>
            </w:r>
          </w:p>
        </w:tc>
        <w:tc>
          <w:tcPr>
            <w:tcW w:w="257" w:type="dxa"/>
            <w:tcBorders>
              <w:top w:val="single" w:sz="4" w:space="0" w:color="auto"/>
              <w:left w:val="nil"/>
              <w:bottom w:val="nil"/>
              <w:right w:val="nil"/>
            </w:tcBorders>
            <w:noWrap/>
            <w:hideMark/>
          </w:tcPr>
          <w:p w14:paraId="08C474B4"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1590" w:type="dxa"/>
            <w:gridSpan w:val="2"/>
            <w:tcBorders>
              <w:top w:val="single" w:sz="4" w:space="0" w:color="auto"/>
              <w:left w:val="nil"/>
              <w:bottom w:val="nil"/>
              <w:right w:val="nil"/>
            </w:tcBorders>
            <w:noWrap/>
          </w:tcPr>
          <w:p w14:paraId="73BDD163"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tcBorders>
              <w:top w:val="single" w:sz="4" w:space="0" w:color="auto"/>
              <w:left w:val="nil"/>
              <w:bottom w:val="nil"/>
              <w:right w:val="nil"/>
            </w:tcBorders>
            <w:noWrap/>
          </w:tcPr>
          <w:p w14:paraId="5416C56A"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tcBorders>
              <w:top w:val="single" w:sz="4" w:space="0" w:color="auto"/>
              <w:left w:val="nil"/>
              <w:bottom w:val="nil"/>
              <w:right w:val="nil"/>
            </w:tcBorders>
            <w:noWrap/>
            <w:hideMark/>
          </w:tcPr>
          <w:p w14:paraId="08A0567E"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0.095</w:t>
            </w:r>
          </w:p>
        </w:tc>
        <w:tc>
          <w:tcPr>
            <w:tcW w:w="277" w:type="dxa"/>
            <w:tcBorders>
              <w:top w:val="single" w:sz="4" w:space="0" w:color="auto"/>
              <w:left w:val="nil"/>
              <w:bottom w:val="nil"/>
              <w:right w:val="nil"/>
            </w:tcBorders>
            <w:noWrap/>
            <w:hideMark/>
          </w:tcPr>
          <w:p w14:paraId="0A22D13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2783" w:type="dxa"/>
            <w:gridSpan w:val="3"/>
            <w:tcBorders>
              <w:top w:val="single" w:sz="4" w:space="0" w:color="auto"/>
              <w:left w:val="nil"/>
              <w:bottom w:val="nil"/>
              <w:right w:val="nil"/>
            </w:tcBorders>
            <w:noWrap/>
            <w:hideMark/>
          </w:tcPr>
          <w:p w14:paraId="74C17369"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0.084</w:t>
            </w:r>
          </w:p>
        </w:tc>
      </w:tr>
      <w:tr w:rsidR="00093F2A" w:rsidRPr="00093F2A" w14:paraId="126167E8" w14:textId="77777777" w:rsidTr="001E5D09">
        <w:trPr>
          <w:trHeight w:val="144"/>
        </w:trPr>
        <w:tc>
          <w:tcPr>
            <w:tcW w:w="2608" w:type="dxa"/>
            <w:gridSpan w:val="2"/>
            <w:noWrap/>
          </w:tcPr>
          <w:p w14:paraId="0298E688" w14:textId="77777777" w:rsidR="001E5D09" w:rsidRPr="00093F2A" w:rsidRDefault="001E5D09">
            <w:pPr>
              <w:spacing w:line="240" w:lineRule="auto"/>
              <w:contextualSpacing/>
              <w:rPr>
                <w:rFonts w:ascii="Gill Sans MT" w:eastAsia="Times New Roman" w:hAnsi="Gill Sans MT" w:cs="Calibri"/>
                <w:i/>
                <w:iCs/>
                <w:sz w:val="20"/>
                <w:szCs w:val="20"/>
              </w:rPr>
            </w:pPr>
          </w:p>
        </w:tc>
        <w:tc>
          <w:tcPr>
            <w:tcW w:w="360" w:type="dxa"/>
            <w:noWrap/>
          </w:tcPr>
          <w:p w14:paraId="3ED08EBA" w14:textId="77777777" w:rsidR="001E5D09" w:rsidRPr="00093F2A" w:rsidRDefault="001E5D09">
            <w:pPr>
              <w:spacing w:line="240" w:lineRule="auto"/>
              <w:contextualSpacing/>
              <w:rPr>
                <w:rFonts w:ascii="Gill Sans MT" w:eastAsia="Times New Roman" w:hAnsi="Gill Sans MT" w:cs="Calibri"/>
                <w:i/>
                <w:iCs/>
                <w:sz w:val="20"/>
                <w:szCs w:val="20"/>
              </w:rPr>
            </w:pPr>
          </w:p>
        </w:tc>
        <w:tc>
          <w:tcPr>
            <w:tcW w:w="360" w:type="dxa"/>
            <w:noWrap/>
          </w:tcPr>
          <w:p w14:paraId="62004C90" w14:textId="77777777" w:rsidR="001E5D09" w:rsidRPr="00093F2A" w:rsidRDefault="001E5D09">
            <w:pPr>
              <w:spacing w:line="240" w:lineRule="auto"/>
              <w:contextualSpacing/>
              <w:rPr>
                <w:rFonts w:ascii="Gill Sans MT" w:eastAsia="Times New Roman" w:hAnsi="Gill Sans MT" w:cs="Times New Roman"/>
                <w:sz w:val="20"/>
                <w:szCs w:val="20"/>
              </w:rPr>
            </w:pPr>
          </w:p>
        </w:tc>
        <w:tc>
          <w:tcPr>
            <w:tcW w:w="1993" w:type="dxa"/>
            <w:gridSpan w:val="3"/>
            <w:noWrap/>
            <w:hideMark/>
          </w:tcPr>
          <w:p w14:paraId="40861CB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(1.968**)</w:t>
            </w:r>
          </w:p>
        </w:tc>
        <w:tc>
          <w:tcPr>
            <w:tcW w:w="257" w:type="dxa"/>
            <w:noWrap/>
          </w:tcPr>
          <w:p w14:paraId="74092BC4" w14:textId="77777777" w:rsidR="001E5D09" w:rsidRPr="00093F2A" w:rsidRDefault="001E5D09">
            <w:pPr>
              <w:spacing w:line="240" w:lineRule="auto"/>
              <w:contextualSpacing/>
              <w:rPr>
                <w:rFonts w:ascii="Gill Sans MT" w:eastAsia="Times New Roman" w:hAnsi="Gill Sans MT" w:cs="Calibri"/>
                <w:sz w:val="20"/>
                <w:szCs w:val="20"/>
              </w:rPr>
            </w:pPr>
          </w:p>
        </w:tc>
        <w:tc>
          <w:tcPr>
            <w:tcW w:w="1590" w:type="dxa"/>
            <w:gridSpan w:val="2"/>
            <w:noWrap/>
          </w:tcPr>
          <w:p w14:paraId="1EE0E562"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34CC98B9"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280BCCE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(3.240***)</w:t>
            </w:r>
          </w:p>
        </w:tc>
        <w:tc>
          <w:tcPr>
            <w:tcW w:w="277" w:type="dxa"/>
            <w:noWrap/>
          </w:tcPr>
          <w:p w14:paraId="67C139CC" w14:textId="77777777" w:rsidR="001E5D09" w:rsidRPr="00093F2A" w:rsidRDefault="001E5D09">
            <w:pPr>
              <w:spacing w:line="240" w:lineRule="auto"/>
              <w:contextualSpacing/>
              <w:rPr>
                <w:rFonts w:ascii="Gill Sans MT" w:eastAsia="Times New Roman" w:hAnsi="Gill Sans MT" w:cs="Calibri"/>
                <w:sz w:val="20"/>
                <w:szCs w:val="20"/>
              </w:rPr>
            </w:pPr>
          </w:p>
        </w:tc>
        <w:tc>
          <w:tcPr>
            <w:tcW w:w="2783" w:type="dxa"/>
            <w:gridSpan w:val="3"/>
            <w:noWrap/>
            <w:hideMark/>
          </w:tcPr>
          <w:p w14:paraId="7AD32C8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(2.790***)</w:t>
            </w:r>
          </w:p>
        </w:tc>
      </w:tr>
      <w:tr w:rsidR="00093F2A" w:rsidRPr="00093F2A" w14:paraId="46B4C542" w14:textId="77777777" w:rsidTr="001E5D09">
        <w:trPr>
          <w:trHeight w:val="144"/>
        </w:trPr>
        <w:tc>
          <w:tcPr>
            <w:tcW w:w="2608" w:type="dxa"/>
            <w:gridSpan w:val="2"/>
            <w:noWrap/>
            <w:hideMark/>
          </w:tcPr>
          <w:p w14:paraId="3DDBEFCC"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RELSIZE</w:t>
            </w:r>
          </w:p>
        </w:tc>
        <w:tc>
          <w:tcPr>
            <w:tcW w:w="360" w:type="dxa"/>
            <w:noWrap/>
            <w:hideMark/>
          </w:tcPr>
          <w:p w14:paraId="398B27A5" w14:textId="77777777" w:rsidR="001E5D09" w:rsidRPr="00093F2A" w:rsidRDefault="001E5D09">
            <w:pPr>
              <w:rPr>
                <w:rFonts w:ascii="Gill Sans MT" w:eastAsia="Times New Roman" w:hAnsi="Gill Sans MT" w:cs="Calibri"/>
                <w:i/>
                <w:iCs/>
                <w:sz w:val="20"/>
                <w:szCs w:val="20"/>
              </w:rPr>
            </w:pPr>
          </w:p>
        </w:tc>
        <w:tc>
          <w:tcPr>
            <w:tcW w:w="360" w:type="dxa"/>
            <w:noWrap/>
            <w:hideMark/>
          </w:tcPr>
          <w:p w14:paraId="2A7CCA2C" w14:textId="77777777" w:rsidR="001E5D09" w:rsidRPr="00093F2A" w:rsidRDefault="001E5D09">
            <w:pPr>
              <w:spacing w:after="0"/>
              <w:rPr>
                <w:sz w:val="20"/>
                <w:szCs w:val="20"/>
              </w:rPr>
            </w:pPr>
          </w:p>
        </w:tc>
        <w:tc>
          <w:tcPr>
            <w:tcW w:w="1993" w:type="dxa"/>
            <w:gridSpan w:val="3"/>
            <w:noWrap/>
            <w:hideMark/>
          </w:tcPr>
          <w:p w14:paraId="1064BCA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-0.015</w:t>
            </w:r>
          </w:p>
        </w:tc>
        <w:tc>
          <w:tcPr>
            <w:tcW w:w="257" w:type="dxa"/>
            <w:noWrap/>
            <w:hideMark/>
          </w:tcPr>
          <w:p w14:paraId="03A6DF4A"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3D0D454"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6D6E6810"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3F9B2DF1"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0.036</w:t>
            </w:r>
          </w:p>
        </w:tc>
        <w:tc>
          <w:tcPr>
            <w:tcW w:w="277" w:type="dxa"/>
            <w:noWrap/>
            <w:hideMark/>
          </w:tcPr>
          <w:p w14:paraId="3F3E4168"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525FF7D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0.025</w:t>
            </w:r>
          </w:p>
        </w:tc>
      </w:tr>
      <w:tr w:rsidR="00093F2A" w:rsidRPr="00093F2A" w14:paraId="6B6575C1" w14:textId="77777777" w:rsidTr="001E5D09">
        <w:trPr>
          <w:trHeight w:val="144"/>
        </w:trPr>
        <w:tc>
          <w:tcPr>
            <w:tcW w:w="2608" w:type="dxa"/>
            <w:gridSpan w:val="2"/>
            <w:noWrap/>
          </w:tcPr>
          <w:p w14:paraId="20004501" w14:textId="77777777" w:rsidR="001E5D09" w:rsidRPr="00093F2A" w:rsidRDefault="001E5D09">
            <w:pPr>
              <w:spacing w:line="240" w:lineRule="auto"/>
              <w:contextualSpacing/>
              <w:rPr>
                <w:rFonts w:ascii="Gill Sans MT" w:eastAsia="Times New Roman" w:hAnsi="Gill Sans MT" w:cs="Calibri"/>
                <w:i/>
                <w:iCs/>
                <w:sz w:val="20"/>
                <w:szCs w:val="20"/>
              </w:rPr>
            </w:pPr>
          </w:p>
        </w:tc>
        <w:tc>
          <w:tcPr>
            <w:tcW w:w="360" w:type="dxa"/>
            <w:noWrap/>
          </w:tcPr>
          <w:p w14:paraId="4563EA8A" w14:textId="77777777" w:rsidR="001E5D09" w:rsidRPr="00093F2A" w:rsidRDefault="001E5D09">
            <w:pPr>
              <w:spacing w:line="240" w:lineRule="auto"/>
              <w:contextualSpacing/>
              <w:rPr>
                <w:rFonts w:ascii="Gill Sans MT" w:eastAsia="Times New Roman" w:hAnsi="Gill Sans MT" w:cs="Calibri"/>
                <w:i/>
                <w:iCs/>
                <w:sz w:val="20"/>
                <w:szCs w:val="20"/>
              </w:rPr>
            </w:pPr>
          </w:p>
        </w:tc>
        <w:tc>
          <w:tcPr>
            <w:tcW w:w="360" w:type="dxa"/>
            <w:noWrap/>
          </w:tcPr>
          <w:p w14:paraId="25298C4C" w14:textId="77777777" w:rsidR="001E5D09" w:rsidRPr="00093F2A" w:rsidRDefault="001E5D09">
            <w:pPr>
              <w:spacing w:line="240" w:lineRule="auto"/>
              <w:contextualSpacing/>
              <w:rPr>
                <w:rFonts w:ascii="Gill Sans MT" w:eastAsia="Times New Roman" w:hAnsi="Gill Sans MT" w:cs="Times New Roman"/>
                <w:sz w:val="20"/>
                <w:szCs w:val="20"/>
              </w:rPr>
            </w:pPr>
          </w:p>
        </w:tc>
        <w:tc>
          <w:tcPr>
            <w:tcW w:w="1993" w:type="dxa"/>
            <w:gridSpan w:val="3"/>
            <w:noWrap/>
            <w:hideMark/>
          </w:tcPr>
          <w:p w14:paraId="45F8031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(-0.354)</w:t>
            </w:r>
          </w:p>
        </w:tc>
        <w:tc>
          <w:tcPr>
            <w:tcW w:w="257" w:type="dxa"/>
            <w:noWrap/>
          </w:tcPr>
          <w:p w14:paraId="569C88FD" w14:textId="77777777" w:rsidR="001E5D09" w:rsidRPr="00093F2A" w:rsidRDefault="001E5D09">
            <w:pPr>
              <w:spacing w:line="240" w:lineRule="auto"/>
              <w:contextualSpacing/>
              <w:rPr>
                <w:rFonts w:ascii="Gill Sans MT" w:eastAsia="Times New Roman" w:hAnsi="Gill Sans MT" w:cs="Calibri"/>
                <w:sz w:val="20"/>
                <w:szCs w:val="20"/>
              </w:rPr>
            </w:pPr>
          </w:p>
        </w:tc>
        <w:tc>
          <w:tcPr>
            <w:tcW w:w="1590" w:type="dxa"/>
            <w:gridSpan w:val="2"/>
            <w:noWrap/>
          </w:tcPr>
          <w:p w14:paraId="4E402BC0"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0EDB366D"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0AC3A6A1"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(0.792)</w:t>
            </w:r>
          </w:p>
        </w:tc>
        <w:tc>
          <w:tcPr>
            <w:tcW w:w="277" w:type="dxa"/>
            <w:noWrap/>
          </w:tcPr>
          <w:p w14:paraId="0EDC165A" w14:textId="77777777" w:rsidR="001E5D09" w:rsidRPr="00093F2A" w:rsidRDefault="001E5D09">
            <w:pPr>
              <w:spacing w:line="240" w:lineRule="auto"/>
              <w:contextualSpacing/>
              <w:rPr>
                <w:rFonts w:ascii="Gill Sans MT" w:eastAsia="Times New Roman" w:hAnsi="Gill Sans MT" w:cs="Calibri"/>
                <w:sz w:val="20"/>
                <w:szCs w:val="20"/>
              </w:rPr>
            </w:pPr>
          </w:p>
        </w:tc>
        <w:tc>
          <w:tcPr>
            <w:tcW w:w="2783" w:type="dxa"/>
            <w:gridSpan w:val="3"/>
            <w:noWrap/>
            <w:hideMark/>
          </w:tcPr>
          <w:p w14:paraId="2C52467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(0.507)</w:t>
            </w:r>
          </w:p>
        </w:tc>
      </w:tr>
      <w:tr w:rsidR="00093F2A" w:rsidRPr="00093F2A" w14:paraId="2300106A" w14:textId="77777777" w:rsidTr="001E5D09">
        <w:trPr>
          <w:trHeight w:val="144"/>
        </w:trPr>
        <w:tc>
          <w:tcPr>
            <w:tcW w:w="2968" w:type="dxa"/>
            <w:gridSpan w:val="3"/>
            <w:noWrap/>
            <w:hideMark/>
          </w:tcPr>
          <w:p w14:paraId="2E634DFF"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RELATED TARGETS</w:t>
            </w:r>
          </w:p>
        </w:tc>
        <w:tc>
          <w:tcPr>
            <w:tcW w:w="360" w:type="dxa"/>
            <w:noWrap/>
            <w:hideMark/>
          </w:tcPr>
          <w:p w14:paraId="32B4043B"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3F13280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0.023</w:t>
            </w:r>
          </w:p>
        </w:tc>
        <w:tc>
          <w:tcPr>
            <w:tcW w:w="257" w:type="dxa"/>
            <w:noWrap/>
            <w:hideMark/>
          </w:tcPr>
          <w:p w14:paraId="5CF41B51" w14:textId="77777777" w:rsidR="001E5D09" w:rsidRPr="00093F2A" w:rsidRDefault="001E5D09">
            <w:pPr>
              <w:rPr>
                <w:rFonts w:ascii="Gill Sans MT" w:eastAsia="Times New Roman" w:hAnsi="Gill Sans MT" w:cs="Calibri"/>
                <w:sz w:val="20"/>
                <w:szCs w:val="20"/>
              </w:rPr>
            </w:pPr>
          </w:p>
        </w:tc>
        <w:tc>
          <w:tcPr>
            <w:tcW w:w="1590" w:type="dxa"/>
            <w:gridSpan w:val="2"/>
            <w:noWrap/>
          </w:tcPr>
          <w:p w14:paraId="1BC8CCCB"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01653D79"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23F4078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0.059</w:t>
            </w:r>
          </w:p>
        </w:tc>
        <w:tc>
          <w:tcPr>
            <w:tcW w:w="277" w:type="dxa"/>
            <w:noWrap/>
            <w:hideMark/>
          </w:tcPr>
          <w:p w14:paraId="63D08A59"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52585D4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0.039</w:t>
            </w:r>
          </w:p>
        </w:tc>
      </w:tr>
      <w:tr w:rsidR="00093F2A" w:rsidRPr="00093F2A" w14:paraId="6AA8B471" w14:textId="77777777" w:rsidTr="001E5D09">
        <w:trPr>
          <w:trHeight w:val="144"/>
        </w:trPr>
        <w:tc>
          <w:tcPr>
            <w:tcW w:w="2608" w:type="dxa"/>
            <w:gridSpan w:val="2"/>
            <w:noWrap/>
            <w:hideMark/>
          </w:tcPr>
          <w:p w14:paraId="54828A3F" w14:textId="77777777" w:rsidR="001E5D09" w:rsidRPr="00093F2A" w:rsidRDefault="001E5D09">
            <w:pPr>
              <w:rPr>
                <w:rFonts w:ascii="Gill Sans MT" w:eastAsia="Times New Roman" w:hAnsi="Gill Sans MT" w:cs="Calibri"/>
                <w:sz w:val="20"/>
                <w:szCs w:val="20"/>
              </w:rPr>
            </w:pPr>
          </w:p>
        </w:tc>
        <w:tc>
          <w:tcPr>
            <w:tcW w:w="360" w:type="dxa"/>
            <w:noWrap/>
            <w:hideMark/>
          </w:tcPr>
          <w:p w14:paraId="2EFE87A0" w14:textId="77777777" w:rsidR="001E5D09" w:rsidRPr="00093F2A" w:rsidRDefault="001E5D09">
            <w:pPr>
              <w:spacing w:after="0"/>
              <w:rPr>
                <w:sz w:val="20"/>
                <w:szCs w:val="20"/>
              </w:rPr>
            </w:pPr>
          </w:p>
        </w:tc>
        <w:tc>
          <w:tcPr>
            <w:tcW w:w="360" w:type="dxa"/>
            <w:noWrap/>
            <w:hideMark/>
          </w:tcPr>
          <w:p w14:paraId="75A5DED0" w14:textId="77777777" w:rsidR="001E5D09" w:rsidRPr="00093F2A" w:rsidRDefault="001E5D09">
            <w:pPr>
              <w:spacing w:after="0"/>
              <w:rPr>
                <w:sz w:val="20"/>
                <w:szCs w:val="20"/>
              </w:rPr>
            </w:pPr>
          </w:p>
        </w:tc>
        <w:tc>
          <w:tcPr>
            <w:tcW w:w="1993" w:type="dxa"/>
            <w:gridSpan w:val="3"/>
            <w:noWrap/>
            <w:hideMark/>
          </w:tcPr>
          <w:p w14:paraId="7761BBA8"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(0.658)</w:t>
            </w:r>
          </w:p>
        </w:tc>
        <w:tc>
          <w:tcPr>
            <w:tcW w:w="257" w:type="dxa"/>
            <w:noWrap/>
            <w:hideMark/>
          </w:tcPr>
          <w:p w14:paraId="7B692406" w14:textId="77777777" w:rsidR="001E5D09" w:rsidRPr="00093F2A" w:rsidRDefault="001E5D09">
            <w:pPr>
              <w:rPr>
                <w:rFonts w:ascii="Gill Sans MT" w:eastAsia="Times New Roman" w:hAnsi="Gill Sans MT" w:cs="Calibri"/>
                <w:sz w:val="20"/>
                <w:szCs w:val="20"/>
              </w:rPr>
            </w:pPr>
          </w:p>
        </w:tc>
        <w:tc>
          <w:tcPr>
            <w:tcW w:w="1590" w:type="dxa"/>
            <w:gridSpan w:val="2"/>
            <w:noWrap/>
          </w:tcPr>
          <w:p w14:paraId="0B97EE19"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5E95E88E"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3807879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(1.658*)</w:t>
            </w:r>
          </w:p>
        </w:tc>
        <w:tc>
          <w:tcPr>
            <w:tcW w:w="277" w:type="dxa"/>
            <w:noWrap/>
            <w:hideMark/>
          </w:tcPr>
          <w:p w14:paraId="13EAB827"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2EA77E6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(1.091)</w:t>
            </w:r>
          </w:p>
        </w:tc>
      </w:tr>
      <w:tr w:rsidR="00093F2A" w:rsidRPr="00093F2A" w14:paraId="3B8CCF77" w14:textId="77777777" w:rsidTr="001E5D09">
        <w:trPr>
          <w:trHeight w:val="144"/>
        </w:trPr>
        <w:tc>
          <w:tcPr>
            <w:tcW w:w="2968" w:type="dxa"/>
            <w:gridSpan w:val="3"/>
            <w:noWrap/>
            <w:hideMark/>
          </w:tcPr>
          <w:p w14:paraId="651F4564"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PUBLIC TARGETS</w:t>
            </w:r>
          </w:p>
        </w:tc>
        <w:tc>
          <w:tcPr>
            <w:tcW w:w="360" w:type="dxa"/>
            <w:noWrap/>
            <w:hideMark/>
          </w:tcPr>
          <w:p w14:paraId="7BB5EE35"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0D806224"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-0.013</w:t>
            </w:r>
          </w:p>
        </w:tc>
        <w:tc>
          <w:tcPr>
            <w:tcW w:w="257" w:type="dxa"/>
            <w:noWrap/>
            <w:hideMark/>
          </w:tcPr>
          <w:p w14:paraId="1141AE5C" w14:textId="77777777" w:rsidR="001E5D09" w:rsidRPr="00093F2A" w:rsidRDefault="001E5D09">
            <w:pPr>
              <w:rPr>
                <w:rFonts w:ascii="Gill Sans MT" w:eastAsia="Times New Roman" w:hAnsi="Gill Sans MT" w:cs="Calibri"/>
                <w:sz w:val="20"/>
                <w:szCs w:val="20"/>
              </w:rPr>
            </w:pPr>
          </w:p>
        </w:tc>
        <w:tc>
          <w:tcPr>
            <w:tcW w:w="1590" w:type="dxa"/>
            <w:gridSpan w:val="2"/>
            <w:noWrap/>
          </w:tcPr>
          <w:p w14:paraId="1FCACA81"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41C76A7D"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1A4D1D0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-0.014</w:t>
            </w:r>
          </w:p>
        </w:tc>
        <w:tc>
          <w:tcPr>
            <w:tcW w:w="277" w:type="dxa"/>
            <w:noWrap/>
            <w:hideMark/>
          </w:tcPr>
          <w:p w14:paraId="1B5F19F7"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2A73E7B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-0.003</w:t>
            </w:r>
          </w:p>
        </w:tc>
      </w:tr>
      <w:tr w:rsidR="00093F2A" w:rsidRPr="00093F2A" w14:paraId="72385200" w14:textId="77777777" w:rsidTr="001E5D09">
        <w:trPr>
          <w:trHeight w:val="144"/>
        </w:trPr>
        <w:tc>
          <w:tcPr>
            <w:tcW w:w="2608" w:type="dxa"/>
            <w:gridSpan w:val="2"/>
            <w:noWrap/>
            <w:hideMark/>
          </w:tcPr>
          <w:p w14:paraId="23FFD15D" w14:textId="77777777" w:rsidR="001E5D09" w:rsidRPr="00093F2A" w:rsidRDefault="001E5D09">
            <w:pPr>
              <w:rPr>
                <w:rFonts w:ascii="Gill Sans MT" w:eastAsia="Times New Roman" w:hAnsi="Gill Sans MT" w:cs="Calibri"/>
                <w:sz w:val="20"/>
                <w:szCs w:val="20"/>
              </w:rPr>
            </w:pPr>
          </w:p>
        </w:tc>
        <w:tc>
          <w:tcPr>
            <w:tcW w:w="360" w:type="dxa"/>
            <w:noWrap/>
            <w:hideMark/>
          </w:tcPr>
          <w:p w14:paraId="280F9B0D" w14:textId="77777777" w:rsidR="001E5D09" w:rsidRPr="00093F2A" w:rsidRDefault="001E5D09">
            <w:pPr>
              <w:spacing w:after="0"/>
              <w:rPr>
                <w:sz w:val="20"/>
                <w:szCs w:val="20"/>
              </w:rPr>
            </w:pPr>
          </w:p>
        </w:tc>
        <w:tc>
          <w:tcPr>
            <w:tcW w:w="360" w:type="dxa"/>
            <w:noWrap/>
            <w:hideMark/>
          </w:tcPr>
          <w:p w14:paraId="79BC1963" w14:textId="77777777" w:rsidR="001E5D09" w:rsidRPr="00093F2A" w:rsidRDefault="001E5D09">
            <w:pPr>
              <w:spacing w:after="0"/>
              <w:rPr>
                <w:sz w:val="20"/>
                <w:szCs w:val="20"/>
              </w:rPr>
            </w:pPr>
          </w:p>
        </w:tc>
        <w:tc>
          <w:tcPr>
            <w:tcW w:w="1993" w:type="dxa"/>
            <w:gridSpan w:val="3"/>
            <w:noWrap/>
            <w:hideMark/>
          </w:tcPr>
          <w:p w14:paraId="4026D8B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(-0.365)</w:t>
            </w:r>
          </w:p>
        </w:tc>
        <w:tc>
          <w:tcPr>
            <w:tcW w:w="257" w:type="dxa"/>
            <w:noWrap/>
            <w:hideMark/>
          </w:tcPr>
          <w:p w14:paraId="2D55822F" w14:textId="77777777" w:rsidR="001E5D09" w:rsidRPr="00093F2A" w:rsidRDefault="001E5D09">
            <w:pPr>
              <w:rPr>
                <w:rFonts w:ascii="Gill Sans MT" w:eastAsia="Times New Roman" w:hAnsi="Gill Sans MT" w:cs="Calibri"/>
                <w:sz w:val="20"/>
                <w:szCs w:val="20"/>
              </w:rPr>
            </w:pPr>
          </w:p>
        </w:tc>
        <w:tc>
          <w:tcPr>
            <w:tcW w:w="1590" w:type="dxa"/>
            <w:gridSpan w:val="2"/>
            <w:noWrap/>
          </w:tcPr>
          <w:p w14:paraId="44700F67"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1A0BC374"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5055F53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(-0.410)</w:t>
            </w:r>
          </w:p>
        </w:tc>
        <w:tc>
          <w:tcPr>
            <w:tcW w:w="277" w:type="dxa"/>
            <w:noWrap/>
            <w:hideMark/>
          </w:tcPr>
          <w:p w14:paraId="0CADCC34"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27F8C5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(-0.087)</w:t>
            </w:r>
          </w:p>
        </w:tc>
      </w:tr>
      <w:tr w:rsidR="00093F2A" w:rsidRPr="00093F2A" w14:paraId="6FB314A1" w14:textId="77777777" w:rsidTr="001E5D09">
        <w:trPr>
          <w:trHeight w:val="144"/>
        </w:trPr>
        <w:tc>
          <w:tcPr>
            <w:tcW w:w="2968" w:type="dxa"/>
            <w:gridSpan w:val="3"/>
            <w:noWrap/>
            <w:hideMark/>
          </w:tcPr>
          <w:p w14:paraId="75AECD20"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DOMESTIC TARGETS</w:t>
            </w:r>
          </w:p>
        </w:tc>
        <w:tc>
          <w:tcPr>
            <w:tcW w:w="360" w:type="dxa"/>
            <w:noWrap/>
            <w:hideMark/>
          </w:tcPr>
          <w:p w14:paraId="4E003099"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78552DA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0.046</w:t>
            </w:r>
          </w:p>
        </w:tc>
        <w:tc>
          <w:tcPr>
            <w:tcW w:w="257" w:type="dxa"/>
            <w:noWrap/>
            <w:hideMark/>
          </w:tcPr>
          <w:p w14:paraId="76C64CB7"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07A06E3"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5466F66D"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0D0883C6"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-0.031</w:t>
            </w:r>
          </w:p>
        </w:tc>
        <w:tc>
          <w:tcPr>
            <w:tcW w:w="277" w:type="dxa"/>
            <w:noWrap/>
            <w:hideMark/>
          </w:tcPr>
          <w:p w14:paraId="1AB4040C"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70BEDE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-0.066</w:t>
            </w:r>
          </w:p>
        </w:tc>
      </w:tr>
      <w:tr w:rsidR="00093F2A" w:rsidRPr="00093F2A" w14:paraId="69DEACBB" w14:textId="77777777" w:rsidTr="001E5D09">
        <w:trPr>
          <w:trHeight w:val="144"/>
        </w:trPr>
        <w:tc>
          <w:tcPr>
            <w:tcW w:w="2608" w:type="dxa"/>
            <w:gridSpan w:val="2"/>
            <w:noWrap/>
            <w:hideMark/>
          </w:tcPr>
          <w:p w14:paraId="442B5089" w14:textId="77777777" w:rsidR="001E5D09" w:rsidRPr="00093F2A" w:rsidRDefault="001E5D09">
            <w:pPr>
              <w:rPr>
                <w:rFonts w:ascii="Gill Sans MT" w:eastAsia="Times New Roman" w:hAnsi="Gill Sans MT" w:cs="Calibri"/>
                <w:sz w:val="20"/>
                <w:szCs w:val="20"/>
              </w:rPr>
            </w:pPr>
          </w:p>
        </w:tc>
        <w:tc>
          <w:tcPr>
            <w:tcW w:w="360" w:type="dxa"/>
            <w:noWrap/>
            <w:hideMark/>
          </w:tcPr>
          <w:p w14:paraId="4CBD6EE9" w14:textId="77777777" w:rsidR="001E5D09" w:rsidRPr="00093F2A" w:rsidRDefault="001E5D09">
            <w:pPr>
              <w:spacing w:after="0"/>
              <w:rPr>
                <w:sz w:val="20"/>
                <w:szCs w:val="20"/>
              </w:rPr>
            </w:pPr>
          </w:p>
        </w:tc>
        <w:tc>
          <w:tcPr>
            <w:tcW w:w="360" w:type="dxa"/>
            <w:noWrap/>
            <w:hideMark/>
          </w:tcPr>
          <w:p w14:paraId="1A54C401" w14:textId="77777777" w:rsidR="001E5D09" w:rsidRPr="00093F2A" w:rsidRDefault="001E5D09">
            <w:pPr>
              <w:spacing w:after="0"/>
              <w:rPr>
                <w:sz w:val="20"/>
                <w:szCs w:val="20"/>
              </w:rPr>
            </w:pPr>
          </w:p>
        </w:tc>
        <w:tc>
          <w:tcPr>
            <w:tcW w:w="1993" w:type="dxa"/>
            <w:gridSpan w:val="3"/>
            <w:noWrap/>
            <w:hideMark/>
          </w:tcPr>
          <w:p w14:paraId="40F0084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(1.019)</w:t>
            </w:r>
          </w:p>
        </w:tc>
        <w:tc>
          <w:tcPr>
            <w:tcW w:w="257" w:type="dxa"/>
            <w:noWrap/>
            <w:hideMark/>
          </w:tcPr>
          <w:p w14:paraId="537B0C59"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29589C6"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2DD349CC"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1DC2DAE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(-0.821)</w:t>
            </w:r>
          </w:p>
        </w:tc>
        <w:tc>
          <w:tcPr>
            <w:tcW w:w="277" w:type="dxa"/>
            <w:noWrap/>
            <w:hideMark/>
          </w:tcPr>
          <w:p w14:paraId="575551F8"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7F3686C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(-1.399)</w:t>
            </w:r>
          </w:p>
        </w:tc>
      </w:tr>
      <w:tr w:rsidR="00093F2A" w:rsidRPr="00093F2A" w14:paraId="7A4B4C7C" w14:textId="77777777" w:rsidTr="001E5D09">
        <w:trPr>
          <w:trHeight w:val="144"/>
        </w:trPr>
        <w:tc>
          <w:tcPr>
            <w:tcW w:w="2968" w:type="dxa"/>
            <w:gridSpan w:val="3"/>
            <w:noWrap/>
            <w:hideMark/>
          </w:tcPr>
          <w:p w14:paraId="1E9573C1"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CASH ONLY</w:t>
            </w:r>
          </w:p>
        </w:tc>
        <w:tc>
          <w:tcPr>
            <w:tcW w:w="360" w:type="dxa"/>
            <w:noWrap/>
            <w:hideMark/>
          </w:tcPr>
          <w:p w14:paraId="66866337"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4C992659"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-0.001</w:t>
            </w:r>
          </w:p>
        </w:tc>
        <w:tc>
          <w:tcPr>
            <w:tcW w:w="257" w:type="dxa"/>
            <w:noWrap/>
            <w:hideMark/>
          </w:tcPr>
          <w:p w14:paraId="2A60F75B" w14:textId="77777777" w:rsidR="001E5D09" w:rsidRPr="00093F2A" w:rsidRDefault="001E5D09">
            <w:pPr>
              <w:rPr>
                <w:rFonts w:ascii="Gill Sans MT" w:eastAsia="Times New Roman" w:hAnsi="Gill Sans MT" w:cs="Calibri"/>
                <w:sz w:val="20"/>
                <w:szCs w:val="20"/>
              </w:rPr>
            </w:pPr>
          </w:p>
        </w:tc>
        <w:tc>
          <w:tcPr>
            <w:tcW w:w="1590" w:type="dxa"/>
            <w:gridSpan w:val="2"/>
            <w:noWrap/>
          </w:tcPr>
          <w:p w14:paraId="64FE1B6C"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036EF560"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52C8100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-0.006</w:t>
            </w:r>
          </w:p>
        </w:tc>
        <w:tc>
          <w:tcPr>
            <w:tcW w:w="277" w:type="dxa"/>
            <w:noWrap/>
            <w:hideMark/>
          </w:tcPr>
          <w:p w14:paraId="601AF60A"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55DCB4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-0.012</w:t>
            </w:r>
          </w:p>
        </w:tc>
      </w:tr>
      <w:tr w:rsidR="00093F2A" w:rsidRPr="00093F2A" w14:paraId="47C8FB65" w14:textId="77777777" w:rsidTr="001E5D09">
        <w:trPr>
          <w:trHeight w:val="144"/>
        </w:trPr>
        <w:tc>
          <w:tcPr>
            <w:tcW w:w="2608" w:type="dxa"/>
            <w:gridSpan w:val="2"/>
            <w:noWrap/>
            <w:hideMark/>
          </w:tcPr>
          <w:p w14:paraId="35C22304" w14:textId="77777777" w:rsidR="001E5D09" w:rsidRPr="00093F2A" w:rsidRDefault="001E5D09">
            <w:pPr>
              <w:rPr>
                <w:rFonts w:ascii="Gill Sans MT" w:eastAsia="Times New Roman" w:hAnsi="Gill Sans MT" w:cs="Calibri"/>
                <w:sz w:val="20"/>
                <w:szCs w:val="20"/>
              </w:rPr>
            </w:pPr>
          </w:p>
        </w:tc>
        <w:tc>
          <w:tcPr>
            <w:tcW w:w="360" w:type="dxa"/>
            <w:noWrap/>
            <w:hideMark/>
          </w:tcPr>
          <w:p w14:paraId="73C60E91" w14:textId="77777777" w:rsidR="001E5D09" w:rsidRPr="00093F2A" w:rsidRDefault="001E5D09">
            <w:pPr>
              <w:spacing w:after="0"/>
              <w:rPr>
                <w:sz w:val="20"/>
                <w:szCs w:val="20"/>
              </w:rPr>
            </w:pPr>
          </w:p>
        </w:tc>
        <w:tc>
          <w:tcPr>
            <w:tcW w:w="360" w:type="dxa"/>
            <w:noWrap/>
            <w:hideMark/>
          </w:tcPr>
          <w:p w14:paraId="1029C0C6" w14:textId="77777777" w:rsidR="001E5D09" w:rsidRPr="00093F2A" w:rsidRDefault="001E5D09">
            <w:pPr>
              <w:spacing w:after="0"/>
              <w:rPr>
                <w:sz w:val="20"/>
                <w:szCs w:val="20"/>
              </w:rPr>
            </w:pPr>
          </w:p>
        </w:tc>
        <w:tc>
          <w:tcPr>
            <w:tcW w:w="1993" w:type="dxa"/>
            <w:gridSpan w:val="3"/>
            <w:noWrap/>
            <w:hideMark/>
          </w:tcPr>
          <w:p w14:paraId="2CD5153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(-0.024)</w:t>
            </w:r>
          </w:p>
        </w:tc>
        <w:tc>
          <w:tcPr>
            <w:tcW w:w="257" w:type="dxa"/>
            <w:noWrap/>
            <w:hideMark/>
          </w:tcPr>
          <w:p w14:paraId="059BBC0C" w14:textId="77777777" w:rsidR="001E5D09" w:rsidRPr="00093F2A" w:rsidRDefault="001E5D09">
            <w:pPr>
              <w:rPr>
                <w:rFonts w:ascii="Gill Sans MT" w:eastAsia="Times New Roman" w:hAnsi="Gill Sans MT" w:cs="Calibri"/>
                <w:sz w:val="20"/>
                <w:szCs w:val="20"/>
              </w:rPr>
            </w:pPr>
          </w:p>
        </w:tc>
        <w:tc>
          <w:tcPr>
            <w:tcW w:w="1590" w:type="dxa"/>
            <w:gridSpan w:val="2"/>
            <w:noWrap/>
          </w:tcPr>
          <w:p w14:paraId="4289BC66"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390D7D0E"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5583606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(-0.172)</w:t>
            </w:r>
          </w:p>
        </w:tc>
        <w:tc>
          <w:tcPr>
            <w:tcW w:w="277" w:type="dxa"/>
            <w:noWrap/>
            <w:hideMark/>
          </w:tcPr>
          <w:p w14:paraId="2C16DD03"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4298466"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(-0.326)</w:t>
            </w:r>
          </w:p>
        </w:tc>
      </w:tr>
      <w:tr w:rsidR="00093F2A" w:rsidRPr="00093F2A" w14:paraId="357ADE67" w14:textId="77777777" w:rsidTr="001E5D09">
        <w:trPr>
          <w:trHeight w:val="144"/>
        </w:trPr>
        <w:tc>
          <w:tcPr>
            <w:tcW w:w="2968" w:type="dxa"/>
            <w:gridSpan w:val="3"/>
            <w:noWrap/>
            <w:hideMark/>
          </w:tcPr>
          <w:p w14:paraId="04613054"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STOCK ONLY</w:t>
            </w:r>
          </w:p>
        </w:tc>
        <w:tc>
          <w:tcPr>
            <w:tcW w:w="360" w:type="dxa"/>
            <w:noWrap/>
            <w:hideMark/>
          </w:tcPr>
          <w:p w14:paraId="1F87C9CE"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37559BA9"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0.030</w:t>
            </w:r>
          </w:p>
        </w:tc>
        <w:tc>
          <w:tcPr>
            <w:tcW w:w="257" w:type="dxa"/>
            <w:noWrap/>
            <w:hideMark/>
          </w:tcPr>
          <w:p w14:paraId="6A41623B" w14:textId="77777777" w:rsidR="001E5D09" w:rsidRPr="00093F2A" w:rsidRDefault="001E5D09">
            <w:pPr>
              <w:rPr>
                <w:rFonts w:ascii="Gill Sans MT" w:eastAsia="Times New Roman" w:hAnsi="Gill Sans MT" w:cs="Calibri"/>
                <w:sz w:val="20"/>
                <w:szCs w:val="20"/>
              </w:rPr>
            </w:pPr>
          </w:p>
        </w:tc>
        <w:tc>
          <w:tcPr>
            <w:tcW w:w="1590" w:type="dxa"/>
            <w:gridSpan w:val="2"/>
            <w:noWrap/>
          </w:tcPr>
          <w:p w14:paraId="69626858"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7F49DBEB"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4F86D269"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0.010</w:t>
            </w:r>
          </w:p>
        </w:tc>
        <w:tc>
          <w:tcPr>
            <w:tcW w:w="277" w:type="dxa"/>
            <w:noWrap/>
            <w:hideMark/>
          </w:tcPr>
          <w:p w14:paraId="0242F2B8"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5D6637E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0.036</w:t>
            </w:r>
          </w:p>
        </w:tc>
      </w:tr>
      <w:tr w:rsidR="00093F2A" w:rsidRPr="00093F2A" w14:paraId="4F822915" w14:textId="77777777" w:rsidTr="001E5D09">
        <w:trPr>
          <w:trHeight w:val="144"/>
        </w:trPr>
        <w:tc>
          <w:tcPr>
            <w:tcW w:w="2608" w:type="dxa"/>
            <w:gridSpan w:val="2"/>
            <w:noWrap/>
            <w:hideMark/>
          </w:tcPr>
          <w:p w14:paraId="45B2E537" w14:textId="77777777" w:rsidR="001E5D09" w:rsidRPr="00093F2A" w:rsidRDefault="001E5D09">
            <w:pPr>
              <w:rPr>
                <w:rFonts w:ascii="Gill Sans MT" w:eastAsia="Times New Roman" w:hAnsi="Gill Sans MT" w:cs="Calibri"/>
                <w:sz w:val="20"/>
                <w:szCs w:val="20"/>
              </w:rPr>
            </w:pPr>
          </w:p>
        </w:tc>
        <w:tc>
          <w:tcPr>
            <w:tcW w:w="360" w:type="dxa"/>
            <w:noWrap/>
            <w:hideMark/>
          </w:tcPr>
          <w:p w14:paraId="7B1059FA" w14:textId="77777777" w:rsidR="001E5D09" w:rsidRPr="00093F2A" w:rsidRDefault="001E5D09">
            <w:pPr>
              <w:spacing w:after="0"/>
              <w:rPr>
                <w:sz w:val="20"/>
                <w:szCs w:val="20"/>
              </w:rPr>
            </w:pPr>
          </w:p>
        </w:tc>
        <w:tc>
          <w:tcPr>
            <w:tcW w:w="360" w:type="dxa"/>
            <w:noWrap/>
            <w:hideMark/>
          </w:tcPr>
          <w:p w14:paraId="3D58B459" w14:textId="77777777" w:rsidR="001E5D09" w:rsidRPr="00093F2A" w:rsidRDefault="001E5D09">
            <w:pPr>
              <w:spacing w:after="0"/>
              <w:rPr>
                <w:sz w:val="20"/>
                <w:szCs w:val="20"/>
              </w:rPr>
            </w:pPr>
          </w:p>
        </w:tc>
        <w:tc>
          <w:tcPr>
            <w:tcW w:w="1993" w:type="dxa"/>
            <w:gridSpan w:val="3"/>
            <w:noWrap/>
            <w:hideMark/>
          </w:tcPr>
          <w:p w14:paraId="0F0B7CC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(0.956)</w:t>
            </w:r>
          </w:p>
        </w:tc>
        <w:tc>
          <w:tcPr>
            <w:tcW w:w="257" w:type="dxa"/>
            <w:noWrap/>
            <w:hideMark/>
          </w:tcPr>
          <w:p w14:paraId="46BF5601"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5535189"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586BC132"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38DF7F7E"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(0.386)</w:t>
            </w:r>
          </w:p>
        </w:tc>
        <w:tc>
          <w:tcPr>
            <w:tcW w:w="277" w:type="dxa"/>
            <w:noWrap/>
            <w:hideMark/>
          </w:tcPr>
          <w:p w14:paraId="712AE6ED"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15EA105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(1.288)</w:t>
            </w:r>
          </w:p>
        </w:tc>
      </w:tr>
      <w:tr w:rsidR="00093F2A" w:rsidRPr="00093F2A" w14:paraId="7EEC768B" w14:textId="77777777" w:rsidTr="001E5D09">
        <w:trPr>
          <w:trHeight w:val="144"/>
        </w:trPr>
        <w:tc>
          <w:tcPr>
            <w:tcW w:w="2968" w:type="dxa"/>
            <w:gridSpan w:val="3"/>
            <w:noWrap/>
            <w:hideMark/>
          </w:tcPr>
          <w:p w14:paraId="4F6EE30B"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LN(ACQ.ASSET)</w:t>
            </w:r>
          </w:p>
        </w:tc>
        <w:tc>
          <w:tcPr>
            <w:tcW w:w="360" w:type="dxa"/>
            <w:noWrap/>
            <w:hideMark/>
          </w:tcPr>
          <w:p w14:paraId="6C0903B8"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30E0AB2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-0.071</w:t>
            </w:r>
          </w:p>
        </w:tc>
        <w:tc>
          <w:tcPr>
            <w:tcW w:w="257" w:type="dxa"/>
            <w:noWrap/>
            <w:hideMark/>
          </w:tcPr>
          <w:p w14:paraId="36137E3E" w14:textId="77777777" w:rsidR="001E5D09" w:rsidRPr="00093F2A" w:rsidRDefault="001E5D09">
            <w:pPr>
              <w:rPr>
                <w:rFonts w:ascii="Gill Sans MT" w:eastAsia="Times New Roman" w:hAnsi="Gill Sans MT" w:cs="Calibri"/>
                <w:sz w:val="20"/>
                <w:szCs w:val="20"/>
              </w:rPr>
            </w:pPr>
          </w:p>
        </w:tc>
        <w:tc>
          <w:tcPr>
            <w:tcW w:w="1590" w:type="dxa"/>
            <w:gridSpan w:val="2"/>
            <w:noWrap/>
          </w:tcPr>
          <w:p w14:paraId="24DEE066"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155374A9"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3DAF357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-0.053</w:t>
            </w:r>
          </w:p>
        </w:tc>
        <w:tc>
          <w:tcPr>
            <w:tcW w:w="277" w:type="dxa"/>
            <w:noWrap/>
            <w:hideMark/>
          </w:tcPr>
          <w:p w14:paraId="05A1CC74"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2B2D2B8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-0.024</w:t>
            </w:r>
          </w:p>
        </w:tc>
      </w:tr>
      <w:tr w:rsidR="00093F2A" w:rsidRPr="00093F2A" w14:paraId="2A5C375B" w14:textId="77777777" w:rsidTr="001E5D09">
        <w:trPr>
          <w:trHeight w:val="144"/>
        </w:trPr>
        <w:tc>
          <w:tcPr>
            <w:tcW w:w="2608" w:type="dxa"/>
            <w:gridSpan w:val="2"/>
            <w:noWrap/>
            <w:hideMark/>
          </w:tcPr>
          <w:p w14:paraId="508CA6C9" w14:textId="77777777" w:rsidR="001E5D09" w:rsidRPr="00093F2A" w:rsidRDefault="001E5D09">
            <w:pPr>
              <w:rPr>
                <w:rFonts w:ascii="Gill Sans MT" w:eastAsia="Times New Roman" w:hAnsi="Gill Sans MT" w:cs="Calibri"/>
                <w:sz w:val="20"/>
                <w:szCs w:val="20"/>
              </w:rPr>
            </w:pPr>
          </w:p>
        </w:tc>
        <w:tc>
          <w:tcPr>
            <w:tcW w:w="360" w:type="dxa"/>
            <w:noWrap/>
            <w:hideMark/>
          </w:tcPr>
          <w:p w14:paraId="3EE74343" w14:textId="77777777" w:rsidR="001E5D09" w:rsidRPr="00093F2A" w:rsidRDefault="001E5D09">
            <w:pPr>
              <w:spacing w:after="0"/>
              <w:rPr>
                <w:sz w:val="20"/>
                <w:szCs w:val="20"/>
              </w:rPr>
            </w:pPr>
          </w:p>
        </w:tc>
        <w:tc>
          <w:tcPr>
            <w:tcW w:w="360" w:type="dxa"/>
            <w:noWrap/>
            <w:hideMark/>
          </w:tcPr>
          <w:p w14:paraId="490C3DCD" w14:textId="77777777" w:rsidR="001E5D09" w:rsidRPr="00093F2A" w:rsidRDefault="001E5D09">
            <w:pPr>
              <w:spacing w:after="0"/>
              <w:rPr>
                <w:sz w:val="20"/>
                <w:szCs w:val="20"/>
              </w:rPr>
            </w:pPr>
          </w:p>
        </w:tc>
        <w:tc>
          <w:tcPr>
            <w:tcW w:w="1993" w:type="dxa"/>
            <w:gridSpan w:val="3"/>
            <w:noWrap/>
            <w:hideMark/>
          </w:tcPr>
          <w:p w14:paraId="75ABC0DA"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(-1.455)</w:t>
            </w:r>
          </w:p>
        </w:tc>
        <w:tc>
          <w:tcPr>
            <w:tcW w:w="257" w:type="dxa"/>
            <w:noWrap/>
            <w:hideMark/>
          </w:tcPr>
          <w:p w14:paraId="5912742A"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3FF4A99"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63DD932A"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4663AC51"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(-1.124)</w:t>
            </w:r>
          </w:p>
        </w:tc>
        <w:tc>
          <w:tcPr>
            <w:tcW w:w="277" w:type="dxa"/>
            <w:noWrap/>
            <w:hideMark/>
          </w:tcPr>
          <w:p w14:paraId="78D67524"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5658DE7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(-0.479)</w:t>
            </w:r>
          </w:p>
        </w:tc>
      </w:tr>
      <w:tr w:rsidR="00093F2A" w:rsidRPr="00093F2A" w14:paraId="7A8ACAD3" w14:textId="77777777" w:rsidTr="001E5D09">
        <w:trPr>
          <w:trHeight w:val="144"/>
        </w:trPr>
        <w:tc>
          <w:tcPr>
            <w:tcW w:w="2968" w:type="dxa"/>
            <w:gridSpan w:val="3"/>
            <w:noWrap/>
            <w:hideMark/>
          </w:tcPr>
          <w:p w14:paraId="2EC45EA6"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ACQ.LIQUIDITY</w:t>
            </w:r>
          </w:p>
        </w:tc>
        <w:tc>
          <w:tcPr>
            <w:tcW w:w="360" w:type="dxa"/>
            <w:noWrap/>
            <w:hideMark/>
          </w:tcPr>
          <w:p w14:paraId="3E6FCFCF"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6284194E"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0.435</w:t>
            </w:r>
          </w:p>
        </w:tc>
        <w:tc>
          <w:tcPr>
            <w:tcW w:w="257" w:type="dxa"/>
            <w:noWrap/>
            <w:hideMark/>
          </w:tcPr>
          <w:p w14:paraId="00CBAEC4" w14:textId="77777777" w:rsidR="001E5D09" w:rsidRPr="00093F2A" w:rsidRDefault="001E5D09">
            <w:pPr>
              <w:rPr>
                <w:rFonts w:ascii="Gill Sans MT" w:eastAsia="Times New Roman" w:hAnsi="Gill Sans MT" w:cs="Calibri"/>
                <w:sz w:val="20"/>
                <w:szCs w:val="20"/>
              </w:rPr>
            </w:pPr>
          </w:p>
        </w:tc>
        <w:tc>
          <w:tcPr>
            <w:tcW w:w="1590" w:type="dxa"/>
            <w:gridSpan w:val="2"/>
            <w:noWrap/>
          </w:tcPr>
          <w:p w14:paraId="20FC381F"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0701C978"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6A9AB52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0.087</w:t>
            </w:r>
          </w:p>
        </w:tc>
        <w:tc>
          <w:tcPr>
            <w:tcW w:w="277" w:type="dxa"/>
            <w:noWrap/>
            <w:hideMark/>
          </w:tcPr>
          <w:p w14:paraId="4C249656"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32A83876"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0.082</w:t>
            </w:r>
          </w:p>
        </w:tc>
      </w:tr>
      <w:tr w:rsidR="00093F2A" w:rsidRPr="00093F2A" w14:paraId="246073A8" w14:textId="77777777" w:rsidTr="001E5D09">
        <w:trPr>
          <w:trHeight w:val="144"/>
        </w:trPr>
        <w:tc>
          <w:tcPr>
            <w:tcW w:w="2608" w:type="dxa"/>
            <w:gridSpan w:val="2"/>
            <w:noWrap/>
            <w:hideMark/>
          </w:tcPr>
          <w:p w14:paraId="3993F731" w14:textId="77777777" w:rsidR="001E5D09" w:rsidRPr="00093F2A" w:rsidRDefault="001E5D09">
            <w:pPr>
              <w:rPr>
                <w:rFonts w:ascii="Gill Sans MT" w:eastAsia="Times New Roman" w:hAnsi="Gill Sans MT" w:cs="Calibri"/>
                <w:sz w:val="20"/>
                <w:szCs w:val="20"/>
              </w:rPr>
            </w:pPr>
          </w:p>
        </w:tc>
        <w:tc>
          <w:tcPr>
            <w:tcW w:w="360" w:type="dxa"/>
            <w:noWrap/>
            <w:hideMark/>
          </w:tcPr>
          <w:p w14:paraId="7C7ED40F" w14:textId="77777777" w:rsidR="001E5D09" w:rsidRPr="00093F2A" w:rsidRDefault="001E5D09">
            <w:pPr>
              <w:spacing w:after="0"/>
              <w:rPr>
                <w:sz w:val="20"/>
                <w:szCs w:val="20"/>
              </w:rPr>
            </w:pPr>
          </w:p>
        </w:tc>
        <w:tc>
          <w:tcPr>
            <w:tcW w:w="360" w:type="dxa"/>
            <w:noWrap/>
            <w:hideMark/>
          </w:tcPr>
          <w:p w14:paraId="289A4BAC" w14:textId="77777777" w:rsidR="001E5D09" w:rsidRPr="00093F2A" w:rsidRDefault="001E5D09">
            <w:pPr>
              <w:spacing w:after="0"/>
              <w:rPr>
                <w:sz w:val="20"/>
                <w:szCs w:val="20"/>
              </w:rPr>
            </w:pPr>
          </w:p>
        </w:tc>
        <w:tc>
          <w:tcPr>
            <w:tcW w:w="2250" w:type="dxa"/>
            <w:gridSpan w:val="4"/>
            <w:noWrap/>
            <w:hideMark/>
          </w:tcPr>
          <w:p w14:paraId="4255C1A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(7.030***)</w:t>
            </w:r>
          </w:p>
        </w:tc>
        <w:tc>
          <w:tcPr>
            <w:tcW w:w="1982" w:type="dxa"/>
            <w:gridSpan w:val="3"/>
            <w:noWrap/>
          </w:tcPr>
          <w:p w14:paraId="6EF2F809"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7A225F56"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(1.284)</w:t>
            </w:r>
          </w:p>
        </w:tc>
        <w:tc>
          <w:tcPr>
            <w:tcW w:w="277" w:type="dxa"/>
            <w:noWrap/>
            <w:hideMark/>
          </w:tcPr>
          <w:p w14:paraId="13B06001"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705FC048"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(1.527)</w:t>
            </w:r>
          </w:p>
        </w:tc>
      </w:tr>
      <w:tr w:rsidR="00093F2A" w:rsidRPr="00093F2A" w14:paraId="770BDD13" w14:textId="77777777" w:rsidTr="001E5D09">
        <w:trPr>
          <w:trHeight w:val="144"/>
        </w:trPr>
        <w:tc>
          <w:tcPr>
            <w:tcW w:w="2968" w:type="dxa"/>
            <w:gridSpan w:val="3"/>
            <w:noWrap/>
            <w:hideMark/>
          </w:tcPr>
          <w:p w14:paraId="2341C448" w14:textId="77777777" w:rsidR="001E5D09" w:rsidRPr="00093F2A" w:rsidRDefault="001E5D09">
            <w:pPr>
              <w:spacing w:line="240" w:lineRule="auto"/>
              <w:contextualSpacing/>
              <w:rPr>
                <w:rFonts w:ascii="Gill Sans MT" w:eastAsia="Times New Roman" w:hAnsi="Gill Sans MT" w:cs="Calibri"/>
                <w:i/>
                <w:iCs/>
                <w:sz w:val="20"/>
                <w:szCs w:val="20"/>
              </w:rPr>
            </w:pPr>
            <w:r w:rsidRPr="00093F2A">
              <w:rPr>
                <w:rFonts w:ascii="Gill Sans MT" w:eastAsia="Times New Roman" w:hAnsi="Gill Sans MT" w:cs="Calibri"/>
                <w:i/>
                <w:iCs/>
                <w:sz w:val="20"/>
                <w:szCs w:val="20"/>
              </w:rPr>
              <w:t>ACQ. EQUITY/ASSET</w:t>
            </w:r>
          </w:p>
        </w:tc>
        <w:tc>
          <w:tcPr>
            <w:tcW w:w="360" w:type="dxa"/>
            <w:noWrap/>
            <w:hideMark/>
          </w:tcPr>
          <w:p w14:paraId="2D13C63D" w14:textId="77777777" w:rsidR="001E5D09" w:rsidRPr="00093F2A" w:rsidRDefault="001E5D09">
            <w:pPr>
              <w:rPr>
                <w:rFonts w:ascii="Gill Sans MT" w:eastAsia="Times New Roman" w:hAnsi="Gill Sans MT" w:cs="Calibri"/>
                <w:i/>
                <w:iCs/>
                <w:sz w:val="20"/>
                <w:szCs w:val="20"/>
              </w:rPr>
            </w:pPr>
          </w:p>
        </w:tc>
        <w:tc>
          <w:tcPr>
            <w:tcW w:w="1993" w:type="dxa"/>
            <w:gridSpan w:val="3"/>
            <w:noWrap/>
            <w:hideMark/>
          </w:tcPr>
          <w:p w14:paraId="6AA8E1F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0.170</w:t>
            </w:r>
          </w:p>
        </w:tc>
        <w:tc>
          <w:tcPr>
            <w:tcW w:w="257" w:type="dxa"/>
            <w:noWrap/>
            <w:hideMark/>
          </w:tcPr>
          <w:p w14:paraId="6BF15F00" w14:textId="77777777" w:rsidR="001E5D09" w:rsidRPr="00093F2A" w:rsidRDefault="001E5D09">
            <w:pPr>
              <w:rPr>
                <w:rFonts w:ascii="Gill Sans MT" w:eastAsia="Times New Roman" w:hAnsi="Gill Sans MT" w:cs="Calibri"/>
                <w:sz w:val="20"/>
                <w:szCs w:val="20"/>
              </w:rPr>
            </w:pPr>
          </w:p>
        </w:tc>
        <w:tc>
          <w:tcPr>
            <w:tcW w:w="1590" w:type="dxa"/>
            <w:gridSpan w:val="2"/>
            <w:noWrap/>
          </w:tcPr>
          <w:p w14:paraId="25D66B87"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2DE7DC81"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33031F2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-0.079</w:t>
            </w:r>
          </w:p>
        </w:tc>
        <w:tc>
          <w:tcPr>
            <w:tcW w:w="277" w:type="dxa"/>
            <w:noWrap/>
            <w:hideMark/>
          </w:tcPr>
          <w:p w14:paraId="19CDD56F"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881CFC1"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-0.023</w:t>
            </w:r>
          </w:p>
        </w:tc>
      </w:tr>
      <w:tr w:rsidR="00093F2A" w:rsidRPr="00093F2A" w14:paraId="07005F66" w14:textId="77777777" w:rsidTr="001E5D09">
        <w:trPr>
          <w:trHeight w:val="144"/>
        </w:trPr>
        <w:tc>
          <w:tcPr>
            <w:tcW w:w="2608" w:type="dxa"/>
            <w:gridSpan w:val="2"/>
            <w:noWrap/>
            <w:hideMark/>
          </w:tcPr>
          <w:p w14:paraId="1D2D2A6D" w14:textId="77777777" w:rsidR="001E5D09" w:rsidRPr="00093F2A" w:rsidRDefault="001E5D09">
            <w:pPr>
              <w:rPr>
                <w:rFonts w:ascii="Gill Sans MT" w:eastAsia="Times New Roman" w:hAnsi="Gill Sans MT" w:cs="Calibri"/>
                <w:sz w:val="20"/>
                <w:szCs w:val="20"/>
              </w:rPr>
            </w:pPr>
          </w:p>
        </w:tc>
        <w:tc>
          <w:tcPr>
            <w:tcW w:w="360" w:type="dxa"/>
            <w:noWrap/>
            <w:hideMark/>
          </w:tcPr>
          <w:p w14:paraId="68C14946" w14:textId="77777777" w:rsidR="001E5D09" w:rsidRPr="00093F2A" w:rsidRDefault="001E5D09">
            <w:pPr>
              <w:spacing w:after="0"/>
              <w:rPr>
                <w:sz w:val="20"/>
                <w:szCs w:val="20"/>
              </w:rPr>
            </w:pPr>
          </w:p>
        </w:tc>
        <w:tc>
          <w:tcPr>
            <w:tcW w:w="360" w:type="dxa"/>
            <w:noWrap/>
            <w:hideMark/>
          </w:tcPr>
          <w:p w14:paraId="5A24ECAD" w14:textId="77777777" w:rsidR="001E5D09" w:rsidRPr="00093F2A" w:rsidRDefault="001E5D09">
            <w:pPr>
              <w:spacing w:after="0"/>
              <w:rPr>
                <w:sz w:val="20"/>
                <w:szCs w:val="20"/>
              </w:rPr>
            </w:pPr>
          </w:p>
        </w:tc>
        <w:tc>
          <w:tcPr>
            <w:tcW w:w="1993" w:type="dxa"/>
            <w:gridSpan w:val="3"/>
            <w:noWrap/>
            <w:hideMark/>
          </w:tcPr>
          <w:p w14:paraId="5598986A"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(2.377**)</w:t>
            </w:r>
          </w:p>
        </w:tc>
        <w:tc>
          <w:tcPr>
            <w:tcW w:w="257" w:type="dxa"/>
            <w:noWrap/>
            <w:hideMark/>
          </w:tcPr>
          <w:p w14:paraId="5A1C061B" w14:textId="77777777" w:rsidR="001E5D09" w:rsidRPr="00093F2A" w:rsidRDefault="001E5D09">
            <w:pPr>
              <w:rPr>
                <w:rFonts w:ascii="Gill Sans MT" w:eastAsia="Times New Roman" w:hAnsi="Gill Sans MT" w:cs="Calibri"/>
                <w:sz w:val="20"/>
                <w:szCs w:val="20"/>
              </w:rPr>
            </w:pPr>
          </w:p>
        </w:tc>
        <w:tc>
          <w:tcPr>
            <w:tcW w:w="1982" w:type="dxa"/>
            <w:gridSpan w:val="3"/>
            <w:noWrap/>
          </w:tcPr>
          <w:p w14:paraId="00230D5C"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5BC423D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(-1.045)</w:t>
            </w:r>
          </w:p>
        </w:tc>
        <w:tc>
          <w:tcPr>
            <w:tcW w:w="277" w:type="dxa"/>
            <w:noWrap/>
            <w:hideMark/>
          </w:tcPr>
          <w:p w14:paraId="0E9FC966"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22FE0B3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(-0.423)</w:t>
            </w:r>
          </w:p>
        </w:tc>
      </w:tr>
      <w:tr w:rsidR="00093F2A" w:rsidRPr="00093F2A" w14:paraId="3A8994BA" w14:textId="77777777" w:rsidTr="001E5D09">
        <w:trPr>
          <w:trHeight w:val="144"/>
        </w:trPr>
        <w:tc>
          <w:tcPr>
            <w:tcW w:w="2608" w:type="dxa"/>
            <w:gridSpan w:val="2"/>
            <w:noWrap/>
            <w:hideMark/>
          </w:tcPr>
          <w:p w14:paraId="3458848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xml:space="preserve">Constant </w:t>
            </w:r>
          </w:p>
        </w:tc>
        <w:tc>
          <w:tcPr>
            <w:tcW w:w="360" w:type="dxa"/>
            <w:noWrap/>
            <w:hideMark/>
          </w:tcPr>
          <w:p w14:paraId="42E1ED6A" w14:textId="77777777" w:rsidR="001E5D09" w:rsidRPr="00093F2A" w:rsidRDefault="001E5D09">
            <w:pPr>
              <w:rPr>
                <w:rFonts w:ascii="Gill Sans MT" w:eastAsia="Times New Roman" w:hAnsi="Gill Sans MT" w:cs="Calibri"/>
                <w:sz w:val="20"/>
                <w:szCs w:val="20"/>
              </w:rPr>
            </w:pPr>
          </w:p>
        </w:tc>
        <w:tc>
          <w:tcPr>
            <w:tcW w:w="360" w:type="dxa"/>
            <w:noWrap/>
            <w:hideMark/>
          </w:tcPr>
          <w:p w14:paraId="705DCD54" w14:textId="77777777" w:rsidR="001E5D09" w:rsidRPr="00093F2A" w:rsidRDefault="001E5D09">
            <w:pPr>
              <w:spacing w:after="0"/>
              <w:rPr>
                <w:sz w:val="20"/>
                <w:szCs w:val="20"/>
              </w:rPr>
            </w:pPr>
          </w:p>
        </w:tc>
        <w:tc>
          <w:tcPr>
            <w:tcW w:w="2250" w:type="dxa"/>
            <w:gridSpan w:val="4"/>
            <w:noWrap/>
            <w:hideMark/>
          </w:tcPr>
          <w:p w14:paraId="599AF6D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-4.010***</w:t>
            </w:r>
          </w:p>
        </w:tc>
        <w:tc>
          <w:tcPr>
            <w:tcW w:w="1982" w:type="dxa"/>
            <w:gridSpan w:val="3"/>
            <w:noWrap/>
          </w:tcPr>
          <w:p w14:paraId="28FC8287"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7A28488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-0.758</w:t>
            </w:r>
          </w:p>
        </w:tc>
        <w:tc>
          <w:tcPr>
            <w:tcW w:w="277" w:type="dxa"/>
            <w:noWrap/>
            <w:hideMark/>
          </w:tcPr>
          <w:p w14:paraId="7672B0C3"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28F42DB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-0.477</w:t>
            </w:r>
          </w:p>
        </w:tc>
      </w:tr>
      <w:tr w:rsidR="00093F2A" w:rsidRPr="00093F2A" w14:paraId="5A5D7204" w14:textId="77777777" w:rsidTr="001E5D09">
        <w:trPr>
          <w:trHeight w:val="144"/>
        </w:trPr>
        <w:tc>
          <w:tcPr>
            <w:tcW w:w="2608" w:type="dxa"/>
            <w:gridSpan w:val="2"/>
            <w:noWrap/>
            <w:hideMark/>
          </w:tcPr>
          <w:p w14:paraId="4B1B6A9A" w14:textId="77777777" w:rsidR="001E5D09" w:rsidRPr="00093F2A" w:rsidRDefault="001E5D09">
            <w:pPr>
              <w:rPr>
                <w:rFonts w:ascii="Gill Sans MT" w:eastAsia="Times New Roman" w:hAnsi="Gill Sans MT" w:cs="Calibri"/>
                <w:sz w:val="20"/>
                <w:szCs w:val="20"/>
              </w:rPr>
            </w:pPr>
          </w:p>
        </w:tc>
        <w:tc>
          <w:tcPr>
            <w:tcW w:w="360" w:type="dxa"/>
            <w:noWrap/>
            <w:hideMark/>
          </w:tcPr>
          <w:p w14:paraId="75D57746" w14:textId="77777777" w:rsidR="001E5D09" w:rsidRPr="00093F2A" w:rsidRDefault="001E5D09">
            <w:pPr>
              <w:spacing w:after="0"/>
              <w:rPr>
                <w:sz w:val="20"/>
                <w:szCs w:val="20"/>
              </w:rPr>
            </w:pPr>
          </w:p>
        </w:tc>
        <w:tc>
          <w:tcPr>
            <w:tcW w:w="360" w:type="dxa"/>
            <w:noWrap/>
            <w:hideMark/>
          </w:tcPr>
          <w:p w14:paraId="194DB6C3" w14:textId="77777777" w:rsidR="001E5D09" w:rsidRPr="00093F2A" w:rsidRDefault="001E5D09">
            <w:pPr>
              <w:spacing w:after="0"/>
              <w:rPr>
                <w:sz w:val="20"/>
                <w:szCs w:val="20"/>
              </w:rPr>
            </w:pPr>
          </w:p>
        </w:tc>
        <w:tc>
          <w:tcPr>
            <w:tcW w:w="2250" w:type="dxa"/>
            <w:gridSpan w:val="4"/>
            <w:noWrap/>
            <w:hideMark/>
          </w:tcPr>
          <w:p w14:paraId="556913E8"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(-4.243***)</w:t>
            </w:r>
          </w:p>
        </w:tc>
        <w:tc>
          <w:tcPr>
            <w:tcW w:w="1982" w:type="dxa"/>
            <w:gridSpan w:val="3"/>
            <w:noWrap/>
          </w:tcPr>
          <w:p w14:paraId="3B2D868B"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5C8F657A"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(-1.330)</w:t>
            </w:r>
          </w:p>
        </w:tc>
        <w:tc>
          <w:tcPr>
            <w:tcW w:w="277" w:type="dxa"/>
            <w:noWrap/>
            <w:hideMark/>
          </w:tcPr>
          <w:p w14:paraId="0434D124"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7948010E"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(-0.708)</w:t>
            </w:r>
          </w:p>
        </w:tc>
      </w:tr>
      <w:tr w:rsidR="00093F2A" w:rsidRPr="00093F2A" w14:paraId="558D6E4D" w14:textId="77777777" w:rsidTr="001E5D09">
        <w:trPr>
          <w:trHeight w:val="144"/>
        </w:trPr>
        <w:tc>
          <w:tcPr>
            <w:tcW w:w="2608" w:type="dxa"/>
            <w:gridSpan w:val="2"/>
            <w:noWrap/>
            <w:hideMark/>
          </w:tcPr>
          <w:p w14:paraId="4DEBEE13" w14:textId="77777777" w:rsidR="001E5D09" w:rsidRPr="00093F2A" w:rsidRDefault="001E5D09">
            <w:pPr>
              <w:rPr>
                <w:rFonts w:ascii="Gill Sans MT" w:eastAsia="Times New Roman" w:hAnsi="Gill Sans MT" w:cs="Calibri"/>
                <w:sz w:val="20"/>
                <w:szCs w:val="20"/>
              </w:rPr>
            </w:pPr>
          </w:p>
        </w:tc>
        <w:tc>
          <w:tcPr>
            <w:tcW w:w="360" w:type="dxa"/>
            <w:noWrap/>
            <w:hideMark/>
          </w:tcPr>
          <w:p w14:paraId="6F193AF2" w14:textId="77777777" w:rsidR="001E5D09" w:rsidRPr="00093F2A" w:rsidRDefault="001E5D09">
            <w:pPr>
              <w:spacing w:after="0"/>
              <w:rPr>
                <w:sz w:val="20"/>
                <w:szCs w:val="20"/>
              </w:rPr>
            </w:pPr>
          </w:p>
        </w:tc>
        <w:tc>
          <w:tcPr>
            <w:tcW w:w="360" w:type="dxa"/>
            <w:noWrap/>
            <w:hideMark/>
          </w:tcPr>
          <w:p w14:paraId="35F75345" w14:textId="77777777" w:rsidR="001E5D09" w:rsidRPr="00093F2A" w:rsidRDefault="001E5D09">
            <w:pPr>
              <w:spacing w:after="0"/>
              <w:rPr>
                <w:sz w:val="20"/>
                <w:szCs w:val="20"/>
              </w:rPr>
            </w:pPr>
          </w:p>
        </w:tc>
        <w:tc>
          <w:tcPr>
            <w:tcW w:w="1993" w:type="dxa"/>
            <w:gridSpan w:val="3"/>
            <w:noWrap/>
            <w:hideMark/>
          </w:tcPr>
          <w:p w14:paraId="6C42538F" w14:textId="77777777" w:rsidR="001E5D09" w:rsidRPr="00093F2A" w:rsidRDefault="001E5D09">
            <w:pPr>
              <w:spacing w:after="0"/>
              <w:rPr>
                <w:sz w:val="20"/>
                <w:szCs w:val="20"/>
              </w:rPr>
            </w:pPr>
          </w:p>
        </w:tc>
        <w:tc>
          <w:tcPr>
            <w:tcW w:w="257" w:type="dxa"/>
            <w:noWrap/>
            <w:hideMark/>
          </w:tcPr>
          <w:p w14:paraId="478C7874" w14:textId="77777777" w:rsidR="001E5D09" w:rsidRPr="00093F2A" w:rsidRDefault="001E5D09">
            <w:pPr>
              <w:spacing w:after="0"/>
              <w:rPr>
                <w:sz w:val="20"/>
                <w:szCs w:val="20"/>
              </w:rPr>
            </w:pPr>
          </w:p>
        </w:tc>
        <w:tc>
          <w:tcPr>
            <w:tcW w:w="1590" w:type="dxa"/>
            <w:gridSpan w:val="2"/>
            <w:noWrap/>
          </w:tcPr>
          <w:p w14:paraId="72F5DC5E" w14:textId="77777777" w:rsidR="001E5D09" w:rsidRPr="00093F2A" w:rsidRDefault="001E5D09">
            <w:pPr>
              <w:spacing w:line="240" w:lineRule="auto"/>
              <w:contextualSpacing/>
              <w:rPr>
                <w:rFonts w:ascii="Gill Sans MT" w:eastAsia="Times New Roman" w:hAnsi="Gill Sans MT" w:cs="Times New Roman"/>
                <w:sz w:val="20"/>
                <w:szCs w:val="20"/>
              </w:rPr>
            </w:pPr>
          </w:p>
        </w:tc>
        <w:tc>
          <w:tcPr>
            <w:tcW w:w="392" w:type="dxa"/>
            <w:noWrap/>
          </w:tcPr>
          <w:p w14:paraId="5D14075F" w14:textId="77777777" w:rsidR="001E5D09" w:rsidRPr="00093F2A" w:rsidRDefault="001E5D09">
            <w:pPr>
              <w:spacing w:line="240" w:lineRule="auto"/>
              <w:contextualSpacing/>
              <w:rPr>
                <w:rFonts w:ascii="Gill Sans MT" w:eastAsia="Times New Roman" w:hAnsi="Gill Sans MT" w:cs="Times New Roman"/>
                <w:sz w:val="20"/>
                <w:szCs w:val="20"/>
              </w:rPr>
            </w:pPr>
          </w:p>
        </w:tc>
        <w:tc>
          <w:tcPr>
            <w:tcW w:w="2610" w:type="dxa"/>
            <w:gridSpan w:val="3"/>
            <w:noWrap/>
            <w:hideMark/>
          </w:tcPr>
          <w:p w14:paraId="646B9FDA" w14:textId="77777777" w:rsidR="001E5D09" w:rsidRPr="00093F2A" w:rsidRDefault="001E5D09">
            <w:pPr>
              <w:rPr>
                <w:rFonts w:ascii="Gill Sans MT" w:eastAsia="Times New Roman" w:hAnsi="Gill Sans MT" w:cs="Times New Roman"/>
                <w:sz w:val="20"/>
                <w:szCs w:val="20"/>
              </w:rPr>
            </w:pPr>
          </w:p>
        </w:tc>
        <w:tc>
          <w:tcPr>
            <w:tcW w:w="277" w:type="dxa"/>
            <w:noWrap/>
            <w:hideMark/>
          </w:tcPr>
          <w:p w14:paraId="0FE04DF5" w14:textId="77777777" w:rsidR="001E5D09" w:rsidRPr="00093F2A" w:rsidRDefault="001E5D09">
            <w:pPr>
              <w:spacing w:after="0"/>
              <w:rPr>
                <w:sz w:val="20"/>
                <w:szCs w:val="20"/>
              </w:rPr>
            </w:pPr>
          </w:p>
        </w:tc>
        <w:tc>
          <w:tcPr>
            <w:tcW w:w="2783" w:type="dxa"/>
            <w:gridSpan w:val="3"/>
            <w:noWrap/>
            <w:hideMark/>
          </w:tcPr>
          <w:p w14:paraId="2B1B68BA" w14:textId="77777777" w:rsidR="001E5D09" w:rsidRPr="00093F2A" w:rsidRDefault="001E5D09">
            <w:pPr>
              <w:spacing w:after="0"/>
              <w:rPr>
                <w:sz w:val="20"/>
                <w:szCs w:val="20"/>
              </w:rPr>
            </w:pPr>
          </w:p>
        </w:tc>
      </w:tr>
      <w:tr w:rsidR="00093F2A" w:rsidRPr="00093F2A" w14:paraId="254F01BF" w14:textId="77777777" w:rsidTr="001E5D09">
        <w:trPr>
          <w:trHeight w:val="144"/>
        </w:trPr>
        <w:tc>
          <w:tcPr>
            <w:tcW w:w="2968" w:type="dxa"/>
            <w:gridSpan w:val="3"/>
            <w:noWrap/>
            <w:hideMark/>
          </w:tcPr>
          <w:p w14:paraId="2DCD6BC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Adj. R-squared</w:t>
            </w:r>
          </w:p>
        </w:tc>
        <w:tc>
          <w:tcPr>
            <w:tcW w:w="360" w:type="dxa"/>
            <w:noWrap/>
            <w:hideMark/>
          </w:tcPr>
          <w:p w14:paraId="3CAD3332" w14:textId="77777777" w:rsidR="001E5D09" w:rsidRPr="00093F2A" w:rsidRDefault="001E5D09">
            <w:pPr>
              <w:rPr>
                <w:rFonts w:ascii="Gill Sans MT" w:eastAsia="Times New Roman" w:hAnsi="Gill Sans MT" w:cs="Calibri"/>
                <w:sz w:val="20"/>
                <w:szCs w:val="20"/>
              </w:rPr>
            </w:pPr>
          </w:p>
        </w:tc>
        <w:tc>
          <w:tcPr>
            <w:tcW w:w="1993" w:type="dxa"/>
            <w:gridSpan w:val="3"/>
            <w:noWrap/>
            <w:hideMark/>
          </w:tcPr>
          <w:p w14:paraId="5B91E6F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0.0614</w:t>
            </w:r>
          </w:p>
        </w:tc>
        <w:tc>
          <w:tcPr>
            <w:tcW w:w="257" w:type="dxa"/>
            <w:noWrap/>
            <w:hideMark/>
          </w:tcPr>
          <w:p w14:paraId="0755AD55" w14:textId="77777777" w:rsidR="001E5D09" w:rsidRPr="00093F2A" w:rsidRDefault="001E5D09">
            <w:pPr>
              <w:rPr>
                <w:rFonts w:ascii="Gill Sans MT" w:eastAsia="Times New Roman" w:hAnsi="Gill Sans MT" w:cs="Calibri"/>
                <w:sz w:val="20"/>
                <w:szCs w:val="20"/>
              </w:rPr>
            </w:pPr>
          </w:p>
        </w:tc>
        <w:tc>
          <w:tcPr>
            <w:tcW w:w="1590" w:type="dxa"/>
            <w:gridSpan w:val="2"/>
            <w:noWrap/>
          </w:tcPr>
          <w:p w14:paraId="7CE73A11"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4DAB941D"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4A5DF2C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0.0332</w:t>
            </w:r>
          </w:p>
        </w:tc>
        <w:tc>
          <w:tcPr>
            <w:tcW w:w="277" w:type="dxa"/>
            <w:noWrap/>
            <w:hideMark/>
          </w:tcPr>
          <w:p w14:paraId="113798C2"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1CEC038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0.0208</w:t>
            </w:r>
          </w:p>
        </w:tc>
      </w:tr>
      <w:tr w:rsidR="00093F2A" w:rsidRPr="00093F2A" w14:paraId="10592540" w14:textId="77777777" w:rsidTr="001E5D09">
        <w:trPr>
          <w:trHeight w:val="144"/>
        </w:trPr>
        <w:tc>
          <w:tcPr>
            <w:tcW w:w="2968" w:type="dxa"/>
            <w:gridSpan w:val="3"/>
            <w:noWrap/>
            <w:hideMark/>
          </w:tcPr>
          <w:p w14:paraId="6302B15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Year fixed effect</w:t>
            </w:r>
          </w:p>
        </w:tc>
        <w:tc>
          <w:tcPr>
            <w:tcW w:w="360" w:type="dxa"/>
            <w:noWrap/>
            <w:hideMark/>
          </w:tcPr>
          <w:p w14:paraId="795B005E" w14:textId="77777777" w:rsidR="001E5D09" w:rsidRPr="00093F2A" w:rsidRDefault="001E5D09">
            <w:pPr>
              <w:rPr>
                <w:rFonts w:ascii="Gill Sans MT" w:eastAsia="Times New Roman" w:hAnsi="Gill Sans MT" w:cs="Calibri"/>
                <w:sz w:val="20"/>
                <w:szCs w:val="20"/>
              </w:rPr>
            </w:pPr>
          </w:p>
        </w:tc>
        <w:tc>
          <w:tcPr>
            <w:tcW w:w="1993" w:type="dxa"/>
            <w:gridSpan w:val="3"/>
            <w:noWrap/>
            <w:hideMark/>
          </w:tcPr>
          <w:p w14:paraId="332A103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57" w:type="dxa"/>
            <w:noWrap/>
            <w:hideMark/>
          </w:tcPr>
          <w:p w14:paraId="6FBC970B" w14:textId="77777777" w:rsidR="001E5D09" w:rsidRPr="00093F2A" w:rsidRDefault="001E5D09">
            <w:pPr>
              <w:rPr>
                <w:rFonts w:ascii="Gill Sans MT" w:eastAsia="Times New Roman" w:hAnsi="Gill Sans MT" w:cs="Calibri"/>
                <w:sz w:val="20"/>
                <w:szCs w:val="20"/>
              </w:rPr>
            </w:pPr>
          </w:p>
        </w:tc>
        <w:tc>
          <w:tcPr>
            <w:tcW w:w="1590" w:type="dxa"/>
            <w:gridSpan w:val="2"/>
            <w:noWrap/>
          </w:tcPr>
          <w:p w14:paraId="30FB8060"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3B78B49F"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20B6181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77" w:type="dxa"/>
            <w:noWrap/>
            <w:hideMark/>
          </w:tcPr>
          <w:p w14:paraId="04C8275F"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D9B0D4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r>
      <w:tr w:rsidR="00093F2A" w:rsidRPr="00093F2A" w14:paraId="402412C4" w14:textId="77777777" w:rsidTr="001E5D09">
        <w:trPr>
          <w:trHeight w:val="144"/>
        </w:trPr>
        <w:tc>
          <w:tcPr>
            <w:tcW w:w="2968" w:type="dxa"/>
            <w:gridSpan w:val="3"/>
            <w:noWrap/>
            <w:hideMark/>
          </w:tcPr>
          <w:p w14:paraId="46F6D487"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Industry fixed effect</w:t>
            </w:r>
          </w:p>
        </w:tc>
        <w:tc>
          <w:tcPr>
            <w:tcW w:w="360" w:type="dxa"/>
            <w:noWrap/>
            <w:hideMark/>
          </w:tcPr>
          <w:p w14:paraId="06441570" w14:textId="77777777" w:rsidR="001E5D09" w:rsidRPr="00093F2A" w:rsidRDefault="001E5D09">
            <w:pPr>
              <w:rPr>
                <w:rFonts w:ascii="Gill Sans MT" w:eastAsia="Times New Roman" w:hAnsi="Gill Sans MT" w:cs="Calibri"/>
                <w:sz w:val="20"/>
                <w:szCs w:val="20"/>
              </w:rPr>
            </w:pPr>
          </w:p>
        </w:tc>
        <w:tc>
          <w:tcPr>
            <w:tcW w:w="1993" w:type="dxa"/>
            <w:gridSpan w:val="3"/>
            <w:noWrap/>
            <w:hideMark/>
          </w:tcPr>
          <w:p w14:paraId="7CF72DB8"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57" w:type="dxa"/>
            <w:noWrap/>
            <w:hideMark/>
          </w:tcPr>
          <w:p w14:paraId="31A1E95A" w14:textId="77777777" w:rsidR="001E5D09" w:rsidRPr="00093F2A" w:rsidRDefault="001E5D09">
            <w:pPr>
              <w:rPr>
                <w:rFonts w:ascii="Gill Sans MT" w:eastAsia="Times New Roman" w:hAnsi="Gill Sans MT" w:cs="Calibri"/>
                <w:sz w:val="20"/>
                <w:szCs w:val="20"/>
              </w:rPr>
            </w:pPr>
          </w:p>
        </w:tc>
        <w:tc>
          <w:tcPr>
            <w:tcW w:w="1590" w:type="dxa"/>
            <w:gridSpan w:val="2"/>
            <w:noWrap/>
          </w:tcPr>
          <w:p w14:paraId="2B81DEC3"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304BBA1B"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642F5A6C"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77" w:type="dxa"/>
            <w:noWrap/>
            <w:hideMark/>
          </w:tcPr>
          <w:p w14:paraId="07ACDF6B"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0E03BADB"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r>
      <w:tr w:rsidR="00093F2A" w:rsidRPr="00093F2A" w14:paraId="43E1F395" w14:textId="77777777" w:rsidTr="001E5D09">
        <w:trPr>
          <w:trHeight w:val="144"/>
        </w:trPr>
        <w:tc>
          <w:tcPr>
            <w:tcW w:w="3328" w:type="dxa"/>
            <w:gridSpan w:val="4"/>
            <w:noWrap/>
            <w:hideMark/>
          </w:tcPr>
          <w:p w14:paraId="42F0AD50"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Robust standard errors</w:t>
            </w:r>
          </w:p>
        </w:tc>
        <w:tc>
          <w:tcPr>
            <w:tcW w:w="1993" w:type="dxa"/>
            <w:gridSpan w:val="3"/>
            <w:noWrap/>
            <w:hideMark/>
          </w:tcPr>
          <w:p w14:paraId="2635B42D"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57" w:type="dxa"/>
            <w:noWrap/>
            <w:hideMark/>
          </w:tcPr>
          <w:p w14:paraId="754DDB37" w14:textId="77777777" w:rsidR="001E5D09" w:rsidRPr="00093F2A" w:rsidRDefault="001E5D09">
            <w:pPr>
              <w:rPr>
                <w:rFonts w:ascii="Gill Sans MT" w:eastAsia="Times New Roman" w:hAnsi="Gill Sans MT" w:cs="Calibri"/>
                <w:sz w:val="20"/>
                <w:szCs w:val="20"/>
              </w:rPr>
            </w:pPr>
          </w:p>
        </w:tc>
        <w:tc>
          <w:tcPr>
            <w:tcW w:w="1590" w:type="dxa"/>
            <w:gridSpan w:val="2"/>
            <w:noWrap/>
          </w:tcPr>
          <w:p w14:paraId="46DFC803"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noWrap/>
          </w:tcPr>
          <w:p w14:paraId="1208FED3"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noWrap/>
            <w:hideMark/>
          </w:tcPr>
          <w:p w14:paraId="7E248F0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c>
          <w:tcPr>
            <w:tcW w:w="277" w:type="dxa"/>
            <w:noWrap/>
            <w:hideMark/>
          </w:tcPr>
          <w:p w14:paraId="5B912B4F" w14:textId="77777777" w:rsidR="001E5D09" w:rsidRPr="00093F2A" w:rsidRDefault="001E5D09">
            <w:pPr>
              <w:rPr>
                <w:rFonts w:ascii="Gill Sans MT" w:eastAsia="Times New Roman" w:hAnsi="Gill Sans MT" w:cs="Calibri"/>
                <w:sz w:val="20"/>
                <w:szCs w:val="20"/>
              </w:rPr>
            </w:pPr>
          </w:p>
        </w:tc>
        <w:tc>
          <w:tcPr>
            <w:tcW w:w="2783" w:type="dxa"/>
            <w:gridSpan w:val="3"/>
            <w:noWrap/>
            <w:hideMark/>
          </w:tcPr>
          <w:p w14:paraId="6B374F16"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Yes</w:t>
            </w:r>
          </w:p>
        </w:tc>
      </w:tr>
      <w:tr w:rsidR="00093F2A" w:rsidRPr="00093F2A" w14:paraId="47C328CC" w14:textId="77777777" w:rsidTr="001E5D09">
        <w:trPr>
          <w:trHeight w:val="144"/>
        </w:trPr>
        <w:tc>
          <w:tcPr>
            <w:tcW w:w="2968" w:type="dxa"/>
            <w:gridSpan w:val="3"/>
            <w:tcBorders>
              <w:top w:val="nil"/>
              <w:left w:val="nil"/>
              <w:bottom w:val="single" w:sz="4" w:space="0" w:color="auto"/>
              <w:right w:val="nil"/>
            </w:tcBorders>
            <w:noWrap/>
            <w:hideMark/>
          </w:tcPr>
          <w:p w14:paraId="4E4A66E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Observations</w:t>
            </w:r>
          </w:p>
        </w:tc>
        <w:tc>
          <w:tcPr>
            <w:tcW w:w="360" w:type="dxa"/>
            <w:tcBorders>
              <w:top w:val="nil"/>
              <w:left w:val="nil"/>
              <w:bottom w:val="single" w:sz="4" w:space="0" w:color="auto"/>
              <w:right w:val="nil"/>
            </w:tcBorders>
            <w:noWrap/>
            <w:hideMark/>
          </w:tcPr>
          <w:p w14:paraId="1759B81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1993" w:type="dxa"/>
            <w:gridSpan w:val="3"/>
            <w:tcBorders>
              <w:top w:val="nil"/>
              <w:left w:val="nil"/>
              <w:bottom w:val="single" w:sz="4" w:space="0" w:color="auto"/>
              <w:right w:val="nil"/>
            </w:tcBorders>
            <w:noWrap/>
            <w:hideMark/>
          </w:tcPr>
          <w:p w14:paraId="67F7B825"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1,072</w:t>
            </w:r>
          </w:p>
        </w:tc>
        <w:tc>
          <w:tcPr>
            <w:tcW w:w="257" w:type="dxa"/>
            <w:tcBorders>
              <w:top w:val="nil"/>
              <w:left w:val="nil"/>
              <w:bottom w:val="single" w:sz="4" w:space="0" w:color="auto"/>
              <w:right w:val="nil"/>
            </w:tcBorders>
            <w:noWrap/>
            <w:hideMark/>
          </w:tcPr>
          <w:p w14:paraId="25605E5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1590" w:type="dxa"/>
            <w:gridSpan w:val="2"/>
            <w:tcBorders>
              <w:top w:val="nil"/>
              <w:left w:val="nil"/>
              <w:bottom w:val="single" w:sz="4" w:space="0" w:color="auto"/>
              <w:right w:val="nil"/>
            </w:tcBorders>
            <w:noWrap/>
          </w:tcPr>
          <w:p w14:paraId="7D0F6BCB" w14:textId="77777777" w:rsidR="001E5D09" w:rsidRPr="00093F2A" w:rsidRDefault="001E5D09">
            <w:pPr>
              <w:spacing w:line="240" w:lineRule="auto"/>
              <w:contextualSpacing/>
              <w:rPr>
                <w:rFonts w:ascii="Gill Sans MT" w:eastAsia="Times New Roman" w:hAnsi="Gill Sans MT" w:cs="Calibri"/>
                <w:sz w:val="20"/>
                <w:szCs w:val="20"/>
              </w:rPr>
            </w:pPr>
          </w:p>
        </w:tc>
        <w:tc>
          <w:tcPr>
            <w:tcW w:w="392" w:type="dxa"/>
            <w:tcBorders>
              <w:top w:val="nil"/>
              <w:left w:val="nil"/>
              <w:bottom w:val="single" w:sz="4" w:space="0" w:color="auto"/>
              <w:right w:val="nil"/>
            </w:tcBorders>
            <w:noWrap/>
          </w:tcPr>
          <w:p w14:paraId="53A73C30" w14:textId="77777777" w:rsidR="001E5D09" w:rsidRPr="00093F2A" w:rsidRDefault="001E5D09">
            <w:pPr>
              <w:spacing w:line="240" w:lineRule="auto"/>
              <w:contextualSpacing/>
              <w:rPr>
                <w:rFonts w:ascii="Gill Sans MT" w:eastAsia="Times New Roman" w:hAnsi="Gill Sans MT" w:cs="Calibri"/>
                <w:sz w:val="20"/>
                <w:szCs w:val="20"/>
              </w:rPr>
            </w:pPr>
          </w:p>
        </w:tc>
        <w:tc>
          <w:tcPr>
            <w:tcW w:w="2610" w:type="dxa"/>
            <w:gridSpan w:val="3"/>
            <w:tcBorders>
              <w:top w:val="nil"/>
              <w:left w:val="nil"/>
              <w:bottom w:val="single" w:sz="4" w:space="0" w:color="auto"/>
              <w:right w:val="nil"/>
            </w:tcBorders>
            <w:noWrap/>
            <w:hideMark/>
          </w:tcPr>
          <w:p w14:paraId="51BCD793"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1,074</w:t>
            </w:r>
          </w:p>
        </w:tc>
        <w:tc>
          <w:tcPr>
            <w:tcW w:w="277" w:type="dxa"/>
            <w:tcBorders>
              <w:top w:val="nil"/>
              <w:left w:val="nil"/>
              <w:bottom w:val="single" w:sz="4" w:space="0" w:color="auto"/>
              <w:right w:val="nil"/>
            </w:tcBorders>
            <w:noWrap/>
            <w:hideMark/>
          </w:tcPr>
          <w:p w14:paraId="54A70FF2"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 </w:t>
            </w:r>
          </w:p>
        </w:tc>
        <w:tc>
          <w:tcPr>
            <w:tcW w:w="2783" w:type="dxa"/>
            <w:gridSpan w:val="3"/>
            <w:tcBorders>
              <w:top w:val="nil"/>
              <w:left w:val="nil"/>
              <w:bottom w:val="single" w:sz="4" w:space="0" w:color="auto"/>
              <w:right w:val="nil"/>
            </w:tcBorders>
            <w:noWrap/>
            <w:hideMark/>
          </w:tcPr>
          <w:p w14:paraId="281BA62F" w14:textId="77777777" w:rsidR="001E5D09" w:rsidRPr="00093F2A" w:rsidRDefault="001E5D09">
            <w:pPr>
              <w:spacing w:line="240" w:lineRule="auto"/>
              <w:contextualSpacing/>
              <w:rPr>
                <w:rFonts w:ascii="Gill Sans MT" w:eastAsia="Times New Roman" w:hAnsi="Gill Sans MT" w:cs="Calibri"/>
                <w:sz w:val="20"/>
                <w:szCs w:val="20"/>
              </w:rPr>
            </w:pPr>
            <w:r w:rsidRPr="00093F2A">
              <w:rPr>
                <w:rFonts w:ascii="Gill Sans MT" w:eastAsia="Times New Roman" w:hAnsi="Gill Sans MT" w:cs="Calibri"/>
                <w:sz w:val="20"/>
                <w:szCs w:val="20"/>
              </w:rPr>
              <w:t>1,041</w:t>
            </w:r>
          </w:p>
        </w:tc>
      </w:tr>
    </w:tbl>
    <w:p w14:paraId="2500FE24" w14:textId="77777777" w:rsidR="001E5D09" w:rsidRPr="00093F2A" w:rsidRDefault="001E5D09" w:rsidP="001E5D09">
      <w:pPr>
        <w:spacing w:line="240" w:lineRule="auto"/>
        <w:contextualSpacing/>
        <w:rPr>
          <w:rFonts w:ascii="Gill Sans MT" w:hAnsi="Gill Sans MT"/>
        </w:rPr>
      </w:pPr>
      <w:r w:rsidRPr="00093F2A">
        <w:rPr>
          <w:rFonts w:ascii="Gill Sans MT" w:hAnsi="Gill Sans MT"/>
          <w:sz w:val="20"/>
          <w:szCs w:val="20"/>
        </w:rPr>
        <w:t xml:space="preserve">We conduct tests on operating performance. We report univariate results in Panel A, and multivariate results in Panel B of Table 7.  The dependent variables are changes in ROA (Model 1), </w:t>
      </w:r>
      <w:r w:rsidRPr="00093F2A">
        <w:rPr>
          <w:rFonts w:ascii="Gill Sans MT" w:eastAsia="Times New Roman" w:hAnsi="Gill Sans MT" w:cs="Calibri"/>
          <w:i/>
          <w:iCs/>
          <w:sz w:val="20"/>
          <w:szCs w:val="20"/>
        </w:rPr>
        <w:t xml:space="preserve">NET INTEREST MARGIN </w:t>
      </w:r>
      <w:r w:rsidRPr="00093F2A">
        <w:rPr>
          <w:rFonts w:ascii="Gill Sans MT" w:eastAsia="Times New Roman" w:hAnsi="Gill Sans MT" w:cs="Calibri"/>
          <w:iCs/>
          <w:sz w:val="20"/>
          <w:szCs w:val="20"/>
        </w:rPr>
        <w:t>(Model 2) and</w:t>
      </w:r>
      <w:r w:rsidRPr="00093F2A">
        <w:rPr>
          <w:rFonts w:ascii="Gill Sans MT" w:eastAsia="Times New Roman" w:hAnsi="Gill Sans MT" w:cs="Calibri"/>
          <w:i/>
          <w:iCs/>
          <w:sz w:val="20"/>
          <w:szCs w:val="20"/>
        </w:rPr>
        <w:t xml:space="preserve"> YIELD / COST SPREAD </w:t>
      </w:r>
      <w:r w:rsidRPr="00093F2A">
        <w:rPr>
          <w:rFonts w:ascii="Gill Sans MT" w:eastAsia="Times New Roman" w:hAnsi="Gill Sans MT" w:cs="Calibri"/>
          <w:iCs/>
          <w:sz w:val="20"/>
          <w:szCs w:val="20"/>
        </w:rPr>
        <w:t xml:space="preserve">(Model 3). </w:t>
      </w:r>
      <w:r w:rsidRPr="00093F2A">
        <w:rPr>
          <w:rFonts w:ascii="Gill Sans MT" w:hAnsi="Gill Sans MT"/>
          <w:sz w:val="20"/>
          <w:szCs w:val="20"/>
        </w:rPr>
        <w:t xml:space="preserve"> . </w:t>
      </w:r>
      <w:r w:rsidRPr="00093F2A">
        <w:rPr>
          <w:rFonts w:ascii="Gill Sans MT" w:hAnsi="Gill Sans MT"/>
          <w:i/>
          <w:iCs/>
          <w:sz w:val="20"/>
          <w:szCs w:val="20"/>
        </w:rPr>
        <w:t>ROA</w:t>
      </w:r>
      <w:r w:rsidRPr="00093F2A">
        <w:rPr>
          <w:rFonts w:ascii="Gill Sans MT" w:hAnsi="Gill Sans MT"/>
          <w:sz w:val="20"/>
          <w:szCs w:val="20"/>
        </w:rPr>
        <w:t xml:space="preserve"> is the ratio of net income to average assets. </w:t>
      </w:r>
      <w:r w:rsidRPr="00093F2A">
        <w:rPr>
          <w:rFonts w:ascii="Gill Sans MT" w:hAnsi="Gill Sans MT"/>
          <w:i/>
          <w:iCs/>
          <w:sz w:val="20"/>
          <w:szCs w:val="20"/>
        </w:rPr>
        <w:t>NET INTEREST MARGIN</w:t>
      </w:r>
      <w:r w:rsidRPr="00093F2A">
        <w:rPr>
          <w:rFonts w:ascii="Gill Sans MT" w:hAnsi="Gill Sans MT"/>
          <w:sz w:val="20"/>
          <w:szCs w:val="20"/>
        </w:rPr>
        <w:t xml:space="preserve"> is the ratio of net interest income to average earning assets. </w:t>
      </w:r>
      <w:r w:rsidRPr="00093F2A">
        <w:rPr>
          <w:rFonts w:ascii="Gill Sans MT" w:hAnsi="Gill Sans MT"/>
          <w:i/>
          <w:iCs/>
          <w:sz w:val="20"/>
          <w:szCs w:val="20"/>
        </w:rPr>
        <w:t xml:space="preserve">YIELD / COST SPREAD </w:t>
      </w:r>
      <w:r w:rsidRPr="00093F2A">
        <w:rPr>
          <w:rFonts w:ascii="Gill Sans MT" w:hAnsi="Gill Sans MT"/>
          <w:sz w:val="20"/>
          <w:szCs w:val="20"/>
        </w:rPr>
        <w:t>is the yield on earnings assets (which is the ratio of total interest &amp; dividend income to average earning assets) minus the cost of interest-bearing liabilities (which is the ratio of total interest expense to average interest-bearing liabilities). The independent variable of interest is the dummy variable for deals with private equity involvement (</w:t>
      </w:r>
      <w:r w:rsidRPr="00093F2A">
        <w:rPr>
          <w:rFonts w:ascii="Gill Sans MT" w:hAnsi="Gill Sans MT"/>
          <w:i/>
          <w:iCs/>
          <w:sz w:val="20"/>
          <w:szCs w:val="20"/>
        </w:rPr>
        <w:t>PRIVATE EQUITY</w:t>
      </w:r>
      <w:r w:rsidRPr="00093F2A">
        <w:rPr>
          <w:rFonts w:ascii="Gill Sans MT" w:hAnsi="Gill Sans MT"/>
          <w:sz w:val="20"/>
          <w:szCs w:val="20"/>
        </w:rPr>
        <w:t>). We control for year and industry fixed effects. We calculate the t-statistics based upon clustered standard errors. ***, **, and * denote significance at 1%, 5%, and 10% levels.</w:t>
      </w:r>
    </w:p>
    <w:p w14:paraId="5D6DC1B3" w14:textId="77777777" w:rsidR="00053984" w:rsidRDefault="00053984" w:rsidP="001E5D09">
      <w:pPr>
        <w:spacing w:after="0" w:line="240" w:lineRule="auto"/>
        <w:rPr>
          <w:rFonts w:ascii="Gill Sans MT" w:hAnsi="Gill Sans MT"/>
        </w:rPr>
        <w:sectPr w:rsidR="00053984">
          <w:pgSz w:w="15840" w:h="12240" w:orient="landscape"/>
          <w:pgMar w:top="1440" w:right="1440" w:bottom="1440" w:left="1440" w:header="720" w:footer="720" w:gutter="0"/>
          <w:cols w:space="720"/>
        </w:sectPr>
      </w:pPr>
    </w:p>
    <w:tbl>
      <w:tblPr>
        <w:tblW w:w="12960" w:type="dxa"/>
        <w:tblLayout w:type="fixed"/>
        <w:tblLook w:val="04A0" w:firstRow="1" w:lastRow="0" w:firstColumn="1" w:lastColumn="0" w:noHBand="0" w:noVBand="1"/>
      </w:tblPr>
      <w:tblGrid>
        <w:gridCol w:w="1709"/>
        <w:gridCol w:w="1079"/>
        <w:gridCol w:w="359"/>
        <w:gridCol w:w="540"/>
        <w:gridCol w:w="1710"/>
        <w:gridCol w:w="990"/>
        <w:gridCol w:w="990"/>
        <w:gridCol w:w="903"/>
        <w:gridCol w:w="900"/>
        <w:gridCol w:w="1080"/>
        <w:gridCol w:w="1080"/>
        <w:gridCol w:w="900"/>
        <w:gridCol w:w="720"/>
      </w:tblGrid>
      <w:tr w:rsidR="00053984" w:rsidRPr="00053984" w14:paraId="2BFDD5E8" w14:textId="77777777" w:rsidTr="001D47BF">
        <w:trPr>
          <w:trHeight w:val="144"/>
        </w:trPr>
        <w:tc>
          <w:tcPr>
            <w:tcW w:w="12960" w:type="dxa"/>
            <w:gridSpan w:val="13"/>
            <w:tcBorders>
              <w:top w:val="single" w:sz="4" w:space="0" w:color="auto"/>
              <w:left w:val="nil"/>
              <w:bottom w:val="nil"/>
              <w:right w:val="nil"/>
            </w:tcBorders>
            <w:noWrap/>
            <w:hideMark/>
          </w:tcPr>
          <w:p w14:paraId="0BEA063C" w14:textId="77777777" w:rsidR="00053984" w:rsidRPr="00053984" w:rsidRDefault="00053984" w:rsidP="001D47BF">
            <w:pPr>
              <w:spacing w:line="240" w:lineRule="auto"/>
              <w:contextualSpacing/>
              <w:rPr>
                <w:rFonts w:ascii="Gill Sans MT" w:eastAsia="Times New Roman" w:hAnsi="Gill Sans MT" w:cs="Calibri"/>
                <w:b/>
                <w:bCs/>
                <w:sz w:val="16"/>
                <w:szCs w:val="16"/>
              </w:rPr>
            </w:pPr>
            <w:r w:rsidRPr="00053984">
              <w:rPr>
                <w:rFonts w:ascii="Gill Sans MT" w:eastAsia="Times New Roman" w:hAnsi="Gill Sans MT" w:cs="Calibri"/>
                <w:b/>
                <w:bCs/>
                <w:sz w:val="16"/>
                <w:szCs w:val="16"/>
              </w:rPr>
              <w:lastRenderedPageBreak/>
              <w:t>Table 8 – Heckman Self-Selection Two-Stage Regressions</w:t>
            </w:r>
          </w:p>
        </w:tc>
      </w:tr>
      <w:tr w:rsidR="00053984" w:rsidRPr="00053984" w14:paraId="0EA397BA" w14:textId="77777777" w:rsidTr="001D47BF">
        <w:trPr>
          <w:trHeight w:val="144"/>
        </w:trPr>
        <w:tc>
          <w:tcPr>
            <w:tcW w:w="2788" w:type="dxa"/>
            <w:gridSpan w:val="2"/>
            <w:tcBorders>
              <w:top w:val="single" w:sz="4" w:space="0" w:color="auto"/>
              <w:left w:val="nil"/>
              <w:bottom w:val="nil"/>
              <w:right w:val="nil"/>
            </w:tcBorders>
            <w:noWrap/>
            <w:hideMark/>
          </w:tcPr>
          <w:p w14:paraId="44040244" w14:textId="77777777" w:rsidR="00053984" w:rsidRPr="00053984" w:rsidRDefault="00053984" w:rsidP="001D47BF">
            <w:pPr>
              <w:spacing w:line="240" w:lineRule="auto"/>
              <w:contextualSpacing/>
              <w:rPr>
                <w:rFonts w:ascii="Gill Sans MT" w:eastAsia="Times New Roman" w:hAnsi="Gill Sans MT" w:cs="Calibri"/>
                <w:b/>
                <w:bCs/>
                <w:i/>
                <w:iCs/>
                <w:sz w:val="16"/>
                <w:szCs w:val="16"/>
              </w:rPr>
            </w:pPr>
            <w:r w:rsidRPr="00053984">
              <w:rPr>
                <w:rFonts w:ascii="Gill Sans MT" w:eastAsia="Times New Roman" w:hAnsi="Gill Sans MT" w:cs="Calibri"/>
                <w:b/>
                <w:bCs/>
                <w:i/>
                <w:iCs/>
                <w:sz w:val="16"/>
                <w:szCs w:val="16"/>
              </w:rPr>
              <w:t>Panel A – First-stage Logistic Regression</w:t>
            </w:r>
          </w:p>
        </w:tc>
        <w:tc>
          <w:tcPr>
            <w:tcW w:w="359" w:type="dxa"/>
            <w:tcBorders>
              <w:top w:val="single" w:sz="4" w:space="0" w:color="auto"/>
              <w:left w:val="nil"/>
              <w:bottom w:val="nil"/>
              <w:right w:val="nil"/>
            </w:tcBorders>
          </w:tcPr>
          <w:p w14:paraId="68D7D480" w14:textId="77777777" w:rsidR="00053984" w:rsidRPr="00053984" w:rsidRDefault="00053984" w:rsidP="001D47BF">
            <w:pPr>
              <w:spacing w:line="240" w:lineRule="auto"/>
              <w:contextualSpacing/>
              <w:rPr>
                <w:rFonts w:ascii="Gill Sans MT" w:eastAsia="Times New Roman" w:hAnsi="Gill Sans MT" w:cs="Calibri"/>
                <w:b/>
                <w:bCs/>
                <w:i/>
                <w:iCs/>
                <w:sz w:val="16"/>
                <w:szCs w:val="16"/>
              </w:rPr>
            </w:pPr>
          </w:p>
        </w:tc>
        <w:tc>
          <w:tcPr>
            <w:tcW w:w="9813" w:type="dxa"/>
            <w:gridSpan w:val="10"/>
            <w:tcBorders>
              <w:top w:val="single" w:sz="4" w:space="0" w:color="auto"/>
              <w:left w:val="nil"/>
              <w:bottom w:val="nil"/>
              <w:right w:val="nil"/>
            </w:tcBorders>
            <w:noWrap/>
            <w:hideMark/>
          </w:tcPr>
          <w:p w14:paraId="3B001E9F" w14:textId="77777777" w:rsidR="00053984" w:rsidRPr="00053984" w:rsidRDefault="00053984" w:rsidP="001D47BF">
            <w:pPr>
              <w:spacing w:line="240" w:lineRule="auto"/>
              <w:contextualSpacing/>
              <w:rPr>
                <w:rFonts w:ascii="Gill Sans MT" w:eastAsia="Times New Roman" w:hAnsi="Gill Sans MT" w:cs="Calibri"/>
                <w:b/>
                <w:bCs/>
                <w:i/>
                <w:iCs/>
                <w:sz w:val="16"/>
                <w:szCs w:val="16"/>
              </w:rPr>
            </w:pPr>
            <w:r w:rsidRPr="00053984">
              <w:rPr>
                <w:rFonts w:ascii="Gill Sans MT" w:eastAsia="Times New Roman" w:hAnsi="Gill Sans MT" w:cs="Calibri"/>
                <w:b/>
                <w:bCs/>
                <w:i/>
                <w:iCs/>
                <w:sz w:val="16"/>
                <w:szCs w:val="16"/>
              </w:rPr>
              <w:t>Panel B - Second-stage Heckman Self-Selection Regressions</w:t>
            </w:r>
          </w:p>
        </w:tc>
      </w:tr>
      <w:tr w:rsidR="00053984" w:rsidRPr="00053984" w14:paraId="3C82A42B" w14:textId="77777777" w:rsidTr="001D47BF">
        <w:trPr>
          <w:trHeight w:val="144"/>
        </w:trPr>
        <w:tc>
          <w:tcPr>
            <w:tcW w:w="1709" w:type="dxa"/>
            <w:tcBorders>
              <w:top w:val="nil"/>
              <w:left w:val="nil"/>
              <w:bottom w:val="single" w:sz="4" w:space="0" w:color="auto"/>
              <w:right w:val="nil"/>
            </w:tcBorders>
            <w:noWrap/>
            <w:hideMark/>
          </w:tcPr>
          <w:p w14:paraId="3500658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Variables</w:t>
            </w:r>
          </w:p>
        </w:tc>
        <w:tc>
          <w:tcPr>
            <w:tcW w:w="1079" w:type="dxa"/>
            <w:tcBorders>
              <w:top w:val="nil"/>
              <w:left w:val="nil"/>
              <w:bottom w:val="single" w:sz="4" w:space="0" w:color="auto"/>
              <w:right w:val="nil"/>
            </w:tcBorders>
            <w:noWrap/>
            <w:hideMark/>
          </w:tcPr>
          <w:p w14:paraId="6B42E2C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Coefficients</w:t>
            </w:r>
          </w:p>
        </w:tc>
        <w:tc>
          <w:tcPr>
            <w:tcW w:w="359" w:type="dxa"/>
            <w:noWrap/>
            <w:hideMark/>
          </w:tcPr>
          <w:p w14:paraId="0002A8C4" w14:textId="77777777" w:rsidR="00053984" w:rsidRPr="00053984" w:rsidRDefault="00053984" w:rsidP="001D47BF">
            <w:pPr>
              <w:rPr>
                <w:rFonts w:ascii="Gill Sans MT" w:eastAsia="Times New Roman" w:hAnsi="Gill Sans MT" w:cs="Calibri"/>
                <w:sz w:val="16"/>
                <w:szCs w:val="16"/>
              </w:rPr>
            </w:pPr>
          </w:p>
        </w:tc>
        <w:tc>
          <w:tcPr>
            <w:tcW w:w="540" w:type="dxa"/>
            <w:tcBorders>
              <w:top w:val="nil"/>
              <w:left w:val="nil"/>
              <w:bottom w:val="single" w:sz="4" w:space="0" w:color="auto"/>
              <w:right w:val="nil"/>
            </w:tcBorders>
            <w:noWrap/>
            <w:hideMark/>
          </w:tcPr>
          <w:p w14:paraId="01110AC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1710" w:type="dxa"/>
            <w:tcBorders>
              <w:top w:val="nil"/>
              <w:left w:val="nil"/>
              <w:bottom w:val="single" w:sz="4" w:space="0" w:color="auto"/>
              <w:right w:val="nil"/>
            </w:tcBorders>
            <w:noWrap/>
            <w:hideMark/>
          </w:tcPr>
          <w:p w14:paraId="05D7F24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Dependent variables</w:t>
            </w:r>
          </w:p>
        </w:tc>
        <w:tc>
          <w:tcPr>
            <w:tcW w:w="990" w:type="dxa"/>
            <w:tcBorders>
              <w:top w:val="nil"/>
              <w:left w:val="nil"/>
              <w:bottom w:val="single" w:sz="4" w:space="0" w:color="auto"/>
              <w:right w:val="nil"/>
            </w:tcBorders>
            <w:noWrap/>
            <w:hideMark/>
          </w:tcPr>
          <w:p w14:paraId="4877528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PRIVATE EQUITY</w:t>
            </w:r>
          </w:p>
        </w:tc>
        <w:tc>
          <w:tcPr>
            <w:tcW w:w="990" w:type="dxa"/>
            <w:tcBorders>
              <w:top w:val="nil"/>
              <w:left w:val="nil"/>
              <w:bottom w:val="single" w:sz="4" w:space="0" w:color="auto"/>
              <w:right w:val="nil"/>
            </w:tcBorders>
            <w:noWrap/>
            <w:hideMark/>
          </w:tcPr>
          <w:p w14:paraId="24A505A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Constant</w:t>
            </w:r>
          </w:p>
        </w:tc>
        <w:tc>
          <w:tcPr>
            <w:tcW w:w="903" w:type="dxa"/>
            <w:tcBorders>
              <w:top w:val="nil"/>
              <w:left w:val="nil"/>
              <w:bottom w:val="single" w:sz="4" w:space="0" w:color="auto"/>
              <w:right w:val="nil"/>
            </w:tcBorders>
            <w:noWrap/>
            <w:hideMark/>
          </w:tcPr>
          <w:p w14:paraId="69D5EAB8"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Adj. R-squared</w:t>
            </w:r>
          </w:p>
        </w:tc>
        <w:tc>
          <w:tcPr>
            <w:tcW w:w="900" w:type="dxa"/>
            <w:tcBorders>
              <w:top w:val="nil"/>
              <w:left w:val="nil"/>
              <w:bottom w:val="single" w:sz="4" w:space="0" w:color="auto"/>
              <w:right w:val="nil"/>
            </w:tcBorders>
            <w:noWrap/>
            <w:hideMark/>
          </w:tcPr>
          <w:p w14:paraId="4E9A910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Control variables</w:t>
            </w:r>
          </w:p>
        </w:tc>
        <w:tc>
          <w:tcPr>
            <w:tcW w:w="1080" w:type="dxa"/>
            <w:tcBorders>
              <w:top w:val="nil"/>
              <w:left w:val="nil"/>
              <w:bottom w:val="single" w:sz="4" w:space="0" w:color="auto"/>
              <w:right w:val="nil"/>
            </w:tcBorders>
            <w:noWrap/>
            <w:hideMark/>
          </w:tcPr>
          <w:p w14:paraId="1AB9860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Year fixed effect</w:t>
            </w:r>
          </w:p>
        </w:tc>
        <w:tc>
          <w:tcPr>
            <w:tcW w:w="1080" w:type="dxa"/>
            <w:tcBorders>
              <w:top w:val="nil"/>
              <w:left w:val="nil"/>
              <w:bottom w:val="single" w:sz="4" w:space="0" w:color="auto"/>
              <w:right w:val="nil"/>
            </w:tcBorders>
            <w:noWrap/>
            <w:hideMark/>
          </w:tcPr>
          <w:p w14:paraId="5A57193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Industry fixed effect</w:t>
            </w:r>
          </w:p>
        </w:tc>
        <w:tc>
          <w:tcPr>
            <w:tcW w:w="900" w:type="dxa"/>
            <w:tcBorders>
              <w:top w:val="nil"/>
              <w:left w:val="nil"/>
              <w:bottom w:val="single" w:sz="4" w:space="0" w:color="auto"/>
              <w:right w:val="nil"/>
            </w:tcBorders>
            <w:noWrap/>
            <w:hideMark/>
          </w:tcPr>
          <w:p w14:paraId="5A6E99E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Robust std err</w:t>
            </w:r>
          </w:p>
        </w:tc>
        <w:tc>
          <w:tcPr>
            <w:tcW w:w="720" w:type="dxa"/>
            <w:tcBorders>
              <w:top w:val="nil"/>
              <w:left w:val="nil"/>
              <w:bottom w:val="single" w:sz="4" w:space="0" w:color="auto"/>
              <w:right w:val="nil"/>
            </w:tcBorders>
            <w:noWrap/>
            <w:hideMark/>
          </w:tcPr>
          <w:p w14:paraId="6012639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N</w:t>
            </w:r>
          </w:p>
        </w:tc>
      </w:tr>
      <w:tr w:rsidR="00053984" w:rsidRPr="00053984" w14:paraId="5992AEAB" w14:textId="77777777" w:rsidTr="001D47BF">
        <w:trPr>
          <w:trHeight w:val="144"/>
        </w:trPr>
        <w:tc>
          <w:tcPr>
            <w:tcW w:w="1709" w:type="dxa"/>
            <w:vMerge w:val="restart"/>
            <w:tcBorders>
              <w:top w:val="single" w:sz="4" w:space="0" w:color="auto"/>
              <w:left w:val="nil"/>
              <w:bottom w:val="nil"/>
              <w:right w:val="nil"/>
            </w:tcBorders>
            <w:noWrap/>
            <w:hideMark/>
          </w:tcPr>
          <w:p w14:paraId="7AE0CE13" w14:textId="77777777" w:rsidR="00053984" w:rsidRPr="00053984" w:rsidRDefault="00053984" w:rsidP="001D47BF">
            <w:pPr>
              <w:spacing w:line="240" w:lineRule="auto"/>
              <w:contextualSpacing/>
              <w:rPr>
                <w:rFonts w:ascii="Gill Sans MT" w:eastAsia="Times New Roman" w:hAnsi="Gill Sans MT" w:cs="Calibri"/>
                <w:i/>
                <w:iCs/>
                <w:sz w:val="16"/>
                <w:szCs w:val="16"/>
              </w:rPr>
            </w:pPr>
            <w:r w:rsidRPr="00053984">
              <w:rPr>
                <w:rFonts w:ascii="Gill Sans MT" w:eastAsia="Times New Roman" w:hAnsi="Gill Sans MT" w:cs="Calibri"/>
                <w:i/>
                <w:iCs/>
                <w:sz w:val="16"/>
                <w:szCs w:val="16"/>
              </w:rPr>
              <w:t>LN(ACQ TIER 1 CAPITAL)</w:t>
            </w:r>
          </w:p>
        </w:tc>
        <w:tc>
          <w:tcPr>
            <w:tcW w:w="1079" w:type="dxa"/>
            <w:tcBorders>
              <w:top w:val="single" w:sz="4" w:space="0" w:color="auto"/>
              <w:left w:val="nil"/>
              <w:bottom w:val="nil"/>
              <w:right w:val="nil"/>
            </w:tcBorders>
            <w:noWrap/>
            <w:hideMark/>
          </w:tcPr>
          <w:p w14:paraId="1D4EA18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0.584</w:t>
            </w:r>
          </w:p>
        </w:tc>
        <w:tc>
          <w:tcPr>
            <w:tcW w:w="359" w:type="dxa"/>
            <w:noWrap/>
            <w:hideMark/>
          </w:tcPr>
          <w:p w14:paraId="6C982809" w14:textId="77777777" w:rsidR="00053984" w:rsidRPr="00053984" w:rsidRDefault="00053984" w:rsidP="001D47BF">
            <w:pPr>
              <w:rPr>
                <w:rFonts w:ascii="Gill Sans MT" w:eastAsia="Times New Roman" w:hAnsi="Gill Sans MT" w:cs="Calibri"/>
                <w:sz w:val="16"/>
                <w:szCs w:val="16"/>
              </w:rPr>
            </w:pPr>
          </w:p>
        </w:tc>
        <w:tc>
          <w:tcPr>
            <w:tcW w:w="540" w:type="dxa"/>
            <w:tcBorders>
              <w:top w:val="single" w:sz="4" w:space="0" w:color="auto"/>
              <w:left w:val="nil"/>
              <w:bottom w:val="nil"/>
              <w:right w:val="nil"/>
            </w:tcBorders>
            <w:noWrap/>
            <w:hideMark/>
          </w:tcPr>
          <w:p w14:paraId="2444D99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w:t>
            </w:r>
          </w:p>
        </w:tc>
        <w:tc>
          <w:tcPr>
            <w:tcW w:w="1710" w:type="dxa"/>
            <w:vMerge w:val="restart"/>
            <w:tcBorders>
              <w:top w:val="single" w:sz="4" w:space="0" w:color="auto"/>
              <w:left w:val="nil"/>
              <w:bottom w:val="nil"/>
              <w:right w:val="nil"/>
            </w:tcBorders>
            <w:noWrap/>
            <w:hideMark/>
          </w:tcPr>
          <w:p w14:paraId="005CDE5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CARs (-2,+1) from Fama-French 4-factor model with CRSP EW index as market benchmark</w:t>
            </w:r>
          </w:p>
        </w:tc>
        <w:tc>
          <w:tcPr>
            <w:tcW w:w="990" w:type="dxa"/>
            <w:tcBorders>
              <w:top w:val="single" w:sz="4" w:space="0" w:color="auto"/>
              <w:left w:val="nil"/>
              <w:bottom w:val="nil"/>
              <w:right w:val="nil"/>
            </w:tcBorders>
            <w:noWrap/>
            <w:hideMark/>
          </w:tcPr>
          <w:p w14:paraId="05CB3B1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0.120</w:t>
            </w:r>
          </w:p>
        </w:tc>
        <w:tc>
          <w:tcPr>
            <w:tcW w:w="990" w:type="dxa"/>
            <w:tcBorders>
              <w:top w:val="single" w:sz="4" w:space="0" w:color="auto"/>
              <w:left w:val="nil"/>
              <w:bottom w:val="nil"/>
              <w:right w:val="nil"/>
            </w:tcBorders>
            <w:noWrap/>
            <w:hideMark/>
          </w:tcPr>
          <w:p w14:paraId="60A7197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-0.021</w:t>
            </w:r>
          </w:p>
        </w:tc>
        <w:tc>
          <w:tcPr>
            <w:tcW w:w="903" w:type="dxa"/>
            <w:tcBorders>
              <w:top w:val="single" w:sz="4" w:space="0" w:color="auto"/>
              <w:left w:val="nil"/>
              <w:bottom w:val="nil"/>
              <w:right w:val="nil"/>
            </w:tcBorders>
            <w:noWrap/>
            <w:hideMark/>
          </w:tcPr>
          <w:p w14:paraId="05886A8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0.0874</w:t>
            </w:r>
          </w:p>
        </w:tc>
        <w:tc>
          <w:tcPr>
            <w:tcW w:w="900" w:type="dxa"/>
            <w:tcBorders>
              <w:top w:val="single" w:sz="4" w:space="0" w:color="auto"/>
              <w:left w:val="nil"/>
              <w:bottom w:val="nil"/>
              <w:right w:val="nil"/>
            </w:tcBorders>
            <w:noWrap/>
            <w:hideMark/>
          </w:tcPr>
          <w:p w14:paraId="5D6B28D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tcBorders>
              <w:top w:val="single" w:sz="4" w:space="0" w:color="auto"/>
              <w:left w:val="nil"/>
              <w:bottom w:val="nil"/>
              <w:right w:val="nil"/>
            </w:tcBorders>
            <w:noWrap/>
            <w:hideMark/>
          </w:tcPr>
          <w:p w14:paraId="73098BC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tcBorders>
              <w:top w:val="single" w:sz="4" w:space="0" w:color="auto"/>
              <w:left w:val="nil"/>
              <w:bottom w:val="nil"/>
              <w:right w:val="nil"/>
            </w:tcBorders>
            <w:noWrap/>
            <w:hideMark/>
          </w:tcPr>
          <w:p w14:paraId="50433CE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tcBorders>
              <w:top w:val="single" w:sz="4" w:space="0" w:color="auto"/>
              <w:left w:val="nil"/>
              <w:bottom w:val="nil"/>
              <w:right w:val="nil"/>
            </w:tcBorders>
            <w:noWrap/>
            <w:hideMark/>
          </w:tcPr>
          <w:p w14:paraId="3E85842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tcBorders>
              <w:top w:val="single" w:sz="4" w:space="0" w:color="auto"/>
              <w:left w:val="nil"/>
              <w:bottom w:val="nil"/>
              <w:right w:val="nil"/>
            </w:tcBorders>
            <w:noWrap/>
            <w:hideMark/>
          </w:tcPr>
          <w:p w14:paraId="232B922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1,056</w:t>
            </w:r>
          </w:p>
        </w:tc>
      </w:tr>
      <w:tr w:rsidR="00053984" w:rsidRPr="00053984" w14:paraId="6D2A2F71" w14:textId="77777777" w:rsidTr="001D47BF">
        <w:trPr>
          <w:trHeight w:val="144"/>
        </w:trPr>
        <w:tc>
          <w:tcPr>
            <w:tcW w:w="1709" w:type="dxa"/>
            <w:vMerge/>
            <w:tcBorders>
              <w:top w:val="single" w:sz="4" w:space="0" w:color="auto"/>
              <w:left w:val="nil"/>
              <w:bottom w:val="nil"/>
              <w:right w:val="nil"/>
            </w:tcBorders>
            <w:vAlign w:val="center"/>
            <w:hideMark/>
          </w:tcPr>
          <w:p w14:paraId="6B43C16B" w14:textId="77777777" w:rsidR="00053984" w:rsidRPr="00053984" w:rsidRDefault="00053984" w:rsidP="001D47BF">
            <w:pPr>
              <w:spacing w:after="0"/>
              <w:rPr>
                <w:rFonts w:ascii="Gill Sans MT" w:eastAsia="Times New Roman" w:hAnsi="Gill Sans MT" w:cs="Calibri"/>
                <w:i/>
                <w:iCs/>
                <w:sz w:val="16"/>
                <w:szCs w:val="16"/>
              </w:rPr>
            </w:pPr>
          </w:p>
        </w:tc>
        <w:tc>
          <w:tcPr>
            <w:tcW w:w="1079" w:type="dxa"/>
            <w:noWrap/>
            <w:hideMark/>
          </w:tcPr>
          <w:p w14:paraId="216003E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(1.739 *)</w:t>
            </w:r>
          </w:p>
        </w:tc>
        <w:tc>
          <w:tcPr>
            <w:tcW w:w="359" w:type="dxa"/>
            <w:noWrap/>
            <w:hideMark/>
          </w:tcPr>
          <w:p w14:paraId="7B82B39E"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6031BA85" w14:textId="77777777" w:rsidR="00053984" w:rsidRPr="00053984" w:rsidRDefault="00053984" w:rsidP="001D47BF">
            <w:pPr>
              <w:spacing w:after="0"/>
              <w:rPr>
                <w:sz w:val="16"/>
                <w:szCs w:val="16"/>
              </w:rPr>
            </w:pPr>
          </w:p>
        </w:tc>
        <w:tc>
          <w:tcPr>
            <w:tcW w:w="1710" w:type="dxa"/>
            <w:vMerge/>
            <w:tcBorders>
              <w:top w:val="single" w:sz="4" w:space="0" w:color="auto"/>
              <w:left w:val="nil"/>
              <w:bottom w:val="nil"/>
              <w:right w:val="nil"/>
            </w:tcBorders>
            <w:vAlign w:val="center"/>
            <w:hideMark/>
          </w:tcPr>
          <w:p w14:paraId="6ECD5F8C" w14:textId="77777777" w:rsidR="00053984" w:rsidRPr="00053984" w:rsidRDefault="00053984" w:rsidP="001D47BF">
            <w:pPr>
              <w:spacing w:after="0"/>
              <w:rPr>
                <w:rFonts w:ascii="Gill Sans MT" w:eastAsia="Times New Roman" w:hAnsi="Gill Sans MT" w:cs="Calibri"/>
                <w:sz w:val="16"/>
                <w:szCs w:val="16"/>
              </w:rPr>
            </w:pPr>
          </w:p>
        </w:tc>
        <w:tc>
          <w:tcPr>
            <w:tcW w:w="990" w:type="dxa"/>
            <w:noWrap/>
            <w:hideMark/>
          </w:tcPr>
          <w:p w14:paraId="57D778E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(3.619***)</w:t>
            </w:r>
          </w:p>
        </w:tc>
        <w:tc>
          <w:tcPr>
            <w:tcW w:w="990" w:type="dxa"/>
            <w:noWrap/>
            <w:hideMark/>
          </w:tcPr>
          <w:p w14:paraId="0045A69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(-0.715)</w:t>
            </w:r>
          </w:p>
        </w:tc>
        <w:tc>
          <w:tcPr>
            <w:tcW w:w="903" w:type="dxa"/>
            <w:noWrap/>
            <w:hideMark/>
          </w:tcPr>
          <w:p w14:paraId="0B138CBA"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080A67B5" w14:textId="77777777" w:rsidR="00053984" w:rsidRPr="00053984" w:rsidRDefault="00053984" w:rsidP="001D47BF">
            <w:pPr>
              <w:spacing w:after="0"/>
              <w:rPr>
                <w:sz w:val="16"/>
                <w:szCs w:val="16"/>
              </w:rPr>
            </w:pPr>
          </w:p>
        </w:tc>
        <w:tc>
          <w:tcPr>
            <w:tcW w:w="1080" w:type="dxa"/>
            <w:noWrap/>
            <w:hideMark/>
          </w:tcPr>
          <w:p w14:paraId="12394C16" w14:textId="77777777" w:rsidR="00053984" w:rsidRPr="00053984" w:rsidRDefault="00053984" w:rsidP="001D47BF">
            <w:pPr>
              <w:spacing w:after="0"/>
              <w:rPr>
                <w:sz w:val="16"/>
                <w:szCs w:val="16"/>
              </w:rPr>
            </w:pPr>
          </w:p>
        </w:tc>
        <w:tc>
          <w:tcPr>
            <w:tcW w:w="1080" w:type="dxa"/>
            <w:noWrap/>
            <w:hideMark/>
          </w:tcPr>
          <w:p w14:paraId="3B289B32" w14:textId="77777777" w:rsidR="00053984" w:rsidRPr="00053984" w:rsidRDefault="00053984" w:rsidP="001D47BF">
            <w:pPr>
              <w:spacing w:after="0"/>
              <w:rPr>
                <w:sz w:val="16"/>
                <w:szCs w:val="16"/>
              </w:rPr>
            </w:pPr>
          </w:p>
        </w:tc>
        <w:tc>
          <w:tcPr>
            <w:tcW w:w="900" w:type="dxa"/>
            <w:noWrap/>
            <w:hideMark/>
          </w:tcPr>
          <w:p w14:paraId="1FD6B0BF" w14:textId="77777777" w:rsidR="00053984" w:rsidRPr="00053984" w:rsidRDefault="00053984" w:rsidP="001D47BF">
            <w:pPr>
              <w:spacing w:after="0"/>
              <w:rPr>
                <w:sz w:val="16"/>
                <w:szCs w:val="16"/>
              </w:rPr>
            </w:pPr>
          </w:p>
        </w:tc>
        <w:tc>
          <w:tcPr>
            <w:tcW w:w="720" w:type="dxa"/>
            <w:noWrap/>
            <w:hideMark/>
          </w:tcPr>
          <w:p w14:paraId="0A47523A" w14:textId="77777777" w:rsidR="00053984" w:rsidRPr="00053984" w:rsidRDefault="00053984" w:rsidP="001D47BF">
            <w:pPr>
              <w:spacing w:after="0"/>
              <w:rPr>
                <w:sz w:val="16"/>
                <w:szCs w:val="16"/>
              </w:rPr>
            </w:pPr>
          </w:p>
        </w:tc>
      </w:tr>
      <w:tr w:rsidR="00053984" w:rsidRPr="00053984" w14:paraId="4A0A4C41" w14:textId="77777777" w:rsidTr="001D47BF">
        <w:trPr>
          <w:trHeight w:val="144"/>
        </w:trPr>
        <w:tc>
          <w:tcPr>
            <w:tcW w:w="1709" w:type="dxa"/>
            <w:noWrap/>
            <w:hideMark/>
          </w:tcPr>
          <w:p w14:paraId="066B00FC" w14:textId="77777777" w:rsidR="00053984" w:rsidRPr="00053984" w:rsidRDefault="00053984" w:rsidP="001D47BF">
            <w:pPr>
              <w:spacing w:line="240" w:lineRule="auto"/>
              <w:contextualSpacing/>
              <w:rPr>
                <w:rFonts w:ascii="Gill Sans MT" w:eastAsia="Times New Roman" w:hAnsi="Gill Sans MT" w:cs="Calibri"/>
                <w:i/>
                <w:iCs/>
                <w:sz w:val="16"/>
                <w:szCs w:val="16"/>
              </w:rPr>
            </w:pPr>
            <w:r w:rsidRPr="00053984">
              <w:rPr>
                <w:rFonts w:ascii="Gill Sans MT" w:eastAsia="Times New Roman" w:hAnsi="Gill Sans MT" w:cs="Calibri"/>
                <w:i/>
                <w:iCs/>
                <w:sz w:val="16"/>
                <w:szCs w:val="16"/>
              </w:rPr>
              <w:t>L.ACQ.ROA</w:t>
            </w:r>
          </w:p>
        </w:tc>
        <w:tc>
          <w:tcPr>
            <w:tcW w:w="1079" w:type="dxa"/>
            <w:noWrap/>
            <w:hideMark/>
          </w:tcPr>
          <w:p w14:paraId="52116BA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-0.528</w:t>
            </w:r>
          </w:p>
        </w:tc>
        <w:tc>
          <w:tcPr>
            <w:tcW w:w="359" w:type="dxa"/>
            <w:noWrap/>
            <w:hideMark/>
          </w:tcPr>
          <w:p w14:paraId="015B0683"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1C158F3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w:t>
            </w:r>
          </w:p>
        </w:tc>
        <w:tc>
          <w:tcPr>
            <w:tcW w:w="1710" w:type="dxa"/>
            <w:vMerge w:val="restart"/>
            <w:noWrap/>
            <w:hideMark/>
          </w:tcPr>
          <w:p w14:paraId="02239FE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CARs (-2,+1) from Fama-French 4-factor model with Fama-French 48-Sector Returns as market benchmark</w:t>
            </w:r>
          </w:p>
        </w:tc>
        <w:tc>
          <w:tcPr>
            <w:tcW w:w="990" w:type="dxa"/>
            <w:noWrap/>
            <w:hideMark/>
          </w:tcPr>
          <w:p w14:paraId="2BBA100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0.113</w:t>
            </w:r>
          </w:p>
        </w:tc>
        <w:tc>
          <w:tcPr>
            <w:tcW w:w="990" w:type="dxa"/>
            <w:noWrap/>
            <w:hideMark/>
          </w:tcPr>
          <w:p w14:paraId="1C050FE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0.010</w:t>
            </w:r>
          </w:p>
        </w:tc>
        <w:tc>
          <w:tcPr>
            <w:tcW w:w="903" w:type="dxa"/>
            <w:noWrap/>
            <w:hideMark/>
          </w:tcPr>
          <w:p w14:paraId="0941059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0.0832</w:t>
            </w:r>
          </w:p>
        </w:tc>
        <w:tc>
          <w:tcPr>
            <w:tcW w:w="900" w:type="dxa"/>
            <w:noWrap/>
            <w:hideMark/>
          </w:tcPr>
          <w:p w14:paraId="1E7FAE0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23435D8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6A66E6B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08AE735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278C3CE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1,089</w:t>
            </w:r>
          </w:p>
        </w:tc>
      </w:tr>
      <w:tr w:rsidR="00053984" w:rsidRPr="00053984" w14:paraId="5ECB71FC" w14:textId="77777777" w:rsidTr="001D47BF">
        <w:trPr>
          <w:trHeight w:val="144"/>
        </w:trPr>
        <w:tc>
          <w:tcPr>
            <w:tcW w:w="1709" w:type="dxa"/>
            <w:noWrap/>
            <w:hideMark/>
          </w:tcPr>
          <w:p w14:paraId="081C32A2" w14:textId="77777777" w:rsidR="00053984" w:rsidRPr="00053984" w:rsidRDefault="00053984" w:rsidP="001D47BF">
            <w:pPr>
              <w:rPr>
                <w:rFonts w:ascii="Gill Sans MT" w:eastAsia="Times New Roman" w:hAnsi="Gill Sans MT" w:cs="Calibri"/>
                <w:sz w:val="16"/>
                <w:szCs w:val="16"/>
              </w:rPr>
            </w:pPr>
          </w:p>
        </w:tc>
        <w:tc>
          <w:tcPr>
            <w:tcW w:w="1079" w:type="dxa"/>
            <w:noWrap/>
            <w:hideMark/>
          </w:tcPr>
          <w:p w14:paraId="3CCF1C3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(-1.482 )</w:t>
            </w:r>
          </w:p>
        </w:tc>
        <w:tc>
          <w:tcPr>
            <w:tcW w:w="359" w:type="dxa"/>
            <w:noWrap/>
            <w:hideMark/>
          </w:tcPr>
          <w:p w14:paraId="707B0A27"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3B416AA3" w14:textId="77777777" w:rsidR="00053984" w:rsidRPr="00053984" w:rsidRDefault="00053984" w:rsidP="001D47BF">
            <w:pPr>
              <w:spacing w:after="0"/>
              <w:rPr>
                <w:sz w:val="16"/>
                <w:szCs w:val="16"/>
              </w:rPr>
            </w:pPr>
          </w:p>
        </w:tc>
        <w:tc>
          <w:tcPr>
            <w:tcW w:w="1710" w:type="dxa"/>
            <w:vMerge/>
            <w:vAlign w:val="center"/>
            <w:hideMark/>
          </w:tcPr>
          <w:p w14:paraId="57A4BB6A" w14:textId="77777777" w:rsidR="00053984" w:rsidRPr="00053984" w:rsidRDefault="00053984" w:rsidP="001D47BF">
            <w:pPr>
              <w:spacing w:after="0"/>
              <w:rPr>
                <w:rFonts w:ascii="Gill Sans MT" w:eastAsia="Times New Roman" w:hAnsi="Gill Sans MT" w:cs="Calibri"/>
                <w:sz w:val="16"/>
                <w:szCs w:val="16"/>
              </w:rPr>
            </w:pPr>
          </w:p>
        </w:tc>
        <w:tc>
          <w:tcPr>
            <w:tcW w:w="990" w:type="dxa"/>
            <w:noWrap/>
            <w:hideMark/>
          </w:tcPr>
          <w:p w14:paraId="65B6C74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(3.440***)</w:t>
            </w:r>
          </w:p>
        </w:tc>
        <w:tc>
          <w:tcPr>
            <w:tcW w:w="990" w:type="dxa"/>
            <w:noWrap/>
            <w:hideMark/>
          </w:tcPr>
          <w:p w14:paraId="300876C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(0.359)</w:t>
            </w:r>
          </w:p>
        </w:tc>
        <w:tc>
          <w:tcPr>
            <w:tcW w:w="903" w:type="dxa"/>
            <w:noWrap/>
            <w:hideMark/>
          </w:tcPr>
          <w:p w14:paraId="4FC113F8"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3D27F7F9" w14:textId="77777777" w:rsidR="00053984" w:rsidRPr="00053984" w:rsidRDefault="00053984" w:rsidP="001D47BF">
            <w:pPr>
              <w:spacing w:after="0"/>
              <w:rPr>
                <w:sz w:val="16"/>
                <w:szCs w:val="16"/>
              </w:rPr>
            </w:pPr>
          </w:p>
        </w:tc>
        <w:tc>
          <w:tcPr>
            <w:tcW w:w="1080" w:type="dxa"/>
            <w:noWrap/>
            <w:hideMark/>
          </w:tcPr>
          <w:p w14:paraId="4160CDFE" w14:textId="77777777" w:rsidR="00053984" w:rsidRPr="00053984" w:rsidRDefault="00053984" w:rsidP="001D47BF">
            <w:pPr>
              <w:spacing w:after="0"/>
              <w:rPr>
                <w:sz w:val="16"/>
                <w:szCs w:val="16"/>
              </w:rPr>
            </w:pPr>
          </w:p>
        </w:tc>
        <w:tc>
          <w:tcPr>
            <w:tcW w:w="1080" w:type="dxa"/>
            <w:noWrap/>
            <w:hideMark/>
          </w:tcPr>
          <w:p w14:paraId="39CB6E81" w14:textId="77777777" w:rsidR="00053984" w:rsidRPr="00053984" w:rsidRDefault="00053984" w:rsidP="001D47BF">
            <w:pPr>
              <w:spacing w:after="0"/>
              <w:rPr>
                <w:sz w:val="16"/>
                <w:szCs w:val="16"/>
              </w:rPr>
            </w:pPr>
          </w:p>
        </w:tc>
        <w:tc>
          <w:tcPr>
            <w:tcW w:w="900" w:type="dxa"/>
            <w:noWrap/>
            <w:hideMark/>
          </w:tcPr>
          <w:p w14:paraId="4C5B0D8D" w14:textId="77777777" w:rsidR="00053984" w:rsidRPr="00053984" w:rsidRDefault="00053984" w:rsidP="001D47BF">
            <w:pPr>
              <w:spacing w:after="0"/>
              <w:rPr>
                <w:sz w:val="16"/>
                <w:szCs w:val="16"/>
              </w:rPr>
            </w:pPr>
          </w:p>
        </w:tc>
        <w:tc>
          <w:tcPr>
            <w:tcW w:w="720" w:type="dxa"/>
            <w:noWrap/>
            <w:hideMark/>
          </w:tcPr>
          <w:p w14:paraId="5C23A706" w14:textId="77777777" w:rsidR="00053984" w:rsidRPr="00053984" w:rsidRDefault="00053984" w:rsidP="001D47BF">
            <w:pPr>
              <w:spacing w:after="0"/>
              <w:rPr>
                <w:sz w:val="16"/>
                <w:szCs w:val="16"/>
              </w:rPr>
            </w:pPr>
          </w:p>
        </w:tc>
      </w:tr>
      <w:tr w:rsidR="00053984" w:rsidRPr="00053984" w14:paraId="38130E11" w14:textId="77777777" w:rsidTr="001D47BF">
        <w:trPr>
          <w:trHeight w:val="144"/>
        </w:trPr>
        <w:tc>
          <w:tcPr>
            <w:tcW w:w="1709" w:type="dxa"/>
            <w:noWrap/>
            <w:hideMark/>
          </w:tcPr>
          <w:p w14:paraId="3DE0C476" w14:textId="77777777" w:rsidR="00053984" w:rsidRPr="00053984" w:rsidRDefault="00053984" w:rsidP="001D47BF">
            <w:pPr>
              <w:spacing w:line="240" w:lineRule="auto"/>
              <w:contextualSpacing/>
              <w:rPr>
                <w:rFonts w:ascii="Gill Sans MT" w:eastAsia="Times New Roman" w:hAnsi="Gill Sans MT" w:cs="Calibri"/>
                <w:i/>
                <w:iCs/>
                <w:sz w:val="16"/>
                <w:szCs w:val="16"/>
              </w:rPr>
            </w:pPr>
            <w:r w:rsidRPr="00053984">
              <w:rPr>
                <w:rFonts w:ascii="Gill Sans MT" w:eastAsia="Times New Roman" w:hAnsi="Gill Sans MT" w:cs="Calibri"/>
                <w:i/>
                <w:iCs/>
                <w:sz w:val="16"/>
                <w:szCs w:val="16"/>
              </w:rPr>
              <w:t>L.ACQ.LIQUIDITY</w:t>
            </w:r>
          </w:p>
        </w:tc>
        <w:tc>
          <w:tcPr>
            <w:tcW w:w="1079" w:type="dxa"/>
            <w:noWrap/>
            <w:hideMark/>
          </w:tcPr>
          <w:p w14:paraId="72DDBCA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-0.490</w:t>
            </w:r>
          </w:p>
        </w:tc>
        <w:tc>
          <w:tcPr>
            <w:tcW w:w="359" w:type="dxa"/>
            <w:noWrap/>
            <w:hideMark/>
          </w:tcPr>
          <w:p w14:paraId="3F9A5D8E"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2003EE2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(3)</w:t>
            </w:r>
          </w:p>
        </w:tc>
        <w:tc>
          <w:tcPr>
            <w:tcW w:w="1710" w:type="dxa"/>
            <w:noWrap/>
            <w:hideMark/>
          </w:tcPr>
          <w:p w14:paraId="51D4E2C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BHAR (+1,+12)</w:t>
            </w:r>
          </w:p>
        </w:tc>
        <w:tc>
          <w:tcPr>
            <w:tcW w:w="990" w:type="dxa"/>
            <w:noWrap/>
            <w:hideMark/>
          </w:tcPr>
          <w:p w14:paraId="6F0DC3F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0.022</w:t>
            </w:r>
          </w:p>
        </w:tc>
        <w:tc>
          <w:tcPr>
            <w:tcW w:w="990" w:type="dxa"/>
            <w:noWrap/>
            <w:hideMark/>
          </w:tcPr>
          <w:p w14:paraId="7E24A1D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-0.781**</w:t>
            </w:r>
          </w:p>
        </w:tc>
        <w:tc>
          <w:tcPr>
            <w:tcW w:w="903" w:type="dxa"/>
            <w:noWrap/>
            <w:hideMark/>
          </w:tcPr>
          <w:p w14:paraId="5E629D4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0.166</w:t>
            </w:r>
          </w:p>
        </w:tc>
        <w:tc>
          <w:tcPr>
            <w:tcW w:w="900" w:type="dxa"/>
            <w:noWrap/>
            <w:hideMark/>
          </w:tcPr>
          <w:p w14:paraId="0838D90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07EBB84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7908DBC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63E50BC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6502D0D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1,062</w:t>
            </w:r>
          </w:p>
        </w:tc>
      </w:tr>
      <w:tr w:rsidR="00053984" w:rsidRPr="00053984" w14:paraId="69E3A884" w14:textId="77777777" w:rsidTr="001D47BF">
        <w:trPr>
          <w:trHeight w:val="144"/>
        </w:trPr>
        <w:tc>
          <w:tcPr>
            <w:tcW w:w="1709" w:type="dxa"/>
            <w:noWrap/>
            <w:hideMark/>
          </w:tcPr>
          <w:p w14:paraId="4E0F77F8" w14:textId="77777777" w:rsidR="00053984" w:rsidRPr="00053984" w:rsidRDefault="00053984" w:rsidP="001D47BF">
            <w:pPr>
              <w:rPr>
                <w:rFonts w:ascii="Gill Sans MT" w:eastAsia="Times New Roman" w:hAnsi="Gill Sans MT" w:cs="Calibri"/>
                <w:sz w:val="16"/>
                <w:szCs w:val="16"/>
              </w:rPr>
            </w:pPr>
          </w:p>
        </w:tc>
        <w:tc>
          <w:tcPr>
            <w:tcW w:w="1079" w:type="dxa"/>
            <w:noWrap/>
            <w:hideMark/>
          </w:tcPr>
          <w:p w14:paraId="427A3E1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(-1.349 )</w:t>
            </w:r>
          </w:p>
        </w:tc>
        <w:tc>
          <w:tcPr>
            <w:tcW w:w="359" w:type="dxa"/>
            <w:noWrap/>
            <w:hideMark/>
          </w:tcPr>
          <w:p w14:paraId="66AD89EB"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2A90DCBB" w14:textId="77777777" w:rsidR="00053984" w:rsidRPr="00053984" w:rsidRDefault="00053984" w:rsidP="001D47BF">
            <w:pPr>
              <w:spacing w:after="0"/>
              <w:rPr>
                <w:sz w:val="16"/>
                <w:szCs w:val="16"/>
              </w:rPr>
            </w:pPr>
          </w:p>
        </w:tc>
        <w:tc>
          <w:tcPr>
            <w:tcW w:w="1710" w:type="dxa"/>
            <w:noWrap/>
            <w:hideMark/>
          </w:tcPr>
          <w:p w14:paraId="1270BC0A" w14:textId="77777777" w:rsidR="00053984" w:rsidRPr="00053984" w:rsidRDefault="00053984" w:rsidP="001D47BF">
            <w:pPr>
              <w:spacing w:after="0"/>
              <w:rPr>
                <w:sz w:val="16"/>
                <w:szCs w:val="16"/>
              </w:rPr>
            </w:pPr>
          </w:p>
        </w:tc>
        <w:tc>
          <w:tcPr>
            <w:tcW w:w="990" w:type="dxa"/>
            <w:noWrap/>
            <w:hideMark/>
          </w:tcPr>
          <w:p w14:paraId="09EA97C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(0.933)</w:t>
            </w:r>
          </w:p>
        </w:tc>
        <w:tc>
          <w:tcPr>
            <w:tcW w:w="990" w:type="dxa"/>
            <w:noWrap/>
            <w:hideMark/>
          </w:tcPr>
          <w:p w14:paraId="07CCDC4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(-2.307**)</w:t>
            </w:r>
          </w:p>
        </w:tc>
        <w:tc>
          <w:tcPr>
            <w:tcW w:w="903" w:type="dxa"/>
            <w:noWrap/>
            <w:hideMark/>
          </w:tcPr>
          <w:p w14:paraId="592C1BE3"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0C36A9DC" w14:textId="77777777" w:rsidR="00053984" w:rsidRPr="00053984" w:rsidRDefault="00053984" w:rsidP="001D47BF">
            <w:pPr>
              <w:spacing w:after="0"/>
              <w:rPr>
                <w:sz w:val="16"/>
                <w:szCs w:val="16"/>
              </w:rPr>
            </w:pPr>
          </w:p>
        </w:tc>
        <w:tc>
          <w:tcPr>
            <w:tcW w:w="1080" w:type="dxa"/>
            <w:noWrap/>
            <w:hideMark/>
          </w:tcPr>
          <w:p w14:paraId="281F20F5" w14:textId="77777777" w:rsidR="00053984" w:rsidRPr="00053984" w:rsidRDefault="00053984" w:rsidP="001D47BF">
            <w:pPr>
              <w:spacing w:after="0"/>
              <w:rPr>
                <w:sz w:val="16"/>
                <w:szCs w:val="16"/>
              </w:rPr>
            </w:pPr>
          </w:p>
        </w:tc>
        <w:tc>
          <w:tcPr>
            <w:tcW w:w="1080" w:type="dxa"/>
            <w:noWrap/>
            <w:hideMark/>
          </w:tcPr>
          <w:p w14:paraId="4D402E25" w14:textId="77777777" w:rsidR="00053984" w:rsidRPr="00053984" w:rsidRDefault="00053984" w:rsidP="001D47BF">
            <w:pPr>
              <w:spacing w:after="0"/>
              <w:rPr>
                <w:sz w:val="16"/>
                <w:szCs w:val="16"/>
              </w:rPr>
            </w:pPr>
          </w:p>
        </w:tc>
        <w:tc>
          <w:tcPr>
            <w:tcW w:w="900" w:type="dxa"/>
            <w:noWrap/>
            <w:hideMark/>
          </w:tcPr>
          <w:p w14:paraId="323724CC" w14:textId="77777777" w:rsidR="00053984" w:rsidRPr="00053984" w:rsidRDefault="00053984" w:rsidP="001D47BF">
            <w:pPr>
              <w:spacing w:after="0"/>
              <w:rPr>
                <w:sz w:val="16"/>
                <w:szCs w:val="16"/>
              </w:rPr>
            </w:pPr>
          </w:p>
        </w:tc>
        <w:tc>
          <w:tcPr>
            <w:tcW w:w="720" w:type="dxa"/>
            <w:noWrap/>
            <w:hideMark/>
          </w:tcPr>
          <w:p w14:paraId="088B7A68" w14:textId="77777777" w:rsidR="00053984" w:rsidRPr="00053984" w:rsidRDefault="00053984" w:rsidP="001D47BF">
            <w:pPr>
              <w:spacing w:after="0"/>
              <w:rPr>
                <w:sz w:val="16"/>
                <w:szCs w:val="16"/>
              </w:rPr>
            </w:pPr>
          </w:p>
        </w:tc>
      </w:tr>
      <w:tr w:rsidR="00053984" w:rsidRPr="00053984" w14:paraId="355BD1CA" w14:textId="77777777" w:rsidTr="001D47BF">
        <w:trPr>
          <w:trHeight w:val="144"/>
        </w:trPr>
        <w:tc>
          <w:tcPr>
            <w:tcW w:w="1709" w:type="dxa"/>
            <w:noWrap/>
            <w:hideMark/>
          </w:tcPr>
          <w:p w14:paraId="5DC4CDC2" w14:textId="77777777" w:rsidR="00053984" w:rsidRPr="00053984" w:rsidRDefault="00053984" w:rsidP="001D47BF">
            <w:pPr>
              <w:spacing w:line="240" w:lineRule="auto"/>
              <w:contextualSpacing/>
              <w:rPr>
                <w:rFonts w:ascii="Gill Sans MT" w:eastAsia="Times New Roman" w:hAnsi="Gill Sans MT" w:cs="Calibri"/>
                <w:i/>
                <w:iCs/>
                <w:sz w:val="16"/>
                <w:szCs w:val="16"/>
              </w:rPr>
            </w:pPr>
            <w:r w:rsidRPr="00053984">
              <w:rPr>
                <w:rFonts w:ascii="Gill Sans MT" w:eastAsia="Times New Roman" w:hAnsi="Gill Sans MT" w:cs="Calibri"/>
                <w:i/>
                <w:iCs/>
                <w:sz w:val="16"/>
                <w:szCs w:val="16"/>
              </w:rPr>
              <w:t>LOG(AGE)</w:t>
            </w:r>
          </w:p>
        </w:tc>
        <w:tc>
          <w:tcPr>
            <w:tcW w:w="1079" w:type="dxa"/>
            <w:noWrap/>
            <w:hideMark/>
          </w:tcPr>
          <w:p w14:paraId="6216645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-0.676</w:t>
            </w:r>
          </w:p>
        </w:tc>
        <w:tc>
          <w:tcPr>
            <w:tcW w:w="359" w:type="dxa"/>
            <w:noWrap/>
            <w:hideMark/>
          </w:tcPr>
          <w:p w14:paraId="101447C8"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751285E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(4)</w:t>
            </w:r>
          </w:p>
        </w:tc>
        <w:tc>
          <w:tcPr>
            <w:tcW w:w="1710" w:type="dxa"/>
            <w:noWrap/>
            <w:hideMark/>
          </w:tcPr>
          <w:p w14:paraId="62A76B8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BHAR (+1,+36)</w:t>
            </w:r>
          </w:p>
        </w:tc>
        <w:tc>
          <w:tcPr>
            <w:tcW w:w="990" w:type="dxa"/>
            <w:noWrap/>
            <w:hideMark/>
          </w:tcPr>
          <w:p w14:paraId="4BD5AD1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0.048</w:t>
            </w:r>
          </w:p>
        </w:tc>
        <w:tc>
          <w:tcPr>
            <w:tcW w:w="990" w:type="dxa"/>
            <w:noWrap/>
            <w:hideMark/>
          </w:tcPr>
          <w:p w14:paraId="5F5EB71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-3.470***</w:t>
            </w:r>
          </w:p>
        </w:tc>
        <w:tc>
          <w:tcPr>
            <w:tcW w:w="903" w:type="dxa"/>
            <w:noWrap/>
            <w:hideMark/>
          </w:tcPr>
          <w:p w14:paraId="4FA2650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0.440</w:t>
            </w:r>
          </w:p>
        </w:tc>
        <w:tc>
          <w:tcPr>
            <w:tcW w:w="900" w:type="dxa"/>
            <w:noWrap/>
            <w:hideMark/>
          </w:tcPr>
          <w:p w14:paraId="240B044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55AF005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35ADC5F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668FF72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3C08B6D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775</w:t>
            </w:r>
          </w:p>
        </w:tc>
      </w:tr>
      <w:tr w:rsidR="00053984" w:rsidRPr="00053984" w14:paraId="606723C1" w14:textId="77777777" w:rsidTr="001D47BF">
        <w:trPr>
          <w:trHeight w:val="144"/>
        </w:trPr>
        <w:tc>
          <w:tcPr>
            <w:tcW w:w="1709" w:type="dxa"/>
            <w:noWrap/>
            <w:hideMark/>
          </w:tcPr>
          <w:p w14:paraId="1E8C113F" w14:textId="77777777" w:rsidR="00053984" w:rsidRPr="00053984" w:rsidRDefault="00053984" w:rsidP="001D47BF">
            <w:pPr>
              <w:rPr>
                <w:rFonts w:ascii="Gill Sans MT" w:eastAsia="Times New Roman" w:hAnsi="Gill Sans MT" w:cs="Calibri"/>
                <w:sz w:val="16"/>
                <w:szCs w:val="16"/>
              </w:rPr>
            </w:pPr>
          </w:p>
        </w:tc>
        <w:tc>
          <w:tcPr>
            <w:tcW w:w="1079" w:type="dxa"/>
            <w:noWrap/>
            <w:hideMark/>
          </w:tcPr>
          <w:p w14:paraId="7E7E4FB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(-2.369 **)</w:t>
            </w:r>
          </w:p>
        </w:tc>
        <w:tc>
          <w:tcPr>
            <w:tcW w:w="359" w:type="dxa"/>
            <w:noWrap/>
            <w:hideMark/>
          </w:tcPr>
          <w:p w14:paraId="4EC4F14D"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7469FE4C" w14:textId="77777777" w:rsidR="00053984" w:rsidRPr="00053984" w:rsidRDefault="00053984" w:rsidP="001D47BF">
            <w:pPr>
              <w:spacing w:after="0"/>
              <w:rPr>
                <w:sz w:val="16"/>
                <w:szCs w:val="16"/>
              </w:rPr>
            </w:pPr>
          </w:p>
        </w:tc>
        <w:tc>
          <w:tcPr>
            <w:tcW w:w="1710" w:type="dxa"/>
            <w:noWrap/>
            <w:hideMark/>
          </w:tcPr>
          <w:p w14:paraId="214D95F5" w14:textId="77777777" w:rsidR="00053984" w:rsidRPr="00053984" w:rsidRDefault="00053984" w:rsidP="001D47BF">
            <w:pPr>
              <w:spacing w:after="0"/>
              <w:rPr>
                <w:sz w:val="16"/>
                <w:szCs w:val="16"/>
              </w:rPr>
            </w:pPr>
          </w:p>
        </w:tc>
        <w:tc>
          <w:tcPr>
            <w:tcW w:w="990" w:type="dxa"/>
            <w:noWrap/>
            <w:hideMark/>
          </w:tcPr>
          <w:p w14:paraId="387EA4A8"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(2.202**)</w:t>
            </w:r>
          </w:p>
        </w:tc>
        <w:tc>
          <w:tcPr>
            <w:tcW w:w="990" w:type="dxa"/>
            <w:noWrap/>
            <w:hideMark/>
          </w:tcPr>
          <w:p w14:paraId="6D7F93E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(-5.998***)</w:t>
            </w:r>
          </w:p>
        </w:tc>
        <w:tc>
          <w:tcPr>
            <w:tcW w:w="903" w:type="dxa"/>
            <w:noWrap/>
            <w:hideMark/>
          </w:tcPr>
          <w:p w14:paraId="5259DAB6"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5C285135" w14:textId="77777777" w:rsidR="00053984" w:rsidRPr="00053984" w:rsidRDefault="00053984" w:rsidP="001D47BF">
            <w:pPr>
              <w:spacing w:after="0"/>
              <w:rPr>
                <w:sz w:val="16"/>
                <w:szCs w:val="16"/>
              </w:rPr>
            </w:pPr>
          </w:p>
        </w:tc>
        <w:tc>
          <w:tcPr>
            <w:tcW w:w="1080" w:type="dxa"/>
            <w:noWrap/>
            <w:hideMark/>
          </w:tcPr>
          <w:p w14:paraId="11C036F9" w14:textId="77777777" w:rsidR="00053984" w:rsidRPr="00053984" w:rsidRDefault="00053984" w:rsidP="001D47BF">
            <w:pPr>
              <w:spacing w:after="0"/>
              <w:rPr>
                <w:sz w:val="16"/>
                <w:szCs w:val="16"/>
              </w:rPr>
            </w:pPr>
          </w:p>
        </w:tc>
        <w:tc>
          <w:tcPr>
            <w:tcW w:w="1080" w:type="dxa"/>
            <w:noWrap/>
            <w:hideMark/>
          </w:tcPr>
          <w:p w14:paraId="1609A455" w14:textId="77777777" w:rsidR="00053984" w:rsidRPr="00053984" w:rsidRDefault="00053984" w:rsidP="001D47BF">
            <w:pPr>
              <w:spacing w:after="0"/>
              <w:rPr>
                <w:sz w:val="16"/>
                <w:szCs w:val="16"/>
              </w:rPr>
            </w:pPr>
          </w:p>
        </w:tc>
        <w:tc>
          <w:tcPr>
            <w:tcW w:w="900" w:type="dxa"/>
            <w:noWrap/>
            <w:hideMark/>
          </w:tcPr>
          <w:p w14:paraId="0AF21B5C" w14:textId="77777777" w:rsidR="00053984" w:rsidRPr="00053984" w:rsidRDefault="00053984" w:rsidP="001D47BF">
            <w:pPr>
              <w:spacing w:after="0"/>
              <w:rPr>
                <w:sz w:val="16"/>
                <w:szCs w:val="16"/>
              </w:rPr>
            </w:pPr>
          </w:p>
        </w:tc>
        <w:tc>
          <w:tcPr>
            <w:tcW w:w="720" w:type="dxa"/>
            <w:noWrap/>
            <w:hideMark/>
          </w:tcPr>
          <w:p w14:paraId="05106108" w14:textId="77777777" w:rsidR="00053984" w:rsidRPr="00053984" w:rsidRDefault="00053984" w:rsidP="001D47BF">
            <w:pPr>
              <w:spacing w:after="0"/>
              <w:rPr>
                <w:sz w:val="16"/>
                <w:szCs w:val="16"/>
              </w:rPr>
            </w:pPr>
          </w:p>
        </w:tc>
      </w:tr>
      <w:tr w:rsidR="00053984" w:rsidRPr="00053984" w14:paraId="725EDC86" w14:textId="77777777" w:rsidTr="001D47BF">
        <w:trPr>
          <w:trHeight w:val="144"/>
        </w:trPr>
        <w:tc>
          <w:tcPr>
            <w:tcW w:w="1709" w:type="dxa"/>
            <w:vMerge w:val="restart"/>
            <w:noWrap/>
            <w:hideMark/>
          </w:tcPr>
          <w:p w14:paraId="6FD397A0" w14:textId="77777777" w:rsidR="00053984" w:rsidRPr="00053984" w:rsidRDefault="00053984" w:rsidP="001D47BF">
            <w:pPr>
              <w:spacing w:line="240" w:lineRule="auto"/>
              <w:contextualSpacing/>
              <w:rPr>
                <w:rFonts w:ascii="Gill Sans MT" w:eastAsia="Times New Roman" w:hAnsi="Gill Sans MT" w:cs="Calibri"/>
                <w:i/>
                <w:iCs/>
                <w:sz w:val="16"/>
                <w:szCs w:val="16"/>
              </w:rPr>
            </w:pPr>
            <w:r w:rsidRPr="00053984">
              <w:rPr>
                <w:rFonts w:ascii="Gill Sans MT" w:eastAsia="Times New Roman" w:hAnsi="Gill Sans MT" w:cs="Calibri"/>
                <w:i/>
                <w:iCs/>
                <w:sz w:val="16"/>
                <w:szCs w:val="16"/>
              </w:rPr>
              <w:t>LOG(FIRM SAME STATE)</w:t>
            </w:r>
          </w:p>
        </w:tc>
        <w:tc>
          <w:tcPr>
            <w:tcW w:w="1079" w:type="dxa"/>
            <w:noWrap/>
            <w:hideMark/>
          </w:tcPr>
          <w:p w14:paraId="236CC04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0.444</w:t>
            </w:r>
          </w:p>
        </w:tc>
        <w:tc>
          <w:tcPr>
            <w:tcW w:w="359" w:type="dxa"/>
            <w:noWrap/>
            <w:hideMark/>
          </w:tcPr>
          <w:p w14:paraId="1E190DAE"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422E944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(5)</w:t>
            </w:r>
          </w:p>
        </w:tc>
        <w:tc>
          <w:tcPr>
            <w:tcW w:w="1710" w:type="dxa"/>
            <w:vMerge w:val="restart"/>
            <w:noWrap/>
            <w:hideMark/>
          </w:tcPr>
          <w:p w14:paraId="0FFBD10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Total stock return volatility change</w:t>
            </w:r>
          </w:p>
        </w:tc>
        <w:tc>
          <w:tcPr>
            <w:tcW w:w="990" w:type="dxa"/>
            <w:noWrap/>
            <w:hideMark/>
          </w:tcPr>
          <w:p w14:paraId="4A8F7DF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-0.055</w:t>
            </w:r>
          </w:p>
        </w:tc>
        <w:tc>
          <w:tcPr>
            <w:tcW w:w="990" w:type="dxa"/>
            <w:noWrap/>
            <w:hideMark/>
          </w:tcPr>
          <w:p w14:paraId="7DE161C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-0.006</w:t>
            </w:r>
          </w:p>
        </w:tc>
        <w:tc>
          <w:tcPr>
            <w:tcW w:w="903" w:type="dxa"/>
            <w:noWrap/>
            <w:hideMark/>
          </w:tcPr>
          <w:p w14:paraId="4A71B7D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0.280</w:t>
            </w:r>
          </w:p>
        </w:tc>
        <w:tc>
          <w:tcPr>
            <w:tcW w:w="900" w:type="dxa"/>
            <w:noWrap/>
            <w:hideMark/>
          </w:tcPr>
          <w:p w14:paraId="07A74A5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37DCAAA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278B8C7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2F990CE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1D91831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947</w:t>
            </w:r>
          </w:p>
        </w:tc>
      </w:tr>
      <w:tr w:rsidR="00053984" w:rsidRPr="00053984" w14:paraId="15598EBE" w14:textId="77777777" w:rsidTr="001D47BF">
        <w:trPr>
          <w:trHeight w:val="144"/>
        </w:trPr>
        <w:tc>
          <w:tcPr>
            <w:tcW w:w="1709" w:type="dxa"/>
            <w:vMerge/>
            <w:vAlign w:val="center"/>
            <w:hideMark/>
          </w:tcPr>
          <w:p w14:paraId="3C3EF259" w14:textId="77777777" w:rsidR="00053984" w:rsidRPr="00053984" w:rsidRDefault="00053984" w:rsidP="001D47BF">
            <w:pPr>
              <w:spacing w:after="0"/>
              <w:rPr>
                <w:rFonts w:ascii="Gill Sans MT" w:eastAsia="Times New Roman" w:hAnsi="Gill Sans MT" w:cs="Calibri"/>
                <w:i/>
                <w:iCs/>
                <w:sz w:val="16"/>
                <w:szCs w:val="16"/>
              </w:rPr>
            </w:pPr>
          </w:p>
        </w:tc>
        <w:tc>
          <w:tcPr>
            <w:tcW w:w="1079" w:type="dxa"/>
            <w:noWrap/>
            <w:hideMark/>
          </w:tcPr>
          <w:p w14:paraId="55E408F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(1.732 *)</w:t>
            </w:r>
          </w:p>
        </w:tc>
        <w:tc>
          <w:tcPr>
            <w:tcW w:w="359" w:type="dxa"/>
            <w:noWrap/>
            <w:hideMark/>
          </w:tcPr>
          <w:p w14:paraId="2837B967"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7CD07291" w14:textId="77777777" w:rsidR="00053984" w:rsidRPr="00053984" w:rsidRDefault="00053984" w:rsidP="001D47BF">
            <w:pPr>
              <w:spacing w:after="0"/>
              <w:rPr>
                <w:sz w:val="16"/>
                <w:szCs w:val="16"/>
              </w:rPr>
            </w:pPr>
          </w:p>
        </w:tc>
        <w:tc>
          <w:tcPr>
            <w:tcW w:w="1710" w:type="dxa"/>
            <w:vMerge/>
            <w:vAlign w:val="center"/>
            <w:hideMark/>
          </w:tcPr>
          <w:p w14:paraId="63C80FD2" w14:textId="77777777" w:rsidR="00053984" w:rsidRPr="00053984" w:rsidRDefault="00053984" w:rsidP="001D47BF">
            <w:pPr>
              <w:spacing w:after="0"/>
              <w:rPr>
                <w:rFonts w:ascii="Gill Sans MT" w:eastAsia="Times New Roman" w:hAnsi="Gill Sans MT" w:cs="Calibri"/>
                <w:sz w:val="16"/>
                <w:szCs w:val="16"/>
              </w:rPr>
            </w:pPr>
          </w:p>
        </w:tc>
        <w:tc>
          <w:tcPr>
            <w:tcW w:w="990" w:type="dxa"/>
            <w:noWrap/>
            <w:hideMark/>
          </w:tcPr>
          <w:p w14:paraId="0D13E1E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(-2.226**)</w:t>
            </w:r>
          </w:p>
        </w:tc>
        <w:tc>
          <w:tcPr>
            <w:tcW w:w="990" w:type="dxa"/>
            <w:noWrap/>
            <w:hideMark/>
          </w:tcPr>
          <w:p w14:paraId="4ECE230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(-1.494)</w:t>
            </w:r>
          </w:p>
        </w:tc>
        <w:tc>
          <w:tcPr>
            <w:tcW w:w="903" w:type="dxa"/>
            <w:noWrap/>
            <w:hideMark/>
          </w:tcPr>
          <w:p w14:paraId="552186CC"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023D2B1C" w14:textId="77777777" w:rsidR="00053984" w:rsidRPr="00053984" w:rsidRDefault="00053984" w:rsidP="001D47BF">
            <w:pPr>
              <w:spacing w:after="0"/>
              <w:rPr>
                <w:sz w:val="16"/>
                <w:szCs w:val="16"/>
              </w:rPr>
            </w:pPr>
          </w:p>
        </w:tc>
        <w:tc>
          <w:tcPr>
            <w:tcW w:w="1080" w:type="dxa"/>
            <w:noWrap/>
            <w:hideMark/>
          </w:tcPr>
          <w:p w14:paraId="7FAB9354" w14:textId="77777777" w:rsidR="00053984" w:rsidRPr="00053984" w:rsidRDefault="00053984" w:rsidP="001D47BF">
            <w:pPr>
              <w:spacing w:after="0"/>
              <w:rPr>
                <w:sz w:val="16"/>
                <w:szCs w:val="16"/>
              </w:rPr>
            </w:pPr>
          </w:p>
        </w:tc>
        <w:tc>
          <w:tcPr>
            <w:tcW w:w="1080" w:type="dxa"/>
            <w:noWrap/>
            <w:hideMark/>
          </w:tcPr>
          <w:p w14:paraId="74400CA1" w14:textId="77777777" w:rsidR="00053984" w:rsidRPr="00053984" w:rsidRDefault="00053984" w:rsidP="001D47BF">
            <w:pPr>
              <w:spacing w:after="0"/>
              <w:rPr>
                <w:sz w:val="16"/>
                <w:szCs w:val="16"/>
              </w:rPr>
            </w:pPr>
          </w:p>
        </w:tc>
        <w:tc>
          <w:tcPr>
            <w:tcW w:w="900" w:type="dxa"/>
            <w:noWrap/>
            <w:hideMark/>
          </w:tcPr>
          <w:p w14:paraId="58316ADB" w14:textId="77777777" w:rsidR="00053984" w:rsidRPr="00053984" w:rsidRDefault="00053984" w:rsidP="001D47BF">
            <w:pPr>
              <w:spacing w:after="0"/>
              <w:rPr>
                <w:sz w:val="16"/>
                <w:szCs w:val="16"/>
              </w:rPr>
            </w:pPr>
          </w:p>
        </w:tc>
        <w:tc>
          <w:tcPr>
            <w:tcW w:w="720" w:type="dxa"/>
            <w:noWrap/>
            <w:hideMark/>
          </w:tcPr>
          <w:p w14:paraId="7ADD42D3" w14:textId="77777777" w:rsidR="00053984" w:rsidRPr="00053984" w:rsidRDefault="00053984" w:rsidP="001D47BF">
            <w:pPr>
              <w:spacing w:after="0"/>
              <w:rPr>
                <w:sz w:val="16"/>
                <w:szCs w:val="16"/>
              </w:rPr>
            </w:pPr>
          </w:p>
        </w:tc>
      </w:tr>
      <w:tr w:rsidR="00053984" w:rsidRPr="00053984" w14:paraId="4C1A67BE" w14:textId="77777777" w:rsidTr="001D47BF">
        <w:trPr>
          <w:trHeight w:val="144"/>
        </w:trPr>
        <w:tc>
          <w:tcPr>
            <w:tcW w:w="1709" w:type="dxa"/>
            <w:noWrap/>
            <w:hideMark/>
          </w:tcPr>
          <w:p w14:paraId="27C5CCB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Constant</w:t>
            </w:r>
          </w:p>
        </w:tc>
        <w:tc>
          <w:tcPr>
            <w:tcW w:w="1079" w:type="dxa"/>
            <w:noWrap/>
            <w:hideMark/>
          </w:tcPr>
          <w:p w14:paraId="6A4A689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-4.191</w:t>
            </w:r>
          </w:p>
        </w:tc>
        <w:tc>
          <w:tcPr>
            <w:tcW w:w="359" w:type="dxa"/>
            <w:noWrap/>
            <w:hideMark/>
          </w:tcPr>
          <w:p w14:paraId="439B0481"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2D08A3A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(6)</w:t>
            </w:r>
          </w:p>
        </w:tc>
        <w:tc>
          <w:tcPr>
            <w:tcW w:w="1710" w:type="dxa"/>
            <w:noWrap/>
            <w:hideMark/>
          </w:tcPr>
          <w:p w14:paraId="3F7C036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ROA Change</w:t>
            </w:r>
          </w:p>
        </w:tc>
        <w:tc>
          <w:tcPr>
            <w:tcW w:w="990" w:type="dxa"/>
            <w:noWrap/>
            <w:hideMark/>
          </w:tcPr>
          <w:p w14:paraId="139A90C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-0.018</w:t>
            </w:r>
          </w:p>
        </w:tc>
        <w:tc>
          <w:tcPr>
            <w:tcW w:w="990" w:type="dxa"/>
            <w:noWrap/>
            <w:hideMark/>
          </w:tcPr>
          <w:p w14:paraId="2BB11BC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0.028</w:t>
            </w:r>
          </w:p>
        </w:tc>
        <w:tc>
          <w:tcPr>
            <w:tcW w:w="903" w:type="dxa"/>
            <w:noWrap/>
            <w:hideMark/>
          </w:tcPr>
          <w:p w14:paraId="44827F7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0.0994</w:t>
            </w:r>
          </w:p>
        </w:tc>
        <w:tc>
          <w:tcPr>
            <w:tcW w:w="900" w:type="dxa"/>
            <w:noWrap/>
            <w:hideMark/>
          </w:tcPr>
          <w:p w14:paraId="5D602B6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4D6EEDD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33A6DA2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230CA30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36D608B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946</w:t>
            </w:r>
          </w:p>
        </w:tc>
      </w:tr>
      <w:tr w:rsidR="00053984" w:rsidRPr="00053984" w14:paraId="334CD7C9" w14:textId="77777777" w:rsidTr="001D47BF">
        <w:trPr>
          <w:trHeight w:val="144"/>
        </w:trPr>
        <w:tc>
          <w:tcPr>
            <w:tcW w:w="1709" w:type="dxa"/>
            <w:noWrap/>
            <w:hideMark/>
          </w:tcPr>
          <w:p w14:paraId="2C0AD47E" w14:textId="77777777" w:rsidR="00053984" w:rsidRPr="00053984" w:rsidRDefault="00053984" w:rsidP="001D47BF">
            <w:pPr>
              <w:rPr>
                <w:rFonts w:ascii="Gill Sans MT" w:eastAsia="Times New Roman" w:hAnsi="Gill Sans MT" w:cs="Calibri"/>
                <w:sz w:val="16"/>
                <w:szCs w:val="16"/>
              </w:rPr>
            </w:pPr>
          </w:p>
        </w:tc>
        <w:tc>
          <w:tcPr>
            <w:tcW w:w="1079" w:type="dxa"/>
            <w:noWrap/>
            <w:hideMark/>
          </w:tcPr>
          <w:p w14:paraId="3686B1E7"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(-4.317 ***)</w:t>
            </w:r>
          </w:p>
        </w:tc>
        <w:tc>
          <w:tcPr>
            <w:tcW w:w="359" w:type="dxa"/>
            <w:noWrap/>
            <w:hideMark/>
          </w:tcPr>
          <w:p w14:paraId="6863B35F"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53E53627" w14:textId="77777777" w:rsidR="00053984" w:rsidRPr="00053984" w:rsidRDefault="00053984" w:rsidP="001D47BF">
            <w:pPr>
              <w:spacing w:after="0"/>
              <w:rPr>
                <w:sz w:val="16"/>
                <w:szCs w:val="16"/>
              </w:rPr>
            </w:pPr>
          </w:p>
        </w:tc>
        <w:tc>
          <w:tcPr>
            <w:tcW w:w="1710" w:type="dxa"/>
            <w:noWrap/>
            <w:hideMark/>
          </w:tcPr>
          <w:p w14:paraId="1B5B4C90" w14:textId="77777777" w:rsidR="00053984" w:rsidRPr="00053984" w:rsidRDefault="00053984" w:rsidP="001D47BF">
            <w:pPr>
              <w:spacing w:after="0"/>
              <w:rPr>
                <w:sz w:val="16"/>
                <w:szCs w:val="16"/>
              </w:rPr>
            </w:pPr>
          </w:p>
        </w:tc>
        <w:tc>
          <w:tcPr>
            <w:tcW w:w="990" w:type="dxa"/>
            <w:noWrap/>
            <w:hideMark/>
          </w:tcPr>
          <w:p w14:paraId="1894F45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(-0.604)</w:t>
            </w:r>
          </w:p>
        </w:tc>
        <w:tc>
          <w:tcPr>
            <w:tcW w:w="990" w:type="dxa"/>
            <w:noWrap/>
            <w:hideMark/>
          </w:tcPr>
          <w:p w14:paraId="256ED17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(0.041)</w:t>
            </w:r>
          </w:p>
        </w:tc>
        <w:tc>
          <w:tcPr>
            <w:tcW w:w="903" w:type="dxa"/>
            <w:noWrap/>
            <w:hideMark/>
          </w:tcPr>
          <w:p w14:paraId="2766F250"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336ABB5C" w14:textId="77777777" w:rsidR="00053984" w:rsidRPr="00053984" w:rsidRDefault="00053984" w:rsidP="001D47BF">
            <w:pPr>
              <w:spacing w:after="0"/>
              <w:rPr>
                <w:sz w:val="16"/>
                <w:szCs w:val="16"/>
              </w:rPr>
            </w:pPr>
          </w:p>
        </w:tc>
        <w:tc>
          <w:tcPr>
            <w:tcW w:w="1080" w:type="dxa"/>
            <w:noWrap/>
            <w:hideMark/>
          </w:tcPr>
          <w:p w14:paraId="20A2792A" w14:textId="77777777" w:rsidR="00053984" w:rsidRPr="00053984" w:rsidRDefault="00053984" w:rsidP="001D47BF">
            <w:pPr>
              <w:spacing w:after="0"/>
              <w:rPr>
                <w:sz w:val="16"/>
                <w:szCs w:val="16"/>
              </w:rPr>
            </w:pPr>
          </w:p>
        </w:tc>
        <w:tc>
          <w:tcPr>
            <w:tcW w:w="1080" w:type="dxa"/>
            <w:noWrap/>
            <w:hideMark/>
          </w:tcPr>
          <w:p w14:paraId="140EF157" w14:textId="77777777" w:rsidR="00053984" w:rsidRPr="00053984" w:rsidRDefault="00053984" w:rsidP="001D47BF">
            <w:pPr>
              <w:spacing w:after="0"/>
              <w:rPr>
                <w:sz w:val="16"/>
                <w:szCs w:val="16"/>
              </w:rPr>
            </w:pPr>
          </w:p>
        </w:tc>
        <w:tc>
          <w:tcPr>
            <w:tcW w:w="900" w:type="dxa"/>
            <w:noWrap/>
            <w:hideMark/>
          </w:tcPr>
          <w:p w14:paraId="1C4D491C" w14:textId="77777777" w:rsidR="00053984" w:rsidRPr="00053984" w:rsidRDefault="00053984" w:rsidP="001D47BF">
            <w:pPr>
              <w:spacing w:after="0"/>
              <w:rPr>
                <w:sz w:val="16"/>
                <w:szCs w:val="16"/>
              </w:rPr>
            </w:pPr>
          </w:p>
        </w:tc>
        <w:tc>
          <w:tcPr>
            <w:tcW w:w="720" w:type="dxa"/>
            <w:noWrap/>
            <w:hideMark/>
          </w:tcPr>
          <w:p w14:paraId="5BFA7AFB" w14:textId="77777777" w:rsidR="00053984" w:rsidRPr="00053984" w:rsidRDefault="00053984" w:rsidP="001D47BF">
            <w:pPr>
              <w:spacing w:after="0"/>
              <w:rPr>
                <w:sz w:val="16"/>
                <w:szCs w:val="16"/>
              </w:rPr>
            </w:pPr>
          </w:p>
        </w:tc>
      </w:tr>
      <w:tr w:rsidR="00053984" w:rsidRPr="00053984" w14:paraId="391A8EC4" w14:textId="77777777" w:rsidTr="001D47BF">
        <w:trPr>
          <w:trHeight w:val="144"/>
        </w:trPr>
        <w:tc>
          <w:tcPr>
            <w:tcW w:w="1709" w:type="dxa"/>
            <w:noWrap/>
            <w:hideMark/>
          </w:tcPr>
          <w:p w14:paraId="25FF0360" w14:textId="77777777" w:rsidR="00053984" w:rsidRPr="00053984" w:rsidRDefault="00053984" w:rsidP="001D47BF">
            <w:pPr>
              <w:spacing w:after="0"/>
              <w:rPr>
                <w:sz w:val="16"/>
                <w:szCs w:val="16"/>
              </w:rPr>
            </w:pPr>
          </w:p>
        </w:tc>
        <w:tc>
          <w:tcPr>
            <w:tcW w:w="1079" w:type="dxa"/>
            <w:noWrap/>
            <w:hideMark/>
          </w:tcPr>
          <w:p w14:paraId="43314D0C" w14:textId="77777777" w:rsidR="00053984" w:rsidRPr="00053984" w:rsidRDefault="00053984" w:rsidP="001D47BF">
            <w:pPr>
              <w:spacing w:after="0"/>
              <w:rPr>
                <w:sz w:val="16"/>
                <w:szCs w:val="16"/>
              </w:rPr>
            </w:pPr>
          </w:p>
        </w:tc>
        <w:tc>
          <w:tcPr>
            <w:tcW w:w="359" w:type="dxa"/>
            <w:noWrap/>
            <w:hideMark/>
          </w:tcPr>
          <w:p w14:paraId="556590A9" w14:textId="77777777" w:rsidR="00053984" w:rsidRPr="00053984" w:rsidRDefault="00053984" w:rsidP="001D47BF">
            <w:pPr>
              <w:spacing w:after="0"/>
              <w:rPr>
                <w:sz w:val="16"/>
                <w:szCs w:val="16"/>
              </w:rPr>
            </w:pPr>
          </w:p>
        </w:tc>
        <w:tc>
          <w:tcPr>
            <w:tcW w:w="540" w:type="dxa"/>
            <w:noWrap/>
            <w:hideMark/>
          </w:tcPr>
          <w:p w14:paraId="346B924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(7)</w:t>
            </w:r>
          </w:p>
        </w:tc>
        <w:tc>
          <w:tcPr>
            <w:tcW w:w="1710" w:type="dxa"/>
            <w:vMerge w:val="restart"/>
            <w:noWrap/>
            <w:hideMark/>
          </w:tcPr>
          <w:p w14:paraId="1DD7F42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Net interest margin change</w:t>
            </w:r>
          </w:p>
        </w:tc>
        <w:tc>
          <w:tcPr>
            <w:tcW w:w="990" w:type="dxa"/>
            <w:noWrap/>
            <w:hideMark/>
          </w:tcPr>
          <w:p w14:paraId="00BD684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0.074</w:t>
            </w:r>
          </w:p>
        </w:tc>
        <w:tc>
          <w:tcPr>
            <w:tcW w:w="990" w:type="dxa"/>
            <w:noWrap/>
            <w:hideMark/>
          </w:tcPr>
          <w:p w14:paraId="7D5596B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-0.587</w:t>
            </w:r>
          </w:p>
        </w:tc>
        <w:tc>
          <w:tcPr>
            <w:tcW w:w="903" w:type="dxa"/>
            <w:noWrap/>
            <w:hideMark/>
          </w:tcPr>
          <w:p w14:paraId="5785175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0.106</w:t>
            </w:r>
          </w:p>
        </w:tc>
        <w:tc>
          <w:tcPr>
            <w:tcW w:w="900" w:type="dxa"/>
            <w:noWrap/>
            <w:hideMark/>
          </w:tcPr>
          <w:p w14:paraId="27DE71C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1BC09A98"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46F779E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1F0BA39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1C8F1B6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944</w:t>
            </w:r>
          </w:p>
        </w:tc>
      </w:tr>
      <w:tr w:rsidR="00053984" w:rsidRPr="00053984" w14:paraId="2E5222A1" w14:textId="77777777" w:rsidTr="001D47BF">
        <w:trPr>
          <w:trHeight w:val="144"/>
        </w:trPr>
        <w:tc>
          <w:tcPr>
            <w:tcW w:w="1709" w:type="dxa"/>
            <w:noWrap/>
            <w:hideMark/>
          </w:tcPr>
          <w:p w14:paraId="4AE3BAF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Pseudo R-squared</w:t>
            </w:r>
          </w:p>
        </w:tc>
        <w:tc>
          <w:tcPr>
            <w:tcW w:w="1079" w:type="dxa"/>
            <w:noWrap/>
            <w:hideMark/>
          </w:tcPr>
          <w:p w14:paraId="1D884D5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0.0841</w:t>
            </w:r>
          </w:p>
        </w:tc>
        <w:tc>
          <w:tcPr>
            <w:tcW w:w="359" w:type="dxa"/>
            <w:noWrap/>
            <w:hideMark/>
          </w:tcPr>
          <w:p w14:paraId="110B60D1"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7C8DE878" w14:textId="77777777" w:rsidR="00053984" w:rsidRPr="00053984" w:rsidRDefault="00053984" w:rsidP="001D47BF">
            <w:pPr>
              <w:spacing w:after="0"/>
              <w:rPr>
                <w:sz w:val="16"/>
                <w:szCs w:val="16"/>
              </w:rPr>
            </w:pPr>
          </w:p>
        </w:tc>
        <w:tc>
          <w:tcPr>
            <w:tcW w:w="1710" w:type="dxa"/>
            <w:vMerge/>
            <w:vAlign w:val="center"/>
            <w:hideMark/>
          </w:tcPr>
          <w:p w14:paraId="6B1C4CC9" w14:textId="77777777" w:rsidR="00053984" w:rsidRPr="00053984" w:rsidRDefault="00053984" w:rsidP="001D47BF">
            <w:pPr>
              <w:spacing w:after="0"/>
              <w:rPr>
                <w:rFonts w:ascii="Gill Sans MT" w:eastAsia="Times New Roman" w:hAnsi="Gill Sans MT" w:cs="Calibri"/>
                <w:sz w:val="16"/>
                <w:szCs w:val="16"/>
              </w:rPr>
            </w:pPr>
          </w:p>
        </w:tc>
        <w:tc>
          <w:tcPr>
            <w:tcW w:w="990" w:type="dxa"/>
            <w:noWrap/>
            <w:hideMark/>
          </w:tcPr>
          <w:p w14:paraId="37BAAB56"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(2.386**)</w:t>
            </w:r>
          </w:p>
        </w:tc>
        <w:tc>
          <w:tcPr>
            <w:tcW w:w="990" w:type="dxa"/>
            <w:noWrap/>
            <w:hideMark/>
          </w:tcPr>
          <w:p w14:paraId="0F4BE6E0"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(-1.196)</w:t>
            </w:r>
          </w:p>
        </w:tc>
        <w:tc>
          <w:tcPr>
            <w:tcW w:w="903" w:type="dxa"/>
            <w:noWrap/>
            <w:hideMark/>
          </w:tcPr>
          <w:p w14:paraId="6DE4D0AD"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7E266A9D" w14:textId="77777777" w:rsidR="00053984" w:rsidRPr="00053984" w:rsidRDefault="00053984" w:rsidP="001D47BF">
            <w:pPr>
              <w:spacing w:after="0"/>
              <w:rPr>
                <w:sz w:val="16"/>
                <w:szCs w:val="16"/>
              </w:rPr>
            </w:pPr>
          </w:p>
        </w:tc>
        <w:tc>
          <w:tcPr>
            <w:tcW w:w="1080" w:type="dxa"/>
            <w:noWrap/>
            <w:hideMark/>
          </w:tcPr>
          <w:p w14:paraId="22D50D49" w14:textId="77777777" w:rsidR="00053984" w:rsidRPr="00053984" w:rsidRDefault="00053984" w:rsidP="001D47BF">
            <w:pPr>
              <w:spacing w:after="0"/>
              <w:rPr>
                <w:sz w:val="16"/>
                <w:szCs w:val="16"/>
              </w:rPr>
            </w:pPr>
          </w:p>
        </w:tc>
        <w:tc>
          <w:tcPr>
            <w:tcW w:w="1080" w:type="dxa"/>
            <w:noWrap/>
            <w:hideMark/>
          </w:tcPr>
          <w:p w14:paraId="626B73EC" w14:textId="77777777" w:rsidR="00053984" w:rsidRPr="00053984" w:rsidRDefault="00053984" w:rsidP="001D47BF">
            <w:pPr>
              <w:spacing w:after="0"/>
              <w:rPr>
                <w:sz w:val="16"/>
                <w:szCs w:val="16"/>
              </w:rPr>
            </w:pPr>
          </w:p>
        </w:tc>
        <w:tc>
          <w:tcPr>
            <w:tcW w:w="900" w:type="dxa"/>
            <w:noWrap/>
            <w:hideMark/>
          </w:tcPr>
          <w:p w14:paraId="4F4B0CBC" w14:textId="77777777" w:rsidR="00053984" w:rsidRPr="00053984" w:rsidRDefault="00053984" w:rsidP="001D47BF">
            <w:pPr>
              <w:spacing w:after="0"/>
              <w:rPr>
                <w:sz w:val="16"/>
                <w:szCs w:val="16"/>
              </w:rPr>
            </w:pPr>
          </w:p>
        </w:tc>
        <w:tc>
          <w:tcPr>
            <w:tcW w:w="720" w:type="dxa"/>
            <w:noWrap/>
            <w:hideMark/>
          </w:tcPr>
          <w:p w14:paraId="0D3466A3" w14:textId="77777777" w:rsidR="00053984" w:rsidRPr="00053984" w:rsidRDefault="00053984" w:rsidP="001D47BF">
            <w:pPr>
              <w:spacing w:after="0"/>
              <w:rPr>
                <w:sz w:val="16"/>
                <w:szCs w:val="16"/>
              </w:rPr>
            </w:pPr>
          </w:p>
        </w:tc>
      </w:tr>
      <w:tr w:rsidR="00053984" w:rsidRPr="00053984" w14:paraId="79EF5BBF" w14:textId="77777777" w:rsidTr="001D47BF">
        <w:trPr>
          <w:trHeight w:val="144"/>
        </w:trPr>
        <w:tc>
          <w:tcPr>
            <w:tcW w:w="1709" w:type="dxa"/>
            <w:noWrap/>
            <w:hideMark/>
          </w:tcPr>
          <w:p w14:paraId="200742C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Chi-squared</w:t>
            </w:r>
          </w:p>
        </w:tc>
        <w:tc>
          <w:tcPr>
            <w:tcW w:w="1079" w:type="dxa"/>
            <w:noWrap/>
            <w:hideMark/>
          </w:tcPr>
          <w:p w14:paraId="519A4A73"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52.89</w:t>
            </w:r>
          </w:p>
        </w:tc>
        <w:tc>
          <w:tcPr>
            <w:tcW w:w="359" w:type="dxa"/>
            <w:noWrap/>
            <w:hideMark/>
          </w:tcPr>
          <w:p w14:paraId="2726FC6A"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1DAE31C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(8)</w:t>
            </w:r>
          </w:p>
        </w:tc>
        <w:tc>
          <w:tcPr>
            <w:tcW w:w="1710" w:type="dxa"/>
            <w:vMerge w:val="restart"/>
            <w:noWrap/>
            <w:hideMark/>
          </w:tcPr>
          <w:p w14:paraId="3EB916EE"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Yield-to-cost change</w:t>
            </w:r>
          </w:p>
        </w:tc>
        <w:tc>
          <w:tcPr>
            <w:tcW w:w="990" w:type="dxa"/>
            <w:noWrap/>
            <w:hideMark/>
          </w:tcPr>
          <w:p w14:paraId="5DB18EA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0.057</w:t>
            </w:r>
          </w:p>
        </w:tc>
        <w:tc>
          <w:tcPr>
            <w:tcW w:w="990" w:type="dxa"/>
            <w:noWrap/>
            <w:hideMark/>
          </w:tcPr>
          <w:p w14:paraId="7FBAE04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-0.203</w:t>
            </w:r>
          </w:p>
        </w:tc>
        <w:tc>
          <w:tcPr>
            <w:tcW w:w="903" w:type="dxa"/>
            <w:noWrap/>
            <w:hideMark/>
          </w:tcPr>
          <w:p w14:paraId="3F3BF44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0.141</w:t>
            </w:r>
          </w:p>
        </w:tc>
        <w:tc>
          <w:tcPr>
            <w:tcW w:w="900" w:type="dxa"/>
            <w:noWrap/>
            <w:hideMark/>
          </w:tcPr>
          <w:p w14:paraId="7A17A0B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777D3A2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1080" w:type="dxa"/>
            <w:noWrap/>
            <w:hideMark/>
          </w:tcPr>
          <w:p w14:paraId="1A2E15C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900" w:type="dxa"/>
            <w:noWrap/>
            <w:hideMark/>
          </w:tcPr>
          <w:p w14:paraId="75068B78"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Yes</w:t>
            </w:r>
          </w:p>
        </w:tc>
        <w:tc>
          <w:tcPr>
            <w:tcW w:w="720" w:type="dxa"/>
            <w:noWrap/>
            <w:hideMark/>
          </w:tcPr>
          <w:p w14:paraId="1721776D"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920</w:t>
            </w:r>
          </w:p>
        </w:tc>
      </w:tr>
      <w:tr w:rsidR="00053984" w:rsidRPr="00053984" w14:paraId="1CBD875C" w14:textId="77777777" w:rsidTr="00053984">
        <w:trPr>
          <w:trHeight w:val="144"/>
        </w:trPr>
        <w:tc>
          <w:tcPr>
            <w:tcW w:w="1709" w:type="dxa"/>
            <w:noWrap/>
            <w:hideMark/>
          </w:tcPr>
          <w:p w14:paraId="6E9FB5B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correct classification</w:t>
            </w:r>
          </w:p>
        </w:tc>
        <w:tc>
          <w:tcPr>
            <w:tcW w:w="1079" w:type="dxa"/>
            <w:noWrap/>
            <w:hideMark/>
          </w:tcPr>
          <w:p w14:paraId="000ABC6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85.48%</w:t>
            </w:r>
          </w:p>
        </w:tc>
        <w:tc>
          <w:tcPr>
            <w:tcW w:w="359" w:type="dxa"/>
            <w:noWrap/>
            <w:hideMark/>
          </w:tcPr>
          <w:p w14:paraId="36EA27DD" w14:textId="77777777" w:rsidR="00053984" w:rsidRPr="00053984" w:rsidRDefault="00053984" w:rsidP="001D47BF">
            <w:pPr>
              <w:rPr>
                <w:rFonts w:ascii="Gill Sans MT" w:eastAsia="Times New Roman" w:hAnsi="Gill Sans MT" w:cs="Calibri"/>
                <w:sz w:val="16"/>
                <w:szCs w:val="16"/>
              </w:rPr>
            </w:pPr>
          </w:p>
        </w:tc>
        <w:tc>
          <w:tcPr>
            <w:tcW w:w="540" w:type="dxa"/>
            <w:noWrap/>
            <w:hideMark/>
          </w:tcPr>
          <w:p w14:paraId="50081377" w14:textId="77777777" w:rsidR="00053984" w:rsidRPr="00053984" w:rsidRDefault="00053984" w:rsidP="001D47BF">
            <w:pPr>
              <w:spacing w:after="0"/>
              <w:rPr>
                <w:sz w:val="16"/>
                <w:szCs w:val="16"/>
              </w:rPr>
            </w:pPr>
          </w:p>
        </w:tc>
        <w:tc>
          <w:tcPr>
            <w:tcW w:w="1710" w:type="dxa"/>
            <w:vMerge/>
            <w:vAlign w:val="center"/>
            <w:hideMark/>
          </w:tcPr>
          <w:p w14:paraId="60DF9CF6" w14:textId="77777777" w:rsidR="00053984" w:rsidRPr="00053984" w:rsidRDefault="00053984" w:rsidP="001D47BF">
            <w:pPr>
              <w:spacing w:after="0"/>
              <w:rPr>
                <w:rFonts w:ascii="Gill Sans MT" w:eastAsia="Times New Roman" w:hAnsi="Gill Sans MT" w:cs="Calibri"/>
                <w:sz w:val="16"/>
                <w:szCs w:val="16"/>
              </w:rPr>
            </w:pPr>
          </w:p>
        </w:tc>
        <w:tc>
          <w:tcPr>
            <w:tcW w:w="990" w:type="dxa"/>
            <w:noWrap/>
            <w:hideMark/>
          </w:tcPr>
          <w:p w14:paraId="7D95764F"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(1.841*)</w:t>
            </w:r>
          </w:p>
        </w:tc>
        <w:tc>
          <w:tcPr>
            <w:tcW w:w="990" w:type="dxa"/>
            <w:noWrap/>
            <w:hideMark/>
          </w:tcPr>
          <w:p w14:paraId="69E8B8F2"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(-0.474)</w:t>
            </w:r>
          </w:p>
        </w:tc>
        <w:tc>
          <w:tcPr>
            <w:tcW w:w="903" w:type="dxa"/>
            <w:noWrap/>
            <w:hideMark/>
          </w:tcPr>
          <w:p w14:paraId="200C0CAF" w14:textId="77777777" w:rsidR="00053984" w:rsidRPr="00053984" w:rsidRDefault="00053984" w:rsidP="001D47BF">
            <w:pPr>
              <w:rPr>
                <w:rFonts w:ascii="Gill Sans MT" w:eastAsia="Times New Roman" w:hAnsi="Gill Sans MT" w:cs="Calibri"/>
                <w:sz w:val="16"/>
                <w:szCs w:val="16"/>
              </w:rPr>
            </w:pPr>
          </w:p>
        </w:tc>
        <w:tc>
          <w:tcPr>
            <w:tcW w:w="900" w:type="dxa"/>
            <w:noWrap/>
            <w:hideMark/>
          </w:tcPr>
          <w:p w14:paraId="094F5737" w14:textId="77777777" w:rsidR="00053984" w:rsidRPr="00053984" w:rsidRDefault="00053984" w:rsidP="001D47BF">
            <w:pPr>
              <w:spacing w:after="0"/>
              <w:rPr>
                <w:sz w:val="16"/>
                <w:szCs w:val="16"/>
              </w:rPr>
            </w:pPr>
          </w:p>
        </w:tc>
        <w:tc>
          <w:tcPr>
            <w:tcW w:w="1080" w:type="dxa"/>
            <w:noWrap/>
            <w:hideMark/>
          </w:tcPr>
          <w:p w14:paraId="43D190F4" w14:textId="77777777" w:rsidR="00053984" w:rsidRPr="00053984" w:rsidRDefault="00053984" w:rsidP="001D47BF">
            <w:pPr>
              <w:spacing w:after="0"/>
              <w:rPr>
                <w:sz w:val="16"/>
                <w:szCs w:val="16"/>
              </w:rPr>
            </w:pPr>
          </w:p>
        </w:tc>
        <w:tc>
          <w:tcPr>
            <w:tcW w:w="1080" w:type="dxa"/>
            <w:noWrap/>
            <w:hideMark/>
          </w:tcPr>
          <w:p w14:paraId="59B2AE6A" w14:textId="77777777" w:rsidR="00053984" w:rsidRPr="00053984" w:rsidRDefault="00053984" w:rsidP="001D47BF">
            <w:pPr>
              <w:spacing w:after="0"/>
              <w:rPr>
                <w:sz w:val="16"/>
                <w:szCs w:val="16"/>
              </w:rPr>
            </w:pPr>
          </w:p>
        </w:tc>
        <w:tc>
          <w:tcPr>
            <w:tcW w:w="900" w:type="dxa"/>
            <w:noWrap/>
            <w:hideMark/>
          </w:tcPr>
          <w:p w14:paraId="36DA072E" w14:textId="77777777" w:rsidR="00053984" w:rsidRPr="00053984" w:rsidRDefault="00053984" w:rsidP="001D47BF">
            <w:pPr>
              <w:spacing w:after="0"/>
              <w:rPr>
                <w:sz w:val="16"/>
                <w:szCs w:val="16"/>
              </w:rPr>
            </w:pPr>
          </w:p>
        </w:tc>
        <w:tc>
          <w:tcPr>
            <w:tcW w:w="720" w:type="dxa"/>
            <w:noWrap/>
            <w:hideMark/>
          </w:tcPr>
          <w:p w14:paraId="65522E0D" w14:textId="77777777" w:rsidR="00053984" w:rsidRPr="00053984" w:rsidRDefault="00053984" w:rsidP="001D47BF">
            <w:pPr>
              <w:spacing w:after="0"/>
              <w:rPr>
                <w:sz w:val="16"/>
                <w:szCs w:val="16"/>
              </w:rPr>
            </w:pPr>
          </w:p>
        </w:tc>
      </w:tr>
      <w:tr w:rsidR="00053984" w:rsidRPr="00053984" w14:paraId="01E61FB7" w14:textId="77777777" w:rsidTr="00053984">
        <w:trPr>
          <w:trHeight w:val="144"/>
        </w:trPr>
        <w:tc>
          <w:tcPr>
            <w:tcW w:w="1709" w:type="dxa"/>
            <w:tcBorders>
              <w:top w:val="nil"/>
              <w:left w:val="nil"/>
              <w:bottom w:val="single" w:sz="4" w:space="0" w:color="auto"/>
              <w:right w:val="nil"/>
            </w:tcBorders>
            <w:noWrap/>
            <w:hideMark/>
          </w:tcPr>
          <w:p w14:paraId="2DFE97B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Observations</w:t>
            </w:r>
          </w:p>
        </w:tc>
        <w:tc>
          <w:tcPr>
            <w:tcW w:w="1079" w:type="dxa"/>
            <w:tcBorders>
              <w:top w:val="nil"/>
              <w:left w:val="nil"/>
              <w:bottom w:val="single" w:sz="4" w:space="0" w:color="auto"/>
              <w:right w:val="nil"/>
            </w:tcBorders>
            <w:noWrap/>
            <w:hideMark/>
          </w:tcPr>
          <w:p w14:paraId="1B0ED8F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1,095</w:t>
            </w:r>
          </w:p>
        </w:tc>
        <w:tc>
          <w:tcPr>
            <w:tcW w:w="359" w:type="dxa"/>
            <w:tcBorders>
              <w:top w:val="nil"/>
              <w:left w:val="nil"/>
              <w:bottom w:val="single" w:sz="4" w:space="0" w:color="auto"/>
              <w:right w:val="nil"/>
            </w:tcBorders>
            <w:noWrap/>
            <w:hideMark/>
          </w:tcPr>
          <w:p w14:paraId="23A55564"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540" w:type="dxa"/>
            <w:tcBorders>
              <w:top w:val="nil"/>
              <w:left w:val="nil"/>
              <w:bottom w:val="single" w:sz="4" w:space="0" w:color="auto"/>
              <w:right w:val="nil"/>
            </w:tcBorders>
            <w:noWrap/>
            <w:hideMark/>
          </w:tcPr>
          <w:p w14:paraId="18C9ADE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1710" w:type="dxa"/>
            <w:tcBorders>
              <w:top w:val="nil"/>
              <w:left w:val="nil"/>
              <w:bottom w:val="single" w:sz="4" w:space="0" w:color="auto"/>
              <w:right w:val="nil"/>
            </w:tcBorders>
            <w:noWrap/>
            <w:hideMark/>
          </w:tcPr>
          <w:p w14:paraId="0C204E55"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990" w:type="dxa"/>
            <w:tcBorders>
              <w:top w:val="nil"/>
              <w:left w:val="nil"/>
              <w:bottom w:val="single" w:sz="4" w:space="0" w:color="auto"/>
              <w:right w:val="nil"/>
            </w:tcBorders>
            <w:noWrap/>
            <w:hideMark/>
          </w:tcPr>
          <w:p w14:paraId="4E69D231"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990" w:type="dxa"/>
            <w:tcBorders>
              <w:top w:val="nil"/>
              <w:left w:val="nil"/>
              <w:bottom w:val="single" w:sz="4" w:space="0" w:color="auto"/>
              <w:right w:val="nil"/>
            </w:tcBorders>
            <w:noWrap/>
            <w:hideMark/>
          </w:tcPr>
          <w:p w14:paraId="4CB18E4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903" w:type="dxa"/>
            <w:tcBorders>
              <w:top w:val="nil"/>
              <w:left w:val="nil"/>
              <w:bottom w:val="single" w:sz="4" w:space="0" w:color="auto"/>
              <w:right w:val="nil"/>
            </w:tcBorders>
            <w:noWrap/>
            <w:hideMark/>
          </w:tcPr>
          <w:p w14:paraId="52ACD40C"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900" w:type="dxa"/>
            <w:tcBorders>
              <w:top w:val="nil"/>
              <w:left w:val="nil"/>
              <w:bottom w:val="single" w:sz="4" w:space="0" w:color="auto"/>
              <w:right w:val="nil"/>
            </w:tcBorders>
            <w:noWrap/>
            <w:hideMark/>
          </w:tcPr>
          <w:p w14:paraId="4B4FB36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1080" w:type="dxa"/>
            <w:tcBorders>
              <w:top w:val="nil"/>
              <w:left w:val="nil"/>
              <w:bottom w:val="single" w:sz="4" w:space="0" w:color="auto"/>
              <w:right w:val="nil"/>
            </w:tcBorders>
            <w:noWrap/>
            <w:hideMark/>
          </w:tcPr>
          <w:p w14:paraId="4BA2C84B"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1080" w:type="dxa"/>
            <w:tcBorders>
              <w:top w:val="nil"/>
              <w:left w:val="nil"/>
              <w:bottom w:val="single" w:sz="4" w:space="0" w:color="auto"/>
              <w:right w:val="nil"/>
            </w:tcBorders>
            <w:noWrap/>
            <w:hideMark/>
          </w:tcPr>
          <w:p w14:paraId="3EEAB678"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900" w:type="dxa"/>
            <w:tcBorders>
              <w:top w:val="nil"/>
              <w:left w:val="nil"/>
              <w:bottom w:val="single" w:sz="4" w:space="0" w:color="auto"/>
              <w:right w:val="nil"/>
            </w:tcBorders>
            <w:noWrap/>
            <w:hideMark/>
          </w:tcPr>
          <w:p w14:paraId="4D66EF89"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c>
          <w:tcPr>
            <w:tcW w:w="720" w:type="dxa"/>
            <w:tcBorders>
              <w:top w:val="nil"/>
              <w:left w:val="nil"/>
              <w:bottom w:val="single" w:sz="4" w:space="0" w:color="auto"/>
              <w:right w:val="nil"/>
            </w:tcBorders>
            <w:noWrap/>
            <w:hideMark/>
          </w:tcPr>
          <w:p w14:paraId="010041BA" w14:textId="77777777" w:rsidR="00053984" w:rsidRPr="00053984" w:rsidRDefault="00053984" w:rsidP="001D47BF">
            <w:pPr>
              <w:spacing w:line="240" w:lineRule="auto"/>
              <w:contextualSpacing/>
              <w:rPr>
                <w:rFonts w:ascii="Gill Sans MT" w:eastAsia="Times New Roman" w:hAnsi="Gill Sans MT" w:cs="Calibri"/>
                <w:sz w:val="16"/>
                <w:szCs w:val="16"/>
              </w:rPr>
            </w:pPr>
            <w:r w:rsidRPr="00053984">
              <w:rPr>
                <w:rFonts w:ascii="Gill Sans MT" w:eastAsia="Times New Roman" w:hAnsi="Gill Sans MT" w:cs="Calibri"/>
                <w:sz w:val="16"/>
                <w:szCs w:val="16"/>
              </w:rPr>
              <w:t> </w:t>
            </w:r>
          </w:p>
        </w:tc>
      </w:tr>
      <w:tr w:rsidR="00053984" w:rsidRPr="00053984" w14:paraId="39EB35C8" w14:textId="77777777" w:rsidTr="00053984">
        <w:trPr>
          <w:trHeight w:val="144"/>
        </w:trPr>
        <w:tc>
          <w:tcPr>
            <w:tcW w:w="12960" w:type="dxa"/>
            <w:gridSpan w:val="13"/>
            <w:tcBorders>
              <w:top w:val="single" w:sz="4" w:space="0" w:color="auto"/>
              <w:left w:val="nil"/>
              <w:bottom w:val="single" w:sz="4" w:space="0" w:color="auto"/>
              <w:right w:val="nil"/>
            </w:tcBorders>
            <w:noWrap/>
          </w:tcPr>
          <w:p w14:paraId="05CA38A1" w14:textId="7CBAC17D" w:rsidR="00053984" w:rsidRPr="00053984" w:rsidRDefault="00053984" w:rsidP="00053984">
            <w:pPr>
              <w:spacing w:line="240" w:lineRule="auto"/>
              <w:contextualSpacing/>
              <w:rPr>
                <w:rFonts w:ascii="Gill Sans MT" w:eastAsia="Times New Roman" w:hAnsi="Gill Sans MT" w:cs="Calibri"/>
                <w:sz w:val="16"/>
                <w:szCs w:val="16"/>
              </w:rPr>
            </w:pPr>
            <w:r w:rsidRPr="00053984">
              <w:rPr>
                <w:rFonts w:ascii="Gill Sans MT" w:hAnsi="Gill Sans MT"/>
                <w:sz w:val="16"/>
                <w:szCs w:val="16"/>
              </w:rPr>
              <w:t>The results of first stage regressions for Heckman two-stage regression are reported in Panel A for the probability of private equity involvement. The results of second stage regressions are run where dependent variables are CARs, BHARs, risk change and operating performance changes to control for self-selection. We control for the natural log of lagged tier 1 capital (LN(L.TIER 1 CAPITAL)), lagged returns on asset (L.ROAA), lagged liquidity ratio (L.LIQUIDITY), the logarithm of firm age (LOG(AGE)) , and the logarithm of the number of financial institutions in the same state (LOG(FIRM SAME STATE). The independent variable of interest is the dummy variable for deals with private equity involvement (</w:t>
            </w:r>
            <w:r w:rsidRPr="00053984">
              <w:rPr>
                <w:rFonts w:ascii="Gill Sans MT" w:hAnsi="Gill Sans MT"/>
                <w:i/>
                <w:iCs/>
                <w:sz w:val="16"/>
                <w:szCs w:val="16"/>
              </w:rPr>
              <w:t>PRIVATE EQUITY</w:t>
            </w:r>
            <w:r w:rsidRPr="00053984">
              <w:rPr>
                <w:rFonts w:ascii="Gill Sans MT" w:hAnsi="Gill Sans MT"/>
                <w:sz w:val="16"/>
                <w:szCs w:val="16"/>
              </w:rPr>
              <w:t>). We control for year and industry fixed effects. We calculate the t-statistics based upon clustered standard errors. ***, **, and * denote significance at 1%, 5%, and 10% levels.</w:t>
            </w:r>
          </w:p>
        </w:tc>
      </w:tr>
    </w:tbl>
    <w:p w14:paraId="7997AC37" w14:textId="4AB6AF3E" w:rsidR="00053984" w:rsidRDefault="00053984" w:rsidP="001E5D09">
      <w:pPr>
        <w:spacing w:after="0" w:line="240" w:lineRule="auto"/>
        <w:rPr>
          <w:rFonts w:ascii="Gill Sans MT" w:hAnsi="Gill Sans MT"/>
        </w:rPr>
        <w:sectPr w:rsidR="00053984" w:rsidSect="00053984">
          <w:pgSz w:w="15840" w:h="12240" w:orient="landscape"/>
          <w:pgMar w:top="1440" w:right="1440" w:bottom="1440" w:left="1440" w:header="720" w:footer="720" w:gutter="0"/>
          <w:cols w:space="720"/>
        </w:sectPr>
      </w:pPr>
    </w:p>
    <w:tbl>
      <w:tblPr>
        <w:tblW w:w="13180" w:type="dxa"/>
        <w:tblLayout w:type="fixed"/>
        <w:tblLook w:val="04A0" w:firstRow="1" w:lastRow="0" w:firstColumn="1" w:lastColumn="0" w:noHBand="0" w:noVBand="1"/>
      </w:tblPr>
      <w:tblGrid>
        <w:gridCol w:w="738"/>
        <w:gridCol w:w="2340"/>
        <w:gridCol w:w="1440"/>
        <w:gridCol w:w="810"/>
        <w:gridCol w:w="1080"/>
        <w:gridCol w:w="810"/>
        <w:gridCol w:w="1170"/>
        <w:gridCol w:w="900"/>
        <w:gridCol w:w="990"/>
        <w:gridCol w:w="994"/>
        <w:gridCol w:w="952"/>
        <w:gridCol w:w="38"/>
        <w:gridCol w:w="918"/>
      </w:tblGrid>
      <w:tr w:rsidR="00093F2A" w:rsidRPr="00053984" w14:paraId="595A7454" w14:textId="77777777" w:rsidTr="00053984">
        <w:trPr>
          <w:trHeight w:val="20"/>
        </w:trPr>
        <w:tc>
          <w:tcPr>
            <w:tcW w:w="13180" w:type="dxa"/>
            <w:gridSpan w:val="13"/>
            <w:tcBorders>
              <w:top w:val="nil"/>
              <w:left w:val="nil"/>
              <w:bottom w:val="single" w:sz="4" w:space="0" w:color="auto"/>
              <w:right w:val="nil"/>
            </w:tcBorders>
            <w:noWrap/>
            <w:hideMark/>
          </w:tcPr>
          <w:p w14:paraId="4161A096" w14:textId="1E490463" w:rsidR="001E5D09" w:rsidRPr="00053984" w:rsidRDefault="001E5D09">
            <w:pPr>
              <w:spacing w:line="240" w:lineRule="auto"/>
              <w:contextualSpacing/>
              <w:rPr>
                <w:rFonts w:ascii="Gill Sans MT" w:eastAsia="Times New Roman" w:hAnsi="Gill Sans MT" w:cs="Times New Roman"/>
                <w:sz w:val="18"/>
                <w:szCs w:val="18"/>
              </w:rPr>
            </w:pPr>
            <w:r w:rsidRPr="00053984">
              <w:rPr>
                <w:rFonts w:ascii="Gill Sans MT" w:eastAsia="Times New Roman" w:hAnsi="Gill Sans MT" w:cs="Calibri"/>
                <w:b/>
                <w:bCs/>
                <w:sz w:val="18"/>
                <w:szCs w:val="18"/>
              </w:rPr>
              <w:lastRenderedPageBreak/>
              <w:t>Table 9 - Detangling the Effects of Bank Size – Larger Acquirers vs. Smaller Acquirers</w:t>
            </w:r>
          </w:p>
        </w:tc>
      </w:tr>
      <w:tr w:rsidR="00053984" w:rsidRPr="00053984" w14:paraId="71024EE0" w14:textId="77777777" w:rsidTr="00053984">
        <w:trPr>
          <w:trHeight w:val="20"/>
        </w:trPr>
        <w:tc>
          <w:tcPr>
            <w:tcW w:w="738" w:type="dxa"/>
            <w:tcBorders>
              <w:top w:val="nil"/>
              <w:left w:val="nil"/>
              <w:bottom w:val="single" w:sz="4" w:space="0" w:color="auto"/>
              <w:right w:val="nil"/>
            </w:tcBorders>
            <w:noWrap/>
            <w:hideMark/>
          </w:tcPr>
          <w:p w14:paraId="7E2DB28C" w14:textId="77777777" w:rsidR="001E5D09" w:rsidRPr="00053984" w:rsidRDefault="001E5D09">
            <w:pPr>
              <w:rPr>
                <w:rFonts w:ascii="Gill Sans MT" w:eastAsia="Times New Roman" w:hAnsi="Gill Sans MT" w:cs="Times New Roman"/>
                <w:sz w:val="18"/>
                <w:szCs w:val="18"/>
              </w:rPr>
            </w:pPr>
          </w:p>
        </w:tc>
        <w:tc>
          <w:tcPr>
            <w:tcW w:w="3780" w:type="dxa"/>
            <w:gridSpan w:val="2"/>
            <w:tcBorders>
              <w:top w:val="nil"/>
              <w:left w:val="nil"/>
              <w:bottom w:val="single" w:sz="4" w:space="0" w:color="auto"/>
              <w:right w:val="nil"/>
            </w:tcBorders>
            <w:noWrap/>
            <w:hideMark/>
          </w:tcPr>
          <w:p w14:paraId="3A27A49D"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Dependent variables</w:t>
            </w:r>
          </w:p>
        </w:tc>
        <w:tc>
          <w:tcPr>
            <w:tcW w:w="1890" w:type="dxa"/>
            <w:gridSpan w:val="2"/>
            <w:tcBorders>
              <w:top w:val="nil"/>
              <w:left w:val="nil"/>
              <w:bottom w:val="single" w:sz="4" w:space="0" w:color="auto"/>
              <w:right w:val="nil"/>
            </w:tcBorders>
            <w:noWrap/>
            <w:hideMark/>
          </w:tcPr>
          <w:p w14:paraId="1DE2E956"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PRIVATE EQUITY</w:t>
            </w:r>
          </w:p>
          <w:p w14:paraId="251E5AF7"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 </w:t>
            </w:r>
          </w:p>
        </w:tc>
        <w:tc>
          <w:tcPr>
            <w:tcW w:w="1980" w:type="dxa"/>
            <w:gridSpan w:val="2"/>
            <w:tcBorders>
              <w:top w:val="nil"/>
              <w:left w:val="nil"/>
              <w:bottom w:val="single" w:sz="4" w:space="0" w:color="auto"/>
              <w:right w:val="nil"/>
            </w:tcBorders>
            <w:noWrap/>
            <w:hideMark/>
          </w:tcPr>
          <w:p w14:paraId="18947D97"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Constant</w:t>
            </w:r>
          </w:p>
          <w:p w14:paraId="13A2C4C1"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 </w:t>
            </w:r>
          </w:p>
        </w:tc>
        <w:tc>
          <w:tcPr>
            <w:tcW w:w="900" w:type="dxa"/>
            <w:tcBorders>
              <w:top w:val="nil"/>
              <w:left w:val="nil"/>
              <w:bottom w:val="single" w:sz="4" w:space="0" w:color="auto"/>
              <w:right w:val="nil"/>
            </w:tcBorders>
            <w:noWrap/>
            <w:hideMark/>
          </w:tcPr>
          <w:p w14:paraId="6662CABF"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Adj. R-squared</w:t>
            </w:r>
          </w:p>
        </w:tc>
        <w:tc>
          <w:tcPr>
            <w:tcW w:w="990" w:type="dxa"/>
            <w:tcBorders>
              <w:top w:val="nil"/>
              <w:left w:val="nil"/>
              <w:bottom w:val="single" w:sz="4" w:space="0" w:color="auto"/>
              <w:right w:val="nil"/>
            </w:tcBorders>
            <w:noWrap/>
            <w:hideMark/>
          </w:tcPr>
          <w:p w14:paraId="7708E8C9"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Control variables</w:t>
            </w:r>
          </w:p>
        </w:tc>
        <w:tc>
          <w:tcPr>
            <w:tcW w:w="994" w:type="dxa"/>
            <w:tcBorders>
              <w:top w:val="nil"/>
              <w:left w:val="nil"/>
              <w:bottom w:val="single" w:sz="4" w:space="0" w:color="auto"/>
              <w:right w:val="nil"/>
            </w:tcBorders>
            <w:noWrap/>
            <w:hideMark/>
          </w:tcPr>
          <w:p w14:paraId="2BD75A56"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Year fixed effect</w:t>
            </w:r>
          </w:p>
        </w:tc>
        <w:tc>
          <w:tcPr>
            <w:tcW w:w="990" w:type="dxa"/>
            <w:gridSpan w:val="2"/>
            <w:tcBorders>
              <w:top w:val="nil"/>
              <w:left w:val="nil"/>
              <w:bottom w:val="single" w:sz="4" w:space="0" w:color="auto"/>
              <w:right w:val="nil"/>
            </w:tcBorders>
            <w:noWrap/>
            <w:hideMark/>
          </w:tcPr>
          <w:p w14:paraId="7FB15DB2"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Industry fixed effect</w:t>
            </w:r>
          </w:p>
        </w:tc>
        <w:tc>
          <w:tcPr>
            <w:tcW w:w="918" w:type="dxa"/>
            <w:tcBorders>
              <w:top w:val="nil"/>
              <w:left w:val="nil"/>
              <w:bottom w:val="single" w:sz="4" w:space="0" w:color="auto"/>
              <w:right w:val="nil"/>
            </w:tcBorders>
            <w:noWrap/>
            <w:hideMark/>
          </w:tcPr>
          <w:p w14:paraId="5264684E" w14:textId="77777777" w:rsidR="001E5D09" w:rsidRPr="00053984" w:rsidRDefault="001E5D09">
            <w:pPr>
              <w:spacing w:line="240" w:lineRule="auto"/>
              <w:contextualSpacing/>
              <w:rPr>
                <w:rFonts w:ascii="Gill Sans MT" w:eastAsia="Times New Roman" w:hAnsi="Gill Sans MT" w:cs="Calibri"/>
                <w:b/>
                <w:bCs/>
                <w:i/>
                <w:iCs/>
                <w:sz w:val="18"/>
                <w:szCs w:val="18"/>
              </w:rPr>
            </w:pPr>
            <w:r w:rsidRPr="00053984">
              <w:rPr>
                <w:rFonts w:ascii="Gill Sans MT" w:eastAsia="Times New Roman" w:hAnsi="Gill Sans MT" w:cs="Calibri"/>
                <w:b/>
                <w:bCs/>
                <w:i/>
                <w:iCs/>
                <w:sz w:val="18"/>
                <w:szCs w:val="18"/>
              </w:rPr>
              <w:t>N</w:t>
            </w:r>
          </w:p>
        </w:tc>
      </w:tr>
      <w:tr w:rsidR="00053984" w:rsidRPr="00053984" w14:paraId="2CD0ACF4" w14:textId="77777777" w:rsidTr="00053984">
        <w:trPr>
          <w:trHeight w:val="20"/>
        </w:trPr>
        <w:tc>
          <w:tcPr>
            <w:tcW w:w="738" w:type="dxa"/>
            <w:noWrap/>
            <w:hideMark/>
          </w:tcPr>
          <w:p w14:paraId="0098DFB7"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(1)</w:t>
            </w:r>
          </w:p>
        </w:tc>
        <w:tc>
          <w:tcPr>
            <w:tcW w:w="2340" w:type="dxa"/>
            <w:vMerge w:val="restart"/>
            <w:noWrap/>
            <w:hideMark/>
          </w:tcPr>
          <w:p w14:paraId="03CB182C"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CARs (-2,+1) from Fama-French 4-factor model with CRSP EW index as market benchmark</w:t>
            </w:r>
          </w:p>
        </w:tc>
        <w:tc>
          <w:tcPr>
            <w:tcW w:w="1440" w:type="dxa"/>
            <w:noWrap/>
            <w:hideMark/>
          </w:tcPr>
          <w:p w14:paraId="216AF54D"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1F515B7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0.078</w:t>
            </w:r>
          </w:p>
        </w:tc>
        <w:tc>
          <w:tcPr>
            <w:tcW w:w="1080" w:type="dxa"/>
            <w:noWrap/>
            <w:hideMark/>
          </w:tcPr>
          <w:p w14:paraId="0F2F435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(1.566)</w:t>
            </w:r>
          </w:p>
        </w:tc>
        <w:tc>
          <w:tcPr>
            <w:tcW w:w="810" w:type="dxa"/>
            <w:noWrap/>
            <w:hideMark/>
          </w:tcPr>
          <w:p w14:paraId="2336D43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-0.021</w:t>
            </w:r>
          </w:p>
        </w:tc>
        <w:tc>
          <w:tcPr>
            <w:tcW w:w="1170" w:type="dxa"/>
            <w:noWrap/>
            <w:hideMark/>
          </w:tcPr>
          <w:p w14:paraId="0977B98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(-0.447)</w:t>
            </w:r>
          </w:p>
        </w:tc>
        <w:tc>
          <w:tcPr>
            <w:tcW w:w="900" w:type="dxa"/>
            <w:noWrap/>
            <w:hideMark/>
          </w:tcPr>
          <w:p w14:paraId="5116329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0.0317</w:t>
            </w:r>
          </w:p>
        </w:tc>
        <w:tc>
          <w:tcPr>
            <w:tcW w:w="990" w:type="dxa"/>
            <w:noWrap/>
            <w:hideMark/>
          </w:tcPr>
          <w:p w14:paraId="5B9EF32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7BE2F4B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4CD3BAC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71B0F5C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548</w:t>
            </w:r>
          </w:p>
        </w:tc>
      </w:tr>
      <w:tr w:rsidR="00053984" w:rsidRPr="00053984" w14:paraId="369A255E" w14:textId="77777777" w:rsidTr="00053984">
        <w:trPr>
          <w:trHeight w:val="20"/>
        </w:trPr>
        <w:tc>
          <w:tcPr>
            <w:tcW w:w="738" w:type="dxa"/>
            <w:noWrap/>
            <w:hideMark/>
          </w:tcPr>
          <w:p w14:paraId="5C87DD30" w14:textId="77777777" w:rsidR="001E5D09" w:rsidRPr="00053984" w:rsidRDefault="001E5D09">
            <w:pPr>
              <w:rPr>
                <w:rFonts w:ascii="Gill Sans MT" w:hAnsi="Gill Sans MT" w:cs="Calibri"/>
                <w:sz w:val="18"/>
                <w:szCs w:val="18"/>
              </w:rPr>
            </w:pPr>
          </w:p>
        </w:tc>
        <w:tc>
          <w:tcPr>
            <w:tcW w:w="2340" w:type="dxa"/>
            <w:vMerge/>
            <w:vAlign w:val="center"/>
            <w:hideMark/>
          </w:tcPr>
          <w:p w14:paraId="633D5E64" w14:textId="77777777" w:rsidR="001E5D09" w:rsidRPr="00053984" w:rsidRDefault="001E5D09">
            <w:pPr>
              <w:spacing w:after="0"/>
              <w:rPr>
                <w:rFonts w:ascii="Gill Sans MT" w:eastAsia="Times New Roman" w:hAnsi="Gill Sans MT" w:cs="Calibri"/>
                <w:sz w:val="18"/>
                <w:szCs w:val="18"/>
              </w:rPr>
            </w:pPr>
          </w:p>
        </w:tc>
        <w:tc>
          <w:tcPr>
            <w:tcW w:w="1440" w:type="dxa"/>
            <w:noWrap/>
            <w:hideMark/>
          </w:tcPr>
          <w:p w14:paraId="445B0802"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734EFAD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0.093</w:t>
            </w:r>
          </w:p>
        </w:tc>
        <w:tc>
          <w:tcPr>
            <w:tcW w:w="1080" w:type="dxa"/>
            <w:noWrap/>
            <w:hideMark/>
          </w:tcPr>
          <w:p w14:paraId="37FAA45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(2.071**)</w:t>
            </w:r>
          </w:p>
        </w:tc>
        <w:tc>
          <w:tcPr>
            <w:tcW w:w="810" w:type="dxa"/>
            <w:noWrap/>
            <w:hideMark/>
          </w:tcPr>
          <w:p w14:paraId="2580408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-0.038</w:t>
            </w:r>
          </w:p>
        </w:tc>
        <w:tc>
          <w:tcPr>
            <w:tcW w:w="1170" w:type="dxa"/>
            <w:noWrap/>
            <w:hideMark/>
          </w:tcPr>
          <w:p w14:paraId="443946F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(-1.807*)</w:t>
            </w:r>
          </w:p>
        </w:tc>
        <w:tc>
          <w:tcPr>
            <w:tcW w:w="900" w:type="dxa"/>
            <w:noWrap/>
            <w:hideMark/>
          </w:tcPr>
          <w:p w14:paraId="6464B1E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0.0800</w:t>
            </w:r>
          </w:p>
        </w:tc>
        <w:tc>
          <w:tcPr>
            <w:tcW w:w="990" w:type="dxa"/>
            <w:noWrap/>
            <w:hideMark/>
          </w:tcPr>
          <w:p w14:paraId="060A810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5C05B32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61B6BA6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3A1AF0F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535</w:t>
            </w:r>
          </w:p>
        </w:tc>
      </w:tr>
      <w:tr w:rsidR="00053984" w:rsidRPr="00053984" w14:paraId="7DF74BDC" w14:textId="77777777" w:rsidTr="00053984">
        <w:trPr>
          <w:trHeight w:val="20"/>
        </w:trPr>
        <w:tc>
          <w:tcPr>
            <w:tcW w:w="738" w:type="dxa"/>
            <w:noWrap/>
            <w:hideMark/>
          </w:tcPr>
          <w:p w14:paraId="52985C7E"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(2)</w:t>
            </w:r>
          </w:p>
        </w:tc>
        <w:tc>
          <w:tcPr>
            <w:tcW w:w="2340" w:type="dxa"/>
            <w:vMerge w:val="restart"/>
            <w:noWrap/>
            <w:hideMark/>
          </w:tcPr>
          <w:p w14:paraId="3A212358"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CARs (-2,+1) from Fama-French 4-factor model with Fama-French 48-Sector Returns as market benchmark</w:t>
            </w:r>
          </w:p>
        </w:tc>
        <w:tc>
          <w:tcPr>
            <w:tcW w:w="1440" w:type="dxa"/>
            <w:noWrap/>
            <w:hideMark/>
          </w:tcPr>
          <w:p w14:paraId="2455AB15"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0590FC6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0.063</w:t>
            </w:r>
          </w:p>
        </w:tc>
        <w:tc>
          <w:tcPr>
            <w:tcW w:w="1080" w:type="dxa"/>
            <w:noWrap/>
            <w:hideMark/>
          </w:tcPr>
          <w:p w14:paraId="262ECE1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(1.270)</w:t>
            </w:r>
          </w:p>
        </w:tc>
        <w:tc>
          <w:tcPr>
            <w:tcW w:w="810" w:type="dxa"/>
            <w:noWrap/>
            <w:hideMark/>
          </w:tcPr>
          <w:p w14:paraId="6CA5DCD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0.001</w:t>
            </w:r>
          </w:p>
        </w:tc>
        <w:tc>
          <w:tcPr>
            <w:tcW w:w="1170" w:type="dxa"/>
            <w:noWrap/>
            <w:hideMark/>
          </w:tcPr>
          <w:p w14:paraId="321607B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(0.023)</w:t>
            </w:r>
          </w:p>
        </w:tc>
        <w:tc>
          <w:tcPr>
            <w:tcW w:w="900" w:type="dxa"/>
            <w:noWrap/>
            <w:hideMark/>
          </w:tcPr>
          <w:p w14:paraId="1231ADD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0.0329</w:t>
            </w:r>
          </w:p>
        </w:tc>
        <w:tc>
          <w:tcPr>
            <w:tcW w:w="990" w:type="dxa"/>
            <w:noWrap/>
            <w:hideMark/>
          </w:tcPr>
          <w:p w14:paraId="16E73F8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407D659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25AEAD7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3940974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569</w:t>
            </w:r>
          </w:p>
        </w:tc>
      </w:tr>
      <w:tr w:rsidR="00053984" w:rsidRPr="00053984" w14:paraId="5F9629FA" w14:textId="77777777" w:rsidTr="00053984">
        <w:trPr>
          <w:trHeight w:val="20"/>
        </w:trPr>
        <w:tc>
          <w:tcPr>
            <w:tcW w:w="738" w:type="dxa"/>
            <w:noWrap/>
            <w:hideMark/>
          </w:tcPr>
          <w:p w14:paraId="1326406B" w14:textId="77777777" w:rsidR="001E5D09" w:rsidRPr="00053984" w:rsidRDefault="001E5D09">
            <w:pPr>
              <w:rPr>
                <w:rFonts w:ascii="Gill Sans MT" w:hAnsi="Gill Sans MT" w:cs="Calibri"/>
                <w:sz w:val="18"/>
                <w:szCs w:val="18"/>
              </w:rPr>
            </w:pPr>
          </w:p>
        </w:tc>
        <w:tc>
          <w:tcPr>
            <w:tcW w:w="2340" w:type="dxa"/>
            <w:vMerge/>
            <w:vAlign w:val="center"/>
            <w:hideMark/>
          </w:tcPr>
          <w:p w14:paraId="3D820856" w14:textId="77777777" w:rsidR="001E5D09" w:rsidRPr="00053984" w:rsidRDefault="001E5D09">
            <w:pPr>
              <w:spacing w:after="0"/>
              <w:rPr>
                <w:rFonts w:ascii="Gill Sans MT" w:eastAsia="Times New Roman" w:hAnsi="Gill Sans MT" w:cs="Calibri"/>
                <w:sz w:val="18"/>
                <w:szCs w:val="18"/>
              </w:rPr>
            </w:pPr>
          </w:p>
        </w:tc>
        <w:tc>
          <w:tcPr>
            <w:tcW w:w="1440" w:type="dxa"/>
            <w:noWrap/>
            <w:hideMark/>
          </w:tcPr>
          <w:p w14:paraId="40869F50"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079A924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0.106</w:t>
            </w:r>
          </w:p>
        </w:tc>
        <w:tc>
          <w:tcPr>
            <w:tcW w:w="1080" w:type="dxa"/>
            <w:noWrap/>
            <w:hideMark/>
          </w:tcPr>
          <w:p w14:paraId="4FE9D1C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(2.429**)</w:t>
            </w:r>
          </w:p>
        </w:tc>
        <w:tc>
          <w:tcPr>
            <w:tcW w:w="810" w:type="dxa"/>
            <w:noWrap/>
            <w:hideMark/>
          </w:tcPr>
          <w:p w14:paraId="5821BD6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-0.024</w:t>
            </w:r>
          </w:p>
        </w:tc>
        <w:tc>
          <w:tcPr>
            <w:tcW w:w="1170" w:type="dxa"/>
            <w:noWrap/>
            <w:hideMark/>
          </w:tcPr>
          <w:p w14:paraId="216BC06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(-1.106)</w:t>
            </w:r>
          </w:p>
        </w:tc>
        <w:tc>
          <w:tcPr>
            <w:tcW w:w="900" w:type="dxa"/>
            <w:noWrap/>
            <w:hideMark/>
          </w:tcPr>
          <w:p w14:paraId="3DC215A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0.103</w:t>
            </w:r>
          </w:p>
        </w:tc>
        <w:tc>
          <w:tcPr>
            <w:tcW w:w="990" w:type="dxa"/>
            <w:noWrap/>
            <w:hideMark/>
          </w:tcPr>
          <w:p w14:paraId="59C56B6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05B6300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395E303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6D6BE75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563</w:t>
            </w:r>
          </w:p>
        </w:tc>
      </w:tr>
      <w:tr w:rsidR="00053984" w:rsidRPr="00053984" w14:paraId="6823AA31" w14:textId="77777777" w:rsidTr="00053984">
        <w:trPr>
          <w:trHeight w:val="20"/>
        </w:trPr>
        <w:tc>
          <w:tcPr>
            <w:tcW w:w="738" w:type="dxa"/>
            <w:noWrap/>
            <w:hideMark/>
          </w:tcPr>
          <w:p w14:paraId="1ED538F5"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(3)</w:t>
            </w:r>
          </w:p>
        </w:tc>
        <w:tc>
          <w:tcPr>
            <w:tcW w:w="2340" w:type="dxa"/>
            <w:noWrap/>
            <w:hideMark/>
          </w:tcPr>
          <w:p w14:paraId="74F6E060"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BHAR (+1,+12)</w:t>
            </w:r>
          </w:p>
        </w:tc>
        <w:tc>
          <w:tcPr>
            <w:tcW w:w="1440" w:type="dxa"/>
            <w:noWrap/>
            <w:hideMark/>
          </w:tcPr>
          <w:p w14:paraId="3E0AA6C1"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39AC18E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0.007</w:t>
            </w:r>
          </w:p>
        </w:tc>
        <w:tc>
          <w:tcPr>
            <w:tcW w:w="1080" w:type="dxa"/>
            <w:noWrap/>
            <w:hideMark/>
          </w:tcPr>
          <w:p w14:paraId="1A4400C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(0.214)</w:t>
            </w:r>
          </w:p>
        </w:tc>
        <w:tc>
          <w:tcPr>
            <w:tcW w:w="810" w:type="dxa"/>
            <w:noWrap/>
            <w:hideMark/>
          </w:tcPr>
          <w:p w14:paraId="3DDEA83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-1.292</w:t>
            </w:r>
          </w:p>
        </w:tc>
        <w:tc>
          <w:tcPr>
            <w:tcW w:w="1170" w:type="dxa"/>
            <w:noWrap/>
            <w:hideMark/>
          </w:tcPr>
          <w:p w14:paraId="21E8ECC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(-2.345**)</w:t>
            </w:r>
          </w:p>
        </w:tc>
        <w:tc>
          <w:tcPr>
            <w:tcW w:w="900" w:type="dxa"/>
            <w:noWrap/>
            <w:hideMark/>
          </w:tcPr>
          <w:p w14:paraId="7FCF4B4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0.235</w:t>
            </w:r>
          </w:p>
        </w:tc>
        <w:tc>
          <w:tcPr>
            <w:tcW w:w="990" w:type="dxa"/>
            <w:noWrap/>
            <w:hideMark/>
          </w:tcPr>
          <w:p w14:paraId="4E86DDB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26F4C54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1740B15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27E06F8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547</w:t>
            </w:r>
          </w:p>
        </w:tc>
      </w:tr>
      <w:tr w:rsidR="00053984" w:rsidRPr="00053984" w14:paraId="7F82F32E" w14:textId="77777777" w:rsidTr="00053984">
        <w:trPr>
          <w:trHeight w:val="20"/>
        </w:trPr>
        <w:tc>
          <w:tcPr>
            <w:tcW w:w="738" w:type="dxa"/>
            <w:noWrap/>
            <w:hideMark/>
          </w:tcPr>
          <w:p w14:paraId="3B450852" w14:textId="77777777" w:rsidR="001E5D09" w:rsidRPr="00053984" w:rsidRDefault="001E5D09">
            <w:pPr>
              <w:rPr>
                <w:rFonts w:ascii="Gill Sans MT" w:hAnsi="Gill Sans MT" w:cs="Calibri"/>
                <w:sz w:val="18"/>
                <w:szCs w:val="18"/>
              </w:rPr>
            </w:pPr>
          </w:p>
        </w:tc>
        <w:tc>
          <w:tcPr>
            <w:tcW w:w="2340" w:type="dxa"/>
            <w:noWrap/>
            <w:hideMark/>
          </w:tcPr>
          <w:p w14:paraId="625D088E" w14:textId="77777777" w:rsidR="001E5D09" w:rsidRPr="00053984" w:rsidRDefault="001E5D09">
            <w:pPr>
              <w:spacing w:after="0"/>
              <w:rPr>
                <w:sz w:val="18"/>
                <w:szCs w:val="18"/>
              </w:rPr>
            </w:pPr>
          </w:p>
        </w:tc>
        <w:tc>
          <w:tcPr>
            <w:tcW w:w="1440" w:type="dxa"/>
            <w:noWrap/>
            <w:hideMark/>
          </w:tcPr>
          <w:p w14:paraId="261E1677"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6B5095C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0.048</w:t>
            </w:r>
          </w:p>
        </w:tc>
        <w:tc>
          <w:tcPr>
            <w:tcW w:w="1080" w:type="dxa"/>
            <w:noWrap/>
            <w:hideMark/>
          </w:tcPr>
          <w:p w14:paraId="0D8E656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(1.509)</w:t>
            </w:r>
          </w:p>
        </w:tc>
        <w:tc>
          <w:tcPr>
            <w:tcW w:w="810" w:type="dxa"/>
            <w:noWrap/>
            <w:hideMark/>
          </w:tcPr>
          <w:p w14:paraId="2AD6161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-1.090</w:t>
            </w:r>
          </w:p>
        </w:tc>
        <w:tc>
          <w:tcPr>
            <w:tcW w:w="1170" w:type="dxa"/>
            <w:noWrap/>
            <w:hideMark/>
          </w:tcPr>
          <w:p w14:paraId="721A1DC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(-2.739***)</w:t>
            </w:r>
          </w:p>
        </w:tc>
        <w:tc>
          <w:tcPr>
            <w:tcW w:w="900" w:type="dxa"/>
            <w:noWrap/>
            <w:hideMark/>
          </w:tcPr>
          <w:p w14:paraId="6EF49E8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0.170</w:t>
            </w:r>
          </w:p>
        </w:tc>
        <w:tc>
          <w:tcPr>
            <w:tcW w:w="990" w:type="dxa"/>
            <w:noWrap/>
            <w:hideMark/>
          </w:tcPr>
          <w:p w14:paraId="39726F0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761AD64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7E9B677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2ADD1BD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562</w:t>
            </w:r>
          </w:p>
        </w:tc>
      </w:tr>
      <w:tr w:rsidR="00053984" w:rsidRPr="00053984" w14:paraId="27B71426" w14:textId="77777777" w:rsidTr="00053984">
        <w:trPr>
          <w:trHeight w:val="20"/>
        </w:trPr>
        <w:tc>
          <w:tcPr>
            <w:tcW w:w="738" w:type="dxa"/>
            <w:noWrap/>
            <w:hideMark/>
          </w:tcPr>
          <w:p w14:paraId="5DB81C40"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(4)</w:t>
            </w:r>
          </w:p>
        </w:tc>
        <w:tc>
          <w:tcPr>
            <w:tcW w:w="2340" w:type="dxa"/>
            <w:noWrap/>
            <w:hideMark/>
          </w:tcPr>
          <w:p w14:paraId="7B20BCDB"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BHAR (+1,+36)</w:t>
            </w:r>
          </w:p>
        </w:tc>
        <w:tc>
          <w:tcPr>
            <w:tcW w:w="1440" w:type="dxa"/>
            <w:noWrap/>
            <w:hideMark/>
          </w:tcPr>
          <w:p w14:paraId="31FA1632"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623240B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0.025</w:t>
            </w:r>
          </w:p>
        </w:tc>
        <w:tc>
          <w:tcPr>
            <w:tcW w:w="1080" w:type="dxa"/>
            <w:noWrap/>
            <w:hideMark/>
          </w:tcPr>
          <w:p w14:paraId="3CE9DAC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(0.995)</w:t>
            </w:r>
          </w:p>
        </w:tc>
        <w:tc>
          <w:tcPr>
            <w:tcW w:w="810" w:type="dxa"/>
            <w:noWrap/>
            <w:hideMark/>
          </w:tcPr>
          <w:p w14:paraId="727A57B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-5.428</w:t>
            </w:r>
          </w:p>
        </w:tc>
        <w:tc>
          <w:tcPr>
            <w:tcW w:w="1170" w:type="dxa"/>
            <w:noWrap/>
            <w:hideMark/>
          </w:tcPr>
          <w:p w14:paraId="5A83B80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(-7.447***)</w:t>
            </w:r>
          </w:p>
        </w:tc>
        <w:tc>
          <w:tcPr>
            <w:tcW w:w="900" w:type="dxa"/>
            <w:noWrap/>
            <w:hideMark/>
          </w:tcPr>
          <w:p w14:paraId="0A37FFB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0.569</w:t>
            </w:r>
          </w:p>
        </w:tc>
        <w:tc>
          <w:tcPr>
            <w:tcW w:w="990" w:type="dxa"/>
            <w:noWrap/>
            <w:hideMark/>
          </w:tcPr>
          <w:p w14:paraId="215A168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181E127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54B7B45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268DC47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437</w:t>
            </w:r>
          </w:p>
        </w:tc>
      </w:tr>
      <w:tr w:rsidR="00053984" w:rsidRPr="00053984" w14:paraId="742E6781" w14:textId="77777777" w:rsidTr="00053984">
        <w:trPr>
          <w:trHeight w:val="20"/>
        </w:trPr>
        <w:tc>
          <w:tcPr>
            <w:tcW w:w="738" w:type="dxa"/>
            <w:noWrap/>
            <w:hideMark/>
          </w:tcPr>
          <w:p w14:paraId="358CC681" w14:textId="77777777" w:rsidR="001E5D09" w:rsidRPr="00053984" w:rsidRDefault="001E5D09">
            <w:pPr>
              <w:rPr>
                <w:rFonts w:ascii="Gill Sans MT" w:hAnsi="Gill Sans MT" w:cs="Calibri"/>
                <w:sz w:val="18"/>
                <w:szCs w:val="18"/>
              </w:rPr>
            </w:pPr>
          </w:p>
        </w:tc>
        <w:tc>
          <w:tcPr>
            <w:tcW w:w="2340" w:type="dxa"/>
            <w:noWrap/>
            <w:hideMark/>
          </w:tcPr>
          <w:p w14:paraId="74A80E63" w14:textId="77777777" w:rsidR="001E5D09" w:rsidRPr="00053984" w:rsidRDefault="001E5D09">
            <w:pPr>
              <w:spacing w:after="0"/>
              <w:rPr>
                <w:sz w:val="18"/>
                <w:szCs w:val="18"/>
              </w:rPr>
            </w:pPr>
          </w:p>
        </w:tc>
        <w:tc>
          <w:tcPr>
            <w:tcW w:w="1440" w:type="dxa"/>
            <w:noWrap/>
            <w:hideMark/>
          </w:tcPr>
          <w:p w14:paraId="6E3CEFC3"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32C6F92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0.049</w:t>
            </w:r>
          </w:p>
        </w:tc>
        <w:tc>
          <w:tcPr>
            <w:tcW w:w="1080" w:type="dxa"/>
            <w:noWrap/>
            <w:hideMark/>
          </w:tcPr>
          <w:p w14:paraId="1651745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(1.945**)</w:t>
            </w:r>
          </w:p>
        </w:tc>
        <w:tc>
          <w:tcPr>
            <w:tcW w:w="810" w:type="dxa"/>
            <w:noWrap/>
            <w:hideMark/>
          </w:tcPr>
          <w:p w14:paraId="4DE8C3E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-2.430</w:t>
            </w:r>
          </w:p>
        </w:tc>
        <w:tc>
          <w:tcPr>
            <w:tcW w:w="1170" w:type="dxa"/>
            <w:noWrap/>
            <w:hideMark/>
          </w:tcPr>
          <w:p w14:paraId="75B1869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(-2.988***)</w:t>
            </w:r>
          </w:p>
        </w:tc>
        <w:tc>
          <w:tcPr>
            <w:tcW w:w="900" w:type="dxa"/>
            <w:noWrap/>
            <w:hideMark/>
          </w:tcPr>
          <w:p w14:paraId="3685DFE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0.409</w:t>
            </w:r>
          </w:p>
        </w:tc>
        <w:tc>
          <w:tcPr>
            <w:tcW w:w="990" w:type="dxa"/>
            <w:noWrap/>
            <w:hideMark/>
          </w:tcPr>
          <w:p w14:paraId="48EB2A2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00BC414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512216D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23D3173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460</w:t>
            </w:r>
          </w:p>
        </w:tc>
      </w:tr>
      <w:tr w:rsidR="00053984" w:rsidRPr="00053984" w14:paraId="398E10AA" w14:textId="77777777" w:rsidTr="00053984">
        <w:trPr>
          <w:trHeight w:val="20"/>
        </w:trPr>
        <w:tc>
          <w:tcPr>
            <w:tcW w:w="738" w:type="dxa"/>
            <w:noWrap/>
            <w:hideMark/>
          </w:tcPr>
          <w:p w14:paraId="3345A77D"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(5)</w:t>
            </w:r>
          </w:p>
        </w:tc>
        <w:tc>
          <w:tcPr>
            <w:tcW w:w="2340" w:type="dxa"/>
            <w:vMerge w:val="restart"/>
            <w:noWrap/>
            <w:hideMark/>
          </w:tcPr>
          <w:p w14:paraId="12374858"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Total stock return volatility change</w:t>
            </w:r>
          </w:p>
        </w:tc>
        <w:tc>
          <w:tcPr>
            <w:tcW w:w="1440" w:type="dxa"/>
            <w:noWrap/>
            <w:hideMark/>
          </w:tcPr>
          <w:p w14:paraId="6DDF1AF4"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vAlign w:val="bottom"/>
            <w:hideMark/>
          </w:tcPr>
          <w:p w14:paraId="2319EB5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-0.015</w:t>
            </w:r>
          </w:p>
        </w:tc>
        <w:tc>
          <w:tcPr>
            <w:tcW w:w="1080" w:type="dxa"/>
            <w:noWrap/>
            <w:vAlign w:val="bottom"/>
            <w:hideMark/>
          </w:tcPr>
          <w:p w14:paraId="346552D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(-1.460)</w:t>
            </w:r>
          </w:p>
        </w:tc>
        <w:tc>
          <w:tcPr>
            <w:tcW w:w="810" w:type="dxa"/>
            <w:noWrap/>
            <w:vAlign w:val="bottom"/>
            <w:hideMark/>
          </w:tcPr>
          <w:p w14:paraId="2E273EA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0.011</w:t>
            </w:r>
          </w:p>
        </w:tc>
        <w:tc>
          <w:tcPr>
            <w:tcW w:w="1170" w:type="dxa"/>
            <w:noWrap/>
            <w:vAlign w:val="bottom"/>
            <w:hideMark/>
          </w:tcPr>
          <w:p w14:paraId="329C140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(0.736)</w:t>
            </w:r>
          </w:p>
        </w:tc>
        <w:tc>
          <w:tcPr>
            <w:tcW w:w="900" w:type="dxa"/>
            <w:noWrap/>
            <w:hideMark/>
          </w:tcPr>
          <w:p w14:paraId="28B9AF6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0.529</w:t>
            </w:r>
          </w:p>
        </w:tc>
        <w:tc>
          <w:tcPr>
            <w:tcW w:w="990" w:type="dxa"/>
            <w:noWrap/>
            <w:hideMark/>
          </w:tcPr>
          <w:p w14:paraId="7689FDB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26D761C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2FCDB76D"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02029EAD"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571</w:t>
            </w:r>
          </w:p>
        </w:tc>
      </w:tr>
      <w:tr w:rsidR="00053984" w:rsidRPr="00053984" w14:paraId="3198F0ED" w14:textId="77777777" w:rsidTr="00053984">
        <w:trPr>
          <w:trHeight w:val="20"/>
        </w:trPr>
        <w:tc>
          <w:tcPr>
            <w:tcW w:w="738" w:type="dxa"/>
            <w:noWrap/>
            <w:hideMark/>
          </w:tcPr>
          <w:p w14:paraId="1A221DFB" w14:textId="77777777" w:rsidR="001E5D09" w:rsidRPr="00053984" w:rsidRDefault="001E5D09">
            <w:pPr>
              <w:rPr>
                <w:rFonts w:ascii="Gill Sans MT" w:hAnsi="Gill Sans MT" w:cs="Calibri"/>
                <w:sz w:val="18"/>
                <w:szCs w:val="18"/>
              </w:rPr>
            </w:pPr>
          </w:p>
        </w:tc>
        <w:tc>
          <w:tcPr>
            <w:tcW w:w="2340" w:type="dxa"/>
            <w:vMerge/>
            <w:vAlign w:val="center"/>
            <w:hideMark/>
          </w:tcPr>
          <w:p w14:paraId="29E4F6F5" w14:textId="77777777" w:rsidR="001E5D09" w:rsidRPr="00053984" w:rsidRDefault="001E5D09">
            <w:pPr>
              <w:spacing w:after="0"/>
              <w:rPr>
                <w:rFonts w:ascii="Gill Sans MT" w:eastAsia="Times New Roman" w:hAnsi="Gill Sans MT" w:cs="Calibri"/>
                <w:sz w:val="18"/>
                <w:szCs w:val="18"/>
              </w:rPr>
            </w:pPr>
          </w:p>
        </w:tc>
        <w:tc>
          <w:tcPr>
            <w:tcW w:w="1440" w:type="dxa"/>
            <w:noWrap/>
            <w:hideMark/>
          </w:tcPr>
          <w:p w14:paraId="4FE2E780"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vAlign w:val="bottom"/>
            <w:hideMark/>
          </w:tcPr>
          <w:p w14:paraId="4ED7F2D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-0.002</w:t>
            </w:r>
          </w:p>
        </w:tc>
        <w:tc>
          <w:tcPr>
            <w:tcW w:w="1080" w:type="dxa"/>
            <w:noWrap/>
            <w:vAlign w:val="bottom"/>
            <w:hideMark/>
          </w:tcPr>
          <w:p w14:paraId="4D8B032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(-2.60***)</w:t>
            </w:r>
          </w:p>
        </w:tc>
        <w:tc>
          <w:tcPr>
            <w:tcW w:w="810" w:type="dxa"/>
            <w:noWrap/>
            <w:vAlign w:val="bottom"/>
            <w:hideMark/>
          </w:tcPr>
          <w:p w14:paraId="6905F1F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.0549</w:t>
            </w:r>
          </w:p>
        </w:tc>
        <w:tc>
          <w:tcPr>
            <w:tcW w:w="1170" w:type="dxa"/>
            <w:noWrap/>
            <w:vAlign w:val="bottom"/>
            <w:hideMark/>
          </w:tcPr>
          <w:p w14:paraId="241FC2E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(2.38**)</w:t>
            </w:r>
          </w:p>
        </w:tc>
        <w:tc>
          <w:tcPr>
            <w:tcW w:w="900" w:type="dxa"/>
            <w:noWrap/>
            <w:hideMark/>
          </w:tcPr>
          <w:p w14:paraId="7184162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0.758</w:t>
            </w:r>
          </w:p>
        </w:tc>
        <w:tc>
          <w:tcPr>
            <w:tcW w:w="990" w:type="dxa"/>
            <w:noWrap/>
            <w:hideMark/>
          </w:tcPr>
          <w:p w14:paraId="73524C3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37423AB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02D4220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1F2A375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566</w:t>
            </w:r>
          </w:p>
        </w:tc>
      </w:tr>
      <w:tr w:rsidR="00053984" w:rsidRPr="00053984" w14:paraId="0B1CEE7B" w14:textId="77777777" w:rsidTr="00053984">
        <w:trPr>
          <w:trHeight w:val="20"/>
        </w:trPr>
        <w:tc>
          <w:tcPr>
            <w:tcW w:w="738" w:type="dxa"/>
            <w:noWrap/>
            <w:hideMark/>
          </w:tcPr>
          <w:p w14:paraId="535F7E0D"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(6)</w:t>
            </w:r>
          </w:p>
        </w:tc>
        <w:tc>
          <w:tcPr>
            <w:tcW w:w="2340" w:type="dxa"/>
            <w:noWrap/>
            <w:hideMark/>
          </w:tcPr>
          <w:p w14:paraId="11739D48"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ROA Change</w:t>
            </w:r>
          </w:p>
        </w:tc>
        <w:tc>
          <w:tcPr>
            <w:tcW w:w="1440" w:type="dxa"/>
            <w:noWrap/>
            <w:hideMark/>
          </w:tcPr>
          <w:p w14:paraId="1B657D7E"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1F8C164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0.075</w:t>
            </w:r>
          </w:p>
        </w:tc>
        <w:tc>
          <w:tcPr>
            <w:tcW w:w="1080" w:type="dxa"/>
            <w:noWrap/>
            <w:hideMark/>
          </w:tcPr>
          <w:p w14:paraId="5C40656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(1.814*)</w:t>
            </w:r>
          </w:p>
        </w:tc>
        <w:tc>
          <w:tcPr>
            <w:tcW w:w="810" w:type="dxa"/>
            <w:noWrap/>
            <w:hideMark/>
          </w:tcPr>
          <w:p w14:paraId="2D7F340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-1.608</w:t>
            </w:r>
          </w:p>
        </w:tc>
        <w:tc>
          <w:tcPr>
            <w:tcW w:w="1170" w:type="dxa"/>
            <w:noWrap/>
            <w:hideMark/>
          </w:tcPr>
          <w:p w14:paraId="03FBC3F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(-2.166**)</w:t>
            </w:r>
          </w:p>
        </w:tc>
        <w:tc>
          <w:tcPr>
            <w:tcW w:w="900" w:type="dxa"/>
            <w:noWrap/>
            <w:hideMark/>
          </w:tcPr>
          <w:p w14:paraId="6C98AE6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0.0756</w:t>
            </w:r>
          </w:p>
        </w:tc>
        <w:tc>
          <w:tcPr>
            <w:tcW w:w="990" w:type="dxa"/>
            <w:noWrap/>
            <w:hideMark/>
          </w:tcPr>
          <w:p w14:paraId="38673B3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6B57CE2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228C7CD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029E39D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526</w:t>
            </w:r>
          </w:p>
        </w:tc>
      </w:tr>
      <w:tr w:rsidR="00053984" w:rsidRPr="00053984" w14:paraId="106342C6" w14:textId="77777777" w:rsidTr="00053984">
        <w:trPr>
          <w:trHeight w:val="20"/>
        </w:trPr>
        <w:tc>
          <w:tcPr>
            <w:tcW w:w="738" w:type="dxa"/>
            <w:noWrap/>
            <w:hideMark/>
          </w:tcPr>
          <w:p w14:paraId="6FF59935" w14:textId="77777777" w:rsidR="001E5D09" w:rsidRPr="00053984" w:rsidRDefault="001E5D09">
            <w:pPr>
              <w:rPr>
                <w:rFonts w:ascii="Gill Sans MT" w:hAnsi="Gill Sans MT" w:cs="Calibri"/>
                <w:sz w:val="18"/>
                <w:szCs w:val="18"/>
              </w:rPr>
            </w:pPr>
          </w:p>
        </w:tc>
        <w:tc>
          <w:tcPr>
            <w:tcW w:w="2340" w:type="dxa"/>
            <w:noWrap/>
            <w:hideMark/>
          </w:tcPr>
          <w:p w14:paraId="3C0383C0" w14:textId="77777777" w:rsidR="001E5D09" w:rsidRPr="00053984" w:rsidRDefault="001E5D09">
            <w:pPr>
              <w:spacing w:after="0"/>
              <w:rPr>
                <w:sz w:val="18"/>
                <w:szCs w:val="18"/>
              </w:rPr>
            </w:pPr>
          </w:p>
        </w:tc>
        <w:tc>
          <w:tcPr>
            <w:tcW w:w="1440" w:type="dxa"/>
            <w:noWrap/>
            <w:hideMark/>
          </w:tcPr>
          <w:p w14:paraId="6DE230E4"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197A9A5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0.030</w:t>
            </w:r>
          </w:p>
        </w:tc>
        <w:tc>
          <w:tcPr>
            <w:tcW w:w="1080" w:type="dxa"/>
            <w:noWrap/>
            <w:hideMark/>
          </w:tcPr>
          <w:p w14:paraId="0F8074E5"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(0.701)</w:t>
            </w:r>
          </w:p>
        </w:tc>
        <w:tc>
          <w:tcPr>
            <w:tcW w:w="810" w:type="dxa"/>
            <w:noWrap/>
            <w:hideMark/>
          </w:tcPr>
          <w:p w14:paraId="4E1134E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-0.983</w:t>
            </w:r>
          </w:p>
        </w:tc>
        <w:tc>
          <w:tcPr>
            <w:tcW w:w="1170" w:type="dxa"/>
            <w:noWrap/>
            <w:hideMark/>
          </w:tcPr>
          <w:p w14:paraId="052684B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(-1.345)</w:t>
            </w:r>
          </w:p>
        </w:tc>
        <w:tc>
          <w:tcPr>
            <w:tcW w:w="900" w:type="dxa"/>
            <w:noWrap/>
            <w:hideMark/>
          </w:tcPr>
          <w:p w14:paraId="31BE265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0.0642</w:t>
            </w:r>
          </w:p>
        </w:tc>
        <w:tc>
          <w:tcPr>
            <w:tcW w:w="990" w:type="dxa"/>
            <w:noWrap/>
            <w:hideMark/>
          </w:tcPr>
          <w:p w14:paraId="66D0AFFD"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6EFC707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6572C91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7F984A3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546</w:t>
            </w:r>
          </w:p>
        </w:tc>
      </w:tr>
      <w:tr w:rsidR="00053984" w:rsidRPr="00053984" w14:paraId="7F082D99" w14:textId="77777777" w:rsidTr="00053984">
        <w:trPr>
          <w:trHeight w:val="20"/>
        </w:trPr>
        <w:tc>
          <w:tcPr>
            <w:tcW w:w="738" w:type="dxa"/>
            <w:noWrap/>
            <w:hideMark/>
          </w:tcPr>
          <w:p w14:paraId="4B055AE7"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(7)</w:t>
            </w:r>
          </w:p>
        </w:tc>
        <w:tc>
          <w:tcPr>
            <w:tcW w:w="2340" w:type="dxa"/>
            <w:vMerge w:val="restart"/>
            <w:noWrap/>
            <w:hideMark/>
          </w:tcPr>
          <w:p w14:paraId="277D39DE"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Net interest margin change</w:t>
            </w:r>
          </w:p>
        </w:tc>
        <w:tc>
          <w:tcPr>
            <w:tcW w:w="1440" w:type="dxa"/>
            <w:noWrap/>
            <w:hideMark/>
          </w:tcPr>
          <w:p w14:paraId="0A21CD59"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4DCF7EB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0.009</w:t>
            </w:r>
          </w:p>
        </w:tc>
        <w:tc>
          <w:tcPr>
            <w:tcW w:w="1080" w:type="dxa"/>
            <w:noWrap/>
            <w:hideMark/>
          </w:tcPr>
          <w:p w14:paraId="2C3BF7F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(0.225)</w:t>
            </w:r>
          </w:p>
        </w:tc>
        <w:tc>
          <w:tcPr>
            <w:tcW w:w="810" w:type="dxa"/>
            <w:noWrap/>
            <w:hideMark/>
          </w:tcPr>
          <w:p w14:paraId="13A5546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-1.332</w:t>
            </w:r>
          </w:p>
        </w:tc>
        <w:tc>
          <w:tcPr>
            <w:tcW w:w="1170" w:type="dxa"/>
            <w:noWrap/>
            <w:hideMark/>
          </w:tcPr>
          <w:p w14:paraId="48A4467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(-2.007**)</w:t>
            </w:r>
          </w:p>
        </w:tc>
        <w:tc>
          <w:tcPr>
            <w:tcW w:w="900" w:type="dxa"/>
            <w:noWrap/>
            <w:hideMark/>
          </w:tcPr>
          <w:p w14:paraId="61311D6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0.172</w:t>
            </w:r>
          </w:p>
        </w:tc>
        <w:tc>
          <w:tcPr>
            <w:tcW w:w="990" w:type="dxa"/>
            <w:noWrap/>
            <w:hideMark/>
          </w:tcPr>
          <w:p w14:paraId="3441B2C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5774B5F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3375A29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42EC51B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528</w:t>
            </w:r>
          </w:p>
        </w:tc>
      </w:tr>
      <w:tr w:rsidR="00053984" w:rsidRPr="00053984" w14:paraId="653CA92C" w14:textId="77777777" w:rsidTr="00053984">
        <w:trPr>
          <w:trHeight w:val="20"/>
        </w:trPr>
        <w:tc>
          <w:tcPr>
            <w:tcW w:w="738" w:type="dxa"/>
            <w:noWrap/>
            <w:hideMark/>
          </w:tcPr>
          <w:p w14:paraId="77CA4F66" w14:textId="77777777" w:rsidR="001E5D09" w:rsidRPr="00053984" w:rsidRDefault="001E5D09">
            <w:pPr>
              <w:rPr>
                <w:rFonts w:ascii="Gill Sans MT" w:hAnsi="Gill Sans MT" w:cs="Calibri"/>
                <w:sz w:val="18"/>
                <w:szCs w:val="18"/>
              </w:rPr>
            </w:pPr>
          </w:p>
        </w:tc>
        <w:tc>
          <w:tcPr>
            <w:tcW w:w="2340" w:type="dxa"/>
            <w:vMerge/>
            <w:vAlign w:val="center"/>
            <w:hideMark/>
          </w:tcPr>
          <w:p w14:paraId="2754EFF8" w14:textId="77777777" w:rsidR="001E5D09" w:rsidRPr="00053984" w:rsidRDefault="001E5D09">
            <w:pPr>
              <w:spacing w:after="0"/>
              <w:rPr>
                <w:rFonts w:ascii="Gill Sans MT" w:eastAsia="Times New Roman" w:hAnsi="Gill Sans MT" w:cs="Calibri"/>
                <w:sz w:val="18"/>
                <w:szCs w:val="18"/>
              </w:rPr>
            </w:pPr>
          </w:p>
        </w:tc>
        <w:tc>
          <w:tcPr>
            <w:tcW w:w="1440" w:type="dxa"/>
            <w:noWrap/>
            <w:hideMark/>
          </w:tcPr>
          <w:p w14:paraId="0086D6F0"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noWrap/>
            <w:hideMark/>
          </w:tcPr>
          <w:p w14:paraId="4FF0607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0.093</w:t>
            </w:r>
          </w:p>
        </w:tc>
        <w:tc>
          <w:tcPr>
            <w:tcW w:w="1080" w:type="dxa"/>
            <w:noWrap/>
            <w:hideMark/>
          </w:tcPr>
          <w:p w14:paraId="53B2C18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(2.253**)</w:t>
            </w:r>
          </w:p>
        </w:tc>
        <w:tc>
          <w:tcPr>
            <w:tcW w:w="810" w:type="dxa"/>
            <w:noWrap/>
            <w:hideMark/>
          </w:tcPr>
          <w:p w14:paraId="0BB731BC"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-0.116</w:t>
            </w:r>
          </w:p>
        </w:tc>
        <w:tc>
          <w:tcPr>
            <w:tcW w:w="1170" w:type="dxa"/>
            <w:noWrap/>
            <w:hideMark/>
          </w:tcPr>
          <w:p w14:paraId="0DFBBD09"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(-0.401)</w:t>
            </w:r>
          </w:p>
        </w:tc>
        <w:tc>
          <w:tcPr>
            <w:tcW w:w="900" w:type="dxa"/>
            <w:noWrap/>
            <w:hideMark/>
          </w:tcPr>
          <w:p w14:paraId="0D8FBD8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0.128</w:t>
            </w:r>
          </w:p>
        </w:tc>
        <w:tc>
          <w:tcPr>
            <w:tcW w:w="990" w:type="dxa"/>
            <w:noWrap/>
            <w:hideMark/>
          </w:tcPr>
          <w:p w14:paraId="5E67249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35F44778"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7766956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357F070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546</w:t>
            </w:r>
          </w:p>
        </w:tc>
      </w:tr>
      <w:tr w:rsidR="00053984" w:rsidRPr="00053984" w14:paraId="3FDB6F8E" w14:textId="77777777" w:rsidTr="00053984">
        <w:trPr>
          <w:trHeight w:val="20"/>
        </w:trPr>
        <w:tc>
          <w:tcPr>
            <w:tcW w:w="738" w:type="dxa"/>
            <w:noWrap/>
            <w:hideMark/>
          </w:tcPr>
          <w:p w14:paraId="6332E7D5"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(8)</w:t>
            </w:r>
          </w:p>
        </w:tc>
        <w:tc>
          <w:tcPr>
            <w:tcW w:w="2340" w:type="dxa"/>
            <w:vMerge w:val="restart"/>
            <w:tcBorders>
              <w:top w:val="nil"/>
              <w:left w:val="nil"/>
              <w:bottom w:val="single" w:sz="4" w:space="0" w:color="auto"/>
              <w:right w:val="nil"/>
            </w:tcBorders>
            <w:noWrap/>
            <w:hideMark/>
          </w:tcPr>
          <w:p w14:paraId="32F4B0F8"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Yield-to-cost change</w:t>
            </w:r>
          </w:p>
        </w:tc>
        <w:tc>
          <w:tcPr>
            <w:tcW w:w="1440" w:type="dxa"/>
            <w:noWrap/>
            <w:hideMark/>
          </w:tcPr>
          <w:p w14:paraId="7035E4B8"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Smaller banks</w:t>
            </w:r>
          </w:p>
        </w:tc>
        <w:tc>
          <w:tcPr>
            <w:tcW w:w="810" w:type="dxa"/>
            <w:noWrap/>
            <w:hideMark/>
          </w:tcPr>
          <w:p w14:paraId="5E9463BF"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-0.008</w:t>
            </w:r>
          </w:p>
        </w:tc>
        <w:tc>
          <w:tcPr>
            <w:tcW w:w="1080" w:type="dxa"/>
            <w:noWrap/>
            <w:hideMark/>
          </w:tcPr>
          <w:p w14:paraId="7DC38ECB"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(-0.175)</w:t>
            </w:r>
          </w:p>
        </w:tc>
        <w:tc>
          <w:tcPr>
            <w:tcW w:w="810" w:type="dxa"/>
            <w:noWrap/>
            <w:hideMark/>
          </w:tcPr>
          <w:p w14:paraId="5249FDFA"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0.035</w:t>
            </w:r>
          </w:p>
        </w:tc>
        <w:tc>
          <w:tcPr>
            <w:tcW w:w="1170" w:type="dxa"/>
            <w:noWrap/>
            <w:hideMark/>
          </w:tcPr>
          <w:p w14:paraId="7BA13FF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(0.067)</w:t>
            </w:r>
          </w:p>
        </w:tc>
        <w:tc>
          <w:tcPr>
            <w:tcW w:w="900" w:type="dxa"/>
            <w:noWrap/>
            <w:hideMark/>
          </w:tcPr>
          <w:p w14:paraId="741F4F33"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0.150</w:t>
            </w:r>
          </w:p>
        </w:tc>
        <w:tc>
          <w:tcPr>
            <w:tcW w:w="990" w:type="dxa"/>
            <w:noWrap/>
            <w:hideMark/>
          </w:tcPr>
          <w:p w14:paraId="702E568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noWrap/>
            <w:hideMark/>
          </w:tcPr>
          <w:p w14:paraId="3CBA74C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noWrap/>
            <w:hideMark/>
          </w:tcPr>
          <w:p w14:paraId="581DBF6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noWrap/>
            <w:hideMark/>
          </w:tcPr>
          <w:p w14:paraId="084450C6"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511</w:t>
            </w:r>
          </w:p>
        </w:tc>
      </w:tr>
      <w:tr w:rsidR="00053984" w:rsidRPr="00053984" w14:paraId="12A3827E" w14:textId="77777777" w:rsidTr="00053984">
        <w:trPr>
          <w:trHeight w:val="20"/>
        </w:trPr>
        <w:tc>
          <w:tcPr>
            <w:tcW w:w="738" w:type="dxa"/>
            <w:tcBorders>
              <w:top w:val="nil"/>
              <w:left w:val="nil"/>
              <w:bottom w:val="single" w:sz="4" w:space="0" w:color="auto"/>
              <w:right w:val="nil"/>
            </w:tcBorders>
            <w:noWrap/>
            <w:hideMark/>
          </w:tcPr>
          <w:p w14:paraId="60537A31" w14:textId="77777777" w:rsidR="001E5D09" w:rsidRPr="00053984" w:rsidRDefault="001E5D09">
            <w:pPr>
              <w:rPr>
                <w:rFonts w:ascii="Gill Sans MT" w:hAnsi="Gill Sans MT" w:cs="Calibri"/>
                <w:sz w:val="18"/>
                <w:szCs w:val="18"/>
              </w:rPr>
            </w:pPr>
          </w:p>
        </w:tc>
        <w:tc>
          <w:tcPr>
            <w:tcW w:w="2340" w:type="dxa"/>
            <w:vMerge/>
            <w:tcBorders>
              <w:top w:val="nil"/>
              <w:left w:val="nil"/>
              <w:bottom w:val="single" w:sz="4" w:space="0" w:color="auto"/>
              <w:right w:val="nil"/>
            </w:tcBorders>
            <w:vAlign w:val="center"/>
            <w:hideMark/>
          </w:tcPr>
          <w:p w14:paraId="7D83A14F" w14:textId="77777777" w:rsidR="001E5D09" w:rsidRPr="00053984" w:rsidRDefault="001E5D09">
            <w:pPr>
              <w:spacing w:after="0"/>
              <w:rPr>
                <w:rFonts w:ascii="Gill Sans MT" w:eastAsia="Times New Roman" w:hAnsi="Gill Sans MT" w:cs="Calibri"/>
                <w:sz w:val="18"/>
                <w:szCs w:val="18"/>
              </w:rPr>
            </w:pPr>
          </w:p>
        </w:tc>
        <w:tc>
          <w:tcPr>
            <w:tcW w:w="1440" w:type="dxa"/>
            <w:tcBorders>
              <w:top w:val="nil"/>
              <w:left w:val="nil"/>
              <w:bottom w:val="single" w:sz="4" w:space="0" w:color="auto"/>
              <w:right w:val="nil"/>
            </w:tcBorders>
            <w:noWrap/>
            <w:hideMark/>
          </w:tcPr>
          <w:p w14:paraId="3DD0490A" w14:textId="77777777" w:rsidR="001E5D09" w:rsidRPr="00053984" w:rsidRDefault="001E5D09">
            <w:pPr>
              <w:spacing w:line="240" w:lineRule="auto"/>
              <w:contextualSpacing/>
              <w:rPr>
                <w:rFonts w:ascii="Gill Sans MT" w:eastAsia="Times New Roman" w:hAnsi="Gill Sans MT" w:cs="Calibri"/>
                <w:sz w:val="18"/>
                <w:szCs w:val="18"/>
              </w:rPr>
            </w:pPr>
            <w:r w:rsidRPr="00053984">
              <w:rPr>
                <w:rFonts w:ascii="Gill Sans MT" w:eastAsia="Times New Roman" w:hAnsi="Gill Sans MT" w:cs="Calibri"/>
                <w:sz w:val="18"/>
                <w:szCs w:val="18"/>
              </w:rPr>
              <w:t>Bigger banks</w:t>
            </w:r>
          </w:p>
        </w:tc>
        <w:tc>
          <w:tcPr>
            <w:tcW w:w="810" w:type="dxa"/>
            <w:tcBorders>
              <w:top w:val="nil"/>
              <w:left w:val="nil"/>
              <w:bottom w:val="single" w:sz="4" w:space="0" w:color="auto"/>
              <w:right w:val="nil"/>
            </w:tcBorders>
            <w:noWrap/>
            <w:hideMark/>
          </w:tcPr>
          <w:p w14:paraId="7A8EC97D"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0.085</w:t>
            </w:r>
          </w:p>
        </w:tc>
        <w:tc>
          <w:tcPr>
            <w:tcW w:w="1080" w:type="dxa"/>
            <w:tcBorders>
              <w:top w:val="nil"/>
              <w:left w:val="nil"/>
              <w:bottom w:val="single" w:sz="4" w:space="0" w:color="auto"/>
              <w:right w:val="nil"/>
            </w:tcBorders>
            <w:noWrap/>
            <w:hideMark/>
          </w:tcPr>
          <w:p w14:paraId="52D4BDD7"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(2.218**)</w:t>
            </w:r>
          </w:p>
        </w:tc>
        <w:tc>
          <w:tcPr>
            <w:tcW w:w="810" w:type="dxa"/>
            <w:tcBorders>
              <w:top w:val="nil"/>
              <w:left w:val="nil"/>
              <w:bottom w:val="single" w:sz="4" w:space="0" w:color="auto"/>
              <w:right w:val="nil"/>
            </w:tcBorders>
            <w:noWrap/>
            <w:hideMark/>
          </w:tcPr>
          <w:p w14:paraId="4683BDA4"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-0.404</w:t>
            </w:r>
          </w:p>
        </w:tc>
        <w:tc>
          <w:tcPr>
            <w:tcW w:w="1170" w:type="dxa"/>
            <w:tcBorders>
              <w:top w:val="nil"/>
              <w:left w:val="nil"/>
              <w:bottom w:val="single" w:sz="4" w:space="0" w:color="auto"/>
              <w:right w:val="nil"/>
            </w:tcBorders>
            <w:noWrap/>
            <w:hideMark/>
          </w:tcPr>
          <w:p w14:paraId="470F22E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(-1.091)</w:t>
            </w:r>
          </w:p>
        </w:tc>
        <w:tc>
          <w:tcPr>
            <w:tcW w:w="900" w:type="dxa"/>
            <w:tcBorders>
              <w:top w:val="nil"/>
              <w:left w:val="nil"/>
              <w:bottom w:val="single" w:sz="4" w:space="0" w:color="auto"/>
              <w:right w:val="nil"/>
            </w:tcBorders>
            <w:noWrap/>
            <w:hideMark/>
          </w:tcPr>
          <w:p w14:paraId="2ABBE2F2"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0.246</w:t>
            </w:r>
          </w:p>
        </w:tc>
        <w:tc>
          <w:tcPr>
            <w:tcW w:w="990" w:type="dxa"/>
            <w:tcBorders>
              <w:top w:val="nil"/>
              <w:left w:val="nil"/>
              <w:bottom w:val="single" w:sz="4" w:space="0" w:color="auto"/>
              <w:right w:val="nil"/>
            </w:tcBorders>
            <w:noWrap/>
            <w:hideMark/>
          </w:tcPr>
          <w:p w14:paraId="04FE39A1"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94" w:type="dxa"/>
            <w:tcBorders>
              <w:top w:val="nil"/>
              <w:left w:val="nil"/>
              <w:bottom w:val="single" w:sz="4" w:space="0" w:color="auto"/>
              <w:right w:val="nil"/>
            </w:tcBorders>
            <w:noWrap/>
            <w:hideMark/>
          </w:tcPr>
          <w:p w14:paraId="27F5958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2" w:type="dxa"/>
            <w:tcBorders>
              <w:top w:val="nil"/>
              <w:left w:val="nil"/>
              <w:bottom w:val="single" w:sz="4" w:space="0" w:color="auto"/>
              <w:right w:val="nil"/>
            </w:tcBorders>
            <w:noWrap/>
            <w:hideMark/>
          </w:tcPr>
          <w:p w14:paraId="137727AE"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Yes</w:t>
            </w:r>
          </w:p>
        </w:tc>
        <w:tc>
          <w:tcPr>
            <w:tcW w:w="956" w:type="dxa"/>
            <w:gridSpan w:val="2"/>
            <w:tcBorders>
              <w:top w:val="nil"/>
              <w:left w:val="nil"/>
              <w:bottom w:val="single" w:sz="4" w:space="0" w:color="auto"/>
              <w:right w:val="nil"/>
            </w:tcBorders>
            <w:noWrap/>
            <w:hideMark/>
          </w:tcPr>
          <w:p w14:paraId="5D39EF70" w14:textId="77777777" w:rsidR="001E5D09" w:rsidRPr="00053984" w:rsidRDefault="001E5D09">
            <w:pPr>
              <w:spacing w:line="240" w:lineRule="auto"/>
              <w:contextualSpacing/>
              <w:rPr>
                <w:rFonts w:ascii="Gill Sans MT" w:hAnsi="Gill Sans MT" w:cs="Calibri"/>
                <w:sz w:val="18"/>
                <w:szCs w:val="18"/>
              </w:rPr>
            </w:pPr>
            <w:r w:rsidRPr="00053984">
              <w:rPr>
                <w:rFonts w:ascii="Gill Sans MT" w:hAnsi="Gill Sans MT" w:cs="Calibri"/>
                <w:sz w:val="18"/>
                <w:szCs w:val="18"/>
              </w:rPr>
              <w:t>530</w:t>
            </w:r>
          </w:p>
        </w:tc>
      </w:tr>
      <w:tr w:rsidR="00053984" w:rsidRPr="00053984" w14:paraId="033152BA" w14:textId="77777777" w:rsidTr="00053984">
        <w:trPr>
          <w:trHeight w:val="20"/>
        </w:trPr>
        <w:tc>
          <w:tcPr>
            <w:tcW w:w="13180" w:type="dxa"/>
            <w:gridSpan w:val="13"/>
            <w:tcBorders>
              <w:top w:val="single" w:sz="4" w:space="0" w:color="auto"/>
              <w:left w:val="nil"/>
              <w:bottom w:val="single" w:sz="4" w:space="0" w:color="auto"/>
              <w:right w:val="nil"/>
            </w:tcBorders>
            <w:noWrap/>
          </w:tcPr>
          <w:p w14:paraId="4677F651" w14:textId="04FE7185" w:rsidR="00053984" w:rsidRPr="00053984" w:rsidRDefault="00053984">
            <w:pPr>
              <w:spacing w:line="240" w:lineRule="auto"/>
              <w:contextualSpacing/>
              <w:rPr>
                <w:rFonts w:ascii="Gill Sans MT" w:hAnsi="Gill Sans MT"/>
                <w:sz w:val="18"/>
                <w:szCs w:val="18"/>
              </w:rPr>
            </w:pPr>
            <w:r w:rsidRPr="00093F2A">
              <w:rPr>
                <w:rFonts w:ascii="Gill Sans MT" w:hAnsi="Gill Sans MT"/>
                <w:sz w:val="18"/>
                <w:szCs w:val="18"/>
              </w:rPr>
              <w:t>We report the regressions of coefficients on the independent variables separately for small and large acquirers divided based upon whether the lagged asset of the acquiring firm is smaller or larger than the median sample value. The independent variable of interest is the dummy variable for deals with private equity involvement (</w:t>
            </w:r>
            <w:r w:rsidRPr="00093F2A">
              <w:rPr>
                <w:rFonts w:ascii="Gill Sans MT" w:hAnsi="Gill Sans MT"/>
                <w:i/>
                <w:iCs/>
                <w:sz w:val="18"/>
                <w:szCs w:val="18"/>
              </w:rPr>
              <w:t>PRIVATE EQUITY</w:t>
            </w:r>
            <w:r w:rsidRPr="00093F2A">
              <w:rPr>
                <w:rFonts w:ascii="Gill Sans MT" w:hAnsi="Gill Sans MT"/>
                <w:sz w:val="18"/>
                <w:szCs w:val="18"/>
              </w:rPr>
              <w:t>). For brevity, we report the coefficients on the main independent variables only for tests on CARs, BHARs, risk change and operating performance. We control for year and industry fixed effects. We calculate the t-statistics based upon clustered standard errors. ***, **, and * denote significance at 1%, 5%, and 10% levels</w:t>
            </w:r>
          </w:p>
        </w:tc>
      </w:tr>
    </w:tbl>
    <w:p w14:paraId="60D2026B" w14:textId="77777777" w:rsidR="00053984" w:rsidRDefault="00053984" w:rsidP="001E5D09">
      <w:pPr>
        <w:rPr>
          <w:rFonts w:ascii="Gill Sans MT" w:hAnsi="Gill Sans MT"/>
        </w:rPr>
        <w:sectPr w:rsidR="00053984" w:rsidSect="00053984">
          <w:pgSz w:w="15840" w:h="12240" w:orient="landscape"/>
          <w:pgMar w:top="1440" w:right="1440" w:bottom="1440" w:left="1440" w:header="720" w:footer="720" w:gutter="0"/>
          <w:cols w:space="720"/>
          <w:docGrid w:linePitch="360"/>
        </w:sectPr>
      </w:pPr>
    </w:p>
    <w:p w14:paraId="5488258A" w14:textId="061513A6" w:rsidR="001A3981" w:rsidRPr="00093F2A" w:rsidRDefault="001A3981" w:rsidP="001716DA">
      <w:pPr>
        <w:spacing w:line="257" w:lineRule="auto"/>
        <w:rPr>
          <w:rFonts w:ascii="Gill Sans MT" w:hAnsi="Gill Sans MT"/>
          <w:sz w:val="24"/>
          <w:szCs w:val="24"/>
        </w:rPr>
      </w:pPr>
    </w:p>
    <w:sectPr w:rsidR="001A3981" w:rsidRPr="00093F2A" w:rsidSect="00053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8873" w14:textId="77777777" w:rsidR="00A819CB" w:rsidRDefault="00A819CB" w:rsidP="0099785B">
      <w:pPr>
        <w:spacing w:after="0" w:line="240" w:lineRule="auto"/>
      </w:pPr>
      <w:r>
        <w:separator/>
      </w:r>
    </w:p>
  </w:endnote>
  <w:endnote w:type="continuationSeparator" w:id="0">
    <w:p w14:paraId="3DDF2D72" w14:textId="77777777" w:rsidR="00A819CB" w:rsidRDefault="00A819CB" w:rsidP="0099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630912"/>
      <w:docPartObj>
        <w:docPartGallery w:val="Page Numbers (Bottom of Page)"/>
        <w:docPartUnique/>
      </w:docPartObj>
    </w:sdtPr>
    <w:sdtEndPr>
      <w:rPr>
        <w:noProof/>
      </w:rPr>
    </w:sdtEndPr>
    <w:sdtContent>
      <w:p w14:paraId="480B363D" w14:textId="39A48A92" w:rsidR="00207B60" w:rsidRDefault="00207B6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BF4E2E0" w14:textId="77777777" w:rsidR="00207B60" w:rsidRDefault="00207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2142" w14:textId="77777777" w:rsidR="00A819CB" w:rsidRDefault="00A819CB" w:rsidP="0099785B">
      <w:pPr>
        <w:spacing w:after="0" w:line="240" w:lineRule="auto"/>
      </w:pPr>
      <w:r>
        <w:separator/>
      </w:r>
    </w:p>
  </w:footnote>
  <w:footnote w:type="continuationSeparator" w:id="0">
    <w:p w14:paraId="10B26098" w14:textId="77777777" w:rsidR="00A819CB" w:rsidRDefault="00A819CB" w:rsidP="0099785B">
      <w:pPr>
        <w:spacing w:after="0" w:line="240" w:lineRule="auto"/>
      </w:pPr>
      <w:r>
        <w:continuationSeparator/>
      </w:r>
    </w:p>
  </w:footnote>
  <w:footnote w:id="1">
    <w:p w14:paraId="4141E7CC" w14:textId="34F67329" w:rsidR="00207B60" w:rsidRPr="007126C1" w:rsidRDefault="00207B60" w:rsidP="008F18F4">
      <w:pPr>
        <w:pStyle w:val="FootnoteText"/>
        <w:rPr>
          <w:rFonts w:ascii="Gill Sans MT" w:hAnsi="Gill Sans MT"/>
          <w:lang w:val="en-GB"/>
        </w:rPr>
      </w:pPr>
      <w:r w:rsidRPr="007126C1">
        <w:rPr>
          <w:rStyle w:val="FootnoteReference"/>
          <w:rFonts w:ascii="Gill Sans MT" w:hAnsi="Gill Sans MT"/>
        </w:rPr>
        <w:footnoteRef/>
      </w:r>
      <w:r w:rsidRPr="007126C1">
        <w:rPr>
          <w:rFonts w:ascii="Gill Sans MT" w:hAnsi="Gill Sans MT"/>
        </w:rPr>
        <w:t xml:space="preserve"> </w:t>
      </w:r>
      <w:hyperlink r:id="rId1" w:history="1">
        <w:r w:rsidRPr="007126C1">
          <w:rPr>
            <w:rStyle w:val="Hyperlink"/>
            <w:rFonts w:ascii="Gill Sans MT" w:hAnsi="Gill Sans MT"/>
          </w:rPr>
          <w:t>https://www.cfainstitute.org/en/membership/professional-development/refresher-readings/private-equity-investments</w:t>
        </w:r>
      </w:hyperlink>
      <w:r w:rsidRPr="007126C1">
        <w:rPr>
          <w:rFonts w:ascii="Gill Sans MT" w:hAnsi="Gill Sans MT"/>
        </w:rPr>
        <w:t xml:space="preserve">. </w:t>
      </w:r>
      <w:r w:rsidRPr="007126C1">
        <w:rPr>
          <w:rFonts w:ascii="Gill Sans MT" w:hAnsi="Gill Sans MT"/>
        </w:rPr>
        <w:br/>
        <w:t>The European and Private Equity Venture Capital Association (EVCA) provides a classification of private equity in terms of stage and type of financing they provide to target companies.</w:t>
      </w:r>
    </w:p>
  </w:footnote>
  <w:footnote w:id="2">
    <w:p w14:paraId="6D733376" w14:textId="73DE8FFA" w:rsidR="00207B60" w:rsidRPr="001A3981" w:rsidRDefault="00207B60">
      <w:pPr>
        <w:pStyle w:val="FootnoteText"/>
        <w:rPr>
          <w:rFonts w:ascii="Garamond" w:hAnsi="Garamond"/>
          <w:lang w:val="en-GB"/>
        </w:rPr>
      </w:pPr>
      <w:r w:rsidRPr="007126C1">
        <w:rPr>
          <w:rStyle w:val="FootnoteReference"/>
          <w:rFonts w:ascii="Gill Sans MT" w:hAnsi="Gill Sans MT"/>
        </w:rPr>
        <w:footnoteRef/>
      </w:r>
      <w:r w:rsidRPr="007126C1">
        <w:rPr>
          <w:rFonts w:ascii="Gill Sans MT" w:hAnsi="Gill Sans MT"/>
        </w:rPr>
        <w:t xml:space="preserve"> </w:t>
      </w:r>
      <w:r w:rsidRPr="007126C1">
        <w:rPr>
          <w:rFonts w:ascii="Gill Sans MT" w:hAnsi="Gill Sans MT"/>
          <w:lang w:val="en-GB"/>
        </w:rPr>
        <w:t xml:space="preserve">White &amp; Case LLP. (2017). How private equity is powering financial services M&amp;A. </w:t>
      </w:r>
    </w:p>
  </w:footnote>
  <w:footnote w:id="3">
    <w:p w14:paraId="7B7EA655" w14:textId="14DE53A8" w:rsidR="00207B60" w:rsidRPr="00097C01" w:rsidRDefault="00207B60">
      <w:pPr>
        <w:pStyle w:val="FootnoteText"/>
        <w:rPr>
          <w:rFonts w:ascii="Gill Sans MT" w:hAnsi="Gill Sans MT"/>
          <w:lang w:val="en-GB"/>
        </w:rPr>
      </w:pPr>
      <w:r w:rsidRPr="00097C01">
        <w:rPr>
          <w:rStyle w:val="FootnoteReference"/>
          <w:rFonts w:ascii="Gill Sans MT" w:hAnsi="Gill Sans MT"/>
        </w:rPr>
        <w:footnoteRef/>
      </w:r>
      <w:r w:rsidRPr="00097C01">
        <w:rPr>
          <w:rFonts w:ascii="Gill Sans MT" w:hAnsi="Gill Sans MT"/>
        </w:rPr>
        <w:t xml:space="preserve"> </w:t>
      </w:r>
      <w:r w:rsidRPr="00097C01">
        <w:rPr>
          <w:rFonts w:ascii="Gill Sans MT" w:hAnsi="Gill Sans MT"/>
          <w:lang w:val="en-GB"/>
        </w:rPr>
        <w:t xml:space="preserve">KPMG International (2016). Banking and private capital: friend or foe?, April. Accessed at: </w:t>
      </w:r>
      <w:hyperlink r:id="rId2" w:history="1">
        <w:r w:rsidRPr="00097C01">
          <w:rPr>
            <w:rStyle w:val="Hyperlink"/>
            <w:rFonts w:ascii="Gill Sans MT" w:hAnsi="Gill Sans MT"/>
            <w:lang w:val="en-GB"/>
          </w:rPr>
          <w:t>https://assets.kpmg/content/dam/kpmg/pdf/2016/05/ie-private-capital-friend-or-foe.pdf</w:t>
        </w:r>
      </w:hyperlink>
      <w:r w:rsidRPr="00097C01">
        <w:rPr>
          <w:rFonts w:ascii="Gill Sans MT" w:hAnsi="Gill Sans MT"/>
          <w:lang w:val="en-GB"/>
        </w:rPr>
        <w:t xml:space="preserve"> </w:t>
      </w:r>
    </w:p>
  </w:footnote>
  <w:footnote w:id="4">
    <w:p w14:paraId="18664651" w14:textId="77777777" w:rsidR="00207B60" w:rsidRPr="008A3D47" w:rsidRDefault="00207B60" w:rsidP="008F18F4">
      <w:pPr>
        <w:pStyle w:val="FootnoteText"/>
        <w:rPr>
          <w:rFonts w:ascii="Gill Sans MT" w:hAnsi="Gill Sans MT"/>
          <w:lang w:val="en-GB"/>
        </w:rPr>
      </w:pPr>
      <w:r w:rsidRPr="008A3D47">
        <w:rPr>
          <w:rStyle w:val="FootnoteReference"/>
          <w:rFonts w:ascii="Gill Sans MT" w:hAnsi="Gill Sans MT"/>
        </w:rPr>
        <w:footnoteRef/>
      </w:r>
      <w:r w:rsidRPr="008A3D47">
        <w:rPr>
          <w:rFonts w:ascii="Gill Sans MT" w:hAnsi="Gill Sans MT"/>
        </w:rPr>
        <w:t xml:space="preserve"> A Bloomberg Law Report covers these tensions in detail. See Private Equity Investments in Financial Services Firms: Threading the Regulatory Needle, Bloomberg Law. Reports, 2011</w:t>
      </w:r>
    </w:p>
  </w:footnote>
  <w:footnote w:id="5">
    <w:p w14:paraId="26A456A9" w14:textId="2CBADC49" w:rsidR="00207B60" w:rsidRPr="008F18F4" w:rsidRDefault="00207B60" w:rsidP="008F18F4">
      <w:pPr>
        <w:pStyle w:val="FootnoteText"/>
        <w:rPr>
          <w:lang w:val="en-GB"/>
        </w:rPr>
      </w:pPr>
      <w:r w:rsidRPr="008A3D47">
        <w:rPr>
          <w:rStyle w:val="FootnoteReference"/>
          <w:rFonts w:ascii="Gill Sans MT" w:hAnsi="Gill Sans MT"/>
        </w:rPr>
        <w:footnoteRef/>
      </w:r>
      <w:r w:rsidRPr="008A3D47">
        <w:rPr>
          <w:rFonts w:ascii="Gill Sans MT" w:hAnsi="Gill Sans MT"/>
        </w:rPr>
        <w:t xml:space="preserve"> </w:t>
      </w:r>
      <w:r w:rsidRPr="008A3D47">
        <w:rPr>
          <w:rFonts w:ascii="Gill Sans MT" w:hAnsi="Gill Sans MT"/>
          <w:lang w:val="en-GB"/>
        </w:rPr>
        <w:t xml:space="preserve">Financial Times (2018). Private equity buying banks is not a good mix, September 17. Accessed at: </w:t>
      </w:r>
      <w:hyperlink r:id="rId3" w:history="1">
        <w:r w:rsidRPr="008A3D47">
          <w:rPr>
            <w:rStyle w:val="Hyperlink"/>
            <w:rFonts w:ascii="Gill Sans MT" w:hAnsi="Gill Sans MT"/>
            <w:lang w:val="en-GB"/>
          </w:rPr>
          <w:t>https://www.ft.com/content/3afc2dba-b848-11e8-b3ef-799c8613f4a1</w:t>
        </w:r>
      </w:hyperlink>
      <w:r w:rsidRPr="008A3D47">
        <w:rPr>
          <w:rFonts w:ascii="Gill Sans MT" w:hAnsi="Gill Sans MT"/>
          <w:lang w:val="en-GB"/>
        </w:rPr>
        <w:t xml:space="preserve">. </w:t>
      </w:r>
      <w:r w:rsidRPr="008A3D47">
        <w:rPr>
          <w:rFonts w:ascii="Gill Sans MT" w:hAnsi="Gill Sans MT"/>
          <w:lang w:val="en-GB"/>
        </w:rPr>
        <w:br/>
        <w:t xml:space="preserve">Note that more leverage cannot be used in US banks' acquisitions as the regulators will not approve such deals. </w:t>
      </w:r>
      <w:r w:rsidRPr="008A3D47">
        <w:rPr>
          <w:rFonts w:ascii="Gill Sans MT" w:hAnsi="Gill Sans MT"/>
          <w:lang w:val="en-GB"/>
        </w:rPr>
        <w:br/>
        <w:t>EBITDA stands for earnings before interest, taxes, depreciation and amortization.</w:t>
      </w:r>
    </w:p>
  </w:footnote>
  <w:footnote w:id="6">
    <w:p w14:paraId="3CACEA11" w14:textId="00DA8FA3" w:rsidR="00207B60" w:rsidRPr="008A3D47" w:rsidRDefault="00207B60">
      <w:pPr>
        <w:pStyle w:val="FootnoteText"/>
        <w:rPr>
          <w:rFonts w:ascii="Gill Sans MT" w:hAnsi="Gill Sans MT"/>
          <w:lang w:val="en-GB"/>
        </w:rPr>
      </w:pPr>
      <w:r w:rsidRPr="008A3D47">
        <w:rPr>
          <w:rStyle w:val="FootnoteReference"/>
          <w:rFonts w:ascii="Gill Sans MT" w:hAnsi="Gill Sans MT"/>
        </w:rPr>
        <w:footnoteRef/>
      </w:r>
      <w:r w:rsidRPr="008A3D47">
        <w:rPr>
          <w:rFonts w:ascii="Gill Sans MT" w:hAnsi="Gill Sans MT"/>
        </w:rPr>
        <w:t xml:space="preserve"> </w:t>
      </w:r>
      <w:r w:rsidRPr="008A3D47">
        <w:rPr>
          <w:rFonts w:ascii="Gill Sans MT" w:hAnsi="Gill Sans MT"/>
          <w:lang w:val="en-GB"/>
        </w:rPr>
        <w:t>See Financial Times (2018). How the biggest private equity firms became the new banks, 20 September. Accessed at: https://www.ft.com/content/ec43db70-ba8e-11e8-94b2-17176fbf93f5</w:t>
      </w:r>
    </w:p>
  </w:footnote>
  <w:footnote w:id="7">
    <w:p w14:paraId="37A0E402" w14:textId="7D856801" w:rsidR="00207B60" w:rsidRPr="001A3981" w:rsidRDefault="00207B60">
      <w:pPr>
        <w:pStyle w:val="FootnoteText"/>
        <w:rPr>
          <w:rFonts w:ascii="Garamond" w:hAnsi="Garamond"/>
          <w:lang w:val="en-GB"/>
        </w:rPr>
      </w:pPr>
      <w:r w:rsidRPr="008A3D47">
        <w:rPr>
          <w:rStyle w:val="FootnoteReference"/>
          <w:rFonts w:ascii="Gill Sans MT" w:hAnsi="Gill Sans MT"/>
        </w:rPr>
        <w:footnoteRef/>
      </w:r>
      <w:r w:rsidRPr="008A3D47">
        <w:rPr>
          <w:rFonts w:ascii="Gill Sans MT" w:hAnsi="Gill Sans MT"/>
        </w:rPr>
        <w:t xml:space="preserve"> As discussed earlier, PE firms are unlikely to take a significant stake in FIs due to regulations. As such, we do not provide a review of the literature on private equity in non-FIs, where they are the controlling shareholders. Nonetheless, we list several studies that review the vital role played by PE as well as the value their involvement generates: Reid et al., 1995; Thompson and Wright, 1995; Wright and Robbie (1999); Desbrierers and Schatt, 2002; Wright, Renneboog, Simons, and Scholes (2006); Leslie and Oyer (2008); Axelson, Stromberg, and Weisbach, 2009; Kaplan and Stromberg, 2009; Wood and Wright, 2009; Metrick and Yasuda, 2010; Guo, Hotchkiss, and Song, 2011; Ivashina and Kovner (2011); Lerner, Sorensen, and Strömberg, 2011; Muller, 2011; Tykvová and Borell (2012); Acharya, Gottschalg, Hahn, and Kehoe (2013); Axelson, Sorensen, and Strömberg (2013); Harris, Jenkinson, and Kaplan (2014); Gompers, Kaplan, and Mukharlyamov (2016); Lee and Shen, 2016; Sun and Uchida, 2016. Related studies documenting PE's involvement in M&amp;As include Gaughan, 2007; Bargeron, Schlingemann, Stulz, and Zutter (2008); Kim and Palia, 2014; Humphery-Jenner, Sautner, and Suchard (2017); Balasubramaniamy, Gomes, and Lee (2018).</w:t>
      </w:r>
    </w:p>
  </w:footnote>
  <w:footnote w:id="8">
    <w:p w14:paraId="12969923" w14:textId="230ABDB5" w:rsidR="00207B60" w:rsidRPr="008A3D47" w:rsidRDefault="00207B60">
      <w:pPr>
        <w:pStyle w:val="FootnoteText"/>
        <w:rPr>
          <w:rFonts w:ascii="Gill Sans MT" w:hAnsi="Gill Sans MT"/>
          <w:lang w:val="en-GB"/>
        </w:rPr>
      </w:pPr>
      <w:r w:rsidRPr="008A3D47">
        <w:rPr>
          <w:rStyle w:val="FootnoteReference"/>
          <w:rFonts w:ascii="Gill Sans MT" w:hAnsi="Gill Sans MT"/>
        </w:rPr>
        <w:footnoteRef/>
      </w:r>
      <w:r w:rsidRPr="008A3D47">
        <w:rPr>
          <w:rFonts w:ascii="Gill Sans MT" w:hAnsi="Gill Sans MT"/>
        </w:rPr>
        <w:t xml:space="preserve"> </w:t>
      </w:r>
      <w:r w:rsidRPr="008A3D47">
        <w:rPr>
          <w:rFonts w:ascii="Gill Sans MT" w:hAnsi="Gill Sans MT"/>
          <w:lang w:val="en-GB"/>
        </w:rPr>
        <w:t xml:space="preserve">Hunton &amp; Williams LLP. (2009). Private Equity Investments in Financial Institutions, January. </w:t>
      </w:r>
    </w:p>
  </w:footnote>
  <w:footnote w:id="9">
    <w:p w14:paraId="1AB69668" w14:textId="7EFC9B77" w:rsidR="00207B60" w:rsidRPr="008A3D47" w:rsidRDefault="00207B60">
      <w:pPr>
        <w:pStyle w:val="FootnoteText"/>
        <w:rPr>
          <w:rFonts w:ascii="Gill Sans MT" w:hAnsi="Gill Sans MT"/>
          <w:lang w:val="en-GB"/>
        </w:rPr>
      </w:pPr>
      <w:r w:rsidRPr="008A3D47">
        <w:rPr>
          <w:rStyle w:val="FootnoteReference"/>
          <w:rFonts w:ascii="Gill Sans MT" w:hAnsi="Gill Sans MT"/>
        </w:rPr>
        <w:footnoteRef/>
      </w:r>
      <w:r w:rsidRPr="008A3D47">
        <w:rPr>
          <w:rFonts w:ascii="Gill Sans MT" w:hAnsi="Gill Sans MT"/>
        </w:rPr>
        <w:t xml:space="preserve"> We control for year fixed effects and the acquirer’s business fixed effects. We calculate the t-statistics based upon robust standard errors. All the financial variables are measured at end of fiscal year prior to the announcement. They apply to all the regressions included in the paper.</w:t>
      </w:r>
    </w:p>
  </w:footnote>
  <w:footnote w:id="10">
    <w:p w14:paraId="18D1085D" w14:textId="4695A023" w:rsidR="00207B60" w:rsidRPr="008A3D47" w:rsidRDefault="00207B60">
      <w:pPr>
        <w:pStyle w:val="FootnoteText"/>
        <w:rPr>
          <w:rFonts w:ascii="Gill Sans MT" w:hAnsi="Gill Sans MT"/>
          <w:lang w:val="en-GB"/>
        </w:rPr>
      </w:pPr>
      <w:r w:rsidRPr="008A3D47">
        <w:rPr>
          <w:rStyle w:val="FootnoteReference"/>
          <w:rFonts w:ascii="Gill Sans MT" w:hAnsi="Gill Sans MT"/>
        </w:rPr>
        <w:footnoteRef/>
      </w:r>
      <w:r w:rsidRPr="008A3D47">
        <w:rPr>
          <w:rFonts w:ascii="Gill Sans MT" w:hAnsi="Gill Sans MT"/>
        </w:rPr>
        <w:t xml:space="preserve"> </w:t>
      </w:r>
      <w:r w:rsidRPr="008A3D47">
        <w:rPr>
          <w:rFonts w:ascii="Gill Sans MT" w:hAnsi="Gill Sans MT"/>
          <w:lang w:val="en-GB"/>
        </w:rPr>
        <w:t>Source: American Banker (2020). 6 takeaways from bank M&amp;A in 2019, 05 January. Accessed at: https://www.americanbanker.com/list/6-takeaways-from-bank-m-a-in-2019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2F5"/>
    <w:multiLevelType w:val="hybridMultilevel"/>
    <w:tmpl w:val="B592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13AA"/>
    <w:multiLevelType w:val="hybridMultilevel"/>
    <w:tmpl w:val="CCB857B2"/>
    <w:lvl w:ilvl="0" w:tplc="AEFA49E0">
      <w:start w:val="1"/>
      <w:numFmt w:val="decimal"/>
      <w:lvlText w:val="%1."/>
      <w:lvlJc w:val="left"/>
      <w:pPr>
        <w:ind w:left="720" w:hanging="360"/>
      </w:pPr>
      <w:rPr>
        <w:rFonts w:hint="default"/>
      </w:rPr>
    </w:lvl>
    <w:lvl w:ilvl="1" w:tplc="8D2C664C">
      <w:start w:val="1"/>
      <w:numFmt w:val="lowerLetter"/>
      <w:lvlText w:val="%2."/>
      <w:lvlJc w:val="left"/>
      <w:pPr>
        <w:ind w:left="1440" w:hanging="360"/>
      </w:pPr>
    </w:lvl>
    <w:lvl w:ilvl="2" w:tplc="117C20B0">
      <w:start w:val="1"/>
      <w:numFmt w:val="lowerRoman"/>
      <w:lvlText w:val="%3."/>
      <w:lvlJc w:val="right"/>
      <w:pPr>
        <w:ind w:left="2160" w:hanging="180"/>
      </w:pPr>
    </w:lvl>
    <w:lvl w:ilvl="3" w:tplc="888617DC" w:tentative="1">
      <w:start w:val="1"/>
      <w:numFmt w:val="decimal"/>
      <w:lvlText w:val="%4."/>
      <w:lvlJc w:val="left"/>
      <w:pPr>
        <w:ind w:left="2880" w:hanging="360"/>
      </w:pPr>
    </w:lvl>
    <w:lvl w:ilvl="4" w:tplc="BB4E2652" w:tentative="1">
      <w:start w:val="1"/>
      <w:numFmt w:val="lowerLetter"/>
      <w:lvlText w:val="%5."/>
      <w:lvlJc w:val="left"/>
      <w:pPr>
        <w:ind w:left="3600" w:hanging="360"/>
      </w:pPr>
    </w:lvl>
    <w:lvl w:ilvl="5" w:tplc="6D887734" w:tentative="1">
      <w:start w:val="1"/>
      <w:numFmt w:val="lowerRoman"/>
      <w:lvlText w:val="%6."/>
      <w:lvlJc w:val="right"/>
      <w:pPr>
        <w:ind w:left="4320" w:hanging="180"/>
      </w:pPr>
    </w:lvl>
    <w:lvl w:ilvl="6" w:tplc="6B482D4E" w:tentative="1">
      <w:start w:val="1"/>
      <w:numFmt w:val="decimal"/>
      <w:lvlText w:val="%7."/>
      <w:lvlJc w:val="left"/>
      <w:pPr>
        <w:ind w:left="5040" w:hanging="360"/>
      </w:pPr>
    </w:lvl>
    <w:lvl w:ilvl="7" w:tplc="8EA4A3CA" w:tentative="1">
      <w:start w:val="1"/>
      <w:numFmt w:val="lowerLetter"/>
      <w:lvlText w:val="%8."/>
      <w:lvlJc w:val="left"/>
      <w:pPr>
        <w:ind w:left="5760" w:hanging="360"/>
      </w:pPr>
    </w:lvl>
    <w:lvl w:ilvl="8" w:tplc="1760233E" w:tentative="1">
      <w:start w:val="1"/>
      <w:numFmt w:val="lowerRoman"/>
      <w:lvlText w:val="%9."/>
      <w:lvlJc w:val="right"/>
      <w:pPr>
        <w:ind w:left="6480" w:hanging="180"/>
      </w:pPr>
    </w:lvl>
  </w:abstractNum>
  <w:abstractNum w:abstractNumId="2" w15:restartNumberingAfterBreak="0">
    <w:nsid w:val="13BE05A6"/>
    <w:multiLevelType w:val="multilevel"/>
    <w:tmpl w:val="9474C36E"/>
    <w:lvl w:ilvl="0">
      <w:start w:val="1"/>
      <w:numFmt w:val="decimal"/>
      <w:lvlText w:val="%1."/>
      <w:lvlJc w:val="left"/>
      <w:pPr>
        <w:ind w:left="720" w:hanging="360"/>
      </w:pPr>
      <w:rPr>
        <w:b/>
        <w:bCs/>
      </w:rPr>
    </w:lvl>
    <w:lvl w:ilvl="1">
      <w:start w:val="3"/>
      <w:numFmt w:val="decimal"/>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80C4178"/>
    <w:multiLevelType w:val="multilevel"/>
    <w:tmpl w:val="D8A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12A7C"/>
    <w:multiLevelType w:val="hybridMultilevel"/>
    <w:tmpl w:val="019A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41556"/>
    <w:multiLevelType w:val="hybridMultilevel"/>
    <w:tmpl w:val="6D32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2305"/>
    <w:multiLevelType w:val="multilevel"/>
    <w:tmpl w:val="6882CDC0"/>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E180373"/>
    <w:multiLevelType w:val="multilevel"/>
    <w:tmpl w:val="2F005E4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EF3660A"/>
    <w:multiLevelType w:val="hybridMultilevel"/>
    <w:tmpl w:val="CA40B480"/>
    <w:lvl w:ilvl="0" w:tplc="EFE4B8C0">
      <w:start w:val="1"/>
      <w:numFmt w:val="bullet"/>
      <w:lvlText w:val=""/>
      <w:lvlJc w:val="left"/>
      <w:pPr>
        <w:tabs>
          <w:tab w:val="num" w:pos="720"/>
        </w:tabs>
        <w:ind w:left="720" w:hanging="360"/>
      </w:pPr>
      <w:rPr>
        <w:rFonts w:ascii="Symbol" w:hAnsi="Symbol" w:hint="default"/>
        <w:sz w:val="20"/>
      </w:rPr>
    </w:lvl>
    <w:lvl w:ilvl="1" w:tplc="381E604E" w:tentative="1">
      <w:start w:val="1"/>
      <w:numFmt w:val="bullet"/>
      <w:lvlText w:val="o"/>
      <w:lvlJc w:val="left"/>
      <w:pPr>
        <w:tabs>
          <w:tab w:val="num" w:pos="1440"/>
        </w:tabs>
        <w:ind w:left="1440" w:hanging="360"/>
      </w:pPr>
      <w:rPr>
        <w:rFonts w:ascii="Courier New" w:hAnsi="Courier New" w:hint="default"/>
        <w:sz w:val="20"/>
      </w:rPr>
    </w:lvl>
    <w:lvl w:ilvl="2" w:tplc="04F68ACA" w:tentative="1">
      <w:start w:val="1"/>
      <w:numFmt w:val="bullet"/>
      <w:lvlText w:val=""/>
      <w:lvlJc w:val="left"/>
      <w:pPr>
        <w:tabs>
          <w:tab w:val="num" w:pos="2160"/>
        </w:tabs>
        <w:ind w:left="2160" w:hanging="360"/>
      </w:pPr>
      <w:rPr>
        <w:rFonts w:ascii="Wingdings" w:hAnsi="Wingdings" w:hint="default"/>
        <w:sz w:val="20"/>
      </w:rPr>
    </w:lvl>
    <w:lvl w:ilvl="3" w:tplc="CF2AF36E" w:tentative="1">
      <w:start w:val="1"/>
      <w:numFmt w:val="bullet"/>
      <w:lvlText w:val=""/>
      <w:lvlJc w:val="left"/>
      <w:pPr>
        <w:tabs>
          <w:tab w:val="num" w:pos="2880"/>
        </w:tabs>
        <w:ind w:left="2880" w:hanging="360"/>
      </w:pPr>
      <w:rPr>
        <w:rFonts w:ascii="Wingdings" w:hAnsi="Wingdings" w:hint="default"/>
        <w:sz w:val="20"/>
      </w:rPr>
    </w:lvl>
    <w:lvl w:ilvl="4" w:tplc="79EA8922" w:tentative="1">
      <w:start w:val="1"/>
      <w:numFmt w:val="bullet"/>
      <w:lvlText w:val=""/>
      <w:lvlJc w:val="left"/>
      <w:pPr>
        <w:tabs>
          <w:tab w:val="num" w:pos="3600"/>
        </w:tabs>
        <w:ind w:left="3600" w:hanging="360"/>
      </w:pPr>
      <w:rPr>
        <w:rFonts w:ascii="Wingdings" w:hAnsi="Wingdings" w:hint="default"/>
        <w:sz w:val="20"/>
      </w:rPr>
    </w:lvl>
    <w:lvl w:ilvl="5" w:tplc="599AC154" w:tentative="1">
      <w:start w:val="1"/>
      <w:numFmt w:val="bullet"/>
      <w:lvlText w:val=""/>
      <w:lvlJc w:val="left"/>
      <w:pPr>
        <w:tabs>
          <w:tab w:val="num" w:pos="4320"/>
        </w:tabs>
        <w:ind w:left="4320" w:hanging="360"/>
      </w:pPr>
      <w:rPr>
        <w:rFonts w:ascii="Wingdings" w:hAnsi="Wingdings" w:hint="default"/>
        <w:sz w:val="20"/>
      </w:rPr>
    </w:lvl>
    <w:lvl w:ilvl="6" w:tplc="703ACA5C" w:tentative="1">
      <w:start w:val="1"/>
      <w:numFmt w:val="bullet"/>
      <w:lvlText w:val=""/>
      <w:lvlJc w:val="left"/>
      <w:pPr>
        <w:tabs>
          <w:tab w:val="num" w:pos="5040"/>
        </w:tabs>
        <w:ind w:left="5040" w:hanging="360"/>
      </w:pPr>
      <w:rPr>
        <w:rFonts w:ascii="Wingdings" w:hAnsi="Wingdings" w:hint="default"/>
        <w:sz w:val="20"/>
      </w:rPr>
    </w:lvl>
    <w:lvl w:ilvl="7" w:tplc="A9686C4C" w:tentative="1">
      <w:start w:val="1"/>
      <w:numFmt w:val="bullet"/>
      <w:lvlText w:val=""/>
      <w:lvlJc w:val="left"/>
      <w:pPr>
        <w:tabs>
          <w:tab w:val="num" w:pos="5760"/>
        </w:tabs>
        <w:ind w:left="5760" w:hanging="360"/>
      </w:pPr>
      <w:rPr>
        <w:rFonts w:ascii="Wingdings" w:hAnsi="Wingdings" w:hint="default"/>
        <w:sz w:val="20"/>
      </w:rPr>
    </w:lvl>
    <w:lvl w:ilvl="8" w:tplc="FD78A2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165F1"/>
    <w:multiLevelType w:val="multilevel"/>
    <w:tmpl w:val="4D3A3BF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30B70CA0"/>
    <w:multiLevelType w:val="hybridMultilevel"/>
    <w:tmpl w:val="FF52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647F"/>
    <w:multiLevelType w:val="hybridMultilevel"/>
    <w:tmpl w:val="36B07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4F26E0"/>
    <w:multiLevelType w:val="hybridMultilevel"/>
    <w:tmpl w:val="22D4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F1790"/>
    <w:multiLevelType w:val="hybridMultilevel"/>
    <w:tmpl w:val="69543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7A0EFF"/>
    <w:multiLevelType w:val="hybridMultilevel"/>
    <w:tmpl w:val="AA588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4753"/>
    <w:multiLevelType w:val="hybridMultilevel"/>
    <w:tmpl w:val="FE40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07D0A"/>
    <w:multiLevelType w:val="multilevel"/>
    <w:tmpl w:val="08B0B29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6F544822"/>
    <w:multiLevelType w:val="multilevel"/>
    <w:tmpl w:val="516E614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70E677AB"/>
    <w:multiLevelType w:val="hybridMultilevel"/>
    <w:tmpl w:val="773CBFCE"/>
    <w:lvl w:ilvl="0" w:tplc="DE202C8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7572B"/>
    <w:multiLevelType w:val="hybridMultilevel"/>
    <w:tmpl w:val="99F60124"/>
    <w:lvl w:ilvl="0" w:tplc="2908A1C8">
      <w:start w:val="1"/>
      <w:numFmt w:val="decimal"/>
      <w:lvlText w:val="%1."/>
      <w:lvlJc w:val="left"/>
      <w:pPr>
        <w:ind w:left="720" w:hanging="360"/>
      </w:pPr>
    </w:lvl>
    <w:lvl w:ilvl="1" w:tplc="EB6417F4">
      <w:start w:val="1"/>
      <w:numFmt w:val="lowerLetter"/>
      <w:lvlText w:val="%2."/>
      <w:lvlJc w:val="left"/>
      <w:pPr>
        <w:ind w:left="1440" w:hanging="360"/>
      </w:pPr>
    </w:lvl>
    <w:lvl w:ilvl="2" w:tplc="2E96B614">
      <w:start w:val="1"/>
      <w:numFmt w:val="lowerRoman"/>
      <w:lvlText w:val="%3."/>
      <w:lvlJc w:val="right"/>
      <w:pPr>
        <w:ind w:left="2160" w:hanging="180"/>
      </w:pPr>
    </w:lvl>
    <w:lvl w:ilvl="3" w:tplc="8FDA28C0">
      <w:start w:val="1"/>
      <w:numFmt w:val="decimal"/>
      <w:lvlText w:val="%4."/>
      <w:lvlJc w:val="left"/>
      <w:pPr>
        <w:ind w:left="2880" w:hanging="360"/>
      </w:pPr>
    </w:lvl>
    <w:lvl w:ilvl="4" w:tplc="9B6CFD12">
      <w:start w:val="1"/>
      <w:numFmt w:val="lowerLetter"/>
      <w:lvlText w:val="%5."/>
      <w:lvlJc w:val="left"/>
      <w:pPr>
        <w:ind w:left="3600" w:hanging="360"/>
      </w:pPr>
    </w:lvl>
    <w:lvl w:ilvl="5" w:tplc="50202E94">
      <w:start w:val="1"/>
      <w:numFmt w:val="lowerRoman"/>
      <w:lvlText w:val="%6."/>
      <w:lvlJc w:val="right"/>
      <w:pPr>
        <w:ind w:left="4320" w:hanging="180"/>
      </w:pPr>
    </w:lvl>
    <w:lvl w:ilvl="6" w:tplc="5B100E4C">
      <w:start w:val="1"/>
      <w:numFmt w:val="decimal"/>
      <w:lvlText w:val="%7."/>
      <w:lvlJc w:val="left"/>
      <w:pPr>
        <w:ind w:left="5040" w:hanging="360"/>
      </w:pPr>
    </w:lvl>
    <w:lvl w:ilvl="7" w:tplc="EEB4304C">
      <w:start w:val="1"/>
      <w:numFmt w:val="lowerLetter"/>
      <w:lvlText w:val="%8."/>
      <w:lvlJc w:val="left"/>
      <w:pPr>
        <w:ind w:left="5760" w:hanging="360"/>
      </w:pPr>
    </w:lvl>
    <w:lvl w:ilvl="8" w:tplc="298EA6CE">
      <w:start w:val="1"/>
      <w:numFmt w:val="lowerRoman"/>
      <w:lvlText w:val="%9."/>
      <w:lvlJc w:val="right"/>
      <w:pPr>
        <w:ind w:left="6480" w:hanging="180"/>
      </w:pPr>
    </w:lvl>
  </w:abstractNum>
  <w:num w:numId="1">
    <w:abstractNumId w:val="19"/>
  </w:num>
  <w:num w:numId="2">
    <w:abstractNumId w:val="2"/>
  </w:num>
  <w:num w:numId="3">
    <w:abstractNumId w:val="16"/>
  </w:num>
  <w:num w:numId="4">
    <w:abstractNumId w:val="1"/>
  </w:num>
  <w:num w:numId="5">
    <w:abstractNumId w:val="9"/>
  </w:num>
  <w:num w:numId="6">
    <w:abstractNumId w:val="17"/>
  </w:num>
  <w:num w:numId="7">
    <w:abstractNumId w:val="12"/>
  </w:num>
  <w:num w:numId="8">
    <w:abstractNumId w:val="10"/>
  </w:num>
  <w:num w:numId="9">
    <w:abstractNumId w:val="15"/>
  </w:num>
  <w:num w:numId="10">
    <w:abstractNumId w:val="5"/>
  </w:num>
  <w:num w:numId="11">
    <w:abstractNumId w:val="0"/>
  </w:num>
  <w:num w:numId="12">
    <w:abstractNumId w:val="4"/>
  </w:num>
  <w:num w:numId="13">
    <w:abstractNumId w:val="3"/>
  </w:num>
  <w:num w:numId="14">
    <w:abstractNumId w:val="8"/>
  </w:num>
  <w:num w:numId="15">
    <w:abstractNumId w:val="7"/>
  </w:num>
  <w:num w:numId="16">
    <w:abstractNumId w:val="14"/>
  </w:num>
  <w:num w:numId="17">
    <w:abstractNumId w:val="18"/>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31D"/>
    <w:rsid w:val="0000014B"/>
    <w:rsid w:val="0000263D"/>
    <w:rsid w:val="0000373C"/>
    <w:rsid w:val="000075DA"/>
    <w:rsid w:val="000157C6"/>
    <w:rsid w:val="00020349"/>
    <w:rsid w:val="00021A12"/>
    <w:rsid w:val="0002633B"/>
    <w:rsid w:val="00030AD4"/>
    <w:rsid w:val="00033EDE"/>
    <w:rsid w:val="00053984"/>
    <w:rsid w:val="0005576A"/>
    <w:rsid w:val="00061AD2"/>
    <w:rsid w:val="00076FD7"/>
    <w:rsid w:val="00077170"/>
    <w:rsid w:val="00077B41"/>
    <w:rsid w:val="00081FA7"/>
    <w:rsid w:val="00083ABC"/>
    <w:rsid w:val="000900C7"/>
    <w:rsid w:val="00093F2A"/>
    <w:rsid w:val="00095856"/>
    <w:rsid w:val="00096756"/>
    <w:rsid w:val="00097C01"/>
    <w:rsid w:val="000B5078"/>
    <w:rsid w:val="000C400B"/>
    <w:rsid w:val="000E232D"/>
    <w:rsid w:val="000E25B0"/>
    <w:rsid w:val="000E47DA"/>
    <w:rsid w:val="000E76C0"/>
    <w:rsid w:val="000F2C0F"/>
    <w:rsid w:val="000F7A0A"/>
    <w:rsid w:val="001016CF"/>
    <w:rsid w:val="001021A5"/>
    <w:rsid w:val="0010620B"/>
    <w:rsid w:val="00112CA0"/>
    <w:rsid w:val="00120D57"/>
    <w:rsid w:val="0013138A"/>
    <w:rsid w:val="00131710"/>
    <w:rsid w:val="00134844"/>
    <w:rsid w:val="00146EC5"/>
    <w:rsid w:val="0016229B"/>
    <w:rsid w:val="00163C4B"/>
    <w:rsid w:val="001716DA"/>
    <w:rsid w:val="001718A8"/>
    <w:rsid w:val="00171BB1"/>
    <w:rsid w:val="0017562F"/>
    <w:rsid w:val="00176EF9"/>
    <w:rsid w:val="001831A4"/>
    <w:rsid w:val="001876B9"/>
    <w:rsid w:val="00187817"/>
    <w:rsid w:val="001945D2"/>
    <w:rsid w:val="001A1ECB"/>
    <w:rsid w:val="001A3981"/>
    <w:rsid w:val="001B79F7"/>
    <w:rsid w:val="001C219C"/>
    <w:rsid w:val="001C33F9"/>
    <w:rsid w:val="001C470D"/>
    <w:rsid w:val="001C6D2A"/>
    <w:rsid w:val="001C7966"/>
    <w:rsid w:val="001D0B0C"/>
    <w:rsid w:val="001E11B1"/>
    <w:rsid w:val="001E1662"/>
    <w:rsid w:val="001E5D09"/>
    <w:rsid w:val="00201000"/>
    <w:rsid w:val="00203C68"/>
    <w:rsid w:val="00206C2A"/>
    <w:rsid w:val="00207B60"/>
    <w:rsid w:val="00223B92"/>
    <w:rsid w:val="002242DA"/>
    <w:rsid w:val="00226DFD"/>
    <w:rsid w:val="002270EE"/>
    <w:rsid w:val="00241048"/>
    <w:rsid w:val="002543A1"/>
    <w:rsid w:val="00270050"/>
    <w:rsid w:val="002746B6"/>
    <w:rsid w:val="00292788"/>
    <w:rsid w:val="0029327C"/>
    <w:rsid w:val="002A410E"/>
    <w:rsid w:val="002B7B49"/>
    <w:rsid w:val="002C523D"/>
    <w:rsid w:val="002D06EA"/>
    <w:rsid w:val="002D2595"/>
    <w:rsid w:val="002D3B07"/>
    <w:rsid w:val="002D5FE5"/>
    <w:rsid w:val="002E0E2E"/>
    <w:rsid w:val="002F01FF"/>
    <w:rsid w:val="002F2F77"/>
    <w:rsid w:val="002F6DE9"/>
    <w:rsid w:val="002F71C2"/>
    <w:rsid w:val="00301354"/>
    <w:rsid w:val="00302DC7"/>
    <w:rsid w:val="00310FFF"/>
    <w:rsid w:val="00311C4A"/>
    <w:rsid w:val="00312503"/>
    <w:rsid w:val="003229A9"/>
    <w:rsid w:val="00324A3F"/>
    <w:rsid w:val="003315A1"/>
    <w:rsid w:val="00331A27"/>
    <w:rsid w:val="00341991"/>
    <w:rsid w:val="003419CF"/>
    <w:rsid w:val="00347D3D"/>
    <w:rsid w:val="00353994"/>
    <w:rsid w:val="0035531D"/>
    <w:rsid w:val="00356860"/>
    <w:rsid w:val="00367364"/>
    <w:rsid w:val="00370281"/>
    <w:rsid w:val="00376C0D"/>
    <w:rsid w:val="00380C7D"/>
    <w:rsid w:val="0038150E"/>
    <w:rsid w:val="0038501B"/>
    <w:rsid w:val="00392E21"/>
    <w:rsid w:val="003A3058"/>
    <w:rsid w:val="003A6F11"/>
    <w:rsid w:val="003A7CA0"/>
    <w:rsid w:val="003B1B51"/>
    <w:rsid w:val="003C036D"/>
    <w:rsid w:val="003E3ED0"/>
    <w:rsid w:val="003E6C9A"/>
    <w:rsid w:val="003F0477"/>
    <w:rsid w:val="003F64F7"/>
    <w:rsid w:val="00414D6F"/>
    <w:rsid w:val="004243FA"/>
    <w:rsid w:val="00432A4D"/>
    <w:rsid w:val="00433CF1"/>
    <w:rsid w:val="00435DD4"/>
    <w:rsid w:val="00447147"/>
    <w:rsid w:val="00447AE2"/>
    <w:rsid w:val="00453921"/>
    <w:rsid w:val="00455881"/>
    <w:rsid w:val="0046038B"/>
    <w:rsid w:val="00461CBD"/>
    <w:rsid w:val="00462148"/>
    <w:rsid w:val="00465171"/>
    <w:rsid w:val="00465D82"/>
    <w:rsid w:val="0046642B"/>
    <w:rsid w:val="004664D8"/>
    <w:rsid w:val="0047363D"/>
    <w:rsid w:val="0048218C"/>
    <w:rsid w:val="00494D0B"/>
    <w:rsid w:val="00497768"/>
    <w:rsid w:val="004A39D0"/>
    <w:rsid w:val="004B2087"/>
    <w:rsid w:val="004C3C81"/>
    <w:rsid w:val="004C5FF8"/>
    <w:rsid w:val="004D0B03"/>
    <w:rsid w:val="004E5B0A"/>
    <w:rsid w:val="004E74E6"/>
    <w:rsid w:val="004F37D6"/>
    <w:rsid w:val="004F4F80"/>
    <w:rsid w:val="004F54EF"/>
    <w:rsid w:val="005038B6"/>
    <w:rsid w:val="005073F9"/>
    <w:rsid w:val="005107B5"/>
    <w:rsid w:val="00523A89"/>
    <w:rsid w:val="0052523F"/>
    <w:rsid w:val="0053399E"/>
    <w:rsid w:val="00543755"/>
    <w:rsid w:val="00544AF9"/>
    <w:rsid w:val="005668C5"/>
    <w:rsid w:val="00572FBF"/>
    <w:rsid w:val="00573620"/>
    <w:rsid w:val="005833CC"/>
    <w:rsid w:val="005A3B35"/>
    <w:rsid w:val="005B740C"/>
    <w:rsid w:val="005B784C"/>
    <w:rsid w:val="005C0D94"/>
    <w:rsid w:val="005C0E52"/>
    <w:rsid w:val="005C1BEC"/>
    <w:rsid w:val="005E2560"/>
    <w:rsid w:val="005E637D"/>
    <w:rsid w:val="005F675B"/>
    <w:rsid w:val="0060056D"/>
    <w:rsid w:val="00610A39"/>
    <w:rsid w:val="006174B6"/>
    <w:rsid w:val="00623EBD"/>
    <w:rsid w:val="00632EFD"/>
    <w:rsid w:val="00634262"/>
    <w:rsid w:val="0064385C"/>
    <w:rsid w:val="00646D01"/>
    <w:rsid w:val="006532EC"/>
    <w:rsid w:val="00653A50"/>
    <w:rsid w:val="00655DEA"/>
    <w:rsid w:val="00656699"/>
    <w:rsid w:val="00661A78"/>
    <w:rsid w:val="00663C7B"/>
    <w:rsid w:val="00665CEE"/>
    <w:rsid w:val="006700F8"/>
    <w:rsid w:val="00670BB5"/>
    <w:rsid w:val="00672E19"/>
    <w:rsid w:val="00673DEA"/>
    <w:rsid w:val="006806B4"/>
    <w:rsid w:val="006845F9"/>
    <w:rsid w:val="006935DC"/>
    <w:rsid w:val="00694069"/>
    <w:rsid w:val="00694996"/>
    <w:rsid w:val="006A292C"/>
    <w:rsid w:val="006A49A2"/>
    <w:rsid w:val="006A7DE5"/>
    <w:rsid w:val="006C1A9D"/>
    <w:rsid w:val="006C7B23"/>
    <w:rsid w:val="006D1EC5"/>
    <w:rsid w:val="006D45DF"/>
    <w:rsid w:val="006D4DE1"/>
    <w:rsid w:val="006E440C"/>
    <w:rsid w:val="006E5D03"/>
    <w:rsid w:val="006E7865"/>
    <w:rsid w:val="006F715B"/>
    <w:rsid w:val="00710FE8"/>
    <w:rsid w:val="007126C1"/>
    <w:rsid w:val="007143DF"/>
    <w:rsid w:val="0071636A"/>
    <w:rsid w:val="00723116"/>
    <w:rsid w:val="0074263C"/>
    <w:rsid w:val="00744E53"/>
    <w:rsid w:val="00753D6C"/>
    <w:rsid w:val="00761946"/>
    <w:rsid w:val="00761FD6"/>
    <w:rsid w:val="00762B2E"/>
    <w:rsid w:val="00782942"/>
    <w:rsid w:val="0078297D"/>
    <w:rsid w:val="007838A4"/>
    <w:rsid w:val="00783BC2"/>
    <w:rsid w:val="00783E9A"/>
    <w:rsid w:val="00794C97"/>
    <w:rsid w:val="007A0395"/>
    <w:rsid w:val="007C5C01"/>
    <w:rsid w:val="007D44CB"/>
    <w:rsid w:val="007E446A"/>
    <w:rsid w:val="007E5C21"/>
    <w:rsid w:val="007E5CA4"/>
    <w:rsid w:val="007F411B"/>
    <w:rsid w:val="007F6535"/>
    <w:rsid w:val="008040C7"/>
    <w:rsid w:val="00810A26"/>
    <w:rsid w:val="00836B69"/>
    <w:rsid w:val="00844648"/>
    <w:rsid w:val="00846DF4"/>
    <w:rsid w:val="00850D6A"/>
    <w:rsid w:val="00860DEA"/>
    <w:rsid w:val="00862A36"/>
    <w:rsid w:val="0086483F"/>
    <w:rsid w:val="00864B88"/>
    <w:rsid w:val="00864BB7"/>
    <w:rsid w:val="0086547E"/>
    <w:rsid w:val="00870786"/>
    <w:rsid w:val="008713E5"/>
    <w:rsid w:val="00871E3E"/>
    <w:rsid w:val="00872096"/>
    <w:rsid w:val="008729B8"/>
    <w:rsid w:val="00881B71"/>
    <w:rsid w:val="00884D10"/>
    <w:rsid w:val="00884F19"/>
    <w:rsid w:val="0089185D"/>
    <w:rsid w:val="00891E75"/>
    <w:rsid w:val="00896AD2"/>
    <w:rsid w:val="008A04A6"/>
    <w:rsid w:val="008A18B2"/>
    <w:rsid w:val="008A3D47"/>
    <w:rsid w:val="008A69B4"/>
    <w:rsid w:val="008A7694"/>
    <w:rsid w:val="008B0DFA"/>
    <w:rsid w:val="008C3D12"/>
    <w:rsid w:val="008C4137"/>
    <w:rsid w:val="008D0D21"/>
    <w:rsid w:val="008D6736"/>
    <w:rsid w:val="008E4640"/>
    <w:rsid w:val="008E510C"/>
    <w:rsid w:val="008F18F4"/>
    <w:rsid w:val="008F5E90"/>
    <w:rsid w:val="008F7A6A"/>
    <w:rsid w:val="00900A18"/>
    <w:rsid w:val="00903B47"/>
    <w:rsid w:val="00905CAF"/>
    <w:rsid w:val="00910BAE"/>
    <w:rsid w:val="00911567"/>
    <w:rsid w:val="00913066"/>
    <w:rsid w:val="00914A42"/>
    <w:rsid w:val="00917343"/>
    <w:rsid w:val="00917AD8"/>
    <w:rsid w:val="00917ECD"/>
    <w:rsid w:val="00920025"/>
    <w:rsid w:val="009200A7"/>
    <w:rsid w:val="0092609F"/>
    <w:rsid w:val="0093720E"/>
    <w:rsid w:val="0095231A"/>
    <w:rsid w:val="00964357"/>
    <w:rsid w:val="0096764F"/>
    <w:rsid w:val="009816FE"/>
    <w:rsid w:val="0098393A"/>
    <w:rsid w:val="009926BE"/>
    <w:rsid w:val="0099785B"/>
    <w:rsid w:val="009A4A78"/>
    <w:rsid w:val="009A733D"/>
    <w:rsid w:val="009B32CE"/>
    <w:rsid w:val="009B6A8F"/>
    <w:rsid w:val="009B7FCA"/>
    <w:rsid w:val="009C58CB"/>
    <w:rsid w:val="009D4B34"/>
    <w:rsid w:val="009E6343"/>
    <w:rsid w:val="009E68DD"/>
    <w:rsid w:val="009F3789"/>
    <w:rsid w:val="009F4E5E"/>
    <w:rsid w:val="009F501F"/>
    <w:rsid w:val="009F532A"/>
    <w:rsid w:val="00A03AD7"/>
    <w:rsid w:val="00A139F6"/>
    <w:rsid w:val="00A25EC8"/>
    <w:rsid w:val="00A26E9C"/>
    <w:rsid w:val="00A271FC"/>
    <w:rsid w:val="00A40B32"/>
    <w:rsid w:val="00A42FCA"/>
    <w:rsid w:val="00A511BC"/>
    <w:rsid w:val="00A53FDD"/>
    <w:rsid w:val="00A5607F"/>
    <w:rsid w:val="00A61C66"/>
    <w:rsid w:val="00A62405"/>
    <w:rsid w:val="00A73073"/>
    <w:rsid w:val="00A74604"/>
    <w:rsid w:val="00A77905"/>
    <w:rsid w:val="00A809CE"/>
    <w:rsid w:val="00A80A6D"/>
    <w:rsid w:val="00A819CB"/>
    <w:rsid w:val="00A81A6E"/>
    <w:rsid w:val="00A9117F"/>
    <w:rsid w:val="00A9540C"/>
    <w:rsid w:val="00AA01F0"/>
    <w:rsid w:val="00AB0285"/>
    <w:rsid w:val="00AB0C1C"/>
    <w:rsid w:val="00AC1903"/>
    <w:rsid w:val="00AC6F17"/>
    <w:rsid w:val="00AD0BD7"/>
    <w:rsid w:val="00AD4CEA"/>
    <w:rsid w:val="00AD566E"/>
    <w:rsid w:val="00AE1BA5"/>
    <w:rsid w:val="00AE4446"/>
    <w:rsid w:val="00AE6560"/>
    <w:rsid w:val="00AE7AED"/>
    <w:rsid w:val="00AF526E"/>
    <w:rsid w:val="00B00C68"/>
    <w:rsid w:val="00B14874"/>
    <w:rsid w:val="00B22D65"/>
    <w:rsid w:val="00B24BF5"/>
    <w:rsid w:val="00B251FE"/>
    <w:rsid w:val="00B26A36"/>
    <w:rsid w:val="00B403E0"/>
    <w:rsid w:val="00B42AE1"/>
    <w:rsid w:val="00B4636F"/>
    <w:rsid w:val="00B54646"/>
    <w:rsid w:val="00B61149"/>
    <w:rsid w:val="00B66909"/>
    <w:rsid w:val="00B7017E"/>
    <w:rsid w:val="00B70848"/>
    <w:rsid w:val="00B95BD4"/>
    <w:rsid w:val="00BA41DF"/>
    <w:rsid w:val="00BA60BD"/>
    <w:rsid w:val="00BA620D"/>
    <w:rsid w:val="00BA67A9"/>
    <w:rsid w:val="00BC0E0C"/>
    <w:rsid w:val="00BC5B6A"/>
    <w:rsid w:val="00BD24BA"/>
    <w:rsid w:val="00BD3A39"/>
    <w:rsid w:val="00BD3A8A"/>
    <w:rsid w:val="00BD5A72"/>
    <w:rsid w:val="00BE00B5"/>
    <w:rsid w:val="00BE1635"/>
    <w:rsid w:val="00BE2313"/>
    <w:rsid w:val="00BE63CF"/>
    <w:rsid w:val="00BF247F"/>
    <w:rsid w:val="00BF48EE"/>
    <w:rsid w:val="00C04223"/>
    <w:rsid w:val="00C25AEF"/>
    <w:rsid w:val="00C27064"/>
    <w:rsid w:val="00C30C29"/>
    <w:rsid w:val="00C3166C"/>
    <w:rsid w:val="00C337DF"/>
    <w:rsid w:val="00C34F89"/>
    <w:rsid w:val="00C45E6A"/>
    <w:rsid w:val="00C45FCC"/>
    <w:rsid w:val="00C460BD"/>
    <w:rsid w:val="00C50497"/>
    <w:rsid w:val="00C669DD"/>
    <w:rsid w:val="00C701FB"/>
    <w:rsid w:val="00C77DDC"/>
    <w:rsid w:val="00C86B74"/>
    <w:rsid w:val="00C87025"/>
    <w:rsid w:val="00CA473A"/>
    <w:rsid w:val="00CD7E84"/>
    <w:rsid w:val="00CE2275"/>
    <w:rsid w:val="00CE60DD"/>
    <w:rsid w:val="00CF0116"/>
    <w:rsid w:val="00CF569A"/>
    <w:rsid w:val="00D03C00"/>
    <w:rsid w:val="00D04A27"/>
    <w:rsid w:val="00D072D1"/>
    <w:rsid w:val="00D07BE1"/>
    <w:rsid w:val="00D113E4"/>
    <w:rsid w:val="00D222D0"/>
    <w:rsid w:val="00D2436F"/>
    <w:rsid w:val="00D2556F"/>
    <w:rsid w:val="00D349F2"/>
    <w:rsid w:val="00D34EBE"/>
    <w:rsid w:val="00D378B2"/>
    <w:rsid w:val="00D44D24"/>
    <w:rsid w:val="00D461C6"/>
    <w:rsid w:val="00D46B9C"/>
    <w:rsid w:val="00D648E0"/>
    <w:rsid w:val="00D73E0D"/>
    <w:rsid w:val="00D87BCC"/>
    <w:rsid w:val="00D87FCF"/>
    <w:rsid w:val="00DB056D"/>
    <w:rsid w:val="00DB089E"/>
    <w:rsid w:val="00DB674D"/>
    <w:rsid w:val="00DB6B17"/>
    <w:rsid w:val="00DC2E92"/>
    <w:rsid w:val="00DC353A"/>
    <w:rsid w:val="00DC4ACC"/>
    <w:rsid w:val="00DC5520"/>
    <w:rsid w:val="00DD3A9A"/>
    <w:rsid w:val="00DE63F7"/>
    <w:rsid w:val="00DF18DF"/>
    <w:rsid w:val="00E10594"/>
    <w:rsid w:val="00E1277E"/>
    <w:rsid w:val="00E163FA"/>
    <w:rsid w:val="00E267D8"/>
    <w:rsid w:val="00E30314"/>
    <w:rsid w:val="00E33E98"/>
    <w:rsid w:val="00E401AF"/>
    <w:rsid w:val="00E41FB9"/>
    <w:rsid w:val="00E5357F"/>
    <w:rsid w:val="00E60B36"/>
    <w:rsid w:val="00E61BFE"/>
    <w:rsid w:val="00E718C4"/>
    <w:rsid w:val="00E71D9F"/>
    <w:rsid w:val="00E7248E"/>
    <w:rsid w:val="00E7533F"/>
    <w:rsid w:val="00E81361"/>
    <w:rsid w:val="00E813BB"/>
    <w:rsid w:val="00E87B65"/>
    <w:rsid w:val="00E94142"/>
    <w:rsid w:val="00E94ED7"/>
    <w:rsid w:val="00E95141"/>
    <w:rsid w:val="00EA2DE5"/>
    <w:rsid w:val="00EA4452"/>
    <w:rsid w:val="00EA6568"/>
    <w:rsid w:val="00EC03FA"/>
    <w:rsid w:val="00EC3A82"/>
    <w:rsid w:val="00EE2635"/>
    <w:rsid w:val="00EE5F60"/>
    <w:rsid w:val="00EE7EE6"/>
    <w:rsid w:val="00EF303A"/>
    <w:rsid w:val="00EF5A73"/>
    <w:rsid w:val="00EF6A66"/>
    <w:rsid w:val="00EF79A8"/>
    <w:rsid w:val="00F06C39"/>
    <w:rsid w:val="00F110D7"/>
    <w:rsid w:val="00F16FA1"/>
    <w:rsid w:val="00F221B2"/>
    <w:rsid w:val="00F237B4"/>
    <w:rsid w:val="00F37CFA"/>
    <w:rsid w:val="00F463E6"/>
    <w:rsid w:val="00F47BA1"/>
    <w:rsid w:val="00F5125F"/>
    <w:rsid w:val="00F83D34"/>
    <w:rsid w:val="00FA264C"/>
    <w:rsid w:val="00FA3867"/>
    <w:rsid w:val="00FA4039"/>
    <w:rsid w:val="00FB76D2"/>
    <w:rsid w:val="00FC11E5"/>
    <w:rsid w:val="00FC15FB"/>
    <w:rsid w:val="00FC4795"/>
    <w:rsid w:val="00FC4B35"/>
    <w:rsid w:val="00FC7B3A"/>
    <w:rsid w:val="00FD03C0"/>
    <w:rsid w:val="00FD3A0E"/>
    <w:rsid w:val="00FE3122"/>
    <w:rsid w:val="00FE4E82"/>
    <w:rsid w:val="00FE6A37"/>
    <w:rsid w:val="00FF5571"/>
    <w:rsid w:val="0BCC54FF"/>
    <w:rsid w:val="108DE40A"/>
    <w:rsid w:val="18D27AB6"/>
    <w:rsid w:val="4B17C903"/>
    <w:rsid w:val="4DEB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BE29"/>
  <w15:docId w15:val="{2182A0BF-2C73-4F28-8606-3D057A9B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26"/>
    <w:rPr>
      <w:rFonts w:ascii="Segoe UI" w:hAnsi="Segoe UI" w:cs="Segoe UI"/>
      <w:sz w:val="18"/>
      <w:szCs w:val="18"/>
    </w:rPr>
  </w:style>
  <w:style w:type="paragraph" w:styleId="ListParagraph">
    <w:name w:val="List Paragraph"/>
    <w:basedOn w:val="Normal"/>
    <w:uiPriority w:val="34"/>
    <w:qFormat/>
    <w:rsid w:val="00810A26"/>
    <w:pPr>
      <w:ind w:left="720"/>
      <w:contextualSpacing/>
    </w:pPr>
  </w:style>
  <w:style w:type="paragraph" w:styleId="Header">
    <w:name w:val="header"/>
    <w:basedOn w:val="Normal"/>
    <w:link w:val="HeaderChar"/>
    <w:uiPriority w:val="99"/>
    <w:unhideWhenUsed/>
    <w:rsid w:val="0081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26"/>
  </w:style>
  <w:style w:type="paragraph" w:styleId="Footer">
    <w:name w:val="footer"/>
    <w:basedOn w:val="Normal"/>
    <w:link w:val="FooterChar"/>
    <w:uiPriority w:val="99"/>
    <w:unhideWhenUsed/>
    <w:rsid w:val="0081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26"/>
  </w:style>
  <w:style w:type="character" w:styleId="PlaceholderText">
    <w:name w:val="Placeholder Text"/>
    <w:basedOn w:val="DefaultParagraphFont"/>
    <w:uiPriority w:val="99"/>
    <w:semiHidden/>
    <w:rsid w:val="00810A26"/>
    <w:rPr>
      <w:color w:val="808080"/>
    </w:rPr>
  </w:style>
  <w:style w:type="character" w:styleId="CommentReference">
    <w:name w:val="annotation reference"/>
    <w:basedOn w:val="DefaultParagraphFont"/>
    <w:uiPriority w:val="99"/>
    <w:semiHidden/>
    <w:unhideWhenUsed/>
    <w:rsid w:val="00810A26"/>
    <w:rPr>
      <w:sz w:val="16"/>
      <w:szCs w:val="16"/>
    </w:rPr>
  </w:style>
  <w:style w:type="paragraph" w:styleId="CommentText">
    <w:name w:val="annotation text"/>
    <w:basedOn w:val="Normal"/>
    <w:link w:val="CommentTextChar"/>
    <w:uiPriority w:val="99"/>
    <w:unhideWhenUsed/>
    <w:rsid w:val="00810A26"/>
    <w:pPr>
      <w:spacing w:line="240" w:lineRule="auto"/>
    </w:pPr>
    <w:rPr>
      <w:sz w:val="20"/>
      <w:szCs w:val="20"/>
    </w:rPr>
  </w:style>
  <w:style w:type="character" w:customStyle="1" w:styleId="CommentTextChar">
    <w:name w:val="Comment Text Char"/>
    <w:basedOn w:val="DefaultParagraphFont"/>
    <w:link w:val="CommentText"/>
    <w:uiPriority w:val="99"/>
    <w:rsid w:val="00810A26"/>
    <w:rPr>
      <w:sz w:val="20"/>
      <w:szCs w:val="20"/>
    </w:rPr>
  </w:style>
  <w:style w:type="paragraph" w:styleId="CommentSubject">
    <w:name w:val="annotation subject"/>
    <w:basedOn w:val="CommentText"/>
    <w:next w:val="CommentText"/>
    <w:link w:val="CommentSubjectChar"/>
    <w:uiPriority w:val="99"/>
    <w:semiHidden/>
    <w:unhideWhenUsed/>
    <w:rsid w:val="00810A26"/>
    <w:rPr>
      <w:b/>
      <w:bCs/>
    </w:rPr>
  </w:style>
  <w:style w:type="character" w:customStyle="1" w:styleId="CommentSubjectChar">
    <w:name w:val="Comment Subject Char"/>
    <w:basedOn w:val="CommentTextChar"/>
    <w:link w:val="CommentSubject"/>
    <w:uiPriority w:val="99"/>
    <w:semiHidden/>
    <w:rsid w:val="00810A26"/>
    <w:rPr>
      <w:b/>
      <w:bCs/>
      <w:sz w:val="20"/>
      <w:szCs w:val="20"/>
    </w:rPr>
  </w:style>
  <w:style w:type="numbering" w:customStyle="1" w:styleId="NoList1">
    <w:name w:val="No List1"/>
    <w:next w:val="NoList"/>
    <w:uiPriority w:val="99"/>
    <w:semiHidden/>
    <w:unhideWhenUsed/>
    <w:rsid w:val="00810A26"/>
  </w:style>
  <w:style w:type="paragraph" w:styleId="FootnoteText">
    <w:name w:val="footnote text"/>
    <w:basedOn w:val="Normal"/>
    <w:link w:val="FootnoteTextChar"/>
    <w:uiPriority w:val="99"/>
    <w:semiHidden/>
    <w:unhideWhenUsed/>
    <w:rsid w:val="0081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A26"/>
    <w:rPr>
      <w:sz w:val="20"/>
      <w:szCs w:val="20"/>
    </w:rPr>
  </w:style>
  <w:style w:type="character" w:styleId="FootnoteReference">
    <w:name w:val="footnote reference"/>
    <w:basedOn w:val="DefaultParagraphFont"/>
    <w:uiPriority w:val="99"/>
    <w:semiHidden/>
    <w:unhideWhenUsed/>
    <w:rsid w:val="00810A26"/>
    <w:rPr>
      <w:vertAlign w:val="superscript"/>
    </w:rPr>
  </w:style>
  <w:style w:type="paragraph" w:styleId="Revision">
    <w:name w:val="Revision"/>
    <w:hidden/>
    <w:uiPriority w:val="99"/>
    <w:semiHidden/>
    <w:rsid w:val="00810A26"/>
    <w:pPr>
      <w:spacing w:after="0" w:line="240" w:lineRule="auto"/>
    </w:pPr>
  </w:style>
  <w:style w:type="paragraph" w:styleId="NormalWeb">
    <w:name w:val="Normal (Web)"/>
    <w:basedOn w:val="Normal"/>
    <w:uiPriority w:val="99"/>
    <w:semiHidden/>
    <w:unhideWhenUsed/>
    <w:rsid w:val="00376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8C4"/>
    <w:rPr>
      <w:color w:val="0563C1" w:themeColor="hyperlink"/>
      <w:u w:val="single"/>
    </w:rPr>
  </w:style>
  <w:style w:type="character" w:customStyle="1" w:styleId="UnresolvedMention1">
    <w:name w:val="Unresolved Mention1"/>
    <w:basedOn w:val="DefaultParagraphFont"/>
    <w:uiPriority w:val="99"/>
    <w:semiHidden/>
    <w:unhideWhenUsed/>
    <w:rsid w:val="00E718C4"/>
    <w:rPr>
      <w:color w:val="605E5C"/>
      <w:shd w:val="clear" w:color="auto" w:fill="E1DFDD"/>
    </w:rPr>
  </w:style>
  <w:style w:type="character" w:styleId="FollowedHyperlink">
    <w:name w:val="FollowedHyperlink"/>
    <w:basedOn w:val="DefaultParagraphFont"/>
    <w:uiPriority w:val="99"/>
    <w:semiHidden/>
    <w:unhideWhenUsed/>
    <w:rsid w:val="002E0E2E"/>
    <w:rPr>
      <w:color w:val="954F72" w:themeColor="followedHyperlink"/>
      <w:u w:val="single"/>
    </w:rPr>
  </w:style>
  <w:style w:type="character" w:customStyle="1" w:styleId="UnresolvedMention2">
    <w:name w:val="Unresolved Mention2"/>
    <w:basedOn w:val="DefaultParagraphFont"/>
    <w:uiPriority w:val="99"/>
    <w:semiHidden/>
    <w:unhideWhenUsed/>
    <w:rsid w:val="005B740C"/>
    <w:rPr>
      <w:color w:val="605E5C"/>
      <w:shd w:val="clear" w:color="auto" w:fill="E1DFDD"/>
    </w:rPr>
  </w:style>
  <w:style w:type="paragraph" w:customStyle="1" w:styleId="msonormal0">
    <w:name w:val="msonormal"/>
    <w:basedOn w:val="Normal"/>
    <w:uiPriority w:val="99"/>
    <w:semiHidden/>
    <w:rsid w:val="001E5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32046">
      <w:bodyDiv w:val="1"/>
      <w:marLeft w:val="0"/>
      <w:marRight w:val="0"/>
      <w:marTop w:val="0"/>
      <w:marBottom w:val="0"/>
      <w:divBdr>
        <w:top w:val="none" w:sz="0" w:space="0" w:color="auto"/>
        <w:left w:val="none" w:sz="0" w:space="0" w:color="auto"/>
        <w:bottom w:val="none" w:sz="0" w:space="0" w:color="auto"/>
        <w:right w:val="none" w:sz="0" w:space="0" w:color="auto"/>
      </w:divBdr>
    </w:div>
    <w:div w:id="366761304">
      <w:bodyDiv w:val="1"/>
      <w:marLeft w:val="0"/>
      <w:marRight w:val="0"/>
      <w:marTop w:val="0"/>
      <w:marBottom w:val="0"/>
      <w:divBdr>
        <w:top w:val="none" w:sz="0" w:space="0" w:color="auto"/>
        <w:left w:val="none" w:sz="0" w:space="0" w:color="auto"/>
        <w:bottom w:val="none" w:sz="0" w:space="0" w:color="auto"/>
        <w:right w:val="none" w:sz="0" w:space="0" w:color="auto"/>
      </w:divBdr>
    </w:div>
    <w:div w:id="608661661">
      <w:bodyDiv w:val="1"/>
      <w:marLeft w:val="0"/>
      <w:marRight w:val="0"/>
      <w:marTop w:val="0"/>
      <w:marBottom w:val="0"/>
      <w:divBdr>
        <w:top w:val="none" w:sz="0" w:space="0" w:color="auto"/>
        <w:left w:val="none" w:sz="0" w:space="0" w:color="auto"/>
        <w:bottom w:val="none" w:sz="0" w:space="0" w:color="auto"/>
        <w:right w:val="none" w:sz="0" w:space="0" w:color="auto"/>
      </w:divBdr>
    </w:div>
    <w:div w:id="6153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dmann@csud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t@ecu.edu" TargetMode="External"/><Relationship Id="rId5" Type="http://schemas.openxmlformats.org/officeDocument/2006/relationships/webSettings" Target="webSettings.xml"/><Relationship Id="rId10" Type="http://schemas.openxmlformats.org/officeDocument/2006/relationships/hyperlink" Target="mailto:S.R.Jory@soton.ac.uk" TargetMode="External"/><Relationship Id="rId4" Type="http://schemas.openxmlformats.org/officeDocument/2006/relationships/settings" Target="settings.xml"/><Relationship Id="rId9" Type="http://schemas.openxmlformats.org/officeDocument/2006/relationships/hyperlink" Target="mailto:cdanso@calstatela.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t.com/content/3afc2dba-b848-11e8-b3ef-799c8613f4a1" TargetMode="External"/><Relationship Id="rId2" Type="http://schemas.openxmlformats.org/officeDocument/2006/relationships/hyperlink" Target="https://assets.kpmg/content/dam/kpmg/pdf/2016/05/ie-private-capital-friend-or-foe.pdf" TargetMode="External"/><Relationship Id="rId1" Type="http://schemas.openxmlformats.org/officeDocument/2006/relationships/hyperlink" Target="https://www.cfainstitute.org/en/membership/professional-development/refresher-readings/private-equity-inve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961F-E1C7-4621-AE1C-D2059442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10559</Words>
  <Characters>60188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Thanh</dc:creator>
  <cp:lastModifiedBy>Ngo, Thanh</cp:lastModifiedBy>
  <cp:revision>4</cp:revision>
  <cp:lastPrinted>2021-04-02T20:02:00Z</cp:lastPrinted>
  <dcterms:created xsi:type="dcterms:W3CDTF">2021-05-12T21:46:00Z</dcterms:created>
  <dcterms:modified xsi:type="dcterms:W3CDTF">2021-05-12T22:00:00Z</dcterms:modified>
</cp:coreProperties>
</file>