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E40CC" w14:textId="468F29A0" w:rsidR="0074770C" w:rsidRPr="0082384C" w:rsidRDefault="0074770C" w:rsidP="0074770C">
      <w:pPr>
        <w:pStyle w:val="Body"/>
        <w:spacing w:line="48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COMMUNITY CONTROL IN THE HOUSING COMMONS: A CONCEPTUAL TYPOLOGY</w:t>
      </w:r>
    </w:p>
    <w:p w14:paraId="015D9BFE" w14:textId="747F382E" w:rsidR="00733507" w:rsidRDefault="00733507" w:rsidP="00800324">
      <w:pPr>
        <w:spacing w:line="480" w:lineRule="auto"/>
        <w:jc w:val="both"/>
        <w:rPr>
          <w:b/>
          <w:lang w:val="en-US"/>
        </w:rPr>
      </w:pPr>
      <w:r w:rsidRPr="00627AC9">
        <w:rPr>
          <w:b/>
          <w:lang w:val="en-US"/>
        </w:rPr>
        <w:t>INTRODUCTION</w:t>
      </w:r>
    </w:p>
    <w:p w14:paraId="4F9B2755" w14:textId="77777777" w:rsidR="00627AC9" w:rsidRPr="00627AC9" w:rsidRDefault="00627AC9" w:rsidP="00800324">
      <w:pPr>
        <w:spacing w:line="480" w:lineRule="auto"/>
        <w:jc w:val="both"/>
        <w:rPr>
          <w:b/>
          <w:lang w:val="en-US"/>
        </w:rPr>
      </w:pPr>
    </w:p>
    <w:p w14:paraId="5591FC95" w14:textId="3FEB49D7" w:rsidR="00B12FA9" w:rsidRDefault="00231269" w:rsidP="00800324">
      <w:pPr>
        <w:spacing w:line="480" w:lineRule="auto"/>
        <w:jc w:val="both"/>
        <w:rPr>
          <w:lang w:val="en-US"/>
        </w:rPr>
      </w:pPr>
      <w:r>
        <w:rPr>
          <w:lang w:val="en-US"/>
        </w:rPr>
        <w:t>In e</w:t>
      </w:r>
      <w:r w:rsidR="00422D0B" w:rsidRPr="00422D0B">
        <w:rPr>
          <w:lang w:val="en-US"/>
        </w:rPr>
        <w:t>mphasis</w:t>
      </w:r>
      <w:r w:rsidR="0094406F">
        <w:rPr>
          <w:lang w:val="en-US"/>
        </w:rPr>
        <w:t>ing</w:t>
      </w:r>
      <w:r w:rsidR="00422D0B" w:rsidRPr="00422D0B">
        <w:rPr>
          <w:lang w:val="en-US"/>
        </w:rPr>
        <w:t xml:space="preserve"> community control of resources, </w:t>
      </w:r>
      <w:r w:rsidR="00FB2EED" w:rsidRPr="004354E6">
        <w:rPr>
          <w:iCs/>
          <w:lang w:val="en-US"/>
        </w:rPr>
        <w:t>commoning</w:t>
      </w:r>
      <w:r w:rsidR="00FB2EED" w:rsidRPr="004354E6">
        <w:rPr>
          <w:lang w:val="en-US"/>
        </w:rPr>
        <w:t xml:space="preserve"> </w:t>
      </w:r>
      <w:r w:rsidR="00422D0B" w:rsidRPr="004354E6">
        <w:rPr>
          <w:lang w:val="en-US"/>
        </w:rPr>
        <w:t>offer</w:t>
      </w:r>
      <w:r w:rsidR="00B97086" w:rsidRPr="004354E6">
        <w:rPr>
          <w:lang w:val="en-US"/>
        </w:rPr>
        <w:t>s</w:t>
      </w:r>
      <w:r w:rsidR="00422D0B" w:rsidRPr="00422D0B">
        <w:rPr>
          <w:lang w:val="en-US"/>
        </w:rPr>
        <w:t xml:space="preserve"> an alternative to state capture or market speculation. </w:t>
      </w:r>
      <w:r w:rsidR="00314199">
        <w:rPr>
          <w:lang w:val="en-US"/>
        </w:rPr>
        <w:t>Whil</w:t>
      </w:r>
      <w:r w:rsidR="002E4860">
        <w:rPr>
          <w:lang w:val="en-US"/>
        </w:rPr>
        <w:t>e</w:t>
      </w:r>
      <w:r w:rsidR="00314199">
        <w:rPr>
          <w:lang w:val="en-US"/>
        </w:rPr>
        <w:t xml:space="preserve"> s</w:t>
      </w:r>
      <w:r w:rsidR="00CD00F3" w:rsidRPr="007D1357">
        <w:rPr>
          <w:lang w:val="en-US"/>
        </w:rPr>
        <w:t xml:space="preserve">elf-governing arrangements for </w:t>
      </w:r>
      <w:r w:rsidR="00FB2EED">
        <w:rPr>
          <w:lang w:val="en-US"/>
        </w:rPr>
        <w:t>common pool resources</w:t>
      </w:r>
      <w:r w:rsidR="00CD00F3" w:rsidRPr="007D1357">
        <w:rPr>
          <w:lang w:val="en-US"/>
        </w:rPr>
        <w:t xml:space="preserve"> such</w:t>
      </w:r>
      <w:r w:rsidR="00CD00F3">
        <w:rPr>
          <w:lang w:val="en-US"/>
        </w:rPr>
        <w:t xml:space="preserve"> as forests, pastures and water (Ostrom, 1990)</w:t>
      </w:r>
      <w:r w:rsidR="007D7E4D">
        <w:rPr>
          <w:lang w:val="en-US"/>
        </w:rPr>
        <w:t xml:space="preserve"> have been the traditional focus of study</w:t>
      </w:r>
      <w:r w:rsidR="00CD00F3">
        <w:rPr>
          <w:lang w:val="en-US"/>
        </w:rPr>
        <w:t xml:space="preserve">; </w:t>
      </w:r>
      <w:r w:rsidR="00FB2EED">
        <w:rPr>
          <w:lang w:val="en-US"/>
        </w:rPr>
        <w:t xml:space="preserve">commons scholars </w:t>
      </w:r>
      <w:r w:rsidR="00CD00F3">
        <w:rPr>
          <w:lang w:val="en-US"/>
        </w:rPr>
        <w:t xml:space="preserve">have subsequently expanded to consider other </w:t>
      </w:r>
      <w:r w:rsidR="00E5798D">
        <w:rPr>
          <w:lang w:val="en-US"/>
        </w:rPr>
        <w:t xml:space="preserve">types </w:t>
      </w:r>
      <w:r w:rsidR="00CD00F3">
        <w:rPr>
          <w:lang w:val="en-US"/>
        </w:rPr>
        <w:t>of resources</w:t>
      </w:r>
      <w:r w:rsidR="00F316D2">
        <w:rPr>
          <w:lang w:val="en-US"/>
        </w:rPr>
        <w:t xml:space="preserve"> includ</w:t>
      </w:r>
      <w:r w:rsidR="0094406F">
        <w:rPr>
          <w:lang w:val="en-US"/>
        </w:rPr>
        <w:t>ing</w:t>
      </w:r>
      <w:r w:rsidR="00F316D2">
        <w:rPr>
          <w:lang w:val="en-US"/>
        </w:rPr>
        <w:t xml:space="preserve"> p</w:t>
      </w:r>
      <w:r w:rsidR="00E5798D">
        <w:rPr>
          <w:lang w:val="en-US"/>
        </w:rPr>
        <w:t>u</w:t>
      </w:r>
      <w:r w:rsidR="00CD00F3">
        <w:rPr>
          <w:lang w:val="en-US"/>
        </w:rPr>
        <w:t xml:space="preserve">blic goods, like knowledge, culture and the city (Hess </w:t>
      </w:r>
      <w:r w:rsidR="00733507">
        <w:rPr>
          <w:lang w:val="en-US"/>
        </w:rPr>
        <w:t>&amp;</w:t>
      </w:r>
      <w:r w:rsidR="00406811">
        <w:rPr>
          <w:lang w:val="en-US"/>
        </w:rPr>
        <w:t xml:space="preserve"> </w:t>
      </w:r>
      <w:r w:rsidR="00CD00F3">
        <w:rPr>
          <w:lang w:val="en-US"/>
        </w:rPr>
        <w:t>Ostrom, 2007; Borch &amp; Kornberger, 2015</w:t>
      </w:r>
      <w:r w:rsidR="00E5798D">
        <w:rPr>
          <w:lang w:val="en-US"/>
        </w:rPr>
        <w:t>)</w:t>
      </w:r>
      <w:r w:rsidR="00314199">
        <w:rPr>
          <w:lang w:val="en-US"/>
        </w:rPr>
        <w:t xml:space="preserve">. </w:t>
      </w:r>
      <w:r w:rsidR="00DA7B0A">
        <w:rPr>
          <w:lang w:val="en-US"/>
        </w:rPr>
        <w:t>O</w:t>
      </w:r>
      <w:r w:rsidR="00314199">
        <w:rPr>
          <w:lang w:val="en-US"/>
        </w:rPr>
        <w:t>ur</w:t>
      </w:r>
      <w:r w:rsidR="007D7E4D">
        <w:rPr>
          <w:lang w:val="en-US"/>
        </w:rPr>
        <w:t xml:space="preserve"> focus on the commoning of private goods like housing, builds on an emerging body of</w:t>
      </w:r>
      <w:r w:rsidR="00314199">
        <w:rPr>
          <w:lang w:val="en-US"/>
        </w:rPr>
        <w:t xml:space="preserve"> </w:t>
      </w:r>
      <w:r w:rsidR="008F7F47">
        <w:rPr>
          <w:lang w:val="en-US"/>
        </w:rPr>
        <w:t xml:space="preserve">research </w:t>
      </w:r>
      <w:r w:rsidR="00314199">
        <w:rPr>
          <w:lang w:val="en-US"/>
        </w:rPr>
        <w:t>on</w:t>
      </w:r>
      <w:r w:rsidR="008E7896" w:rsidRPr="008E7896">
        <w:rPr>
          <w:lang w:val="en-US"/>
        </w:rPr>
        <w:t xml:space="preserve"> the ‘housing commons’ (Larsen </w:t>
      </w:r>
      <w:r w:rsidR="00733507">
        <w:rPr>
          <w:lang w:val="en-US"/>
        </w:rPr>
        <w:t>&amp;</w:t>
      </w:r>
      <w:r w:rsidR="00733507" w:rsidRPr="008E7896">
        <w:rPr>
          <w:lang w:val="en-US"/>
        </w:rPr>
        <w:t xml:space="preserve"> </w:t>
      </w:r>
      <w:r w:rsidR="008E7896" w:rsidRPr="008E7896">
        <w:rPr>
          <w:lang w:val="en-US"/>
        </w:rPr>
        <w:t>Hansen, 2015, Nonini, 2017;</w:t>
      </w:r>
      <w:r w:rsidR="008E7896">
        <w:rPr>
          <w:lang w:val="en-US"/>
        </w:rPr>
        <w:t xml:space="preserve"> </w:t>
      </w:r>
      <w:r w:rsidR="007639F8">
        <w:rPr>
          <w:lang w:val="en-US"/>
        </w:rPr>
        <w:t xml:space="preserve">Aernouts </w:t>
      </w:r>
      <w:r w:rsidR="00733507">
        <w:rPr>
          <w:lang w:val="en-US"/>
        </w:rPr>
        <w:t>&amp;</w:t>
      </w:r>
      <w:r w:rsidR="007639F8">
        <w:rPr>
          <w:lang w:val="en-US"/>
        </w:rPr>
        <w:t xml:space="preserve"> Ryckewaert, 2019</w:t>
      </w:r>
      <w:r w:rsidR="00314199">
        <w:rPr>
          <w:lang w:val="en-US"/>
        </w:rPr>
        <w:t>),</w:t>
      </w:r>
      <w:r w:rsidR="007D7E4D">
        <w:rPr>
          <w:lang w:val="en-US"/>
        </w:rPr>
        <w:t xml:space="preserve"> and</w:t>
      </w:r>
      <w:r w:rsidR="00314199">
        <w:rPr>
          <w:lang w:val="en-US"/>
        </w:rPr>
        <w:t xml:space="preserve"> respond</w:t>
      </w:r>
      <w:r w:rsidR="00DA7B0A">
        <w:rPr>
          <w:lang w:val="en-US"/>
        </w:rPr>
        <w:t>s</w:t>
      </w:r>
      <w:r w:rsidR="00314199">
        <w:rPr>
          <w:lang w:val="en-US"/>
        </w:rPr>
        <w:t xml:space="preserve"> </w:t>
      </w:r>
      <w:r w:rsidR="00314199" w:rsidRPr="00314199">
        <w:rPr>
          <w:lang w:val="en-US"/>
        </w:rPr>
        <w:t>to calls for an expansion of research on the go</w:t>
      </w:r>
      <w:r w:rsidR="00314199">
        <w:rPr>
          <w:lang w:val="en-US"/>
        </w:rPr>
        <w:t>vernance of the commons to</w:t>
      </w:r>
      <w:r w:rsidR="00314199" w:rsidRPr="00314199">
        <w:rPr>
          <w:lang w:val="en-US"/>
        </w:rPr>
        <w:t xml:space="preserve"> other types of resourc</w:t>
      </w:r>
      <w:r w:rsidR="00314199">
        <w:rPr>
          <w:lang w:val="en-US"/>
        </w:rPr>
        <w:t>es (Stern et al</w:t>
      </w:r>
      <w:r w:rsidR="00627AC9">
        <w:rPr>
          <w:lang w:val="en-US"/>
        </w:rPr>
        <w:t>.,</w:t>
      </w:r>
      <w:r w:rsidR="00314199">
        <w:rPr>
          <w:lang w:val="en-US"/>
        </w:rPr>
        <w:t xml:space="preserve"> 2002, pp. 469).</w:t>
      </w:r>
    </w:p>
    <w:p w14:paraId="1CB69689" w14:textId="77777777" w:rsidR="00627AC9" w:rsidRDefault="00627AC9" w:rsidP="00800324">
      <w:pPr>
        <w:spacing w:line="480" w:lineRule="auto"/>
        <w:jc w:val="both"/>
        <w:rPr>
          <w:lang w:val="en-US"/>
        </w:rPr>
      </w:pPr>
    </w:p>
    <w:p w14:paraId="1724A2BA" w14:textId="51001D02" w:rsidR="008E7896" w:rsidRDefault="008F7F47" w:rsidP="00800324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>Responding to</w:t>
      </w:r>
      <w:r w:rsidR="008262A0" w:rsidRPr="008262A0">
        <w:rPr>
          <w:lang w:val="en-US"/>
        </w:rPr>
        <w:t xml:space="preserve"> capitalist encroachment and </w:t>
      </w:r>
      <w:r>
        <w:rPr>
          <w:lang w:val="en-US"/>
        </w:rPr>
        <w:t>democratic recession</w:t>
      </w:r>
      <w:r w:rsidR="008262A0" w:rsidRPr="008262A0">
        <w:rPr>
          <w:lang w:val="en-US"/>
        </w:rPr>
        <w:t xml:space="preserve">, people </w:t>
      </w:r>
      <w:r>
        <w:rPr>
          <w:lang w:val="en-US"/>
        </w:rPr>
        <w:t>worldwide</w:t>
      </w:r>
      <w:r w:rsidR="008262A0" w:rsidRPr="008262A0">
        <w:rPr>
          <w:lang w:val="en-US"/>
        </w:rPr>
        <w:t xml:space="preserve"> are developing self-governance arrangements for community control of resources for community benefit. </w:t>
      </w:r>
      <w:r w:rsidR="00422D0B" w:rsidRPr="00422D0B">
        <w:rPr>
          <w:lang w:val="en-US"/>
        </w:rPr>
        <w:t>Whilst Elinor Ostrom’s seminal work proposed a series of design criteria (1990, pp. 96),</w:t>
      </w:r>
      <w:r w:rsidR="004354E6" w:rsidRPr="004354E6">
        <w:t xml:space="preserve"> </w:t>
      </w:r>
      <w:r w:rsidR="004354E6" w:rsidRPr="004354E6">
        <w:rPr>
          <w:lang w:val="en-US"/>
        </w:rPr>
        <w:t>as Hess (2008, pp. 38) has commented, ‘Ostrom’s design principles and the characteristics of long-enduring traditional commons do not necessarily apply to new commons’.</w:t>
      </w:r>
      <w:r w:rsidR="004354E6" w:rsidRPr="004354E6">
        <w:t xml:space="preserve"> </w:t>
      </w:r>
      <w:r w:rsidR="004354E6">
        <w:rPr>
          <w:lang w:val="en-US"/>
        </w:rPr>
        <w:t>Despite the</w:t>
      </w:r>
      <w:r w:rsidR="004354E6" w:rsidRPr="004354E6">
        <w:rPr>
          <w:lang w:val="en-US"/>
        </w:rPr>
        <w:t xml:space="preserve"> growing popularity</w:t>
      </w:r>
      <w:r w:rsidR="004354E6">
        <w:rPr>
          <w:lang w:val="en-US"/>
        </w:rPr>
        <w:t xml:space="preserve"> of commoning</w:t>
      </w:r>
      <w:r w:rsidR="004354E6" w:rsidRPr="004354E6">
        <w:rPr>
          <w:lang w:val="en-US"/>
        </w:rPr>
        <w:t xml:space="preserve">, we know little about the inner dynamics of achieving community control. </w:t>
      </w:r>
      <w:r w:rsidR="004354E6">
        <w:rPr>
          <w:lang w:val="en-US"/>
        </w:rPr>
        <w:t>In particular,</w:t>
      </w:r>
      <w:r w:rsidR="00422D0B" w:rsidRPr="00422D0B">
        <w:rPr>
          <w:lang w:val="en-US"/>
        </w:rPr>
        <w:t xml:space="preserve"> </w:t>
      </w:r>
      <w:r>
        <w:rPr>
          <w:lang w:val="en-US"/>
        </w:rPr>
        <w:t>how</w:t>
      </w:r>
      <w:r w:rsidR="008F3599">
        <w:rPr>
          <w:lang w:val="en-US"/>
        </w:rPr>
        <w:t xml:space="preserve"> different aspects of governance</w:t>
      </w:r>
      <w:r w:rsidR="00E5798D">
        <w:rPr>
          <w:lang w:val="en-US"/>
        </w:rPr>
        <w:t>,</w:t>
      </w:r>
      <w:r w:rsidR="007D7E4D">
        <w:rPr>
          <w:lang w:val="en-US"/>
        </w:rPr>
        <w:t xml:space="preserve"> and</w:t>
      </w:r>
      <w:r w:rsidR="00E5798D">
        <w:rPr>
          <w:lang w:val="en-US"/>
        </w:rPr>
        <w:t xml:space="preserve"> institutional </w:t>
      </w:r>
      <w:r w:rsidR="00CB4EFA">
        <w:rPr>
          <w:lang w:val="en-US"/>
        </w:rPr>
        <w:t>design</w:t>
      </w:r>
      <w:r w:rsidR="008F3599">
        <w:rPr>
          <w:lang w:val="en-US"/>
        </w:rPr>
        <w:t xml:space="preserve"> </w:t>
      </w:r>
      <w:r w:rsidR="00E5798D">
        <w:rPr>
          <w:lang w:val="en-US"/>
        </w:rPr>
        <w:t xml:space="preserve">choices </w:t>
      </w:r>
      <w:r w:rsidR="007D7E4D">
        <w:rPr>
          <w:lang w:val="en-US"/>
        </w:rPr>
        <w:t>have</w:t>
      </w:r>
      <w:r w:rsidR="00E5798D">
        <w:rPr>
          <w:lang w:val="en-US"/>
        </w:rPr>
        <w:t xml:space="preserve"> </w:t>
      </w:r>
      <w:r>
        <w:rPr>
          <w:lang w:val="en-US"/>
        </w:rPr>
        <w:t>influence</w:t>
      </w:r>
      <w:r w:rsidR="007D7E4D">
        <w:rPr>
          <w:lang w:val="en-US"/>
        </w:rPr>
        <w:t>d</w:t>
      </w:r>
      <w:r w:rsidR="00422D0B" w:rsidRPr="00422D0B">
        <w:rPr>
          <w:lang w:val="en-US"/>
        </w:rPr>
        <w:t xml:space="preserve"> community control </w:t>
      </w:r>
      <w:r w:rsidR="005A1FB9">
        <w:rPr>
          <w:lang w:val="en-US"/>
        </w:rPr>
        <w:t>of</w:t>
      </w:r>
      <w:r w:rsidR="004354E6">
        <w:rPr>
          <w:lang w:val="en-US"/>
        </w:rPr>
        <w:t xml:space="preserve"> </w:t>
      </w:r>
      <w:r w:rsidR="009B11C4">
        <w:rPr>
          <w:lang w:val="en-US"/>
        </w:rPr>
        <w:t>commoning.</w:t>
      </w:r>
    </w:p>
    <w:p w14:paraId="7D0E12A0" w14:textId="77777777" w:rsidR="00627AC9" w:rsidRDefault="00627AC9" w:rsidP="00800324">
      <w:pPr>
        <w:spacing w:line="480" w:lineRule="auto"/>
        <w:ind w:firstLine="720"/>
        <w:jc w:val="both"/>
        <w:rPr>
          <w:lang w:val="en-US"/>
        </w:rPr>
      </w:pPr>
    </w:p>
    <w:p w14:paraId="11C1318E" w14:textId="684CD1C5" w:rsidR="007639F8" w:rsidRDefault="00E5798D" w:rsidP="00800324">
      <w:pPr>
        <w:spacing w:line="480" w:lineRule="auto"/>
        <w:ind w:firstLine="720"/>
        <w:jc w:val="both"/>
      </w:pPr>
      <w:r>
        <w:rPr>
          <w:rFonts w:eastAsia="Calibri"/>
        </w:rPr>
        <w:t>A</w:t>
      </w:r>
      <w:r w:rsidR="00091B43" w:rsidRPr="007639F8">
        <w:rPr>
          <w:rFonts w:eastAsia="Calibri"/>
        </w:rPr>
        <w:t>chieving community control</w:t>
      </w:r>
      <w:r w:rsidR="00CD00F3" w:rsidRPr="00CD00F3">
        <w:t xml:space="preserve"> </w:t>
      </w:r>
      <w:r w:rsidR="00CD00F3">
        <w:t>(</w:t>
      </w:r>
      <w:r w:rsidR="00CD00F3">
        <w:rPr>
          <w:rFonts w:eastAsia="Calibri"/>
        </w:rPr>
        <w:t>DeFilippis, 2003)</w:t>
      </w:r>
      <w:r>
        <w:rPr>
          <w:rFonts w:eastAsia="Calibri"/>
        </w:rPr>
        <w:t>,</w:t>
      </w:r>
      <w:r w:rsidR="00E62F60" w:rsidRPr="00E62F60">
        <w:rPr>
          <w:rFonts w:eastAsia="Calibri"/>
        </w:rPr>
        <w:t xml:space="preserve"> </w:t>
      </w:r>
      <w:r w:rsidR="00231269">
        <w:rPr>
          <w:rFonts w:eastAsia="Calibri"/>
        </w:rPr>
        <w:t>understood</w:t>
      </w:r>
      <w:r>
        <w:rPr>
          <w:rFonts w:eastAsia="Calibri"/>
        </w:rPr>
        <w:t xml:space="preserve"> </w:t>
      </w:r>
      <w:r w:rsidR="00CD00F3" w:rsidRPr="00CD00F3">
        <w:rPr>
          <w:rFonts w:eastAsia="Calibri"/>
        </w:rPr>
        <w:t>as a ‘place-based population’s collective ownership and decision-making power over reso</w:t>
      </w:r>
      <w:r w:rsidR="00CD00F3">
        <w:rPr>
          <w:rFonts w:eastAsia="Calibri"/>
        </w:rPr>
        <w:t xml:space="preserve">urces’ (Williams, </w:t>
      </w:r>
      <w:r w:rsidR="00CD00F3">
        <w:rPr>
          <w:rFonts w:eastAsia="Calibri"/>
        </w:rPr>
        <w:lastRenderedPageBreak/>
        <w:t>2018, p. 462)</w:t>
      </w:r>
      <w:r>
        <w:rPr>
          <w:rFonts w:eastAsia="Calibri"/>
        </w:rPr>
        <w:t>,</w:t>
      </w:r>
      <w:r w:rsidR="00091B43" w:rsidRPr="007639F8">
        <w:rPr>
          <w:rFonts w:eastAsia="Calibri"/>
        </w:rPr>
        <w:t xml:space="preserve"> </w:t>
      </w:r>
      <w:r>
        <w:rPr>
          <w:rFonts w:eastAsia="Calibri"/>
        </w:rPr>
        <w:t>presents</w:t>
      </w:r>
      <w:r w:rsidR="006A67B8" w:rsidRPr="007639F8">
        <w:rPr>
          <w:rFonts w:eastAsia="Calibri"/>
        </w:rPr>
        <w:t xml:space="preserve"> a</w:t>
      </w:r>
      <w:r>
        <w:rPr>
          <w:rFonts w:eastAsia="Calibri"/>
        </w:rPr>
        <w:t xml:space="preserve"> pressing</w:t>
      </w:r>
      <w:r w:rsidR="006A67B8" w:rsidRPr="007639F8">
        <w:rPr>
          <w:rFonts w:eastAsia="Calibri"/>
        </w:rPr>
        <w:t xml:space="preserve"> challeng</w:t>
      </w:r>
      <w:r w:rsidR="00CD00F3">
        <w:rPr>
          <w:rFonts w:eastAsia="Calibri"/>
        </w:rPr>
        <w:t>e</w:t>
      </w:r>
      <w:r w:rsidR="008F7F47">
        <w:rPr>
          <w:rFonts w:eastAsia="Calibri"/>
        </w:rPr>
        <w:t>s</w:t>
      </w:r>
      <w:r w:rsidR="00231269">
        <w:rPr>
          <w:rFonts w:eastAsia="Calibri"/>
        </w:rPr>
        <w:t xml:space="preserve"> to</w:t>
      </w:r>
      <w:r>
        <w:rPr>
          <w:rFonts w:eastAsia="Calibri"/>
        </w:rPr>
        <w:t xml:space="preserve"> the housing commons</w:t>
      </w:r>
      <w:r w:rsidR="00CD00F3">
        <w:rPr>
          <w:rFonts w:eastAsia="Calibri"/>
        </w:rPr>
        <w:t xml:space="preserve">. </w:t>
      </w:r>
      <w:r w:rsidR="007639F8" w:rsidRPr="006164EE">
        <w:t>How</w:t>
      </w:r>
      <w:r w:rsidR="00314199">
        <w:t>, for example,</w:t>
      </w:r>
      <w:r w:rsidR="007639F8" w:rsidRPr="006164EE">
        <w:t xml:space="preserve"> do communities interact with </w:t>
      </w:r>
      <w:r>
        <w:t xml:space="preserve">external </w:t>
      </w:r>
      <w:r w:rsidR="007639F8" w:rsidRPr="006164EE">
        <w:t xml:space="preserve">stakeholders, address hostile or indifferent environments, </w:t>
      </w:r>
      <w:r w:rsidR="003B047A">
        <w:t>maintain inclusivity</w:t>
      </w:r>
      <w:r w:rsidR="007639F8" w:rsidRPr="006164EE">
        <w:t>, and</w:t>
      </w:r>
      <w:r w:rsidR="003B047A">
        <w:t xml:space="preserve"> overcome the</w:t>
      </w:r>
      <w:r w:rsidR="007639F8" w:rsidRPr="006164EE">
        <w:t xml:space="preserve"> trade</w:t>
      </w:r>
      <w:r w:rsidR="003D201F">
        <w:t>-</w:t>
      </w:r>
      <w:r w:rsidR="007639F8" w:rsidRPr="006164EE">
        <w:t xml:space="preserve">off between </w:t>
      </w:r>
      <w:r w:rsidR="00314199" w:rsidRPr="00314199">
        <w:t xml:space="preserve">viability and local need? </w:t>
      </w:r>
      <w:r>
        <w:t xml:space="preserve">To what extent do these challenges impede community control? And what does the way these challenges are addressed </w:t>
      </w:r>
      <w:r w:rsidR="00A12118">
        <w:t>say</w:t>
      </w:r>
      <w:r>
        <w:t xml:space="preserve"> about the nature of a particular housing commons? </w:t>
      </w:r>
      <w:r w:rsidR="00314199">
        <w:t>Our</w:t>
      </w:r>
      <w:r w:rsidR="00314199" w:rsidRPr="00314199">
        <w:t xml:space="preserve"> </w:t>
      </w:r>
      <w:r w:rsidR="00314199">
        <w:t>paper</w:t>
      </w:r>
      <w:r w:rsidR="007639F8" w:rsidRPr="006164EE">
        <w:t xml:space="preserve"> addresses </w:t>
      </w:r>
      <w:r w:rsidR="003B047A">
        <w:t>these</w:t>
      </w:r>
      <w:r w:rsidR="003B047A" w:rsidRPr="006164EE">
        <w:t xml:space="preserve"> </w:t>
      </w:r>
      <w:r>
        <w:t xml:space="preserve">questions, </w:t>
      </w:r>
      <w:r w:rsidR="007639F8" w:rsidRPr="006164EE">
        <w:t>using an innovative methodolog</w:t>
      </w:r>
      <w:r w:rsidR="00A12118">
        <w:t xml:space="preserve">y </w:t>
      </w:r>
      <w:r w:rsidR="007639F8" w:rsidRPr="006164EE">
        <w:t>to generate</w:t>
      </w:r>
      <w:r w:rsidR="00314199">
        <w:t xml:space="preserve"> </w:t>
      </w:r>
      <w:r w:rsidR="008402FF">
        <w:t>comparative</w:t>
      </w:r>
      <w:r w:rsidR="004354E6">
        <w:t xml:space="preserve"> </w:t>
      </w:r>
      <w:r w:rsidR="00314199">
        <w:t>insight</w:t>
      </w:r>
      <w:r w:rsidR="008402FF">
        <w:t xml:space="preserve">s, </w:t>
      </w:r>
      <w:r w:rsidR="00314199">
        <w:t>into</w:t>
      </w:r>
      <w:r w:rsidR="009B11C4">
        <w:t xml:space="preserve"> how</w:t>
      </w:r>
      <w:r w:rsidR="00314199">
        <w:t xml:space="preserve"> the </w:t>
      </w:r>
      <w:r>
        <w:t xml:space="preserve">challenge </w:t>
      </w:r>
      <w:r w:rsidR="00314199">
        <w:t>of community control</w:t>
      </w:r>
      <w:r w:rsidR="009B11C4">
        <w:t xml:space="preserve"> has been negotiated, and systematic analysis of how this has varied.</w:t>
      </w:r>
    </w:p>
    <w:p w14:paraId="0D95017A" w14:textId="77777777" w:rsidR="00406811" w:rsidRDefault="00406811" w:rsidP="00800324">
      <w:pPr>
        <w:spacing w:line="480" w:lineRule="auto"/>
        <w:ind w:firstLine="720"/>
        <w:jc w:val="both"/>
        <w:rPr>
          <w:rFonts w:eastAsia="Calibri"/>
        </w:rPr>
      </w:pPr>
    </w:p>
    <w:p w14:paraId="7FD29B03" w14:textId="704B7C30" w:rsidR="00CD00F3" w:rsidRPr="003D201F" w:rsidRDefault="00314199" w:rsidP="00800324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t>We</w:t>
      </w:r>
      <w:r w:rsidR="00CD00F3" w:rsidRPr="00CD00F3">
        <w:rPr>
          <w:rFonts w:ascii="Times New Roman" w:eastAsia="Calibri" w:hAnsi="Times New Roman" w:cs="Times New Roman"/>
          <w:sz w:val="24"/>
          <w:szCs w:val="24"/>
        </w:rPr>
        <w:t xml:space="preserve"> focus our analysis of the housing commons on community land trusts (CLTs),  which</w:t>
      </w:r>
      <w:r w:rsidR="009B11C4">
        <w:rPr>
          <w:rFonts w:ascii="Times New Roman" w:eastAsia="Calibri" w:hAnsi="Times New Roman" w:cs="Times New Roman"/>
          <w:sz w:val="24"/>
          <w:szCs w:val="24"/>
        </w:rPr>
        <w:t xml:space="preserve"> may be understood as</w:t>
      </w:r>
      <w:r w:rsidR="00CD00F3" w:rsidRPr="00CD00F3">
        <w:rPr>
          <w:rFonts w:ascii="Times New Roman" w:eastAsia="Calibri" w:hAnsi="Times New Roman" w:cs="Times New Roman"/>
          <w:sz w:val="24"/>
          <w:szCs w:val="24"/>
        </w:rPr>
        <w:t xml:space="preserve"> part of a ‘wave’ of democratic innovations (Baiocchi &amp; Ganuza, 2017) that seek to democratise politics, society and the </w:t>
      </w:r>
      <w:r w:rsidR="00CD00F3" w:rsidRPr="003D201F">
        <w:rPr>
          <w:rFonts w:ascii="Times New Roman" w:eastAsia="Calibri" w:hAnsi="Times New Roman" w:cs="Times New Roman"/>
          <w:sz w:val="24"/>
          <w:szCs w:val="24"/>
          <w:lang w:val="en-GB"/>
        </w:rPr>
        <w:t>economy</w:t>
      </w:r>
      <w:r w:rsidR="00CD00F3" w:rsidRPr="00CD00F3">
        <w:rPr>
          <w:rFonts w:ascii="Times New Roman" w:eastAsia="Calibri" w:hAnsi="Times New Roman" w:cs="Times New Roman"/>
          <w:sz w:val="24"/>
          <w:szCs w:val="24"/>
        </w:rPr>
        <w:t xml:space="preserve"> (Brandsen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.,</w:t>
      </w:r>
      <w:r w:rsidR="00CD00F3" w:rsidRPr="00CD00F3">
        <w:rPr>
          <w:rFonts w:ascii="Times New Roman" w:eastAsia="Calibri" w:hAnsi="Times New Roman" w:cs="Times New Roman"/>
          <w:sz w:val="24"/>
          <w:szCs w:val="24"/>
        </w:rPr>
        <w:t xml:space="preserve"> 2016). </w:t>
      </w:r>
      <w:r w:rsidR="00CD00F3">
        <w:rPr>
          <w:rFonts w:ascii="Times New Roman" w:eastAsia="Calibri" w:hAnsi="Times New Roman" w:cs="Times New Roman"/>
          <w:sz w:val="24"/>
          <w:szCs w:val="24"/>
        </w:rPr>
        <w:t xml:space="preserve">CLTs are primarily focused on ownership of land, </w:t>
      </w:r>
      <w:r>
        <w:rPr>
          <w:rFonts w:ascii="Times New Roman" w:eastAsia="Calibri" w:hAnsi="Times New Roman" w:cs="Times New Roman"/>
          <w:sz w:val="24"/>
          <w:szCs w:val="24"/>
        </w:rPr>
        <w:t xml:space="preserve">used in </w:t>
      </w:r>
      <w:r w:rsidR="007424D1">
        <w:rPr>
          <w:rFonts w:ascii="Times New Roman" w:eastAsia="Calibri" w:hAnsi="Times New Roman" w:cs="Times New Roman"/>
          <w:sz w:val="24"/>
          <w:szCs w:val="24"/>
        </w:rPr>
        <w:t>different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ways</w:t>
      </w:r>
      <w:r w:rsidR="00E62F60" w:rsidRPr="00E62F60"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62F60" w:rsidRPr="00E62F60">
        <w:rPr>
          <w:rFonts w:ascii="Times New Roman" w:eastAsia="Calibri" w:hAnsi="Times New Roman" w:cs="Times New Roman"/>
          <w:sz w:val="24"/>
          <w:szCs w:val="24"/>
          <w:lang w:val="en-GB"/>
        </w:rPr>
        <w:t>for community benefit</w:t>
      </w:r>
      <w:r w:rsidR="00E62F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such as</w:t>
      </w:r>
      <w:r w:rsidR="00E62F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community agriculture (Rosenburg &amp; Yuen, 2012).</w:t>
      </w:r>
      <w:r w:rsidR="00CD0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4AE">
        <w:rPr>
          <w:rFonts w:ascii="Times New Roman" w:eastAsia="Calibri" w:hAnsi="Times New Roman" w:cs="Times New Roman"/>
          <w:sz w:val="24"/>
          <w:szCs w:val="24"/>
        </w:rPr>
        <w:t xml:space="preserve">However, </w:t>
      </w:r>
      <w:r>
        <w:rPr>
          <w:rFonts w:ascii="Times New Roman" w:eastAsia="Calibri" w:hAnsi="Times New Roman" w:cs="Times New Roman"/>
          <w:sz w:val="24"/>
          <w:szCs w:val="24"/>
        </w:rPr>
        <w:t xml:space="preserve">CLTs </w:t>
      </w:r>
      <w:r w:rsidR="00A12118">
        <w:rPr>
          <w:rFonts w:ascii="Times New Roman" w:eastAsia="Calibri" w:hAnsi="Times New Roman" w:cs="Times New Roman"/>
          <w:sz w:val="24"/>
          <w:szCs w:val="24"/>
        </w:rPr>
        <w:t>are increasingly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recognised as a potential governance mechanism for collective access to housing provision for low</w:t>
      </w:r>
      <w:r w:rsidR="00A1211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income communities (Midheme </w:t>
      </w:r>
      <w:r w:rsidR="00406811">
        <w:rPr>
          <w:rFonts w:ascii="Times New Roman" w:eastAsia="Calibri" w:hAnsi="Times New Roman" w:cs="Times New Roman"/>
          <w:sz w:val="24"/>
          <w:szCs w:val="24"/>
        </w:rPr>
        <w:t>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Moulaert, 2013;</w:t>
      </w:r>
      <w:r w:rsidRPr="0031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811">
        <w:rPr>
          <w:rFonts w:ascii="Times New Roman" w:eastAsia="Calibri" w:hAnsi="Times New Roman" w:cs="Times New Roman"/>
          <w:sz w:val="24"/>
          <w:szCs w:val="24"/>
        </w:rPr>
        <w:t>Aernouts 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Ryckewart, 2018). </w:t>
      </w:r>
      <w:r w:rsidR="00CD00F3">
        <w:rPr>
          <w:rFonts w:ascii="Times New Roman" w:eastAsia="Calibri" w:hAnsi="Times New Roman" w:cs="Times New Roman"/>
          <w:sz w:val="24"/>
          <w:szCs w:val="24"/>
        </w:rPr>
        <w:t xml:space="preserve">CLTs </w:t>
      </w:r>
      <w:r>
        <w:rPr>
          <w:rFonts w:ascii="Times New Roman" w:eastAsia="Calibri" w:hAnsi="Times New Roman" w:cs="Times New Roman"/>
          <w:sz w:val="24"/>
          <w:szCs w:val="24"/>
        </w:rPr>
        <w:t>are</w:t>
      </w:r>
      <w:r w:rsidR="00A12118">
        <w:rPr>
          <w:rFonts w:ascii="Times New Roman" w:eastAsia="Calibri" w:hAnsi="Times New Roman" w:cs="Times New Roman"/>
          <w:sz w:val="24"/>
          <w:szCs w:val="24"/>
        </w:rPr>
        <w:t xml:space="preserve"> thus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perceived to </w:t>
      </w:r>
      <w:r w:rsidR="00CD00F3">
        <w:rPr>
          <w:rFonts w:ascii="Times New Roman" w:eastAsia="Calibri" w:hAnsi="Times New Roman" w:cs="Times New Roman"/>
          <w:sz w:val="24"/>
          <w:szCs w:val="24"/>
        </w:rPr>
        <w:t xml:space="preserve">offer </w:t>
      </w:r>
      <w:r w:rsidR="00CD00F3" w:rsidRPr="00CD00F3">
        <w:rPr>
          <w:rFonts w:ascii="Times New Roman" w:eastAsia="Calibri" w:hAnsi="Times New Roman" w:cs="Times New Roman"/>
          <w:sz w:val="24"/>
          <w:szCs w:val="24"/>
        </w:rPr>
        <w:t>a buffer against the negative impacts of gentrification on lower income neig</w:t>
      </w:r>
      <w:r w:rsidR="00DE5BC6">
        <w:rPr>
          <w:rFonts w:ascii="Times New Roman" w:eastAsia="Calibri" w:hAnsi="Times New Roman" w:cs="Times New Roman"/>
          <w:sz w:val="24"/>
          <w:szCs w:val="24"/>
        </w:rPr>
        <w:t>h</w:t>
      </w:r>
      <w:r w:rsidR="00CD00F3" w:rsidRPr="00CD00F3">
        <w:rPr>
          <w:rFonts w:ascii="Times New Roman" w:eastAsia="Calibri" w:hAnsi="Times New Roman" w:cs="Times New Roman"/>
          <w:sz w:val="24"/>
          <w:szCs w:val="24"/>
        </w:rPr>
        <w:t>b</w:t>
      </w:r>
      <w:r w:rsidR="00DE5BC6">
        <w:rPr>
          <w:rFonts w:ascii="Times New Roman" w:eastAsia="Calibri" w:hAnsi="Times New Roman" w:cs="Times New Roman"/>
          <w:sz w:val="24"/>
          <w:szCs w:val="24"/>
        </w:rPr>
        <w:t>ou</w:t>
      </w:r>
      <w:r w:rsidR="00CD00F3" w:rsidRPr="00CD00F3">
        <w:rPr>
          <w:rFonts w:ascii="Times New Roman" w:eastAsia="Calibri" w:hAnsi="Times New Roman" w:cs="Times New Roman"/>
          <w:sz w:val="24"/>
          <w:szCs w:val="24"/>
        </w:rPr>
        <w:t>rhoods, an expression of the right to housing, and a means of deepening place-based democracy.</w:t>
      </w:r>
    </w:p>
    <w:p w14:paraId="49E08581" w14:textId="6DF544FC" w:rsidR="0076553C" w:rsidRPr="00225863" w:rsidRDefault="00E5798D" w:rsidP="009B11C4">
      <w:pPr>
        <w:pStyle w:val="Body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 focus</w:t>
      </w:r>
      <w:r w:rsidR="007307D4">
        <w:rPr>
          <w:rFonts w:ascii="Times New Roman" w:eastAsia="Calibri" w:hAnsi="Times New Roman" w:cs="Times New Roman"/>
          <w:sz w:val="24"/>
          <w:szCs w:val="24"/>
        </w:rPr>
        <w:t xml:space="preserve"> on CLTs because they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are becoming </w:t>
      </w:r>
      <w:r w:rsidR="00A12118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manifestation of </w:t>
      </w:r>
      <w:r w:rsidR="00EB2BDB">
        <w:rPr>
          <w:rFonts w:ascii="Times New Roman" w:eastAsia="Calibri" w:hAnsi="Times New Roman" w:cs="Times New Roman"/>
          <w:sz w:val="24"/>
          <w:szCs w:val="24"/>
        </w:rPr>
        <w:t>self-</w:t>
      </w:r>
      <w:r w:rsidR="007307D4">
        <w:rPr>
          <w:rFonts w:ascii="Times New Roman" w:eastAsia="Calibri" w:hAnsi="Times New Roman" w:cs="Times New Roman"/>
          <w:sz w:val="24"/>
          <w:szCs w:val="24"/>
        </w:rPr>
        <w:t xml:space="preserve">governance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7307D4">
        <w:rPr>
          <w:rFonts w:ascii="Times New Roman" w:eastAsia="Calibri" w:hAnsi="Times New Roman" w:cs="Times New Roman"/>
          <w:sz w:val="24"/>
          <w:szCs w:val="24"/>
        </w:rPr>
        <w:t>the housing commons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r w:rsidR="007424D1">
        <w:rPr>
          <w:rFonts w:ascii="Times New Roman" w:eastAsia="Calibri" w:hAnsi="Times New Roman" w:cs="Times New Roman"/>
          <w:sz w:val="24"/>
          <w:szCs w:val="24"/>
        </w:rPr>
        <w:t xml:space="preserve">both </w:t>
      </w:r>
      <w:r>
        <w:rPr>
          <w:rFonts w:ascii="Times New Roman" w:eastAsia="Calibri" w:hAnsi="Times New Roman" w:cs="Times New Roman"/>
          <w:sz w:val="24"/>
          <w:szCs w:val="24"/>
        </w:rPr>
        <w:t>the</w:t>
      </w:r>
      <w:r w:rsidR="007424D1">
        <w:rPr>
          <w:rFonts w:ascii="Times New Roman" w:eastAsia="Calibri" w:hAnsi="Times New Roman" w:cs="Times New Roman"/>
          <w:sz w:val="24"/>
          <w:szCs w:val="24"/>
        </w:rPr>
        <w:t xml:space="preserve"> UK and US</w:t>
      </w:r>
      <w:r w:rsidR="007307D4">
        <w:rPr>
          <w:rFonts w:ascii="Times New Roman" w:eastAsia="Calibri" w:hAnsi="Times New Roman" w:cs="Times New Roman"/>
          <w:sz w:val="24"/>
          <w:szCs w:val="24"/>
        </w:rPr>
        <w:t>.</w:t>
      </w:r>
      <w:r w:rsidR="00F333CB" w:rsidRPr="00F333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2A0">
        <w:rPr>
          <w:rFonts w:ascii="Times New Roman" w:eastAsia="Calibri" w:hAnsi="Times New Roman" w:cs="Times New Roman"/>
          <w:sz w:val="24"/>
          <w:szCs w:val="24"/>
        </w:rPr>
        <w:t>S</w:t>
      </w:r>
      <w:r w:rsidR="00F333CB" w:rsidRPr="0082384C">
        <w:rPr>
          <w:rFonts w:ascii="Times New Roman" w:eastAsia="Calibri" w:hAnsi="Times New Roman" w:cs="Times New Roman"/>
          <w:sz w:val="24"/>
          <w:szCs w:val="24"/>
        </w:rPr>
        <w:t>tudies of CLTs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however, </w:t>
      </w:r>
      <w:r w:rsidR="00F333CB">
        <w:rPr>
          <w:rFonts w:ascii="Times New Roman" w:eastAsia="Calibri" w:hAnsi="Times New Roman" w:cs="Times New Roman"/>
          <w:sz w:val="24"/>
          <w:szCs w:val="24"/>
        </w:rPr>
        <w:t>often</w:t>
      </w:r>
      <w:r w:rsidR="008262A0">
        <w:rPr>
          <w:rFonts w:ascii="Times New Roman" w:eastAsia="Calibri" w:hAnsi="Times New Roman" w:cs="Times New Roman"/>
          <w:sz w:val="24"/>
          <w:szCs w:val="24"/>
        </w:rPr>
        <w:t xml:space="preserve"> remain</w:t>
      </w:r>
      <w:r w:rsidR="00F333CB" w:rsidRPr="0082384C">
        <w:rPr>
          <w:rFonts w:ascii="Times New Roman" w:eastAsia="Calibri" w:hAnsi="Times New Roman" w:cs="Times New Roman"/>
          <w:sz w:val="24"/>
          <w:szCs w:val="24"/>
        </w:rPr>
        <w:t xml:space="preserve"> under-conceptualised</w:t>
      </w:r>
      <w:r w:rsidR="00FE6F08">
        <w:rPr>
          <w:rFonts w:ascii="Times New Roman" w:eastAsia="Calibri" w:hAnsi="Times New Roman" w:cs="Times New Roman"/>
          <w:sz w:val="24"/>
          <w:szCs w:val="24"/>
        </w:rPr>
        <w:t>,</w:t>
      </w:r>
      <w:r w:rsidR="00F333CB" w:rsidRPr="0082384C">
        <w:rPr>
          <w:rFonts w:ascii="Times New Roman" w:eastAsia="Calibri" w:hAnsi="Times New Roman" w:cs="Times New Roman"/>
          <w:sz w:val="24"/>
          <w:szCs w:val="24"/>
        </w:rPr>
        <w:t xml:space="preserve"> practice-led</w:t>
      </w:r>
      <w:r w:rsidR="00F333CB">
        <w:rPr>
          <w:rFonts w:ascii="Times New Roman" w:eastAsia="Calibri" w:hAnsi="Times New Roman" w:cs="Times New Roman"/>
          <w:sz w:val="24"/>
          <w:szCs w:val="24"/>
        </w:rPr>
        <w:t xml:space="preserve"> (Rowe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</w:t>
      </w:r>
      <w:r w:rsidR="00F333CB">
        <w:rPr>
          <w:rFonts w:ascii="Times New Roman" w:eastAsia="Calibri" w:hAnsi="Times New Roman" w:cs="Times New Roman"/>
          <w:sz w:val="24"/>
          <w:szCs w:val="24"/>
        </w:rPr>
        <w:t>, 2016)</w:t>
      </w:r>
      <w:r w:rsidR="008262A0">
        <w:rPr>
          <w:rFonts w:ascii="Times New Roman" w:eastAsia="Calibri" w:hAnsi="Times New Roman" w:cs="Times New Roman"/>
          <w:sz w:val="24"/>
          <w:szCs w:val="24"/>
        </w:rPr>
        <w:t xml:space="preserve">, and </w:t>
      </w:r>
      <w:r w:rsidR="00F333CB" w:rsidRPr="0082384C">
        <w:rPr>
          <w:rFonts w:ascii="Times New Roman" w:eastAsia="Calibri" w:hAnsi="Times New Roman" w:cs="Times New Roman"/>
          <w:sz w:val="24"/>
          <w:szCs w:val="24"/>
        </w:rPr>
        <w:t>over-reliant on single iconic or exemplar case studies</w:t>
      </w:r>
      <w:r w:rsidR="00F333CB">
        <w:rPr>
          <w:rFonts w:ascii="Times New Roman" w:eastAsia="Calibri" w:hAnsi="Times New Roman" w:cs="Times New Roman"/>
          <w:sz w:val="24"/>
          <w:szCs w:val="24"/>
        </w:rPr>
        <w:t xml:space="preserve"> (Author, 2018)</w:t>
      </w:r>
      <w:r w:rsidR="00F333CB" w:rsidRPr="0082384C">
        <w:rPr>
          <w:rFonts w:ascii="Times New Roman" w:eastAsia="Calibri" w:hAnsi="Times New Roman" w:cs="Times New Roman"/>
          <w:sz w:val="24"/>
          <w:szCs w:val="24"/>
        </w:rPr>
        <w:t>.</w:t>
      </w:r>
      <w:r w:rsidR="00F333CB">
        <w:rPr>
          <w:rFonts w:ascii="Times New Roman" w:eastAsia="Calibri" w:hAnsi="Times New Roman" w:cs="Times New Roman"/>
          <w:sz w:val="24"/>
          <w:szCs w:val="24"/>
        </w:rPr>
        <w:t xml:space="preserve"> Enabled by a common </w:t>
      </w:r>
      <w:r w:rsidR="00314199">
        <w:rPr>
          <w:rFonts w:ascii="Times New Roman" w:eastAsia="Calibri" w:hAnsi="Times New Roman" w:cs="Times New Roman"/>
          <w:sz w:val="24"/>
          <w:szCs w:val="24"/>
        </w:rPr>
        <w:t>definition</w:t>
      </w:r>
      <w:r w:rsidR="00F333CB">
        <w:rPr>
          <w:rFonts w:ascii="Times New Roman" w:eastAsia="Calibri" w:hAnsi="Times New Roman" w:cs="Times New Roman"/>
          <w:sz w:val="24"/>
          <w:szCs w:val="24"/>
        </w:rPr>
        <w:t xml:space="preserve"> for CLTs, we </w:t>
      </w:r>
      <w:r w:rsidR="00E26680">
        <w:rPr>
          <w:rFonts w:ascii="Times New Roman" w:eastAsia="Calibri" w:hAnsi="Times New Roman" w:cs="Times New Roman"/>
          <w:sz w:val="24"/>
          <w:szCs w:val="24"/>
        </w:rPr>
        <w:t xml:space="preserve">used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configurative comparative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analysis (CCA)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techniques to identify relevant attributes of cases making up the population of CLTs. We </w:t>
      </w:r>
      <w:r w:rsidR="0076553C">
        <w:rPr>
          <w:rFonts w:ascii="Times New Roman" w:eastAsia="Calibri" w:hAnsi="Times New Roman" w:cs="Times New Roman"/>
          <w:sz w:val="24"/>
          <w:szCs w:val="24"/>
        </w:rPr>
        <w:t>developed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an original dataset extracted from </w:t>
      </w:r>
      <w:r w:rsidR="00E75D7D">
        <w:rPr>
          <w:rFonts w:ascii="Times New Roman" w:eastAsia="Calibri" w:hAnsi="Times New Roman" w:cs="Times New Roman"/>
          <w:sz w:val="24"/>
          <w:szCs w:val="24"/>
        </w:rPr>
        <w:t>published</w:t>
      </w:r>
      <w:r w:rsidR="00E75D7D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US and UK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case studies. Applying a cross-case comparison enabled us </w:t>
      </w:r>
      <w:r w:rsidR="0076553C">
        <w:rPr>
          <w:rFonts w:ascii="Times New Roman" w:eastAsia="Calibri" w:hAnsi="Times New Roman" w:cs="Times New Roman"/>
          <w:sz w:val="24"/>
          <w:szCs w:val="24"/>
        </w:rPr>
        <w:t>to map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variance</w:t>
      </w:r>
      <w:r w:rsidR="009B11C4">
        <w:rPr>
          <w:rFonts w:ascii="Times New Roman" w:eastAsia="Calibri" w:hAnsi="Times New Roman" w:cs="Times New Roman"/>
          <w:sz w:val="24"/>
          <w:szCs w:val="24"/>
        </w:rPr>
        <w:t xml:space="preserve"> in the propensity for community control within CLTs</w:t>
      </w:r>
      <w:r w:rsidR="0076553C">
        <w:rPr>
          <w:rFonts w:ascii="Times New Roman" w:eastAsia="Calibri" w:hAnsi="Times New Roman" w:cs="Times New Roman"/>
          <w:sz w:val="24"/>
          <w:szCs w:val="24"/>
        </w:rPr>
        <w:t>, and</w:t>
      </w:r>
      <w:r w:rsidR="009B11C4">
        <w:rPr>
          <w:rFonts w:ascii="Times New Roman" w:eastAsia="Calibri" w:hAnsi="Times New Roman" w:cs="Times New Roman"/>
          <w:sz w:val="24"/>
          <w:szCs w:val="24"/>
        </w:rPr>
        <w:t xml:space="preserve"> to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document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different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types of CLTs.</w:t>
      </w:r>
      <w:r w:rsidR="0076553C" w:rsidRPr="009677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3CB">
        <w:rPr>
          <w:rFonts w:ascii="Times New Roman" w:eastAsia="Calibri" w:hAnsi="Times New Roman" w:cs="Times New Roman"/>
          <w:sz w:val="24"/>
          <w:szCs w:val="24"/>
        </w:rPr>
        <w:t xml:space="preserve">We used this analysis to inform a conceptual typology </w:t>
      </w:r>
      <w:r w:rsidR="00BE2F16" w:rsidRPr="00BE2F16">
        <w:rPr>
          <w:rFonts w:ascii="Times New Roman" w:eastAsia="Calibri" w:hAnsi="Times New Roman" w:cs="Times New Roman"/>
          <w:sz w:val="24"/>
          <w:szCs w:val="24"/>
          <w:lang w:val="en-GB"/>
        </w:rPr>
        <w:t>(Collier et al</w:t>
      </w:r>
      <w:r w:rsidR="00406811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BE2F16" w:rsidRPr="00BE2F16">
        <w:rPr>
          <w:rFonts w:ascii="Times New Roman" w:eastAsia="Calibri" w:hAnsi="Times New Roman" w:cs="Times New Roman"/>
          <w:sz w:val="24"/>
          <w:szCs w:val="24"/>
          <w:lang w:val="en-GB"/>
        </w:rPr>
        <w:t>, 2012)</w:t>
      </w:r>
      <w:r w:rsidR="007424D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</w:t>
      </w:r>
      <w:r w:rsidR="008735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6E4A2C">
        <w:rPr>
          <w:rFonts w:ascii="Times New Roman" w:eastAsia="Calibri" w:hAnsi="Times New Roman" w:cs="Times New Roman"/>
          <w:sz w:val="24"/>
          <w:szCs w:val="24"/>
        </w:rPr>
        <w:t>five types of CLTs with differing propensit</w:t>
      </w:r>
      <w:r w:rsidR="00F333CB">
        <w:rPr>
          <w:rFonts w:ascii="Times New Roman" w:eastAsia="Calibri" w:hAnsi="Times New Roman" w:cs="Times New Roman"/>
          <w:sz w:val="24"/>
          <w:szCs w:val="24"/>
        </w:rPr>
        <w:t>y</w:t>
      </w:r>
      <w:r w:rsidR="0076553C" w:rsidRPr="006E4A2C">
        <w:rPr>
          <w:rFonts w:ascii="Times New Roman" w:eastAsia="Calibri" w:hAnsi="Times New Roman" w:cs="Times New Roman"/>
          <w:sz w:val="24"/>
          <w:szCs w:val="24"/>
        </w:rPr>
        <w:t xml:space="preserve"> for community control</w:t>
      </w:r>
      <w:r w:rsidR="00EC2B8D" w:rsidRPr="006E4A2C">
        <w:rPr>
          <w:rFonts w:ascii="Times New Roman" w:eastAsia="Calibri" w:hAnsi="Times New Roman" w:cs="Times New Roman"/>
          <w:sz w:val="24"/>
          <w:szCs w:val="24"/>
        </w:rPr>
        <w:t>. The typ</w:t>
      </w:r>
      <w:r w:rsidR="00F333CB">
        <w:rPr>
          <w:rFonts w:ascii="Times New Roman" w:eastAsia="Calibri" w:hAnsi="Times New Roman" w:cs="Times New Roman"/>
          <w:sz w:val="24"/>
          <w:szCs w:val="24"/>
        </w:rPr>
        <w:t>ology</w:t>
      </w:r>
      <w:r w:rsidR="00EC2B8D" w:rsidRPr="006E4A2C">
        <w:rPr>
          <w:rFonts w:ascii="Times New Roman" w:eastAsia="Calibri" w:hAnsi="Times New Roman" w:cs="Times New Roman"/>
          <w:sz w:val="24"/>
          <w:szCs w:val="24"/>
        </w:rPr>
        <w:t xml:space="preserve"> suggests</w:t>
      </w:r>
      <w:r w:rsidR="00BE2F16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 w:rsidR="00EC2B8D" w:rsidRPr="006E4A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A28">
        <w:rPr>
          <w:rFonts w:ascii="Times New Roman" w:eastAsia="Calibri" w:hAnsi="Times New Roman" w:cs="Times New Roman"/>
          <w:sz w:val="24"/>
          <w:szCs w:val="24"/>
        </w:rPr>
        <w:t>whil</w:t>
      </w:r>
      <w:r w:rsidR="002E4860">
        <w:rPr>
          <w:rFonts w:ascii="Times New Roman" w:eastAsia="Calibri" w:hAnsi="Times New Roman" w:cs="Times New Roman"/>
          <w:sz w:val="24"/>
          <w:szCs w:val="24"/>
        </w:rPr>
        <w:t>e</w:t>
      </w:r>
      <w:r w:rsidR="00AF7A28">
        <w:rPr>
          <w:rFonts w:ascii="Times New Roman" w:eastAsia="Calibri" w:hAnsi="Times New Roman" w:cs="Times New Roman"/>
          <w:sz w:val="24"/>
          <w:szCs w:val="24"/>
        </w:rPr>
        <w:t xml:space="preserve"> some </w:t>
      </w:r>
      <w:r w:rsidR="00F333CB">
        <w:rPr>
          <w:rFonts w:ascii="Times New Roman" w:eastAsia="Calibri" w:hAnsi="Times New Roman" w:cs="Times New Roman"/>
          <w:sz w:val="24"/>
          <w:szCs w:val="24"/>
        </w:rPr>
        <w:t>social purposes for</w:t>
      </w:r>
      <w:r w:rsidR="00F333CB" w:rsidRPr="006E4A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B43" w:rsidRPr="006E4A2C">
        <w:rPr>
          <w:rFonts w:ascii="Times New Roman" w:eastAsia="Calibri" w:hAnsi="Times New Roman" w:cs="Times New Roman"/>
          <w:sz w:val="24"/>
          <w:szCs w:val="24"/>
        </w:rPr>
        <w:t xml:space="preserve">CLTs </w:t>
      </w:r>
      <w:r w:rsidR="00BE2F16" w:rsidRPr="00BE2F16">
        <w:rPr>
          <w:rFonts w:ascii="Times New Roman" w:eastAsia="Calibri" w:hAnsi="Times New Roman" w:cs="Times New Roman"/>
          <w:sz w:val="24"/>
          <w:szCs w:val="24"/>
          <w:lang w:val="en-GB"/>
        </w:rPr>
        <w:t>may align with</w:t>
      </w:r>
      <w:r w:rsidR="004354E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normative</w:t>
      </w:r>
      <w:r w:rsidR="00BE2F16" w:rsidRPr="00BE2F1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notions of </w:t>
      </w:r>
      <w:r w:rsidR="005A1F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commoning </w:t>
      </w:r>
      <w:r w:rsidR="00F333CB">
        <w:rPr>
          <w:rFonts w:ascii="Times New Roman" w:eastAsia="Calibri" w:hAnsi="Times New Roman" w:cs="Times New Roman"/>
          <w:sz w:val="24"/>
          <w:szCs w:val="24"/>
        </w:rPr>
        <w:t>-</w:t>
      </w:r>
      <w:r w:rsidR="00AF7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A2C" w:rsidRPr="006E4A2C">
        <w:rPr>
          <w:rFonts w:ascii="Times New Roman" w:hAnsi="Times New Roman" w:cs="Times New Roman"/>
          <w:sz w:val="24"/>
          <w:szCs w:val="24"/>
        </w:rPr>
        <w:t>enrichment of community politics; conservation of community life; creation of participatory governance</w:t>
      </w:r>
      <w:r w:rsidR="004354E6">
        <w:rPr>
          <w:rFonts w:ascii="Times New Roman" w:hAnsi="Times New Roman" w:cs="Times New Roman"/>
          <w:sz w:val="24"/>
          <w:szCs w:val="24"/>
        </w:rPr>
        <w:t xml:space="preserve"> -</w:t>
      </w:r>
      <w:r w:rsidR="00AF7A28">
        <w:rPr>
          <w:rFonts w:ascii="Times New Roman" w:hAnsi="Times New Roman" w:cs="Times New Roman"/>
          <w:sz w:val="24"/>
          <w:szCs w:val="24"/>
        </w:rPr>
        <w:t>other CLTs focus on housing provision as a means of making a broader</w:t>
      </w:r>
      <w:r w:rsidR="006E4A2C" w:rsidRPr="006E4A2C">
        <w:rPr>
          <w:rFonts w:ascii="Times New Roman" w:hAnsi="Times New Roman" w:cs="Times New Roman"/>
          <w:sz w:val="24"/>
          <w:szCs w:val="24"/>
        </w:rPr>
        <w:t xml:space="preserve"> contribution to the social economy; </w:t>
      </w:r>
      <w:r w:rsidR="00AF7A28">
        <w:rPr>
          <w:rFonts w:ascii="Times New Roman" w:hAnsi="Times New Roman" w:cs="Times New Roman"/>
          <w:sz w:val="24"/>
          <w:szCs w:val="24"/>
        </w:rPr>
        <w:t>or as an</w:t>
      </w:r>
      <w:r w:rsidR="006E4A2C" w:rsidRPr="006E4A2C">
        <w:rPr>
          <w:rFonts w:ascii="Times New Roman" w:hAnsi="Times New Roman" w:cs="Times New Roman"/>
          <w:sz w:val="24"/>
          <w:szCs w:val="24"/>
        </w:rPr>
        <w:t xml:space="preserve"> asset-lock</w:t>
      </w:r>
      <w:r w:rsidR="00AF7A28">
        <w:rPr>
          <w:rFonts w:ascii="Times New Roman" w:hAnsi="Times New Roman" w:cs="Times New Roman"/>
          <w:sz w:val="24"/>
          <w:szCs w:val="24"/>
        </w:rPr>
        <w:t xml:space="preserve"> to enable wider provision</w:t>
      </w:r>
      <w:r w:rsidR="006E4A2C" w:rsidRPr="006E4A2C">
        <w:rPr>
          <w:rFonts w:ascii="Times New Roman" w:hAnsi="Times New Roman" w:cs="Times New Roman"/>
          <w:sz w:val="24"/>
          <w:szCs w:val="24"/>
        </w:rPr>
        <w:t xml:space="preserve"> for affordable housing</w:t>
      </w:r>
      <w:r w:rsidR="00AF7A28">
        <w:rPr>
          <w:rFonts w:ascii="Times New Roman" w:hAnsi="Times New Roman" w:cs="Times New Roman"/>
          <w:sz w:val="24"/>
          <w:szCs w:val="24"/>
        </w:rPr>
        <w:t xml:space="preserve">. </w:t>
      </w:r>
      <w:r w:rsidR="004354E6">
        <w:rPr>
          <w:rFonts w:ascii="Times New Roman" w:hAnsi="Times New Roman" w:cs="Times New Roman"/>
          <w:sz w:val="24"/>
          <w:szCs w:val="24"/>
        </w:rPr>
        <w:t>O</w:t>
      </w:r>
      <w:r w:rsidR="009B11C4">
        <w:rPr>
          <w:rFonts w:ascii="Times New Roman" w:hAnsi="Times New Roman" w:cs="Times New Roman"/>
          <w:sz w:val="24"/>
          <w:szCs w:val="24"/>
        </w:rPr>
        <w:t xml:space="preserve">ur </w:t>
      </w:r>
      <w:r w:rsidR="004354E6">
        <w:rPr>
          <w:rFonts w:ascii="Times New Roman" w:hAnsi="Times New Roman" w:cs="Times New Roman"/>
          <w:sz w:val="24"/>
          <w:szCs w:val="24"/>
        </w:rPr>
        <w:t xml:space="preserve">analysis </w:t>
      </w:r>
      <w:r w:rsidR="009B11C4">
        <w:rPr>
          <w:rFonts w:ascii="Times New Roman" w:hAnsi="Times New Roman" w:cs="Times New Roman"/>
          <w:sz w:val="24"/>
          <w:szCs w:val="24"/>
        </w:rPr>
        <w:t>challenged an assumed</w:t>
      </w:r>
      <w:r w:rsidR="00CE444F">
        <w:rPr>
          <w:rFonts w:ascii="Times New Roman" w:hAnsi="Times New Roman" w:cs="Times New Roman"/>
          <w:sz w:val="24"/>
          <w:szCs w:val="24"/>
        </w:rPr>
        <w:t xml:space="preserve"> and simple</w:t>
      </w:r>
      <w:r w:rsidR="009B11C4">
        <w:rPr>
          <w:rFonts w:ascii="Times New Roman" w:hAnsi="Times New Roman" w:cs="Times New Roman"/>
          <w:sz w:val="24"/>
          <w:szCs w:val="24"/>
        </w:rPr>
        <w:t xml:space="preserve"> </w:t>
      </w:r>
      <w:r w:rsidR="00CE444F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9B11C4">
        <w:rPr>
          <w:rFonts w:ascii="Times New Roman" w:hAnsi="Times New Roman" w:cs="Times New Roman"/>
          <w:sz w:val="24"/>
          <w:szCs w:val="24"/>
        </w:rPr>
        <w:t>between particular governance mechanisms and community control</w:t>
      </w:r>
      <w:r w:rsidR="00CE444F">
        <w:rPr>
          <w:rFonts w:ascii="Times New Roman" w:hAnsi="Times New Roman" w:cs="Times New Roman"/>
          <w:sz w:val="24"/>
          <w:szCs w:val="24"/>
        </w:rPr>
        <w:t>.</w:t>
      </w:r>
    </w:p>
    <w:p w14:paraId="09DD72FD" w14:textId="50C4C59D" w:rsidR="001010EB" w:rsidRDefault="0076553C" w:rsidP="009B11C4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A2C">
        <w:rPr>
          <w:rFonts w:ascii="Times New Roman" w:eastAsia="Calibri" w:hAnsi="Times New Roman" w:cs="Times New Roman"/>
          <w:sz w:val="24"/>
          <w:szCs w:val="24"/>
        </w:rPr>
        <w:t xml:space="preserve"> We make </w:t>
      </w:r>
      <w:r w:rsidR="00E5798D">
        <w:rPr>
          <w:rFonts w:ascii="Times New Roman" w:eastAsia="Calibri" w:hAnsi="Times New Roman" w:cs="Times New Roman"/>
          <w:sz w:val="24"/>
          <w:szCs w:val="24"/>
        </w:rPr>
        <w:t>three</w:t>
      </w:r>
      <w:r w:rsidR="00E5798D" w:rsidRPr="006E4A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4A2C">
        <w:rPr>
          <w:rFonts w:ascii="Times New Roman" w:eastAsia="Calibri" w:hAnsi="Times New Roman" w:cs="Times New Roman"/>
          <w:sz w:val="24"/>
          <w:szCs w:val="24"/>
        </w:rPr>
        <w:t>key contributions in this paper. First, we</w:t>
      </w:r>
      <w:r w:rsidR="00834F7B">
        <w:rPr>
          <w:rFonts w:ascii="Times New Roman" w:eastAsia="Calibri" w:hAnsi="Times New Roman" w:cs="Times New Roman"/>
          <w:sz w:val="24"/>
          <w:szCs w:val="24"/>
        </w:rPr>
        <w:t xml:space="preserve"> respond to noted weaknesses in the existing evidence base by</w:t>
      </w:r>
      <w:r w:rsidRPr="006E4A2C">
        <w:rPr>
          <w:rFonts w:ascii="Times New Roman" w:eastAsia="Calibri" w:hAnsi="Times New Roman" w:cs="Times New Roman"/>
          <w:sz w:val="24"/>
          <w:szCs w:val="24"/>
        </w:rPr>
        <w:t xml:space="preserve"> offer</w:t>
      </w:r>
      <w:r w:rsidR="00834F7B">
        <w:rPr>
          <w:rFonts w:ascii="Times New Roman" w:eastAsia="Calibri" w:hAnsi="Times New Roman" w:cs="Times New Roman"/>
          <w:sz w:val="24"/>
          <w:szCs w:val="24"/>
        </w:rPr>
        <w:t>ing</w:t>
      </w:r>
      <w:r w:rsidRPr="006E4A2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systematic</w:t>
      </w:r>
      <w:r w:rsidR="00834F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comparative analysis of the </w:t>
      </w:r>
      <w:r w:rsidR="008402FF">
        <w:rPr>
          <w:rFonts w:ascii="Times New Roman" w:eastAsia="Calibri" w:hAnsi="Times New Roman" w:cs="Times New Roman"/>
          <w:sz w:val="24"/>
          <w:szCs w:val="24"/>
        </w:rPr>
        <w:t xml:space="preserve">existing published case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evidence </w:t>
      </w:r>
      <w:r w:rsidR="004A7A56">
        <w:rPr>
          <w:rFonts w:ascii="Times New Roman" w:eastAsia="Calibri" w:hAnsi="Times New Roman" w:cs="Times New Roman"/>
          <w:sz w:val="24"/>
          <w:szCs w:val="24"/>
        </w:rPr>
        <w:t xml:space="preserve">about </w:t>
      </w:r>
      <w:r w:rsidR="00E5798D">
        <w:rPr>
          <w:rFonts w:ascii="Times New Roman" w:eastAsia="Calibri" w:hAnsi="Times New Roman" w:cs="Times New Roman"/>
          <w:sz w:val="24"/>
          <w:szCs w:val="24"/>
        </w:rPr>
        <w:t xml:space="preserve">community control </w:t>
      </w:r>
      <w:r w:rsidR="00EB2BDB">
        <w:rPr>
          <w:rFonts w:ascii="Times New Roman" w:eastAsia="Calibri" w:hAnsi="Times New Roman" w:cs="Times New Roman"/>
          <w:sz w:val="24"/>
          <w:szCs w:val="24"/>
        </w:rPr>
        <w:t>in the housing commons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5798D">
        <w:rPr>
          <w:rFonts w:ascii="Times New Roman" w:eastAsia="Calibri" w:hAnsi="Times New Roman" w:cs="Times New Roman"/>
          <w:sz w:val="24"/>
          <w:szCs w:val="24"/>
        </w:rPr>
        <w:t>Second, we provide a</w:t>
      </w:r>
      <w:r w:rsidR="00C011B5">
        <w:rPr>
          <w:rFonts w:ascii="Times New Roman" w:eastAsia="Calibri" w:hAnsi="Times New Roman" w:cs="Times New Roman"/>
          <w:sz w:val="24"/>
          <w:szCs w:val="24"/>
        </w:rPr>
        <w:t xml:space="preserve"> conceptual typology</w:t>
      </w:r>
      <w:r w:rsidR="00E26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98D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Pr="00967704">
        <w:rPr>
          <w:rFonts w:ascii="Times New Roman" w:eastAsia="Calibri" w:hAnsi="Times New Roman" w:cs="Times New Roman"/>
          <w:sz w:val="24"/>
          <w:szCs w:val="24"/>
        </w:rPr>
        <w:t>advance</w:t>
      </w:r>
      <w:r w:rsidR="004A7A56">
        <w:rPr>
          <w:rFonts w:ascii="Times New Roman" w:eastAsia="Calibri" w:hAnsi="Times New Roman" w:cs="Times New Roman"/>
          <w:sz w:val="24"/>
          <w:szCs w:val="24"/>
        </w:rPr>
        <w:t>s</w:t>
      </w:r>
      <w:r w:rsidRPr="00967704">
        <w:rPr>
          <w:rFonts w:ascii="Times New Roman" w:eastAsia="Calibri" w:hAnsi="Times New Roman" w:cs="Times New Roman"/>
          <w:sz w:val="24"/>
          <w:szCs w:val="24"/>
        </w:rPr>
        <w:t xml:space="preserve"> the i</w:t>
      </w:r>
      <w:r w:rsidR="00E26680">
        <w:rPr>
          <w:rFonts w:ascii="Times New Roman" w:eastAsia="Calibri" w:hAnsi="Times New Roman" w:cs="Times New Roman"/>
          <w:sz w:val="24"/>
          <w:szCs w:val="24"/>
        </w:rPr>
        <w:t xml:space="preserve">nformal and unstructured </w:t>
      </w:r>
      <w:r w:rsidR="00E5798D">
        <w:rPr>
          <w:rFonts w:ascii="Times New Roman" w:eastAsia="Calibri" w:hAnsi="Times New Roman" w:cs="Times New Roman"/>
          <w:sz w:val="24"/>
          <w:szCs w:val="24"/>
        </w:rPr>
        <w:t>theorisation of</w:t>
      </w:r>
      <w:r w:rsidRPr="009677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2BDB">
        <w:rPr>
          <w:rFonts w:ascii="Times New Roman" w:eastAsia="Calibri" w:hAnsi="Times New Roman" w:cs="Times New Roman"/>
          <w:sz w:val="24"/>
          <w:szCs w:val="24"/>
        </w:rPr>
        <w:t>the governance of the housing commons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67704">
        <w:rPr>
          <w:rFonts w:ascii="Times New Roman" w:eastAsia="Calibri" w:hAnsi="Times New Roman" w:cs="Times New Roman"/>
          <w:sz w:val="24"/>
          <w:szCs w:val="24"/>
        </w:rPr>
        <w:t xml:space="preserve"> through type</w:t>
      </w:r>
      <w:r w:rsidR="00E5798D">
        <w:rPr>
          <w:rFonts w:ascii="Times New Roman" w:eastAsia="Calibri" w:hAnsi="Times New Roman" w:cs="Times New Roman"/>
          <w:sz w:val="24"/>
          <w:szCs w:val="24"/>
        </w:rPr>
        <w:t>-</w:t>
      </w:r>
      <w:r w:rsidRPr="00967704">
        <w:rPr>
          <w:rFonts w:ascii="Times New Roman" w:eastAsia="Calibri" w:hAnsi="Times New Roman" w:cs="Times New Roman"/>
          <w:sz w:val="24"/>
          <w:szCs w:val="24"/>
        </w:rPr>
        <w:t>construction</w:t>
      </w:r>
      <w:r w:rsidR="008402FF">
        <w:rPr>
          <w:rFonts w:ascii="Times New Roman" w:eastAsia="Calibri" w:hAnsi="Times New Roman" w:cs="Times New Roman"/>
          <w:sz w:val="24"/>
          <w:szCs w:val="24"/>
        </w:rPr>
        <w:t xml:space="preserve"> grounded in secondary data analysis</w:t>
      </w:r>
      <w:r w:rsidRPr="009677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19EE">
        <w:rPr>
          <w:rFonts w:ascii="Times New Roman" w:eastAsia="Calibri" w:hAnsi="Times New Roman" w:cs="Times New Roman"/>
          <w:sz w:val="24"/>
          <w:szCs w:val="24"/>
        </w:rPr>
        <w:t>O</w:t>
      </w:r>
      <w:r w:rsidR="00E26680">
        <w:rPr>
          <w:rFonts w:ascii="Times New Roman" w:eastAsia="Calibri" w:hAnsi="Times New Roman" w:cs="Times New Roman"/>
          <w:sz w:val="24"/>
          <w:szCs w:val="24"/>
        </w:rPr>
        <w:t>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analysis </w:t>
      </w:r>
      <w:r w:rsidR="00593887">
        <w:rPr>
          <w:rFonts w:ascii="Times New Roman" w:eastAsia="Calibri" w:hAnsi="Times New Roman" w:cs="Times New Roman"/>
          <w:sz w:val="24"/>
          <w:szCs w:val="24"/>
        </w:rPr>
        <w:t>refines</w:t>
      </w:r>
      <w:r w:rsidRPr="000712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319">
        <w:rPr>
          <w:rFonts w:ascii="Times New Roman" w:eastAsia="Calibri" w:hAnsi="Times New Roman" w:cs="Times New Roman"/>
          <w:sz w:val="24"/>
          <w:szCs w:val="24"/>
        </w:rPr>
        <w:t xml:space="preserve">equifinality in </w:t>
      </w:r>
      <w:r w:rsidRPr="000712DD">
        <w:rPr>
          <w:rFonts w:ascii="Times New Roman" w:eastAsia="Calibri" w:hAnsi="Times New Roman" w:cs="Times New Roman"/>
          <w:sz w:val="24"/>
          <w:szCs w:val="24"/>
        </w:rPr>
        <w:t>understanding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712DD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A719EE">
        <w:rPr>
          <w:rFonts w:ascii="Times New Roman" w:eastAsia="Calibri" w:hAnsi="Times New Roman" w:cs="Times New Roman"/>
          <w:sz w:val="24"/>
          <w:szCs w:val="24"/>
        </w:rPr>
        <w:t>elements</w:t>
      </w:r>
      <w:r w:rsidR="00EB2BDB">
        <w:rPr>
          <w:rFonts w:ascii="Times New Roman" w:eastAsia="Calibri" w:hAnsi="Times New Roman" w:cs="Times New Roman"/>
          <w:sz w:val="24"/>
          <w:szCs w:val="24"/>
        </w:rPr>
        <w:t xml:space="preserve"> of self-governance </w:t>
      </w:r>
      <w:r w:rsidR="007A369B">
        <w:rPr>
          <w:rFonts w:ascii="Times New Roman" w:eastAsia="Calibri" w:hAnsi="Times New Roman" w:cs="Times New Roman"/>
          <w:sz w:val="24"/>
          <w:szCs w:val="24"/>
        </w:rPr>
        <w:t>in the housing commons</w:t>
      </w:r>
      <w:r w:rsidR="00EB2BDB">
        <w:rPr>
          <w:rFonts w:ascii="Times New Roman" w:eastAsia="Calibri" w:hAnsi="Times New Roman" w:cs="Times New Roman"/>
          <w:sz w:val="24"/>
          <w:szCs w:val="24"/>
        </w:rPr>
        <w:t>,</w:t>
      </w:r>
      <w:r w:rsidR="007A3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19EE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577319">
        <w:rPr>
          <w:rFonts w:ascii="Times New Roman" w:eastAsia="Calibri" w:hAnsi="Times New Roman" w:cs="Times New Roman"/>
          <w:sz w:val="24"/>
          <w:szCs w:val="24"/>
        </w:rPr>
        <w:t>explore</w:t>
      </w:r>
      <w:r w:rsidR="009B11C4">
        <w:rPr>
          <w:rFonts w:ascii="Times New Roman" w:eastAsia="Calibri" w:hAnsi="Times New Roman" w:cs="Times New Roman"/>
          <w:sz w:val="24"/>
          <w:szCs w:val="24"/>
        </w:rPr>
        <w:t>s</w:t>
      </w:r>
      <w:r w:rsidR="005773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19EE">
        <w:rPr>
          <w:rFonts w:ascii="Times New Roman" w:eastAsia="Calibri" w:hAnsi="Times New Roman" w:cs="Times New Roman"/>
          <w:sz w:val="24"/>
          <w:szCs w:val="24"/>
        </w:rPr>
        <w:t>the multiple possible combinati</w:t>
      </w:r>
      <w:r w:rsidR="00577319">
        <w:rPr>
          <w:rFonts w:ascii="Times New Roman" w:eastAsia="Calibri" w:hAnsi="Times New Roman" w:cs="Times New Roman"/>
          <w:sz w:val="24"/>
          <w:szCs w:val="24"/>
        </w:rPr>
        <w:t>ons of those elements.</w:t>
      </w:r>
      <w:r w:rsidR="00A719EE">
        <w:rPr>
          <w:rFonts w:ascii="Times New Roman" w:eastAsia="Calibri" w:hAnsi="Times New Roman" w:cs="Times New Roman"/>
          <w:sz w:val="24"/>
          <w:szCs w:val="24"/>
        </w:rPr>
        <w:t xml:space="preserve"> Third, we</w:t>
      </w:r>
      <w:r w:rsidR="00E5798D">
        <w:rPr>
          <w:rFonts w:ascii="Times New Roman" w:eastAsia="Calibri" w:hAnsi="Times New Roman" w:cs="Times New Roman"/>
          <w:sz w:val="24"/>
          <w:szCs w:val="24"/>
        </w:rPr>
        <w:t xml:space="preserve"> reinforce the idea that </w:t>
      </w:r>
      <w:r w:rsidR="005A1FB9">
        <w:rPr>
          <w:rFonts w:ascii="Times New Roman" w:eastAsia="Calibri" w:hAnsi="Times New Roman" w:cs="Times New Roman"/>
          <w:sz w:val="24"/>
          <w:szCs w:val="24"/>
        </w:rPr>
        <w:t xml:space="preserve">common property regimes </w:t>
      </w:r>
      <w:r w:rsidR="00E5798D">
        <w:rPr>
          <w:rFonts w:ascii="Times New Roman" w:eastAsia="Calibri" w:hAnsi="Times New Roman" w:cs="Times New Roman"/>
          <w:sz w:val="24"/>
          <w:szCs w:val="24"/>
        </w:rPr>
        <w:t xml:space="preserve">can be </w:t>
      </w:r>
      <w:r w:rsidR="005A1FB9">
        <w:rPr>
          <w:rFonts w:ascii="Times New Roman" w:eastAsia="Calibri" w:hAnsi="Times New Roman" w:cs="Times New Roman"/>
          <w:sz w:val="24"/>
          <w:szCs w:val="24"/>
        </w:rPr>
        <w:t xml:space="preserve">applied </w:t>
      </w:r>
      <w:r w:rsidR="00593887">
        <w:rPr>
          <w:rFonts w:ascii="Times New Roman" w:eastAsia="Calibri" w:hAnsi="Times New Roman" w:cs="Times New Roman"/>
          <w:sz w:val="24"/>
          <w:szCs w:val="24"/>
        </w:rPr>
        <w:t>beyond</w:t>
      </w:r>
      <w:r w:rsidR="00E5798D">
        <w:rPr>
          <w:rFonts w:ascii="Times New Roman" w:eastAsia="Calibri" w:hAnsi="Times New Roman" w:cs="Times New Roman"/>
          <w:sz w:val="24"/>
          <w:szCs w:val="24"/>
        </w:rPr>
        <w:t xml:space="preserve"> common pool resources</w:t>
      </w:r>
      <w:r w:rsidR="00834F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D95">
        <w:rPr>
          <w:rFonts w:ascii="Times New Roman" w:eastAsia="Calibri" w:hAnsi="Times New Roman" w:cs="Times New Roman"/>
          <w:sz w:val="24"/>
          <w:szCs w:val="24"/>
        </w:rPr>
        <w:t>to</w:t>
      </w:r>
      <w:r w:rsidR="00E5798D">
        <w:rPr>
          <w:rFonts w:ascii="Times New Roman" w:eastAsia="Calibri" w:hAnsi="Times New Roman" w:cs="Times New Roman"/>
          <w:sz w:val="24"/>
          <w:szCs w:val="24"/>
        </w:rPr>
        <w:t xml:space="preserve"> private goods like</w:t>
      </w:r>
      <w:r w:rsidRPr="000712DD">
        <w:rPr>
          <w:rFonts w:ascii="Times New Roman" w:eastAsia="Calibri" w:hAnsi="Times New Roman" w:cs="Times New Roman"/>
          <w:sz w:val="24"/>
          <w:szCs w:val="24"/>
        </w:rPr>
        <w:t xml:space="preserve"> housing. </w:t>
      </w:r>
    </w:p>
    <w:p w14:paraId="58BA4ABA" w14:textId="4690E74C" w:rsidR="00225863" w:rsidRDefault="0076553C" w:rsidP="00800324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We first </w:t>
      </w:r>
      <w:r w:rsidR="008D2514">
        <w:rPr>
          <w:rFonts w:ascii="Times New Roman" w:eastAsia="Calibri" w:hAnsi="Times New Roman" w:cs="Times New Roman"/>
          <w:sz w:val="24"/>
          <w:szCs w:val="24"/>
        </w:rPr>
        <w:t>review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contemporary debates on the commons, CLTs and their </w:t>
      </w:r>
      <w:r w:rsidR="00830A4D">
        <w:rPr>
          <w:rFonts w:ascii="Times New Roman" w:eastAsia="Calibri" w:hAnsi="Times New Roman" w:cs="Times New Roman"/>
          <w:sz w:val="24"/>
          <w:szCs w:val="24"/>
        </w:rPr>
        <w:t>governance</w:t>
      </w:r>
      <w:r w:rsidRPr="0082384C">
        <w:rPr>
          <w:rFonts w:ascii="Times New Roman" w:eastAsia="Calibri" w:hAnsi="Times New Roman" w:cs="Times New Roman"/>
          <w:sz w:val="24"/>
          <w:szCs w:val="24"/>
        </w:rPr>
        <w:t>. We</w:t>
      </w:r>
      <w:r w:rsidR="008D2514">
        <w:rPr>
          <w:rFonts w:ascii="Times New Roman" w:eastAsia="Calibri" w:hAnsi="Times New Roman" w:cs="Times New Roman"/>
          <w:sz w:val="24"/>
          <w:szCs w:val="24"/>
        </w:rPr>
        <w:t xml:space="preserve"> then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identify</w:t>
      </w:r>
      <w:r w:rsidR="00FE6F08">
        <w:rPr>
          <w:rFonts w:ascii="Times New Roman" w:eastAsia="Calibri" w:hAnsi="Times New Roman" w:cs="Times New Roman"/>
          <w:sz w:val="24"/>
          <w:szCs w:val="24"/>
        </w:rPr>
        <w:t xml:space="preserve"> from the existing literature potential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conditions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BF2031" w:rsidRPr="0082384C">
        <w:rPr>
          <w:rFonts w:ascii="Times New Roman" w:eastAsia="Calibri" w:hAnsi="Times New Roman" w:cs="Times New Roman"/>
          <w:sz w:val="24"/>
          <w:szCs w:val="24"/>
        </w:rPr>
        <w:t>configurative comparative</w:t>
      </w:r>
      <w:r w:rsidR="00BF2031">
        <w:rPr>
          <w:rFonts w:ascii="Times New Roman" w:eastAsia="Calibri" w:hAnsi="Times New Roman" w:cs="Times New Roman"/>
          <w:sz w:val="24"/>
          <w:szCs w:val="24"/>
        </w:rPr>
        <w:t xml:space="preserve"> analysis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Based on our analysis of 29 </w:t>
      </w:r>
      <w:r w:rsidR="009B11C4">
        <w:rPr>
          <w:rFonts w:ascii="Times New Roman" w:eastAsia="Calibri" w:hAnsi="Times New Roman" w:cs="Times New Roman"/>
          <w:sz w:val="24"/>
          <w:szCs w:val="24"/>
        </w:rPr>
        <w:t xml:space="preserve">published </w:t>
      </w:r>
      <w:r>
        <w:rPr>
          <w:rFonts w:ascii="Times New Roman" w:eastAsia="Calibri" w:hAnsi="Times New Roman" w:cs="Times New Roman"/>
          <w:sz w:val="24"/>
          <w:szCs w:val="24"/>
        </w:rPr>
        <w:t>cases in the UK and US, w</w:t>
      </w:r>
      <w:r w:rsidRPr="0082384C">
        <w:rPr>
          <w:rFonts w:ascii="Times New Roman" w:eastAsia="Calibri" w:hAnsi="Times New Roman" w:cs="Times New Roman"/>
          <w:sz w:val="24"/>
          <w:szCs w:val="24"/>
        </w:rPr>
        <w:t>e propose</w:t>
      </w:r>
      <w:r w:rsidR="00E26680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conceptual typology of </w:t>
      </w:r>
      <w:r w:rsidRPr="0082384C">
        <w:rPr>
          <w:rFonts w:ascii="Times New Roman" w:eastAsia="Calibri" w:hAnsi="Times New Roman" w:cs="Times New Roman"/>
          <w:sz w:val="24"/>
          <w:szCs w:val="24"/>
        </w:rPr>
        <w:t>CLTs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26D95">
        <w:rPr>
          <w:rFonts w:ascii="Times New Roman" w:eastAsia="Calibri" w:hAnsi="Times New Roman" w:cs="Times New Roman"/>
          <w:sz w:val="24"/>
          <w:szCs w:val="24"/>
        </w:rPr>
        <w:t>We</w:t>
      </w:r>
      <w:r w:rsidRPr="00A13AD6">
        <w:rPr>
          <w:rFonts w:ascii="Times New Roman" w:eastAsia="Calibri" w:hAnsi="Times New Roman" w:cs="Times New Roman"/>
          <w:sz w:val="24"/>
          <w:szCs w:val="24"/>
        </w:rPr>
        <w:t xml:space="preserve"> co</w:t>
      </w:r>
      <w:r w:rsidR="00E26680" w:rsidRPr="00A13AD6">
        <w:rPr>
          <w:rFonts w:ascii="Times New Roman" w:eastAsia="Calibri" w:hAnsi="Times New Roman" w:cs="Times New Roman"/>
          <w:sz w:val="24"/>
          <w:szCs w:val="24"/>
        </w:rPr>
        <w:t>nclud</w:t>
      </w:r>
      <w:r w:rsidR="00D26D95">
        <w:rPr>
          <w:rFonts w:ascii="Times New Roman" w:eastAsia="Calibri" w:hAnsi="Times New Roman" w:cs="Times New Roman"/>
          <w:sz w:val="24"/>
          <w:szCs w:val="24"/>
        </w:rPr>
        <w:t>e</w:t>
      </w:r>
      <w:r w:rsidR="00E26680" w:rsidRPr="00A13AD6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 w:rsidR="007A369B" w:rsidRPr="00A13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11B5">
        <w:rPr>
          <w:rFonts w:ascii="Times New Roman" w:eastAsia="Calibri" w:hAnsi="Times New Roman" w:cs="Times New Roman"/>
          <w:sz w:val="24"/>
          <w:szCs w:val="24"/>
        </w:rPr>
        <w:t xml:space="preserve">more </w:t>
      </w:r>
      <w:r w:rsidR="00547671">
        <w:rPr>
          <w:rFonts w:ascii="Times New Roman" w:eastAsia="Calibri" w:hAnsi="Times New Roman" w:cs="Times New Roman"/>
          <w:sz w:val="24"/>
          <w:szCs w:val="24"/>
        </w:rPr>
        <w:t>attention</w:t>
      </w:r>
      <w:r w:rsidR="00547671" w:rsidRPr="00C011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11B5">
        <w:rPr>
          <w:rFonts w:ascii="Times New Roman" w:eastAsia="Calibri" w:hAnsi="Times New Roman" w:cs="Times New Roman"/>
          <w:sz w:val="24"/>
          <w:szCs w:val="24"/>
        </w:rPr>
        <w:t>is warranted into</w:t>
      </w:r>
      <w:r w:rsidR="007A369B" w:rsidRPr="00C011B5">
        <w:rPr>
          <w:rFonts w:ascii="Times New Roman" w:eastAsia="Calibri" w:hAnsi="Times New Roman" w:cs="Times New Roman"/>
          <w:sz w:val="24"/>
          <w:szCs w:val="24"/>
        </w:rPr>
        <w:t xml:space="preserve"> how communities can navigate the governance challenges </w:t>
      </w:r>
      <w:r w:rsidR="008D2514">
        <w:rPr>
          <w:rFonts w:ascii="Times New Roman" w:eastAsia="Calibri" w:hAnsi="Times New Roman" w:cs="Times New Roman"/>
          <w:sz w:val="24"/>
          <w:szCs w:val="24"/>
        </w:rPr>
        <w:t>of</w:t>
      </w:r>
      <w:r w:rsidR="007A369B" w:rsidRPr="00C011B5">
        <w:rPr>
          <w:rFonts w:ascii="Times New Roman" w:eastAsia="Calibri" w:hAnsi="Times New Roman" w:cs="Times New Roman"/>
          <w:sz w:val="24"/>
          <w:szCs w:val="24"/>
        </w:rPr>
        <w:t xml:space="preserve"> seeking community control of resources. </w:t>
      </w:r>
    </w:p>
    <w:p w14:paraId="3C9058A0" w14:textId="77777777" w:rsidR="00522DC7" w:rsidRDefault="00522DC7" w:rsidP="00800324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F164E8" w14:textId="77777777" w:rsidR="0076553C" w:rsidRPr="0082384C" w:rsidRDefault="0076553C" w:rsidP="00800324">
      <w:pPr>
        <w:pStyle w:val="Body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EXPANDING THE COMMONS</w:t>
      </w:r>
    </w:p>
    <w:p w14:paraId="5132FA60" w14:textId="77777777" w:rsidR="00B224AE" w:rsidRDefault="00B224AE" w:rsidP="00800324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93781A" w14:textId="0793EE8B" w:rsidR="007623C2" w:rsidRDefault="007623C2" w:rsidP="00800324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3C2">
        <w:rPr>
          <w:rFonts w:ascii="Times New Roman" w:eastAsia="Calibri" w:hAnsi="Times New Roman" w:cs="Times New Roman"/>
          <w:sz w:val="24"/>
          <w:szCs w:val="24"/>
        </w:rPr>
        <w:t xml:space="preserve">Initial theorising of the commons focused on common pool resources – such as forests or water - that are difficult or impossible to stop access to (they are non-excludable), but suffer from collective overuse (they are subtractable). Hardin (1968) focused on </w:t>
      </w:r>
      <w:r w:rsidR="004E472F">
        <w:rPr>
          <w:rFonts w:ascii="Times New Roman" w:eastAsia="Calibri" w:hAnsi="Times New Roman" w:cs="Times New Roman"/>
          <w:sz w:val="24"/>
          <w:szCs w:val="24"/>
        </w:rPr>
        <w:t>pasture</w:t>
      </w:r>
      <w:r w:rsidR="004E472F" w:rsidRPr="007623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23C2">
        <w:rPr>
          <w:rFonts w:ascii="Times New Roman" w:eastAsia="Calibri" w:hAnsi="Times New Roman" w:cs="Times New Roman"/>
          <w:sz w:val="24"/>
          <w:szCs w:val="24"/>
        </w:rPr>
        <w:t>overgrazing to demonstrate the ‘tragedy’ of the commons, where rivalry, free-riding and exploitation undermined the sustainability of common pool resources.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23C2">
        <w:rPr>
          <w:rFonts w:ascii="Times New Roman" w:eastAsia="Calibri" w:hAnsi="Times New Roman" w:cs="Times New Roman"/>
          <w:sz w:val="24"/>
          <w:szCs w:val="24"/>
        </w:rPr>
        <w:t xml:space="preserve">These dilemmas of collective action </w:t>
      </w:r>
      <w:r w:rsidR="004E472F">
        <w:rPr>
          <w:rFonts w:ascii="Times New Roman" w:eastAsia="Calibri" w:hAnsi="Times New Roman" w:cs="Times New Roman"/>
          <w:sz w:val="24"/>
          <w:szCs w:val="24"/>
        </w:rPr>
        <w:t>foregrounded</w:t>
      </w:r>
      <w:r w:rsidRPr="007623C2">
        <w:rPr>
          <w:rFonts w:ascii="Times New Roman" w:eastAsia="Calibri" w:hAnsi="Times New Roman" w:cs="Times New Roman"/>
          <w:sz w:val="24"/>
          <w:szCs w:val="24"/>
        </w:rPr>
        <w:t xml:space="preserve"> Ostrom’s response, where she addressed the arrangements that allow for self-governance – or community control - of the commons (1990). </w:t>
      </w:r>
    </w:p>
    <w:p w14:paraId="3E0EE0E2" w14:textId="77777777" w:rsidR="001010EB" w:rsidRDefault="001010EB" w:rsidP="00800324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9DA767" w14:textId="61F1E575" w:rsidR="0076553C" w:rsidRDefault="0076553C" w:rsidP="00800324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>Ostrom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’s </w:t>
      </w:r>
      <w:r w:rsidRPr="0082384C">
        <w:rPr>
          <w:rFonts w:ascii="Times New Roman" w:eastAsia="Calibri" w:hAnsi="Times New Roman" w:cs="Times New Roman"/>
          <w:sz w:val="24"/>
          <w:szCs w:val="24"/>
        </w:rPr>
        <w:t>theory of collective action</w:t>
      </w:r>
      <w:r>
        <w:rPr>
          <w:rFonts w:ascii="Times New Roman" w:eastAsia="Calibri" w:hAnsi="Times New Roman" w:cs="Times New Roman"/>
          <w:sz w:val="24"/>
          <w:szCs w:val="24"/>
        </w:rPr>
        <w:t>, where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  <w:rtl/>
        </w:rPr>
        <w:t>‘</w:t>
      </w:r>
      <w:r w:rsidRPr="0082384C">
        <w:rPr>
          <w:rFonts w:ascii="Times New Roman" w:eastAsia="Calibri" w:hAnsi="Times New Roman" w:cs="Times New Roman"/>
          <w:sz w:val="24"/>
          <w:szCs w:val="24"/>
        </w:rPr>
        <w:t>a group of principals can organise themselves voluntarily to retain the residual of their own efforts’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(1990, pp. 25),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focused on structuring </w:t>
      </w:r>
      <w:r w:rsidRPr="0082384C">
        <w:rPr>
          <w:rFonts w:ascii="Times New Roman" w:eastAsia="Calibri" w:hAnsi="Times New Roman" w:cs="Times New Roman"/>
          <w:sz w:val="24"/>
          <w:szCs w:val="24"/>
          <w:rtl/>
        </w:rPr>
        <w:t>‘</w:t>
      </w:r>
      <w:r w:rsidRPr="0082384C">
        <w:rPr>
          <w:rFonts w:ascii="Times New Roman" w:eastAsia="Calibri" w:hAnsi="Times New Roman" w:cs="Times New Roman"/>
          <w:sz w:val="24"/>
          <w:szCs w:val="24"/>
        </w:rPr>
        <w:t>the social interactions of those using the commons in order to condition their ability to discuss, decide upon and monitor self-imposed constraints’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 (Bo</w:t>
      </w:r>
      <w:r w:rsidR="00406811">
        <w:rPr>
          <w:rFonts w:ascii="Times New Roman" w:eastAsia="Calibri" w:hAnsi="Times New Roman" w:cs="Times New Roman"/>
          <w:sz w:val="24"/>
          <w:szCs w:val="24"/>
        </w:rPr>
        <w:t>rch &amp;</w:t>
      </w:r>
      <w:r w:rsidR="005504A7">
        <w:rPr>
          <w:rFonts w:ascii="Times New Roman" w:eastAsia="Calibri" w:hAnsi="Times New Roman" w:cs="Times New Roman"/>
          <w:sz w:val="24"/>
          <w:szCs w:val="24"/>
        </w:rPr>
        <w:t xml:space="preserve"> Kornberger, 2015</w:t>
      </w:r>
      <w:r>
        <w:rPr>
          <w:rFonts w:ascii="Times New Roman" w:eastAsia="Calibri" w:hAnsi="Times New Roman" w:cs="Times New Roman"/>
          <w:sz w:val="24"/>
          <w:szCs w:val="24"/>
        </w:rPr>
        <w:t>, pp. 4)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E472F">
        <w:rPr>
          <w:rFonts w:ascii="Times New Roman" w:eastAsia="Calibri" w:hAnsi="Times New Roman" w:cs="Times New Roman"/>
          <w:sz w:val="24"/>
          <w:szCs w:val="24"/>
        </w:rPr>
        <w:t>T</w:t>
      </w:r>
      <w:r w:rsidRPr="0082384C">
        <w:rPr>
          <w:rFonts w:ascii="Times New Roman" w:eastAsia="Calibri" w:hAnsi="Times New Roman" w:cs="Times New Roman"/>
          <w:sz w:val="24"/>
          <w:szCs w:val="24"/>
        </w:rPr>
        <w:t>he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principles and relations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represent institutional forms of </w:t>
      </w:r>
      <w:r>
        <w:rPr>
          <w:rFonts w:ascii="Times New Roman" w:eastAsia="Calibri" w:hAnsi="Times New Roman" w:cs="Times New Roman"/>
          <w:sz w:val="24"/>
          <w:szCs w:val="24"/>
        </w:rPr>
        <w:t>community control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which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Ostrom </w:t>
      </w:r>
      <w:r>
        <w:rPr>
          <w:rFonts w:ascii="Times New Roman" w:eastAsia="Calibri" w:hAnsi="Times New Roman" w:cs="Times New Roman"/>
          <w:sz w:val="24"/>
          <w:szCs w:val="24"/>
        </w:rPr>
        <w:t>called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‘</w:t>
      </w:r>
      <w:r w:rsidRPr="0082384C">
        <w:rPr>
          <w:rFonts w:ascii="Times New Roman" w:hAnsi="Times New Roman" w:cs="Times New Roman"/>
          <w:sz w:val="24"/>
          <w:szCs w:val="24"/>
        </w:rPr>
        <w:t>self-</w:t>
      </w:r>
      <w:r w:rsidR="00145F20">
        <w:rPr>
          <w:rFonts w:ascii="Times New Roman" w:hAnsi="Times New Roman" w:cs="Times New Roman"/>
          <w:sz w:val="24"/>
          <w:szCs w:val="24"/>
        </w:rPr>
        <w:t>organis</w:t>
      </w:r>
      <w:r w:rsidRPr="0082384C">
        <w:rPr>
          <w:rFonts w:ascii="Times New Roman" w:hAnsi="Times New Roman" w:cs="Times New Roman"/>
          <w:sz w:val="24"/>
          <w:szCs w:val="24"/>
        </w:rPr>
        <w:t>ed resource governance systems’</w:t>
      </w:r>
      <w:r>
        <w:rPr>
          <w:rFonts w:ascii="Times New Roman" w:hAnsi="Times New Roman" w:cs="Times New Roman"/>
          <w:sz w:val="24"/>
          <w:szCs w:val="24"/>
        </w:rPr>
        <w:t xml:space="preserve"> (1990, pp. 222)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These systems attempt to sustain the shared resource by managing and regulating who controls the benefits of the asset and how. </w:t>
      </w:r>
    </w:p>
    <w:p w14:paraId="17FCA87A" w14:textId="77777777" w:rsidR="001010EB" w:rsidRDefault="001010EB" w:rsidP="00800324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90AA93" w14:textId="6DF3D127" w:rsidR="007623C2" w:rsidRDefault="00DB056F" w:rsidP="00800324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Commentators </w:t>
      </w:r>
      <w:r w:rsidR="004E472F">
        <w:rPr>
          <w:rFonts w:ascii="Times New Roman" w:eastAsia="Calibri" w:hAnsi="Times New Roman" w:cs="Times New Roman"/>
          <w:sz w:val="24"/>
          <w:szCs w:val="24"/>
        </w:rPr>
        <w:t>often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emphasise that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9CE">
        <w:rPr>
          <w:rFonts w:ascii="Times New Roman" w:eastAsia="Calibri" w:hAnsi="Times New Roman" w:cs="Times New Roman"/>
          <w:sz w:val="24"/>
          <w:szCs w:val="24"/>
        </w:rPr>
        <w:t xml:space="preserve">commoning 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>do</w:t>
      </w:r>
      <w:r w:rsidR="00F949CE">
        <w:rPr>
          <w:rFonts w:ascii="Times New Roman" w:eastAsia="Calibri" w:hAnsi="Times New Roman" w:cs="Times New Roman"/>
          <w:sz w:val="24"/>
          <w:szCs w:val="24"/>
        </w:rPr>
        <w:t>es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 not simply occur but instead ‘need</w:t>
      </w:r>
      <w:r w:rsidR="00F949CE">
        <w:rPr>
          <w:rFonts w:ascii="Times New Roman" w:eastAsia="Calibri" w:hAnsi="Times New Roman" w:cs="Times New Roman"/>
          <w:sz w:val="24"/>
          <w:szCs w:val="24"/>
        </w:rPr>
        <w:t>[s]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 communities… willing to create, maintain</w:t>
      </w:r>
      <w:r w:rsidR="00406811">
        <w:rPr>
          <w:rFonts w:ascii="Times New Roman" w:eastAsia="Calibri" w:hAnsi="Times New Roman" w:cs="Times New Roman"/>
          <w:sz w:val="24"/>
          <w:szCs w:val="24"/>
        </w:rPr>
        <w:t>, and protect</w:t>
      </w:r>
      <w:r w:rsidR="00F949CE">
        <w:rPr>
          <w:rFonts w:ascii="Times New Roman" w:eastAsia="Calibri" w:hAnsi="Times New Roman" w:cs="Times New Roman"/>
          <w:sz w:val="24"/>
          <w:szCs w:val="24"/>
        </w:rPr>
        <w:t>’ such arrangements</w:t>
      </w:r>
      <w:r w:rsidR="00406811">
        <w:rPr>
          <w:rFonts w:ascii="Times New Roman" w:eastAsia="Calibri" w:hAnsi="Times New Roman" w:cs="Times New Roman"/>
          <w:sz w:val="24"/>
          <w:szCs w:val="24"/>
        </w:rPr>
        <w:t>’ (Gidwani &amp;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 Baviskar, 2011, pp. 42-43).</w:t>
      </w:r>
      <w:r w:rsidR="00826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Ostrom’s principles powerfully demonstrate that </w:t>
      </w:r>
      <w:r w:rsidR="00F949CE">
        <w:rPr>
          <w:rFonts w:ascii="Times New Roman" w:eastAsia="Calibri" w:hAnsi="Times New Roman" w:cs="Times New Roman"/>
          <w:sz w:val="24"/>
          <w:szCs w:val="24"/>
        </w:rPr>
        <w:t>commoning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 involve</w:t>
      </w:r>
      <w:r w:rsidR="00F949CE">
        <w:rPr>
          <w:rFonts w:ascii="Times New Roman" w:eastAsia="Calibri" w:hAnsi="Times New Roman" w:cs="Times New Roman"/>
          <w:sz w:val="24"/>
          <w:szCs w:val="24"/>
        </w:rPr>
        <w:t>s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 being ‘in common’ (Linebaugh, 2008), and having social relations</w:t>
      </w:r>
      <w:r w:rsidR="0038400A">
        <w:rPr>
          <w:rFonts w:ascii="Times New Roman" w:eastAsia="Calibri" w:hAnsi="Times New Roman" w:cs="Times New Roman"/>
          <w:sz w:val="24"/>
          <w:szCs w:val="24"/>
        </w:rPr>
        <w:t xml:space="preserve">hips where 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a group of people share responsibility. </w:t>
      </w:r>
      <w:r w:rsidR="00006D4C">
        <w:rPr>
          <w:rFonts w:ascii="Times New Roman" w:eastAsia="Calibri" w:hAnsi="Times New Roman" w:cs="Times New Roman"/>
          <w:sz w:val="24"/>
          <w:szCs w:val="24"/>
        </w:rPr>
        <w:t xml:space="preserve">However, </w:t>
      </w:r>
      <w:r w:rsidR="00577319">
        <w:rPr>
          <w:rFonts w:ascii="Times New Roman" w:eastAsia="Calibri" w:hAnsi="Times New Roman" w:cs="Times New Roman"/>
          <w:sz w:val="24"/>
          <w:szCs w:val="24"/>
        </w:rPr>
        <w:t xml:space="preserve">existing literature is limited in its engagement with </w:t>
      </w:r>
      <w:r w:rsidR="00006D4C">
        <w:rPr>
          <w:rFonts w:ascii="Times New Roman" w:eastAsia="Calibri" w:hAnsi="Times New Roman" w:cs="Times New Roman"/>
          <w:sz w:val="24"/>
          <w:szCs w:val="24"/>
        </w:rPr>
        <w:t>the</w:t>
      </w:r>
      <w:r w:rsidR="00577319">
        <w:rPr>
          <w:rFonts w:ascii="Times New Roman" w:eastAsia="Calibri" w:hAnsi="Times New Roman" w:cs="Times New Roman"/>
          <w:sz w:val="24"/>
          <w:szCs w:val="24"/>
        </w:rPr>
        <w:t xml:space="preserve"> internal dynamics</w:t>
      </w:r>
      <w:r w:rsidR="00006D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319">
        <w:rPr>
          <w:rFonts w:ascii="Times New Roman" w:eastAsia="Calibri" w:hAnsi="Times New Roman" w:cs="Times New Roman"/>
          <w:sz w:val="24"/>
          <w:szCs w:val="24"/>
        </w:rPr>
        <w:t xml:space="preserve">of these </w:t>
      </w:r>
      <w:r w:rsidR="00006D4C">
        <w:rPr>
          <w:rFonts w:ascii="Times New Roman" w:eastAsia="Calibri" w:hAnsi="Times New Roman" w:cs="Times New Roman"/>
          <w:sz w:val="24"/>
          <w:szCs w:val="24"/>
        </w:rPr>
        <w:t>self-governing</w:t>
      </w:r>
      <w:r w:rsidR="007623C2" w:rsidRPr="007623C2">
        <w:rPr>
          <w:rFonts w:ascii="Times New Roman" w:eastAsia="Calibri" w:hAnsi="Times New Roman" w:cs="Times New Roman"/>
          <w:sz w:val="24"/>
          <w:szCs w:val="24"/>
        </w:rPr>
        <w:t xml:space="preserve"> arrangeme</w:t>
      </w:r>
      <w:r w:rsidR="00B224AE">
        <w:rPr>
          <w:rFonts w:ascii="Times New Roman" w:eastAsia="Calibri" w:hAnsi="Times New Roman" w:cs="Times New Roman"/>
          <w:sz w:val="24"/>
          <w:szCs w:val="24"/>
        </w:rPr>
        <w:t>nts</w:t>
      </w:r>
      <w:r w:rsidR="007623C2" w:rsidRPr="007623C2">
        <w:rPr>
          <w:rFonts w:ascii="Times New Roman" w:eastAsia="Calibri" w:hAnsi="Times New Roman" w:cs="Times New Roman"/>
          <w:sz w:val="24"/>
          <w:szCs w:val="24"/>
        </w:rPr>
        <w:t xml:space="preserve">, particularly </w:t>
      </w:r>
      <w:r w:rsidR="00577319">
        <w:rPr>
          <w:rFonts w:ascii="Times New Roman" w:eastAsia="Calibri" w:hAnsi="Times New Roman" w:cs="Times New Roman"/>
          <w:sz w:val="24"/>
          <w:szCs w:val="24"/>
        </w:rPr>
        <w:t xml:space="preserve">how multiple configurations of relationships between sets of different complex governance elements are related to, or supportive of </w:t>
      </w:r>
      <w:r w:rsidR="007623C2" w:rsidRPr="007623C2">
        <w:rPr>
          <w:rFonts w:ascii="Times New Roman" w:eastAsia="Calibri" w:hAnsi="Times New Roman" w:cs="Times New Roman"/>
          <w:sz w:val="24"/>
          <w:szCs w:val="24"/>
        </w:rPr>
        <w:t>community control – a ‘place-based population’s collective ownership and decision-making power over resources’ (Williams, 2018, pp. 462).</w:t>
      </w:r>
      <w:r w:rsidR="008262A0" w:rsidRPr="008262A0">
        <w:t xml:space="preserve"> 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This paper </w:t>
      </w:r>
      <w:r w:rsidR="004E472F">
        <w:rPr>
          <w:rFonts w:ascii="Times New Roman" w:eastAsia="Calibri" w:hAnsi="Times New Roman" w:cs="Times New Roman"/>
          <w:sz w:val="24"/>
          <w:szCs w:val="24"/>
        </w:rPr>
        <w:t>offers a novel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 classification of factors affecting the effective functioning of different types of self-governing arrangements applied to</w:t>
      </w:r>
      <w:r w:rsidR="00834F7B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8262A0" w:rsidRPr="008262A0">
        <w:rPr>
          <w:rFonts w:ascii="Times New Roman" w:eastAsia="Calibri" w:hAnsi="Times New Roman" w:cs="Times New Roman"/>
          <w:sz w:val="24"/>
          <w:szCs w:val="24"/>
        </w:rPr>
        <w:t xml:space="preserve"> different types of resource.</w:t>
      </w:r>
    </w:p>
    <w:p w14:paraId="0DC9363D" w14:textId="77777777" w:rsidR="001010EB" w:rsidRPr="0082384C" w:rsidRDefault="001010EB" w:rsidP="00800324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2BDBAE" w14:textId="04208C7D" w:rsidR="0076553C" w:rsidRDefault="00006D4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 noted, </w:t>
      </w:r>
      <w:r w:rsidR="0076553C">
        <w:rPr>
          <w:rFonts w:ascii="Times New Roman" w:eastAsia="Calibri" w:hAnsi="Times New Roman" w:cs="Times New Roman"/>
          <w:sz w:val="24"/>
          <w:szCs w:val="24"/>
        </w:rPr>
        <w:t>commons</w:t>
      </w:r>
      <w:r w:rsidR="004E472F">
        <w:rPr>
          <w:rFonts w:ascii="Times New Roman" w:eastAsia="Calibri" w:hAnsi="Times New Roman" w:cs="Times New Roman"/>
          <w:sz w:val="24"/>
          <w:szCs w:val="24"/>
        </w:rPr>
        <w:t xml:space="preserve"> theory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has expanded to different kinds of resources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which vary in their subtractability</w:t>
      </w:r>
      <w:r w:rsidR="004467D2">
        <w:rPr>
          <w:rFonts w:ascii="Times New Roman" w:eastAsia="Calibri" w:hAnsi="Times New Roman" w:cs="Times New Roman"/>
          <w:sz w:val="24"/>
          <w:szCs w:val="24"/>
        </w:rPr>
        <w:t>;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how one person’s use impacts on how others may use or benefit from the resource. For example,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Ostrom</w:t>
      </w:r>
      <w:r w:rsidR="0076553C" w:rsidRPr="0082384C">
        <w:rPr>
          <w:rFonts w:ascii="Times New Roman" w:eastAsia="Calibri" w:hAnsi="Times New Roman" w:cs="Times New Roman"/>
          <w:sz w:val="24"/>
          <w:szCs w:val="24"/>
          <w:rtl/>
        </w:rPr>
        <w:t>’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s later work on the ‘knowledge commons’</w:t>
      </w:r>
      <w:r w:rsidR="00406811">
        <w:rPr>
          <w:rFonts w:ascii="Times New Roman" w:eastAsia="Calibri" w:hAnsi="Times New Roman" w:cs="Times New Roman"/>
          <w:sz w:val="24"/>
          <w:szCs w:val="24"/>
        </w:rPr>
        <w:t xml:space="preserve"> (Hess &amp;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Ostrom, 2007)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, dr</w:t>
      </w:r>
      <w:r w:rsidR="0076553C">
        <w:rPr>
          <w:rFonts w:ascii="Times New Roman" w:eastAsia="Calibri" w:hAnsi="Times New Roman" w:cs="Times New Roman"/>
          <w:sz w:val="24"/>
          <w:szCs w:val="24"/>
        </w:rPr>
        <w:t>ew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attention to ‘non-subtract</w:t>
      </w:r>
      <w:r w:rsidR="00834F7B">
        <w:rPr>
          <w:rFonts w:ascii="Times New Roman" w:eastAsia="Calibri" w:hAnsi="Times New Roman" w:cs="Times New Roman"/>
          <w:sz w:val="24"/>
          <w:szCs w:val="24"/>
        </w:rPr>
        <w:t>able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’ resources, where one person’s use does not reduce others’ benefits</w:t>
      </w:r>
      <w:r w:rsidR="004467D2">
        <w:rPr>
          <w:rFonts w:ascii="Times New Roman" w:eastAsia="Calibri" w:hAnsi="Times New Roman" w:cs="Times New Roman"/>
          <w:sz w:val="24"/>
          <w:szCs w:val="24"/>
        </w:rPr>
        <w:t>.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67D2">
        <w:rPr>
          <w:rFonts w:ascii="Times New Roman" w:eastAsia="Calibri" w:hAnsi="Times New Roman" w:cs="Times New Roman"/>
          <w:sz w:val="24"/>
          <w:szCs w:val="24"/>
        </w:rPr>
        <w:t>I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n the case of the ‘urban commons’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- including resources such as public space and culture -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greater usage may add </w:t>
      </w:r>
      <w:r w:rsidR="00E26680">
        <w:rPr>
          <w:rFonts w:ascii="Times New Roman" w:eastAsia="Calibri" w:hAnsi="Times New Roman" w:cs="Times New Roman"/>
          <w:sz w:val="24"/>
          <w:szCs w:val="24"/>
        </w:rPr>
        <w:t>to rather than subtract from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the commons</w:t>
      </w:r>
      <w:r w:rsidR="00406811">
        <w:rPr>
          <w:rFonts w:ascii="Times New Roman" w:eastAsia="Calibri" w:hAnsi="Times New Roman" w:cs="Times New Roman"/>
          <w:sz w:val="24"/>
          <w:szCs w:val="24"/>
        </w:rPr>
        <w:t xml:space="preserve"> (Borch &amp;</w:t>
      </w:r>
      <w:r w:rsidR="005504A7">
        <w:rPr>
          <w:rFonts w:ascii="Times New Roman" w:eastAsia="Calibri" w:hAnsi="Times New Roman" w:cs="Times New Roman"/>
          <w:sz w:val="24"/>
          <w:szCs w:val="24"/>
        </w:rPr>
        <w:t xml:space="preserve"> Kornberger, 2015</w:t>
      </w:r>
      <w:r w:rsidR="0076553C">
        <w:rPr>
          <w:rFonts w:ascii="Times New Roman" w:eastAsia="Calibri" w:hAnsi="Times New Roman" w:cs="Times New Roman"/>
          <w:sz w:val="24"/>
          <w:szCs w:val="24"/>
        </w:rPr>
        <w:t>)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.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AAECC6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D3B48E" w14:textId="3D56F789" w:rsidR="00D51870" w:rsidRDefault="0076553C" w:rsidP="00F11117">
      <w:pPr>
        <w:pStyle w:val="Body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We join others in arguing for further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theoretical </w:t>
      </w:r>
      <w:r w:rsidRPr="0082384C">
        <w:rPr>
          <w:rFonts w:ascii="Times New Roman" w:eastAsia="Calibri" w:hAnsi="Times New Roman" w:cs="Times New Roman"/>
          <w:sz w:val="24"/>
          <w:szCs w:val="24"/>
        </w:rPr>
        <w:t>expansion to include the application of self-</w:t>
      </w:r>
      <w:r w:rsidR="00E26680">
        <w:rPr>
          <w:rFonts w:ascii="Times New Roman" w:eastAsia="Calibri" w:hAnsi="Times New Roman" w:cs="Times New Roman"/>
          <w:sz w:val="24"/>
          <w:szCs w:val="24"/>
        </w:rPr>
        <w:t>governing arrangements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certain excludable resources, such as </w:t>
      </w:r>
      <w:r w:rsidRPr="0082384C">
        <w:rPr>
          <w:rFonts w:ascii="Times New Roman" w:eastAsia="Calibri" w:hAnsi="Times New Roman" w:cs="Times New Roman"/>
          <w:sz w:val="24"/>
          <w:szCs w:val="24"/>
        </w:rPr>
        <w:t>housing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40378">
        <w:rPr>
          <w:rFonts w:ascii="Times New Roman" w:eastAsia="Calibri" w:hAnsi="Times New Roman" w:cs="Times New Roman"/>
          <w:sz w:val="24"/>
          <w:szCs w:val="24"/>
        </w:rPr>
        <w:t xml:space="preserve">Hess, 2008; </w:t>
      </w:r>
      <w:r w:rsidR="00406811">
        <w:rPr>
          <w:rFonts w:ascii="Times New Roman" w:eastAsia="Calibri" w:hAnsi="Times New Roman" w:cs="Times New Roman"/>
          <w:sz w:val="24"/>
          <w:szCs w:val="24"/>
        </w:rPr>
        <w:t>Larsen 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1C7A">
        <w:rPr>
          <w:rFonts w:ascii="Times New Roman" w:eastAsia="Calibri" w:hAnsi="Times New Roman" w:cs="Times New Roman"/>
          <w:sz w:val="24"/>
          <w:szCs w:val="24"/>
        </w:rPr>
        <w:t>Hansen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2015, </w:t>
      </w:r>
      <w:r w:rsidRPr="00B21C7A">
        <w:rPr>
          <w:rFonts w:ascii="Times New Roman" w:eastAsia="Calibri" w:hAnsi="Times New Roman" w:cs="Times New Roman"/>
          <w:sz w:val="24"/>
          <w:szCs w:val="24"/>
        </w:rPr>
        <w:t xml:space="preserve">Nonini,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2017; </w:t>
      </w:r>
      <w:r w:rsidR="00406811">
        <w:rPr>
          <w:rFonts w:ascii="Times New Roman" w:eastAsia="Calibri" w:hAnsi="Times New Roman" w:cs="Times New Roman"/>
          <w:sz w:val="24"/>
          <w:szCs w:val="24"/>
        </w:rPr>
        <w:t>Aernouts &amp;</w:t>
      </w:r>
      <w:r w:rsidRPr="00B21C7A">
        <w:rPr>
          <w:rFonts w:ascii="Times New Roman" w:eastAsia="Calibri" w:hAnsi="Times New Roman" w:cs="Times New Roman"/>
          <w:sz w:val="24"/>
          <w:szCs w:val="24"/>
        </w:rPr>
        <w:t xml:space="preserve"> Ryckewaert</w:t>
      </w:r>
      <w:r>
        <w:rPr>
          <w:rFonts w:ascii="Times New Roman" w:eastAsia="Calibri" w:hAnsi="Times New Roman" w:cs="Times New Roman"/>
          <w:sz w:val="24"/>
          <w:szCs w:val="24"/>
        </w:rPr>
        <w:t>, 2019).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Housing is subtractable, like the original common pool resources, but it is also excludable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384C">
        <w:rPr>
          <w:rFonts w:ascii="Times New Roman" w:hAnsi="Times New Roman" w:cs="Times New Roman"/>
          <w:sz w:val="24"/>
          <w:szCs w:val="24"/>
        </w:rPr>
        <w:t xml:space="preserve">t is possible to exclude individuals from </w:t>
      </w:r>
      <w:r>
        <w:rPr>
          <w:rFonts w:ascii="Times New Roman" w:hAnsi="Times New Roman" w:cs="Times New Roman"/>
          <w:sz w:val="24"/>
          <w:szCs w:val="24"/>
        </w:rPr>
        <w:t>access to housing</w:t>
      </w:r>
      <w:r w:rsidRPr="0082384C">
        <w:rPr>
          <w:rFonts w:ascii="Times New Roman" w:hAnsi="Times New Roman" w:cs="Times New Roman"/>
          <w:sz w:val="24"/>
          <w:szCs w:val="24"/>
        </w:rPr>
        <w:t>. Therefore</w:t>
      </w:r>
      <w:r w:rsidR="00BC3F09">
        <w:rPr>
          <w:rFonts w:ascii="Times New Roman" w:hAnsi="Times New Roman" w:cs="Times New Roman"/>
          <w:sz w:val="24"/>
          <w:szCs w:val="24"/>
        </w:rPr>
        <w:t>,</w:t>
      </w:r>
      <w:r w:rsidRPr="0082384C">
        <w:rPr>
          <w:rFonts w:ascii="Times New Roman" w:hAnsi="Times New Roman" w:cs="Times New Roman"/>
          <w:sz w:val="24"/>
          <w:szCs w:val="24"/>
        </w:rPr>
        <w:t xml:space="preserve"> the risks of over-use of the individual ‘resource unit’ </w:t>
      </w:r>
      <w:r w:rsidR="000447A6">
        <w:rPr>
          <w:rFonts w:ascii="Times New Roman" w:hAnsi="Times New Roman" w:cs="Times New Roman"/>
          <w:sz w:val="24"/>
          <w:szCs w:val="24"/>
        </w:rPr>
        <w:t>can be seen to be</w:t>
      </w:r>
      <w:r w:rsidRPr="0082384C">
        <w:rPr>
          <w:rFonts w:ascii="Times New Roman" w:hAnsi="Times New Roman" w:cs="Times New Roman"/>
          <w:sz w:val="24"/>
          <w:szCs w:val="24"/>
        </w:rPr>
        <w:t xml:space="preserve"> low.</w:t>
      </w:r>
      <w:r w:rsidR="00F11117" w:rsidRPr="00F11117">
        <w:t xml:space="preserve"> </w:t>
      </w:r>
      <w:r w:rsidR="005D278E">
        <w:rPr>
          <w:rFonts w:ascii="Times New Roman" w:hAnsi="Times New Roman" w:cs="Times New Roman"/>
          <w:sz w:val="24"/>
          <w:szCs w:val="24"/>
        </w:rPr>
        <w:t xml:space="preserve">Discussing the commons in relation to </w:t>
      </w:r>
      <w:r w:rsidR="00F11117" w:rsidRPr="00F11117">
        <w:rPr>
          <w:rFonts w:ascii="Times New Roman" w:hAnsi="Times New Roman" w:cs="Times New Roman"/>
          <w:sz w:val="24"/>
          <w:szCs w:val="24"/>
        </w:rPr>
        <w:t xml:space="preserve">housing </w:t>
      </w:r>
      <w:r w:rsidR="00FB757B">
        <w:rPr>
          <w:rFonts w:ascii="Times New Roman" w:hAnsi="Times New Roman" w:cs="Times New Roman"/>
          <w:sz w:val="24"/>
          <w:szCs w:val="24"/>
        </w:rPr>
        <w:t>‘</w:t>
      </w:r>
      <w:r w:rsidR="00F11117" w:rsidRPr="00F11117">
        <w:rPr>
          <w:rFonts w:ascii="Times New Roman" w:hAnsi="Times New Roman" w:cs="Times New Roman"/>
          <w:sz w:val="24"/>
          <w:szCs w:val="24"/>
        </w:rPr>
        <w:t>may seem contradictory</w:t>
      </w:r>
      <w:r w:rsidR="005D278E">
        <w:rPr>
          <w:rFonts w:ascii="Times New Roman" w:hAnsi="Times New Roman" w:cs="Times New Roman"/>
          <w:sz w:val="24"/>
          <w:szCs w:val="24"/>
        </w:rPr>
        <w:t xml:space="preserve"> […]</w:t>
      </w:r>
      <w:r w:rsidR="00F11117" w:rsidRPr="00F11117">
        <w:rPr>
          <w:rFonts w:ascii="Times New Roman" w:hAnsi="Times New Roman" w:cs="Times New Roman"/>
          <w:sz w:val="24"/>
          <w:szCs w:val="24"/>
        </w:rPr>
        <w:t xml:space="preserve"> because</w:t>
      </w:r>
      <w:r w:rsidR="005D278E">
        <w:rPr>
          <w:rFonts w:ascii="Times New Roman" w:hAnsi="Times New Roman" w:cs="Times New Roman"/>
          <w:sz w:val="24"/>
          <w:szCs w:val="24"/>
        </w:rPr>
        <w:t xml:space="preserve"> </w:t>
      </w:r>
      <w:r w:rsidR="00F11117" w:rsidRPr="00F11117">
        <w:rPr>
          <w:rFonts w:ascii="Times New Roman" w:hAnsi="Times New Roman" w:cs="Times New Roman"/>
          <w:sz w:val="24"/>
          <w:szCs w:val="24"/>
        </w:rPr>
        <w:t>housing is more often associated with privacy and property than with sharing and</w:t>
      </w:r>
      <w:r w:rsidR="005D278E">
        <w:rPr>
          <w:rFonts w:ascii="Times New Roman" w:hAnsi="Times New Roman" w:cs="Times New Roman"/>
          <w:sz w:val="24"/>
          <w:szCs w:val="24"/>
        </w:rPr>
        <w:t xml:space="preserve"> </w:t>
      </w:r>
      <w:r w:rsidR="00F11117" w:rsidRPr="00F11117">
        <w:rPr>
          <w:rFonts w:ascii="Times New Roman" w:hAnsi="Times New Roman" w:cs="Times New Roman"/>
          <w:sz w:val="24"/>
          <w:szCs w:val="24"/>
        </w:rPr>
        <w:t>collectivi</w:t>
      </w:r>
      <w:r w:rsidR="000447A6">
        <w:rPr>
          <w:rFonts w:ascii="Times New Roman" w:hAnsi="Times New Roman" w:cs="Times New Roman"/>
          <w:sz w:val="24"/>
          <w:szCs w:val="24"/>
        </w:rPr>
        <w:t>s</w:t>
      </w:r>
      <w:r w:rsidR="00F11117" w:rsidRPr="00F11117">
        <w:rPr>
          <w:rFonts w:ascii="Times New Roman" w:hAnsi="Times New Roman" w:cs="Times New Roman"/>
          <w:sz w:val="24"/>
          <w:szCs w:val="24"/>
        </w:rPr>
        <w:t>ation</w:t>
      </w:r>
      <w:r w:rsidR="00FB757B">
        <w:rPr>
          <w:rFonts w:ascii="Times New Roman" w:hAnsi="Times New Roman" w:cs="Times New Roman"/>
          <w:sz w:val="24"/>
          <w:szCs w:val="24"/>
        </w:rPr>
        <w:t>’</w:t>
      </w:r>
      <w:r w:rsidR="005D278E">
        <w:rPr>
          <w:rFonts w:ascii="Times New Roman" w:hAnsi="Times New Roman" w:cs="Times New Roman"/>
          <w:sz w:val="24"/>
          <w:szCs w:val="24"/>
        </w:rPr>
        <w:t xml:space="preserve"> (</w:t>
      </w:r>
      <w:r w:rsidR="005D278E" w:rsidRPr="00746A29">
        <w:rPr>
          <w:rFonts w:ascii="Times New Roman" w:eastAsia="Calibri" w:hAnsi="Times New Roman" w:cs="Times New Roman"/>
          <w:sz w:val="24"/>
          <w:szCs w:val="24"/>
        </w:rPr>
        <w:t>Tummers</w:t>
      </w:r>
      <w:r w:rsidR="00406811">
        <w:rPr>
          <w:rFonts w:ascii="Times New Roman" w:eastAsia="Calibri" w:hAnsi="Times New Roman" w:cs="Times New Roman"/>
          <w:sz w:val="24"/>
          <w:szCs w:val="24"/>
        </w:rPr>
        <w:t xml:space="preserve"> &amp;</w:t>
      </w:r>
      <w:r w:rsidR="005D278E" w:rsidRPr="00746A29">
        <w:rPr>
          <w:rFonts w:ascii="Times New Roman" w:eastAsia="Calibri" w:hAnsi="Times New Roman" w:cs="Times New Roman"/>
          <w:sz w:val="24"/>
          <w:szCs w:val="24"/>
        </w:rPr>
        <w:t xml:space="preserve"> MacGregor</w:t>
      </w:r>
      <w:r w:rsidR="005D27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D278E" w:rsidRPr="00746A29">
        <w:rPr>
          <w:rFonts w:ascii="Times New Roman" w:eastAsia="Calibri" w:hAnsi="Times New Roman" w:cs="Times New Roman"/>
          <w:sz w:val="24"/>
          <w:szCs w:val="24"/>
        </w:rPr>
        <w:t>2019</w:t>
      </w:r>
      <w:r w:rsidR="005D278E">
        <w:rPr>
          <w:rFonts w:ascii="Times New Roman" w:eastAsia="Calibri" w:hAnsi="Times New Roman" w:cs="Times New Roman"/>
          <w:sz w:val="24"/>
          <w:szCs w:val="24"/>
        </w:rPr>
        <w:t>, pp.69)</w:t>
      </w:r>
      <w:r w:rsidR="00F11117" w:rsidRPr="00F111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581C89" w14:textId="77777777" w:rsidR="001010EB" w:rsidRDefault="001010EB" w:rsidP="00F11117">
      <w:pPr>
        <w:pStyle w:val="Body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B26E04" w14:textId="476E12CC" w:rsidR="0076553C" w:rsidRDefault="0076553C" w:rsidP="00F11117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hAnsi="Times New Roman" w:cs="Times New Roman"/>
          <w:sz w:val="24"/>
          <w:szCs w:val="24"/>
        </w:rPr>
        <w:t xml:space="preserve">However, if seen as a social asset, </w:t>
      </w:r>
      <w:r w:rsidR="00B224AE">
        <w:rPr>
          <w:rFonts w:ascii="Times New Roman" w:hAnsi="Times New Roman" w:cs="Times New Roman"/>
          <w:sz w:val="24"/>
          <w:szCs w:val="24"/>
        </w:rPr>
        <w:t xml:space="preserve">housing </w:t>
      </w:r>
      <w:r>
        <w:rPr>
          <w:rFonts w:ascii="Times New Roman" w:hAnsi="Times New Roman" w:cs="Times New Roman"/>
          <w:sz w:val="24"/>
          <w:szCs w:val="24"/>
        </w:rPr>
        <w:t xml:space="preserve">faces similar underlying problems in managing resources to generate maximum benefits for the majority, </w:t>
      </w:r>
      <w:r w:rsidRPr="0082384C">
        <w:rPr>
          <w:rFonts w:ascii="Times New Roman" w:hAnsi="Times New Roman" w:cs="Times New Roman"/>
          <w:sz w:val="24"/>
          <w:szCs w:val="24"/>
        </w:rPr>
        <w:t xml:space="preserve">for example </w:t>
      </w:r>
      <w:r>
        <w:rPr>
          <w:rFonts w:ascii="Times New Roman" w:hAnsi="Times New Roman" w:cs="Times New Roman"/>
          <w:sz w:val="24"/>
          <w:szCs w:val="24"/>
        </w:rPr>
        <w:t>the threats of</w:t>
      </w:r>
      <w:r w:rsidRPr="0082384C">
        <w:rPr>
          <w:rFonts w:ascii="Times New Roman" w:hAnsi="Times New Roman" w:cs="Times New Roman"/>
          <w:sz w:val="24"/>
          <w:szCs w:val="24"/>
        </w:rPr>
        <w:t xml:space="preserve"> </w:t>
      </w:r>
      <w:r w:rsidRPr="00D22996">
        <w:rPr>
          <w:rFonts w:ascii="Times New Roman" w:hAnsi="Times New Roman" w:cs="Times New Roman"/>
          <w:sz w:val="24"/>
          <w:szCs w:val="24"/>
        </w:rPr>
        <w:t>gentrification, disinvestment</w:t>
      </w:r>
      <w:r>
        <w:rPr>
          <w:rFonts w:ascii="Times New Roman" w:hAnsi="Times New Roman" w:cs="Times New Roman"/>
          <w:sz w:val="24"/>
          <w:szCs w:val="24"/>
        </w:rPr>
        <w:t>, demolition, displacement, scar</w:t>
      </w:r>
      <w:r w:rsidR="00E26680">
        <w:rPr>
          <w:rFonts w:ascii="Times New Roman" w:hAnsi="Times New Roman" w:cs="Times New Roman"/>
          <w:sz w:val="24"/>
          <w:szCs w:val="24"/>
        </w:rPr>
        <w:t>city, or lack of affordability</w:t>
      </w:r>
      <w:r w:rsidRPr="008238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hAnsi="Times New Roman" w:cs="Times New Roman"/>
          <w:sz w:val="24"/>
          <w:szCs w:val="24"/>
        </w:rPr>
        <w:t>and other negative externalities</w:t>
      </w:r>
      <w:r w:rsidR="00B224AE">
        <w:rPr>
          <w:rFonts w:ascii="Times New Roman" w:hAnsi="Times New Roman" w:cs="Times New Roman"/>
          <w:sz w:val="24"/>
          <w:szCs w:val="24"/>
        </w:rPr>
        <w:t xml:space="preserve"> (Gidwani &amp;</w:t>
      </w:r>
      <w:r w:rsidR="00B13FDD">
        <w:rPr>
          <w:rFonts w:ascii="Times New Roman" w:hAnsi="Times New Roman" w:cs="Times New Roman"/>
          <w:sz w:val="24"/>
          <w:szCs w:val="24"/>
        </w:rPr>
        <w:t xml:space="preserve"> Baviskar, 2011)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757B">
        <w:rPr>
          <w:rFonts w:ascii="Times New Roman" w:hAnsi="Times New Roman" w:cs="Times New Roman"/>
          <w:sz w:val="24"/>
          <w:szCs w:val="24"/>
        </w:rPr>
        <w:t xml:space="preserve">Similarly to competition over land, these resource tensions over housing offer </w:t>
      </w:r>
      <w:r w:rsidR="00FB757B" w:rsidRPr="00FB757B">
        <w:rPr>
          <w:rFonts w:ascii="Times New Roman" w:hAnsi="Times New Roman" w:cs="Times New Roman"/>
          <w:sz w:val="24"/>
          <w:szCs w:val="24"/>
        </w:rPr>
        <w:t>collective action problems</w:t>
      </w:r>
      <w:r w:rsidR="00FB757B">
        <w:rPr>
          <w:rFonts w:ascii="Times New Roman" w:hAnsi="Times New Roman" w:cs="Times New Roman"/>
          <w:sz w:val="24"/>
          <w:szCs w:val="24"/>
        </w:rPr>
        <w:t xml:space="preserve">, </w:t>
      </w:r>
      <w:r w:rsidR="00A102F7">
        <w:rPr>
          <w:rFonts w:ascii="Times New Roman" w:hAnsi="Times New Roman" w:cs="Times New Roman"/>
          <w:sz w:val="24"/>
          <w:szCs w:val="24"/>
        </w:rPr>
        <w:t>alongside</w:t>
      </w:r>
      <w:r w:rsidR="00FB757B">
        <w:rPr>
          <w:rFonts w:ascii="Times New Roman" w:hAnsi="Times New Roman" w:cs="Times New Roman"/>
          <w:sz w:val="24"/>
          <w:szCs w:val="24"/>
        </w:rPr>
        <w:t xml:space="preserve"> other ‘</w:t>
      </w:r>
      <w:r w:rsidR="00FB757B" w:rsidRPr="00FB757B">
        <w:rPr>
          <w:rFonts w:ascii="Times New Roman" w:hAnsi="Times New Roman" w:cs="Times New Roman"/>
          <w:sz w:val="24"/>
          <w:szCs w:val="24"/>
        </w:rPr>
        <w:t>commons-like problems</w:t>
      </w:r>
      <w:r w:rsidR="00FB757B">
        <w:rPr>
          <w:rFonts w:ascii="Times New Roman" w:hAnsi="Times New Roman" w:cs="Times New Roman"/>
          <w:sz w:val="24"/>
          <w:szCs w:val="24"/>
        </w:rPr>
        <w:t>’</w:t>
      </w:r>
      <w:r w:rsidR="00FB757B" w:rsidRPr="00FB757B">
        <w:rPr>
          <w:rFonts w:ascii="Times New Roman" w:hAnsi="Times New Roman" w:cs="Times New Roman"/>
          <w:sz w:val="24"/>
          <w:szCs w:val="24"/>
        </w:rPr>
        <w:t xml:space="preserve"> (German, 2018</w:t>
      </w:r>
      <w:r w:rsidR="00FB757B">
        <w:rPr>
          <w:rFonts w:ascii="Times New Roman" w:hAnsi="Times New Roman" w:cs="Times New Roman"/>
          <w:sz w:val="24"/>
          <w:szCs w:val="24"/>
        </w:rPr>
        <w:t>, pp.</w:t>
      </w:r>
      <w:r w:rsidR="00406811">
        <w:rPr>
          <w:rFonts w:ascii="Times New Roman" w:hAnsi="Times New Roman" w:cs="Times New Roman"/>
          <w:sz w:val="24"/>
          <w:szCs w:val="24"/>
        </w:rPr>
        <w:t xml:space="preserve"> </w:t>
      </w:r>
      <w:r w:rsidR="00FB757B">
        <w:rPr>
          <w:rFonts w:ascii="Times New Roman" w:hAnsi="Times New Roman" w:cs="Times New Roman"/>
          <w:sz w:val="24"/>
          <w:szCs w:val="24"/>
        </w:rPr>
        <w:t>217), such as</w:t>
      </w:r>
      <w:r w:rsidR="00FB757B" w:rsidRPr="00FB757B">
        <w:rPr>
          <w:rFonts w:ascii="Times New Roman" w:hAnsi="Times New Roman" w:cs="Times New Roman"/>
          <w:sz w:val="24"/>
          <w:szCs w:val="24"/>
        </w:rPr>
        <w:t xml:space="preserve"> preserving a sense of community</w:t>
      </w:r>
      <w:r w:rsidR="00FB75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C40B9">
        <w:rPr>
          <w:rFonts w:ascii="Times New Roman" w:hAnsi="Times New Roman" w:cs="Times New Roman"/>
          <w:sz w:val="24"/>
          <w:szCs w:val="24"/>
        </w:rPr>
        <w:t>herefore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4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housing may </w:t>
      </w:r>
      <w:r w:rsidRPr="003C40B9">
        <w:rPr>
          <w:rFonts w:ascii="Times New Roman" w:hAnsi="Times New Roman" w:cs="Times New Roman"/>
          <w:sz w:val="24"/>
          <w:szCs w:val="24"/>
        </w:rPr>
        <w:t xml:space="preserve">warrant protection by </w:t>
      </w:r>
      <w:r>
        <w:rPr>
          <w:rFonts w:ascii="Times New Roman" w:hAnsi="Times New Roman" w:cs="Times New Roman"/>
          <w:sz w:val="24"/>
          <w:szCs w:val="24"/>
        </w:rPr>
        <w:t xml:space="preserve">common </w:t>
      </w:r>
      <w:r w:rsidRPr="003C40B9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source management arrangements. </w:t>
      </w:r>
      <w:r w:rsidRPr="0082384C">
        <w:rPr>
          <w:rFonts w:ascii="Times New Roman" w:hAnsi="Times New Roman" w:cs="Times New Roman"/>
          <w:sz w:val="24"/>
          <w:szCs w:val="24"/>
        </w:rPr>
        <w:t>Some communities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hAnsi="Times New Roman" w:cs="Times New Roman"/>
          <w:sz w:val="24"/>
          <w:szCs w:val="24"/>
        </w:rPr>
        <w:t>have decided to treat these excludable goods as a commons, pooling them into a common pot</w:t>
      </w:r>
      <w:r>
        <w:rPr>
          <w:rFonts w:ascii="Times New Roman" w:hAnsi="Times New Roman" w:cs="Times New Roman"/>
          <w:sz w:val="24"/>
          <w:szCs w:val="24"/>
        </w:rPr>
        <w:t>, such as a CLT</w:t>
      </w:r>
      <w:r w:rsidRPr="0082384C">
        <w:rPr>
          <w:rFonts w:ascii="Times New Roman" w:hAnsi="Times New Roman" w:cs="Times New Roman"/>
          <w:sz w:val="24"/>
          <w:szCs w:val="24"/>
        </w:rPr>
        <w:t>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F20">
        <w:rPr>
          <w:rFonts w:ascii="Times New Roman" w:eastAsia="Calibri" w:hAnsi="Times New Roman" w:cs="Times New Roman"/>
          <w:sz w:val="24"/>
          <w:szCs w:val="24"/>
        </w:rPr>
        <w:t xml:space="preserve">Similarly to what has been documented on other governance mechanisms (Huron, 2018), CLTs remove units from the speculative housing market. </w:t>
      </w:r>
      <w:r w:rsidR="00F11117">
        <w:rPr>
          <w:rFonts w:ascii="Times New Roman" w:eastAsia="Calibri" w:hAnsi="Times New Roman" w:cs="Times New Roman"/>
          <w:sz w:val="24"/>
          <w:szCs w:val="24"/>
        </w:rPr>
        <w:t xml:space="preserve">In addition to housing externalities, housing </w:t>
      </w:r>
      <w:r w:rsidR="00EC5C16">
        <w:rPr>
          <w:rFonts w:ascii="Times New Roman" w:eastAsia="Calibri" w:hAnsi="Times New Roman" w:cs="Times New Roman"/>
          <w:sz w:val="24"/>
          <w:szCs w:val="24"/>
        </w:rPr>
        <w:t xml:space="preserve">can be considered </w:t>
      </w:r>
      <w:r w:rsidR="00D51870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A102F7">
        <w:rPr>
          <w:rFonts w:ascii="Times New Roman" w:eastAsia="Calibri" w:hAnsi="Times New Roman" w:cs="Times New Roman"/>
          <w:sz w:val="24"/>
          <w:szCs w:val="24"/>
        </w:rPr>
        <w:t>part</w:t>
      </w:r>
      <w:r w:rsidR="00D51870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D51870" w:rsidRPr="00D51870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D51870">
        <w:rPr>
          <w:rFonts w:ascii="Times New Roman" w:eastAsia="Calibri" w:hAnsi="Times New Roman" w:cs="Times New Roman"/>
          <w:sz w:val="24"/>
          <w:szCs w:val="24"/>
        </w:rPr>
        <w:t xml:space="preserve">new </w:t>
      </w:r>
      <w:r w:rsidR="00D51870" w:rsidRPr="00D51870">
        <w:rPr>
          <w:rFonts w:ascii="Times New Roman" w:eastAsia="Calibri" w:hAnsi="Times New Roman" w:cs="Times New Roman"/>
          <w:sz w:val="24"/>
          <w:szCs w:val="24"/>
        </w:rPr>
        <w:t>commons (Pickerill</w:t>
      </w:r>
      <w:r w:rsidR="00406811">
        <w:rPr>
          <w:rFonts w:ascii="Times New Roman" w:eastAsia="Calibri" w:hAnsi="Times New Roman" w:cs="Times New Roman"/>
          <w:sz w:val="24"/>
          <w:szCs w:val="24"/>
        </w:rPr>
        <w:t>,</w:t>
      </w:r>
      <w:r w:rsidR="00D51870" w:rsidRPr="00D51870">
        <w:rPr>
          <w:rFonts w:ascii="Times New Roman" w:eastAsia="Calibri" w:hAnsi="Times New Roman" w:cs="Times New Roman"/>
          <w:sz w:val="24"/>
          <w:szCs w:val="24"/>
        </w:rPr>
        <w:t xml:space="preserve"> 2016, </w:t>
      </w:r>
      <w:r w:rsidR="00D51870">
        <w:rPr>
          <w:rFonts w:ascii="Times New Roman" w:eastAsia="Calibri" w:hAnsi="Times New Roman" w:cs="Times New Roman"/>
          <w:sz w:val="24"/>
          <w:szCs w:val="24"/>
        </w:rPr>
        <w:t xml:space="preserve">pp. </w:t>
      </w:r>
      <w:r w:rsidR="00D51870" w:rsidRPr="00D51870">
        <w:rPr>
          <w:rFonts w:ascii="Times New Roman" w:eastAsia="Calibri" w:hAnsi="Times New Roman" w:cs="Times New Roman"/>
          <w:sz w:val="24"/>
          <w:szCs w:val="24"/>
        </w:rPr>
        <w:t>31)</w:t>
      </w:r>
      <w:r w:rsidR="00EC5C16">
        <w:rPr>
          <w:rFonts w:ascii="Times New Roman" w:eastAsia="Calibri" w:hAnsi="Times New Roman" w:cs="Times New Roman"/>
          <w:sz w:val="24"/>
          <w:szCs w:val="24"/>
        </w:rPr>
        <w:t xml:space="preserve"> where </w:t>
      </w:r>
      <w:r w:rsidR="00F11117">
        <w:rPr>
          <w:rFonts w:ascii="Times New Roman" w:eastAsia="Calibri" w:hAnsi="Times New Roman" w:cs="Times New Roman"/>
          <w:sz w:val="24"/>
          <w:szCs w:val="24"/>
        </w:rPr>
        <w:t xml:space="preserve">the ‘resource unit’ itself </w:t>
      </w:r>
      <w:r w:rsidR="00EC5C16">
        <w:rPr>
          <w:rFonts w:ascii="Times New Roman" w:eastAsia="Calibri" w:hAnsi="Times New Roman" w:cs="Times New Roman"/>
          <w:sz w:val="24"/>
          <w:szCs w:val="24"/>
        </w:rPr>
        <w:t xml:space="preserve">has </w:t>
      </w:r>
      <w:r w:rsidR="00800324">
        <w:rPr>
          <w:rFonts w:ascii="Times New Roman" w:eastAsia="Calibri" w:hAnsi="Times New Roman" w:cs="Times New Roman"/>
          <w:sz w:val="24"/>
          <w:szCs w:val="24"/>
        </w:rPr>
        <w:t>becom</w:t>
      </w:r>
      <w:r w:rsidR="00EC5C16">
        <w:rPr>
          <w:rFonts w:ascii="Times New Roman" w:eastAsia="Calibri" w:hAnsi="Times New Roman" w:cs="Times New Roman"/>
          <w:sz w:val="24"/>
          <w:szCs w:val="24"/>
        </w:rPr>
        <w:t>e</w:t>
      </w:r>
      <w:r w:rsidR="00800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1117">
        <w:rPr>
          <w:rFonts w:ascii="Times New Roman" w:eastAsia="Calibri" w:hAnsi="Times New Roman" w:cs="Times New Roman"/>
          <w:sz w:val="24"/>
          <w:szCs w:val="24"/>
        </w:rPr>
        <w:t xml:space="preserve">a joint resource system. </w:t>
      </w:r>
      <w:r w:rsidR="004467D2">
        <w:rPr>
          <w:rFonts w:ascii="Times New Roman" w:eastAsia="Calibri" w:hAnsi="Times New Roman" w:cs="Times New Roman"/>
          <w:sz w:val="24"/>
          <w:szCs w:val="24"/>
        </w:rPr>
        <w:t>Examples include</w:t>
      </w:r>
      <w:r w:rsidR="00F11117">
        <w:rPr>
          <w:rFonts w:ascii="Times New Roman" w:eastAsia="Calibri" w:hAnsi="Times New Roman" w:cs="Times New Roman"/>
          <w:sz w:val="24"/>
          <w:szCs w:val="24"/>
        </w:rPr>
        <w:t xml:space="preserve"> affordable housing </w:t>
      </w:r>
      <w:r w:rsidR="00B224AE">
        <w:rPr>
          <w:rFonts w:ascii="Times New Roman" w:eastAsia="Calibri" w:hAnsi="Times New Roman" w:cs="Times New Roman"/>
          <w:sz w:val="24"/>
          <w:szCs w:val="24"/>
        </w:rPr>
        <w:t>that</w:t>
      </w:r>
      <w:r w:rsidR="00F11117">
        <w:rPr>
          <w:rFonts w:ascii="Times New Roman" w:eastAsia="Calibri" w:hAnsi="Times New Roman" w:cs="Times New Roman"/>
          <w:sz w:val="24"/>
          <w:szCs w:val="24"/>
        </w:rPr>
        <w:t xml:space="preserve"> uses tenure arrang</w:t>
      </w:r>
      <w:r w:rsidR="00DE5BC6">
        <w:rPr>
          <w:rFonts w:ascii="Times New Roman" w:eastAsia="Calibri" w:hAnsi="Times New Roman" w:cs="Times New Roman"/>
          <w:sz w:val="24"/>
          <w:szCs w:val="24"/>
        </w:rPr>
        <w:t>e</w:t>
      </w:r>
      <w:r w:rsidR="00F11117">
        <w:rPr>
          <w:rFonts w:ascii="Times New Roman" w:eastAsia="Calibri" w:hAnsi="Times New Roman" w:cs="Times New Roman"/>
          <w:sz w:val="24"/>
          <w:szCs w:val="24"/>
        </w:rPr>
        <w:t>ments to re-define housing as not sole</w:t>
      </w:r>
      <w:r w:rsidR="00625C1A">
        <w:rPr>
          <w:rFonts w:ascii="Times New Roman" w:eastAsia="Calibri" w:hAnsi="Times New Roman" w:cs="Times New Roman"/>
          <w:sz w:val="24"/>
          <w:szCs w:val="24"/>
        </w:rPr>
        <w:t>l</w:t>
      </w:r>
      <w:r w:rsidR="00B224AE">
        <w:rPr>
          <w:rFonts w:ascii="Times New Roman" w:eastAsia="Calibri" w:hAnsi="Times New Roman" w:cs="Times New Roman"/>
          <w:sz w:val="24"/>
          <w:szCs w:val="24"/>
        </w:rPr>
        <w:t>y privately-</w:t>
      </w:r>
      <w:r w:rsidR="00F11117">
        <w:rPr>
          <w:rFonts w:ascii="Times New Roman" w:eastAsia="Calibri" w:hAnsi="Times New Roman" w:cs="Times New Roman"/>
          <w:sz w:val="24"/>
          <w:szCs w:val="24"/>
        </w:rPr>
        <w:t>owned property,</w:t>
      </w:r>
      <w:r w:rsidR="004467D2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F11117">
        <w:rPr>
          <w:rFonts w:ascii="Times New Roman" w:eastAsia="Calibri" w:hAnsi="Times New Roman" w:cs="Times New Roman"/>
          <w:sz w:val="24"/>
          <w:szCs w:val="24"/>
        </w:rPr>
        <w:t xml:space="preserve"> also co-housing which re-defines t</w:t>
      </w:r>
      <w:r w:rsidR="00F11117" w:rsidRPr="00F11117">
        <w:rPr>
          <w:rFonts w:ascii="Times New Roman" w:eastAsia="Calibri" w:hAnsi="Times New Roman" w:cs="Times New Roman"/>
          <w:sz w:val="24"/>
          <w:szCs w:val="24"/>
        </w:rPr>
        <w:t xml:space="preserve">he concept of ‘home’ </w:t>
      </w:r>
      <w:r w:rsidR="00F11117">
        <w:rPr>
          <w:rFonts w:ascii="Times New Roman" w:eastAsia="Calibri" w:hAnsi="Times New Roman" w:cs="Times New Roman"/>
          <w:sz w:val="24"/>
          <w:szCs w:val="24"/>
        </w:rPr>
        <w:t>away from a purely p</w:t>
      </w:r>
      <w:r w:rsidR="00625C1A">
        <w:rPr>
          <w:rFonts w:ascii="Times New Roman" w:eastAsia="Calibri" w:hAnsi="Times New Roman" w:cs="Times New Roman"/>
          <w:sz w:val="24"/>
          <w:szCs w:val="24"/>
        </w:rPr>
        <w:t>r</w:t>
      </w:r>
      <w:r w:rsidR="00F11117" w:rsidRPr="00F11117">
        <w:rPr>
          <w:rFonts w:ascii="Times New Roman" w:eastAsia="Calibri" w:hAnsi="Times New Roman" w:cs="Times New Roman"/>
          <w:sz w:val="24"/>
          <w:szCs w:val="24"/>
        </w:rPr>
        <w:t xml:space="preserve">ivate space for an exclusive group of people </w:t>
      </w:r>
      <w:r w:rsidR="00F11117">
        <w:rPr>
          <w:rFonts w:ascii="Times New Roman" w:eastAsia="Calibri" w:hAnsi="Times New Roman" w:cs="Times New Roman"/>
          <w:sz w:val="24"/>
          <w:szCs w:val="24"/>
        </w:rPr>
        <w:t>(</w:t>
      </w:r>
      <w:r w:rsidR="00F11117" w:rsidRPr="00746A29">
        <w:rPr>
          <w:rFonts w:ascii="Times New Roman" w:eastAsia="Calibri" w:hAnsi="Times New Roman" w:cs="Times New Roman"/>
          <w:sz w:val="24"/>
          <w:szCs w:val="24"/>
        </w:rPr>
        <w:t>Tummers</w:t>
      </w:r>
      <w:r w:rsidR="00406811">
        <w:rPr>
          <w:rFonts w:ascii="Times New Roman" w:eastAsia="Calibri" w:hAnsi="Times New Roman" w:cs="Times New Roman"/>
          <w:sz w:val="24"/>
          <w:szCs w:val="24"/>
        </w:rPr>
        <w:t xml:space="preserve"> &amp;</w:t>
      </w:r>
      <w:r w:rsidR="00F11117" w:rsidRPr="00746A29">
        <w:rPr>
          <w:rFonts w:ascii="Times New Roman" w:eastAsia="Calibri" w:hAnsi="Times New Roman" w:cs="Times New Roman"/>
          <w:sz w:val="24"/>
          <w:szCs w:val="24"/>
        </w:rPr>
        <w:t xml:space="preserve"> MacGregor</w:t>
      </w:r>
      <w:r w:rsidR="00F111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1117" w:rsidRPr="00746A29">
        <w:rPr>
          <w:rFonts w:ascii="Times New Roman" w:eastAsia="Calibri" w:hAnsi="Times New Roman" w:cs="Times New Roman"/>
          <w:sz w:val="24"/>
          <w:szCs w:val="24"/>
        </w:rPr>
        <w:t>2019</w:t>
      </w:r>
      <w:r w:rsidR="00F11117">
        <w:rPr>
          <w:rFonts w:ascii="Times New Roman" w:eastAsia="Calibri" w:hAnsi="Times New Roman" w:cs="Times New Roman"/>
          <w:sz w:val="24"/>
          <w:szCs w:val="24"/>
        </w:rPr>
        <w:t>, p</w:t>
      </w:r>
      <w:r w:rsidR="00D51870">
        <w:rPr>
          <w:rFonts w:ascii="Times New Roman" w:eastAsia="Calibri" w:hAnsi="Times New Roman" w:cs="Times New Roman"/>
          <w:sz w:val="24"/>
          <w:szCs w:val="24"/>
        </w:rPr>
        <w:t>p</w:t>
      </w:r>
      <w:r w:rsidR="00F11117">
        <w:rPr>
          <w:rFonts w:ascii="Times New Roman" w:eastAsia="Calibri" w:hAnsi="Times New Roman" w:cs="Times New Roman"/>
          <w:sz w:val="24"/>
          <w:szCs w:val="24"/>
        </w:rPr>
        <w:t>. 67), by adding elements of shared and communal resources including social spaces</w:t>
      </w:r>
      <w:r w:rsidR="00061B79">
        <w:rPr>
          <w:rFonts w:ascii="Times New Roman" w:eastAsia="Calibri" w:hAnsi="Times New Roman" w:cs="Times New Roman"/>
          <w:sz w:val="24"/>
          <w:szCs w:val="24"/>
        </w:rPr>
        <w:t>, and facilities for</w:t>
      </w:r>
      <w:r w:rsidR="00F111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1870">
        <w:rPr>
          <w:rFonts w:ascii="Times New Roman" w:eastAsia="Calibri" w:hAnsi="Times New Roman" w:cs="Times New Roman"/>
          <w:sz w:val="24"/>
          <w:szCs w:val="24"/>
        </w:rPr>
        <w:t xml:space="preserve">collective </w:t>
      </w:r>
      <w:r w:rsidR="00061B79">
        <w:rPr>
          <w:rFonts w:ascii="Times New Roman" w:eastAsia="Calibri" w:hAnsi="Times New Roman" w:cs="Times New Roman"/>
          <w:sz w:val="24"/>
          <w:szCs w:val="24"/>
        </w:rPr>
        <w:t xml:space="preserve">forms of </w:t>
      </w:r>
      <w:r w:rsidR="00F11117">
        <w:rPr>
          <w:rFonts w:ascii="Times New Roman" w:eastAsia="Calibri" w:hAnsi="Times New Roman" w:cs="Times New Roman"/>
          <w:sz w:val="24"/>
          <w:szCs w:val="24"/>
        </w:rPr>
        <w:t>childcare</w:t>
      </w:r>
      <w:r w:rsidR="00061B79">
        <w:rPr>
          <w:rFonts w:ascii="Times New Roman" w:eastAsia="Calibri" w:hAnsi="Times New Roman" w:cs="Times New Roman"/>
          <w:sz w:val="24"/>
          <w:szCs w:val="24"/>
        </w:rPr>
        <w:t>, cleaning and cooking (op cit, pp.69</w:t>
      </w:r>
      <w:r w:rsidR="00225863">
        <w:rPr>
          <w:rFonts w:ascii="Times New Roman" w:eastAsia="Calibri" w:hAnsi="Times New Roman" w:cs="Times New Roman"/>
          <w:sz w:val="24"/>
          <w:szCs w:val="24"/>
        </w:rPr>
        <w:t>)</w:t>
      </w:r>
      <w:r w:rsidR="00F111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FCB8C3" w14:textId="77777777" w:rsidR="001010EB" w:rsidRPr="005C0008" w:rsidRDefault="001010EB" w:rsidP="00F11117">
      <w:pPr>
        <w:pStyle w:val="Body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BE9EE5" w14:textId="0BBA92A9" w:rsidR="0076553C" w:rsidRDefault="00DB056F" w:rsidP="00045023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CLTs are increasingly </w:t>
      </w:r>
      <w:r w:rsidR="00F64A42">
        <w:rPr>
          <w:rFonts w:ascii="Times New Roman" w:eastAsia="Calibri" w:hAnsi="Times New Roman" w:cs="Times New Roman"/>
          <w:sz w:val="24"/>
          <w:szCs w:val="24"/>
        </w:rPr>
        <w:t xml:space="preserve">being used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as a </w:t>
      </w:r>
      <w:r w:rsidR="00F64A42">
        <w:rPr>
          <w:rFonts w:ascii="Times New Roman" w:eastAsia="Calibri" w:hAnsi="Times New Roman" w:cs="Times New Roman"/>
          <w:sz w:val="24"/>
          <w:szCs w:val="24"/>
        </w:rPr>
        <w:t>governance mechanism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for low-income housing provision and the management of the ‘housing commons’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811">
        <w:rPr>
          <w:rFonts w:ascii="Times New Roman" w:eastAsia="Calibri" w:hAnsi="Times New Roman" w:cs="Times New Roman"/>
          <w:sz w:val="24"/>
          <w:szCs w:val="24"/>
        </w:rPr>
        <w:t>(Midheme &amp; Moulaert, 2013; Aernouts 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Ryckewart, 2018)</w:t>
      </w:r>
      <w:r w:rsidR="00A102F7">
        <w:rPr>
          <w:rFonts w:ascii="Times New Roman" w:eastAsia="Calibri" w:hAnsi="Times New Roman" w:cs="Times New Roman"/>
          <w:sz w:val="24"/>
          <w:szCs w:val="24"/>
        </w:rPr>
        <w:t>. Therefore they are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the vanguard </w:t>
      </w:r>
      <w:r w:rsidR="00A102F7">
        <w:rPr>
          <w:rFonts w:ascii="Times New Roman" w:eastAsia="Calibri" w:hAnsi="Times New Roman" w:cs="Times New Roman"/>
          <w:sz w:val="24"/>
          <w:szCs w:val="24"/>
        </w:rPr>
        <w:t>for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theoretical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expansion</w:t>
      </w:r>
      <w:r w:rsidR="0076553C">
        <w:rPr>
          <w:rFonts w:ascii="Times New Roman" w:eastAsia="Calibri" w:hAnsi="Times New Roman" w:cs="Times New Roman"/>
          <w:sz w:val="24"/>
          <w:szCs w:val="24"/>
        </w:rPr>
        <w:t>, contributing to analysis both conceptually and in practice (Bunce, 2016)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. CLTs potential</w:t>
      </w:r>
      <w:r w:rsidR="005313FA">
        <w:rPr>
          <w:rFonts w:ascii="Times New Roman" w:eastAsia="Calibri" w:hAnsi="Times New Roman" w:cs="Times New Roman"/>
          <w:sz w:val="24"/>
          <w:szCs w:val="24"/>
        </w:rPr>
        <w:t>ly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3D1">
        <w:rPr>
          <w:rFonts w:ascii="Times New Roman" w:eastAsia="Calibri" w:hAnsi="Times New Roman" w:cs="Times New Roman"/>
          <w:sz w:val="24"/>
          <w:szCs w:val="24"/>
        </w:rPr>
        <w:t>offer a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B733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example of a common property regime that emphasises common land stewardship, ‘resisting traditional land speculations and development practices through the mitigation or halting of land value inflation’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(Bu</w:t>
      </w:r>
      <w:r w:rsidR="00E26680">
        <w:rPr>
          <w:rFonts w:ascii="Times New Roman" w:eastAsia="Calibri" w:hAnsi="Times New Roman" w:cs="Times New Roman"/>
          <w:sz w:val="24"/>
          <w:szCs w:val="24"/>
        </w:rPr>
        <w:t>nce, 2016</w:t>
      </w:r>
      <w:r w:rsidR="00881B95">
        <w:rPr>
          <w:rFonts w:ascii="Times New Roman" w:eastAsia="Calibri" w:hAnsi="Times New Roman" w:cs="Times New Roman"/>
          <w:sz w:val="24"/>
          <w:szCs w:val="24"/>
        </w:rPr>
        <w:t>), and</w:t>
      </w:r>
      <w:r w:rsidR="00446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4F7B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="005313FA">
        <w:rPr>
          <w:rFonts w:ascii="Times New Roman" w:eastAsia="Calibri" w:hAnsi="Times New Roman" w:cs="Times New Roman"/>
          <w:sz w:val="24"/>
          <w:szCs w:val="24"/>
        </w:rPr>
        <w:t>also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fulfill definitions of </w:t>
      </w:r>
      <w:r w:rsidR="005313FA">
        <w:rPr>
          <w:rFonts w:ascii="Times New Roman" w:eastAsia="Calibri" w:hAnsi="Times New Roman" w:cs="Times New Roman"/>
          <w:sz w:val="24"/>
          <w:szCs w:val="24"/>
        </w:rPr>
        <w:t>self-governing arrangements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as: ‘</w:t>
      </w:r>
      <w:r w:rsidR="0076553C" w:rsidRPr="003C717B">
        <w:rPr>
          <w:rFonts w:ascii="Times New Roman" w:eastAsia="Calibri" w:hAnsi="Times New Roman" w:cs="Times New Roman"/>
          <w:sz w:val="24"/>
          <w:szCs w:val="24"/>
        </w:rPr>
        <w:t>social system</w:t>
      </w:r>
      <w:r w:rsidR="0076553C">
        <w:rPr>
          <w:rFonts w:ascii="Times New Roman" w:eastAsia="Calibri" w:hAnsi="Times New Roman" w:cs="Times New Roman"/>
          <w:sz w:val="24"/>
          <w:szCs w:val="24"/>
        </w:rPr>
        <w:t>[s]</w:t>
      </w:r>
      <w:r w:rsidR="0076553C" w:rsidRPr="003C717B">
        <w:rPr>
          <w:rFonts w:ascii="Times New Roman" w:eastAsia="Calibri" w:hAnsi="Times New Roman" w:cs="Times New Roman"/>
          <w:sz w:val="24"/>
          <w:szCs w:val="24"/>
        </w:rPr>
        <w:t xml:space="preserve"> for the long-term stewardship of resources that preserves share</w:t>
      </w:r>
      <w:r w:rsidR="0076553C">
        <w:rPr>
          <w:rFonts w:ascii="Times New Roman" w:eastAsia="Calibri" w:hAnsi="Times New Roman" w:cs="Times New Roman"/>
          <w:sz w:val="24"/>
          <w:szCs w:val="24"/>
        </w:rPr>
        <w:t>d values and community identity’</w:t>
      </w:r>
      <w:r w:rsidR="0076553C" w:rsidRPr="003C717B">
        <w:rPr>
          <w:rFonts w:ascii="Times New Roman" w:eastAsia="Calibri" w:hAnsi="Times New Roman" w:cs="Times New Roman"/>
          <w:sz w:val="24"/>
          <w:szCs w:val="24"/>
        </w:rPr>
        <w:t xml:space="preserve"> (Bollier</w:t>
      </w:r>
      <w:r w:rsidR="00045023">
        <w:rPr>
          <w:rFonts w:ascii="Times New Roman" w:eastAsia="Calibri" w:hAnsi="Times New Roman" w:cs="Times New Roman"/>
          <w:sz w:val="24"/>
          <w:szCs w:val="24"/>
        </w:rPr>
        <w:t>,</w:t>
      </w:r>
      <w:r w:rsidR="0076553C" w:rsidRPr="003C717B">
        <w:rPr>
          <w:rFonts w:ascii="Times New Roman" w:eastAsia="Calibri" w:hAnsi="Times New Roman" w:cs="Times New Roman"/>
          <w:sz w:val="24"/>
          <w:szCs w:val="24"/>
        </w:rPr>
        <w:t xml:space="preserve"> 2014, </w:t>
      </w:r>
      <w:r w:rsidR="00045023">
        <w:rPr>
          <w:rFonts w:ascii="Times New Roman" w:eastAsia="Calibri" w:hAnsi="Times New Roman" w:cs="Times New Roman"/>
          <w:sz w:val="24"/>
          <w:szCs w:val="24"/>
        </w:rPr>
        <w:t xml:space="preserve">pp. </w:t>
      </w:r>
      <w:r w:rsidR="0076553C" w:rsidRPr="003C717B">
        <w:rPr>
          <w:rFonts w:ascii="Times New Roman" w:eastAsia="Calibri" w:hAnsi="Times New Roman" w:cs="Times New Roman"/>
          <w:sz w:val="24"/>
          <w:szCs w:val="24"/>
        </w:rPr>
        <w:t>175).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next section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2F7">
        <w:rPr>
          <w:rFonts w:ascii="Times New Roman" w:eastAsia="Calibri" w:hAnsi="Times New Roman" w:cs="Times New Roman"/>
          <w:sz w:val="24"/>
          <w:szCs w:val="24"/>
        </w:rPr>
        <w:t>discusses</w:t>
      </w:r>
      <w:r w:rsidR="00A102F7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the history of CLTs</w:t>
      </w:r>
      <w:r w:rsidR="00B733D1">
        <w:rPr>
          <w:rFonts w:ascii="Times New Roman" w:eastAsia="Calibri" w:hAnsi="Times New Roman" w:cs="Times New Roman"/>
          <w:sz w:val="24"/>
          <w:szCs w:val="24"/>
        </w:rPr>
        <w:t xml:space="preserve"> and their place within the housing commons.</w:t>
      </w:r>
      <w:r w:rsidR="00B26D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0A9729" w14:textId="77777777" w:rsidR="00225863" w:rsidRDefault="00225863" w:rsidP="00045023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E2A3AF" w14:textId="6FE537B2" w:rsidR="0076553C" w:rsidRDefault="0076553C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58E">
        <w:rPr>
          <w:rFonts w:ascii="Times New Roman" w:eastAsia="Calibri" w:hAnsi="Times New Roman" w:cs="Times New Roman"/>
          <w:b/>
          <w:bCs/>
          <w:sz w:val="24"/>
          <w:szCs w:val="24"/>
        </w:rPr>
        <w:t>COMMUNITY LAND TRUSTS</w:t>
      </w:r>
      <w:r w:rsidR="008735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AND SELF-GOVERNANCE</w:t>
      </w:r>
    </w:p>
    <w:p w14:paraId="4796AC70" w14:textId="77777777" w:rsidR="001010EB" w:rsidRPr="0082384C" w:rsidRDefault="001010EB" w:rsidP="0076553C">
      <w:pPr>
        <w:pStyle w:val="Body"/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4052EF" w14:textId="2B65FF9A" w:rsidR="0076553C" w:rsidRDefault="0076553C" w:rsidP="00225863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>Community or common ownership of land is a long-standing part of a global movement for a more just, democratic and sustainable future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(Moulaert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2005)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44509">
        <w:rPr>
          <w:rFonts w:ascii="Times New Roman" w:eastAsia="Calibri" w:hAnsi="Times New Roman" w:cs="Times New Roman"/>
          <w:sz w:val="24"/>
          <w:szCs w:val="24"/>
        </w:rPr>
        <w:t xml:space="preserve">CLTs provide a mechanism for the collective ownership and control of land </w:t>
      </w:r>
      <w:r w:rsidRPr="0082384C">
        <w:rPr>
          <w:rFonts w:ascii="Times New Roman" w:eastAsia="Calibri" w:hAnsi="Times New Roman" w:cs="Times New Roman"/>
          <w:sz w:val="24"/>
          <w:szCs w:val="24"/>
        </w:rPr>
        <w:t>by removing it from the speculative market. In the US, for example, the key feature is the permanent transfer of land from the market to a trust</w:t>
      </w:r>
      <w:r w:rsidR="0097224C">
        <w:rPr>
          <w:rFonts w:ascii="Times New Roman" w:eastAsia="Calibri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typically controlled by a non-profit organisation for common benefit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In the UK, CLTs were </w:t>
      </w:r>
      <w:r w:rsidR="0097224C">
        <w:rPr>
          <w:rFonts w:ascii="Times New Roman" w:eastAsia="Calibri" w:hAnsi="Times New Roman" w:cs="Times New Roman"/>
          <w:sz w:val="24"/>
          <w:szCs w:val="24"/>
        </w:rPr>
        <w:t>legislated for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82384C">
        <w:rPr>
          <w:rFonts w:ascii="Times New Roman" w:eastAsia="Calibri" w:hAnsi="Times New Roman" w:cs="Times New Roman"/>
          <w:sz w:val="24"/>
          <w:szCs w:val="24"/>
        </w:rPr>
        <w:t>2008</w:t>
      </w:r>
      <w:r w:rsidR="00145F20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24AE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82384C">
        <w:rPr>
          <w:rFonts w:ascii="Times New Roman" w:eastAsia="Calibri" w:hAnsi="Times New Roman" w:cs="Times New Roman"/>
          <w:sz w:val="24"/>
          <w:szCs w:val="24"/>
        </w:rPr>
        <w:t>defined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as an organisation controlled by its members that uses land and other assets in the interests of a community, and where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local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people can become members. </w:t>
      </w:r>
    </w:p>
    <w:p w14:paraId="19E98C12" w14:textId="77777777" w:rsidR="001010EB" w:rsidRPr="0082384C" w:rsidRDefault="001010EB" w:rsidP="00225863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A5340" w14:textId="31F3A4E1" w:rsidR="0076553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Established in the US since the late 1960s, CLTs </w:t>
      </w:r>
      <w:r w:rsidR="00881B95">
        <w:rPr>
          <w:rFonts w:ascii="Times New Roman" w:eastAsia="Calibri" w:hAnsi="Times New Roman" w:cs="Times New Roman"/>
          <w:sz w:val="24"/>
          <w:szCs w:val="24"/>
        </w:rPr>
        <w:t xml:space="preserve">have </w:t>
      </w:r>
      <w:r w:rsidRPr="0082384C">
        <w:rPr>
          <w:rFonts w:ascii="Times New Roman" w:eastAsia="Calibri" w:hAnsi="Times New Roman" w:cs="Times New Roman"/>
          <w:sz w:val="24"/>
          <w:szCs w:val="24"/>
        </w:rPr>
        <w:t>grow</w:t>
      </w:r>
      <w:r w:rsidR="00881B95">
        <w:rPr>
          <w:rFonts w:ascii="Times New Roman" w:eastAsia="Calibri" w:hAnsi="Times New Roman" w:cs="Times New Roman"/>
          <w:sz w:val="24"/>
          <w:szCs w:val="24"/>
        </w:rPr>
        <w:t>n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in number</w:t>
      </w:r>
      <w:r>
        <w:rPr>
          <w:rFonts w:ascii="Times New Roman" w:eastAsia="Calibri" w:hAnsi="Times New Roman" w:cs="Times New Roman"/>
          <w:sz w:val="24"/>
          <w:szCs w:val="24"/>
        </w:rPr>
        <w:t>, spanning rural and urban settings,</w:t>
      </w:r>
      <w:r w:rsidR="00625C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EC1A0B">
        <w:rPr>
          <w:rFonts w:ascii="Times New Roman" w:eastAsia="Calibri" w:hAnsi="Times New Roman" w:cs="Times New Roman"/>
          <w:sz w:val="24"/>
          <w:szCs w:val="24"/>
        </w:rPr>
        <w:t>widening their international reach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(Davis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2020)</w:t>
      </w:r>
      <w:r w:rsidRPr="00EC1A0B">
        <w:rPr>
          <w:rFonts w:ascii="Times New Roman" w:eastAsia="Calibri" w:hAnsi="Times New Roman" w:cs="Times New Roman"/>
          <w:sz w:val="24"/>
          <w:szCs w:val="24"/>
        </w:rPr>
        <w:t xml:space="preserve">. Conceived within the American Civil Rights movement, its discourse of community control was influential in </w:t>
      </w:r>
      <w:r w:rsidR="0097224C">
        <w:rPr>
          <w:rFonts w:ascii="Times New Roman" w:eastAsia="Calibri" w:hAnsi="Times New Roman" w:cs="Times New Roman"/>
          <w:sz w:val="24"/>
          <w:szCs w:val="24"/>
        </w:rPr>
        <w:t xml:space="preserve">developing </w:t>
      </w:r>
      <w:r w:rsidRPr="00EC1A0B">
        <w:rPr>
          <w:rFonts w:ascii="Times New Roman" w:eastAsia="Calibri" w:hAnsi="Times New Roman" w:cs="Times New Roman"/>
          <w:sz w:val="24"/>
          <w:szCs w:val="24"/>
        </w:rPr>
        <w:t xml:space="preserve">the CLT </w:t>
      </w:r>
      <w:r w:rsidR="007A718E" w:rsidRPr="00EC1A0B">
        <w:rPr>
          <w:rFonts w:ascii="Times New Roman" w:eastAsia="Calibri" w:hAnsi="Times New Roman" w:cs="Times New Roman"/>
          <w:sz w:val="24"/>
          <w:szCs w:val="24"/>
        </w:rPr>
        <w:t xml:space="preserve">model </w:t>
      </w:r>
      <w:r w:rsidRPr="00EC1A0B">
        <w:rPr>
          <w:rFonts w:ascii="Times New Roman" w:hAnsi="Times New Roman" w:cs="Times New Roman"/>
          <w:sz w:val="24"/>
          <w:szCs w:val="24"/>
        </w:rPr>
        <w:t>(Williams, 2018)</w:t>
      </w:r>
      <w:r w:rsidRPr="00EC1A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224AE" w:rsidRPr="00B224AE">
        <w:rPr>
          <w:rFonts w:ascii="Times New Roman" w:eastAsia="Calibri" w:hAnsi="Times New Roman" w:cs="Times New Roman"/>
          <w:sz w:val="24"/>
          <w:szCs w:val="24"/>
        </w:rPr>
        <w:t xml:space="preserve">The radical potential of CLTs is often positioned within a broader struggle for marginalised communities to realise control over their environment (DeFilippis, 2003). </w:t>
      </w:r>
      <w:r w:rsidRPr="00EC1A0B">
        <w:rPr>
          <w:rFonts w:ascii="Times New Roman" w:eastAsia="Calibri" w:hAnsi="Times New Roman" w:cs="Times New Roman"/>
          <w:sz w:val="24"/>
          <w:szCs w:val="24"/>
        </w:rPr>
        <w:t>The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history of the first CLT reflects this initial promise: New Communities Inc</w:t>
      </w:r>
      <w:r w:rsidR="00B224A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was established in Georgia in 1969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to give black farmers the opportunity to control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land they farmed and lived upon (DeFilippis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2018)</w:t>
      </w:r>
      <w:r w:rsidRPr="0082384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C3C6A4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D918C" w14:textId="46AEB08C" w:rsidR="001B6AB6" w:rsidRDefault="0076553C" w:rsidP="001B6AB6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2384C">
        <w:rPr>
          <w:rFonts w:ascii="Times New Roman" w:eastAsia="Calibri" w:hAnsi="Times New Roman" w:cs="Times New Roman"/>
          <w:sz w:val="24"/>
          <w:szCs w:val="24"/>
        </w:rPr>
        <w:t>ppeal</w:t>
      </w:r>
      <w:r>
        <w:rPr>
          <w:rFonts w:ascii="Times New Roman" w:eastAsia="Calibri" w:hAnsi="Times New Roman" w:cs="Times New Roman"/>
          <w:sz w:val="24"/>
          <w:szCs w:val="24"/>
        </w:rPr>
        <w:t>ing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to both social movements and mainstream policy as a means of effecting social change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(Moore </w:t>
      </w:r>
      <w:r w:rsidR="00406811">
        <w:rPr>
          <w:rFonts w:ascii="Times New Roman" w:eastAsia="Calibri" w:hAnsi="Times New Roman" w:cs="Times New Roman"/>
          <w:sz w:val="24"/>
          <w:szCs w:val="24"/>
        </w:rPr>
        <w:t>&amp;</w:t>
      </w:r>
      <w:r w:rsidRPr="00FF1494">
        <w:rPr>
          <w:rFonts w:ascii="Times New Roman" w:eastAsia="Calibri" w:hAnsi="Times New Roman" w:cs="Times New Roman"/>
          <w:sz w:val="24"/>
          <w:szCs w:val="24"/>
        </w:rPr>
        <w:t xml:space="preserve"> McKee, </w:t>
      </w:r>
      <w:r w:rsidR="00FF1494" w:rsidRPr="00FF1494">
        <w:rPr>
          <w:rFonts w:ascii="Times New Roman" w:eastAsia="Calibri" w:hAnsi="Times New Roman" w:cs="Times New Roman"/>
          <w:sz w:val="24"/>
          <w:szCs w:val="24"/>
        </w:rPr>
        <w:t>2012</w:t>
      </w:r>
      <w:r w:rsidRPr="00FF1494">
        <w:rPr>
          <w:rFonts w:ascii="Times New Roman" w:eastAsia="Calibri" w:hAnsi="Times New Roman" w:cs="Times New Roman"/>
          <w:sz w:val="24"/>
          <w:szCs w:val="24"/>
        </w:rPr>
        <w:t>), CLTs</w:t>
      </w:r>
      <w:r w:rsidR="00881B95">
        <w:rPr>
          <w:rFonts w:ascii="Times New Roman" w:eastAsia="Calibri" w:hAnsi="Times New Roman" w:cs="Times New Roman"/>
          <w:sz w:val="24"/>
          <w:szCs w:val="24"/>
        </w:rPr>
        <w:t xml:space="preserve"> have</w:t>
      </w:r>
      <w:r w:rsidRPr="00FF1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2053">
        <w:rPr>
          <w:rFonts w:ascii="Times New Roman" w:eastAsia="Calibri" w:hAnsi="Times New Roman" w:cs="Times New Roman"/>
          <w:sz w:val="24"/>
          <w:szCs w:val="24"/>
        </w:rPr>
        <w:t>gain</w:t>
      </w:r>
      <w:r w:rsidR="00B224AE">
        <w:rPr>
          <w:rFonts w:ascii="Times New Roman" w:eastAsia="Calibri" w:hAnsi="Times New Roman" w:cs="Times New Roman"/>
          <w:sz w:val="24"/>
          <w:szCs w:val="24"/>
        </w:rPr>
        <w:t>ed</w:t>
      </w:r>
      <w:r w:rsidR="00FF2053">
        <w:rPr>
          <w:rFonts w:ascii="Times New Roman" w:eastAsia="Calibri" w:hAnsi="Times New Roman" w:cs="Times New Roman"/>
          <w:sz w:val="24"/>
          <w:szCs w:val="24"/>
        </w:rPr>
        <w:t xml:space="preserve"> momentum;</w:t>
      </w:r>
      <w:r w:rsidRPr="00FF1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B95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FF1494">
        <w:rPr>
          <w:rFonts w:ascii="Times New Roman" w:eastAsia="Calibri" w:hAnsi="Times New Roman" w:cs="Times New Roman"/>
          <w:sz w:val="24"/>
          <w:szCs w:val="24"/>
        </w:rPr>
        <w:t>expanded in the US to over 260, while doubling in England and Wales since 2017 to over 300 (Davis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</w:t>
      </w:r>
      <w:r w:rsidRPr="00FF1494">
        <w:rPr>
          <w:rFonts w:ascii="Times New Roman" w:eastAsia="Calibri" w:hAnsi="Times New Roman" w:cs="Times New Roman"/>
          <w:sz w:val="24"/>
          <w:szCs w:val="24"/>
        </w:rPr>
        <w:t xml:space="preserve">, 2020). </w:t>
      </w:r>
      <w:r w:rsidR="00FF2053">
        <w:rPr>
          <w:rFonts w:ascii="Times New Roman" w:eastAsia="Calibri" w:hAnsi="Times New Roman" w:cs="Times New Roman"/>
          <w:sz w:val="24"/>
          <w:szCs w:val="24"/>
        </w:rPr>
        <w:t>This</w:t>
      </w:r>
      <w:r w:rsidR="00B733D1">
        <w:rPr>
          <w:rFonts w:ascii="Times New Roman" w:eastAsia="Calibri" w:hAnsi="Times New Roman" w:cs="Times New Roman"/>
          <w:sz w:val="24"/>
          <w:szCs w:val="24"/>
        </w:rPr>
        <w:t xml:space="preserve"> expansion </w:t>
      </w:r>
      <w:r w:rsidR="00C175F5">
        <w:rPr>
          <w:rFonts w:ascii="Times New Roman" w:eastAsia="Calibri" w:hAnsi="Times New Roman" w:cs="Times New Roman"/>
          <w:sz w:val="24"/>
          <w:szCs w:val="24"/>
        </w:rPr>
        <w:t xml:space="preserve">has been focused on housing in particular, and </w:t>
      </w:r>
      <w:r w:rsidR="00FF2053">
        <w:rPr>
          <w:rFonts w:ascii="Times New Roman" w:eastAsia="Calibri" w:hAnsi="Times New Roman" w:cs="Times New Roman"/>
          <w:sz w:val="24"/>
          <w:szCs w:val="24"/>
        </w:rPr>
        <w:t>reflects</w:t>
      </w:r>
      <w:r w:rsidR="001B6AB6">
        <w:rPr>
          <w:rFonts w:ascii="Times New Roman" w:eastAsia="Calibri" w:hAnsi="Times New Roman" w:cs="Times New Roman"/>
          <w:sz w:val="24"/>
          <w:szCs w:val="24"/>
        </w:rPr>
        <w:t xml:space="preserve"> the recognition of CLTs as </w:t>
      </w:r>
      <w:r w:rsidR="001B6AB6" w:rsidRPr="001B6AB6">
        <w:rPr>
          <w:rFonts w:ascii="Times New Roman" w:eastAsia="Calibri" w:hAnsi="Times New Roman" w:cs="Times New Roman"/>
          <w:sz w:val="24"/>
          <w:szCs w:val="24"/>
        </w:rPr>
        <w:t>‘an innovative yet strenuous approach to facilitate collective access to affordable housing</w:t>
      </w:r>
      <w:r w:rsidR="00406811">
        <w:rPr>
          <w:rFonts w:ascii="Times New Roman" w:eastAsia="Calibri" w:hAnsi="Times New Roman" w:cs="Times New Roman"/>
          <w:sz w:val="24"/>
          <w:szCs w:val="24"/>
        </w:rPr>
        <w:t>’ (Aernouts &amp;</w:t>
      </w:r>
      <w:r w:rsidR="001B6AB6">
        <w:rPr>
          <w:rFonts w:ascii="Times New Roman" w:eastAsia="Calibri" w:hAnsi="Times New Roman" w:cs="Times New Roman"/>
          <w:sz w:val="24"/>
          <w:szCs w:val="24"/>
        </w:rPr>
        <w:t xml:space="preserve"> Ryckewaert, 2013, p. 503), and as a model for</w:t>
      </w:r>
      <w:r w:rsidR="001B6AB6" w:rsidRPr="001B6AB6">
        <w:rPr>
          <w:rFonts w:ascii="Times New Roman" w:eastAsia="Calibri" w:hAnsi="Times New Roman" w:cs="Times New Roman"/>
          <w:sz w:val="24"/>
          <w:szCs w:val="24"/>
        </w:rPr>
        <w:t xml:space="preserve"> low-income housing provision</w:t>
      </w:r>
      <w:r w:rsidR="00406811">
        <w:rPr>
          <w:rFonts w:ascii="Times New Roman" w:eastAsia="Calibri" w:hAnsi="Times New Roman" w:cs="Times New Roman"/>
          <w:sz w:val="24"/>
          <w:szCs w:val="24"/>
        </w:rPr>
        <w:t xml:space="preserve"> (Midheme &amp;</w:t>
      </w:r>
      <w:r w:rsidR="001B6AB6">
        <w:rPr>
          <w:rFonts w:ascii="Times New Roman" w:eastAsia="Calibri" w:hAnsi="Times New Roman" w:cs="Times New Roman"/>
          <w:sz w:val="24"/>
          <w:szCs w:val="24"/>
        </w:rPr>
        <w:t xml:space="preserve"> Mouleart</w:t>
      </w:r>
      <w:r w:rsidR="00406811">
        <w:rPr>
          <w:rFonts w:ascii="Times New Roman" w:eastAsia="Calibri" w:hAnsi="Times New Roman" w:cs="Times New Roman"/>
          <w:sz w:val="24"/>
          <w:szCs w:val="24"/>
        </w:rPr>
        <w:t>,</w:t>
      </w:r>
      <w:r w:rsidR="001B6AB6">
        <w:rPr>
          <w:rFonts w:ascii="Times New Roman" w:eastAsia="Calibri" w:hAnsi="Times New Roman" w:cs="Times New Roman"/>
          <w:sz w:val="24"/>
          <w:szCs w:val="24"/>
        </w:rPr>
        <w:t xml:space="preserve"> 2018)</w:t>
      </w:r>
      <w:r w:rsidR="001B6AB6" w:rsidRPr="001B6A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858640" w14:textId="77777777" w:rsidR="001010EB" w:rsidRDefault="001010EB" w:rsidP="001B6AB6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52D1E" w14:textId="63DA4CB7" w:rsidR="0076553C" w:rsidRDefault="0076553C" w:rsidP="001B6AB6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94">
        <w:rPr>
          <w:rFonts w:ascii="Times New Roman" w:eastAsia="Calibri" w:hAnsi="Times New Roman" w:cs="Times New Roman"/>
          <w:sz w:val="24"/>
          <w:szCs w:val="24"/>
        </w:rPr>
        <w:t>Th</w:t>
      </w:r>
      <w:r w:rsidR="00881B95">
        <w:rPr>
          <w:rFonts w:ascii="Times New Roman" w:eastAsia="Calibri" w:hAnsi="Times New Roman" w:cs="Times New Roman"/>
          <w:sz w:val="24"/>
          <w:szCs w:val="24"/>
        </w:rPr>
        <w:t>is</w:t>
      </w:r>
      <w:r w:rsidR="001B6AB6">
        <w:rPr>
          <w:rFonts w:ascii="Times New Roman" w:eastAsia="Calibri" w:hAnsi="Times New Roman" w:cs="Times New Roman"/>
          <w:sz w:val="24"/>
          <w:szCs w:val="24"/>
        </w:rPr>
        <w:t xml:space="preserve"> expansion</w:t>
      </w:r>
      <w:r w:rsidR="00DB05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1494">
        <w:rPr>
          <w:rFonts w:ascii="Times New Roman" w:eastAsia="Calibri" w:hAnsi="Times New Roman" w:cs="Times New Roman"/>
          <w:sz w:val="24"/>
          <w:szCs w:val="24"/>
        </w:rPr>
        <w:t>has</w:t>
      </w:r>
      <w:r w:rsidR="001428CF">
        <w:rPr>
          <w:rFonts w:ascii="Times New Roman" w:eastAsia="Calibri" w:hAnsi="Times New Roman" w:cs="Times New Roman"/>
          <w:sz w:val="24"/>
          <w:szCs w:val="24"/>
        </w:rPr>
        <w:t>,</w:t>
      </w:r>
      <w:r w:rsidRPr="00FF1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AB6">
        <w:rPr>
          <w:rFonts w:ascii="Times New Roman" w:eastAsia="Calibri" w:hAnsi="Times New Roman" w:cs="Times New Roman"/>
          <w:sz w:val="24"/>
          <w:szCs w:val="24"/>
        </w:rPr>
        <w:t>however</w:t>
      </w:r>
      <w:r w:rsidR="001428CF">
        <w:rPr>
          <w:rFonts w:ascii="Times New Roman" w:eastAsia="Calibri" w:hAnsi="Times New Roman" w:cs="Times New Roman"/>
          <w:sz w:val="24"/>
          <w:szCs w:val="24"/>
        </w:rPr>
        <w:t>,</w:t>
      </w:r>
      <w:r w:rsidR="001B6A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28CF">
        <w:rPr>
          <w:rFonts w:ascii="Times New Roman" w:eastAsia="Calibri" w:hAnsi="Times New Roman" w:cs="Times New Roman"/>
          <w:sz w:val="24"/>
          <w:szCs w:val="24"/>
        </w:rPr>
        <w:t>thrown into relief</w:t>
      </w:r>
      <w:r w:rsidRPr="00FF1494">
        <w:rPr>
          <w:rFonts w:ascii="Times New Roman" w:eastAsia="Calibri" w:hAnsi="Times New Roman" w:cs="Times New Roman"/>
          <w:sz w:val="24"/>
          <w:szCs w:val="24"/>
        </w:rPr>
        <w:t xml:space="preserve"> the limits of community control. A perceived drift away from a focus on community contro</w:t>
      </w:r>
      <w:r w:rsidR="00406811">
        <w:rPr>
          <w:rFonts w:ascii="Times New Roman" w:eastAsia="Calibri" w:hAnsi="Times New Roman" w:cs="Times New Roman"/>
          <w:sz w:val="24"/>
          <w:szCs w:val="24"/>
        </w:rPr>
        <w:t>l (Moore &amp;</w:t>
      </w:r>
      <w:r w:rsidRPr="00FF1494">
        <w:rPr>
          <w:rFonts w:ascii="Times New Roman" w:eastAsia="Calibri" w:hAnsi="Times New Roman" w:cs="Times New Roman"/>
          <w:sz w:val="24"/>
          <w:szCs w:val="24"/>
        </w:rPr>
        <w:t xml:space="preserve"> McKee, </w:t>
      </w:r>
      <w:r w:rsidR="00FF1494" w:rsidRPr="00FF1494">
        <w:rPr>
          <w:rFonts w:ascii="Times New Roman" w:eastAsia="Calibri" w:hAnsi="Times New Roman" w:cs="Times New Roman"/>
          <w:sz w:val="24"/>
          <w:szCs w:val="24"/>
        </w:rPr>
        <w:t>2012</w:t>
      </w:r>
      <w:r w:rsidRPr="00FF1494">
        <w:rPr>
          <w:rFonts w:ascii="Times New Roman" w:eastAsia="Calibri" w:hAnsi="Times New Roman" w:cs="Times New Roman"/>
          <w:sz w:val="24"/>
          <w:szCs w:val="24"/>
        </w:rPr>
        <w:t>), ha</w:t>
      </w:r>
      <w:r w:rsidR="00DB056F">
        <w:rPr>
          <w:rFonts w:ascii="Times New Roman" w:eastAsia="Calibri" w:hAnsi="Times New Roman" w:cs="Times New Roman"/>
          <w:sz w:val="24"/>
          <w:szCs w:val="24"/>
        </w:rPr>
        <w:t>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ignited the argument that </w:t>
      </w:r>
      <w:r w:rsidRPr="0082384C">
        <w:rPr>
          <w:rFonts w:ascii="Times New Roman" w:eastAsia="Calibri" w:hAnsi="Times New Roman" w:cs="Times New Roman"/>
          <w:sz w:val="24"/>
          <w:szCs w:val="24"/>
          <w:rtl/>
        </w:rPr>
        <w:t>‘</w:t>
      </w:r>
      <w:r w:rsidRPr="0082384C">
        <w:rPr>
          <w:rFonts w:ascii="Times New Roman" w:eastAsia="Calibri" w:hAnsi="Times New Roman" w:cs="Times New Roman"/>
          <w:sz w:val="24"/>
          <w:szCs w:val="24"/>
        </w:rPr>
        <w:t>the soul’ of CLTs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is now at risk </w:t>
      </w:r>
      <w:r w:rsidR="007307D4">
        <w:rPr>
          <w:rFonts w:ascii="Times New Roman" w:hAnsi="Times New Roman" w:cs="Times New Roman"/>
          <w:sz w:val="24"/>
          <w:szCs w:val="24"/>
        </w:rPr>
        <w:t>(Davis</w:t>
      </w:r>
      <w:r w:rsidR="00406811">
        <w:rPr>
          <w:rFonts w:ascii="Times New Roman" w:hAnsi="Times New Roman" w:cs="Times New Roman"/>
          <w:sz w:val="24"/>
          <w:szCs w:val="24"/>
        </w:rPr>
        <w:t>,</w:t>
      </w:r>
      <w:r w:rsidR="007307D4">
        <w:rPr>
          <w:rFonts w:ascii="Times New Roman" w:hAnsi="Times New Roman" w:cs="Times New Roman"/>
          <w:sz w:val="24"/>
          <w:szCs w:val="24"/>
        </w:rPr>
        <w:t xml:space="preserve"> 2008, pp. 38; </w:t>
      </w:r>
      <w:r>
        <w:rPr>
          <w:rFonts w:ascii="Times New Roman" w:eastAsia="Calibri" w:hAnsi="Times New Roman" w:cs="Times New Roman"/>
          <w:sz w:val="24"/>
          <w:szCs w:val="24"/>
        </w:rPr>
        <w:t>DeFilippis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2018)</w:t>
      </w:r>
      <w:r w:rsidRPr="0082384C">
        <w:rPr>
          <w:rFonts w:ascii="Times New Roman" w:eastAsia="Calibri" w:hAnsi="Times New Roman" w:cs="Times New Roman"/>
          <w:sz w:val="24"/>
          <w:szCs w:val="24"/>
        </w:rPr>
        <w:t>. There are concerns that the degree of community control</w:t>
      </w:r>
      <w:r w:rsidR="00FB757B">
        <w:rPr>
          <w:rFonts w:ascii="Times New Roman" w:eastAsia="Calibri" w:hAnsi="Times New Roman" w:cs="Times New Roman"/>
          <w:sz w:val="24"/>
          <w:szCs w:val="24"/>
        </w:rPr>
        <w:t>, i.e. self-gover</w:t>
      </w:r>
      <w:r w:rsidR="00DE5BC6">
        <w:rPr>
          <w:rFonts w:ascii="Times New Roman" w:eastAsia="Calibri" w:hAnsi="Times New Roman" w:cs="Times New Roman"/>
          <w:sz w:val="24"/>
          <w:szCs w:val="24"/>
        </w:rPr>
        <w:t>n</w:t>
      </w:r>
      <w:r w:rsidR="00FB757B">
        <w:rPr>
          <w:rFonts w:ascii="Times New Roman" w:eastAsia="Calibri" w:hAnsi="Times New Roman" w:cs="Times New Roman"/>
          <w:sz w:val="24"/>
          <w:szCs w:val="24"/>
        </w:rPr>
        <w:t xml:space="preserve">ance </w:t>
      </w:r>
      <w:r w:rsidRPr="0082384C">
        <w:rPr>
          <w:rFonts w:ascii="Times New Roman" w:eastAsia="Calibri" w:hAnsi="Times New Roman" w:cs="Times New Roman"/>
          <w:sz w:val="24"/>
          <w:szCs w:val="24"/>
        </w:rPr>
        <w:t>realised through CLTs</w:t>
      </w:r>
      <w:r w:rsidR="00841DF3">
        <w:rPr>
          <w:rFonts w:ascii="Times New Roman" w:eastAsia="Calibri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has been compromised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the pursuit of </w:t>
      </w:r>
      <w:r w:rsidR="00145F20">
        <w:rPr>
          <w:rFonts w:ascii="Times New Roman" w:eastAsia="Calibri" w:hAnsi="Times New Roman" w:cs="Times New Roman"/>
          <w:sz w:val="24"/>
          <w:szCs w:val="24"/>
        </w:rPr>
        <w:t>organis</w:t>
      </w:r>
      <w:r>
        <w:rPr>
          <w:rFonts w:ascii="Times New Roman" w:eastAsia="Calibri" w:hAnsi="Times New Roman" w:cs="Times New Roman"/>
          <w:sz w:val="24"/>
          <w:szCs w:val="24"/>
        </w:rPr>
        <w:t xml:space="preserve">ational sustainability </w:t>
      </w:r>
      <w:r w:rsidR="00045023">
        <w:rPr>
          <w:rFonts w:ascii="Times New Roman" w:eastAsia="Calibri" w:hAnsi="Times New Roman" w:cs="Times New Roman"/>
          <w:sz w:val="24"/>
          <w:szCs w:val="24"/>
        </w:rPr>
        <w:t>(D</w:t>
      </w:r>
      <w:r w:rsidRPr="007972E8">
        <w:rPr>
          <w:rFonts w:ascii="Times New Roman" w:eastAsia="Calibri" w:hAnsi="Times New Roman" w:cs="Times New Roman"/>
          <w:sz w:val="24"/>
          <w:szCs w:val="24"/>
        </w:rPr>
        <w:t>eFilippis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.,</w:t>
      </w:r>
      <w:r w:rsidRPr="007972E8">
        <w:rPr>
          <w:rFonts w:ascii="Times New Roman" w:eastAsia="Calibri" w:hAnsi="Times New Roman" w:cs="Times New Roman"/>
          <w:sz w:val="24"/>
          <w:szCs w:val="24"/>
        </w:rPr>
        <w:t xml:space="preserve"> 2018)</w:t>
      </w:r>
      <w:r>
        <w:rPr>
          <w:rFonts w:ascii="Times New Roman" w:eastAsia="Calibri" w:hAnsi="Times New Roman" w:cs="Times New Roman"/>
          <w:sz w:val="24"/>
          <w:szCs w:val="24"/>
        </w:rPr>
        <w:t>. For some commentators, community control now amounts to little more than a ‘symbolic</w:t>
      </w:r>
      <w:r w:rsidR="00406811">
        <w:rPr>
          <w:rFonts w:ascii="Times New Roman" w:eastAsia="Calibri" w:hAnsi="Times New Roman" w:cs="Times New Roman"/>
          <w:sz w:val="24"/>
          <w:szCs w:val="24"/>
        </w:rPr>
        <w:t xml:space="preserve"> message’ (Thaden &amp;</w:t>
      </w:r>
      <w:r w:rsidR="00045023">
        <w:rPr>
          <w:rFonts w:ascii="Times New Roman" w:eastAsia="Calibri" w:hAnsi="Times New Roman" w:cs="Times New Roman"/>
          <w:sz w:val="24"/>
          <w:szCs w:val="24"/>
        </w:rPr>
        <w:t xml:space="preserve"> Lowe, 2016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pp. </w:t>
      </w:r>
      <w:r w:rsidR="00045023">
        <w:rPr>
          <w:rFonts w:ascii="Times New Roman" w:eastAsia="Calibri" w:hAnsi="Times New Roman" w:cs="Times New Roman"/>
          <w:sz w:val="24"/>
          <w:szCs w:val="24"/>
        </w:rPr>
        <w:t>61</w:t>
      </w:r>
      <w:r>
        <w:rPr>
          <w:rFonts w:ascii="Times New Roman" w:eastAsia="Calibri" w:hAnsi="Times New Roman" w:cs="Times New Roman"/>
          <w:sz w:val="24"/>
          <w:szCs w:val="24"/>
        </w:rPr>
        <w:t xml:space="preserve">1). </w:t>
      </w:r>
      <w:r w:rsidR="00C545D5">
        <w:rPr>
          <w:rFonts w:ascii="Times New Roman" w:eastAsia="Calibri" w:hAnsi="Times New Roman" w:cs="Times New Roman"/>
          <w:sz w:val="24"/>
          <w:szCs w:val="24"/>
        </w:rPr>
        <w:t>T</w:t>
      </w:r>
      <w:r w:rsidR="00CF51B1">
        <w:rPr>
          <w:rFonts w:ascii="Times New Roman" w:eastAsia="Calibri" w:hAnsi="Times New Roman" w:cs="Times New Roman"/>
          <w:sz w:val="24"/>
          <w:szCs w:val="24"/>
        </w:rPr>
        <w:t>he debate about community control is fund</w:t>
      </w:r>
      <w:r w:rsidR="00625C1A">
        <w:rPr>
          <w:rFonts w:ascii="Times New Roman" w:eastAsia="Calibri" w:hAnsi="Times New Roman" w:cs="Times New Roman"/>
          <w:sz w:val="24"/>
          <w:szCs w:val="24"/>
        </w:rPr>
        <w:t>a</w:t>
      </w:r>
      <w:r w:rsidR="00CF51B1">
        <w:rPr>
          <w:rFonts w:ascii="Times New Roman" w:eastAsia="Calibri" w:hAnsi="Times New Roman" w:cs="Times New Roman"/>
          <w:sz w:val="24"/>
          <w:szCs w:val="24"/>
        </w:rPr>
        <w:t>m</w:t>
      </w:r>
      <w:r w:rsidR="00DE5BC6">
        <w:rPr>
          <w:rFonts w:ascii="Times New Roman" w:eastAsia="Calibri" w:hAnsi="Times New Roman" w:cs="Times New Roman"/>
          <w:sz w:val="24"/>
          <w:szCs w:val="24"/>
        </w:rPr>
        <w:t>e</w:t>
      </w:r>
      <w:r w:rsidR="00CF51B1">
        <w:rPr>
          <w:rFonts w:ascii="Times New Roman" w:eastAsia="Calibri" w:hAnsi="Times New Roman" w:cs="Times New Roman"/>
          <w:sz w:val="24"/>
          <w:szCs w:val="24"/>
        </w:rPr>
        <w:t>ntally about the degree to which governance arrang</w:t>
      </w:r>
      <w:r w:rsidR="00DE5BC6">
        <w:rPr>
          <w:rFonts w:ascii="Times New Roman" w:eastAsia="Calibri" w:hAnsi="Times New Roman" w:cs="Times New Roman"/>
          <w:sz w:val="24"/>
          <w:szCs w:val="24"/>
        </w:rPr>
        <w:t>e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ments in housing commons represent </w:t>
      </w:r>
      <w:r w:rsidR="00CF51B1" w:rsidRPr="007623C2">
        <w:rPr>
          <w:rFonts w:ascii="Times New Roman" w:eastAsia="Calibri" w:hAnsi="Times New Roman" w:cs="Times New Roman"/>
          <w:sz w:val="24"/>
          <w:szCs w:val="24"/>
        </w:rPr>
        <w:t>collective ownership and decision-making power over resource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="006B1EE6">
        <w:rPr>
          <w:rFonts w:ascii="Times New Roman" w:eastAsia="Calibri" w:hAnsi="Times New Roman" w:cs="Times New Roman"/>
          <w:sz w:val="24"/>
          <w:szCs w:val="24"/>
        </w:rPr>
        <w:t>The battle over the soul of CLTs is significant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1EE6">
        <w:rPr>
          <w:rFonts w:ascii="Times New Roman" w:eastAsia="Calibri" w:hAnsi="Times New Roman" w:cs="Times New Roman"/>
          <w:sz w:val="24"/>
          <w:szCs w:val="24"/>
        </w:rPr>
        <w:t xml:space="preserve">because it questions the degree to which </w:t>
      </w:r>
      <w:r w:rsidR="00E97705">
        <w:rPr>
          <w:rFonts w:ascii="Times New Roman" w:eastAsia="Calibri" w:hAnsi="Times New Roman" w:cs="Times New Roman"/>
          <w:sz w:val="24"/>
          <w:szCs w:val="24"/>
        </w:rPr>
        <w:t xml:space="preserve">meaningful commoning </w:t>
      </w:r>
      <w:r w:rsidR="00105C39">
        <w:rPr>
          <w:rFonts w:ascii="Times New Roman" w:eastAsia="Calibri" w:hAnsi="Times New Roman" w:cs="Times New Roman"/>
          <w:sz w:val="24"/>
          <w:szCs w:val="24"/>
        </w:rPr>
        <w:t xml:space="preserve">can be assumed to </w:t>
      </w:r>
      <w:r w:rsidR="00E97705">
        <w:rPr>
          <w:rFonts w:ascii="Times New Roman" w:eastAsia="Calibri" w:hAnsi="Times New Roman" w:cs="Times New Roman"/>
          <w:sz w:val="24"/>
          <w:szCs w:val="24"/>
        </w:rPr>
        <w:t>exist</w:t>
      </w:r>
      <w:r w:rsidR="006B1EE6">
        <w:rPr>
          <w:rFonts w:ascii="Times New Roman" w:eastAsia="Calibri" w:hAnsi="Times New Roman" w:cs="Times New Roman"/>
          <w:sz w:val="24"/>
          <w:szCs w:val="24"/>
        </w:rPr>
        <w:t xml:space="preserve"> in some of these housing-orientated organisations</w:t>
      </w:r>
      <w:r w:rsidR="00105C39">
        <w:rPr>
          <w:rFonts w:ascii="Times New Roman" w:eastAsia="Calibri" w:hAnsi="Times New Roman" w:cs="Times New Roman"/>
          <w:sz w:val="24"/>
          <w:szCs w:val="24"/>
        </w:rPr>
        <w:t xml:space="preserve"> (Bezdek, forthcoming)</w:t>
      </w:r>
      <w:r w:rsidR="006B1EE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Our study thus interrogates further this </w:t>
      </w:r>
      <w:r w:rsidR="00DE5BC6">
        <w:rPr>
          <w:rFonts w:ascii="Times New Roman" w:eastAsia="Calibri" w:hAnsi="Times New Roman" w:cs="Times New Roman"/>
          <w:sz w:val="24"/>
          <w:szCs w:val="24"/>
        </w:rPr>
        <w:t>ambiguous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but </w:t>
      </w:r>
      <w:r w:rsidRPr="0082384C">
        <w:rPr>
          <w:rFonts w:ascii="Times New Roman" w:eastAsia="Calibri" w:hAnsi="Times New Roman" w:cs="Times New Roman"/>
          <w:sz w:val="24"/>
          <w:szCs w:val="24"/>
        </w:rPr>
        <w:t>crucial notion of community control</w:t>
      </w:r>
      <w:r>
        <w:rPr>
          <w:rFonts w:ascii="Times New Roman" w:eastAsia="Calibri" w:hAnsi="Times New Roman" w:cs="Times New Roman"/>
          <w:sz w:val="24"/>
          <w:szCs w:val="24"/>
        </w:rPr>
        <w:t xml:space="preserve"> (Williams, 2018</w:t>
      </w:r>
      <w:r w:rsidR="001B6AB6">
        <w:rPr>
          <w:rFonts w:ascii="Times New Roman" w:eastAsia="Calibri" w:hAnsi="Times New Roman" w:cs="Times New Roman"/>
          <w:sz w:val="24"/>
          <w:szCs w:val="24"/>
        </w:rPr>
        <w:t>) in the housing commons, through the example of CLTs focused on housing provision.</w:t>
      </w:r>
    </w:p>
    <w:p w14:paraId="185BC719" w14:textId="77777777" w:rsidR="001010EB" w:rsidRDefault="001010EB" w:rsidP="001B6AB6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20AF7D" w14:textId="57FF5F65" w:rsidR="0076553C" w:rsidRDefault="00746A29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It is recogni</w:t>
      </w:r>
      <w:r w:rsidR="00CB7D6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ed that studies of the commons </w:t>
      </w:r>
      <w:r w:rsidR="005417A5">
        <w:rPr>
          <w:rFonts w:ascii="Times New Roman" w:eastAsia="Calibri" w:hAnsi="Times New Roman" w:cs="Times New Roman"/>
          <w:sz w:val="24"/>
          <w:szCs w:val="24"/>
        </w:rPr>
        <w:t xml:space="preserve">require </w:t>
      </w:r>
      <w:r>
        <w:rPr>
          <w:rFonts w:ascii="Times New Roman" w:eastAsia="Calibri" w:hAnsi="Times New Roman" w:cs="Times New Roman"/>
          <w:sz w:val="24"/>
          <w:szCs w:val="24"/>
        </w:rPr>
        <w:t>starting from a position of optimism (</w:t>
      </w:r>
      <w:r w:rsidRPr="00746A29">
        <w:rPr>
          <w:rFonts w:ascii="Times New Roman" w:eastAsia="Calibri" w:hAnsi="Times New Roman" w:cs="Times New Roman"/>
          <w:sz w:val="24"/>
          <w:szCs w:val="24"/>
        </w:rPr>
        <w:t>Tummers</w:t>
      </w:r>
      <w:r w:rsidR="00406811">
        <w:rPr>
          <w:rFonts w:ascii="Times New Roman" w:eastAsia="Calibri" w:hAnsi="Times New Roman" w:cs="Times New Roman"/>
          <w:sz w:val="24"/>
          <w:szCs w:val="24"/>
        </w:rPr>
        <w:t xml:space="preserve"> &amp;</w:t>
      </w:r>
      <w:r w:rsidRPr="00746A29">
        <w:rPr>
          <w:rFonts w:ascii="Times New Roman" w:eastAsia="Calibri" w:hAnsi="Times New Roman" w:cs="Times New Roman"/>
          <w:sz w:val="24"/>
          <w:szCs w:val="24"/>
        </w:rPr>
        <w:t xml:space="preserve"> MacGregor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46A29">
        <w:rPr>
          <w:rFonts w:ascii="Times New Roman" w:eastAsia="Calibri" w:hAnsi="Times New Roman" w:cs="Times New Roman"/>
          <w:sz w:val="24"/>
          <w:szCs w:val="24"/>
        </w:rPr>
        <w:t>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p. 63). </w:t>
      </w:r>
      <w:r w:rsidR="00C47503">
        <w:rPr>
          <w:rFonts w:ascii="Times New Roman" w:eastAsia="Calibri" w:hAnsi="Times New Roman" w:cs="Times New Roman"/>
          <w:sz w:val="24"/>
          <w:szCs w:val="24"/>
        </w:rPr>
        <w:t>In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a rapidly developing field </w:t>
      </w:r>
      <w:r w:rsidR="00EB0299">
        <w:rPr>
          <w:rFonts w:ascii="Times New Roman" w:eastAsia="Calibri" w:hAnsi="Times New Roman" w:cs="Times New Roman"/>
          <w:sz w:val="24"/>
          <w:szCs w:val="24"/>
        </w:rPr>
        <w:t>with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a strong normative orientation, </w:t>
      </w:r>
      <w:r w:rsidR="002961AD">
        <w:rPr>
          <w:rFonts w:ascii="Times New Roman" w:eastAsia="Calibri" w:hAnsi="Times New Roman" w:cs="Times New Roman"/>
          <w:sz w:val="24"/>
          <w:szCs w:val="24"/>
        </w:rPr>
        <w:t xml:space="preserve">while hope </w:t>
      </w:r>
      <w:r w:rsidR="00EB0299">
        <w:rPr>
          <w:rFonts w:ascii="Times New Roman" w:eastAsia="Calibri" w:hAnsi="Times New Roman" w:cs="Times New Roman"/>
          <w:sz w:val="24"/>
          <w:szCs w:val="24"/>
        </w:rPr>
        <w:t>enables</w:t>
      </w:r>
      <w:r w:rsidR="002961AD" w:rsidRPr="00B74E34">
        <w:rPr>
          <w:rFonts w:ascii="Times New Roman" w:eastAsia="Calibri" w:hAnsi="Times New Roman" w:cs="Times New Roman"/>
          <w:sz w:val="24"/>
          <w:szCs w:val="24"/>
        </w:rPr>
        <w:t xml:space="preserve"> social movement building,</w:t>
      </w:r>
      <w:r w:rsidR="002961AD">
        <w:rPr>
          <w:rFonts w:ascii="Times New Roman" w:eastAsia="Calibri" w:hAnsi="Times New Roman" w:cs="Times New Roman"/>
          <w:sz w:val="24"/>
          <w:szCs w:val="24"/>
        </w:rPr>
        <w:t xml:space="preserve"> it </w:t>
      </w:r>
      <w:r w:rsidR="001F09C8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450817">
        <w:rPr>
          <w:rFonts w:ascii="Times New Roman" w:eastAsia="Calibri" w:hAnsi="Times New Roman" w:cs="Times New Roman"/>
          <w:sz w:val="24"/>
          <w:szCs w:val="24"/>
        </w:rPr>
        <w:t xml:space="preserve">insufficient </w:t>
      </w:r>
      <w:r w:rsidR="001F09C8">
        <w:rPr>
          <w:rFonts w:ascii="Times New Roman" w:eastAsia="Calibri" w:hAnsi="Times New Roman" w:cs="Times New Roman"/>
          <w:sz w:val="24"/>
          <w:szCs w:val="24"/>
        </w:rPr>
        <w:t>for</w:t>
      </w:r>
      <w:r w:rsidR="002961AD">
        <w:rPr>
          <w:rFonts w:ascii="Times New Roman" w:eastAsia="Calibri" w:hAnsi="Times New Roman" w:cs="Times New Roman"/>
          <w:sz w:val="24"/>
          <w:szCs w:val="24"/>
        </w:rPr>
        <w:t xml:space="preserve"> understanding potential success factors. Our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systematic and comparative analysis </w:t>
      </w:r>
      <w:r w:rsidR="00E97705">
        <w:rPr>
          <w:rFonts w:ascii="Times New Roman" w:eastAsia="Calibri" w:hAnsi="Times New Roman" w:cs="Times New Roman"/>
          <w:sz w:val="24"/>
          <w:szCs w:val="24"/>
        </w:rPr>
        <w:t>advances the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conceptuali</w:t>
      </w:r>
      <w:r w:rsidR="0076553C">
        <w:rPr>
          <w:rFonts w:ascii="Times New Roman" w:eastAsia="Calibri" w:hAnsi="Times New Roman" w:cs="Times New Roman"/>
          <w:sz w:val="24"/>
          <w:szCs w:val="24"/>
        </w:rPr>
        <w:t>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ation of CLTs as a </w:t>
      </w:r>
      <w:r w:rsidR="008402FF">
        <w:rPr>
          <w:rFonts w:ascii="Times New Roman" w:eastAsia="Calibri" w:hAnsi="Times New Roman" w:cs="Times New Roman"/>
          <w:sz w:val="24"/>
          <w:szCs w:val="24"/>
        </w:rPr>
        <w:t>form of</w:t>
      </w:r>
      <w:r w:rsidR="00C175F5">
        <w:rPr>
          <w:rFonts w:ascii="Times New Roman" w:eastAsia="Calibri" w:hAnsi="Times New Roman" w:cs="Times New Roman"/>
          <w:sz w:val="24"/>
          <w:szCs w:val="24"/>
        </w:rPr>
        <w:t xml:space="preserve"> govern</w:t>
      </w:r>
      <w:r w:rsidR="008402FF">
        <w:rPr>
          <w:rFonts w:ascii="Times New Roman" w:eastAsia="Calibri" w:hAnsi="Times New Roman" w:cs="Times New Roman"/>
          <w:sz w:val="24"/>
          <w:szCs w:val="24"/>
        </w:rPr>
        <w:t>ance for</w:t>
      </w:r>
      <w:r w:rsidR="00C175F5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housing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commons. </w:t>
      </w:r>
      <w:r w:rsidR="0076553C">
        <w:rPr>
          <w:rFonts w:ascii="Times New Roman" w:eastAsia="Calibri" w:hAnsi="Times New Roman" w:cs="Times New Roman"/>
          <w:sz w:val="24"/>
          <w:szCs w:val="24"/>
        </w:rPr>
        <w:t>This paper responds to calls for greater attention to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‘understanding the dynamics of resource management institutions’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(Stern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</w:t>
      </w:r>
      <w:r w:rsidR="0076553C">
        <w:rPr>
          <w:rFonts w:ascii="Times New Roman" w:eastAsia="Calibri" w:hAnsi="Times New Roman" w:cs="Times New Roman"/>
          <w:sz w:val="24"/>
          <w:szCs w:val="24"/>
        </w:rPr>
        <w:t>, 2012, pp. 469), by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map</w:t>
      </w:r>
      <w:r w:rsidR="0076553C">
        <w:rPr>
          <w:rFonts w:ascii="Times New Roman" w:eastAsia="Calibri" w:hAnsi="Times New Roman" w:cs="Times New Roman"/>
          <w:sz w:val="24"/>
          <w:szCs w:val="24"/>
        </w:rPr>
        <w:t>ping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out different combinations of institutional designs ‘that [can] cope effectively with the attributes of a particular resource given the larger macro-political institutions, culture, and economic environment in which that resource is embedded’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(Dietz et al</w:t>
      </w:r>
      <w:r w:rsidR="00406811">
        <w:rPr>
          <w:rFonts w:ascii="Times New Roman" w:eastAsia="Calibri" w:hAnsi="Times New Roman" w:cs="Times New Roman"/>
          <w:sz w:val="24"/>
          <w:szCs w:val="24"/>
        </w:rPr>
        <w:t>.</w:t>
      </w:r>
      <w:r w:rsidR="0076553C">
        <w:rPr>
          <w:rFonts w:ascii="Times New Roman" w:eastAsia="Calibri" w:hAnsi="Times New Roman" w:cs="Times New Roman"/>
          <w:sz w:val="24"/>
          <w:szCs w:val="24"/>
        </w:rPr>
        <w:t>, 2002, pp. 25)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. In the next section, we outline our configurative comparative analysis </w:t>
      </w:r>
      <w:r w:rsidR="0076553C" w:rsidRPr="00666CC9">
        <w:rPr>
          <w:rFonts w:ascii="Times New Roman" w:eastAsia="Calibri" w:hAnsi="Times New Roman" w:cs="Times New Roman"/>
          <w:sz w:val="24"/>
          <w:szCs w:val="24"/>
        </w:rPr>
        <w:t xml:space="preserve">of CLTs. </w:t>
      </w:r>
    </w:p>
    <w:p w14:paraId="4D4114D8" w14:textId="77777777" w:rsidR="00E238E7" w:rsidRDefault="00E238E7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CF23B4" w14:textId="6CD6FE71" w:rsidR="00045023" w:rsidRDefault="0076553C" w:rsidP="00045023">
      <w:pPr>
        <w:pStyle w:val="Body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METHODOLOGY</w:t>
      </w:r>
    </w:p>
    <w:p w14:paraId="0EEC1E8E" w14:textId="77777777" w:rsidR="001010EB" w:rsidRDefault="001010EB" w:rsidP="00045023">
      <w:pPr>
        <w:pStyle w:val="Body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5542E5" w14:textId="37CB5386" w:rsidR="001F09C8" w:rsidRDefault="0076553C" w:rsidP="00225863">
      <w:pPr>
        <w:pStyle w:val="Body"/>
        <w:spacing w:line="480" w:lineRule="auto"/>
        <w:jc w:val="both"/>
        <w:rPr>
          <w:rFonts w:eastAsia="Calibri"/>
          <w:bCs/>
        </w:rPr>
      </w:pPr>
      <w:r w:rsidRPr="00045023">
        <w:rPr>
          <w:rFonts w:ascii="Times New Roman" w:eastAsia="Calibri" w:hAnsi="Times New Roman" w:cs="Times New Roman"/>
          <w:sz w:val="24"/>
          <w:szCs w:val="24"/>
        </w:rPr>
        <w:t>Our approach is rooted in case-based method</w:t>
      </w:r>
      <w:r w:rsidR="00045023">
        <w:rPr>
          <w:rFonts w:ascii="Times New Roman" w:eastAsia="Calibri" w:hAnsi="Times New Roman" w:cs="Times New Roman"/>
          <w:sz w:val="24"/>
          <w:szCs w:val="24"/>
        </w:rPr>
        <w:t>ologies, and the application of configurative comparative analysis (CCA) (Byrne &amp;</w:t>
      </w:r>
      <w:r w:rsidR="00045023" w:rsidRPr="00045023">
        <w:rPr>
          <w:rFonts w:ascii="Times New Roman" w:hAnsi="Times New Roman" w:cs="Times New Roman"/>
          <w:sz w:val="24"/>
          <w:szCs w:val="24"/>
        </w:rPr>
        <w:t xml:space="preserve"> Ragin, 2009</w:t>
      </w:r>
      <w:r w:rsidR="00406811">
        <w:rPr>
          <w:rFonts w:ascii="Times New Roman" w:hAnsi="Times New Roman" w:cs="Times New Roman"/>
          <w:sz w:val="24"/>
          <w:szCs w:val="24"/>
        </w:rPr>
        <w:t>, Rihoux &amp;</w:t>
      </w:r>
      <w:r w:rsidR="005F329A">
        <w:rPr>
          <w:rFonts w:ascii="Times New Roman" w:hAnsi="Times New Roman" w:cs="Times New Roman"/>
          <w:sz w:val="24"/>
          <w:szCs w:val="24"/>
        </w:rPr>
        <w:t xml:space="preserve"> Ragin</w:t>
      </w:r>
      <w:r w:rsidR="00406811">
        <w:rPr>
          <w:rFonts w:ascii="Times New Roman" w:hAnsi="Times New Roman" w:cs="Times New Roman"/>
          <w:sz w:val="24"/>
          <w:szCs w:val="24"/>
        </w:rPr>
        <w:t>,</w:t>
      </w:r>
      <w:r w:rsidR="005F329A">
        <w:rPr>
          <w:rFonts w:ascii="Times New Roman" w:hAnsi="Times New Roman" w:cs="Times New Roman"/>
          <w:sz w:val="24"/>
          <w:szCs w:val="24"/>
        </w:rPr>
        <w:t xml:space="preserve"> 2009</w:t>
      </w:r>
      <w:r w:rsidRPr="00045023">
        <w:rPr>
          <w:rFonts w:ascii="Times New Roman" w:hAnsi="Times New Roman" w:cs="Times New Roman"/>
          <w:sz w:val="24"/>
          <w:szCs w:val="24"/>
        </w:rPr>
        <w:t>)</w:t>
      </w:r>
      <w:r w:rsidR="00B92D65">
        <w:rPr>
          <w:rFonts w:ascii="Times New Roman" w:hAnsi="Times New Roman" w:cs="Times New Roman"/>
          <w:sz w:val="24"/>
          <w:szCs w:val="24"/>
        </w:rPr>
        <w:t>. CCA</w:t>
      </w:r>
      <w:r w:rsidR="00CA5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23">
        <w:rPr>
          <w:rFonts w:ascii="Times New Roman" w:eastAsia="Calibri" w:hAnsi="Times New Roman" w:cs="Times New Roman"/>
          <w:sz w:val="24"/>
          <w:szCs w:val="24"/>
        </w:rPr>
        <w:t>refers to analytical approaches focused on types of cases as configurations of key attributes which make up a distinct whole. CCA</w:t>
      </w:r>
      <w:r w:rsidR="00CA5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23">
        <w:rPr>
          <w:rFonts w:ascii="Times New Roman" w:eastAsia="Calibri" w:hAnsi="Times New Roman" w:cs="Times New Roman"/>
          <w:sz w:val="24"/>
          <w:szCs w:val="24"/>
        </w:rPr>
        <w:t>provide</w:t>
      </w:r>
      <w:r w:rsidR="007C190F">
        <w:rPr>
          <w:rFonts w:ascii="Times New Roman" w:eastAsia="Calibri" w:hAnsi="Times New Roman" w:cs="Times New Roman"/>
          <w:sz w:val="24"/>
          <w:szCs w:val="24"/>
        </w:rPr>
        <w:t>s</w:t>
      </w:r>
      <w:r w:rsidR="00CA53E0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045023">
        <w:rPr>
          <w:rFonts w:ascii="Times New Roman" w:eastAsia="Calibri" w:hAnsi="Times New Roman" w:cs="Times New Roman"/>
          <w:sz w:val="24"/>
          <w:szCs w:val="24"/>
        </w:rPr>
        <w:t xml:space="preserve"> robust set of procedures for investigating social phenomena systematic</w:t>
      </w:r>
      <w:r w:rsidR="007C190F">
        <w:rPr>
          <w:rFonts w:ascii="Times New Roman" w:eastAsia="Calibri" w:hAnsi="Times New Roman" w:cs="Times New Roman"/>
          <w:sz w:val="24"/>
          <w:szCs w:val="24"/>
        </w:rPr>
        <w:t>ally</w:t>
      </w:r>
      <w:r w:rsidRPr="00045023">
        <w:rPr>
          <w:rFonts w:ascii="Times New Roman" w:eastAsia="Calibri" w:hAnsi="Times New Roman" w:cs="Times New Roman"/>
          <w:sz w:val="24"/>
          <w:szCs w:val="24"/>
        </w:rPr>
        <w:t>, often drawing on the logic of set-theory</w:t>
      </w:r>
      <w:r w:rsidR="00045023">
        <w:rPr>
          <w:rFonts w:ascii="Times New Roman" w:eastAsia="Calibri" w:hAnsi="Times New Roman" w:cs="Times New Roman"/>
          <w:sz w:val="24"/>
          <w:szCs w:val="24"/>
        </w:rPr>
        <w:t xml:space="preserve"> (Schneider &amp;</w:t>
      </w:r>
      <w:r w:rsidRPr="00045023">
        <w:rPr>
          <w:rFonts w:ascii="Times New Roman" w:eastAsia="Calibri" w:hAnsi="Times New Roman" w:cs="Times New Roman"/>
          <w:sz w:val="24"/>
          <w:szCs w:val="24"/>
        </w:rPr>
        <w:t xml:space="preserve"> Wagemann, 2012). </w:t>
      </w:r>
      <w:r w:rsidR="004E5242" w:rsidRPr="004E5242">
        <w:rPr>
          <w:rFonts w:ascii="Times New Roman" w:eastAsia="Calibri" w:hAnsi="Times New Roman" w:cs="Times New Roman"/>
          <w:sz w:val="24"/>
          <w:szCs w:val="24"/>
        </w:rPr>
        <w:t xml:space="preserve">Set theory is the branch of mathematics that studies collections of objects. </w:t>
      </w:r>
      <w:r w:rsidR="00210A12" w:rsidRPr="00225863">
        <w:rPr>
          <w:rFonts w:ascii="Times New Roman" w:eastAsia="Calibri" w:hAnsi="Times New Roman" w:cs="Times New Roman"/>
          <w:bCs/>
          <w:sz w:val="24"/>
          <w:szCs w:val="24"/>
        </w:rPr>
        <w:t>Configurational approaches see cases as complex systems and allow for equifinality, i.e. multiple causation.</w:t>
      </w:r>
      <w:r w:rsidR="00210A12" w:rsidRPr="00225863">
        <w:rPr>
          <w:rFonts w:eastAsia="Calibri"/>
          <w:bCs/>
        </w:rPr>
        <w:t xml:space="preserve"> </w:t>
      </w:r>
      <w:r w:rsidR="00381741">
        <w:rPr>
          <w:rFonts w:ascii="Times New Roman" w:eastAsia="Calibri" w:hAnsi="Times New Roman" w:cs="Times New Roman"/>
          <w:bCs/>
          <w:sz w:val="24"/>
          <w:szCs w:val="24"/>
        </w:rPr>
        <w:t>Alt</w:t>
      </w:r>
      <w:r w:rsidR="002935BA" w:rsidRPr="00522DC7">
        <w:rPr>
          <w:rFonts w:ascii="Times New Roman" w:eastAsia="Calibri" w:hAnsi="Times New Roman" w:cs="Times New Roman"/>
          <w:bCs/>
          <w:sz w:val="24"/>
          <w:szCs w:val="24"/>
        </w:rPr>
        <w:t xml:space="preserve">hough </w:t>
      </w:r>
      <w:r w:rsidR="00C72C5C" w:rsidRPr="00522DC7">
        <w:rPr>
          <w:rFonts w:ascii="Times New Roman" w:eastAsia="Calibri" w:hAnsi="Times New Roman" w:cs="Times New Roman"/>
          <w:bCs/>
          <w:sz w:val="24"/>
          <w:szCs w:val="24"/>
        </w:rPr>
        <w:t>vary</w:t>
      </w:r>
      <w:r w:rsidR="00DA34D1">
        <w:rPr>
          <w:rFonts w:ascii="Times New Roman" w:eastAsia="Calibri" w:hAnsi="Times New Roman" w:cs="Times New Roman"/>
          <w:bCs/>
          <w:sz w:val="24"/>
          <w:szCs w:val="24"/>
        </w:rPr>
        <w:t>ing</w:t>
      </w:r>
      <w:r w:rsidR="00C72C5C" w:rsidRPr="00522DC7">
        <w:rPr>
          <w:rFonts w:ascii="Times New Roman" w:eastAsia="Calibri" w:hAnsi="Times New Roman" w:cs="Times New Roman"/>
          <w:bCs/>
          <w:sz w:val="24"/>
          <w:szCs w:val="24"/>
        </w:rPr>
        <w:t xml:space="preserve"> in </w:t>
      </w:r>
      <w:r w:rsidR="002935BA" w:rsidRPr="00522DC7">
        <w:rPr>
          <w:rFonts w:ascii="Times New Roman" w:eastAsia="Calibri" w:hAnsi="Times New Roman" w:cs="Times New Roman"/>
          <w:bCs/>
          <w:sz w:val="24"/>
          <w:szCs w:val="24"/>
        </w:rPr>
        <w:t>aims</w:t>
      </w:r>
      <w:r w:rsidR="00C378FC">
        <w:rPr>
          <w:rFonts w:ascii="Times New Roman" w:eastAsia="Calibri" w:hAnsi="Times New Roman" w:cs="Times New Roman"/>
          <w:bCs/>
          <w:sz w:val="24"/>
          <w:szCs w:val="24"/>
        </w:rPr>
        <w:t xml:space="preserve"> and outputs</w:t>
      </w:r>
      <w:r w:rsidR="00FD07F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2935BA" w:rsidRPr="00522D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378FC">
        <w:rPr>
          <w:rFonts w:ascii="Times New Roman" w:eastAsia="Calibri" w:hAnsi="Times New Roman" w:cs="Times New Roman"/>
          <w:bCs/>
          <w:sz w:val="24"/>
          <w:szCs w:val="24"/>
        </w:rPr>
        <w:t>configurative approaches feature</w:t>
      </w:r>
      <w:r w:rsidR="00C72C5C" w:rsidRPr="00522DC7">
        <w:rPr>
          <w:rFonts w:ascii="Times New Roman" w:eastAsia="Calibri" w:hAnsi="Times New Roman" w:cs="Times New Roman"/>
          <w:bCs/>
          <w:sz w:val="24"/>
          <w:szCs w:val="24"/>
        </w:rPr>
        <w:t xml:space="preserve"> transparent recording</w:t>
      </w:r>
      <w:r w:rsidR="00C378FC">
        <w:rPr>
          <w:rFonts w:ascii="Times New Roman" w:eastAsia="Calibri" w:hAnsi="Times New Roman" w:cs="Times New Roman"/>
          <w:bCs/>
          <w:sz w:val="24"/>
          <w:szCs w:val="24"/>
        </w:rPr>
        <w:t xml:space="preserve"> of most or all of the following;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03103">
        <w:rPr>
          <w:rFonts w:ascii="Times New Roman" w:eastAsia="Calibri" w:hAnsi="Times New Roman" w:cs="Times New Roman"/>
          <w:bCs/>
          <w:sz w:val="24"/>
          <w:szCs w:val="24"/>
        </w:rPr>
        <w:t>(i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>) relatively precise definition</w:t>
      </w:r>
      <w:r w:rsidR="002935BA" w:rsidRPr="00536569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of conditions of interest </w:t>
      </w:r>
      <w:r w:rsidR="002935BA" w:rsidRPr="00536569">
        <w:rPr>
          <w:rFonts w:ascii="Times New Roman" w:eastAsia="Calibri" w:hAnsi="Times New Roman" w:cs="Times New Roman"/>
          <w:bCs/>
          <w:sz w:val="24"/>
          <w:szCs w:val="24"/>
        </w:rPr>
        <w:t>to achieve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conceptual clarity</w:t>
      </w:r>
      <w:r w:rsidR="002935BA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about what count</w:t>
      </w:r>
      <w:r w:rsidR="00DA34D1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2935BA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as an instance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303103">
        <w:rPr>
          <w:rFonts w:ascii="Times New Roman" w:eastAsia="Calibri" w:hAnsi="Times New Roman" w:cs="Times New Roman"/>
          <w:bCs/>
          <w:sz w:val="24"/>
          <w:szCs w:val="24"/>
        </w:rPr>
        <w:t>(ii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>) retrieving and coding of information to</w:t>
      </w:r>
      <w:r w:rsidR="00C72C5C" w:rsidRPr="002935BA">
        <w:rPr>
          <w:rFonts w:ascii="Times New Roman" w:eastAsia="Calibri" w:hAnsi="Times New Roman" w:cs="Times New Roman"/>
          <w:bCs/>
          <w:color w:val="auto"/>
          <w:sz w:val="24"/>
          <w:szCs w:val="24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identify presence o</w:t>
      </w:r>
      <w:r w:rsidR="002935BA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absence of conditions for each case, </w:t>
      </w:r>
      <w:r w:rsidR="0030310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(iii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)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35BA" w:rsidRPr="00536569">
        <w:rPr>
          <w:rFonts w:ascii="Times New Roman" w:eastAsia="Calibri" w:hAnsi="Times New Roman" w:cs="Times New Roman"/>
          <w:bCs/>
          <w:sz w:val="24"/>
          <w:szCs w:val="24"/>
        </w:rPr>
        <w:t>improving conceptual robustness</w:t>
      </w:r>
      <w:r w:rsidR="003031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>by</w:t>
      </w:r>
      <w:r w:rsidR="001F09C8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iterati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>ng</w:t>
      </w:r>
      <w:r w:rsidR="001F09C8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back and forth between theory and evidence</w:t>
      </w:r>
      <w:r w:rsidR="003031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09C8" w:rsidRPr="00536569">
        <w:rPr>
          <w:rFonts w:ascii="Times New Roman" w:eastAsia="Calibri" w:hAnsi="Times New Roman" w:cs="Times New Roman"/>
          <w:bCs/>
          <w:sz w:val="24"/>
          <w:szCs w:val="24"/>
        </w:rPr>
        <w:t>to scope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key</w:t>
      </w:r>
      <w:r w:rsidR="001F09C8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concepts and conditions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relevant to the population of cases; </w:t>
      </w:r>
      <w:r w:rsidR="00303103">
        <w:rPr>
          <w:rFonts w:ascii="Times New Roman" w:eastAsia="Calibri" w:hAnsi="Times New Roman" w:cs="Times New Roman"/>
          <w:bCs/>
          <w:sz w:val="24"/>
          <w:szCs w:val="24"/>
        </w:rPr>
        <w:t>(iv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) logical comparison across cases to identify which </w:t>
      </w:r>
      <w:r w:rsidR="00BC3FD0">
        <w:rPr>
          <w:rFonts w:ascii="Times New Roman" w:eastAsia="Calibri" w:hAnsi="Times New Roman" w:cs="Times New Roman"/>
          <w:bCs/>
          <w:sz w:val="24"/>
          <w:szCs w:val="24"/>
        </w:rPr>
        <w:t xml:space="preserve">hypothetically 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>possible combinations of presence/absence of key conditions (logically possible</w:t>
      </w:r>
      <w:r w:rsidR="00D5075E">
        <w:rPr>
          <w:rFonts w:ascii="Times New Roman" w:eastAsia="Calibri" w:hAnsi="Times New Roman" w:cs="Times New Roman"/>
          <w:bCs/>
          <w:sz w:val="24"/>
          <w:szCs w:val="24"/>
        </w:rPr>
        <w:t xml:space="preserve"> cases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>) are also cases existing in the real world a</w:t>
      </w:r>
      <w:r w:rsidR="00D5075E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evidenced by the data, </w:t>
      </w:r>
      <w:r w:rsidR="00303103">
        <w:rPr>
          <w:rFonts w:ascii="Times New Roman" w:eastAsia="Calibri" w:hAnsi="Times New Roman" w:cs="Times New Roman"/>
          <w:bCs/>
          <w:sz w:val="24"/>
          <w:szCs w:val="24"/>
        </w:rPr>
        <w:t>(v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303103">
        <w:rPr>
          <w:rFonts w:ascii="Times New Roman" w:eastAsia="Calibri" w:hAnsi="Times New Roman" w:cs="Times New Roman"/>
          <w:bCs/>
          <w:sz w:val="24"/>
          <w:szCs w:val="24"/>
        </w:rPr>
        <w:t xml:space="preserve"> iterative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analysis of these different logical types to interpret the</w:t>
      </w:r>
      <w:r w:rsidR="00605F56">
        <w:rPr>
          <w:rFonts w:ascii="Times New Roman" w:eastAsia="Calibri" w:hAnsi="Times New Roman" w:cs="Times New Roman"/>
          <w:bCs/>
          <w:sz w:val="24"/>
          <w:szCs w:val="24"/>
        </w:rPr>
        <w:t xml:space="preserve"> theoretical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implications</w:t>
      </w:r>
      <w:r w:rsidR="003031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35BA">
        <w:rPr>
          <w:rFonts w:ascii="Times New Roman" w:eastAsia="Calibri" w:hAnsi="Times New Roman" w:cs="Times New Roman"/>
          <w:bCs/>
          <w:sz w:val="24"/>
          <w:szCs w:val="24"/>
        </w:rPr>
        <w:t>of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agree</w:t>
      </w:r>
      <w:r w:rsidR="002935BA" w:rsidRPr="00536569">
        <w:rPr>
          <w:rFonts w:ascii="Times New Roman" w:eastAsia="Calibri" w:hAnsi="Times New Roman" w:cs="Times New Roman"/>
          <w:bCs/>
          <w:sz w:val="24"/>
          <w:szCs w:val="24"/>
        </w:rPr>
        <w:t>ment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35BA" w:rsidRPr="00536569">
        <w:rPr>
          <w:rFonts w:ascii="Times New Roman" w:eastAsia="Calibri" w:hAnsi="Times New Roman" w:cs="Times New Roman"/>
          <w:bCs/>
          <w:sz w:val="24"/>
          <w:szCs w:val="24"/>
        </w:rPr>
        <w:t>of attributes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across</w:t>
      </w:r>
      <w:r w:rsidR="002935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E5BC6">
        <w:rPr>
          <w:rFonts w:ascii="Times New Roman" w:eastAsia="Calibri" w:hAnsi="Times New Roman" w:cs="Times New Roman"/>
          <w:bCs/>
          <w:sz w:val="24"/>
          <w:szCs w:val="24"/>
        </w:rPr>
        <w:t>empirical</w:t>
      </w:r>
      <w:r w:rsidR="00C72C5C" w:rsidRPr="00536569">
        <w:rPr>
          <w:rFonts w:ascii="Times New Roman" w:eastAsia="Calibri" w:hAnsi="Times New Roman" w:cs="Times New Roman"/>
          <w:bCs/>
          <w:sz w:val="24"/>
          <w:szCs w:val="24"/>
        </w:rPr>
        <w:t xml:space="preserve"> cases</w:t>
      </w:r>
      <w:r w:rsidR="00C378F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935BA" w:rsidRPr="002935BA"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935BA" w:rsidRPr="002935BA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Author (2016) has argued that because of its ability to map theoretical assumptions and </w:t>
      </w:r>
      <w:r w:rsidR="00BC3FD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data</w:t>
      </w:r>
      <w:r w:rsidR="002935BA" w:rsidRPr="002935BA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 a transparent way, CCA can be particularly useful for understanding social phenomena that appear novel, and interrogating emerging conceptualisations more systematically.</w:t>
      </w:r>
    </w:p>
    <w:p w14:paraId="55F3DF70" w14:textId="77777777" w:rsidR="001010EB" w:rsidRDefault="001010EB" w:rsidP="009B6C91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81F636" w14:textId="12C16208" w:rsidR="0076553C" w:rsidRPr="0082384C" w:rsidRDefault="0076553C" w:rsidP="009B6C91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23">
        <w:rPr>
          <w:rFonts w:ascii="Times New Roman" w:eastAsia="Calibri" w:hAnsi="Times New Roman" w:cs="Times New Roman"/>
          <w:sz w:val="24"/>
          <w:szCs w:val="24"/>
        </w:rPr>
        <w:t>Building on earlier applications to democratic innovations (</w:t>
      </w:r>
      <w:r w:rsidR="00EE083E">
        <w:rPr>
          <w:rFonts w:ascii="Times New Roman" w:eastAsia="Calibri" w:hAnsi="Times New Roman" w:cs="Times New Roman"/>
          <w:sz w:val="24"/>
          <w:szCs w:val="24"/>
        </w:rPr>
        <w:t>Author</w:t>
      </w:r>
      <w:r w:rsidRPr="00045023">
        <w:rPr>
          <w:rFonts w:ascii="Times New Roman" w:eastAsia="Calibri" w:hAnsi="Times New Roman" w:cs="Times New Roman"/>
          <w:sz w:val="24"/>
          <w:szCs w:val="24"/>
        </w:rPr>
        <w:t xml:space="preserve">, 2016), </w:t>
      </w:r>
      <w:r w:rsidR="00DB056F">
        <w:rPr>
          <w:rFonts w:ascii="Times New Roman" w:eastAsia="Calibri" w:hAnsi="Times New Roman" w:cs="Times New Roman"/>
          <w:sz w:val="24"/>
          <w:szCs w:val="24"/>
        </w:rPr>
        <w:t>and</w:t>
      </w:r>
      <w:r w:rsidR="00F06EFC">
        <w:rPr>
          <w:rFonts w:ascii="Times New Roman" w:eastAsia="Calibri" w:hAnsi="Times New Roman" w:cs="Times New Roman"/>
          <w:sz w:val="24"/>
          <w:szCs w:val="24"/>
        </w:rPr>
        <w:t xml:space="preserve"> recent multi-dimensional </w:t>
      </w:r>
      <w:r w:rsidR="00605F56">
        <w:rPr>
          <w:rFonts w:ascii="Times New Roman" w:eastAsia="Calibri" w:hAnsi="Times New Roman" w:cs="Times New Roman"/>
          <w:sz w:val="24"/>
          <w:szCs w:val="24"/>
        </w:rPr>
        <w:t xml:space="preserve">research </w:t>
      </w:r>
      <w:r w:rsidR="00F06EFC">
        <w:rPr>
          <w:rFonts w:ascii="Times New Roman" w:eastAsia="Calibri" w:hAnsi="Times New Roman" w:cs="Times New Roman"/>
          <w:sz w:val="24"/>
          <w:szCs w:val="24"/>
        </w:rPr>
        <w:t>to understand ‘success’ in the commons (Bar</w:t>
      </w:r>
      <w:r w:rsidR="00DB056F">
        <w:rPr>
          <w:rFonts w:ascii="Times New Roman" w:eastAsia="Calibri" w:hAnsi="Times New Roman" w:cs="Times New Roman"/>
          <w:sz w:val="24"/>
          <w:szCs w:val="24"/>
        </w:rPr>
        <w:t>nett et al., 2020),</w:t>
      </w:r>
      <w:r w:rsidR="00F06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23">
        <w:rPr>
          <w:rFonts w:ascii="Times New Roman" w:eastAsia="Calibri" w:hAnsi="Times New Roman" w:cs="Times New Roman"/>
          <w:sz w:val="24"/>
          <w:szCs w:val="24"/>
        </w:rPr>
        <w:t>we used CCA to develop systematic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insights into </w:t>
      </w:r>
      <w:r w:rsidR="00434DA3">
        <w:rPr>
          <w:rFonts w:ascii="Times New Roman" w:eastAsia="Calibri" w:hAnsi="Times New Roman" w:cs="Times New Roman"/>
          <w:sz w:val="24"/>
          <w:szCs w:val="24"/>
        </w:rPr>
        <w:t xml:space="preserve">a typology of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434DA3">
        <w:rPr>
          <w:rFonts w:ascii="Times New Roman" w:eastAsia="Calibri" w:hAnsi="Times New Roman" w:cs="Times New Roman"/>
          <w:sz w:val="24"/>
          <w:szCs w:val="24"/>
        </w:rPr>
        <w:t xml:space="preserve">different configurations of multiple </w:t>
      </w:r>
      <w:r w:rsidRPr="0082384C">
        <w:rPr>
          <w:rFonts w:ascii="Times New Roman" w:eastAsia="Calibri" w:hAnsi="Times New Roman" w:cs="Times New Roman"/>
          <w:sz w:val="24"/>
          <w:szCs w:val="24"/>
        </w:rPr>
        <w:t>conditions for</w:t>
      </w:r>
      <w:r w:rsidR="00F06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3012">
        <w:rPr>
          <w:rFonts w:ascii="Times New Roman" w:eastAsia="Calibri" w:hAnsi="Times New Roman" w:cs="Times New Roman"/>
          <w:sz w:val="24"/>
          <w:szCs w:val="24"/>
        </w:rPr>
        <w:t xml:space="preserve">self-governance, i.e. </w:t>
      </w:r>
      <w:r w:rsidR="00F06EFC">
        <w:rPr>
          <w:rFonts w:ascii="Times New Roman" w:eastAsia="Calibri" w:hAnsi="Times New Roman" w:cs="Times New Roman"/>
          <w:sz w:val="24"/>
          <w:szCs w:val="24"/>
        </w:rPr>
        <w:t>community control in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CLTs in practice. </w:t>
      </w:r>
      <w:r>
        <w:rPr>
          <w:rFonts w:ascii="Times New Roman" w:eastAsia="Calibri" w:hAnsi="Times New Roman" w:cs="Times New Roman"/>
          <w:sz w:val="24"/>
          <w:szCs w:val="24"/>
        </w:rPr>
        <w:t>This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approach </w:t>
      </w:r>
      <w:r w:rsidR="00605F56">
        <w:rPr>
          <w:rFonts w:ascii="Times New Roman" w:eastAsia="Calibri" w:hAnsi="Times New Roman" w:cs="Times New Roman"/>
          <w:sz w:val="24"/>
          <w:szCs w:val="24"/>
        </w:rPr>
        <w:t>provides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an improved </w:t>
      </w:r>
      <w:r w:rsidR="00605F56">
        <w:rPr>
          <w:rFonts w:ascii="Times New Roman" w:eastAsia="Calibri" w:hAnsi="Times New Roman" w:cs="Times New Roman"/>
          <w:sz w:val="24"/>
          <w:szCs w:val="24"/>
        </w:rPr>
        <w:t>evidence base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by offering </w:t>
      </w:r>
      <w:r w:rsidR="00605F56">
        <w:rPr>
          <w:rFonts w:ascii="Times New Roman" w:eastAsia="Calibri" w:hAnsi="Times New Roman" w:cs="Times New Roman"/>
          <w:sz w:val="24"/>
          <w:szCs w:val="24"/>
        </w:rPr>
        <w:t>groundwork</w:t>
      </w:r>
      <w:r w:rsidR="007C7119">
        <w:rPr>
          <w:rFonts w:ascii="Times New Roman" w:eastAsia="Calibri" w:hAnsi="Times New Roman" w:cs="Times New Roman"/>
          <w:sz w:val="24"/>
          <w:szCs w:val="24"/>
        </w:rPr>
        <w:t xml:space="preserve"> drawing on analysis of existing published cases</w:t>
      </w:r>
      <w:r w:rsidR="00605F56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>to develop explana</w:t>
      </w:r>
      <w:r w:rsidR="00303103">
        <w:rPr>
          <w:rFonts w:ascii="Times New Roman" w:eastAsia="Calibri" w:hAnsi="Times New Roman" w:cs="Times New Roman"/>
          <w:sz w:val="24"/>
          <w:szCs w:val="24"/>
        </w:rPr>
        <w:t>tor</w:t>
      </w:r>
      <w:r w:rsidRPr="0082384C">
        <w:rPr>
          <w:rFonts w:ascii="Times New Roman" w:eastAsia="Calibri" w:hAnsi="Times New Roman" w:cs="Times New Roman"/>
          <w:sz w:val="24"/>
          <w:szCs w:val="24"/>
        </w:rPr>
        <w:t>y theories for the key features of CLTs</w:t>
      </w:r>
      <w:r w:rsidR="0004502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605F56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045023">
        <w:rPr>
          <w:rFonts w:ascii="Times New Roman" w:eastAsia="Calibri" w:hAnsi="Times New Roman" w:cs="Times New Roman"/>
          <w:sz w:val="24"/>
          <w:szCs w:val="24"/>
        </w:rPr>
        <w:t>theoris</w:t>
      </w:r>
      <w:r w:rsidR="00605F56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EFC">
        <w:rPr>
          <w:rFonts w:ascii="Times New Roman" w:eastAsia="Calibri" w:hAnsi="Times New Roman" w:cs="Times New Roman"/>
          <w:sz w:val="24"/>
          <w:szCs w:val="24"/>
        </w:rPr>
        <w:t xml:space="preserve">community control in the </w:t>
      </w:r>
      <w:r>
        <w:rPr>
          <w:rFonts w:ascii="Times New Roman" w:eastAsia="Calibri" w:hAnsi="Times New Roman" w:cs="Times New Roman"/>
          <w:sz w:val="24"/>
          <w:szCs w:val="24"/>
        </w:rPr>
        <w:t>housing</w:t>
      </w:r>
      <w:r w:rsidR="00F06EFC">
        <w:rPr>
          <w:rFonts w:ascii="Times New Roman" w:eastAsia="Calibri" w:hAnsi="Times New Roman" w:cs="Times New Roman"/>
          <w:sz w:val="24"/>
          <w:szCs w:val="24"/>
        </w:rPr>
        <w:t xml:space="preserve"> commons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6ADD3A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CF37ED" w14:textId="4DEF6440" w:rsidR="0076553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hAnsi="Times New Roman" w:cs="Times New Roman"/>
          <w:sz w:val="24"/>
          <w:szCs w:val="24"/>
        </w:rPr>
        <w:t xml:space="preserve">We performed </w:t>
      </w:r>
      <w:r>
        <w:rPr>
          <w:rFonts w:ascii="Times New Roman" w:hAnsi="Times New Roman" w:cs="Times New Roman"/>
          <w:sz w:val="24"/>
          <w:szCs w:val="24"/>
        </w:rPr>
        <w:t>three</w:t>
      </w:r>
      <w:r w:rsidR="00D80CE9">
        <w:rPr>
          <w:rFonts w:ascii="Times New Roman" w:hAnsi="Times New Roman" w:cs="Times New Roman"/>
          <w:sz w:val="24"/>
          <w:szCs w:val="24"/>
        </w:rPr>
        <w:t xml:space="preserve"> analytical</w:t>
      </w:r>
      <w:r w:rsidRPr="0082384C">
        <w:rPr>
          <w:rFonts w:ascii="Times New Roman" w:hAnsi="Times New Roman" w:cs="Times New Roman"/>
          <w:sz w:val="24"/>
          <w:szCs w:val="24"/>
        </w:rPr>
        <w:t xml:space="preserve"> tasks. First, </w:t>
      </w:r>
      <w:r w:rsidR="00463012">
        <w:rPr>
          <w:rFonts w:ascii="Times New Roman" w:hAnsi="Times New Roman" w:cs="Times New Roman"/>
          <w:sz w:val="24"/>
          <w:szCs w:val="24"/>
        </w:rPr>
        <w:t xml:space="preserve">using existing </w:t>
      </w:r>
      <w:r w:rsidR="009E52BF">
        <w:rPr>
          <w:rFonts w:ascii="Times New Roman" w:hAnsi="Times New Roman" w:cs="Times New Roman"/>
          <w:sz w:val="24"/>
          <w:szCs w:val="24"/>
        </w:rPr>
        <w:t>theoretical</w:t>
      </w:r>
      <w:r w:rsidR="007C7119">
        <w:rPr>
          <w:rFonts w:ascii="Times New Roman" w:hAnsi="Times New Roman" w:cs="Times New Roman"/>
          <w:sz w:val="24"/>
          <w:szCs w:val="24"/>
        </w:rPr>
        <w:t xml:space="preserve"> literature</w:t>
      </w:r>
      <w:r w:rsidR="009E52BF">
        <w:rPr>
          <w:rFonts w:ascii="Times New Roman" w:hAnsi="Times New Roman" w:cs="Times New Roman"/>
          <w:sz w:val="24"/>
          <w:szCs w:val="24"/>
        </w:rPr>
        <w:t xml:space="preserve"> and </w:t>
      </w:r>
      <w:r w:rsidR="007C7119">
        <w:rPr>
          <w:rFonts w:ascii="Times New Roman" w:hAnsi="Times New Roman" w:cs="Times New Roman"/>
          <w:sz w:val="24"/>
          <w:szCs w:val="24"/>
        </w:rPr>
        <w:t>secondary data</w:t>
      </w:r>
      <w:r w:rsidR="00463012">
        <w:rPr>
          <w:rFonts w:ascii="Times New Roman" w:hAnsi="Times New Roman" w:cs="Times New Roman"/>
          <w:sz w:val="24"/>
          <w:szCs w:val="24"/>
        </w:rPr>
        <w:t xml:space="preserve">, </w:t>
      </w:r>
      <w:r w:rsidRPr="0082384C">
        <w:rPr>
          <w:rFonts w:ascii="Times New Roman" w:hAnsi="Times New Roman" w:cs="Times New Roman"/>
          <w:sz w:val="24"/>
          <w:szCs w:val="24"/>
        </w:rPr>
        <w:t>we identified potential conditions whose presence or absence might be hypothesi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2384C">
        <w:rPr>
          <w:rFonts w:ascii="Times New Roman" w:hAnsi="Times New Roman" w:cs="Times New Roman"/>
          <w:sz w:val="24"/>
          <w:szCs w:val="24"/>
        </w:rPr>
        <w:t xml:space="preserve">ed to contribute to the operation of a resource management system applied to </w:t>
      </w:r>
      <w:r>
        <w:rPr>
          <w:rFonts w:ascii="Times New Roman" w:hAnsi="Times New Roman" w:cs="Times New Roman"/>
          <w:sz w:val="24"/>
          <w:szCs w:val="24"/>
        </w:rPr>
        <w:t>excludable resources,</w:t>
      </w:r>
      <w:r w:rsidRPr="0082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specifically</w:t>
      </w:r>
      <w:r w:rsidRPr="0082384C">
        <w:rPr>
          <w:rFonts w:ascii="Times New Roman" w:hAnsi="Times New Roman" w:cs="Times New Roman"/>
          <w:sz w:val="24"/>
          <w:szCs w:val="24"/>
        </w:rPr>
        <w:t xml:space="preserve"> </w:t>
      </w:r>
      <w:r w:rsidR="009B6C91">
        <w:rPr>
          <w:rFonts w:ascii="Times New Roman" w:hAnsi="Times New Roman" w:cs="Times New Roman"/>
          <w:sz w:val="24"/>
          <w:szCs w:val="24"/>
        </w:rPr>
        <w:t xml:space="preserve">housing-oriented </w:t>
      </w:r>
      <w:r w:rsidRPr="0082384C">
        <w:rPr>
          <w:rFonts w:ascii="Times New Roman" w:hAnsi="Times New Roman" w:cs="Times New Roman"/>
          <w:sz w:val="24"/>
          <w:szCs w:val="24"/>
        </w:rPr>
        <w:t xml:space="preserve">CLTs. Second, we collated an original dataset extracted from existing US and UK case studies of CLTs. </w:t>
      </w:r>
      <w:r w:rsidR="00463012">
        <w:rPr>
          <w:rFonts w:ascii="Times New Roman" w:hAnsi="Times New Roman" w:cs="Times New Roman"/>
          <w:sz w:val="24"/>
          <w:szCs w:val="24"/>
        </w:rPr>
        <w:t xml:space="preserve">The potential conditions were then applied to the data; </w:t>
      </w:r>
      <w:r w:rsidR="00B224AE">
        <w:rPr>
          <w:rFonts w:ascii="Times New Roman" w:hAnsi="Times New Roman" w:cs="Times New Roman"/>
          <w:sz w:val="24"/>
          <w:szCs w:val="24"/>
        </w:rPr>
        <w:t xml:space="preserve">and </w:t>
      </w:r>
      <w:r w:rsidR="00463012">
        <w:rPr>
          <w:rFonts w:ascii="Times New Roman" w:hAnsi="Times New Roman" w:cs="Times New Roman"/>
          <w:sz w:val="24"/>
          <w:szCs w:val="24"/>
        </w:rPr>
        <w:t>t</w:t>
      </w:r>
      <w:r w:rsidRPr="0082384C">
        <w:rPr>
          <w:rFonts w:ascii="Times New Roman" w:hAnsi="Times New Roman" w:cs="Times New Roman"/>
          <w:sz w:val="24"/>
          <w:szCs w:val="24"/>
        </w:rPr>
        <w:t xml:space="preserve">he dataset was coded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82384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presence or absence of</w:t>
      </w:r>
      <w:r w:rsidRPr="0082384C">
        <w:rPr>
          <w:rFonts w:ascii="Times New Roman" w:hAnsi="Times New Roman" w:cs="Times New Roman"/>
          <w:sz w:val="24"/>
          <w:szCs w:val="24"/>
        </w:rPr>
        <w:t xml:space="preserve"> conditions</w:t>
      </w:r>
      <w:r w:rsidR="00F31FEB">
        <w:rPr>
          <w:rFonts w:ascii="Times New Roman" w:hAnsi="Times New Roman" w:cs="Times New Roman"/>
          <w:sz w:val="24"/>
          <w:szCs w:val="24"/>
        </w:rPr>
        <w:t xml:space="preserve"> </w:t>
      </w:r>
      <w:r w:rsidR="00E97705">
        <w:rPr>
          <w:rFonts w:ascii="Times New Roman" w:hAnsi="Times New Roman" w:cs="Times New Roman"/>
          <w:sz w:val="24"/>
          <w:szCs w:val="24"/>
        </w:rPr>
        <w:t>within each secondary</w:t>
      </w:r>
      <w:r w:rsidR="005973C7">
        <w:rPr>
          <w:rFonts w:ascii="Times New Roman" w:hAnsi="Times New Roman" w:cs="Times New Roman"/>
          <w:sz w:val="24"/>
          <w:szCs w:val="24"/>
        </w:rPr>
        <w:t xml:space="preserve"> case</w:t>
      </w:r>
      <w:r w:rsidRPr="008238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Third, w</w:t>
      </w:r>
      <w:r w:rsidRPr="0082384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derived</w:t>
      </w:r>
      <w:r w:rsidRPr="0082384C">
        <w:rPr>
          <w:rFonts w:ascii="Times New Roman" w:hAnsi="Times New Roman" w:cs="Times New Roman"/>
          <w:sz w:val="24"/>
          <w:szCs w:val="24"/>
        </w:rPr>
        <w:t xml:space="preserve"> a</w:t>
      </w:r>
      <w:r w:rsidR="007C7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conceptual typology </w:t>
      </w:r>
      <w:r w:rsidRPr="0082384C">
        <w:rPr>
          <w:rFonts w:ascii="Times New Roman" w:hAnsi="Times New Roman" w:cs="Times New Roman"/>
          <w:sz w:val="24"/>
          <w:szCs w:val="24"/>
        </w:rPr>
        <w:t>of conditions relating to community control in CLTs</w:t>
      </w:r>
      <w:r w:rsidR="007C7119">
        <w:rPr>
          <w:rFonts w:ascii="Times New Roman" w:hAnsi="Times New Roman" w:cs="Times New Roman"/>
          <w:sz w:val="24"/>
          <w:szCs w:val="24"/>
        </w:rPr>
        <w:t xml:space="preserve"> drawing on</w:t>
      </w:r>
      <w:r w:rsidR="00E97705">
        <w:rPr>
          <w:rFonts w:ascii="Times New Roman" w:hAnsi="Times New Roman" w:cs="Times New Roman"/>
          <w:sz w:val="24"/>
          <w:szCs w:val="24"/>
        </w:rPr>
        <w:t xml:space="preserve"> our systematic and comparative analysis of these secondary cases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5524">
        <w:rPr>
          <w:rFonts w:ascii="Times New Roman" w:hAnsi="Times New Roman" w:cs="Times New Roman"/>
          <w:sz w:val="24"/>
          <w:szCs w:val="24"/>
        </w:rPr>
        <w:t xml:space="preserve"> </w:t>
      </w:r>
      <w:r w:rsidR="00045023">
        <w:rPr>
          <w:rFonts w:ascii="Times New Roman" w:hAnsi="Times New Roman" w:cs="Times New Roman"/>
          <w:sz w:val="24"/>
          <w:szCs w:val="24"/>
        </w:rPr>
        <w:t xml:space="preserve">We </w:t>
      </w:r>
      <w:r w:rsidRPr="0082384C">
        <w:rPr>
          <w:rFonts w:ascii="Times New Roman" w:hAnsi="Times New Roman" w:cs="Times New Roman"/>
          <w:sz w:val="24"/>
          <w:szCs w:val="24"/>
        </w:rPr>
        <w:t>define</w:t>
      </w:r>
      <w:r w:rsidR="00045023">
        <w:rPr>
          <w:rFonts w:ascii="Times New Roman" w:hAnsi="Times New Roman" w:cs="Times New Roman"/>
          <w:sz w:val="24"/>
          <w:szCs w:val="24"/>
        </w:rPr>
        <w:t>d</w:t>
      </w:r>
      <w:r w:rsidRPr="0082384C">
        <w:rPr>
          <w:rFonts w:ascii="Times New Roman" w:hAnsi="Times New Roman" w:cs="Times New Roman"/>
          <w:sz w:val="24"/>
          <w:szCs w:val="24"/>
        </w:rPr>
        <w:t xml:space="preserve"> the propert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82384C">
        <w:rPr>
          <w:rFonts w:ascii="Times New Roman" w:hAnsi="Times New Roman" w:cs="Times New Roman"/>
          <w:sz w:val="24"/>
          <w:szCs w:val="24"/>
        </w:rPr>
        <w:t xml:space="preserve"> of CLTs, allowing us to understand the relevance of these conditions, how they may combine in different ways, and the</w:t>
      </w:r>
      <w:r>
        <w:rPr>
          <w:rFonts w:ascii="Times New Roman" w:hAnsi="Times New Roman" w:cs="Times New Roman"/>
          <w:sz w:val="24"/>
          <w:szCs w:val="24"/>
        </w:rPr>
        <w:t xml:space="preserve"> propensity of</w:t>
      </w:r>
      <w:r w:rsidRPr="0082384C">
        <w:rPr>
          <w:rFonts w:ascii="Times New Roman" w:hAnsi="Times New Roman" w:cs="Times New Roman"/>
          <w:sz w:val="24"/>
          <w:szCs w:val="24"/>
        </w:rPr>
        <w:t xml:space="preserve"> different types of CLTs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82384C">
        <w:rPr>
          <w:rFonts w:ascii="Times New Roman" w:hAnsi="Times New Roman" w:cs="Times New Roman"/>
          <w:sz w:val="24"/>
          <w:szCs w:val="24"/>
        </w:rPr>
        <w:t xml:space="preserve"> community control.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>We now describe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identification of conditions, and application of conditions to data </w:t>
      </w:r>
      <w:r w:rsidRPr="0082384C">
        <w:rPr>
          <w:rFonts w:ascii="Times New Roman" w:eastAsia="Calibri" w:hAnsi="Times New Roman" w:cs="Times New Roman"/>
          <w:sz w:val="24"/>
          <w:szCs w:val="24"/>
        </w:rPr>
        <w:t>in more detail.</w:t>
      </w:r>
    </w:p>
    <w:p w14:paraId="089E8363" w14:textId="77777777" w:rsidR="001010EB" w:rsidRPr="00D9366E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016CDE" w14:textId="3ABE52E9" w:rsidR="001010EB" w:rsidRPr="00B224AE" w:rsidRDefault="00364453" w:rsidP="0076553C">
      <w:pPr>
        <w:pStyle w:val="Body"/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457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6553C" w:rsidRPr="00E0457C">
        <w:rPr>
          <w:rFonts w:ascii="Times New Roman" w:hAnsi="Times New Roman" w:cs="Times New Roman"/>
          <w:i/>
          <w:iCs/>
          <w:sz w:val="24"/>
          <w:szCs w:val="24"/>
        </w:rPr>
        <w:t xml:space="preserve">dentification of potential conditions </w:t>
      </w:r>
    </w:p>
    <w:p w14:paraId="7B21D14A" w14:textId="3FC6869E" w:rsidR="0076553C" w:rsidRDefault="00536569" w:rsidP="00225863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Our analysis first identified </w:t>
      </w:r>
      <w:r w:rsidR="0076553C" w:rsidRPr="00C824A8">
        <w:rPr>
          <w:rFonts w:ascii="Times New Roman" w:eastAsia="Calibri" w:hAnsi="Times New Roman" w:cs="Times New Roman"/>
          <w:sz w:val="24"/>
          <w:szCs w:val="24"/>
        </w:rPr>
        <w:t>potential conditions for the operation of CLTs as resource management systems for housing</w:t>
      </w:r>
      <w:r w:rsidR="0076553C" w:rsidRPr="00C824A8">
        <w:t xml:space="preserve">. </w:t>
      </w:r>
      <w:r w:rsidR="0076553C" w:rsidRPr="00C824A8">
        <w:rPr>
          <w:rFonts w:ascii="Times New Roman" w:eastAsia="Calibri" w:hAnsi="Times New Roman" w:cs="Times New Roman"/>
          <w:sz w:val="24"/>
          <w:szCs w:val="24"/>
        </w:rPr>
        <w:t>Mapping a ‘property space’ (Lazarfeld, 1937; Ragin, 2000) of conditions initially involves generating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hAnsi="Times New Roman" w:cs="Times New Roman"/>
          <w:sz w:val="24"/>
          <w:szCs w:val="24"/>
        </w:rPr>
        <w:t>a collection of potential</w:t>
      </w:r>
      <w:r w:rsidR="0076553C">
        <w:rPr>
          <w:rFonts w:ascii="Times New Roman" w:hAnsi="Times New Roman" w:cs="Times New Roman"/>
          <w:sz w:val="24"/>
          <w:szCs w:val="24"/>
        </w:rPr>
        <w:t xml:space="preserve"> key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attributes</w:t>
      </w:r>
      <w:r w:rsidR="00045023">
        <w:rPr>
          <w:rFonts w:ascii="Times New Roman" w:hAnsi="Times New Roman" w:cs="Times New Roman"/>
          <w:sz w:val="24"/>
          <w:szCs w:val="24"/>
        </w:rPr>
        <w:t xml:space="preserve"> to characteris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e the elements of </w:t>
      </w:r>
      <w:r w:rsidR="00B12FA9" w:rsidRPr="00B12FA9">
        <w:rPr>
          <w:rFonts w:ascii="Times New Roman" w:hAnsi="Times New Roman" w:cs="Times New Roman"/>
          <w:sz w:val="24"/>
          <w:szCs w:val="24"/>
        </w:rPr>
        <w:t>a set of objects.</w:t>
      </w:r>
      <w:r w:rsidR="0076553C">
        <w:rPr>
          <w:rFonts w:ascii="Times New Roman" w:hAnsi="Times New Roman" w:cs="Times New Roman"/>
          <w:sz w:val="24"/>
          <w:szCs w:val="24"/>
        </w:rPr>
        <w:t xml:space="preserve"> </w:t>
      </w:r>
      <w:r w:rsidR="00D90A42">
        <w:rPr>
          <w:rFonts w:ascii="Times New Roman" w:hAnsi="Times New Roman" w:cs="Times New Roman"/>
          <w:sz w:val="24"/>
          <w:szCs w:val="24"/>
        </w:rPr>
        <w:t>W</w:t>
      </w:r>
      <w:r w:rsidR="0076553C" w:rsidRPr="0082384C">
        <w:rPr>
          <w:rFonts w:ascii="Times New Roman" w:hAnsi="Times New Roman" w:cs="Times New Roman"/>
          <w:sz w:val="24"/>
          <w:szCs w:val="24"/>
        </w:rPr>
        <w:t>e ask</w:t>
      </w:r>
      <w:r w:rsidR="00CF51B1">
        <w:rPr>
          <w:rFonts w:ascii="Times New Roman" w:hAnsi="Times New Roman" w:cs="Times New Roman"/>
          <w:sz w:val="24"/>
          <w:szCs w:val="24"/>
        </w:rPr>
        <w:t>ed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what are the potential attributes that would plausibly affect </w:t>
      </w:r>
      <w:r w:rsidR="0076553C">
        <w:rPr>
          <w:rFonts w:ascii="Times New Roman" w:hAnsi="Times New Roman" w:cs="Times New Roman"/>
          <w:sz w:val="24"/>
          <w:szCs w:val="24"/>
        </w:rPr>
        <w:t xml:space="preserve">CLT’s 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ability to </w:t>
      </w:r>
      <w:r w:rsidR="0076553C">
        <w:rPr>
          <w:rFonts w:ascii="Times New Roman" w:hAnsi="Times New Roman" w:cs="Times New Roman"/>
          <w:sz w:val="24"/>
          <w:szCs w:val="24"/>
        </w:rPr>
        <w:t>achieve community control within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a resource management system? Mapping these attributes is part of the definitional and conceptual groundwork needed for </w:t>
      </w:r>
      <w:r w:rsidR="0076553C">
        <w:rPr>
          <w:rFonts w:ascii="Times New Roman" w:hAnsi="Times New Roman" w:cs="Times New Roman"/>
          <w:sz w:val="24"/>
          <w:szCs w:val="24"/>
        </w:rPr>
        <w:t>future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causal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analysis. </w:t>
      </w:r>
    </w:p>
    <w:p w14:paraId="3E273F21" w14:textId="77777777" w:rsidR="001010EB" w:rsidRPr="0082384C" w:rsidRDefault="001010EB" w:rsidP="00225863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66F639" w14:textId="2C841929" w:rsidR="0076553C" w:rsidRDefault="00D90A42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 shown in </w:t>
      </w:r>
      <w:r w:rsidR="00E15DD7">
        <w:rPr>
          <w:rFonts w:ascii="Times New Roman" w:eastAsia="Calibri" w:hAnsi="Times New Roman" w:cs="Times New Roman"/>
          <w:sz w:val="24"/>
          <w:szCs w:val="24"/>
        </w:rPr>
        <w:t>Table 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CF51B1" w:rsidRPr="0082384C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drew on </w:t>
      </w:r>
      <w:r w:rsidR="0091062A">
        <w:rPr>
          <w:rFonts w:ascii="Times New Roman" w:eastAsia="Calibri" w:hAnsi="Times New Roman" w:cs="Times New Roman"/>
          <w:sz w:val="24"/>
          <w:szCs w:val="24"/>
        </w:rPr>
        <w:t>various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 sources to identify the potential conditions, including academic and ‘grey’ </w:t>
      </w:r>
      <w:r w:rsidR="00CF51B1" w:rsidRPr="0082384C">
        <w:rPr>
          <w:rFonts w:ascii="Times New Roman" w:eastAsia="Calibri" w:hAnsi="Times New Roman" w:cs="Times New Roman"/>
          <w:sz w:val="24"/>
          <w:szCs w:val="24"/>
        </w:rPr>
        <w:t>literature, a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s well as </w:t>
      </w:r>
      <w:r w:rsidR="0091062A">
        <w:rPr>
          <w:rFonts w:ascii="Times New Roman" w:eastAsia="Calibri" w:hAnsi="Times New Roman" w:cs="Times New Roman"/>
          <w:sz w:val="24"/>
          <w:szCs w:val="24"/>
        </w:rPr>
        <w:t>publicly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 available examples</w:t>
      </w:r>
      <w:r w:rsidR="00CF51B1" w:rsidRPr="008238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062A">
        <w:rPr>
          <w:rFonts w:ascii="Times New Roman" w:eastAsia="Calibri" w:hAnsi="Times New Roman" w:cs="Times New Roman"/>
          <w:sz w:val="24"/>
          <w:szCs w:val="24"/>
        </w:rPr>
        <w:t xml:space="preserve">The sources 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included </w:t>
      </w:r>
      <w:r w:rsidR="00E97705">
        <w:rPr>
          <w:rFonts w:ascii="Times New Roman" w:eastAsia="Calibri" w:hAnsi="Times New Roman" w:cs="Times New Roman"/>
          <w:sz w:val="24"/>
          <w:szCs w:val="24"/>
        </w:rPr>
        <w:t>existing case evidence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62A">
        <w:rPr>
          <w:rFonts w:ascii="Times New Roman" w:eastAsia="Calibri" w:hAnsi="Times New Roman" w:cs="Times New Roman"/>
          <w:sz w:val="24"/>
          <w:szCs w:val="24"/>
        </w:rPr>
        <w:t>alongside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 more </w:t>
      </w:r>
      <w:r w:rsidR="00E15DD7" w:rsidRPr="00E15DD7">
        <w:rPr>
          <w:rFonts w:ascii="Times New Roman" w:eastAsia="Calibri" w:hAnsi="Times New Roman" w:cs="Times New Roman"/>
          <w:sz w:val="24"/>
          <w:szCs w:val="24"/>
        </w:rPr>
        <w:t>theor</w:t>
      </w:r>
      <w:r w:rsidR="00E15DD7">
        <w:rPr>
          <w:rFonts w:ascii="Times New Roman" w:eastAsia="Calibri" w:hAnsi="Times New Roman" w:cs="Times New Roman"/>
          <w:sz w:val="24"/>
          <w:szCs w:val="24"/>
        </w:rPr>
        <w:t>etically-</w:t>
      </w:r>
      <w:r w:rsidR="00E15DD7" w:rsidRPr="00E15DD7">
        <w:rPr>
          <w:rFonts w:ascii="Times New Roman" w:eastAsia="Calibri" w:hAnsi="Times New Roman" w:cs="Times New Roman"/>
          <w:sz w:val="24"/>
          <w:szCs w:val="24"/>
        </w:rPr>
        <w:t xml:space="preserve">driven 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material outlining possible </w:t>
      </w:r>
      <w:r w:rsidR="00E15DD7" w:rsidRPr="00E15DD7">
        <w:rPr>
          <w:rFonts w:ascii="Times New Roman" w:eastAsia="Calibri" w:hAnsi="Times New Roman" w:cs="Times New Roman"/>
          <w:sz w:val="24"/>
          <w:szCs w:val="24"/>
        </w:rPr>
        <w:t xml:space="preserve">conditions. </w:t>
      </w:r>
      <w:r w:rsidR="00CF51B1">
        <w:rPr>
          <w:rFonts w:ascii="Times New Roman" w:eastAsia="Calibri" w:hAnsi="Times New Roman" w:cs="Times New Roman"/>
          <w:sz w:val="24"/>
          <w:szCs w:val="24"/>
        </w:rPr>
        <w:t>The initial range of possible explanatory conditions was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4AE">
        <w:rPr>
          <w:rFonts w:ascii="Times New Roman" w:eastAsia="Calibri" w:hAnsi="Times New Roman" w:cs="Times New Roman"/>
          <w:sz w:val="24"/>
          <w:szCs w:val="24"/>
        </w:rPr>
        <w:t>broad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; this is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what </w:t>
      </w:r>
      <w:r w:rsidR="0076553C" w:rsidRPr="00536569">
        <w:rPr>
          <w:rFonts w:ascii="Times New Roman" w:eastAsia="Calibri" w:hAnsi="Times New Roman" w:cs="Times New Roman"/>
          <w:sz w:val="24"/>
          <w:szCs w:val="24"/>
        </w:rPr>
        <w:t>Lazarsfe</w:t>
      </w:r>
      <w:r w:rsidR="00536569" w:rsidRPr="00536569">
        <w:rPr>
          <w:rFonts w:ascii="Times New Roman" w:hAnsi="Times New Roman" w:cs="Times New Roman"/>
          <w:sz w:val="24"/>
          <w:szCs w:val="24"/>
        </w:rPr>
        <w:t>ld</w:t>
      </w:r>
      <w:r w:rsidR="00CD7604">
        <w:rPr>
          <w:rFonts w:ascii="Times New Roman" w:hAnsi="Times New Roman" w:cs="Times New Roman"/>
          <w:sz w:val="24"/>
          <w:szCs w:val="24"/>
        </w:rPr>
        <w:t xml:space="preserve"> </w:t>
      </w:r>
      <w:r w:rsidR="00536569">
        <w:rPr>
          <w:rFonts w:ascii="Times New Roman" w:eastAsia="Calibri" w:hAnsi="Times New Roman" w:cs="Times New Roman"/>
          <w:sz w:val="24"/>
          <w:szCs w:val="24"/>
        </w:rPr>
        <w:t xml:space="preserve">(1937) </w:t>
      </w:r>
      <w:r w:rsidR="0076553C" w:rsidRPr="00C824A8">
        <w:rPr>
          <w:rFonts w:ascii="Times New Roman" w:eastAsia="Calibri" w:hAnsi="Times New Roman" w:cs="Times New Roman"/>
          <w:sz w:val="24"/>
          <w:szCs w:val="24"/>
        </w:rPr>
        <w:t xml:space="preserve">called ‘substruction’; the construction of a large number of possible variables. We 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then </w:t>
      </w:r>
      <w:r w:rsidR="0076553C" w:rsidRPr="00C824A8">
        <w:rPr>
          <w:rFonts w:ascii="Times New Roman" w:eastAsia="Calibri" w:hAnsi="Times New Roman" w:cs="Times New Roman"/>
          <w:sz w:val="24"/>
          <w:szCs w:val="24"/>
        </w:rPr>
        <w:t>followed with ‘reduction’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(Elman, 2009)</w:t>
      </w:r>
      <w:r w:rsidR="0076553C" w:rsidRPr="00C824A8">
        <w:rPr>
          <w:rFonts w:ascii="Times New Roman" w:eastAsia="Calibri" w:hAnsi="Times New Roman" w:cs="Times New Roman"/>
          <w:sz w:val="24"/>
          <w:szCs w:val="24"/>
        </w:rPr>
        <w:t xml:space="preserve"> to narrow the property space </w:t>
      </w:r>
      <w:r w:rsidR="00536569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76553C" w:rsidRPr="00C824A8">
        <w:rPr>
          <w:rFonts w:ascii="Times New Roman" w:eastAsia="Calibri" w:hAnsi="Times New Roman" w:cs="Times New Roman"/>
          <w:sz w:val="24"/>
          <w:szCs w:val="24"/>
        </w:rPr>
        <w:t>a smaller number of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conditions with the most explanatory potential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496A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E6496A">
        <w:rPr>
          <w:rFonts w:ascii="Times New Roman" w:eastAsia="Calibri" w:hAnsi="Times New Roman" w:cs="Times New Roman"/>
          <w:sz w:val="24"/>
          <w:szCs w:val="24"/>
        </w:rPr>
        <w:t>c</w:t>
      </w:r>
      <w:r w:rsidR="00E15DD7">
        <w:rPr>
          <w:rFonts w:ascii="Times New Roman" w:eastAsia="Calibri" w:hAnsi="Times New Roman" w:cs="Times New Roman"/>
          <w:sz w:val="24"/>
          <w:szCs w:val="24"/>
        </w:rPr>
        <w:t xml:space="preserve">ould be </w:t>
      </w:r>
      <w:r w:rsidR="00E6496A">
        <w:rPr>
          <w:rFonts w:ascii="Times New Roman" w:eastAsia="Calibri" w:hAnsi="Times New Roman" w:cs="Times New Roman"/>
          <w:sz w:val="24"/>
          <w:szCs w:val="24"/>
        </w:rPr>
        <w:t xml:space="preserve">assessed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through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evidence </w:t>
      </w:r>
      <w:r w:rsidR="0076553C">
        <w:rPr>
          <w:rFonts w:ascii="Times New Roman" w:eastAsia="Calibri" w:hAnsi="Times New Roman" w:cs="Times New Roman"/>
          <w:sz w:val="24"/>
          <w:szCs w:val="24"/>
        </w:rPr>
        <w:t>from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secondary sources. </w:t>
      </w:r>
      <w:r w:rsidR="00463012">
        <w:rPr>
          <w:rFonts w:ascii="Times New Roman" w:eastAsia="Calibri" w:hAnsi="Times New Roman" w:cs="Times New Roman"/>
          <w:sz w:val="24"/>
          <w:szCs w:val="24"/>
        </w:rPr>
        <w:t xml:space="preserve">The potential conditions to be tested </w:t>
      </w:r>
      <w:r w:rsidR="00B213D3">
        <w:rPr>
          <w:rFonts w:ascii="Times New Roman" w:eastAsia="Calibri" w:hAnsi="Times New Roman" w:cs="Times New Roman"/>
          <w:sz w:val="24"/>
          <w:szCs w:val="24"/>
        </w:rPr>
        <w:t>resulted from</w:t>
      </w:r>
      <w:r w:rsidR="00463012" w:rsidRPr="00463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an abductive </w:t>
      </w:r>
      <w:r w:rsidR="00B213D3">
        <w:rPr>
          <w:rFonts w:ascii="Times New Roman" w:eastAsia="Calibri" w:hAnsi="Times New Roman" w:cs="Times New Roman"/>
          <w:sz w:val="24"/>
          <w:szCs w:val="24"/>
        </w:rPr>
        <w:t xml:space="preserve">approach </w:t>
      </w:r>
      <w:r w:rsidR="00CF51B1">
        <w:rPr>
          <w:rFonts w:ascii="Times New Roman" w:eastAsia="Calibri" w:hAnsi="Times New Roman" w:cs="Times New Roman"/>
          <w:sz w:val="24"/>
          <w:szCs w:val="24"/>
        </w:rPr>
        <w:t>that move</w:t>
      </w:r>
      <w:r w:rsidR="00463012">
        <w:rPr>
          <w:rFonts w:ascii="Times New Roman" w:eastAsia="Calibri" w:hAnsi="Times New Roman" w:cs="Times New Roman"/>
          <w:sz w:val="24"/>
          <w:szCs w:val="24"/>
        </w:rPr>
        <w:t>d</w:t>
      </w:r>
      <w:r w:rsidR="00B213D3">
        <w:rPr>
          <w:rFonts w:ascii="Times New Roman" w:eastAsia="Calibri" w:hAnsi="Times New Roman" w:cs="Times New Roman"/>
          <w:sz w:val="24"/>
          <w:szCs w:val="24"/>
        </w:rPr>
        <w:t xml:space="preserve"> recursively</w:t>
      </w:r>
      <w:r w:rsidR="00463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3012" w:rsidRPr="00463012">
        <w:rPr>
          <w:rFonts w:ascii="Times New Roman" w:eastAsia="Calibri" w:hAnsi="Times New Roman" w:cs="Times New Roman"/>
          <w:sz w:val="24"/>
          <w:szCs w:val="24"/>
        </w:rPr>
        <w:t>between theory an</w:t>
      </w:r>
      <w:r w:rsidR="00463012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CF51B1">
        <w:rPr>
          <w:rFonts w:ascii="Times New Roman" w:eastAsia="Calibri" w:hAnsi="Times New Roman" w:cs="Times New Roman"/>
          <w:sz w:val="24"/>
          <w:szCs w:val="24"/>
        </w:rPr>
        <w:t xml:space="preserve">empirical </w:t>
      </w:r>
      <w:r w:rsidR="00463012">
        <w:rPr>
          <w:rFonts w:ascii="Times New Roman" w:eastAsia="Calibri" w:hAnsi="Times New Roman" w:cs="Times New Roman"/>
          <w:sz w:val="24"/>
          <w:szCs w:val="24"/>
        </w:rPr>
        <w:t>context</w:t>
      </w:r>
      <w:r w:rsidR="00F92F2E">
        <w:rPr>
          <w:rFonts w:ascii="Times New Roman" w:eastAsia="Calibri" w:hAnsi="Times New Roman" w:cs="Times New Roman"/>
          <w:sz w:val="24"/>
          <w:szCs w:val="24"/>
        </w:rPr>
        <w:t xml:space="preserve"> provided by </w:t>
      </w:r>
      <w:r w:rsidR="00E97705">
        <w:rPr>
          <w:rFonts w:ascii="Times New Roman" w:eastAsia="Calibri" w:hAnsi="Times New Roman" w:cs="Times New Roman"/>
          <w:sz w:val="24"/>
          <w:szCs w:val="24"/>
        </w:rPr>
        <w:t>those</w:t>
      </w:r>
      <w:r w:rsidR="00F92F2E">
        <w:rPr>
          <w:rFonts w:ascii="Times New Roman" w:eastAsia="Calibri" w:hAnsi="Times New Roman" w:cs="Times New Roman"/>
          <w:sz w:val="24"/>
          <w:szCs w:val="24"/>
        </w:rPr>
        <w:t xml:space="preserve"> published</w:t>
      </w:r>
      <w:r w:rsidR="00E97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F2E">
        <w:rPr>
          <w:rFonts w:ascii="Times New Roman" w:eastAsia="Calibri" w:hAnsi="Times New Roman" w:cs="Times New Roman"/>
          <w:sz w:val="24"/>
          <w:szCs w:val="24"/>
        </w:rPr>
        <w:t>cases</w:t>
      </w:r>
      <w:r w:rsidR="00463012">
        <w:rPr>
          <w:rFonts w:ascii="Times New Roman" w:eastAsia="Calibri" w:hAnsi="Times New Roman" w:cs="Times New Roman"/>
          <w:sz w:val="24"/>
          <w:szCs w:val="24"/>
        </w:rPr>
        <w:t>.</w:t>
      </w:r>
      <w:r w:rsidR="00463012" w:rsidRPr="004630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B720BA" w14:textId="77777777" w:rsidR="001010EB" w:rsidRPr="0082384C" w:rsidRDefault="001010EB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86E820" w14:textId="47331701" w:rsidR="00E15DD7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We identified eight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potentially explanatory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conditions, </w:t>
      </w:r>
      <w:r w:rsidR="00210A12">
        <w:rPr>
          <w:rFonts w:ascii="Times New Roman" w:eastAsia="Calibri" w:hAnsi="Times New Roman" w:cs="Times New Roman"/>
          <w:sz w:val="24"/>
          <w:szCs w:val="24"/>
        </w:rPr>
        <w:t xml:space="preserve">summarised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Table </w:t>
      </w:r>
      <w:r w:rsidRPr="0082384C">
        <w:rPr>
          <w:rFonts w:ascii="Times New Roman" w:eastAsia="Calibri" w:hAnsi="Times New Roman" w:cs="Times New Roman"/>
          <w:sz w:val="24"/>
          <w:szCs w:val="24"/>
        </w:rPr>
        <w:t>1</w:t>
      </w:r>
      <w:r w:rsidR="00D90A4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457C">
        <w:rPr>
          <w:rFonts w:ascii="Times New Roman" w:eastAsia="Calibri" w:hAnsi="Times New Roman" w:cs="Times New Roman"/>
          <w:sz w:val="24"/>
          <w:szCs w:val="24"/>
        </w:rPr>
        <w:t>which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could be used to </w:t>
      </w:r>
      <w:r w:rsidR="00F31FEB">
        <w:rPr>
          <w:rFonts w:ascii="Times New Roman" w:eastAsia="Calibri" w:hAnsi="Times New Roman" w:cs="Times New Roman"/>
          <w:sz w:val="24"/>
          <w:szCs w:val="24"/>
        </w:rPr>
        <w:t xml:space="preserve">understand </w:t>
      </w:r>
      <w:r w:rsidRPr="0082384C">
        <w:rPr>
          <w:rFonts w:ascii="Times New Roman" w:eastAsia="Calibri" w:hAnsi="Times New Roman" w:cs="Times New Roman"/>
          <w:sz w:val="24"/>
          <w:szCs w:val="24"/>
        </w:rPr>
        <w:t>variance across CLTs.</w:t>
      </w:r>
      <w:r w:rsidR="002A5A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The conditions are grouped into </w:t>
      </w:r>
      <w:r w:rsidRPr="00D12144">
        <w:rPr>
          <w:rFonts w:ascii="Times New Roman" w:eastAsia="Calibri" w:hAnsi="Times New Roman" w:cs="Times New Roman"/>
          <w:sz w:val="24"/>
          <w:szCs w:val="24"/>
        </w:rPr>
        <w:t xml:space="preserve">four </w:t>
      </w:r>
      <w:r w:rsidRPr="00D9366E">
        <w:rPr>
          <w:rFonts w:ascii="Times New Roman" w:eastAsia="Calibri" w:hAnsi="Times New Roman" w:cs="Times New Roman"/>
          <w:sz w:val="24"/>
          <w:szCs w:val="24"/>
        </w:rPr>
        <w:t>categories</w:t>
      </w:r>
      <w:r w:rsidRPr="00D1214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45F20">
        <w:rPr>
          <w:rFonts w:ascii="Times New Roman" w:eastAsia="Calibri" w:hAnsi="Times New Roman" w:cs="Times New Roman"/>
          <w:sz w:val="24"/>
          <w:szCs w:val="24"/>
        </w:rPr>
        <w:t>organis</w:t>
      </w:r>
      <w:r w:rsidRPr="00D12144">
        <w:rPr>
          <w:rFonts w:ascii="Times New Roman" w:eastAsia="Calibri" w:hAnsi="Times New Roman" w:cs="Times New Roman"/>
          <w:sz w:val="24"/>
          <w:szCs w:val="24"/>
        </w:rPr>
        <w:t>ational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governance; wider mobilization and engagement; portfolio; and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support and capacity. These conditions could, in combination, reveal different logical types, (i.e. sets of CLTs with the same combination of features)</w:t>
      </w:r>
      <w:r w:rsidRPr="00D1214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E065BE1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0C9BE" w14:textId="5C0C057A" w:rsidR="0076553C" w:rsidRDefault="00E15DD7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 effect, the construction of the conditions was our ‘hypothesis building’ phase, where it was unclear whether, to what extent, and in which dire</w:t>
      </w:r>
      <w:r w:rsidR="00B224AE">
        <w:rPr>
          <w:rFonts w:ascii="Times New Roman" w:eastAsia="Calibri" w:hAnsi="Times New Roman" w:cs="Times New Roman"/>
          <w:sz w:val="24"/>
          <w:szCs w:val="24"/>
        </w:rPr>
        <w:t>ction each condition may point.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2DFC">
        <w:rPr>
          <w:rFonts w:ascii="Times New Roman" w:eastAsia="Calibri" w:hAnsi="Times New Roman" w:cs="Times New Roman"/>
          <w:sz w:val="24"/>
          <w:szCs w:val="24"/>
        </w:rPr>
        <w:t>The role of e</w:t>
      </w:r>
      <w:r w:rsidR="009144D0">
        <w:rPr>
          <w:rFonts w:ascii="Times New Roman" w:eastAsia="Calibri" w:hAnsi="Times New Roman" w:cs="Times New Roman"/>
          <w:sz w:val="24"/>
          <w:szCs w:val="24"/>
        </w:rPr>
        <w:t>ach condition</w:t>
      </w:r>
      <w:r w:rsidR="00882DFC">
        <w:rPr>
          <w:rFonts w:ascii="Times New Roman" w:eastAsia="Calibri" w:hAnsi="Times New Roman" w:cs="Times New Roman"/>
          <w:sz w:val="24"/>
          <w:szCs w:val="24"/>
        </w:rPr>
        <w:t xml:space="preserve"> in the successful governance of the housing commons </w:t>
      </w:r>
      <w:r w:rsidR="009144D0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882DFC">
        <w:rPr>
          <w:rFonts w:ascii="Times New Roman" w:eastAsia="Calibri" w:hAnsi="Times New Roman" w:cs="Times New Roman"/>
          <w:sz w:val="24"/>
          <w:szCs w:val="24"/>
        </w:rPr>
        <w:t>contested in t</w:t>
      </w:r>
      <w:r w:rsidR="009144D0">
        <w:rPr>
          <w:rFonts w:ascii="Times New Roman" w:eastAsia="Calibri" w:hAnsi="Times New Roman" w:cs="Times New Roman"/>
          <w:sz w:val="24"/>
          <w:szCs w:val="24"/>
        </w:rPr>
        <w:t>he literature</w:t>
      </w:r>
      <w:r w:rsidR="00882D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="00882DFC">
        <w:rPr>
          <w:rFonts w:ascii="Times New Roman" w:eastAsia="Calibri" w:hAnsi="Times New Roman" w:cs="Times New Roman"/>
          <w:sz w:val="24"/>
          <w:szCs w:val="24"/>
        </w:rPr>
        <w:t xml:space="preserve"> summar</w:t>
      </w:r>
      <w:r w:rsidR="00D96888">
        <w:rPr>
          <w:rFonts w:ascii="Times New Roman" w:eastAsia="Calibri" w:hAnsi="Times New Roman" w:cs="Times New Roman"/>
          <w:sz w:val="24"/>
          <w:szCs w:val="24"/>
        </w:rPr>
        <w:t>i</w:t>
      </w:r>
      <w:r w:rsidR="00882DFC">
        <w:rPr>
          <w:rFonts w:ascii="Times New Roman" w:eastAsia="Calibri" w:hAnsi="Times New Roman" w:cs="Times New Roman"/>
          <w:sz w:val="24"/>
          <w:szCs w:val="24"/>
        </w:rPr>
        <w:t xml:space="preserve">sed in Table 1. Our approach sought to acknowledge potential trade-offs between conditions (Barnett et al., 2020; </w:t>
      </w:r>
      <w:r w:rsidR="00882D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Westerink et al</w:t>
      </w:r>
      <w:r w:rsidR="00E0457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882D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2020).</w:t>
      </w:r>
      <w:r w:rsidR="00882D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D12144">
        <w:rPr>
          <w:rFonts w:ascii="Times New Roman" w:eastAsia="Calibri" w:hAnsi="Times New Roman" w:cs="Times New Roman"/>
          <w:sz w:val="24"/>
          <w:szCs w:val="24"/>
        </w:rPr>
        <w:t>By trans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parently mapping out </w:t>
      </w:r>
      <w:r w:rsidR="00F92F2E">
        <w:rPr>
          <w:rFonts w:ascii="Times New Roman" w:eastAsia="Calibri" w:hAnsi="Times New Roman" w:cs="Times New Roman"/>
          <w:sz w:val="24"/>
          <w:szCs w:val="24"/>
        </w:rPr>
        <w:t>the</w:t>
      </w:r>
      <w:r w:rsidR="00F92F2E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properties</w:t>
      </w:r>
      <w:r w:rsidR="00F92F2E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E97705">
        <w:rPr>
          <w:rFonts w:ascii="Times New Roman" w:eastAsia="Calibri" w:hAnsi="Times New Roman" w:cs="Times New Roman"/>
          <w:sz w:val="24"/>
          <w:szCs w:val="24"/>
        </w:rPr>
        <w:t xml:space="preserve"> existing</w:t>
      </w:r>
      <w:r w:rsidR="00F92F2E">
        <w:rPr>
          <w:rFonts w:ascii="Times New Roman" w:eastAsia="Calibri" w:hAnsi="Times New Roman" w:cs="Times New Roman"/>
          <w:sz w:val="24"/>
          <w:szCs w:val="24"/>
        </w:rPr>
        <w:t xml:space="preserve"> cases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, and understanding</w:t>
      </w:r>
      <w:r w:rsidR="00F92F2E">
        <w:rPr>
          <w:rFonts w:ascii="Times New Roman" w:eastAsia="Calibri" w:hAnsi="Times New Roman" w:cs="Times New Roman"/>
          <w:sz w:val="24"/>
          <w:szCs w:val="24"/>
        </w:rPr>
        <w:t xml:space="preserve"> how and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which cases group, we can provide a better grounding for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a conceptual </w:t>
      </w:r>
      <w:r w:rsidR="0076553C" w:rsidRPr="00D9366E">
        <w:rPr>
          <w:rFonts w:ascii="Times New Roman" w:eastAsia="Calibri" w:hAnsi="Times New Roman" w:cs="Times New Roman"/>
          <w:sz w:val="24"/>
          <w:szCs w:val="24"/>
        </w:rPr>
        <w:t>typology.</w:t>
      </w:r>
    </w:p>
    <w:p w14:paraId="0D93524C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00841" w14:textId="77777777" w:rsidR="00210A12" w:rsidRDefault="00210A12" w:rsidP="0076553C">
      <w:pPr>
        <w:pStyle w:val="Body"/>
        <w:spacing w:line="48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2F24C01" w14:textId="543AFA94" w:rsidR="0076553C" w:rsidRPr="00E0457C" w:rsidRDefault="00364453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457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6553C" w:rsidRPr="00E0457C">
        <w:rPr>
          <w:rFonts w:ascii="Times New Roman" w:hAnsi="Times New Roman" w:cs="Times New Roman"/>
          <w:i/>
          <w:iCs/>
          <w:sz w:val="24"/>
          <w:szCs w:val="24"/>
        </w:rPr>
        <w:t xml:space="preserve">pplying conditions to </w:t>
      </w:r>
      <w:r w:rsidR="007C7119">
        <w:rPr>
          <w:rFonts w:ascii="Times New Roman" w:hAnsi="Times New Roman" w:cs="Times New Roman"/>
          <w:i/>
          <w:iCs/>
          <w:sz w:val="24"/>
          <w:szCs w:val="24"/>
        </w:rPr>
        <w:t>published case study</w:t>
      </w:r>
      <w:r w:rsidR="007C7119" w:rsidRPr="00E045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553C" w:rsidRPr="00E0457C">
        <w:rPr>
          <w:rFonts w:ascii="Times New Roman" w:hAnsi="Times New Roman" w:cs="Times New Roman"/>
          <w:i/>
          <w:iCs/>
          <w:sz w:val="24"/>
          <w:szCs w:val="24"/>
        </w:rPr>
        <w:t xml:space="preserve">data </w:t>
      </w:r>
    </w:p>
    <w:p w14:paraId="145A946A" w14:textId="44727049" w:rsidR="0076553C" w:rsidRPr="0082384C" w:rsidRDefault="00463012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="009E52BF">
        <w:rPr>
          <w:rFonts w:ascii="Times New Roman" w:eastAsia="Calibri" w:hAnsi="Times New Roman" w:cs="Times New Roman"/>
          <w:sz w:val="24"/>
          <w:szCs w:val="24"/>
        </w:rPr>
        <w:t>applied the</w:t>
      </w:r>
      <w:r w:rsidR="00370EA5">
        <w:rPr>
          <w:rFonts w:ascii="Times New Roman" w:eastAsia="Calibri" w:hAnsi="Times New Roman" w:cs="Times New Roman"/>
          <w:sz w:val="24"/>
          <w:szCs w:val="24"/>
        </w:rPr>
        <w:t>se</w:t>
      </w:r>
      <w:r w:rsidR="009E52BF">
        <w:rPr>
          <w:rFonts w:ascii="Times New Roman" w:eastAsia="Calibri" w:hAnsi="Times New Roman" w:cs="Times New Roman"/>
          <w:sz w:val="24"/>
          <w:szCs w:val="24"/>
        </w:rPr>
        <w:t xml:space="preserve"> conditions to data on CLTs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to understand which of all the possible combinations </w:t>
      </w:r>
      <w:r>
        <w:rPr>
          <w:rFonts w:ascii="Times New Roman" w:eastAsia="Calibri" w:hAnsi="Times New Roman" w:cs="Times New Roman"/>
          <w:sz w:val="24"/>
          <w:szCs w:val="24"/>
        </w:rPr>
        <w:t>of the</w:t>
      </w:r>
      <w:r w:rsidR="00CE2A35">
        <w:rPr>
          <w:rFonts w:ascii="Times New Roman" w:eastAsia="Calibri" w:hAnsi="Times New Roman" w:cs="Times New Roman"/>
          <w:sz w:val="24"/>
          <w:szCs w:val="24"/>
        </w:rPr>
        <w:t xml:space="preserve"> hypothesized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conditions </w:t>
      </w:r>
      <w:r w:rsidRPr="0082384C">
        <w:rPr>
          <w:rFonts w:ascii="Times New Roman" w:eastAsia="Calibri" w:hAnsi="Times New Roman" w:cs="Times New Roman"/>
          <w:sz w:val="24"/>
          <w:szCs w:val="24"/>
        </w:rPr>
        <w:t>exist</w:t>
      </w:r>
      <w:r>
        <w:rPr>
          <w:rFonts w:ascii="Times New Roman" w:eastAsia="Calibri" w:hAnsi="Times New Roman" w:cs="Times New Roman"/>
          <w:sz w:val="24"/>
          <w:szCs w:val="24"/>
        </w:rPr>
        <w:t>ed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in the data. </w:t>
      </w:r>
      <w:r w:rsidR="00C85C85">
        <w:rPr>
          <w:rFonts w:ascii="Times New Roman" w:eastAsia="Calibri" w:hAnsi="Times New Roman" w:cs="Times New Roman"/>
          <w:sz w:val="24"/>
          <w:szCs w:val="24"/>
        </w:rPr>
        <w:t>We collated</w:t>
      </w:r>
      <w:r w:rsidR="00113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an original dataset</w:t>
      </w:r>
      <w:r w:rsidR="0011350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85C85">
        <w:rPr>
          <w:rFonts w:ascii="Times New Roman" w:eastAsia="Calibri" w:hAnsi="Times New Roman" w:cs="Times New Roman"/>
          <w:sz w:val="24"/>
          <w:szCs w:val="24"/>
        </w:rPr>
        <w:t>developed</w:t>
      </w:r>
      <w:r w:rsidR="00C85C85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from existing US and UK case studies using existing published evidence on </w:t>
      </w:r>
      <w:r w:rsidR="0076553C">
        <w:rPr>
          <w:rFonts w:ascii="Times New Roman" w:eastAsia="Calibri" w:hAnsi="Times New Roman" w:cs="Times New Roman"/>
          <w:sz w:val="24"/>
          <w:szCs w:val="24"/>
        </w:rPr>
        <w:t>CLTs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identified through a scoping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literature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review. </w:t>
      </w:r>
    </w:p>
    <w:p w14:paraId="71FC5602" w14:textId="35D7E1E5" w:rsidR="0076553C" w:rsidRDefault="004B06D5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 be included in the datasets, evidence </w:t>
      </w:r>
      <w:r w:rsidR="0076553C">
        <w:rPr>
          <w:rFonts w:ascii="Times New Roman" w:eastAsia="Calibri" w:hAnsi="Times New Roman" w:cs="Times New Roman"/>
          <w:sz w:val="24"/>
          <w:szCs w:val="24"/>
        </w:rPr>
        <w:t>had to meet the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following criteria: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include original qualitative empirical material </w:t>
      </w:r>
      <w:r w:rsidR="00E50A7F">
        <w:rPr>
          <w:rFonts w:ascii="Times New Roman" w:hAnsi="Times New Roman" w:cs="Times New Roman"/>
          <w:sz w:val="24"/>
          <w:szCs w:val="24"/>
        </w:rPr>
        <w:t>about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a case study/</w:t>
      </w:r>
      <w:r w:rsidR="00943294">
        <w:rPr>
          <w:rFonts w:ascii="Times New Roman" w:hAnsi="Times New Roman" w:cs="Times New Roman"/>
          <w:sz w:val="24"/>
          <w:szCs w:val="24"/>
        </w:rPr>
        <w:t>stud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ies of CLTs; </w:t>
      </w:r>
      <w:r w:rsidR="0076553C">
        <w:rPr>
          <w:rFonts w:ascii="Times New Roman" w:hAnsi="Times New Roman" w:cs="Times New Roman"/>
          <w:sz w:val="24"/>
          <w:szCs w:val="24"/>
        </w:rPr>
        <w:t xml:space="preserve">be academically </w:t>
      </w:r>
      <w:r w:rsidR="0076553C" w:rsidRPr="0082384C">
        <w:rPr>
          <w:rFonts w:ascii="Times New Roman" w:hAnsi="Times New Roman" w:cs="Times New Roman"/>
          <w:sz w:val="24"/>
          <w:szCs w:val="24"/>
        </w:rPr>
        <w:t>peer review</w:t>
      </w:r>
      <w:r w:rsidR="0076553C">
        <w:rPr>
          <w:rFonts w:ascii="Times New Roman" w:hAnsi="Times New Roman" w:cs="Times New Roman"/>
          <w:sz w:val="24"/>
          <w:szCs w:val="24"/>
        </w:rPr>
        <w:t>ed,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</w:t>
      </w:r>
      <w:r w:rsidR="0076553C">
        <w:rPr>
          <w:rFonts w:ascii="Times New Roman" w:hAnsi="Times New Roman" w:cs="Times New Roman"/>
          <w:sz w:val="24"/>
          <w:szCs w:val="24"/>
        </w:rPr>
        <w:t>and/or published through a reputable outlet, and/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or </w:t>
      </w:r>
      <w:r w:rsidR="00045023">
        <w:rPr>
          <w:rFonts w:ascii="Times New Roman" w:hAnsi="Times New Roman" w:cs="Times New Roman"/>
          <w:sz w:val="24"/>
          <w:szCs w:val="24"/>
        </w:rPr>
        <w:t>have</w:t>
      </w:r>
      <w:r w:rsidR="0076553C">
        <w:rPr>
          <w:rFonts w:ascii="Times New Roman" w:hAnsi="Times New Roman" w:cs="Times New Roman"/>
          <w:sz w:val="24"/>
          <w:szCs w:val="24"/>
        </w:rPr>
        <w:t xml:space="preserve"> been 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externally evaluated; </w:t>
      </w:r>
      <w:r w:rsidR="0076553C">
        <w:rPr>
          <w:rFonts w:ascii="Times New Roman" w:eastAsia="Calibri" w:hAnsi="Times New Roman" w:cs="Times New Roman"/>
          <w:sz w:val="24"/>
          <w:szCs w:val="24"/>
        </w:rPr>
        <w:t>be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within the data range, 1990 to 2019; and 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published in English. Subsequently,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to be eligible for inclusion, 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the case </w:t>
      </w:r>
      <w:r w:rsidR="004061EA">
        <w:rPr>
          <w:rFonts w:ascii="Times New Roman" w:hAnsi="Times New Roman" w:cs="Times New Roman"/>
          <w:sz w:val="24"/>
          <w:szCs w:val="24"/>
        </w:rPr>
        <w:t xml:space="preserve">must </w:t>
      </w:r>
      <w:r w:rsidR="0076553C" w:rsidRPr="0082384C">
        <w:rPr>
          <w:rFonts w:ascii="Times New Roman" w:hAnsi="Times New Roman" w:cs="Times New Roman"/>
          <w:sz w:val="24"/>
          <w:szCs w:val="24"/>
        </w:rPr>
        <w:t>m</w:t>
      </w:r>
      <w:r w:rsidR="004061EA">
        <w:rPr>
          <w:rFonts w:ascii="Times New Roman" w:hAnsi="Times New Roman" w:cs="Times New Roman"/>
          <w:sz w:val="24"/>
          <w:szCs w:val="24"/>
        </w:rPr>
        <w:t>e</w:t>
      </w:r>
      <w:r w:rsidR="0076553C" w:rsidRPr="0082384C">
        <w:rPr>
          <w:rFonts w:ascii="Times New Roman" w:hAnsi="Times New Roman" w:cs="Times New Roman"/>
          <w:sz w:val="24"/>
          <w:szCs w:val="24"/>
        </w:rPr>
        <w:t>et the scoping condition as a legally defined CLT</w:t>
      </w:r>
      <w:r w:rsidR="0007641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76553C">
        <w:rPr>
          <w:rFonts w:ascii="Times New Roman" w:hAnsi="Times New Roman" w:cs="Times New Roman"/>
          <w:sz w:val="24"/>
          <w:szCs w:val="24"/>
        </w:rPr>
        <w:t>,</w:t>
      </w:r>
      <w:r w:rsidR="00261471">
        <w:rPr>
          <w:rFonts w:ascii="Times New Roman" w:hAnsi="Times New Roman" w:cs="Times New Roman"/>
          <w:sz w:val="24"/>
          <w:szCs w:val="24"/>
        </w:rPr>
        <w:t xml:space="preserve"> </w:t>
      </w:r>
      <w:r w:rsidR="00F35F1F">
        <w:rPr>
          <w:rFonts w:ascii="Times New Roman" w:hAnsi="Times New Roman" w:cs="Times New Roman"/>
          <w:sz w:val="24"/>
          <w:szCs w:val="24"/>
        </w:rPr>
        <w:t>and to be</w:t>
      </w:r>
      <w:r w:rsidR="00261471">
        <w:rPr>
          <w:rFonts w:ascii="Times New Roman" w:hAnsi="Times New Roman" w:cs="Times New Roman"/>
          <w:sz w:val="24"/>
          <w:szCs w:val="24"/>
        </w:rPr>
        <w:t xml:space="preserve"> involved in the provision of housing,</w:t>
      </w:r>
      <w:r w:rsidR="0076553C">
        <w:rPr>
          <w:rFonts w:ascii="Times New Roman" w:hAnsi="Times New Roman" w:cs="Times New Roman"/>
          <w:sz w:val="24"/>
          <w:szCs w:val="24"/>
        </w:rPr>
        <w:t xml:space="preserve">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located in the </w:t>
      </w:r>
      <w:r w:rsidR="00045023">
        <w:rPr>
          <w:rFonts w:ascii="Times New Roman" w:eastAsia="Calibri" w:hAnsi="Times New Roman" w:cs="Times New Roman"/>
          <w:sz w:val="24"/>
          <w:szCs w:val="24"/>
        </w:rPr>
        <w:t>UK or US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. This geographical focus permits some control over legal and cultural variance, but also acknowledges the prior knowledge of variance, or at least claimed variance, within those contexts. The date range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acknowledge</w:t>
      </w:r>
      <w:r w:rsidR="00E50A7F">
        <w:rPr>
          <w:rFonts w:ascii="Times New Roman" w:eastAsia="Calibri" w:hAnsi="Times New Roman" w:cs="Times New Roman"/>
          <w:sz w:val="24"/>
          <w:szCs w:val="24"/>
        </w:rPr>
        <w:t>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the recent proliferation of CLTs</w:t>
      </w:r>
      <w:r w:rsidR="00E50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in the UK, but </w:t>
      </w:r>
      <w:r w:rsidR="00045023">
        <w:rPr>
          <w:rFonts w:ascii="Times New Roman" w:eastAsia="Calibri" w:hAnsi="Times New Roman" w:cs="Times New Roman"/>
          <w:sz w:val="24"/>
          <w:szCs w:val="24"/>
        </w:rPr>
        <w:t>also include</w:t>
      </w:r>
      <w:r w:rsidR="00E50A7F">
        <w:rPr>
          <w:rFonts w:ascii="Times New Roman" w:eastAsia="Calibri" w:hAnsi="Times New Roman" w:cs="Times New Roman"/>
          <w:sz w:val="24"/>
          <w:szCs w:val="24"/>
        </w:rPr>
        <w:t>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longer-standing</w:t>
      </w:r>
      <w:r w:rsidR="00E50A7F">
        <w:rPr>
          <w:rFonts w:ascii="Times New Roman" w:eastAsia="Calibri" w:hAnsi="Times New Roman" w:cs="Times New Roman"/>
          <w:sz w:val="24"/>
          <w:szCs w:val="24"/>
        </w:rPr>
        <w:t xml:space="preserve"> US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0A7F">
        <w:rPr>
          <w:rFonts w:ascii="Times New Roman" w:eastAsia="Calibri" w:hAnsi="Times New Roman" w:cs="Times New Roman"/>
          <w:sz w:val="24"/>
          <w:szCs w:val="24"/>
        </w:rPr>
        <w:t>cases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. Finally, the case had to be supported by more than one source.</w:t>
      </w:r>
    </w:p>
    <w:p w14:paraId="7C941E16" w14:textId="77777777" w:rsidR="00E0457C" w:rsidRPr="0082384C" w:rsidRDefault="00E0457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6C98CD" w14:textId="77777777" w:rsidR="00F35F1F" w:rsidRDefault="0076553C" w:rsidP="00F35F1F">
      <w:pPr>
        <w:pStyle w:val="CommentText"/>
        <w:spacing w:after="0"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457C">
        <w:rPr>
          <w:rFonts w:ascii="Times New Roman" w:eastAsia="Calibri" w:hAnsi="Times New Roman" w:cs="Times New Roman"/>
          <w:i/>
          <w:sz w:val="24"/>
          <w:szCs w:val="24"/>
        </w:rPr>
        <w:t>Data sources</w:t>
      </w:r>
      <w:r w:rsidR="0011350F" w:rsidRPr="00E0457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E0457C">
        <w:rPr>
          <w:rFonts w:ascii="Times New Roman" w:eastAsia="Calibri" w:hAnsi="Times New Roman" w:cs="Times New Roman"/>
          <w:i/>
          <w:sz w:val="24"/>
          <w:szCs w:val="24"/>
        </w:rPr>
        <w:t xml:space="preserve"> cases</w:t>
      </w:r>
      <w:r w:rsidR="0011350F" w:rsidRPr="00E0457C">
        <w:rPr>
          <w:rFonts w:ascii="Times New Roman" w:eastAsia="Calibri" w:hAnsi="Times New Roman" w:cs="Times New Roman"/>
          <w:i/>
          <w:sz w:val="24"/>
          <w:szCs w:val="24"/>
        </w:rPr>
        <w:t>, and coding</w:t>
      </w:r>
    </w:p>
    <w:p w14:paraId="5DD6539A" w14:textId="51277DBA" w:rsidR="0076553C" w:rsidRPr="00F35F1F" w:rsidRDefault="0076553C" w:rsidP="00F35F1F">
      <w:pPr>
        <w:pStyle w:val="CommentText"/>
        <w:spacing w:after="0"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The scoping review employed the following search terms: ‘Community Land Trust*’; ‘Community Trust*’; ‘Land Trust*’; ‘Housing Trust*’; ‘Mutual Housing’. We also searched a number of databases to extend the reach of our search: ProQuest Research Library; Library Articles Search; Discovered; Scopus; DuckDuckGo Search Engine.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82384C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collated </w:t>
      </w:r>
      <w:r w:rsidRPr="0082384C">
        <w:rPr>
          <w:rFonts w:ascii="Times New Roman" w:eastAsia="Calibri" w:hAnsi="Times New Roman" w:cs="Times New Roman"/>
          <w:sz w:val="24"/>
          <w:szCs w:val="24"/>
        </w:rPr>
        <w:t>a dataset of 29 cases that met e</w:t>
      </w:r>
      <w:r w:rsidR="007A718E">
        <w:rPr>
          <w:rFonts w:ascii="Times New Roman" w:eastAsia="Calibri" w:hAnsi="Times New Roman" w:cs="Times New Roman"/>
          <w:sz w:val="24"/>
          <w:szCs w:val="24"/>
        </w:rPr>
        <w:t>ligibility criteria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We triangulated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the existing peer-reviewed and externally evaluated </w:t>
      </w:r>
      <w:r>
        <w:rPr>
          <w:rFonts w:ascii="Times New Roman" w:eastAsia="Calibri" w:hAnsi="Times New Roman" w:cs="Times New Roman"/>
          <w:sz w:val="24"/>
          <w:szCs w:val="24"/>
        </w:rPr>
        <w:t>evidence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base with additional documentation, such as grey literature</w:t>
      </w:r>
      <w:r>
        <w:rPr>
          <w:rFonts w:ascii="Times New Roman" w:eastAsia="Calibri" w:hAnsi="Times New Roman" w:cs="Times New Roman"/>
          <w:sz w:val="24"/>
          <w:szCs w:val="24"/>
        </w:rPr>
        <w:t>, websites, and newsletters.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Appendix </w:t>
      </w:r>
      <w:r w:rsidR="00210957">
        <w:rPr>
          <w:rFonts w:ascii="Times New Roman" w:eastAsia="Calibri" w:hAnsi="Times New Roman" w:cs="Times New Roman"/>
          <w:sz w:val="24"/>
          <w:szCs w:val="24"/>
        </w:rPr>
        <w:t>1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1EA">
        <w:rPr>
          <w:rFonts w:ascii="Times New Roman" w:eastAsia="Calibri" w:hAnsi="Times New Roman" w:cs="Times New Roman"/>
          <w:sz w:val="24"/>
          <w:szCs w:val="24"/>
        </w:rPr>
        <w:t>details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the sources underpinning each case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and Appendix </w:t>
      </w:r>
      <w:r w:rsidR="0021095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0A7F">
        <w:rPr>
          <w:rFonts w:ascii="Times New Roman" w:eastAsia="Calibri" w:hAnsi="Times New Roman" w:cs="Times New Roman"/>
          <w:sz w:val="24"/>
          <w:szCs w:val="24"/>
        </w:rPr>
        <w:t xml:space="preserve">describes all </w:t>
      </w:r>
      <w:r>
        <w:rPr>
          <w:rFonts w:ascii="Times New Roman" w:eastAsia="Calibri" w:hAnsi="Times New Roman" w:cs="Times New Roman"/>
          <w:sz w:val="24"/>
          <w:szCs w:val="24"/>
        </w:rPr>
        <w:t>case</w:t>
      </w:r>
      <w:r w:rsidR="00E50A7F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E52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350F">
        <w:rPr>
          <w:rFonts w:ascii="Times New Roman" w:eastAsia="Calibri" w:hAnsi="Times New Roman" w:cs="Times New Roman"/>
          <w:sz w:val="24"/>
          <w:szCs w:val="24"/>
        </w:rPr>
        <w:t xml:space="preserve">The cases were then coded for the presence (1) or absence (0) of the eight conditions. </w:t>
      </w:r>
      <w:r w:rsidR="009E52BF" w:rsidRPr="000557E5">
        <w:rPr>
          <w:rFonts w:ascii="Times New Roman" w:eastAsia="Calibri" w:hAnsi="Times New Roman" w:cs="Times New Roman"/>
          <w:sz w:val="24"/>
          <w:szCs w:val="24"/>
        </w:rPr>
        <w:t>Appe</w:t>
      </w:r>
      <w:r w:rsidR="009E52BF">
        <w:rPr>
          <w:rFonts w:ascii="Times New Roman" w:eastAsia="Calibri" w:hAnsi="Times New Roman" w:cs="Times New Roman"/>
          <w:sz w:val="24"/>
          <w:szCs w:val="24"/>
        </w:rPr>
        <w:t>ndix 3</w:t>
      </w:r>
      <w:r w:rsidR="009E52BF" w:rsidRPr="000557E5">
        <w:rPr>
          <w:rFonts w:ascii="Times New Roman" w:eastAsia="Calibri" w:hAnsi="Times New Roman" w:cs="Times New Roman"/>
          <w:sz w:val="24"/>
          <w:szCs w:val="24"/>
        </w:rPr>
        <w:t xml:space="preserve"> sets out </w:t>
      </w:r>
      <w:r w:rsidR="0011350F">
        <w:rPr>
          <w:rFonts w:ascii="Times New Roman" w:eastAsia="Calibri" w:hAnsi="Times New Roman" w:cs="Times New Roman"/>
          <w:sz w:val="24"/>
          <w:szCs w:val="24"/>
        </w:rPr>
        <w:t xml:space="preserve">the technical detail of the coding </w:t>
      </w:r>
      <w:r w:rsidR="00FA36E8">
        <w:rPr>
          <w:rFonts w:ascii="Times New Roman" w:eastAsia="Calibri" w:hAnsi="Times New Roman" w:cs="Times New Roman"/>
          <w:sz w:val="24"/>
          <w:szCs w:val="24"/>
        </w:rPr>
        <w:t>process</w:t>
      </w:r>
      <w:r w:rsidR="004061EA">
        <w:rPr>
          <w:rFonts w:ascii="Times New Roman" w:eastAsia="Calibri" w:hAnsi="Times New Roman" w:cs="Times New Roman"/>
          <w:sz w:val="24"/>
          <w:szCs w:val="24"/>
        </w:rPr>
        <w:t>, specifically</w:t>
      </w:r>
      <w:r w:rsidR="00113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2BF" w:rsidRPr="000557E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984290">
        <w:rPr>
          <w:rFonts w:ascii="Times New Roman" w:eastAsia="Calibri" w:hAnsi="Times New Roman" w:cs="Times New Roman"/>
          <w:sz w:val="24"/>
          <w:szCs w:val="24"/>
        </w:rPr>
        <w:t>criteria for coding the presence and absence of</w:t>
      </w:r>
      <w:r w:rsidR="009E52BF" w:rsidRPr="000557E5">
        <w:rPr>
          <w:rFonts w:ascii="Times New Roman" w:eastAsia="Calibri" w:hAnsi="Times New Roman" w:cs="Times New Roman"/>
          <w:sz w:val="24"/>
          <w:szCs w:val="24"/>
        </w:rPr>
        <w:t xml:space="preserve"> each condition</w:t>
      </w:r>
      <w:r w:rsidR="009E52BF">
        <w:rPr>
          <w:rFonts w:ascii="Times New Roman" w:eastAsia="Calibri" w:hAnsi="Times New Roman" w:cs="Times New Roman"/>
          <w:sz w:val="24"/>
          <w:szCs w:val="24"/>
        </w:rPr>
        <w:t>, and coder reliability</w:t>
      </w:r>
      <w:r w:rsidR="0011350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369AE80" w14:textId="77777777" w:rsidR="00E0457C" w:rsidRPr="0082384C" w:rsidRDefault="00E0457C" w:rsidP="00225863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0E6542" w14:textId="19E6F6E3" w:rsidR="00422D0B" w:rsidRDefault="00422D0B" w:rsidP="00422D0B">
      <w:pPr>
        <w:pStyle w:val="Body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FINDINGS</w:t>
      </w:r>
    </w:p>
    <w:p w14:paraId="6E50F06F" w14:textId="77777777" w:rsidR="001010EB" w:rsidRDefault="001010EB" w:rsidP="00225863">
      <w:pPr>
        <w:pStyle w:val="Body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BDC74D" w14:textId="67DA0CED" w:rsidR="0076553C" w:rsidRDefault="004061EA" w:rsidP="00225863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Our</w:t>
      </w:r>
      <w:r w:rsidR="00504A01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D0B" w:rsidRPr="0082384C">
        <w:rPr>
          <w:rFonts w:ascii="Times New Roman" w:eastAsia="Calibri" w:hAnsi="Times New Roman" w:cs="Times New Roman"/>
          <w:sz w:val="24"/>
          <w:szCs w:val="24"/>
        </w:rPr>
        <w:t xml:space="preserve">findings are drawn from coding </w:t>
      </w:r>
      <w:r w:rsidR="00422D0B">
        <w:rPr>
          <w:rFonts w:ascii="Times New Roman" w:eastAsia="Calibri" w:hAnsi="Times New Roman" w:cs="Times New Roman"/>
          <w:sz w:val="24"/>
          <w:szCs w:val="24"/>
        </w:rPr>
        <w:t>the</w:t>
      </w:r>
      <w:r w:rsidR="00422D0B" w:rsidRPr="0082384C">
        <w:rPr>
          <w:rFonts w:ascii="Times New Roman" w:eastAsia="Calibri" w:hAnsi="Times New Roman" w:cs="Times New Roman"/>
          <w:sz w:val="24"/>
          <w:szCs w:val="24"/>
        </w:rPr>
        <w:t xml:space="preserve"> 29 cases.</w:t>
      </w:r>
      <w:r w:rsidR="00303526">
        <w:rPr>
          <w:rFonts w:ascii="Times New Roman" w:eastAsia="Calibri" w:hAnsi="Times New Roman" w:cs="Times New Roman"/>
          <w:sz w:val="24"/>
          <w:szCs w:val="24"/>
        </w:rPr>
        <w:t xml:space="preserve"> Table 2</w:t>
      </w:r>
      <w:r w:rsidR="00422D0B">
        <w:rPr>
          <w:rFonts w:ascii="Times New Roman" w:eastAsia="Calibri" w:hAnsi="Times New Roman" w:cs="Times New Roman"/>
          <w:sz w:val="24"/>
          <w:szCs w:val="24"/>
        </w:rPr>
        <w:t>, known in CCA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as a ‘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truth table</w:t>
      </w:r>
      <w:r w:rsidR="0076553C">
        <w:rPr>
          <w:rFonts w:ascii="Times New Roman" w:eastAsia="Calibri" w:hAnsi="Times New Roman" w:cs="Times New Roman"/>
          <w:sz w:val="24"/>
          <w:szCs w:val="24"/>
        </w:rPr>
        <w:t>’</w:t>
      </w:r>
      <w:r w:rsidR="00422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displays the coding of each case according to our eight conditions. The</w:t>
      </w:r>
      <w:r w:rsidR="00F92F2E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cases are then grouped </w:t>
      </w:r>
      <w:r w:rsidR="00574B01">
        <w:rPr>
          <w:rFonts w:ascii="Times New Roman" w:eastAsia="Calibri" w:hAnsi="Times New Roman" w:cs="Times New Roman"/>
          <w:sz w:val="24"/>
          <w:szCs w:val="24"/>
        </w:rPr>
        <w:t>into</w:t>
      </w:r>
      <w:r w:rsidR="00574B01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B01">
        <w:rPr>
          <w:rFonts w:ascii="Times New Roman" w:eastAsia="Calibri" w:hAnsi="Times New Roman" w:cs="Times New Roman"/>
          <w:sz w:val="24"/>
          <w:szCs w:val="24"/>
        </w:rPr>
        <w:t xml:space="preserve">rows, where each row represents what </w:t>
      </w:r>
      <w:r w:rsidR="00FD07FE">
        <w:rPr>
          <w:rFonts w:ascii="Times New Roman" w:eastAsia="Calibri" w:hAnsi="Times New Roman" w:cs="Times New Roman"/>
          <w:sz w:val="24"/>
          <w:szCs w:val="24"/>
        </w:rPr>
        <w:t>is termed</w:t>
      </w:r>
      <w:r w:rsidR="00574B01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r>
        <w:rPr>
          <w:rFonts w:ascii="Times New Roman" w:eastAsia="Calibri" w:hAnsi="Times New Roman" w:cs="Times New Roman"/>
          <w:sz w:val="24"/>
          <w:szCs w:val="24"/>
        </w:rPr>
        <w:t>CCA</w:t>
      </w:r>
      <w:r w:rsidR="00E045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BEA">
        <w:rPr>
          <w:rFonts w:ascii="Times New Roman" w:eastAsia="Calibri" w:hAnsi="Times New Roman" w:cs="Times New Roman"/>
          <w:sz w:val="24"/>
          <w:szCs w:val="24"/>
        </w:rPr>
        <w:t>as</w:t>
      </w:r>
      <w:r w:rsidR="00574B01">
        <w:rPr>
          <w:rFonts w:ascii="Times New Roman" w:eastAsia="Calibri" w:hAnsi="Times New Roman" w:cs="Times New Roman"/>
          <w:sz w:val="24"/>
          <w:szCs w:val="24"/>
        </w:rPr>
        <w:t xml:space="preserve"> a distinct</w:t>
      </w:r>
      <w:r w:rsidR="00D94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>
        <w:rPr>
          <w:rFonts w:ascii="Times New Roman" w:eastAsia="Calibri" w:hAnsi="Times New Roman" w:cs="Times New Roman"/>
          <w:sz w:val="24"/>
          <w:szCs w:val="24"/>
        </w:rPr>
        <w:t>‘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logical type</w:t>
      </w:r>
      <w:r w:rsidR="0076553C">
        <w:rPr>
          <w:rFonts w:ascii="Times New Roman" w:eastAsia="Calibri" w:hAnsi="Times New Roman" w:cs="Times New Roman"/>
          <w:sz w:val="24"/>
          <w:szCs w:val="24"/>
        </w:rPr>
        <w:t>’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, ie. </w:t>
      </w:r>
      <w:r w:rsidR="00574B01">
        <w:rPr>
          <w:rFonts w:ascii="Times New Roman" w:eastAsia="Calibri" w:hAnsi="Times New Roman" w:cs="Times New Roman"/>
          <w:sz w:val="24"/>
          <w:szCs w:val="24"/>
        </w:rPr>
        <w:t>a set</w:t>
      </w:r>
      <w:r w:rsidR="00574B01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of CLTs where </w:t>
      </w:r>
      <w:r w:rsidR="004044AB">
        <w:rPr>
          <w:rFonts w:ascii="Times New Roman" w:eastAsia="Calibri" w:hAnsi="Times New Roman" w:cs="Times New Roman"/>
          <w:sz w:val="24"/>
          <w:szCs w:val="24"/>
        </w:rPr>
        <w:t>cases have the same combinations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of conditions. 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Table </w:t>
      </w:r>
      <w:r w:rsidR="00303526">
        <w:rPr>
          <w:rFonts w:ascii="Times New Roman" w:hAnsi="Times New Roman" w:cs="Times New Roman"/>
          <w:sz w:val="24"/>
          <w:szCs w:val="24"/>
        </w:rPr>
        <w:t>2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demonstrates that the 29 cases fell into 18 logical types. This means that there are a number of CLTs that were, for the purposes of this </w:t>
      </w:r>
      <w:r>
        <w:rPr>
          <w:rFonts w:ascii="Times New Roman" w:hAnsi="Times New Roman" w:cs="Times New Roman"/>
          <w:sz w:val="24"/>
          <w:szCs w:val="24"/>
        </w:rPr>
        <w:t>analysis</w:t>
      </w:r>
      <w:r w:rsidR="0076553C" w:rsidRPr="0082384C">
        <w:rPr>
          <w:rFonts w:ascii="Times New Roman" w:hAnsi="Times New Roman" w:cs="Times New Roman"/>
          <w:sz w:val="24"/>
          <w:szCs w:val="24"/>
        </w:rPr>
        <w:t>, of an identical type based on the eight conditions. As there were 256 possible logical types, our finding</w:t>
      </w:r>
      <w:r w:rsidR="009B6C91">
        <w:rPr>
          <w:rFonts w:ascii="Times New Roman" w:hAnsi="Times New Roman" w:cs="Times New Roman"/>
          <w:sz w:val="24"/>
          <w:szCs w:val="24"/>
        </w:rPr>
        <w:t>s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 show some limits to diversity among </w:t>
      </w:r>
      <w:r w:rsidR="00F92F2E">
        <w:rPr>
          <w:rFonts w:ascii="Times New Roman" w:hAnsi="Times New Roman" w:cs="Times New Roman"/>
          <w:sz w:val="24"/>
          <w:szCs w:val="24"/>
        </w:rPr>
        <w:t>existing published</w:t>
      </w:r>
      <w:r w:rsidR="00F92F2E" w:rsidRPr="0082384C">
        <w:rPr>
          <w:rFonts w:ascii="Times New Roman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cases, whilst also demonstrating that in the data, CLTs </w:t>
      </w:r>
      <w:r w:rsidR="0076553C">
        <w:rPr>
          <w:rFonts w:ascii="Times New Roman" w:hAnsi="Times New Roman" w:cs="Times New Roman"/>
          <w:sz w:val="24"/>
          <w:szCs w:val="24"/>
        </w:rPr>
        <w:t>took many forms</w:t>
      </w:r>
      <w:r w:rsidR="0076553C" w:rsidRPr="008238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D6239BE" w14:textId="77777777" w:rsidR="0011350F" w:rsidRPr="0082384C" w:rsidRDefault="0011350F" w:rsidP="00225863">
      <w:pPr>
        <w:pStyle w:val="Body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DB651" w14:textId="77777777" w:rsidR="00E51915" w:rsidRDefault="00E51915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14F18D0" w14:textId="6F494EB7" w:rsidR="0076553C" w:rsidRPr="00E0457C" w:rsidRDefault="0076553C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457C">
        <w:rPr>
          <w:rFonts w:ascii="Times New Roman" w:eastAsia="Calibri" w:hAnsi="Times New Roman" w:cs="Times New Roman"/>
          <w:i/>
          <w:sz w:val="24"/>
          <w:szCs w:val="24"/>
        </w:rPr>
        <w:t>A conceptual typology of CLTs</w:t>
      </w:r>
    </w:p>
    <w:p w14:paraId="7E8CA48B" w14:textId="66F96BC1" w:rsidR="00ED1A55" w:rsidRDefault="00D722D4" w:rsidP="00ED1A55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3A04F5">
        <w:rPr>
          <w:rFonts w:ascii="Times New Roman" w:eastAsia="Calibri" w:hAnsi="Times New Roman" w:cs="Times New Roman"/>
          <w:sz w:val="24"/>
          <w:szCs w:val="24"/>
        </w:rPr>
        <w:t>following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nalysis, aided by familiarity with cases, </w:t>
      </w:r>
      <w:r>
        <w:rPr>
          <w:rFonts w:ascii="Times New Roman" w:eastAsia="Calibri" w:hAnsi="Times New Roman" w:cs="Times New Roman"/>
          <w:sz w:val="24"/>
          <w:szCs w:val="24"/>
        </w:rPr>
        <w:t>we</w:t>
      </w:r>
      <w:r w:rsidR="0076553C" w:rsidRPr="00630B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>
        <w:rPr>
          <w:rFonts w:ascii="Times New Roman" w:eastAsia="Calibri" w:hAnsi="Times New Roman" w:cs="Times New Roman"/>
          <w:sz w:val="24"/>
          <w:szCs w:val="24"/>
        </w:rPr>
        <w:t>combine sets of log</w:t>
      </w:r>
      <w:r w:rsidR="004044AB">
        <w:rPr>
          <w:rFonts w:ascii="Times New Roman" w:eastAsia="Calibri" w:hAnsi="Times New Roman" w:cs="Times New Roman"/>
          <w:sz w:val="24"/>
          <w:szCs w:val="24"/>
        </w:rPr>
        <w:t>ical types</w:t>
      </w:r>
      <w:r w:rsidR="008A2630">
        <w:rPr>
          <w:rFonts w:ascii="Times New Roman" w:eastAsia="Calibri" w:hAnsi="Times New Roman" w:cs="Times New Roman"/>
          <w:sz w:val="24"/>
          <w:szCs w:val="24"/>
        </w:rPr>
        <w:t xml:space="preserve">. This allows </w:t>
      </w:r>
      <w:r w:rsidR="00D4489A">
        <w:rPr>
          <w:rFonts w:ascii="Times New Roman" w:eastAsia="Calibri" w:hAnsi="Times New Roman" w:cs="Times New Roman"/>
          <w:sz w:val="24"/>
          <w:szCs w:val="24"/>
        </w:rPr>
        <w:t>further</w:t>
      </w:r>
      <w:r w:rsidR="008A2630">
        <w:rPr>
          <w:rFonts w:ascii="Times New Roman" w:eastAsia="Calibri" w:hAnsi="Times New Roman" w:cs="Times New Roman"/>
          <w:sz w:val="24"/>
          <w:szCs w:val="24"/>
        </w:rPr>
        <w:t xml:space="preserve"> conceptual interpretation and abstraction, w</w:t>
      </w:r>
      <w:r w:rsidR="00D4489A">
        <w:rPr>
          <w:rFonts w:ascii="Times New Roman" w:eastAsia="Calibri" w:hAnsi="Times New Roman" w:cs="Times New Roman"/>
          <w:sz w:val="24"/>
          <w:szCs w:val="24"/>
        </w:rPr>
        <w:t>hile</w:t>
      </w:r>
      <w:r w:rsidR="008A2630">
        <w:rPr>
          <w:rFonts w:ascii="Times New Roman" w:eastAsia="Calibri" w:hAnsi="Times New Roman" w:cs="Times New Roman"/>
          <w:sz w:val="24"/>
          <w:szCs w:val="24"/>
        </w:rPr>
        <w:t xml:space="preserve"> retain</w:t>
      </w:r>
      <w:r w:rsidR="00D4489A">
        <w:rPr>
          <w:rFonts w:ascii="Times New Roman" w:eastAsia="Calibri" w:hAnsi="Times New Roman" w:cs="Times New Roman"/>
          <w:sz w:val="24"/>
          <w:szCs w:val="24"/>
        </w:rPr>
        <w:t>ing</w:t>
      </w:r>
      <w:r w:rsidR="008A2630">
        <w:rPr>
          <w:rFonts w:ascii="Times New Roman" w:eastAsia="Calibri" w:hAnsi="Times New Roman" w:cs="Times New Roman"/>
          <w:sz w:val="24"/>
          <w:szCs w:val="24"/>
        </w:rPr>
        <w:t xml:space="preserve"> the logical types as the fundamental</w:t>
      </w:r>
      <w:r w:rsidR="00124645">
        <w:rPr>
          <w:rFonts w:ascii="Times New Roman" w:eastAsia="Calibri" w:hAnsi="Times New Roman" w:cs="Times New Roman"/>
          <w:sz w:val="24"/>
          <w:szCs w:val="24"/>
        </w:rPr>
        <w:t xml:space="preserve"> logical</w:t>
      </w:r>
      <w:r w:rsidR="008A2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eastAsia="Calibri" w:hAnsi="Times New Roman" w:cs="Times New Roman"/>
          <w:sz w:val="24"/>
          <w:szCs w:val="24"/>
        </w:rPr>
        <w:t>elements</w:t>
      </w:r>
      <w:r w:rsidR="008A2630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124645">
        <w:rPr>
          <w:rFonts w:ascii="Times New Roman" w:eastAsia="Calibri" w:hAnsi="Times New Roman" w:cs="Times New Roman"/>
          <w:sz w:val="24"/>
          <w:szCs w:val="24"/>
        </w:rPr>
        <w:t>any</w:t>
      </w:r>
      <w:r w:rsidR="008A2630">
        <w:rPr>
          <w:rFonts w:ascii="Times New Roman" w:eastAsia="Calibri" w:hAnsi="Times New Roman" w:cs="Times New Roman"/>
          <w:sz w:val="24"/>
          <w:szCs w:val="24"/>
        </w:rPr>
        <w:t xml:space="preserve"> conceptual typology</w:t>
      </w:r>
      <w:r w:rsidR="00D4489A">
        <w:rPr>
          <w:rFonts w:ascii="Times New Roman" w:eastAsia="Calibri" w:hAnsi="Times New Roman" w:cs="Times New Roman"/>
          <w:sz w:val="24"/>
          <w:szCs w:val="24"/>
        </w:rPr>
        <w:t>. Our</w:t>
      </w:r>
      <w:r w:rsidR="008A2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489A">
        <w:rPr>
          <w:rFonts w:ascii="Times New Roman" w:eastAsia="Calibri" w:hAnsi="Times New Roman" w:cs="Times New Roman"/>
          <w:sz w:val="24"/>
          <w:szCs w:val="24"/>
        </w:rPr>
        <w:t>conceptual typology</w:t>
      </w:r>
      <w:r w:rsidR="004044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489A">
        <w:rPr>
          <w:rFonts w:ascii="Times New Roman" w:eastAsia="Calibri" w:hAnsi="Times New Roman" w:cs="Times New Roman"/>
          <w:sz w:val="24"/>
          <w:szCs w:val="24"/>
        </w:rPr>
        <w:t>extracts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five</w:t>
      </w:r>
      <w:r w:rsidR="0076553C" w:rsidRPr="00630BCF">
        <w:rPr>
          <w:rFonts w:ascii="Times New Roman" w:eastAsia="Calibri" w:hAnsi="Times New Roman" w:cs="Times New Roman"/>
          <w:sz w:val="24"/>
          <w:szCs w:val="24"/>
        </w:rPr>
        <w:t xml:space="preserve"> different </w:t>
      </w:r>
      <w:r w:rsidR="0076553C">
        <w:rPr>
          <w:rFonts w:ascii="Times New Roman" w:eastAsia="Calibri" w:hAnsi="Times New Roman" w:cs="Times New Roman"/>
          <w:sz w:val="24"/>
          <w:szCs w:val="24"/>
        </w:rPr>
        <w:t>types</w:t>
      </w:r>
      <w:r w:rsidR="0076553C" w:rsidRPr="00630BCF">
        <w:rPr>
          <w:rFonts w:ascii="Times New Roman" w:eastAsia="Calibri" w:hAnsi="Times New Roman" w:cs="Times New Roman"/>
          <w:sz w:val="24"/>
          <w:szCs w:val="24"/>
        </w:rPr>
        <w:t xml:space="preserve"> of CLTs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that </w:t>
      </w:r>
      <w:r w:rsidR="0076553C" w:rsidRPr="00630BCF">
        <w:rPr>
          <w:rFonts w:ascii="Times New Roman" w:eastAsia="Calibri" w:hAnsi="Times New Roman" w:cs="Times New Roman"/>
          <w:sz w:val="24"/>
          <w:szCs w:val="24"/>
        </w:rPr>
        <w:t>shared particular characterist</w:t>
      </w:r>
      <w:r w:rsidR="0076553C">
        <w:rPr>
          <w:rFonts w:ascii="Times New Roman" w:eastAsia="Calibri" w:hAnsi="Times New Roman" w:cs="Times New Roman"/>
          <w:sz w:val="24"/>
          <w:szCs w:val="24"/>
        </w:rPr>
        <w:t>ic</w:t>
      </w:r>
      <w:r w:rsidR="0076553C" w:rsidRPr="00630BCF">
        <w:rPr>
          <w:rFonts w:ascii="Times New Roman" w:eastAsia="Calibri" w:hAnsi="Times New Roman" w:cs="Times New Roman"/>
          <w:sz w:val="24"/>
          <w:szCs w:val="24"/>
        </w:rPr>
        <w:t>s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>: urban activist</w:t>
      </w:r>
      <w:r w:rsidR="0076553C">
        <w:rPr>
          <w:rFonts w:ascii="Times New Roman" w:eastAsia="Calibri" w:hAnsi="Times New Roman" w:cs="Times New Roman"/>
          <w:sz w:val="24"/>
          <w:szCs w:val="24"/>
        </w:rPr>
        <w:t>;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hyper-local</w:t>
      </w:r>
      <w:r w:rsidR="0076553C">
        <w:rPr>
          <w:rFonts w:ascii="Times New Roman" w:eastAsia="Calibri" w:hAnsi="Times New Roman" w:cs="Times New Roman"/>
          <w:sz w:val="24"/>
          <w:szCs w:val="24"/>
        </w:rPr>
        <w:t>;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partnered</w:t>
      </w:r>
      <w:r w:rsidR="0076553C">
        <w:rPr>
          <w:rFonts w:ascii="Times New Roman" w:eastAsia="Calibri" w:hAnsi="Times New Roman" w:cs="Times New Roman"/>
          <w:sz w:val="24"/>
          <w:szCs w:val="24"/>
        </w:rPr>
        <w:t>;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social enterprise</w:t>
      </w:r>
      <w:r w:rsidR="0076553C">
        <w:rPr>
          <w:rFonts w:ascii="Times New Roman" w:eastAsia="Calibri" w:hAnsi="Times New Roman" w:cs="Times New Roman"/>
          <w:sz w:val="24"/>
          <w:szCs w:val="24"/>
        </w:rPr>
        <w:t>;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and asset-lock. </w:t>
      </w:r>
      <w:r w:rsidR="0076553C" w:rsidRPr="00F14BA7">
        <w:rPr>
          <w:rFonts w:ascii="Times New Roman" w:eastAsia="Calibri" w:hAnsi="Times New Roman" w:cs="Times New Roman"/>
          <w:sz w:val="24"/>
          <w:szCs w:val="24"/>
        </w:rPr>
        <w:t>A typology</w:t>
      </w:r>
      <w:r w:rsidR="0076553C" w:rsidRPr="006A157E">
        <w:rPr>
          <w:rFonts w:ascii="Times New Roman" w:eastAsia="Calibri" w:hAnsi="Times New Roman" w:cs="Times New Roman"/>
          <w:sz w:val="24"/>
          <w:szCs w:val="24"/>
        </w:rPr>
        <w:t xml:space="preserve"> setting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ou</w:t>
      </w:r>
      <w:r w:rsidR="0076553C">
        <w:rPr>
          <w:rFonts w:ascii="Times New Roman" w:eastAsia="Calibri" w:hAnsi="Times New Roman" w:cs="Times New Roman"/>
          <w:sz w:val="24"/>
          <w:szCs w:val="24"/>
        </w:rPr>
        <w:t>t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key characteristics of </w:t>
      </w:r>
      <w:r w:rsidR="0076553C">
        <w:rPr>
          <w:rFonts w:ascii="Times New Roman" w:eastAsia="Calibri" w:hAnsi="Times New Roman" w:cs="Times New Roman"/>
          <w:sz w:val="24"/>
          <w:szCs w:val="24"/>
        </w:rPr>
        <w:t>these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630BCF">
        <w:rPr>
          <w:rFonts w:ascii="Times New Roman" w:eastAsia="Calibri" w:hAnsi="Times New Roman" w:cs="Times New Roman"/>
          <w:sz w:val="24"/>
          <w:szCs w:val="24"/>
        </w:rPr>
        <w:t>different types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of CLTs is presented in Table </w:t>
      </w:r>
      <w:r w:rsidR="00F35F1F">
        <w:rPr>
          <w:rFonts w:ascii="Times New Roman" w:eastAsia="Calibri" w:hAnsi="Times New Roman" w:cs="Times New Roman"/>
          <w:sz w:val="24"/>
          <w:szCs w:val="24"/>
        </w:rPr>
        <w:t>3</w:t>
      </w:r>
      <w:r w:rsidR="004044AB">
        <w:rPr>
          <w:rFonts w:ascii="Times New Roman" w:eastAsia="Calibri" w:hAnsi="Times New Roman" w:cs="Times New Roman"/>
          <w:sz w:val="24"/>
          <w:szCs w:val="24"/>
        </w:rPr>
        <w:t>,</w:t>
      </w:r>
      <w:r w:rsidR="0076553C" w:rsidRPr="00FD0F55">
        <w:rPr>
          <w:rFonts w:ascii="Times New Roman" w:eastAsia="Calibri" w:hAnsi="Times New Roman" w:cs="Times New Roman"/>
          <w:sz w:val="24"/>
          <w:szCs w:val="24"/>
        </w:rPr>
        <w:t xml:space="preserve"> each type is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then </w:t>
      </w:r>
      <w:r w:rsidR="00ED1A55">
        <w:rPr>
          <w:rFonts w:ascii="Times New Roman" w:eastAsia="Calibri" w:hAnsi="Times New Roman" w:cs="Times New Roman"/>
          <w:sz w:val="24"/>
          <w:szCs w:val="24"/>
        </w:rPr>
        <w:t xml:space="preserve">discussed. </w:t>
      </w:r>
    </w:p>
    <w:p w14:paraId="08D07302" w14:textId="77777777" w:rsidR="00E51915" w:rsidRDefault="00E51915" w:rsidP="00ED1A55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28A4E" w14:textId="77777777" w:rsidR="00E51915" w:rsidRDefault="00E51915" w:rsidP="00ED1A55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3E506B" w14:textId="77777777" w:rsidR="00FF6418" w:rsidRDefault="00FF6418">
      <w:pPr>
        <w:rPr>
          <w:rFonts w:eastAsia="Calibri"/>
          <w:b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/>
          <w:b/>
        </w:rPr>
        <w:br w:type="page"/>
      </w:r>
    </w:p>
    <w:p w14:paraId="3F3FA145" w14:textId="77777777" w:rsidR="00FF6418" w:rsidRDefault="00FF6418" w:rsidP="00ED1A55">
      <w:pPr>
        <w:pStyle w:val="Body"/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FF6418" w:rsidSect="00406811">
          <w:footerReference w:type="default" r:id="rId8"/>
          <w:footerReference w:type="first" r:id="rId9"/>
          <w:endnotePr>
            <w:numFmt w:val="decimal"/>
          </w:endnotePr>
          <w:pgSz w:w="11900" w:h="16840"/>
          <w:pgMar w:top="1440" w:right="1440" w:bottom="1440" w:left="1440" w:header="709" w:footer="709" w:gutter="0"/>
          <w:pgNumType w:start="1"/>
          <w:cols w:space="720"/>
          <w:docGrid w:linePitch="326"/>
        </w:sectPr>
      </w:pPr>
    </w:p>
    <w:p w14:paraId="547F0F4B" w14:textId="2D3775D6" w:rsidR="001010EB" w:rsidRPr="00E51915" w:rsidRDefault="00FF6418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Type 1: </w:t>
      </w:r>
      <w:r w:rsidR="00E51915">
        <w:rPr>
          <w:rFonts w:ascii="Times New Roman" w:eastAsia="Calibri" w:hAnsi="Times New Roman" w:cs="Times New Roman"/>
          <w:i/>
          <w:sz w:val="24"/>
          <w:szCs w:val="24"/>
        </w:rPr>
        <w:t>Urban activist CLT</w:t>
      </w:r>
      <w:r w:rsidR="00181804">
        <w:rPr>
          <w:rFonts w:ascii="Times New Roman" w:eastAsia="Calibri" w:hAnsi="Times New Roman" w:cs="Times New Roman"/>
          <w:i/>
          <w:sz w:val="24"/>
          <w:szCs w:val="24"/>
        </w:rPr>
        <w:t xml:space="preserve"> (eg. Rows 7, 8, and 10 in Table 2)</w:t>
      </w:r>
    </w:p>
    <w:p w14:paraId="27C68ADD" w14:textId="5296350A" w:rsidR="001010EB" w:rsidRDefault="00261471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Type 1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CLTs </w:t>
      </w:r>
      <w:r w:rsidR="0076553C">
        <w:rPr>
          <w:rFonts w:ascii="Times New Roman" w:eastAsia="Calibri" w:hAnsi="Times New Roman" w:cs="Times New Roman"/>
          <w:sz w:val="24"/>
          <w:szCs w:val="24"/>
        </w:rPr>
        <w:t>may have had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collective access to affordable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housing at their core</w:t>
      </w:r>
      <w:r w:rsidR="0076553C">
        <w:rPr>
          <w:rFonts w:ascii="Times New Roman" w:eastAsia="Calibri" w:hAnsi="Times New Roman" w:cs="Times New Roman"/>
          <w:sz w:val="24"/>
          <w:szCs w:val="24"/>
        </w:rPr>
        <w:t>, but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crucially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as part of a wider community politics. </w:t>
      </w:r>
      <w:r w:rsidR="0076553C">
        <w:rPr>
          <w:rFonts w:ascii="Times New Roman" w:eastAsia="Calibri" w:hAnsi="Times New Roman" w:cs="Times New Roman"/>
          <w:sz w:val="24"/>
          <w:szCs w:val="24"/>
        </w:rPr>
        <w:t>T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hey were </w:t>
      </w:r>
      <w:r w:rsidR="008A74C4">
        <w:rPr>
          <w:rFonts w:ascii="Times New Roman" w:eastAsia="Calibri" w:hAnsi="Times New Roman" w:cs="Times New Roman"/>
          <w:sz w:val="24"/>
          <w:szCs w:val="24"/>
        </w:rPr>
        <w:t>anchored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in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grassroots activism, which helped to sustain an ethos of independence and community engagement, indicating </w:t>
      </w:r>
      <w:r w:rsidR="0076553C">
        <w:rPr>
          <w:rFonts w:ascii="Times New Roman" w:eastAsia="Calibri" w:hAnsi="Times New Roman" w:cs="Times New Roman"/>
          <w:sz w:val="24"/>
          <w:szCs w:val="24"/>
        </w:rPr>
        <w:t>greater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propensity towards community control. </w:t>
      </w:r>
      <w:r w:rsidR="00181804" w:rsidRPr="00181804">
        <w:rPr>
          <w:rFonts w:ascii="Times New Roman" w:eastAsia="Calibri" w:hAnsi="Times New Roman" w:cs="Times New Roman"/>
          <w:sz w:val="24"/>
          <w:szCs w:val="24"/>
        </w:rPr>
        <w:t xml:space="preserve">Despite </w:t>
      </w:r>
      <w:r w:rsidR="00181804">
        <w:rPr>
          <w:rFonts w:ascii="Times New Roman" w:eastAsia="Calibri" w:hAnsi="Times New Roman" w:cs="Times New Roman"/>
          <w:sz w:val="24"/>
          <w:szCs w:val="24"/>
        </w:rPr>
        <w:t>being</w:t>
      </w:r>
      <w:r w:rsidR="00181804" w:rsidRPr="00181804">
        <w:rPr>
          <w:rFonts w:ascii="Times New Roman" w:eastAsia="Calibri" w:hAnsi="Times New Roman" w:cs="Times New Roman"/>
          <w:sz w:val="24"/>
          <w:szCs w:val="24"/>
        </w:rPr>
        <w:t xml:space="preserve"> grounded in community politics, this type of CLT also suggests that external support, professional capacity, diversification and expansion, do not necessarily prevent community control.</w:t>
      </w:r>
    </w:p>
    <w:p w14:paraId="7B6807FD" w14:textId="77777777" w:rsidR="00181804" w:rsidRPr="0082384C" w:rsidRDefault="00181804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B85EFC" w14:textId="7E5368E2" w:rsidR="0076553C" w:rsidRPr="0082384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>For example, Cooper Square 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>ow 8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Table </w:t>
      </w:r>
      <w:r w:rsidR="00303526">
        <w:rPr>
          <w:rFonts w:ascii="Times New Roman" w:eastAsia="Calibri" w:hAnsi="Times New Roman" w:cs="Times New Roman"/>
          <w:sz w:val="24"/>
          <w:szCs w:val="24"/>
        </w:rPr>
        <w:t>2</w:t>
      </w:r>
      <w:r w:rsidR="004044AB">
        <w:rPr>
          <w:rFonts w:ascii="Times New Roman" w:eastAsia="Calibri" w:hAnsi="Times New Roman" w:cs="Times New Roman"/>
          <w:sz w:val="24"/>
          <w:szCs w:val="24"/>
        </w:rPr>
        <w:t>) was assessed as independent,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with no </w:t>
      </w:r>
      <w:r w:rsidR="00D75FAF">
        <w:rPr>
          <w:rFonts w:ascii="Times New Roman" w:eastAsia="Calibri" w:hAnsi="Times New Roman" w:cs="Times New Roman"/>
          <w:sz w:val="24"/>
          <w:szCs w:val="24"/>
        </w:rPr>
        <w:t xml:space="preserve">board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seats reserved for external stakeholders; it had support </w:t>
      </w:r>
      <w:r w:rsidR="00D75FAF">
        <w:rPr>
          <w:rFonts w:ascii="Times New Roman" w:eastAsia="Calibri" w:hAnsi="Times New Roman" w:cs="Times New Roman"/>
          <w:sz w:val="24"/>
          <w:szCs w:val="24"/>
        </w:rPr>
        <w:t>from</w:t>
      </w:r>
      <w:r w:rsidR="00D75FAF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>an active civil society and sustained community engagement; it ha</w:t>
      </w:r>
      <w:r w:rsidR="00770592">
        <w:rPr>
          <w:rFonts w:ascii="Times New Roman" w:eastAsia="Calibri" w:hAnsi="Times New Roman" w:cs="Times New Roman"/>
          <w:sz w:val="24"/>
          <w:szCs w:val="24"/>
        </w:rPr>
        <w:t>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expanded but not diversified; and was conceived without external support, but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0592">
        <w:rPr>
          <w:rFonts w:ascii="Times New Roman" w:eastAsia="Calibri" w:hAnsi="Times New Roman" w:cs="Times New Roman"/>
          <w:sz w:val="24"/>
          <w:szCs w:val="24"/>
        </w:rPr>
        <w:t>had since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employ</w:t>
      </w:r>
      <w:r w:rsidR="00770592">
        <w:rPr>
          <w:rFonts w:ascii="Times New Roman" w:eastAsia="Calibri" w:hAnsi="Times New Roman" w:cs="Times New Roman"/>
          <w:sz w:val="24"/>
          <w:szCs w:val="24"/>
        </w:rPr>
        <w:t>ed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professional capacity. Cooper Square was established after fighting against forced displacement over a decades-long period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75FAF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ocal authorities did not support founding the CLT, and </w:t>
      </w:r>
      <w:r w:rsidR="00D75FAF">
        <w:rPr>
          <w:rFonts w:ascii="Times New Roman" w:eastAsia="Calibri" w:hAnsi="Times New Roman" w:cs="Times New Roman"/>
          <w:sz w:val="24"/>
          <w:szCs w:val="24"/>
        </w:rPr>
        <w:t>thus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Cooper Square is considered the product of the ‘longest-lasting community planning effort’ (Angotti</w:t>
      </w:r>
      <w:r w:rsidR="00E0457C">
        <w:rPr>
          <w:rFonts w:ascii="Times New Roman" w:eastAsia="Calibri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2008, </w:t>
      </w:r>
      <w:r w:rsidR="00E0457C">
        <w:rPr>
          <w:rFonts w:ascii="Times New Roman" w:eastAsia="Calibri" w:hAnsi="Times New Roman" w:cs="Times New Roman"/>
          <w:sz w:val="24"/>
          <w:szCs w:val="24"/>
        </w:rPr>
        <w:t xml:space="preserve">pp. </w:t>
      </w:r>
      <w:r w:rsidRPr="0082384C">
        <w:rPr>
          <w:rFonts w:ascii="Times New Roman" w:eastAsia="Calibri" w:hAnsi="Times New Roman" w:cs="Times New Roman"/>
          <w:sz w:val="24"/>
          <w:szCs w:val="24"/>
        </w:rPr>
        <w:t>114): ‘fifty fuckin’ years’ long (Engelsman et al</w:t>
      </w:r>
      <w:r w:rsidR="00E0457C">
        <w:rPr>
          <w:rFonts w:ascii="Times New Roman" w:eastAsia="Calibri" w:hAnsi="Times New Roman" w:cs="Times New Roman"/>
          <w:sz w:val="24"/>
          <w:szCs w:val="24"/>
        </w:rPr>
        <w:t>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2018,</w:t>
      </w:r>
      <w:r w:rsidR="00E0457C">
        <w:rPr>
          <w:rFonts w:ascii="Times New Roman" w:eastAsia="Calibri" w:hAnsi="Times New Roman" w:cs="Times New Roman"/>
          <w:sz w:val="24"/>
          <w:szCs w:val="24"/>
        </w:rPr>
        <w:t xml:space="preserve"> pp.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114). Cooper Square has expanded since its inception in 1991, managing 377 residential units and 24 commercial units, </w:t>
      </w:r>
      <w:r>
        <w:rPr>
          <w:rFonts w:ascii="Times New Roman" w:eastAsia="Calibri" w:hAnsi="Times New Roman" w:cs="Times New Roman"/>
          <w:sz w:val="24"/>
          <w:szCs w:val="24"/>
        </w:rPr>
        <w:t>evidencing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its need for professional capacity. </w:t>
      </w:r>
      <w:r w:rsidR="00D75FAF">
        <w:rPr>
          <w:rFonts w:ascii="Times New Roman" w:eastAsia="Calibri" w:hAnsi="Times New Roman" w:cs="Times New Roman"/>
          <w:sz w:val="24"/>
          <w:szCs w:val="24"/>
        </w:rPr>
        <w:t>This,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however, d</w:t>
      </w:r>
      <w:r w:rsidR="00FB2D33">
        <w:rPr>
          <w:rFonts w:ascii="Times New Roman" w:eastAsia="Calibri" w:hAnsi="Times New Roman" w:cs="Times New Roman"/>
          <w:sz w:val="24"/>
          <w:szCs w:val="24"/>
        </w:rPr>
        <w:t>id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not detract from understanding Cooper Square as an example of the quintessential ‘soul’ of CLTs: emerging from and remaining grounded in community politics, and fiercely independent. </w:t>
      </w:r>
    </w:p>
    <w:p w14:paraId="7D82FF9C" w14:textId="77777777" w:rsidR="001010EB" w:rsidRDefault="001010EB" w:rsidP="00E0457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D5DE69" w14:textId="244EC908" w:rsidR="00E0457C" w:rsidRPr="0082384C" w:rsidRDefault="0076553C" w:rsidP="00E0457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Two further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logical type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of CLTs align with th</w:t>
      </w:r>
      <w:r w:rsidR="00770592">
        <w:rPr>
          <w:rFonts w:ascii="Times New Roman" w:eastAsia="Calibri" w:hAnsi="Times New Roman" w:cs="Times New Roman"/>
          <w:sz w:val="24"/>
          <w:szCs w:val="24"/>
        </w:rPr>
        <w:t xml:space="preserve">e urban activist </w:t>
      </w:r>
      <w:r>
        <w:rPr>
          <w:rFonts w:ascii="Times New Roman" w:eastAsia="Calibri" w:hAnsi="Times New Roman" w:cs="Times New Roman"/>
          <w:sz w:val="24"/>
          <w:szCs w:val="24"/>
        </w:rPr>
        <w:t>notion</w:t>
      </w:r>
      <w:r w:rsidR="00C403A5">
        <w:rPr>
          <w:rFonts w:ascii="Times New Roman" w:eastAsia="Calibri" w:hAnsi="Times New Roman" w:cs="Times New Roman"/>
          <w:sz w:val="24"/>
          <w:szCs w:val="24"/>
        </w:rPr>
        <w:t xml:space="preserve"> (Rows 7 and 10)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403A5">
        <w:rPr>
          <w:rFonts w:ascii="Times New Roman" w:eastAsia="Calibri" w:hAnsi="Times New Roman" w:cs="Times New Roman"/>
          <w:sz w:val="24"/>
          <w:szCs w:val="24"/>
        </w:rPr>
        <w:t>T</w:t>
      </w:r>
      <w:r w:rsidRPr="0082384C">
        <w:rPr>
          <w:rFonts w:ascii="Times New Roman" w:eastAsia="Calibri" w:hAnsi="Times New Roman" w:cs="Times New Roman"/>
          <w:sz w:val="24"/>
          <w:szCs w:val="24"/>
        </w:rPr>
        <w:t>here are three urban CLTs -</w:t>
      </w:r>
      <w:r w:rsidRPr="0082384C">
        <w:rPr>
          <w:rFonts w:ascii="Times New Roman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>two from the UK (Granby Four Streets and Homebaked) and one from the US (Dudley Street) – which also emerged through extensive grassroots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2384C">
        <w:rPr>
          <w:rFonts w:ascii="Times New Roman" w:eastAsia="Calibri" w:hAnsi="Times New Roman" w:cs="Times New Roman"/>
          <w:sz w:val="24"/>
          <w:szCs w:val="24"/>
        </w:rPr>
        <w:t>organi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82384C">
        <w:rPr>
          <w:rFonts w:ascii="Times New Roman" w:eastAsia="Calibri" w:hAnsi="Times New Roman" w:cs="Times New Roman"/>
          <w:sz w:val="24"/>
          <w:szCs w:val="24"/>
        </w:rPr>
        <w:t>ing. Granby Four Streets in Liverpool developed from a resident-led anti-demolition and guerrilla gardening campaign. Homebaked, based in the same city, is a bakery, community hub and cultural space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t emerged from an artist-led participatory design process that encouraged residents’ ideas for </w:t>
      </w:r>
      <w:r w:rsidR="00324BE8">
        <w:rPr>
          <w:rFonts w:ascii="Times New Roman" w:eastAsia="Calibri" w:hAnsi="Times New Roman" w:cs="Times New Roman"/>
          <w:sz w:val="24"/>
          <w:szCs w:val="24"/>
        </w:rPr>
        <w:t>re</w:t>
      </w:r>
      <w:r w:rsidRPr="0082384C">
        <w:rPr>
          <w:rFonts w:ascii="Times New Roman" w:eastAsia="Calibri" w:hAnsi="Times New Roman" w:cs="Times New Roman"/>
          <w:sz w:val="24"/>
          <w:szCs w:val="24"/>
        </w:rPr>
        <w:t>develop</w:t>
      </w:r>
      <w:r w:rsidR="00324BE8">
        <w:rPr>
          <w:rFonts w:ascii="Times New Roman" w:eastAsia="Calibri" w:hAnsi="Times New Roman" w:cs="Times New Roman"/>
          <w:sz w:val="24"/>
          <w:szCs w:val="24"/>
        </w:rPr>
        <w:t>ing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empty housing in a neighbourhood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acute housing need.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Dudley Street, </w:t>
      </w:r>
      <w:r w:rsidR="00ED6A1A">
        <w:rPr>
          <w:rFonts w:ascii="Times New Roman" w:eastAsia="Calibri" w:hAnsi="Times New Roman" w:cs="Times New Roman"/>
          <w:sz w:val="24"/>
          <w:szCs w:val="24"/>
        </w:rPr>
        <w:t xml:space="preserve">which was </w:t>
      </w:r>
      <w:r w:rsidR="00F725BE">
        <w:rPr>
          <w:rFonts w:ascii="Times New Roman" w:eastAsia="Calibri" w:hAnsi="Times New Roman" w:cs="Times New Roman"/>
          <w:sz w:val="24"/>
          <w:szCs w:val="24"/>
        </w:rPr>
        <w:t>much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older than the UK CLTs, </w:t>
      </w:r>
      <w:r w:rsidR="00770592">
        <w:rPr>
          <w:rFonts w:ascii="Times New Roman" w:eastAsia="Calibri" w:hAnsi="Times New Roman" w:cs="Times New Roman"/>
          <w:sz w:val="24"/>
          <w:szCs w:val="24"/>
        </w:rPr>
        <w:t>wa</w:t>
      </w:r>
      <w:r w:rsidRPr="0082384C">
        <w:rPr>
          <w:rFonts w:ascii="Times New Roman" w:eastAsia="Calibri" w:hAnsi="Times New Roman" w:cs="Times New Roman"/>
          <w:sz w:val="24"/>
          <w:szCs w:val="24"/>
        </w:rPr>
        <w:t>s the product of resident mobilisation around issues of arson, disinvestment, displacement, and illegal dumping. These three CLTs were in a logical type that fulfilled all conditions 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ow 10): they were assessed as: being independent; they had a reserved seat on the board for (an) external stakeholder(s); they had been supported at inception by an active civil society and then sustained community engagement;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they had expanded and diversified; </w:t>
      </w:r>
      <w:r w:rsidRPr="0082384C">
        <w:rPr>
          <w:rFonts w:ascii="Times New Roman" w:eastAsia="Calibri" w:hAnsi="Times New Roman" w:cs="Times New Roman"/>
          <w:sz w:val="24"/>
          <w:szCs w:val="24"/>
        </w:rPr>
        <w:t>been supported at i</w:t>
      </w:r>
      <w:r w:rsidR="007A718E">
        <w:rPr>
          <w:rFonts w:ascii="Times New Roman" w:eastAsia="Calibri" w:hAnsi="Times New Roman" w:cs="Times New Roman"/>
          <w:sz w:val="24"/>
          <w:szCs w:val="24"/>
        </w:rPr>
        <w:t>nception by existing power; and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employed professional capacity</w:t>
      </w:r>
      <w:r w:rsidR="004044AB">
        <w:rPr>
          <w:rFonts w:ascii="Times New Roman" w:eastAsia="Calibri" w:hAnsi="Times New Roman" w:cs="Times New Roman"/>
          <w:sz w:val="24"/>
          <w:szCs w:val="24"/>
        </w:rPr>
        <w:t>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3A5">
        <w:rPr>
          <w:rFonts w:ascii="Times New Roman" w:eastAsia="Calibri" w:hAnsi="Times New Roman" w:cs="Times New Roman"/>
          <w:sz w:val="24"/>
          <w:szCs w:val="24"/>
        </w:rPr>
        <w:t xml:space="preserve">In addition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further logical type, </w:t>
      </w:r>
      <w:r w:rsidR="0076348E">
        <w:rPr>
          <w:rFonts w:ascii="Times New Roman" w:eastAsia="Calibri" w:hAnsi="Times New Roman" w:cs="Times New Roman"/>
          <w:sz w:val="24"/>
          <w:szCs w:val="24"/>
        </w:rPr>
        <w:t>representing</w:t>
      </w:r>
      <w:r w:rsidR="0076348E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three CLTs – City of Lakes, London, San Francisco </w:t>
      </w:r>
      <w:r w:rsidR="00C403A5">
        <w:rPr>
          <w:rFonts w:ascii="Times New Roman" w:eastAsia="Calibri" w:hAnsi="Times New Roman" w:cs="Times New Roman"/>
          <w:sz w:val="24"/>
          <w:szCs w:val="24"/>
        </w:rPr>
        <w:t xml:space="preserve">(Row 7)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- also emerged </w:t>
      </w:r>
      <w:r>
        <w:rPr>
          <w:rFonts w:ascii="Times New Roman" w:eastAsia="Calibri" w:hAnsi="Times New Roman" w:cs="Times New Roman"/>
          <w:sz w:val="24"/>
          <w:szCs w:val="24"/>
        </w:rPr>
        <w:t>from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extensive community </w:t>
      </w:r>
      <w:r w:rsidR="00145F20">
        <w:rPr>
          <w:rFonts w:ascii="Times New Roman" w:eastAsia="Calibri" w:hAnsi="Times New Roman" w:cs="Times New Roman"/>
          <w:sz w:val="24"/>
          <w:szCs w:val="24"/>
        </w:rPr>
        <w:t>organis</w:t>
      </w:r>
      <w:r>
        <w:rPr>
          <w:rFonts w:ascii="Times New Roman" w:eastAsia="Calibri" w:hAnsi="Times New Roman" w:cs="Times New Roman"/>
          <w:sz w:val="24"/>
          <w:szCs w:val="24"/>
        </w:rPr>
        <w:t>ing</w:t>
      </w:r>
      <w:r w:rsidR="00C403A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3A5">
        <w:rPr>
          <w:rFonts w:ascii="Times New Roman" w:eastAsia="Calibri" w:hAnsi="Times New Roman" w:cs="Times New Roman"/>
          <w:sz w:val="24"/>
          <w:szCs w:val="24"/>
        </w:rPr>
        <w:t>were r</w:t>
      </w:r>
      <w:r w:rsidR="009B6FEE">
        <w:rPr>
          <w:rFonts w:ascii="Times New Roman" w:eastAsia="Calibri" w:hAnsi="Times New Roman" w:cs="Times New Roman"/>
          <w:sz w:val="24"/>
          <w:szCs w:val="24"/>
        </w:rPr>
        <w:t xml:space="preserve">ooted in </w:t>
      </w:r>
      <w:r w:rsidRPr="0082384C">
        <w:rPr>
          <w:rFonts w:ascii="Times New Roman" w:eastAsia="Calibri" w:hAnsi="Times New Roman" w:cs="Times New Roman"/>
          <w:sz w:val="24"/>
          <w:szCs w:val="24"/>
        </w:rPr>
        <w:t>sustained community mobilisation, and position</w:t>
      </w:r>
      <w:r w:rsidR="009B6FEE">
        <w:rPr>
          <w:rFonts w:ascii="Times New Roman" w:eastAsia="Calibri" w:hAnsi="Times New Roman" w:cs="Times New Roman"/>
          <w:sz w:val="24"/>
          <w:szCs w:val="24"/>
        </w:rPr>
        <w:t>ed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in response to </w:t>
      </w:r>
      <w:r>
        <w:rPr>
          <w:rFonts w:ascii="Times New Roman" w:eastAsia="Calibri" w:hAnsi="Times New Roman" w:cs="Times New Roman"/>
          <w:sz w:val="24"/>
          <w:szCs w:val="24"/>
        </w:rPr>
        <w:t>similar housing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issues. </w:t>
      </w:r>
    </w:p>
    <w:p w14:paraId="353C6640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A4DE6" w14:textId="61CDF4FD" w:rsidR="0076553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>However, our analysis reveal</w:t>
      </w:r>
      <w:r w:rsidR="00ED6A1A">
        <w:rPr>
          <w:rFonts w:ascii="Times New Roman" w:eastAsia="Calibri" w:hAnsi="Times New Roman" w:cs="Times New Roman"/>
          <w:sz w:val="24"/>
          <w:szCs w:val="24"/>
        </w:rPr>
        <w:t>ed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important nuance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The CLTs in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>ows</w:t>
      </w:r>
      <w:r>
        <w:rPr>
          <w:rFonts w:ascii="Times New Roman" w:eastAsia="Calibri" w:hAnsi="Times New Roman" w:cs="Times New Roman"/>
          <w:sz w:val="24"/>
          <w:szCs w:val="24"/>
        </w:rPr>
        <w:t xml:space="preserve"> 7 and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10 also benefitted from external support in establishin</w:t>
      </w:r>
      <w:r w:rsidR="004044AB">
        <w:rPr>
          <w:rFonts w:ascii="Times New Roman" w:eastAsia="Calibri" w:hAnsi="Times New Roman" w:cs="Times New Roman"/>
          <w:sz w:val="24"/>
          <w:szCs w:val="24"/>
        </w:rPr>
        <w:t>g themselves. For example, Homeb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aked was initiated as part of the Liverpool </w:t>
      </w:r>
      <w:r w:rsidR="000D378A" w:rsidRPr="0082384C">
        <w:rPr>
          <w:rFonts w:ascii="Times New Roman" w:eastAsia="Calibri" w:hAnsi="Times New Roman" w:cs="Times New Roman"/>
          <w:sz w:val="24"/>
          <w:szCs w:val="24"/>
        </w:rPr>
        <w:t>Biennale</w:t>
      </w:r>
      <w:r w:rsidRPr="0082384C">
        <w:rPr>
          <w:rFonts w:ascii="Times New Roman" w:eastAsia="Calibri" w:hAnsi="Times New Roman" w:cs="Times New Roman"/>
          <w:sz w:val="24"/>
          <w:szCs w:val="24"/>
        </w:rPr>
        <w:t>; London received</w:t>
      </w:r>
      <w:r w:rsidR="00ED6A1A">
        <w:rPr>
          <w:rFonts w:ascii="Times New Roman" w:eastAsia="Calibri" w:hAnsi="Times New Roman" w:cs="Times New Roman"/>
          <w:sz w:val="24"/>
          <w:szCs w:val="24"/>
        </w:rPr>
        <w:t xml:space="preserve"> Mayoral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backing; Dudley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Street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was supported by the Boston Redevelopment Authority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and City of Lakes, </w:t>
      </w:r>
      <w:r w:rsidR="00ED6A1A">
        <w:rPr>
          <w:rFonts w:ascii="Times New Roman" w:eastAsia="Calibri" w:hAnsi="Times New Roman" w:cs="Times New Roman"/>
          <w:sz w:val="24"/>
          <w:szCs w:val="24"/>
        </w:rPr>
        <w:t>e</w:t>
      </w:r>
      <w:r w:rsidR="000D378A">
        <w:rPr>
          <w:rFonts w:ascii="Times New Roman" w:eastAsia="Calibri" w:hAnsi="Times New Roman" w:cs="Times New Roman"/>
          <w:sz w:val="24"/>
          <w:szCs w:val="24"/>
        </w:rPr>
        <w:t>merged from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collaboration between three Minneapolis community-based organisations and corporate partners. All included external stakeholders on their board, employed professional capacity, and had expanded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with some also diversifying their portfolios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These CLTs therefore suggest that community control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me about through a more complex and wide-ranging set of conditions than those demonstrated in Cooper Square. </w:t>
      </w:r>
    </w:p>
    <w:p w14:paraId="208FD709" w14:textId="0BAE0C4B" w:rsidR="001010EB" w:rsidRPr="00E51915" w:rsidRDefault="00FF6418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Type 2: </w:t>
      </w:r>
      <w:r w:rsidR="00E51915">
        <w:rPr>
          <w:rFonts w:ascii="Times New Roman" w:eastAsia="Calibri" w:hAnsi="Times New Roman" w:cs="Times New Roman"/>
          <w:i/>
          <w:sz w:val="24"/>
          <w:szCs w:val="24"/>
        </w:rPr>
        <w:t xml:space="preserve">Hyper-local rural CLTs </w:t>
      </w:r>
      <w:r w:rsidR="00181804">
        <w:rPr>
          <w:rFonts w:ascii="Times New Roman" w:eastAsia="Calibri" w:hAnsi="Times New Roman" w:cs="Times New Roman"/>
          <w:i/>
          <w:sz w:val="24"/>
          <w:szCs w:val="24"/>
        </w:rPr>
        <w:t>(Eg. Rows 6, 13, 17, and 18</w:t>
      </w:r>
      <w:r w:rsidR="00181804" w:rsidRPr="00181804">
        <w:t xml:space="preserve"> </w:t>
      </w:r>
      <w:r w:rsidR="00181804" w:rsidRPr="00181804">
        <w:rPr>
          <w:rFonts w:ascii="Times New Roman" w:eastAsia="Calibri" w:hAnsi="Times New Roman" w:cs="Times New Roman"/>
          <w:i/>
          <w:sz w:val="24"/>
          <w:szCs w:val="24"/>
        </w:rPr>
        <w:t>in Table 2</w:t>
      </w:r>
      <w:r w:rsidR="0018180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7C2698C1" w14:textId="53E5D8AF" w:rsidR="0076553C" w:rsidRPr="0082384C" w:rsidRDefault="00261471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Type 2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CLTs </w:t>
      </w:r>
      <w:r w:rsidR="0076553C">
        <w:rPr>
          <w:rFonts w:ascii="Times New Roman" w:eastAsia="Calibri" w:hAnsi="Times New Roman" w:cs="Times New Roman"/>
          <w:sz w:val="24"/>
          <w:szCs w:val="24"/>
        </w:rPr>
        <w:t>ha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some similarities 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Type 1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CLTs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, notably</w:t>
      </w:r>
      <w:r w:rsidR="0076553C">
        <w:rPr>
          <w:rFonts w:ascii="Times New Roman" w:eastAsia="Calibri" w:hAnsi="Times New Roman" w:cs="Times New Roman"/>
          <w:sz w:val="24"/>
          <w:szCs w:val="24"/>
        </w:rPr>
        <w:t>: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their independence, the absence of reserved seats for external stakeholders on their board, and being anchored to the local communities they serve through sustained engagement. Some were kick-started by external support or a </w:t>
      </w:r>
      <w:r w:rsidR="00F83B78">
        <w:rPr>
          <w:rFonts w:ascii="Times New Roman" w:eastAsia="Calibri" w:hAnsi="Times New Roman" w:cs="Times New Roman"/>
          <w:sz w:val="24"/>
          <w:szCs w:val="24"/>
        </w:rPr>
        <w:t>few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committed residents or volunteers, but this </w:t>
      </w:r>
      <w:r w:rsidR="00770592">
        <w:rPr>
          <w:rFonts w:ascii="Times New Roman" w:eastAsia="Calibri" w:hAnsi="Times New Roman" w:cs="Times New Roman"/>
          <w:sz w:val="24"/>
          <w:szCs w:val="24"/>
        </w:rPr>
        <w:t>had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not undermine</w:t>
      </w:r>
      <w:r w:rsidR="00770592">
        <w:rPr>
          <w:rFonts w:ascii="Times New Roman" w:eastAsia="Calibri" w:hAnsi="Times New Roman" w:cs="Times New Roman"/>
          <w:sz w:val="24"/>
          <w:szCs w:val="24"/>
        </w:rPr>
        <w:t>d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their propensity </w:t>
      </w:r>
      <w:r w:rsidR="0076553C">
        <w:rPr>
          <w:rFonts w:ascii="Times New Roman" w:eastAsia="Calibri" w:hAnsi="Times New Roman" w:cs="Times New Roman"/>
          <w:sz w:val="24"/>
          <w:szCs w:val="24"/>
        </w:rPr>
        <w:t>for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community control. </w:t>
      </w:r>
      <w:r w:rsidR="00F83B78">
        <w:rPr>
          <w:rFonts w:ascii="Times New Roman" w:eastAsia="Calibri" w:hAnsi="Times New Roman" w:cs="Times New Roman"/>
          <w:sz w:val="24"/>
          <w:szCs w:val="24"/>
        </w:rPr>
        <w:t>However,</w:t>
      </w:r>
      <w:r w:rsidR="00F83B78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they differed</w:t>
      </w:r>
      <w:r w:rsidR="00CE444F">
        <w:rPr>
          <w:rFonts w:ascii="Times New Roman" w:eastAsia="Calibri" w:hAnsi="Times New Roman" w:cs="Times New Roman"/>
          <w:sz w:val="24"/>
          <w:szCs w:val="24"/>
        </w:rPr>
        <w:t xml:space="preserve"> from Type 1 CLTs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in their rural location, and some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fostered community engagement primarily after inception. Housing was central to their purpose, with </w:t>
      </w:r>
      <w:r w:rsidR="0076553C">
        <w:rPr>
          <w:rFonts w:ascii="Times New Roman" w:eastAsia="Calibri" w:hAnsi="Times New Roman" w:cs="Times New Roman"/>
          <w:sz w:val="24"/>
          <w:szCs w:val="24"/>
        </w:rPr>
        <w:t>all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these CLTs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founded to provide affordable housing for local communities being priced out of rural housing markets. </w:t>
      </w:r>
      <w:r w:rsidR="00F83B78">
        <w:rPr>
          <w:rFonts w:ascii="Times New Roman" w:eastAsia="Calibri" w:hAnsi="Times New Roman" w:cs="Times New Roman"/>
          <w:sz w:val="24"/>
          <w:szCs w:val="24"/>
        </w:rPr>
        <w:t xml:space="preserve">Some </w:t>
      </w:r>
      <w:r w:rsidR="0076553C">
        <w:rPr>
          <w:rFonts w:ascii="Times New Roman" w:eastAsia="Calibri" w:hAnsi="Times New Roman" w:cs="Times New Roman"/>
          <w:sz w:val="24"/>
          <w:szCs w:val="24"/>
        </w:rPr>
        <w:t>CLTs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ha</w:t>
      </w:r>
      <w:r w:rsidR="00770592">
        <w:rPr>
          <w:rFonts w:ascii="Times New Roman" w:eastAsia="Calibri" w:hAnsi="Times New Roman" w:cs="Times New Roman"/>
          <w:sz w:val="24"/>
          <w:szCs w:val="24"/>
        </w:rPr>
        <w:t>d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tailored their asset portfolio around preserving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local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>
        <w:rPr>
          <w:rFonts w:ascii="Times New Roman" w:eastAsia="Calibri" w:hAnsi="Times New Roman" w:cs="Times New Roman"/>
          <w:sz w:val="24"/>
          <w:szCs w:val="24"/>
        </w:rPr>
        <w:t>community infrastructure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74457">
        <w:rPr>
          <w:rFonts w:ascii="Times New Roman" w:eastAsia="Calibri" w:hAnsi="Times New Roman" w:cs="Times New Roman"/>
          <w:sz w:val="24"/>
          <w:szCs w:val="24"/>
        </w:rPr>
        <w:t xml:space="preserve">such as </w:t>
      </w:r>
      <w:r w:rsidR="0076553C">
        <w:rPr>
          <w:rFonts w:ascii="Times New Roman" w:eastAsia="Calibri" w:hAnsi="Times New Roman" w:cs="Times New Roman"/>
          <w:sz w:val="24"/>
          <w:szCs w:val="24"/>
        </w:rPr>
        <w:t>the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local pub or post office.</w:t>
      </w:r>
    </w:p>
    <w:p w14:paraId="04919B22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F1BD9" w14:textId="1454641E" w:rsidR="0076553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This kind of CLT </w:t>
      </w:r>
      <w:r w:rsidR="00770592">
        <w:rPr>
          <w:rFonts w:ascii="Times New Roman" w:eastAsia="Calibri" w:hAnsi="Times New Roman" w:cs="Times New Roman"/>
          <w:sz w:val="24"/>
          <w:szCs w:val="24"/>
        </w:rPr>
        <w:t>wa</w:t>
      </w:r>
      <w:r w:rsidRPr="0082384C">
        <w:rPr>
          <w:rFonts w:ascii="Times New Roman" w:eastAsia="Calibri" w:hAnsi="Times New Roman" w:cs="Times New Roman"/>
          <w:sz w:val="24"/>
          <w:szCs w:val="24"/>
        </w:rPr>
        <w:t>s typified by the cases</w:t>
      </w:r>
      <w:r w:rsidRPr="0082384C">
        <w:rPr>
          <w:rFonts w:ascii="Times New Roman" w:hAnsi="Times New Roman" w:cs="Times New Roman"/>
          <w:sz w:val="24"/>
          <w:szCs w:val="24"/>
        </w:rPr>
        <w:t xml:space="preserve"> of Christow,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Corry Valley, Powerstock &amp; District and Upper Culm (see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ow 6), </w:t>
      </w:r>
      <w:r w:rsidR="00ED6A1A"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Pr="0082384C">
        <w:rPr>
          <w:rFonts w:ascii="Times New Roman" w:eastAsia="Calibri" w:hAnsi="Times New Roman" w:cs="Times New Roman"/>
          <w:sz w:val="24"/>
          <w:szCs w:val="24"/>
        </w:rPr>
        <w:t>located in rural South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2384C">
        <w:rPr>
          <w:rFonts w:ascii="Times New Roman" w:eastAsia="Calibri" w:hAnsi="Times New Roman" w:cs="Times New Roman"/>
          <w:sz w:val="24"/>
          <w:szCs w:val="24"/>
        </w:rPr>
        <w:t>West England. The</w:t>
      </w:r>
      <w:r w:rsidR="00766CE4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small CLTs, steward between six and 12 </w:t>
      </w:r>
      <w:r w:rsidR="00E74457">
        <w:rPr>
          <w:rFonts w:ascii="Times New Roman" w:eastAsia="Calibri" w:hAnsi="Times New Roman" w:cs="Times New Roman"/>
          <w:sz w:val="24"/>
          <w:szCs w:val="24"/>
        </w:rPr>
        <w:t xml:space="preserve">housing </w:t>
      </w:r>
      <w:r w:rsidRPr="0082384C">
        <w:rPr>
          <w:rFonts w:ascii="Times New Roman" w:eastAsia="Calibri" w:hAnsi="Times New Roman" w:cs="Times New Roman"/>
          <w:sz w:val="24"/>
          <w:szCs w:val="24"/>
        </w:rPr>
        <w:t>units. These cases were all independent, with no</w:t>
      </w:r>
      <w:r w:rsidR="00E74457">
        <w:rPr>
          <w:rFonts w:ascii="Times New Roman" w:eastAsia="Calibri" w:hAnsi="Times New Roman" w:cs="Times New Roman"/>
          <w:sz w:val="24"/>
          <w:szCs w:val="24"/>
        </w:rPr>
        <w:t xml:space="preserve"> board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seats for external stakeholders; they received support from an active civil society;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have sustained community engagement; </w:t>
      </w:r>
      <w:r w:rsidRPr="0082384C">
        <w:rPr>
          <w:rFonts w:ascii="Times New Roman" w:eastAsia="Calibri" w:hAnsi="Times New Roman" w:cs="Times New Roman"/>
          <w:sz w:val="24"/>
          <w:szCs w:val="24"/>
        </w:rPr>
        <w:t>they had not expanded or diversified their portfolio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they did have external support </w:t>
      </w:r>
      <w:r w:rsidR="00E74457">
        <w:rPr>
          <w:rFonts w:ascii="Times New Roman" w:eastAsia="Calibri" w:hAnsi="Times New Roman" w:cs="Times New Roman"/>
          <w:sz w:val="24"/>
          <w:szCs w:val="24"/>
        </w:rPr>
        <w:t>at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inception, but did not employ professional capacity. </w:t>
      </w:r>
    </w:p>
    <w:p w14:paraId="5E17FAC5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9C37DD" w14:textId="7C18CA5B" w:rsidR="0076553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>Queen Camel 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4044AB">
        <w:rPr>
          <w:rFonts w:ascii="Times New Roman" w:eastAsia="Calibri" w:hAnsi="Times New Roman" w:cs="Times New Roman"/>
          <w:sz w:val="24"/>
          <w:szCs w:val="24"/>
        </w:rPr>
        <w:t>ow 17) in rural So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merset </w:t>
      </w:r>
      <w:r w:rsidR="00E74457">
        <w:rPr>
          <w:rFonts w:ascii="Times New Roman" w:eastAsia="Calibri" w:hAnsi="Times New Roman" w:cs="Times New Roman"/>
          <w:sz w:val="24"/>
          <w:szCs w:val="24"/>
        </w:rPr>
        <w:t>emerged similarly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, with the parish council working with local residents to support an ageing population </w:t>
      </w:r>
      <w:r w:rsidR="00766CE4">
        <w:rPr>
          <w:rFonts w:ascii="Times New Roman" w:eastAsia="Calibri" w:hAnsi="Times New Roman" w:cs="Times New Roman"/>
          <w:sz w:val="24"/>
          <w:szCs w:val="24"/>
        </w:rPr>
        <w:t>through</w:t>
      </w:r>
      <w:r w:rsidR="00766CE4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457">
        <w:rPr>
          <w:rFonts w:ascii="Times New Roman" w:eastAsia="Calibri" w:hAnsi="Times New Roman" w:cs="Times New Roman"/>
          <w:sz w:val="24"/>
          <w:szCs w:val="24"/>
        </w:rPr>
        <w:t>develop</w:t>
      </w:r>
      <w:r w:rsidR="00766CE4">
        <w:rPr>
          <w:rFonts w:ascii="Times New Roman" w:eastAsia="Calibri" w:hAnsi="Times New Roman" w:cs="Times New Roman"/>
          <w:sz w:val="24"/>
          <w:szCs w:val="24"/>
        </w:rPr>
        <w:t>ment of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affordable housing. </w:t>
      </w:r>
      <w:r w:rsidR="00E74457">
        <w:rPr>
          <w:rFonts w:ascii="Times New Roman" w:eastAsia="Calibri" w:hAnsi="Times New Roman" w:cs="Times New Roman"/>
          <w:sz w:val="24"/>
          <w:szCs w:val="24"/>
        </w:rPr>
        <w:t>It eventually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expanded to 20 homes, and diversified to </w:t>
      </w:r>
      <w:r w:rsidR="00E74457">
        <w:rPr>
          <w:rFonts w:ascii="Times New Roman" w:eastAsia="Calibri" w:hAnsi="Times New Roman" w:cs="Times New Roman"/>
          <w:sz w:val="24"/>
          <w:szCs w:val="24"/>
        </w:rPr>
        <w:t>include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the local pub and </w:t>
      </w:r>
      <w:r w:rsidR="00E74457">
        <w:rPr>
          <w:rFonts w:ascii="Times New Roman" w:eastAsia="Calibri" w:hAnsi="Times New Roman" w:cs="Times New Roman"/>
          <w:sz w:val="24"/>
          <w:szCs w:val="24"/>
        </w:rPr>
        <w:t>the former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village school</w:t>
      </w:r>
      <w:r w:rsidR="00766CE4">
        <w:rPr>
          <w:rFonts w:ascii="Times New Roman" w:eastAsia="Calibri" w:hAnsi="Times New Roman" w:cs="Times New Roman"/>
          <w:sz w:val="24"/>
          <w:szCs w:val="24"/>
        </w:rPr>
        <w:t xml:space="preserve"> site</w:t>
      </w:r>
      <w:r w:rsidRPr="0082384C">
        <w:rPr>
          <w:rFonts w:ascii="Times New Roman" w:eastAsia="Calibri" w:hAnsi="Times New Roman" w:cs="Times New Roman"/>
          <w:sz w:val="24"/>
          <w:szCs w:val="24"/>
        </w:rPr>
        <w:t>. Queen Camel did not have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wider engagement </w:t>
      </w:r>
      <w:r w:rsidR="00E74457">
        <w:rPr>
          <w:rFonts w:ascii="Times New Roman" w:eastAsia="Calibri" w:hAnsi="Times New Roman" w:cs="Times New Roman"/>
          <w:sz w:val="24"/>
          <w:szCs w:val="24"/>
        </w:rPr>
        <w:t>by</w:t>
      </w:r>
      <w:r w:rsidR="00E74457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>civil society initially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but did foster community engagement over time. </w:t>
      </w:r>
    </w:p>
    <w:p w14:paraId="64DFF9AF" w14:textId="77777777" w:rsidR="001010EB" w:rsidRDefault="001010EB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17DFA5" w14:textId="525D6B08" w:rsidR="0076553C" w:rsidRPr="0082384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>Toller Po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>curum 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ow 18) in rural mid-Dorset </w:t>
      </w:r>
      <w:r w:rsidR="00770592">
        <w:rPr>
          <w:rFonts w:ascii="Times New Roman" w:eastAsia="Calibri" w:hAnsi="Times New Roman" w:cs="Times New Roman"/>
          <w:sz w:val="24"/>
          <w:szCs w:val="24"/>
        </w:rPr>
        <w:t>wa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s another </w:t>
      </w:r>
      <w:r w:rsidR="00766CE4">
        <w:rPr>
          <w:rFonts w:ascii="Times New Roman" w:eastAsia="Calibri" w:hAnsi="Times New Roman" w:cs="Times New Roman"/>
          <w:sz w:val="24"/>
          <w:szCs w:val="24"/>
        </w:rPr>
        <w:t>Type 2 CLT,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established after a resident bequeathed land</w:t>
      </w:r>
      <w:r w:rsidR="00766CE4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Pr="0082384C">
        <w:rPr>
          <w:rFonts w:ascii="Times New Roman" w:eastAsia="Calibri" w:hAnsi="Times New Roman" w:cs="Times New Roman"/>
          <w:sz w:val="24"/>
          <w:szCs w:val="24"/>
        </w:rPr>
        <w:t>re-build the village post office. Th</w:t>
      </w:r>
      <w:r>
        <w:rPr>
          <w:rFonts w:ascii="Times New Roman" w:eastAsia="Calibri" w:hAnsi="Times New Roman" w:cs="Times New Roman"/>
          <w:sz w:val="24"/>
          <w:szCs w:val="24"/>
        </w:rPr>
        <w:t>is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CLT</w:t>
      </w:r>
      <w:r w:rsidR="00766CE4">
        <w:rPr>
          <w:rFonts w:ascii="Times New Roman" w:eastAsia="Calibri" w:hAnsi="Times New Roman" w:cs="Times New Roman"/>
          <w:sz w:val="24"/>
          <w:szCs w:val="24"/>
        </w:rPr>
        <w:t xml:space="preserve"> also managed </w:t>
      </w:r>
      <w:r w:rsidR="00770592">
        <w:rPr>
          <w:rFonts w:ascii="Times New Roman" w:eastAsia="Calibri" w:hAnsi="Times New Roman" w:cs="Times New Roman"/>
          <w:sz w:val="24"/>
          <w:szCs w:val="24"/>
        </w:rPr>
        <w:t>of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six rental homes on the same land. Like Queen Camel, Toller Porcorum was initiated without support </w:t>
      </w:r>
      <w:r w:rsidR="009D0A13">
        <w:rPr>
          <w:rFonts w:ascii="Times New Roman" w:eastAsia="Calibri" w:hAnsi="Times New Roman" w:cs="Times New Roman"/>
          <w:sz w:val="24"/>
          <w:szCs w:val="24"/>
        </w:rPr>
        <w:t>by</w:t>
      </w:r>
      <w:r w:rsidR="009D0A13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>an active civil society, but developed community engagement over time. Lopez CLT 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ow 13), on Lopez Island </w:t>
      </w:r>
      <w:r w:rsidR="009D0A13">
        <w:rPr>
          <w:rFonts w:ascii="Times New Roman" w:eastAsia="Calibri" w:hAnsi="Times New Roman" w:cs="Times New Roman"/>
          <w:sz w:val="24"/>
          <w:szCs w:val="24"/>
        </w:rPr>
        <w:t>near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Seattle, off</w:t>
      </w:r>
      <w:r w:rsidR="00766CE4">
        <w:rPr>
          <w:rFonts w:ascii="Times New Roman" w:eastAsia="Calibri" w:hAnsi="Times New Roman" w:cs="Times New Roman"/>
          <w:sz w:val="24"/>
          <w:szCs w:val="24"/>
        </w:rPr>
        <w:t>ered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 US example</w:t>
      </w:r>
      <w:r w:rsidR="00766CE4">
        <w:rPr>
          <w:rFonts w:ascii="Times New Roman" w:eastAsia="Calibri" w:hAnsi="Times New Roman" w:cs="Times New Roman"/>
          <w:sz w:val="24"/>
          <w:szCs w:val="24"/>
        </w:rPr>
        <w:t xml:space="preserve"> of a Type 2 CLT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27760EA" w14:textId="77777777" w:rsidR="00420CF8" w:rsidRDefault="00420CF8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3E5376B" w14:textId="47AB42E0" w:rsidR="00420CF8" w:rsidRPr="00E51915" w:rsidRDefault="00FF6418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Type 3: </w:t>
      </w:r>
      <w:r w:rsidR="00E51915">
        <w:rPr>
          <w:rFonts w:ascii="Times New Roman" w:eastAsia="Calibri" w:hAnsi="Times New Roman" w:cs="Times New Roman"/>
          <w:i/>
          <w:sz w:val="24"/>
          <w:szCs w:val="24"/>
        </w:rPr>
        <w:t>Partnered CLTs</w:t>
      </w:r>
      <w:r w:rsidR="00181804">
        <w:rPr>
          <w:rFonts w:ascii="Times New Roman" w:eastAsia="Calibri" w:hAnsi="Times New Roman" w:cs="Times New Roman"/>
          <w:i/>
          <w:sz w:val="24"/>
          <w:szCs w:val="24"/>
        </w:rPr>
        <w:t xml:space="preserve"> (eg. Rows 11 and 14 </w:t>
      </w:r>
      <w:r w:rsidR="00181804" w:rsidRPr="00181804">
        <w:rPr>
          <w:rFonts w:ascii="Times New Roman" w:eastAsia="Calibri" w:hAnsi="Times New Roman" w:cs="Times New Roman"/>
          <w:i/>
          <w:sz w:val="24"/>
          <w:szCs w:val="24"/>
        </w:rPr>
        <w:t>in Table 2</w:t>
      </w:r>
      <w:r w:rsidR="0018180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157D856E" w14:textId="0F2D3209" w:rsidR="0076553C" w:rsidRPr="0082384C" w:rsidRDefault="00170C43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="00261471">
        <w:rPr>
          <w:rFonts w:ascii="Times New Roman" w:eastAsia="Calibri" w:hAnsi="Times New Roman" w:cs="Times New Roman"/>
          <w:sz w:val="24"/>
          <w:szCs w:val="24"/>
        </w:rPr>
        <w:t xml:space="preserve">Type 3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CLTs partnered with other local organisations, such as local government or housing associations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These CLTs retained a strong relationship with the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founding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community, but also illustrate</w:t>
      </w:r>
      <w:r w:rsidR="00770592">
        <w:rPr>
          <w:rFonts w:ascii="Times New Roman" w:eastAsia="Calibri" w:hAnsi="Times New Roman" w:cs="Times New Roman"/>
          <w:sz w:val="24"/>
          <w:szCs w:val="24"/>
        </w:rPr>
        <w:t>d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the complexity of community control. For example, some of the</w:t>
      </w:r>
      <w:r w:rsidR="0076553C">
        <w:rPr>
          <w:rFonts w:ascii="Times New Roman" w:eastAsia="Calibri" w:hAnsi="Times New Roman" w:cs="Times New Roman"/>
          <w:sz w:val="24"/>
          <w:szCs w:val="24"/>
        </w:rPr>
        <w:t>se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CLTs remained independent, without necessarily retaining responsibility for the management of the CLT which may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have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be</w:t>
      </w:r>
      <w:r w:rsidR="0076553C">
        <w:rPr>
          <w:rFonts w:ascii="Times New Roman" w:eastAsia="Calibri" w:hAnsi="Times New Roman" w:cs="Times New Roman"/>
          <w:sz w:val="24"/>
          <w:szCs w:val="24"/>
        </w:rPr>
        <w:t>en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contracted out to the partner. </w:t>
      </w:r>
      <w:r>
        <w:rPr>
          <w:rFonts w:ascii="Times New Roman" w:eastAsia="Calibri" w:hAnsi="Times New Roman" w:cs="Times New Roman"/>
          <w:sz w:val="24"/>
          <w:szCs w:val="24"/>
        </w:rPr>
        <w:t>Conversely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, some lacked independence, but were enablers of community action and politics. </w:t>
      </w:r>
    </w:p>
    <w:p w14:paraId="2E61FF27" w14:textId="77777777" w:rsidR="00420CF8" w:rsidRDefault="00420CF8" w:rsidP="003D052E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748696" w14:textId="5BF21476" w:rsidR="0076553C" w:rsidRDefault="00766CE4" w:rsidP="003D052E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>Lyvennet and Norton-sub-Handon 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ow 14) fulfilled seven of the eight conditions,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excepting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professional capacity. Both these CLTs partnered with housing associations contracted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Pr="0082384C">
        <w:rPr>
          <w:rFonts w:ascii="Times New Roman" w:eastAsia="Calibri" w:hAnsi="Times New Roman" w:cs="Times New Roman"/>
          <w:sz w:val="24"/>
          <w:szCs w:val="24"/>
        </w:rPr>
        <w:t>the day-to-day management of th</w:t>
      </w:r>
      <w:r>
        <w:rPr>
          <w:rFonts w:ascii="Times New Roman" w:eastAsia="Calibri" w:hAnsi="Times New Roman" w:cs="Times New Roman"/>
          <w:sz w:val="24"/>
          <w:szCs w:val="24"/>
        </w:rPr>
        <w:t>eir housing portfolio</w:t>
      </w:r>
      <w:r w:rsidRPr="0082384C">
        <w:rPr>
          <w:rFonts w:ascii="Times New Roman" w:eastAsia="Calibri" w:hAnsi="Times New Roman" w:cs="Times New Roman"/>
          <w:sz w:val="24"/>
          <w:szCs w:val="24"/>
        </w:rPr>
        <w:t>, such as rent collections and tenan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management.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Durham was a logical type by itself, fulfilling seven of the eight conditions, excepting independence (</w:t>
      </w:r>
      <w:r w:rsidR="0076553C">
        <w:rPr>
          <w:rFonts w:ascii="Times New Roman" w:eastAsia="Calibri" w:hAnsi="Times New Roman" w:cs="Times New Roman"/>
          <w:sz w:val="24"/>
          <w:szCs w:val="24"/>
        </w:rPr>
        <w:t>R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ow 11). Durham was founded by residents </w:t>
      </w:r>
      <w:r w:rsidR="00170C43">
        <w:rPr>
          <w:rFonts w:ascii="Times New Roman" w:eastAsia="Calibri" w:hAnsi="Times New Roman" w:cs="Times New Roman"/>
          <w:sz w:val="24"/>
          <w:szCs w:val="24"/>
        </w:rPr>
        <w:t>responding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to rising house prices. However, the management of the CLT ha</w:t>
      </w:r>
      <w:r w:rsidR="00770592">
        <w:rPr>
          <w:rFonts w:ascii="Times New Roman" w:eastAsia="Calibri" w:hAnsi="Times New Roman" w:cs="Times New Roman"/>
          <w:sz w:val="24"/>
          <w:szCs w:val="24"/>
        </w:rPr>
        <w:t>d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effectively been passed to external stakeholders, with all the roles of formal power on the CLT’s board</w:t>
      </w:r>
      <w:r w:rsidR="00076419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076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occupied by representatives from local government and resident-allocated board seats going unfilled. </w:t>
      </w:r>
      <w:r w:rsidR="0076553C">
        <w:rPr>
          <w:rFonts w:ascii="Times New Roman" w:eastAsia="Calibri" w:hAnsi="Times New Roman" w:cs="Times New Roman"/>
          <w:sz w:val="24"/>
          <w:szCs w:val="24"/>
        </w:rPr>
        <w:t>The CLT did however maintain community engagement, through regular community meetings and newsletters, nurturing of new neighbourhood leaders and associations, support for opening a community youth centre, campaigns on neighbourhood crime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and its community garden, and education classes. </w:t>
      </w:r>
    </w:p>
    <w:p w14:paraId="7107CB6E" w14:textId="77777777" w:rsidR="00420CF8" w:rsidRPr="003D052E" w:rsidRDefault="00420CF8" w:rsidP="003D052E">
      <w:pPr>
        <w:pStyle w:val="Body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E0E6EE" w14:textId="783CBB9E" w:rsidR="00420CF8" w:rsidRPr="00E51915" w:rsidRDefault="00FF6418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Type 4: </w:t>
      </w:r>
      <w:r w:rsidR="00E51915">
        <w:rPr>
          <w:rFonts w:ascii="Times New Roman" w:eastAsia="Calibri" w:hAnsi="Times New Roman" w:cs="Times New Roman"/>
          <w:i/>
          <w:sz w:val="24"/>
          <w:szCs w:val="24"/>
        </w:rPr>
        <w:t>Social enterprise CLTs</w:t>
      </w:r>
      <w:r w:rsidR="00181804">
        <w:rPr>
          <w:rFonts w:ascii="Times New Roman" w:eastAsia="Calibri" w:hAnsi="Times New Roman" w:cs="Times New Roman"/>
          <w:i/>
          <w:sz w:val="24"/>
          <w:szCs w:val="24"/>
        </w:rPr>
        <w:t xml:space="preserve"> (Eg. Row 15 in Table 2)</w:t>
      </w:r>
    </w:p>
    <w:p w14:paraId="3E8CEE6A" w14:textId="031CF93F" w:rsidR="0076553C" w:rsidRPr="0082384C" w:rsidRDefault="00261471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Type 4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CLTs were notable for their sustained social purpose, but also the absence of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independence or a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connection with a specific</w:t>
      </w:r>
      <w:r w:rsidR="00CE4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community</w:t>
      </w:r>
      <w:r w:rsidR="00CE444F">
        <w:rPr>
          <w:rFonts w:ascii="Times New Roman" w:eastAsia="Calibri" w:hAnsi="Times New Roman" w:cs="Times New Roman"/>
          <w:sz w:val="24"/>
          <w:szCs w:val="24"/>
        </w:rPr>
        <w:t xml:space="preserve"> of place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>. Instead</w:t>
      </w:r>
      <w:r w:rsidR="0076553C">
        <w:rPr>
          <w:rFonts w:ascii="Times New Roman" w:eastAsia="Calibri" w:hAnsi="Times New Roman" w:cs="Times New Roman"/>
          <w:sz w:val="24"/>
          <w:szCs w:val="24"/>
        </w:rPr>
        <w:t>,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the CLTs were used </w:t>
      </w:r>
      <w:r w:rsidR="0076553C">
        <w:rPr>
          <w:rFonts w:ascii="Times New Roman" w:eastAsia="Calibri" w:hAnsi="Times New Roman" w:cs="Times New Roman"/>
          <w:sz w:val="24"/>
          <w:szCs w:val="24"/>
        </w:rPr>
        <w:t>to establish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housing provision as a form of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trading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good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generate resource for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wider 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social benefit. These CLTs were unlikely to </w:t>
      </w:r>
      <w:r w:rsidR="0076553C">
        <w:rPr>
          <w:rFonts w:ascii="Times New Roman" w:eastAsia="Calibri" w:hAnsi="Times New Roman" w:cs="Times New Roman"/>
          <w:sz w:val="24"/>
          <w:szCs w:val="24"/>
        </w:rPr>
        <w:t>feature</w:t>
      </w:r>
      <w:r w:rsidR="0076553C" w:rsidRPr="0082384C">
        <w:rPr>
          <w:rFonts w:ascii="Times New Roman" w:eastAsia="Calibri" w:hAnsi="Times New Roman" w:cs="Times New Roman"/>
          <w:sz w:val="24"/>
          <w:szCs w:val="24"/>
        </w:rPr>
        <w:t xml:space="preserve"> community control. </w:t>
      </w:r>
    </w:p>
    <w:p w14:paraId="0CB6A3B5" w14:textId="77777777" w:rsidR="00420CF8" w:rsidRDefault="00420CF8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33665" w14:textId="7AA450A4" w:rsidR="0076553C" w:rsidRPr="0082384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Two CLTs of this kind </w:t>
      </w:r>
      <w:r>
        <w:rPr>
          <w:rFonts w:ascii="Times New Roman" w:eastAsia="Calibri" w:hAnsi="Times New Roman" w:cs="Times New Roman"/>
          <w:sz w:val="24"/>
          <w:szCs w:val="24"/>
        </w:rPr>
        <w:t>were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Northern California and Thistle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>ow 1</w:t>
      </w:r>
      <w:r w:rsidR="00AA4609">
        <w:rPr>
          <w:rFonts w:ascii="Times New Roman" w:eastAsia="Calibri" w:hAnsi="Times New Roman" w:cs="Times New Roman"/>
          <w:sz w:val="24"/>
          <w:szCs w:val="24"/>
        </w:rPr>
        <w:t>5</w:t>
      </w:r>
      <w:r w:rsidRPr="0082384C">
        <w:rPr>
          <w:rFonts w:ascii="Times New Roman" w:eastAsia="Calibri" w:hAnsi="Times New Roman" w:cs="Times New Roman"/>
          <w:sz w:val="24"/>
          <w:szCs w:val="24"/>
        </w:rPr>
        <w:t>). Both were not independent; did not have reserved</w:t>
      </w:r>
      <w:r w:rsidR="00705E8B">
        <w:rPr>
          <w:rFonts w:ascii="Times New Roman" w:eastAsia="Calibri" w:hAnsi="Times New Roman" w:cs="Times New Roman"/>
          <w:sz w:val="24"/>
          <w:szCs w:val="24"/>
        </w:rPr>
        <w:t xml:space="preserve"> board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seats for external stakeholders; were not founded with support </w:t>
      </w:r>
      <w:r w:rsidR="00705E8B">
        <w:rPr>
          <w:rFonts w:ascii="Times New Roman" w:eastAsia="Calibri" w:hAnsi="Times New Roman" w:cs="Times New Roman"/>
          <w:sz w:val="24"/>
          <w:szCs w:val="24"/>
        </w:rPr>
        <w:t>by</w:t>
      </w:r>
      <w:r w:rsidR="00705E8B"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civil society nor have they sustained community engagement; they had expanded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diversified; received external support at their inception; and did have professional capacity. Both </w:t>
      </w:r>
      <w:r>
        <w:rPr>
          <w:rFonts w:ascii="Times New Roman" w:eastAsia="Calibri" w:hAnsi="Times New Roman" w:cs="Times New Roman"/>
          <w:sz w:val="24"/>
          <w:szCs w:val="24"/>
        </w:rPr>
        <w:t xml:space="preserve">were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started by committed individuals with a social purpose in mind. Thistle was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established </w:t>
      </w:r>
      <w:r w:rsidR="00705E8B">
        <w:rPr>
          <w:rFonts w:ascii="Times New Roman" w:eastAsia="Calibri" w:hAnsi="Times New Roman" w:cs="Times New Roman"/>
          <w:sz w:val="24"/>
          <w:szCs w:val="24"/>
        </w:rPr>
        <w:t xml:space="preserve">to build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homes for people with disabilities, </w:t>
      </w:r>
      <w:r w:rsidR="00705E8B">
        <w:rPr>
          <w:rFonts w:ascii="Times New Roman" w:eastAsia="Calibri" w:hAnsi="Times New Roman" w:cs="Times New Roman"/>
          <w:sz w:val="24"/>
          <w:szCs w:val="24"/>
        </w:rPr>
        <w:t>and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supported by the Center for People with Disabilities and the NeighbourWorks network.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group who established </w:t>
      </w:r>
      <w:r w:rsidRPr="0082384C">
        <w:rPr>
          <w:rFonts w:ascii="Times New Roman" w:eastAsia="Calibri" w:hAnsi="Times New Roman" w:cs="Times New Roman"/>
          <w:sz w:val="24"/>
          <w:szCs w:val="24"/>
        </w:rPr>
        <w:t>Northern California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were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supported by the Independence Institute, which promote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land reform ideas based on the Indian Gramdan movement. Both CLTs refer</w:t>
      </w:r>
      <w:r>
        <w:rPr>
          <w:rFonts w:ascii="Times New Roman" w:eastAsia="Calibri" w:hAnsi="Times New Roman" w:cs="Times New Roman"/>
          <w:sz w:val="24"/>
          <w:szCs w:val="24"/>
        </w:rPr>
        <w:t>red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to themselves as a ‘company’ and may be characterised as social enterprises, applying commercial strategies for social benefit. However, both CLTs ha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experienced significant challenges in taking this more commercialised route. Thistle is notable for being one of the only CLTs planning to downsize their portfolio, and Northern California, bankrupted itself after a risky investment </w:t>
      </w:r>
      <w:r w:rsidRPr="006C1C95">
        <w:rPr>
          <w:rFonts w:ascii="Times New Roman" w:eastAsia="Calibri" w:hAnsi="Times New Roman" w:cs="Times New Roman"/>
          <w:sz w:val="24"/>
          <w:szCs w:val="24"/>
        </w:rPr>
        <w:t>before recovering viability.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85143D" w14:textId="77777777" w:rsidR="00420CF8" w:rsidRDefault="00420CF8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C1665B" w14:textId="23650FC8" w:rsidR="00420CF8" w:rsidRPr="0041371B" w:rsidRDefault="00FF6418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Type 5: </w:t>
      </w:r>
      <w:r w:rsidR="0041371B">
        <w:rPr>
          <w:rFonts w:ascii="Times New Roman" w:eastAsia="Calibri" w:hAnsi="Times New Roman" w:cs="Times New Roman"/>
          <w:i/>
          <w:sz w:val="24"/>
          <w:szCs w:val="24"/>
        </w:rPr>
        <w:t>Asset-lock CLTs</w:t>
      </w:r>
      <w:r w:rsidR="00181804">
        <w:rPr>
          <w:rFonts w:ascii="Times New Roman" w:eastAsia="Calibri" w:hAnsi="Times New Roman" w:cs="Times New Roman"/>
          <w:i/>
          <w:sz w:val="24"/>
          <w:szCs w:val="24"/>
        </w:rPr>
        <w:t xml:space="preserve"> (Eg. Rows 4 and 9 in Table 2)</w:t>
      </w:r>
    </w:p>
    <w:p w14:paraId="59641FD9" w14:textId="0E4BF9F8" w:rsidR="0076553C" w:rsidRPr="0082384C" w:rsidRDefault="0076553C" w:rsidP="0076553C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>These CLTs were substantively different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other types</w:t>
      </w:r>
      <w:r w:rsidRPr="0082384C">
        <w:rPr>
          <w:rFonts w:ascii="Times New Roman" w:eastAsia="Calibri" w:hAnsi="Times New Roman" w:cs="Times New Roman"/>
          <w:sz w:val="24"/>
          <w:szCs w:val="24"/>
        </w:rPr>
        <w:t>. Here, the CLT model had been utili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ed, but without substantial involvement of community or wider civil society; as such, community control was not a feature. </w:t>
      </w:r>
      <w:r w:rsidR="002E0710">
        <w:rPr>
          <w:rFonts w:ascii="Times New Roman" w:eastAsia="Calibri" w:hAnsi="Times New Roman" w:cs="Times New Roman"/>
          <w:sz w:val="24"/>
          <w:szCs w:val="24"/>
        </w:rPr>
        <w:t>Th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e CLT </w:t>
      </w:r>
      <w:r>
        <w:rPr>
          <w:rFonts w:ascii="Times New Roman" w:eastAsia="Calibri" w:hAnsi="Times New Roman" w:cs="Times New Roman"/>
          <w:sz w:val="24"/>
          <w:szCs w:val="24"/>
        </w:rPr>
        <w:t xml:space="preserve">legal </w:t>
      </w:r>
      <w:r w:rsidRPr="0082384C">
        <w:rPr>
          <w:rFonts w:ascii="Times New Roman" w:eastAsia="Calibri" w:hAnsi="Times New Roman" w:cs="Times New Roman"/>
          <w:sz w:val="24"/>
          <w:szCs w:val="24"/>
        </w:rPr>
        <w:t>mechanism</w:t>
      </w:r>
      <w:r w:rsidR="00261471">
        <w:rPr>
          <w:rFonts w:ascii="Times New Roman" w:eastAsia="Calibri" w:hAnsi="Times New Roman" w:cs="Times New Roman"/>
          <w:sz w:val="24"/>
          <w:szCs w:val="24"/>
        </w:rPr>
        <w:t xml:space="preserve"> and associated housing and property portfolio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1471">
        <w:rPr>
          <w:rFonts w:ascii="Times New Roman" w:eastAsia="Calibri" w:hAnsi="Times New Roman" w:cs="Times New Roman"/>
          <w:sz w:val="24"/>
          <w:szCs w:val="24"/>
        </w:rPr>
        <w:t xml:space="preserve">was employed </w:t>
      </w:r>
      <w:r w:rsidR="002E0710">
        <w:rPr>
          <w:rFonts w:ascii="Times New Roman" w:eastAsia="Calibri" w:hAnsi="Times New Roman" w:cs="Times New Roman"/>
          <w:sz w:val="24"/>
          <w:szCs w:val="24"/>
        </w:rPr>
        <w:t>to provide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an asset-lock </w:t>
      </w:r>
      <w:r w:rsidR="00261471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>
        <w:rPr>
          <w:rFonts w:ascii="Times New Roman" w:eastAsia="Calibri" w:hAnsi="Times New Roman" w:cs="Times New Roman"/>
          <w:sz w:val="24"/>
          <w:szCs w:val="24"/>
        </w:rPr>
        <w:t>other developing</w:t>
      </w:r>
      <w:r w:rsidR="00261471">
        <w:rPr>
          <w:rFonts w:ascii="Times New Roman" w:eastAsia="Calibri" w:hAnsi="Times New Roman" w:cs="Times New Roman"/>
          <w:sz w:val="24"/>
          <w:szCs w:val="24"/>
        </w:rPr>
        <w:t xml:space="preserve"> CLTs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0788D0B" w14:textId="77777777" w:rsidR="00420CF8" w:rsidRDefault="00420CF8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26AA5C" w14:textId="4F84B09E" w:rsidR="0076553C" w:rsidRPr="0082384C" w:rsidRDefault="0076553C" w:rsidP="0076553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These CLTs were a logical type of cases which were not independent and had reserved </w:t>
      </w:r>
      <w:r w:rsidR="002E0710">
        <w:rPr>
          <w:rFonts w:ascii="Times New Roman" w:eastAsia="Calibri" w:hAnsi="Times New Roman" w:cs="Times New Roman"/>
          <w:sz w:val="24"/>
          <w:szCs w:val="24"/>
        </w:rPr>
        <w:t xml:space="preserve">board </w:t>
      </w:r>
      <w:r w:rsidRPr="0082384C">
        <w:rPr>
          <w:rFonts w:ascii="Times New Roman" w:eastAsia="Calibri" w:hAnsi="Times New Roman" w:cs="Times New Roman"/>
          <w:sz w:val="24"/>
          <w:szCs w:val="24"/>
        </w:rPr>
        <w:t>seats for external stakeholders; were not directly supported by civil society, nor had they sustained community engagement; they had both expanded their portfolio and diversified their revenue stream; and did receive external support at inception, and now had professional capacity. This set contained thr</w:t>
      </w:r>
      <w:r w:rsidR="007A718E">
        <w:rPr>
          <w:rFonts w:ascii="Times New Roman" w:eastAsia="Calibri" w:hAnsi="Times New Roman" w:cs="Times New Roman"/>
          <w:sz w:val="24"/>
          <w:szCs w:val="24"/>
        </w:rPr>
        <w:t>ee CLTs: Foundation East, Rondo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and Champlain Housing Trust 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ow </w:t>
      </w:r>
      <w:r w:rsidR="00AA4609">
        <w:rPr>
          <w:rFonts w:ascii="Times New Roman" w:eastAsia="Calibri" w:hAnsi="Times New Roman" w:cs="Times New Roman"/>
          <w:sz w:val="24"/>
          <w:szCs w:val="24"/>
        </w:rPr>
        <w:t>4</w:t>
      </w:r>
      <w:r w:rsidRPr="0082384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all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kick-started by public agencies. For example, Foundation East was formed by the East of England Development Agency. It was the umbrella CLT for that region, and supported other community-led </w:t>
      </w:r>
      <w:r>
        <w:rPr>
          <w:rFonts w:ascii="Times New Roman" w:eastAsia="Calibri" w:hAnsi="Times New Roman" w:cs="Times New Roman"/>
          <w:sz w:val="24"/>
          <w:szCs w:val="24"/>
        </w:rPr>
        <w:t>efforts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by providing a temporary asset-lock until </w:t>
      </w:r>
      <w:r>
        <w:rPr>
          <w:rFonts w:ascii="Times New Roman" w:eastAsia="Calibri" w:hAnsi="Times New Roman" w:cs="Times New Roman"/>
          <w:sz w:val="24"/>
          <w:szCs w:val="24"/>
        </w:rPr>
        <w:t>their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CLT ha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been formed. Foundation East provided expertise, funding and support, enabling other CLTs, but </w:t>
      </w:r>
      <w:r>
        <w:rPr>
          <w:rFonts w:ascii="Times New Roman" w:eastAsia="Calibri" w:hAnsi="Times New Roman" w:cs="Times New Roman"/>
          <w:sz w:val="24"/>
          <w:szCs w:val="24"/>
        </w:rPr>
        <w:t>was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not itself run by residents nor d</w:t>
      </w:r>
      <w:r>
        <w:rPr>
          <w:rFonts w:ascii="Times New Roman" w:eastAsia="Calibri" w:hAnsi="Times New Roman" w:cs="Times New Roman"/>
          <w:sz w:val="24"/>
          <w:szCs w:val="24"/>
        </w:rPr>
        <w:t>id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it deal directly with them. Another CLT, Cornwall (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82384C">
        <w:rPr>
          <w:rFonts w:ascii="Times New Roman" w:eastAsia="Calibri" w:hAnsi="Times New Roman" w:cs="Times New Roman"/>
          <w:sz w:val="24"/>
          <w:szCs w:val="24"/>
        </w:rPr>
        <w:t>ow 9)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operated </w:t>
      </w:r>
      <w:r>
        <w:rPr>
          <w:rFonts w:ascii="Times New Roman" w:eastAsia="Calibri" w:hAnsi="Times New Roman" w:cs="Times New Roman"/>
          <w:sz w:val="24"/>
          <w:szCs w:val="24"/>
        </w:rPr>
        <w:t>similarly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, serving as an umbrella organisation for 16 locations that provided a mix of rental units and affordable homes, and had not diversified its portfolio. </w:t>
      </w:r>
      <w:r w:rsidRPr="0082384C">
        <w:rPr>
          <w:rFonts w:ascii="Times New Roman" w:hAnsi="Times New Roman" w:cs="Times New Roman"/>
          <w:sz w:val="24"/>
          <w:szCs w:val="24"/>
        </w:rPr>
        <w:t>A different example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Champlain Housing Trust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710">
        <w:rPr>
          <w:rFonts w:ascii="Times New Roman" w:eastAsia="Calibri" w:hAnsi="Times New Roman" w:cs="Times New Roman"/>
          <w:sz w:val="24"/>
          <w:szCs w:val="24"/>
        </w:rPr>
        <w:t>emerged from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a merger between the publicly-funded Burlington Land Trust and the Lake Champlain Housing Corporation. Its sheer size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the largest CLT in the US, comprising 2218 rental units, 530 homeownership units and 33 commercial spaces – also suggests difficult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es in </w:t>
      </w:r>
      <w:r>
        <w:rPr>
          <w:rFonts w:ascii="Times New Roman" w:eastAsia="Calibri" w:hAnsi="Times New Roman" w:cs="Times New Roman"/>
          <w:sz w:val="24"/>
          <w:szCs w:val="24"/>
        </w:rPr>
        <w:t>serving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particular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place-based </w:t>
      </w:r>
      <w:r w:rsidRPr="0082384C">
        <w:rPr>
          <w:rFonts w:ascii="Times New Roman" w:eastAsia="Calibri" w:hAnsi="Times New Roman" w:cs="Times New Roman"/>
          <w:sz w:val="24"/>
          <w:szCs w:val="24"/>
        </w:rPr>
        <w:t>communit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82384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A873CC8" w14:textId="5E191406" w:rsidR="0076553C" w:rsidRPr="0082384C" w:rsidRDefault="0076553C" w:rsidP="009E7CDC">
      <w:pPr>
        <w:spacing w:after="200" w:line="480" w:lineRule="auto"/>
        <w:ind w:firstLine="720"/>
        <w:jc w:val="both"/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E2A3530" w14:textId="408762E5" w:rsidR="0076553C" w:rsidRDefault="0076553C" w:rsidP="0076553C">
      <w:pPr>
        <w:spacing w:after="200" w:line="480" w:lineRule="auto"/>
        <w:jc w:val="both"/>
        <w:rPr>
          <w:rFonts w:eastAsia="Calibri"/>
          <w:b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2384C">
        <w:rPr>
          <w:rFonts w:eastAsia="Calibri"/>
          <w:b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225863">
        <w:rPr>
          <w:rFonts w:eastAsia="Calibri"/>
          <w:b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ONCLUSION</w:t>
      </w:r>
    </w:p>
    <w:p w14:paraId="14ED53B1" w14:textId="77777777" w:rsidR="00420CF8" w:rsidRDefault="00420CF8" w:rsidP="00A35C7D">
      <w:pPr>
        <w:spacing w:after="200" w:line="480" w:lineRule="auto"/>
        <w:jc w:val="both"/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80B0391" w14:textId="3103036C" w:rsidR="00A35C7D" w:rsidRDefault="0076553C" w:rsidP="00A35C7D">
      <w:pPr>
        <w:spacing w:after="200" w:line="480" w:lineRule="auto"/>
        <w:jc w:val="both"/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0D5EE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Our a</w:t>
      </w:r>
      <w:r w:rsidR="00E82FB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nalysis</w:t>
      </w:r>
      <w:r w:rsidRPr="000D5EE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offers a data-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driven</w:t>
      </w:r>
      <w:r w:rsidR="006164E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theoretical</w:t>
      </w:r>
      <w:r w:rsidR="008A2630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contribution</w:t>
      </w:r>
      <w:r w:rsidR="00E82FB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2E0710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call</w:t>
      </w:r>
      <w:r w:rsidR="00E82FB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ing</w:t>
      </w:r>
      <w:r w:rsidR="002E0710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for</w:t>
      </w:r>
      <w:r w:rsidR="00A35C7D" w:rsidRPr="00A35C7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greater attention to the dynamics within the governance of the housing commons, in order to make community control meaningful. </w:t>
      </w:r>
      <w:r w:rsidR="009E7CD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We have extended the existing evidence base, by </w:t>
      </w:r>
      <w:r w:rsidR="00E5798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applying a </w:t>
      </w:r>
      <w:r w:rsidR="009E7CD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configurative comparative analysis</w:t>
      </w:r>
      <w:r w:rsidR="00AF7A28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98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the </w:t>
      </w:r>
      <w:r w:rsidR="0082005B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factors in operation in </w:t>
      </w:r>
      <w:r w:rsidR="00E5798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CLTs</w:t>
      </w:r>
      <w:r w:rsidR="00AF7A28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. In doing so, we</w:t>
      </w:r>
      <w:r w:rsidR="009E7CD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offer a systematic </w:t>
      </w:r>
      <w:r w:rsidR="00AF7A28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advance</w:t>
      </w:r>
      <w:r w:rsidR="009E7CD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in theorizing </w:t>
      </w:r>
      <w:r w:rsidR="009E7CDC" w:rsidRPr="009E7CD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the</w:t>
      </w:r>
      <w:r w:rsidR="006164E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multiple combinations of</w:t>
      </w:r>
      <w:r w:rsidR="009E7CDC" w:rsidRPr="009E7CD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conditions that shape </w:t>
      </w:r>
      <w:r w:rsidR="006164E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self-governance </w:t>
      </w:r>
      <w:r w:rsidR="005A151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of </w:t>
      </w:r>
      <w:r w:rsidR="006164E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the new commons</w:t>
      </w:r>
      <w:r w:rsidR="00AF7A28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A35C7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C7343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Our work offers a substantive</w:t>
      </w:r>
      <w:r w:rsidR="00E5798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and methodological</w:t>
      </w:r>
      <w:r w:rsidRPr="003C7343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step-forward for </w:t>
      </w:r>
      <w:r w:rsidR="00E5798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typologising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resource management institution</w:t>
      </w:r>
      <w:r w:rsidR="00A35C7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E5798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specifically those of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r w:rsidR="00A35C7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new 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kind of </w:t>
      </w:r>
      <w:r w:rsidRPr="003C7343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commons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, that of housing.</w:t>
      </w:r>
      <w:r w:rsidR="00A35C7D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48A277A" w14:textId="77777777" w:rsidR="00420CF8" w:rsidRPr="003E7D18" w:rsidRDefault="00420CF8" w:rsidP="00A35C7D">
      <w:pPr>
        <w:spacing w:after="200" w:line="480" w:lineRule="auto"/>
        <w:jc w:val="both"/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4418842" w14:textId="233DAE2B" w:rsidR="00100710" w:rsidRDefault="009E7CDC" w:rsidP="00225863">
      <w:pPr>
        <w:spacing w:after="200"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Our analysis focused on community land trusts (CLTs), which </w:t>
      </w:r>
      <w:r w:rsidR="00DE3D7C">
        <w:rPr>
          <w:rFonts w:eastAsia="Calibri"/>
        </w:rPr>
        <w:t xml:space="preserve">are </w:t>
      </w:r>
      <w:r w:rsidR="00E5798D">
        <w:rPr>
          <w:rFonts w:eastAsia="Calibri"/>
        </w:rPr>
        <w:t>increasingly used</w:t>
      </w:r>
      <w:r w:rsidR="00DE3D7C">
        <w:rPr>
          <w:rFonts w:eastAsia="Calibri"/>
        </w:rPr>
        <w:t xml:space="preserve"> as</w:t>
      </w:r>
      <w:r>
        <w:rPr>
          <w:rFonts w:eastAsia="Calibri"/>
        </w:rPr>
        <w:t xml:space="preserve"> a </w:t>
      </w:r>
      <w:r w:rsidR="00BE6978">
        <w:rPr>
          <w:rFonts w:eastAsia="Calibri"/>
        </w:rPr>
        <w:t xml:space="preserve">legal and practical mechanism </w:t>
      </w:r>
      <w:r w:rsidR="00E5798D">
        <w:rPr>
          <w:rFonts w:eastAsia="Calibri"/>
        </w:rPr>
        <w:t>to bring housing under community control</w:t>
      </w:r>
      <w:r>
        <w:rPr>
          <w:rFonts w:eastAsia="Calibri"/>
        </w:rPr>
        <w:t xml:space="preserve">. We have shown the </w:t>
      </w:r>
      <w:r w:rsidR="0076553C" w:rsidRPr="003E7D18">
        <w:rPr>
          <w:rFonts w:eastAsia="Calibri"/>
        </w:rPr>
        <w:t xml:space="preserve">rich diversity of CLTs in the dataset. </w:t>
      </w:r>
      <w:r w:rsidR="00100710">
        <w:rPr>
          <w:rFonts w:eastAsia="Calibri"/>
        </w:rPr>
        <w:t>O</w:t>
      </w:r>
      <w:r>
        <w:rPr>
          <w:rFonts w:eastAsia="Calibri"/>
        </w:rPr>
        <w:t>ur understanding of individual cases, systematic comparisons across them, and ite</w:t>
      </w:r>
      <w:r w:rsidR="00100710">
        <w:rPr>
          <w:rFonts w:eastAsia="Calibri"/>
        </w:rPr>
        <w:t>ration with existing theory</w:t>
      </w:r>
      <w:r>
        <w:rPr>
          <w:rFonts w:eastAsia="Calibri"/>
        </w:rPr>
        <w:t xml:space="preserve"> allowed</w:t>
      </w:r>
      <w:r w:rsidR="00C8316F">
        <w:rPr>
          <w:rFonts w:eastAsia="Calibri"/>
        </w:rPr>
        <w:t xml:space="preserve"> us</w:t>
      </w:r>
      <w:r>
        <w:rPr>
          <w:rFonts w:eastAsia="Calibri"/>
        </w:rPr>
        <w:t xml:space="preserve"> combine the logical types produced through CCA to develop a conceptual typology identifying </w:t>
      </w:r>
      <w:r w:rsidR="0076553C" w:rsidRPr="003E7D18">
        <w:rPr>
          <w:rFonts w:eastAsia="Calibri"/>
        </w:rPr>
        <w:t xml:space="preserve">five types of CLTs, </w:t>
      </w:r>
      <w:r w:rsidR="00DE3D7C">
        <w:rPr>
          <w:rFonts w:eastAsia="Calibri"/>
        </w:rPr>
        <w:t xml:space="preserve">with differing alignments to </w:t>
      </w:r>
      <w:r w:rsidR="00E5798D">
        <w:rPr>
          <w:rFonts w:eastAsia="Calibri"/>
        </w:rPr>
        <w:t>community control</w:t>
      </w:r>
      <w:r w:rsidR="00DE3D7C">
        <w:rPr>
          <w:rFonts w:eastAsia="Calibri"/>
        </w:rPr>
        <w:t>. Whilst some CLTs are</w:t>
      </w:r>
      <w:r w:rsidR="0076553C" w:rsidRPr="003E7D18">
        <w:rPr>
          <w:rFonts w:eastAsia="Calibri"/>
        </w:rPr>
        <w:t xml:space="preserve"> a means to sustain and enrich community politics;</w:t>
      </w:r>
      <w:r w:rsidR="0076553C">
        <w:rPr>
          <w:rFonts w:eastAsia="Calibri"/>
        </w:rPr>
        <w:t xml:space="preserve"> conserve community life;</w:t>
      </w:r>
      <w:r w:rsidR="0076553C" w:rsidRPr="003E7D18">
        <w:rPr>
          <w:rFonts w:eastAsia="Calibri"/>
        </w:rPr>
        <w:t xml:space="preserve"> </w:t>
      </w:r>
      <w:r w:rsidR="00DE3D7C">
        <w:rPr>
          <w:rFonts w:eastAsia="Calibri"/>
        </w:rPr>
        <w:t>or</w:t>
      </w:r>
      <w:r w:rsidR="0076553C" w:rsidRPr="003E7D18">
        <w:rPr>
          <w:rFonts w:eastAsia="Calibri"/>
        </w:rPr>
        <w:t xml:space="preserve"> </w:t>
      </w:r>
      <w:r w:rsidR="00DE3D7C">
        <w:rPr>
          <w:rFonts w:eastAsia="Calibri"/>
        </w:rPr>
        <w:t>create</w:t>
      </w:r>
      <w:r w:rsidR="0076553C" w:rsidRPr="003E7D18">
        <w:rPr>
          <w:rFonts w:eastAsia="Calibri"/>
        </w:rPr>
        <w:t xml:space="preserve"> participatory governance</w:t>
      </w:r>
      <w:r w:rsidR="00DE3D7C">
        <w:rPr>
          <w:rFonts w:eastAsia="Calibri"/>
        </w:rPr>
        <w:t xml:space="preserve"> – other</w:t>
      </w:r>
      <w:r w:rsidR="003D052E">
        <w:rPr>
          <w:rFonts w:eastAsia="Calibri"/>
        </w:rPr>
        <w:t>s</w:t>
      </w:r>
      <w:r w:rsidR="00DE3D7C">
        <w:rPr>
          <w:rFonts w:eastAsia="Calibri"/>
        </w:rPr>
        <w:t xml:space="preserve"> focus on housing provision as a means to making a broader contribution to</w:t>
      </w:r>
      <w:r w:rsidR="0076553C" w:rsidRPr="003E7D18">
        <w:rPr>
          <w:rFonts w:eastAsia="Calibri"/>
        </w:rPr>
        <w:t xml:space="preserve"> the social economy; and an asset-lock for social and affordable housing. </w:t>
      </w:r>
    </w:p>
    <w:p w14:paraId="104F6836" w14:textId="77777777" w:rsidR="00420CF8" w:rsidRDefault="00420CF8" w:rsidP="00225863">
      <w:pPr>
        <w:spacing w:after="200" w:line="480" w:lineRule="auto"/>
        <w:ind w:firstLine="720"/>
        <w:jc w:val="both"/>
        <w:rPr>
          <w:rFonts w:eastAsia="Calibri"/>
        </w:rPr>
      </w:pPr>
    </w:p>
    <w:p w14:paraId="5B0E360B" w14:textId="31370522" w:rsidR="0076553C" w:rsidRDefault="00100710" w:rsidP="009E7CD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Our typology </w:t>
      </w:r>
      <w:r w:rsidR="00C0756F">
        <w:rPr>
          <w:rFonts w:ascii="Times New Roman" w:eastAsia="Calibri" w:hAnsi="Times New Roman" w:cs="Times New Roman"/>
          <w:sz w:val="24"/>
          <w:szCs w:val="24"/>
        </w:rPr>
        <w:t xml:space="preserve">shows that </w:t>
      </w:r>
      <w:r w:rsidR="00E82FBE">
        <w:rPr>
          <w:rFonts w:ascii="Times New Roman" w:eastAsia="Calibri" w:hAnsi="Times New Roman" w:cs="Times New Roman"/>
          <w:sz w:val="24"/>
          <w:szCs w:val="24"/>
        </w:rPr>
        <w:t>urban activist (</w:t>
      </w:r>
      <w:r>
        <w:rPr>
          <w:rFonts w:ascii="Times New Roman" w:eastAsia="Calibri" w:hAnsi="Times New Roman" w:cs="Times New Roman"/>
          <w:sz w:val="24"/>
          <w:szCs w:val="24"/>
        </w:rPr>
        <w:t xml:space="preserve">Type 1) 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CLTs </w:t>
      </w:r>
      <w:r w:rsidR="006A1C20">
        <w:rPr>
          <w:rFonts w:ascii="Times New Roman" w:eastAsia="Calibri" w:hAnsi="Times New Roman" w:cs="Times New Roman"/>
          <w:sz w:val="24"/>
          <w:szCs w:val="24"/>
        </w:rPr>
        <w:t xml:space="preserve">are the embodiment of 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radical community 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politics, </w:t>
      </w:r>
      <w:r w:rsidR="006A1C20">
        <w:rPr>
          <w:rFonts w:ascii="Times New Roman" w:eastAsia="Calibri" w:hAnsi="Times New Roman" w:cs="Times New Roman"/>
          <w:sz w:val="24"/>
          <w:szCs w:val="24"/>
        </w:rPr>
        <w:t>an example being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 Cooper Square,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where community control was 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>achiev</w:t>
      </w:r>
      <w:r>
        <w:rPr>
          <w:rFonts w:ascii="Times New Roman" w:eastAsia="Calibri" w:hAnsi="Times New Roman" w:cs="Times New Roman"/>
          <w:sz w:val="24"/>
          <w:szCs w:val="24"/>
        </w:rPr>
        <w:t>ed after</w:t>
      </w:r>
      <w:r w:rsidR="00616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half a century of struggle. </w:t>
      </w:r>
      <w:r w:rsidR="00E82FBE">
        <w:rPr>
          <w:rFonts w:ascii="Times New Roman" w:eastAsia="Calibri" w:hAnsi="Times New Roman" w:cs="Times New Roman"/>
          <w:sz w:val="24"/>
          <w:szCs w:val="24"/>
        </w:rPr>
        <w:t xml:space="preserve">Within the urban activist type, 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Granby 4 Streets and Homebaked in Liverpool </w:t>
      </w:r>
      <w:r>
        <w:rPr>
          <w:rFonts w:ascii="Times New Roman" w:eastAsia="Calibri" w:hAnsi="Times New Roman" w:cs="Times New Roman"/>
          <w:sz w:val="24"/>
          <w:szCs w:val="24"/>
        </w:rPr>
        <w:t>were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 similarly inspiring, but their stories of grassroots activism also include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 external and professionalised support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to realise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 their independence </w:t>
      </w:r>
      <w:r w:rsidR="0076553C">
        <w:rPr>
          <w:rFonts w:ascii="Times New Roman" w:eastAsia="Calibri" w:hAnsi="Times New Roman" w:cs="Times New Roman"/>
          <w:sz w:val="24"/>
          <w:szCs w:val="24"/>
        </w:rPr>
        <w:t>and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 propensity for community control. Other </w:t>
      </w:r>
      <w:r w:rsidR="0076553C">
        <w:rPr>
          <w:rFonts w:ascii="Times New Roman" w:eastAsia="Calibri" w:hAnsi="Times New Roman" w:cs="Times New Roman"/>
          <w:sz w:val="24"/>
          <w:szCs w:val="24"/>
        </w:rPr>
        <w:t>types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>, such 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FBE" w:rsidRPr="006164EE">
        <w:rPr>
          <w:rFonts w:ascii="Times New Roman" w:eastAsia="Calibri" w:hAnsi="Times New Roman" w:cs="Times New Roman"/>
          <w:sz w:val="24"/>
          <w:szCs w:val="24"/>
        </w:rPr>
        <w:t>hyper-local rural</w:t>
      </w:r>
      <w:r w:rsidR="00E82FB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Type </w:t>
      </w:r>
      <w:r w:rsidRPr="00100710">
        <w:rPr>
          <w:rFonts w:ascii="Times New Roman" w:eastAsia="Calibri" w:hAnsi="Times New Roman" w:cs="Times New Roman"/>
          <w:sz w:val="24"/>
          <w:szCs w:val="24"/>
        </w:rPr>
        <w:t>2</w:t>
      </w:r>
      <w:r w:rsidRPr="006164EE">
        <w:rPr>
          <w:rFonts w:ascii="Times New Roman" w:eastAsia="Calibri" w:hAnsi="Times New Roman" w:cs="Times New Roman"/>
          <w:sz w:val="24"/>
          <w:szCs w:val="24"/>
        </w:rPr>
        <w:t>)</w:t>
      </w:r>
      <w:r w:rsidR="0076553C" w:rsidRPr="006164EE">
        <w:rPr>
          <w:rFonts w:ascii="Times New Roman" w:eastAsia="Calibri" w:hAnsi="Times New Roman" w:cs="Times New Roman"/>
          <w:sz w:val="24"/>
          <w:szCs w:val="24"/>
        </w:rPr>
        <w:t xml:space="preserve"> CLTs</w:t>
      </w:r>
      <w:r w:rsidR="0076553C" w:rsidRPr="00100710">
        <w:rPr>
          <w:rFonts w:ascii="Times New Roman" w:eastAsia="Calibri" w:hAnsi="Times New Roman" w:cs="Times New Roman"/>
          <w:sz w:val="24"/>
          <w:szCs w:val="24"/>
        </w:rPr>
        <w:t>,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>embodied the sense of service and commitment to a specific place-based community</w:t>
      </w:r>
      <w:r>
        <w:rPr>
          <w:rFonts w:ascii="Times New Roman" w:eastAsia="Calibri" w:hAnsi="Times New Roman" w:cs="Times New Roman"/>
          <w:sz w:val="24"/>
          <w:szCs w:val="24"/>
        </w:rPr>
        <w:t>, and demonstrated that CLTs could be founded without the involvement of wider civil society, and where community engagement could be developed over the longer-term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>.</w:t>
      </w:r>
      <w:r w:rsidR="007655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But t</w:t>
      </w:r>
      <w:r w:rsidR="0076553C" w:rsidRPr="003E7D18">
        <w:rPr>
          <w:rFonts w:ascii="Times New Roman" w:eastAsia="Calibri" w:hAnsi="Times New Roman" w:cs="Times New Roman"/>
          <w:sz w:val="24"/>
          <w:szCs w:val="24"/>
        </w:rPr>
        <w:t xml:space="preserve">here were also </w:t>
      </w:r>
      <w:r w:rsidR="0076553C" w:rsidRPr="00100710">
        <w:rPr>
          <w:rFonts w:ascii="Times New Roman" w:eastAsia="Calibri" w:hAnsi="Times New Roman" w:cs="Times New Roman"/>
          <w:sz w:val="24"/>
          <w:szCs w:val="24"/>
        </w:rPr>
        <w:t xml:space="preserve">different ways of using the CLT model – </w:t>
      </w:r>
      <w:r w:rsidRPr="00100710">
        <w:rPr>
          <w:rFonts w:ascii="Times New Roman" w:eastAsia="Calibri" w:hAnsi="Times New Roman" w:cs="Times New Roman"/>
          <w:sz w:val="24"/>
          <w:szCs w:val="24"/>
        </w:rPr>
        <w:t xml:space="preserve">such as </w:t>
      </w:r>
      <w:r w:rsidR="00E82FBE" w:rsidRPr="006164EE">
        <w:rPr>
          <w:rFonts w:ascii="Times New Roman" w:eastAsia="Calibri" w:hAnsi="Times New Roman" w:cs="Times New Roman"/>
          <w:sz w:val="24"/>
          <w:szCs w:val="24"/>
        </w:rPr>
        <w:t>social enterprise</w:t>
      </w:r>
      <w:r w:rsidR="00E82FBE" w:rsidRPr="00E82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0710">
        <w:rPr>
          <w:rFonts w:ascii="Times New Roman" w:eastAsia="Calibri" w:hAnsi="Times New Roman" w:cs="Times New Roman"/>
          <w:sz w:val="24"/>
          <w:szCs w:val="24"/>
        </w:rPr>
        <w:t>(</w:t>
      </w:r>
      <w:r w:rsidR="00E82FBE" w:rsidRPr="00100710">
        <w:rPr>
          <w:rFonts w:ascii="Times New Roman" w:eastAsia="Calibri" w:hAnsi="Times New Roman" w:cs="Times New Roman"/>
          <w:sz w:val="24"/>
          <w:szCs w:val="24"/>
        </w:rPr>
        <w:t>Type 4</w:t>
      </w:r>
      <w:r w:rsidRPr="006164EE">
        <w:rPr>
          <w:rFonts w:ascii="Times New Roman" w:eastAsia="Calibri" w:hAnsi="Times New Roman" w:cs="Times New Roman"/>
          <w:sz w:val="24"/>
          <w:szCs w:val="24"/>
        </w:rPr>
        <w:t>)</w:t>
      </w:r>
      <w:r w:rsidR="0076553C" w:rsidRPr="00100710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E82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FBE" w:rsidRPr="006164EE">
        <w:rPr>
          <w:rFonts w:ascii="Times New Roman" w:eastAsia="Calibri" w:hAnsi="Times New Roman" w:cs="Times New Roman"/>
          <w:sz w:val="24"/>
          <w:szCs w:val="24"/>
        </w:rPr>
        <w:t>asset-lock CLTs</w:t>
      </w:r>
      <w:r w:rsidRPr="0010071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82FBE" w:rsidRPr="00100710">
        <w:rPr>
          <w:rFonts w:ascii="Times New Roman" w:eastAsia="Calibri" w:hAnsi="Times New Roman" w:cs="Times New Roman"/>
          <w:sz w:val="24"/>
          <w:szCs w:val="24"/>
        </w:rPr>
        <w:t>Type 5</w:t>
      </w:r>
      <w:r w:rsidRPr="006164EE">
        <w:rPr>
          <w:rFonts w:ascii="Times New Roman" w:eastAsia="Calibri" w:hAnsi="Times New Roman" w:cs="Times New Roman"/>
          <w:sz w:val="24"/>
          <w:szCs w:val="24"/>
        </w:rPr>
        <w:t>)</w:t>
      </w:r>
      <w:r w:rsidR="0076553C" w:rsidRPr="00100710">
        <w:rPr>
          <w:rFonts w:ascii="Times New Roman" w:eastAsia="Calibri" w:hAnsi="Times New Roman" w:cs="Times New Roman"/>
          <w:sz w:val="24"/>
          <w:szCs w:val="24"/>
        </w:rPr>
        <w:t xml:space="preserve"> - which had a social purpose, but were </w:t>
      </w:r>
      <w:r>
        <w:rPr>
          <w:rFonts w:ascii="Times New Roman" w:eastAsia="Calibri" w:hAnsi="Times New Roman" w:cs="Times New Roman"/>
          <w:sz w:val="24"/>
          <w:szCs w:val="24"/>
        </w:rPr>
        <w:t>not</w:t>
      </w:r>
      <w:r w:rsidR="0076553C" w:rsidRPr="00100710">
        <w:rPr>
          <w:rFonts w:ascii="Times New Roman" w:eastAsia="Calibri" w:hAnsi="Times New Roman" w:cs="Times New Roman"/>
          <w:sz w:val="24"/>
          <w:szCs w:val="24"/>
        </w:rPr>
        <w:t xml:space="preserve"> rooted in community politics. This complex yet parsimonious typology can be used as the basis for further explanatory and causal work.</w:t>
      </w:r>
    </w:p>
    <w:p w14:paraId="26CCB70E" w14:textId="77777777" w:rsidR="00420CF8" w:rsidRDefault="00420CF8" w:rsidP="009E7CDC">
      <w:pPr>
        <w:pStyle w:val="Body"/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6CE35" w14:textId="463975EE" w:rsidR="00420CF8" w:rsidRDefault="00E61A21" w:rsidP="00914993">
      <w:pPr>
        <w:pStyle w:val="Body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863">
        <w:rPr>
          <w:rFonts w:ascii="Times New Roman" w:eastAsia="Calibri" w:hAnsi="Times New Roman" w:cs="Times New Roman"/>
          <w:sz w:val="24"/>
          <w:szCs w:val="24"/>
        </w:rPr>
        <w:t>Our findings reveal some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challenges involved</w:t>
      </w:r>
      <w:r w:rsidRPr="002258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r w:rsidRPr="00225863">
        <w:rPr>
          <w:rFonts w:ascii="Times New Roman" w:eastAsia="Calibri" w:hAnsi="Times New Roman" w:cs="Times New Roman"/>
          <w:sz w:val="24"/>
          <w:szCs w:val="24"/>
        </w:rPr>
        <w:t xml:space="preserve"> initiating and sustaining </w:t>
      </w:r>
      <w:r w:rsidR="00A35C7D">
        <w:rPr>
          <w:rFonts w:ascii="Times New Roman" w:eastAsia="Calibri" w:hAnsi="Times New Roman" w:cs="Times New Roman"/>
          <w:sz w:val="24"/>
          <w:szCs w:val="24"/>
        </w:rPr>
        <w:t xml:space="preserve">governance </w:t>
      </w:r>
      <w:r w:rsidR="005A151E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>
        <w:rPr>
          <w:rFonts w:ascii="Times New Roman" w:eastAsia="Calibri" w:hAnsi="Times New Roman" w:cs="Times New Roman"/>
          <w:sz w:val="24"/>
          <w:szCs w:val="24"/>
        </w:rPr>
        <w:t>the housing commons</w:t>
      </w:r>
      <w:r w:rsidRPr="00225863">
        <w:rPr>
          <w:rFonts w:ascii="Times New Roman" w:eastAsia="Calibri" w:hAnsi="Times New Roman" w:cs="Times New Roman"/>
          <w:sz w:val="24"/>
          <w:szCs w:val="24"/>
        </w:rPr>
        <w:t xml:space="preserve">. It seems clear that whilst </w:t>
      </w:r>
      <w:r w:rsidR="003A5726">
        <w:rPr>
          <w:rFonts w:ascii="Times New Roman" w:eastAsia="Calibri" w:hAnsi="Times New Roman" w:cs="Times New Roman"/>
          <w:sz w:val="24"/>
          <w:szCs w:val="24"/>
        </w:rPr>
        <w:t>s</w:t>
      </w:r>
      <w:r w:rsidR="00A35C7D">
        <w:rPr>
          <w:rFonts w:ascii="Times New Roman" w:eastAsia="Calibri" w:hAnsi="Times New Roman" w:cs="Times New Roman"/>
          <w:sz w:val="24"/>
          <w:szCs w:val="24"/>
        </w:rPr>
        <w:t>elf-gov</w:t>
      </w:r>
      <w:r w:rsidR="00FF4364">
        <w:rPr>
          <w:rFonts w:ascii="Times New Roman" w:eastAsia="Calibri" w:hAnsi="Times New Roman" w:cs="Times New Roman"/>
          <w:sz w:val="24"/>
          <w:szCs w:val="24"/>
        </w:rPr>
        <w:t>e</w:t>
      </w:r>
      <w:r w:rsidR="00A35C7D">
        <w:rPr>
          <w:rFonts w:ascii="Times New Roman" w:eastAsia="Calibri" w:hAnsi="Times New Roman" w:cs="Times New Roman"/>
          <w:sz w:val="24"/>
          <w:szCs w:val="24"/>
        </w:rPr>
        <w:t xml:space="preserve">rnance and </w:t>
      </w:r>
      <w:r w:rsidRPr="00225863">
        <w:rPr>
          <w:rFonts w:ascii="Times New Roman" w:eastAsia="Calibri" w:hAnsi="Times New Roman" w:cs="Times New Roman"/>
          <w:sz w:val="24"/>
          <w:szCs w:val="24"/>
        </w:rPr>
        <w:t>community control remained a primary concern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55C6">
        <w:rPr>
          <w:rFonts w:ascii="Times New Roman" w:eastAsia="Calibri" w:hAnsi="Times New Roman" w:cs="Times New Roman"/>
          <w:sz w:val="24"/>
          <w:szCs w:val="24"/>
        </w:rPr>
        <w:t>for many CLTs</w:t>
      </w:r>
      <w:r w:rsidRPr="00342294">
        <w:rPr>
          <w:rFonts w:ascii="Times New Roman" w:eastAsia="Calibri" w:hAnsi="Times New Roman" w:cs="Times New Roman"/>
          <w:sz w:val="24"/>
          <w:szCs w:val="24"/>
        </w:rPr>
        <w:t xml:space="preserve">, it was not the only issue determining the wider social value of CLTs. </w:t>
      </w:r>
      <w:r w:rsidR="00914993">
        <w:rPr>
          <w:rFonts w:ascii="Times New Roman" w:eastAsia="Calibri" w:hAnsi="Times New Roman" w:cs="Times New Roman"/>
          <w:sz w:val="24"/>
          <w:szCs w:val="24"/>
        </w:rPr>
        <w:t>More broadly, by understanding this differentiation, we</w:t>
      </w:r>
      <w:r w:rsidR="001346A6" w:rsidRPr="00AF55C6">
        <w:rPr>
          <w:rFonts w:ascii="Times New Roman" w:hAnsi="Times New Roman" w:cs="Times New Roman"/>
          <w:sz w:val="24"/>
          <w:szCs w:val="24"/>
        </w:rPr>
        <w:t xml:space="preserve"> challenged the assumption that</w:t>
      </w:r>
      <w:r w:rsidR="008F3599">
        <w:rPr>
          <w:rFonts w:ascii="Times New Roman" w:hAnsi="Times New Roman" w:cs="Times New Roman"/>
          <w:sz w:val="24"/>
          <w:szCs w:val="24"/>
        </w:rPr>
        <w:t xml:space="preserve"> design principles or</w:t>
      </w:r>
      <w:r w:rsidR="00914993">
        <w:rPr>
          <w:rFonts w:ascii="Times New Roman" w:hAnsi="Times New Roman" w:cs="Times New Roman"/>
          <w:sz w:val="24"/>
          <w:szCs w:val="24"/>
        </w:rPr>
        <w:t xml:space="preserve"> governance mechanisms </w:t>
      </w:r>
      <w:r w:rsidR="008F3599">
        <w:rPr>
          <w:rFonts w:ascii="Times New Roman" w:hAnsi="Times New Roman" w:cs="Times New Roman"/>
          <w:sz w:val="24"/>
          <w:szCs w:val="24"/>
        </w:rPr>
        <w:t xml:space="preserve">are sufficient for or </w:t>
      </w:r>
      <w:r w:rsidR="00914993">
        <w:rPr>
          <w:rFonts w:ascii="Times New Roman" w:hAnsi="Times New Roman" w:cs="Times New Roman"/>
          <w:sz w:val="24"/>
          <w:szCs w:val="24"/>
        </w:rPr>
        <w:t>inherent</w:t>
      </w:r>
      <w:r w:rsidR="008F3599">
        <w:rPr>
          <w:rFonts w:ascii="Times New Roman" w:hAnsi="Times New Roman" w:cs="Times New Roman"/>
          <w:sz w:val="24"/>
          <w:szCs w:val="24"/>
        </w:rPr>
        <w:t>ly offer a</w:t>
      </w:r>
      <w:r w:rsidR="00CD7604">
        <w:rPr>
          <w:rFonts w:ascii="Times New Roman" w:hAnsi="Times New Roman" w:cs="Times New Roman"/>
          <w:sz w:val="24"/>
          <w:szCs w:val="24"/>
        </w:rPr>
        <w:t xml:space="preserve"> </w:t>
      </w:r>
      <w:r w:rsidR="00AF55C6">
        <w:rPr>
          <w:rFonts w:ascii="Times New Roman" w:hAnsi="Times New Roman" w:cs="Times New Roman"/>
          <w:sz w:val="24"/>
          <w:szCs w:val="24"/>
        </w:rPr>
        <w:t>singly</w:t>
      </w:r>
      <w:r w:rsidR="00C0756F" w:rsidRPr="00AF55C6">
        <w:rPr>
          <w:rFonts w:ascii="Times New Roman" w:hAnsi="Times New Roman" w:cs="Times New Roman"/>
          <w:sz w:val="24"/>
          <w:szCs w:val="24"/>
        </w:rPr>
        <w:t xml:space="preserve"> clear</w:t>
      </w:r>
      <w:r w:rsidR="001346A6" w:rsidRPr="00AF55C6">
        <w:rPr>
          <w:rFonts w:ascii="Times New Roman" w:hAnsi="Times New Roman" w:cs="Times New Roman"/>
          <w:sz w:val="24"/>
          <w:szCs w:val="24"/>
        </w:rPr>
        <w:t xml:space="preserve"> route to community control</w:t>
      </w:r>
      <w:r w:rsidR="00914993">
        <w:rPr>
          <w:rFonts w:ascii="Times New Roman" w:hAnsi="Times New Roman" w:cs="Times New Roman"/>
          <w:sz w:val="24"/>
          <w:szCs w:val="24"/>
        </w:rPr>
        <w:t xml:space="preserve">, </w:t>
      </w:r>
      <w:r w:rsidR="00044ABA">
        <w:rPr>
          <w:rFonts w:ascii="Times New Roman" w:hAnsi="Times New Roman" w:cs="Times New Roman"/>
          <w:sz w:val="24"/>
          <w:szCs w:val="24"/>
        </w:rPr>
        <w:t>but instead that</w:t>
      </w:r>
      <w:r w:rsidR="00CD7604">
        <w:rPr>
          <w:rFonts w:ascii="Times New Roman" w:hAnsi="Times New Roman" w:cs="Times New Roman"/>
          <w:sz w:val="24"/>
          <w:szCs w:val="24"/>
        </w:rPr>
        <w:t xml:space="preserve"> </w:t>
      </w:r>
      <w:r w:rsidR="008F3599">
        <w:rPr>
          <w:rFonts w:ascii="Times New Roman" w:hAnsi="Times New Roman" w:cs="Times New Roman"/>
          <w:sz w:val="24"/>
          <w:szCs w:val="24"/>
        </w:rPr>
        <w:t>c</w:t>
      </w:r>
      <w:r w:rsidR="00AF7A28" w:rsidRPr="00AF55C6">
        <w:rPr>
          <w:rFonts w:ascii="Times New Roman" w:hAnsi="Times New Roman" w:cs="Times New Roman"/>
          <w:sz w:val="24"/>
          <w:szCs w:val="24"/>
        </w:rPr>
        <w:t>ommunity control is achieved through different pathways</w:t>
      </w:r>
      <w:r w:rsidR="00044ABA">
        <w:rPr>
          <w:rFonts w:ascii="Times New Roman" w:hAnsi="Times New Roman" w:cs="Times New Roman"/>
          <w:sz w:val="24"/>
          <w:szCs w:val="24"/>
        </w:rPr>
        <w:t xml:space="preserve"> informed by </w:t>
      </w:r>
      <w:r w:rsidR="00E82FBE">
        <w:rPr>
          <w:rFonts w:ascii="Times New Roman" w:hAnsi="Times New Roman" w:cs="Times New Roman"/>
          <w:sz w:val="24"/>
          <w:szCs w:val="24"/>
        </w:rPr>
        <w:t xml:space="preserve">multiple sets of dynamics </w:t>
      </w:r>
      <w:r w:rsidR="00044ABA">
        <w:rPr>
          <w:rFonts w:ascii="Times New Roman" w:hAnsi="Times New Roman" w:cs="Times New Roman"/>
          <w:sz w:val="24"/>
          <w:szCs w:val="24"/>
        </w:rPr>
        <w:t>between different aspects of governance</w:t>
      </w:r>
      <w:r w:rsidR="00B13FDD">
        <w:rPr>
          <w:rFonts w:ascii="Times New Roman" w:hAnsi="Times New Roman" w:cs="Times New Roman"/>
          <w:sz w:val="24"/>
          <w:szCs w:val="24"/>
        </w:rPr>
        <w:t>,</w:t>
      </w:r>
      <w:r w:rsidR="008F3599">
        <w:rPr>
          <w:rFonts w:ascii="Times New Roman" w:hAnsi="Times New Roman" w:cs="Times New Roman"/>
          <w:sz w:val="24"/>
          <w:szCs w:val="24"/>
        </w:rPr>
        <w:t xml:space="preserve"> as</w:t>
      </w:r>
      <w:r w:rsidR="00B13FDD">
        <w:rPr>
          <w:rFonts w:ascii="Times New Roman" w:hAnsi="Times New Roman" w:cs="Times New Roman"/>
          <w:sz w:val="24"/>
          <w:szCs w:val="24"/>
        </w:rPr>
        <w:t xml:space="preserve"> usefully illuminated by</w:t>
      </w:r>
      <w:r w:rsidR="00AF7A28" w:rsidRPr="00AF55C6">
        <w:rPr>
          <w:rFonts w:ascii="Times New Roman" w:hAnsi="Times New Roman" w:cs="Times New Roman"/>
          <w:sz w:val="24"/>
          <w:szCs w:val="24"/>
        </w:rPr>
        <w:t xml:space="preserve"> </w:t>
      </w:r>
      <w:r w:rsidR="003D052E">
        <w:rPr>
          <w:rFonts w:ascii="Times New Roman" w:hAnsi="Times New Roman" w:cs="Times New Roman"/>
          <w:sz w:val="24"/>
          <w:szCs w:val="24"/>
        </w:rPr>
        <w:t>CCA</w:t>
      </w:r>
      <w:r w:rsidR="008F3599">
        <w:rPr>
          <w:rFonts w:ascii="Times New Roman" w:hAnsi="Times New Roman" w:cs="Times New Roman"/>
          <w:sz w:val="24"/>
          <w:szCs w:val="24"/>
        </w:rPr>
        <w:t>.</w:t>
      </w:r>
    </w:p>
    <w:p w14:paraId="224C2190" w14:textId="4EE8E35A" w:rsidR="00AF7A28" w:rsidRPr="00035537" w:rsidRDefault="008F3599" w:rsidP="00914993">
      <w:pPr>
        <w:pStyle w:val="Body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ED5E0" w14:textId="5EDB0808" w:rsidR="00E61A21" w:rsidRDefault="0076553C" w:rsidP="0076553C">
      <w:pPr>
        <w:spacing w:after="200" w:line="480" w:lineRule="auto"/>
        <w:ind w:firstLine="720"/>
        <w:jc w:val="both"/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As in other fields that focus on social or political transformation,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there is often 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long 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inception stage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when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scholars and activists develop research-based advocacy narratives that celebrate or illustrate potential. This is understandable,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create space for new possibilities and attract attention to developments that the mainstream of a particular discipline may have crowded out. </w:t>
      </w:r>
      <w:r w:rsidR="00DE3D7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Such normative orientations </w:t>
      </w:r>
      <w:r w:rsidR="00EA6DE5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whilst vital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risks 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creat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ing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 bias towards successful, exemplary, and inspirational cases.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Our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study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0710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illuminates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value of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systematic 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comparative analysis to refine the </w:t>
      </w:r>
      <w:r w:rsidR="00EA6DE5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understanding </w:t>
      </w:r>
      <w:r w:rsidRPr="0082384C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of community control. </w:t>
      </w:r>
    </w:p>
    <w:p w14:paraId="13CFF20D" w14:textId="77777777" w:rsidR="00420CF8" w:rsidRDefault="00420CF8" w:rsidP="0076553C">
      <w:pPr>
        <w:spacing w:after="200" w:line="480" w:lineRule="auto"/>
        <w:ind w:firstLine="720"/>
        <w:jc w:val="both"/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7DE3922" w14:textId="2B58920E" w:rsidR="003447C5" w:rsidRDefault="00E61A21" w:rsidP="003447C5">
      <w:pPr>
        <w:spacing w:after="200" w:line="480" w:lineRule="auto"/>
        <w:ind w:firstLine="720"/>
        <w:jc w:val="both"/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Our findings advance a research agenda on community control within the governance of the commons. Further primary research would help to refine our conditions for community control and allow for advanced CCA - such as fuzzy-set Qualitative Comparative Analysis, and process tracing - to understand the causal mechanisms of community control. Such research would also allow further </w:t>
      </w:r>
      <w:r w:rsidR="002E0710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investigation of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unexpected findings within our data, such as differences</w:t>
      </w:r>
      <w:r w:rsidR="00AF55C6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that may not have been apparent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between CLTs in logical types, and </w:t>
      </w:r>
      <w:r w:rsidR="002E0710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explore 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how conditions may be productively combined</w:t>
      </w:r>
      <w:r w:rsidR="00AF55C6"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,</w:t>
      </w: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or which are mutually constitutive. 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Our analysis </w:t>
      </w:r>
      <w:r w:rsidR="0076553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provides the groundwork for </w:t>
      </w:r>
      <w:r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such </w:t>
      </w:r>
      <w:r w:rsidR="0076553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further</w:t>
      </w:r>
      <w:r w:rsidR="0076553C" w:rsidRPr="0082384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critical </w:t>
      </w:r>
      <w:r w:rsidR="0076553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assessment</w:t>
      </w:r>
      <w:r w:rsidR="0076553C" w:rsidRPr="0082384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6553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of</w:t>
      </w:r>
      <w:r w:rsidR="0076553C" w:rsidRPr="0082384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how far </w:t>
      </w:r>
      <w:r w:rsidR="0076553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democratic innovations for community control, </w:t>
      </w:r>
      <w:r w:rsidR="0076553C" w:rsidRPr="0082384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embody an expansion of </w:t>
      </w:r>
      <w:r w:rsidR="005A151E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commoning </w:t>
      </w:r>
      <w:r w:rsidR="0076553C" w:rsidRPr="0082384C">
        <w:rPr>
          <w:rFonts w:eastAsia="Calibri"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in spirit as well as practice. </w:t>
      </w:r>
    </w:p>
    <w:p w14:paraId="108D80B0" w14:textId="295A86A8" w:rsidR="0076553C" w:rsidRPr="003447C5" w:rsidRDefault="003447C5" w:rsidP="003447C5">
      <w:pP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/>
          <w:bCs/>
          <w:color w:val="000000"/>
          <w:u w:color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br w:type="page"/>
      </w:r>
      <w:r w:rsidR="005504A7" w:rsidRPr="005504A7">
        <w:rPr>
          <w:b/>
        </w:rPr>
        <w:t>REFERENCES</w:t>
      </w:r>
    </w:p>
    <w:p w14:paraId="616810DA" w14:textId="77777777" w:rsidR="003447C5" w:rsidRDefault="003447C5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E9584" w14:textId="473BEFB7" w:rsidR="0076553C" w:rsidRPr="005504A7" w:rsidRDefault="00F41A07" w:rsidP="00145F20">
      <w:pPr>
        <w:pStyle w:val="Body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04A7">
        <w:rPr>
          <w:rFonts w:ascii="Times New Roman" w:hAnsi="Times New Roman" w:cs="Times New Roman"/>
          <w:sz w:val="24"/>
          <w:szCs w:val="24"/>
        </w:rPr>
        <w:t xml:space="preserve">Aernouts, N. &amp; </w:t>
      </w:r>
      <w:r w:rsidRPr="005504A7">
        <w:rPr>
          <w:rFonts w:ascii="Times New Roman" w:hAnsi="Times New Roman" w:cs="Times New Roman"/>
          <w:color w:val="auto"/>
          <w:sz w:val="24"/>
          <w:szCs w:val="24"/>
        </w:rPr>
        <w:t xml:space="preserve">Ryckewaert, M. (2019) </w:t>
      </w:r>
      <w:r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Reproducing housing commons</w:t>
      </w:r>
      <w:r w:rsidR="0076553C"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. </w:t>
      </w:r>
      <w:r w:rsidR="0076553C" w:rsidRPr="005504A7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bdr w:val="none" w:sz="0" w:space="0" w:color="auto"/>
        </w:rPr>
        <w:t>Housing Studies</w:t>
      </w:r>
      <w:r w:rsidRPr="005504A7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bdr w:val="none" w:sz="0" w:space="0" w:color="auto"/>
        </w:rPr>
        <w:t>,</w:t>
      </w:r>
      <w:r w:rsidR="0076553C"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 </w:t>
      </w:r>
      <w:r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34(</w:t>
      </w:r>
      <w:r w:rsidR="0076553C"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1</w:t>
      </w:r>
      <w:r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)</w:t>
      </w:r>
      <w:r w:rsidR="0076553C"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: 92-110.</w:t>
      </w:r>
      <w:r w:rsidR="0076553C" w:rsidRPr="005504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F1E5E2F" w14:textId="410B1651" w:rsidR="0076553C" w:rsidRPr="003447C5" w:rsidRDefault="009179AC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Aernouts, N. &amp; R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yckewaert</w:t>
      </w:r>
      <w:r>
        <w:rPr>
          <w:rFonts w:ascii="Times New Roman" w:eastAsia="Calibri" w:hAnsi="Times New Roman" w:cs="Times New Roman"/>
          <w:sz w:val="24"/>
          <w:szCs w:val="24"/>
        </w:rPr>
        <w:t>, M.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 (2018) Beyond housing. </w:t>
      </w:r>
      <w:r w:rsidR="0076553C" w:rsidRPr="005504A7">
        <w:rPr>
          <w:rFonts w:ascii="Times New Roman" w:eastAsia="Calibri" w:hAnsi="Times New Roman" w:cs="Times New Roman"/>
          <w:i/>
          <w:sz w:val="24"/>
          <w:szCs w:val="24"/>
        </w:rPr>
        <w:t>International Journal of Housing Policy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, 18 (4): 503-521.</w:t>
      </w:r>
    </w:p>
    <w:p w14:paraId="7F74591E" w14:textId="1A08424C" w:rsidR="004044AB" w:rsidRPr="00866519" w:rsidRDefault="004044AB" w:rsidP="004044AB">
      <w:pPr>
        <w:spacing w:line="480" w:lineRule="auto"/>
        <w:ind w:left="720" w:hanging="720"/>
        <w:jc w:val="both"/>
        <w:rPr>
          <w:noProof/>
          <w:lang w:val="en-US"/>
        </w:rPr>
      </w:pPr>
      <w:r>
        <w:rPr>
          <w:noProof/>
          <w:lang w:val="en-US"/>
        </w:rPr>
        <w:t>Angotti, T</w:t>
      </w:r>
      <w:r w:rsidRPr="00866519">
        <w:rPr>
          <w:noProof/>
          <w:lang w:val="en-US"/>
        </w:rPr>
        <w:t>.</w:t>
      </w:r>
      <w:r>
        <w:rPr>
          <w:noProof/>
          <w:lang w:val="en-US"/>
        </w:rPr>
        <w:t xml:space="preserve"> (2011).</w:t>
      </w:r>
      <w:r w:rsidRPr="00866519">
        <w:rPr>
          <w:noProof/>
          <w:lang w:val="en-US"/>
        </w:rPr>
        <w:t xml:space="preserve"> </w:t>
      </w:r>
      <w:r w:rsidRPr="00866519">
        <w:rPr>
          <w:i/>
          <w:iCs/>
          <w:noProof/>
          <w:lang w:val="en-US"/>
        </w:rPr>
        <w:t>New York for Sale</w:t>
      </w:r>
      <w:r>
        <w:rPr>
          <w:noProof/>
          <w:lang w:val="en-US"/>
        </w:rPr>
        <w:t xml:space="preserve">. </w:t>
      </w:r>
      <w:r w:rsidRPr="00866519">
        <w:rPr>
          <w:noProof/>
          <w:lang w:val="en-US"/>
        </w:rPr>
        <w:t>MIT Press.</w:t>
      </w:r>
    </w:p>
    <w:p w14:paraId="04D299B4" w14:textId="7045F486" w:rsidR="00EE083E" w:rsidRDefault="00EE083E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Author. (2018).</w:t>
      </w:r>
    </w:p>
    <w:p w14:paraId="0676F635" w14:textId="6AB01503" w:rsidR="00EE083E" w:rsidRDefault="00EE083E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Author. (2016)</w:t>
      </w:r>
    </w:p>
    <w:p w14:paraId="0071AF59" w14:textId="6D76E240" w:rsidR="0076553C" w:rsidRPr="00F06EFC" w:rsidRDefault="000A27D2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Baiocchi, G. &amp;</w:t>
      </w:r>
      <w:r w:rsidR="0076553C" w:rsidRPr="005504A7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Ganuza, E. (2017) </w:t>
      </w:r>
      <w:r w:rsidR="0076553C" w:rsidRPr="005504A7">
        <w:rPr>
          <w:rFonts w:ascii="Times New Roman" w:eastAsia="Calibri" w:hAnsi="Times New Roman" w:cs="Times New Roman"/>
          <w:i/>
          <w:iCs/>
          <w:sz w:val="24"/>
          <w:szCs w:val="24"/>
        </w:rPr>
        <w:t>Popular democracy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. Stanford </w:t>
      </w:r>
      <w:r w:rsidR="0076553C" w:rsidRPr="00F06EFC">
        <w:rPr>
          <w:rFonts w:ascii="Times New Roman" w:eastAsia="Calibri" w:hAnsi="Times New Roman" w:cs="Times New Roman"/>
          <w:sz w:val="24"/>
          <w:szCs w:val="24"/>
        </w:rPr>
        <w:t>University Press</w:t>
      </w:r>
      <w:r w:rsidRPr="00F06EF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52EC51" w14:textId="27B1FB1E" w:rsidR="00F06EFC" w:rsidRDefault="00F06EFC" w:rsidP="00145F20">
      <w:pPr>
        <w:pStyle w:val="Comment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863">
        <w:rPr>
          <w:rFonts w:ascii="Times New Roman" w:hAnsi="Times New Roman" w:cs="Times New Roman"/>
          <w:sz w:val="24"/>
          <w:szCs w:val="24"/>
        </w:rPr>
        <w:t>Barnett, A. J., Partelow, S., Frey, U., García-Lozano, A., del Mar Mancha-Cisneros, M., Oberlack, C.</w:t>
      </w:r>
      <w:r w:rsidR="00F316D2">
        <w:rPr>
          <w:rFonts w:ascii="Times New Roman" w:hAnsi="Times New Roman" w:cs="Times New Roman"/>
          <w:sz w:val="24"/>
          <w:szCs w:val="24"/>
        </w:rPr>
        <w:t xml:space="preserve"> </w:t>
      </w:r>
      <w:r w:rsidR="00733507">
        <w:rPr>
          <w:rFonts w:ascii="Times New Roman" w:hAnsi="Times New Roman" w:cs="Times New Roman"/>
          <w:sz w:val="24"/>
          <w:szCs w:val="24"/>
        </w:rPr>
        <w:t>&amp;</w:t>
      </w:r>
      <w:r w:rsidRPr="00225863">
        <w:rPr>
          <w:rFonts w:ascii="Times New Roman" w:hAnsi="Times New Roman" w:cs="Times New Roman"/>
          <w:sz w:val="24"/>
          <w:szCs w:val="24"/>
        </w:rPr>
        <w:t>W</w:t>
      </w:r>
      <w:r w:rsidRPr="00F06EFC">
        <w:rPr>
          <w:rFonts w:ascii="Times New Roman" w:hAnsi="Times New Roman" w:cs="Times New Roman"/>
          <w:sz w:val="24"/>
          <w:szCs w:val="24"/>
        </w:rPr>
        <w:t xml:space="preserve">hitney, C. K. (2020). Defining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06EFC">
        <w:rPr>
          <w:rFonts w:ascii="Times New Roman" w:hAnsi="Times New Roman" w:cs="Times New Roman"/>
          <w:sz w:val="24"/>
          <w:szCs w:val="24"/>
        </w:rPr>
        <w:t xml:space="preserve">uccess in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06EFC">
        <w:rPr>
          <w:rFonts w:ascii="Times New Roman" w:hAnsi="Times New Roman" w:cs="Times New Roman"/>
          <w:sz w:val="24"/>
          <w:szCs w:val="24"/>
        </w:rPr>
        <w:t>ommons</w:t>
      </w:r>
      <w:r w:rsidRPr="00225863">
        <w:rPr>
          <w:rFonts w:ascii="Times New Roman" w:hAnsi="Times New Roman" w:cs="Times New Roman"/>
          <w:sz w:val="24"/>
          <w:szCs w:val="24"/>
        </w:rPr>
        <w:t xml:space="preserve">. </w:t>
      </w:r>
      <w:r w:rsidRPr="00225863">
        <w:rPr>
          <w:rFonts w:ascii="Times New Roman" w:hAnsi="Times New Roman" w:cs="Times New Roman"/>
          <w:i/>
          <w:iCs/>
          <w:sz w:val="24"/>
          <w:szCs w:val="24"/>
        </w:rPr>
        <w:t>International Journal of the Commons</w:t>
      </w:r>
      <w:r w:rsidRPr="00225863">
        <w:rPr>
          <w:rFonts w:ascii="Times New Roman" w:hAnsi="Times New Roman" w:cs="Times New Roman"/>
          <w:sz w:val="24"/>
          <w:szCs w:val="24"/>
        </w:rPr>
        <w:t xml:space="preserve">, </w:t>
      </w:r>
      <w:r w:rsidRPr="00225863">
        <w:rPr>
          <w:rFonts w:ascii="Times New Roman" w:hAnsi="Times New Roman" w:cs="Times New Roman"/>
          <w:iCs/>
          <w:sz w:val="24"/>
          <w:szCs w:val="24"/>
        </w:rPr>
        <w:t>14</w:t>
      </w:r>
      <w:r w:rsidRPr="00225863">
        <w:rPr>
          <w:rFonts w:ascii="Times New Roman" w:hAnsi="Times New Roman" w:cs="Times New Roman"/>
          <w:sz w:val="24"/>
          <w:szCs w:val="24"/>
        </w:rPr>
        <w:t xml:space="preserve">(1), 366–387. </w:t>
      </w:r>
    </w:p>
    <w:p w14:paraId="71FB78F9" w14:textId="6954C190" w:rsidR="001E5713" w:rsidRPr="00225863" w:rsidRDefault="001E5713" w:rsidP="00145F20">
      <w:pPr>
        <w:pStyle w:val="CommentText"/>
        <w:spacing w:line="48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Bezdek, B. (</w:t>
      </w:r>
      <w:r w:rsidR="00105C39">
        <w:rPr>
          <w:rFonts w:ascii="Times New Roman" w:hAnsi="Times New Roman" w:cs="Times New Roman"/>
          <w:color w:val="0000FF"/>
          <w:sz w:val="24"/>
          <w:szCs w:val="24"/>
          <w:u w:val="single"/>
        </w:rPr>
        <w:t>forthcoming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>).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To h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ave and to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>old? Community Land Trust as Commons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 I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>n Swiney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, C.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and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Foster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, S.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(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>eds.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)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105C39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The Cambridge Handbook on Innovations in Commons Research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 C</w:t>
      </w:r>
      <w:r w:rsidR="00B37F2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ambridge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U</w:t>
      </w:r>
      <w:r w:rsidR="00B37F2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niversity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P</w:t>
      </w:r>
      <w:r w:rsidR="00B37F20">
        <w:rPr>
          <w:rFonts w:ascii="Times New Roman" w:hAnsi="Times New Roman" w:cs="Times New Roman"/>
          <w:color w:val="0000FF"/>
          <w:sz w:val="24"/>
          <w:szCs w:val="24"/>
          <w:u w:val="single"/>
        </w:rPr>
        <w:t>ress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1E571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23FA207" w14:textId="33D29961" w:rsidR="000A27D2" w:rsidRPr="000A27D2" w:rsidRDefault="000A27D2" w:rsidP="00145F20">
      <w:pPr>
        <w:pStyle w:val="Comment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Bollier, D. </w:t>
      </w:r>
      <w:r w:rsidR="007077F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7077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77F8">
        <w:rPr>
          <w:rFonts w:ascii="Times New Roman" w:hAnsi="Times New Roman" w:cs="Times New Roman"/>
          <w:i/>
          <w:sz w:val="24"/>
          <w:szCs w:val="24"/>
        </w:rPr>
        <w:t>Think like a c</w:t>
      </w:r>
      <w:r w:rsidR="0076553C" w:rsidRPr="007077F8">
        <w:rPr>
          <w:rFonts w:ascii="Times New Roman" w:hAnsi="Times New Roman" w:cs="Times New Roman"/>
          <w:i/>
          <w:sz w:val="24"/>
          <w:szCs w:val="24"/>
        </w:rPr>
        <w:t>ommoner</w:t>
      </w:r>
      <w:r w:rsidR="0076553C" w:rsidRPr="005504A7">
        <w:rPr>
          <w:rFonts w:ascii="Times New Roman" w:hAnsi="Times New Roman" w:cs="Times New Roman"/>
          <w:sz w:val="24"/>
          <w:szCs w:val="24"/>
        </w:rPr>
        <w:t xml:space="preserve">. New Society </w:t>
      </w:r>
      <w:r w:rsidR="0076553C" w:rsidRPr="000A27D2">
        <w:rPr>
          <w:rFonts w:ascii="Times New Roman" w:hAnsi="Times New Roman" w:cs="Times New Roman"/>
          <w:sz w:val="24"/>
          <w:szCs w:val="24"/>
        </w:rPr>
        <w:t>Publishers</w:t>
      </w:r>
      <w:r w:rsidRPr="000A27D2">
        <w:rPr>
          <w:rFonts w:ascii="Times New Roman" w:hAnsi="Times New Roman" w:cs="Times New Roman"/>
          <w:sz w:val="24"/>
          <w:szCs w:val="24"/>
        </w:rPr>
        <w:t>.</w:t>
      </w:r>
    </w:p>
    <w:p w14:paraId="467517D1" w14:textId="74BE0E42" w:rsidR="0076553C" w:rsidRPr="005504A7" w:rsidRDefault="005504A7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7D2">
        <w:rPr>
          <w:rFonts w:ascii="Times New Roman" w:eastAsia="Calibri" w:hAnsi="Times New Roman" w:cs="Times New Roman"/>
          <w:sz w:val="24"/>
          <w:szCs w:val="24"/>
        </w:rPr>
        <w:t>Borch C. &amp;</w:t>
      </w:r>
      <w:r w:rsidR="0076553C" w:rsidRPr="000A27D2">
        <w:rPr>
          <w:rFonts w:ascii="Times New Roman" w:eastAsia="Calibri" w:hAnsi="Times New Roman" w:cs="Times New Roman"/>
          <w:sz w:val="24"/>
          <w:szCs w:val="24"/>
        </w:rPr>
        <w:t xml:space="preserve"> Kornberger M. (Eds.) (2015) </w:t>
      </w:r>
      <w:r w:rsidR="0076553C" w:rsidRPr="000A27D2">
        <w:rPr>
          <w:rFonts w:ascii="Times New Roman" w:eastAsia="Calibri" w:hAnsi="Times New Roman" w:cs="Times New Roman"/>
          <w:i/>
          <w:sz w:val="24"/>
          <w:szCs w:val="24"/>
        </w:rPr>
        <w:t>Urban commons</w:t>
      </w:r>
      <w:r w:rsidR="0076553C" w:rsidRPr="000A27D2">
        <w:rPr>
          <w:rFonts w:ascii="Times New Roman" w:eastAsia="Calibri" w:hAnsi="Times New Roman" w:cs="Times New Roman"/>
          <w:sz w:val="24"/>
          <w:szCs w:val="24"/>
        </w:rPr>
        <w:t>. Routledge</w:t>
      </w:r>
      <w:r w:rsidR="000A27D2" w:rsidRPr="000A27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1F88C1" w14:textId="55BD7F6C" w:rsidR="0076553C" w:rsidRPr="005504A7" w:rsidRDefault="0076553C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7">
        <w:rPr>
          <w:rFonts w:ascii="Times New Roman" w:hAnsi="Times New Roman" w:cs="Times New Roman"/>
          <w:sz w:val="24"/>
          <w:szCs w:val="24"/>
        </w:rPr>
        <w:t xml:space="preserve">Brandsen, </w:t>
      </w:r>
      <w:r w:rsidR="000A27D2">
        <w:rPr>
          <w:rFonts w:ascii="Times New Roman" w:hAnsi="Times New Roman" w:cs="Times New Roman"/>
          <w:sz w:val="24"/>
          <w:szCs w:val="24"/>
        </w:rPr>
        <w:t>T., Cattacin, S., Evers, A., &amp;</w:t>
      </w:r>
      <w:r w:rsidRPr="005504A7">
        <w:rPr>
          <w:rFonts w:ascii="Times New Roman" w:hAnsi="Times New Roman" w:cs="Times New Roman"/>
          <w:sz w:val="24"/>
          <w:szCs w:val="24"/>
        </w:rPr>
        <w:t xml:space="preserve"> Zimmer, A. (2016) </w:t>
      </w:r>
      <w:r w:rsidRPr="005504A7">
        <w:rPr>
          <w:rFonts w:ascii="Times New Roman" w:hAnsi="Times New Roman" w:cs="Times New Roman"/>
          <w:i/>
          <w:iCs/>
          <w:sz w:val="24"/>
          <w:szCs w:val="24"/>
        </w:rPr>
        <w:t>Social innovations in the urban context</w:t>
      </w:r>
      <w:r w:rsidR="000A27D2">
        <w:rPr>
          <w:rFonts w:ascii="Times New Roman" w:hAnsi="Times New Roman" w:cs="Times New Roman"/>
          <w:sz w:val="24"/>
          <w:szCs w:val="24"/>
        </w:rPr>
        <w:t xml:space="preserve">. </w:t>
      </w:r>
      <w:r w:rsidRPr="005504A7">
        <w:rPr>
          <w:rFonts w:ascii="Times New Roman" w:hAnsi="Times New Roman" w:cs="Times New Roman"/>
          <w:sz w:val="24"/>
          <w:szCs w:val="24"/>
        </w:rPr>
        <w:t>Springer International Publishing.</w:t>
      </w:r>
    </w:p>
    <w:p w14:paraId="75CE0B68" w14:textId="6536C4A1" w:rsidR="0076553C" w:rsidRPr="005504A7" w:rsidRDefault="0076553C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Bunce, S</w:t>
      </w:r>
      <w:r w:rsidR="00F41A07" w:rsidRPr="005504A7">
        <w:rPr>
          <w:rFonts w:ascii="Times New Roman" w:eastAsia="Calibri" w:hAnsi="Times New Roman" w:cs="Times New Roman"/>
          <w:sz w:val="24"/>
          <w:szCs w:val="24"/>
        </w:rPr>
        <w:t>. (2016). Pursuing urban commons.</w:t>
      </w:r>
      <w:r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 </w:t>
      </w:r>
      <w:r w:rsidRPr="005504A7">
        <w:rPr>
          <w:rFonts w:ascii="Times New Roman" w:eastAsia="Calibri" w:hAnsi="Times New Roman" w:cs="Times New Roman"/>
          <w:i/>
          <w:noProof/>
          <w:sz w:val="24"/>
          <w:szCs w:val="24"/>
          <w:bdr w:val="none" w:sz="0" w:space="0" w:color="auto"/>
        </w:rPr>
        <w:t>Antipode</w:t>
      </w:r>
      <w:r w:rsidR="00F41A07" w:rsidRPr="005504A7">
        <w:rPr>
          <w:rFonts w:ascii="Times New Roman" w:eastAsia="Calibri" w:hAnsi="Times New Roman" w:cs="Times New Roman"/>
          <w:i/>
          <w:noProof/>
          <w:sz w:val="24"/>
          <w:szCs w:val="24"/>
          <w:bdr w:val="none" w:sz="0" w:space="0" w:color="auto"/>
        </w:rPr>
        <w:t>,</w:t>
      </w:r>
      <w:r w:rsidRPr="005504A7">
        <w:rPr>
          <w:rFonts w:ascii="Times New Roman" w:eastAsia="Calibri" w:hAnsi="Times New Roman" w:cs="Times New Roman"/>
          <w:i/>
          <w:noProof/>
          <w:sz w:val="24"/>
          <w:szCs w:val="24"/>
          <w:bdr w:val="none" w:sz="0" w:space="0" w:color="auto"/>
        </w:rPr>
        <w:t xml:space="preserve"> </w:t>
      </w:r>
      <w:r w:rsidR="00F41A07"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48(</w:t>
      </w:r>
      <w:r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1</w:t>
      </w:r>
      <w:r w:rsidR="00F41A07"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), </w:t>
      </w:r>
      <w:r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134-50. </w:t>
      </w:r>
    </w:p>
    <w:p w14:paraId="7C9896EE" w14:textId="12F62102" w:rsidR="0076553C" w:rsidRPr="005504A7" w:rsidRDefault="000A27D2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Byrne, D. &amp;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 Ragin, C.C. (Eds.) (2009) </w:t>
      </w:r>
      <w:r w:rsidR="0076553C" w:rsidRPr="005504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The SAGE </w:t>
      </w:r>
      <w:r w:rsidR="007077F8">
        <w:rPr>
          <w:rFonts w:ascii="Times New Roman" w:eastAsia="Calibri" w:hAnsi="Times New Roman" w:cs="Times New Roman"/>
          <w:i/>
          <w:iCs/>
          <w:sz w:val="24"/>
          <w:szCs w:val="24"/>
        </w:rPr>
        <w:t>handbook of case-based m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ethods. 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SAGE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CD33D7" w14:textId="78DE124E" w:rsidR="0076553C" w:rsidRPr="005504A7" w:rsidRDefault="0076553C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4A7">
        <w:rPr>
          <w:rFonts w:ascii="Times New Roman" w:hAnsi="Times New Roman" w:cs="Times New Roman"/>
          <w:sz w:val="24"/>
          <w:szCs w:val="24"/>
        </w:rPr>
        <w:t>Collier,</w:t>
      </w:r>
      <w:r w:rsidR="00F41A07" w:rsidRPr="005504A7">
        <w:rPr>
          <w:rFonts w:ascii="Times New Roman" w:hAnsi="Times New Roman" w:cs="Times New Roman"/>
          <w:sz w:val="24"/>
          <w:szCs w:val="24"/>
        </w:rPr>
        <w:t xml:space="preserve"> D.,</w:t>
      </w:r>
      <w:r w:rsidRPr="005504A7">
        <w:rPr>
          <w:rFonts w:ascii="Times New Roman" w:hAnsi="Times New Roman" w:cs="Times New Roman"/>
          <w:sz w:val="24"/>
          <w:szCs w:val="24"/>
        </w:rPr>
        <w:t xml:space="preserve"> LaPorte,</w:t>
      </w:r>
      <w:r w:rsidR="00F41A07" w:rsidRPr="005504A7">
        <w:rPr>
          <w:rFonts w:ascii="Times New Roman" w:hAnsi="Times New Roman" w:cs="Times New Roman"/>
          <w:sz w:val="24"/>
          <w:szCs w:val="24"/>
        </w:rPr>
        <w:t xml:space="preserve"> J. &amp; Seawright, J. (2012). Putting typologies to w</w:t>
      </w:r>
      <w:r w:rsidRPr="005504A7">
        <w:rPr>
          <w:rFonts w:ascii="Times New Roman" w:hAnsi="Times New Roman" w:cs="Times New Roman"/>
          <w:sz w:val="24"/>
          <w:szCs w:val="24"/>
        </w:rPr>
        <w:t>ork</w:t>
      </w:r>
      <w:r w:rsidR="00F41A07" w:rsidRPr="005504A7">
        <w:rPr>
          <w:rFonts w:ascii="Times New Roman" w:hAnsi="Times New Roman" w:cs="Times New Roman"/>
          <w:sz w:val="24"/>
          <w:szCs w:val="24"/>
        </w:rPr>
        <w:t xml:space="preserve">. </w:t>
      </w:r>
      <w:r w:rsidRPr="005504A7">
        <w:rPr>
          <w:rFonts w:ascii="Times New Roman" w:hAnsi="Times New Roman" w:cs="Times New Roman"/>
          <w:i/>
          <w:sz w:val="24"/>
          <w:szCs w:val="24"/>
        </w:rPr>
        <w:t>Political Research Quarterly</w:t>
      </w:r>
      <w:r w:rsidR="00F41A07" w:rsidRPr="005504A7">
        <w:rPr>
          <w:rFonts w:ascii="Times New Roman" w:hAnsi="Times New Roman" w:cs="Times New Roman"/>
          <w:i/>
          <w:sz w:val="24"/>
          <w:szCs w:val="24"/>
        </w:rPr>
        <w:t>,</w:t>
      </w:r>
      <w:r w:rsidR="00F41A07" w:rsidRPr="005504A7">
        <w:rPr>
          <w:rFonts w:ascii="Times New Roman" w:hAnsi="Times New Roman" w:cs="Times New Roman"/>
          <w:sz w:val="24"/>
          <w:szCs w:val="24"/>
        </w:rPr>
        <w:t xml:space="preserve"> 65(</w:t>
      </w:r>
      <w:r w:rsidRPr="005504A7">
        <w:rPr>
          <w:rFonts w:ascii="Times New Roman" w:hAnsi="Times New Roman" w:cs="Times New Roman"/>
          <w:sz w:val="24"/>
          <w:szCs w:val="24"/>
        </w:rPr>
        <w:t>1</w:t>
      </w:r>
      <w:r w:rsidR="00F41A07" w:rsidRPr="005504A7">
        <w:rPr>
          <w:rFonts w:ascii="Times New Roman" w:hAnsi="Times New Roman" w:cs="Times New Roman"/>
          <w:sz w:val="24"/>
          <w:szCs w:val="24"/>
        </w:rPr>
        <w:t xml:space="preserve">), </w:t>
      </w:r>
      <w:r w:rsidRPr="005504A7">
        <w:rPr>
          <w:rFonts w:ascii="Times New Roman" w:hAnsi="Times New Roman" w:cs="Times New Roman"/>
          <w:sz w:val="24"/>
          <w:szCs w:val="24"/>
        </w:rPr>
        <w:t xml:space="preserve">217–232 </w:t>
      </w:r>
    </w:p>
    <w:p w14:paraId="594A738E" w14:textId="4CFB24B4" w:rsidR="0076553C" w:rsidRPr="005504A7" w:rsidRDefault="000A27D2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</w:pP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Davis, J.E., </w:t>
      </w:r>
      <w:r w:rsidR="0076553C"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Algeod,</w:t>
      </w: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 L.</w:t>
      </w:r>
      <w:r w:rsidR="0076553C"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 </w:t>
      </w:r>
      <w:r w:rsidR="00D22996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&amp; </w:t>
      </w:r>
      <w:r w:rsidR="0076553C"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Hernandez-Torrales</w:t>
      </w: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, M.E.</w:t>
      </w:r>
      <w:r w:rsidR="0076553C"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 (Eds.)</w:t>
      </w: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. </w:t>
      </w:r>
      <w:r w:rsidR="00627AC9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(</w:t>
      </w: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2020</w:t>
      </w:r>
      <w:r w:rsidR="00627AC9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)</w:t>
      </w: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>.</w:t>
      </w:r>
      <w:r w:rsidR="0076553C" w:rsidRPr="005504A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Calibri" w:hAnsi="Times New Roman" w:cs="Times New Roman"/>
          <w:i/>
          <w:noProof/>
          <w:sz w:val="24"/>
          <w:szCs w:val="24"/>
          <w:bdr w:val="none" w:sz="0" w:space="0" w:color="auto"/>
        </w:rPr>
        <w:t>On common g</w:t>
      </w:r>
      <w:r w:rsidR="005504A7" w:rsidRPr="005504A7">
        <w:rPr>
          <w:rFonts w:ascii="Times New Roman" w:eastAsia="Calibri" w:hAnsi="Times New Roman" w:cs="Times New Roman"/>
          <w:i/>
          <w:noProof/>
          <w:sz w:val="24"/>
          <w:szCs w:val="24"/>
          <w:bdr w:val="none" w:sz="0" w:space="0" w:color="auto"/>
        </w:rPr>
        <w:t>round</w:t>
      </w:r>
      <w:r w:rsidR="0076553C" w:rsidRPr="005504A7">
        <w:rPr>
          <w:rFonts w:ascii="Times New Roman" w:eastAsia="Calibri" w:hAnsi="Times New Roman" w:cs="Times New Roman"/>
          <w:i/>
          <w:noProof/>
          <w:sz w:val="24"/>
          <w:szCs w:val="24"/>
          <w:bdr w:val="none" w:sz="0" w:space="0" w:color="auto"/>
        </w:rPr>
        <w:t>.</w:t>
      </w: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/>
        </w:rPr>
        <w:t xml:space="preserve"> Terra Nostra Press.</w:t>
      </w:r>
    </w:p>
    <w:p w14:paraId="679EE570" w14:textId="4003A667" w:rsidR="0076553C" w:rsidRPr="005504A7" w:rsidRDefault="0076553C" w:rsidP="00145F20">
      <w:pPr>
        <w:pStyle w:val="EndnoteText"/>
        <w:spacing w:after="200" w:line="480" w:lineRule="auto"/>
        <w:jc w:val="both"/>
        <w:rPr>
          <w:sz w:val="24"/>
          <w:szCs w:val="24"/>
        </w:rPr>
      </w:pPr>
      <w:r w:rsidRPr="00557264">
        <w:rPr>
          <w:sz w:val="24"/>
          <w:szCs w:val="24"/>
        </w:rPr>
        <w:t>Davis,</w:t>
      </w:r>
      <w:r w:rsidR="00557264" w:rsidRPr="00557264">
        <w:rPr>
          <w:sz w:val="24"/>
          <w:szCs w:val="24"/>
        </w:rPr>
        <w:t xml:space="preserve"> J.E. (2008). </w:t>
      </w:r>
      <w:r w:rsidRPr="00557264">
        <w:rPr>
          <w:sz w:val="24"/>
          <w:szCs w:val="24"/>
        </w:rPr>
        <w:t xml:space="preserve">Origins and evolution of the community </w:t>
      </w:r>
      <w:r w:rsidR="00557264" w:rsidRPr="00557264">
        <w:rPr>
          <w:sz w:val="24"/>
          <w:szCs w:val="24"/>
        </w:rPr>
        <w:t xml:space="preserve">land trust in the United States. In Davis, J. E. </w:t>
      </w:r>
      <w:r w:rsidRPr="00557264">
        <w:rPr>
          <w:sz w:val="24"/>
          <w:szCs w:val="24"/>
        </w:rPr>
        <w:t>(Ed.)</w:t>
      </w:r>
      <w:r w:rsidR="00406811">
        <w:rPr>
          <w:sz w:val="24"/>
          <w:szCs w:val="24"/>
        </w:rPr>
        <w:t xml:space="preserve">. </w:t>
      </w:r>
      <w:r w:rsidR="007077F8">
        <w:rPr>
          <w:i/>
          <w:sz w:val="24"/>
          <w:szCs w:val="24"/>
        </w:rPr>
        <w:t>The community land trust r</w:t>
      </w:r>
      <w:r w:rsidRPr="00557264">
        <w:rPr>
          <w:i/>
          <w:sz w:val="24"/>
          <w:szCs w:val="24"/>
        </w:rPr>
        <w:t>eader</w:t>
      </w:r>
      <w:r w:rsidR="00557264" w:rsidRPr="00557264">
        <w:rPr>
          <w:i/>
          <w:sz w:val="24"/>
          <w:szCs w:val="24"/>
        </w:rPr>
        <w:t xml:space="preserve"> </w:t>
      </w:r>
      <w:r w:rsidR="00557264" w:rsidRPr="00557264">
        <w:rPr>
          <w:sz w:val="24"/>
          <w:szCs w:val="24"/>
        </w:rPr>
        <w:t xml:space="preserve">(pp. 3-47). </w:t>
      </w:r>
      <w:r w:rsidRPr="00557264">
        <w:rPr>
          <w:sz w:val="24"/>
          <w:szCs w:val="24"/>
        </w:rPr>
        <w:t xml:space="preserve">Lincoln Institute of Land </w:t>
      </w:r>
      <w:r w:rsidR="005504A7" w:rsidRPr="00557264">
        <w:rPr>
          <w:sz w:val="24"/>
          <w:szCs w:val="24"/>
        </w:rPr>
        <w:t>Policy</w:t>
      </w:r>
      <w:r w:rsidR="00557264" w:rsidRPr="00557264">
        <w:rPr>
          <w:sz w:val="24"/>
          <w:szCs w:val="24"/>
        </w:rPr>
        <w:t>.</w:t>
      </w:r>
      <w:r w:rsidR="005504A7" w:rsidRPr="005504A7">
        <w:rPr>
          <w:sz w:val="24"/>
          <w:szCs w:val="24"/>
        </w:rPr>
        <w:t xml:space="preserve"> </w:t>
      </w:r>
    </w:p>
    <w:p w14:paraId="55D4F325" w14:textId="35594A63" w:rsidR="0076553C" w:rsidRPr="005504A7" w:rsidRDefault="005504A7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DeFilippis, J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.</w:t>
      </w:r>
      <w:r w:rsidRPr="005504A7">
        <w:rPr>
          <w:rFonts w:ascii="Times New Roman" w:eastAsia="Calibri" w:hAnsi="Times New Roman" w:cs="Times New Roman"/>
          <w:sz w:val="24"/>
          <w:szCs w:val="24"/>
        </w:rPr>
        <w:t xml:space="preserve"> (2003). </w:t>
      </w:r>
      <w:r w:rsidR="007077F8">
        <w:rPr>
          <w:rFonts w:ascii="Times New Roman" w:eastAsia="Calibri" w:hAnsi="Times New Roman" w:cs="Times New Roman"/>
          <w:i/>
          <w:sz w:val="24"/>
          <w:szCs w:val="24"/>
        </w:rPr>
        <w:t>Unmaking g</w:t>
      </w:r>
      <w:r w:rsidRPr="005504A7">
        <w:rPr>
          <w:rFonts w:ascii="Times New Roman" w:eastAsia="Calibri" w:hAnsi="Times New Roman" w:cs="Times New Roman"/>
          <w:i/>
          <w:sz w:val="24"/>
          <w:szCs w:val="24"/>
        </w:rPr>
        <w:t>oliath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27D2">
        <w:rPr>
          <w:rFonts w:ascii="Times New Roman" w:eastAsia="Calibri" w:hAnsi="Times New Roman" w:cs="Times New Roman"/>
          <w:sz w:val="24"/>
          <w:szCs w:val="24"/>
        </w:rPr>
        <w:t>Routledge.</w:t>
      </w:r>
    </w:p>
    <w:p w14:paraId="6580BD23" w14:textId="52FC9873" w:rsidR="0076553C" w:rsidRPr="005504A7" w:rsidRDefault="0076553C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D</w:t>
      </w:r>
      <w:r w:rsidR="005504A7" w:rsidRPr="005504A7">
        <w:rPr>
          <w:rFonts w:ascii="Times New Roman" w:eastAsia="Calibri" w:hAnsi="Times New Roman" w:cs="Times New Roman"/>
          <w:sz w:val="24"/>
          <w:szCs w:val="24"/>
        </w:rPr>
        <w:t>eFilippis, J., Stromberg, B. &amp;</w:t>
      </w:r>
      <w:r w:rsidRPr="005504A7">
        <w:rPr>
          <w:rFonts w:ascii="Times New Roman" w:eastAsia="Calibri" w:hAnsi="Times New Roman" w:cs="Times New Roman"/>
          <w:sz w:val="24"/>
          <w:szCs w:val="24"/>
        </w:rPr>
        <w:t xml:space="preserve"> Williams, O.R. (2018)</w:t>
      </w:r>
      <w:r w:rsidR="005504A7" w:rsidRPr="005504A7">
        <w:rPr>
          <w:rFonts w:ascii="Times New Roman" w:eastAsia="Calibri" w:hAnsi="Times New Roman" w:cs="Times New Roman"/>
          <w:sz w:val="24"/>
          <w:szCs w:val="24"/>
        </w:rPr>
        <w:t>.</w:t>
      </w:r>
      <w:r w:rsidRPr="005504A7">
        <w:rPr>
          <w:rFonts w:ascii="Times New Roman" w:eastAsia="Calibri" w:hAnsi="Times New Roman" w:cs="Times New Roman"/>
          <w:sz w:val="24"/>
          <w:szCs w:val="24"/>
        </w:rPr>
        <w:t xml:space="preserve"> W(h)ither the community in community land trusts? </w:t>
      </w:r>
      <w:r w:rsidRPr="005504A7">
        <w:rPr>
          <w:rFonts w:ascii="Times New Roman" w:eastAsia="Calibri" w:hAnsi="Times New Roman" w:cs="Times New Roman"/>
          <w:i/>
          <w:sz w:val="24"/>
          <w:szCs w:val="24"/>
        </w:rPr>
        <w:t>Journal of Urban Affairs</w:t>
      </w:r>
      <w:r w:rsidRPr="005504A7">
        <w:rPr>
          <w:rFonts w:ascii="Times New Roman" w:eastAsia="Calibri" w:hAnsi="Times New Roman" w:cs="Times New Roman"/>
          <w:sz w:val="24"/>
          <w:szCs w:val="24"/>
        </w:rPr>
        <w:t>, 40:6, 755-769.</w:t>
      </w:r>
    </w:p>
    <w:p w14:paraId="1DB356A2" w14:textId="0B462936" w:rsidR="0076553C" w:rsidRPr="005504A7" w:rsidRDefault="000A27D2" w:rsidP="00145F20">
      <w:pPr>
        <w:pStyle w:val="EndnoteText"/>
        <w:spacing w:after="200" w:line="480" w:lineRule="auto"/>
        <w:jc w:val="both"/>
        <w:rPr>
          <w:sz w:val="24"/>
          <w:szCs w:val="24"/>
        </w:rPr>
      </w:pPr>
      <w:r w:rsidRPr="00557264">
        <w:rPr>
          <w:sz w:val="24"/>
          <w:szCs w:val="24"/>
        </w:rPr>
        <w:t>Dietz, T.</w:t>
      </w:r>
      <w:r w:rsidR="0076553C" w:rsidRPr="00557264">
        <w:rPr>
          <w:sz w:val="24"/>
          <w:szCs w:val="24"/>
        </w:rPr>
        <w:t>,</w:t>
      </w:r>
      <w:r w:rsidR="00D22996">
        <w:rPr>
          <w:sz w:val="24"/>
          <w:szCs w:val="24"/>
        </w:rPr>
        <w:t xml:space="preserve"> Dolsˇak, N., Ostrom, E. &amp; </w:t>
      </w:r>
      <w:r w:rsidR="0076553C" w:rsidRPr="00557264">
        <w:rPr>
          <w:sz w:val="24"/>
          <w:szCs w:val="24"/>
        </w:rPr>
        <w:t>Stern</w:t>
      </w:r>
      <w:r w:rsidR="00D22996">
        <w:rPr>
          <w:sz w:val="24"/>
          <w:szCs w:val="24"/>
        </w:rPr>
        <w:t>, P.C</w:t>
      </w:r>
      <w:r w:rsidRPr="00557264">
        <w:rPr>
          <w:sz w:val="24"/>
          <w:szCs w:val="24"/>
        </w:rPr>
        <w:t>. (2002)</w:t>
      </w:r>
      <w:r w:rsidR="001E5713">
        <w:rPr>
          <w:sz w:val="24"/>
          <w:szCs w:val="24"/>
        </w:rPr>
        <w:t>.</w:t>
      </w:r>
      <w:r w:rsidR="00557264" w:rsidRPr="00557264">
        <w:rPr>
          <w:sz w:val="24"/>
          <w:szCs w:val="24"/>
        </w:rPr>
        <w:t xml:space="preserve"> The drama of the commons.  I</w:t>
      </w:r>
      <w:r w:rsidR="0076553C" w:rsidRPr="00557264">
        <w:rPr>
          <w:sz w:val="24"/>
          <w:szCs w:val="24"/>
        </w:rPr>
        <w:t xml:space="preserve">n </w:t>
      </w:r>
      <w:r w:rsidR="00557264" w:rsidRPr="00557264">
        <w:rPr>
          <w:sz w:val="24"/>
          <w:szCs w:val="24"/>
        </w:rPr>
        <w:t xml:space="preserve">National Research Council (Ed.), </w:t>
      </w:r>
      <w:r w:rsidR="00557264" w:rsidRPr="00557264">
        <w:rPr>
          <w:i/>
          <w:sz w:val="24"/>
          <w:szCs w:val="24"/>
        </w:rPr>
        <w:t>The Drama of the Commons</w:t>
      </w:r>
      <w:r w:rsidR="00557264" w:rsidRPr="00557264">
        <w:rPr>
          <w:sz w:val="24"/>
          <w:szCs w:val="24"/>
        </w:rPr>
        <w:t xml:space="preserve"> (pp. 1-36). The National Academies Press.</w:t>
      </w:r>
      <w:r w:rsidR="0076553C" w:rsidRPr="005504A7">
        <w:rPr>
          <w:sz w:val="24"/>
          <w:szCs w:val="24"/>
        </w:rPr>
        <w:t xml:space="preserve"> </w:t>
      </w:r>
    </w:p>
    <w:p w14:paraId="040F3782" w14:textId="0E4FFD9F" w:rsidR="0076553C" w:rsidRPr="005504A7" w:rsidRDefault="0076553C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96">
        <w:rPr>
          <w:rFonts w:ascii="Times New Roman" w:eastAsia="Calibri" w:hAnsi="Times New Roman" w:cs="Times New Roman"/>
          <w:sz w:val="24"/>
          <w:szCs w:val="24"/>
        </w:rPr>
        <w:t>Elman, C.</w:t>
      </w:r>
      <w:r w:rsidR="00D22996" w:rsidRPr="00D22996">
        <w:rPr>
          <w:rFonts w:ascii="Times New Roman" w:eastAsia="Calibri" w:hAnsi="Times New Roman" w:cs="Times New Roman"/>
          <w:sz w:val="24"/>
          <w:szCs w:val="24"/>
        </w:rPr>
        <w:t xml:space="preserve"> (2009). </w:t>
      </w:r>
      <w:r w:rsidRPr="00D22996">
        <w:rPr>
          <w:rFonts w:ascii="Times New Roman" w:eastAsia="Calibri" w:hAnsi="Times New Roman" w:cs="Times New Roman"/>
          <w:sz w:val="24"/>
          <w:szCs w:val="24"/>
        </w:rPr>
        <w:t>Explanatory typo</w:t>
      </w:r>
      <w:r w:rsidR="00D22996" w:rsidRPr="00D22996">
        <w:rPr>
          <w:rFonts w:ascii="Times New Roman" w:eastAsia="Calibri" w:hAnsi="Times New Roman" w:cs="Times New Roman"/>
          <w:sz w:val="24"/>
          <w:szCs w:val="24"/>
        </w:rPr>
        <w:t>logies in qualitative analysis.</w:t>
      </w:r>
      <w:r w:rsidRPr="00D22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996" w:rsidRPr="00D22996">
        <w:rPr>
          <w:rFonts w:ascii="Times New Roman" w:eastAsia="Calibri" w:hAnsi="Times New Roman" w:cs="Times New Roman"/>
          <w:sz w:val="24"/>
          <w:szCs w:val="24"/>
        </w:rPr>
        <w:t>I</w:t>
      </w:r>
      <w:r w:rsidR="007077F8">
        <w:rPr>
          <w:rFonts w:ascii="Times New Roman" w:eastAsia="Calibri" w:hAnsi="Times New Roman" w:cs="Times New Roman"/>
          <w:sz w:val="24"/>
          <w:szCs w:val="24"/>
        </w:rPr>
        <w:t xml:space="preserve">n Byrne, D. </w:t>
      </w:r>
      <w:r w:rsidR="00105C39">
        <w:rPr>
          <w:rFonts w:ascii="Times New Roman" w:eastAsia="Calibri" w:hAnsi="Times New Roman" w:cs="Times New Roman"/>
          <w:sz w:val="24"/>
          <w:szCs w:val="24"/>
        </w:rPr>
        <w:t>and</w:t>
      </w:r>
      <w:r w:rsidRPr="00D22996">
        <w:rPr>
          <w:rFonts w:ascii="Times New Roman" w:eastAsia="Calibri" w:hAnsi="Times New Roman" w:cs="Times New Roman"/>
          <w:sz w:val="24"/>
          <w:szCs w:val="24"/>
        </w:rPr>
        <w:t xml:space="preserve"> Ragin, C.C. (Eds.) </w:t>
      </w:r>
      <w:r w:rsidRPr="00D229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The SAGE </w:t>
      </w:r>
      <w:r w:rsidR="007077F8">
        <w:rPr>
          <w:rFonts w:ascii="Times New Roman" w:eastAsia="Calibri" w:hAnsi="Times New Roman" w:cs="Times New Roman"/>
          <w:i/>
          <w:iCs/>
          <w:sz w:val="24"/>
          <w:szCs w:val="24"/>
        </w:rPr>
        <w:t>h</w:t>
      </w:r>
      <w:r w:rsidR="00D22996" w:rsidRPr="00D22996">
        <w:rPr>
          <w:rFonts w:ascii="Times New Roman" w:eastAsia="Calibri" w:hAnsi="Times New Roman" w:cs="Times New Roman"/>
          <w:i/>
          <w:iCs/>
          <w:sz w:val="24"/>
          <w:szCs w:val="24"/>
        </w:rPr>
        <w:t>andbook of</w:t>
      </w:r>
      <w:r w:rsidR="007077F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case-b</w:t>
      </w:r>
      <w:r w:rsidR="00D22996" w:rsidRPr="00D22996">
        <w:rPr>
          <w:rFonts w:ascii="Times New Roman" w:eastAsia="Calibri" w:hAnsi="Times New Roman" w:cs="Times New Roman"/>
          <w:i/>
          <w:iCs/>
          <w:sz w:val="24"/>
          <w:szCs w:val="24"/>
        </w:rPr>
        <w:t>ased</w:t>
      </w:r>
      <w:r w:rsidR="007077F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</w:t>
      </w:r>
      <w:r w:rsidR="00D229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ethod. </w:t>
      </w:r>
      <w:r w:rsidRPr="005504A7">
        <w:rPr>
          <w:rFonts w:ascii="Times New Roman" w:eastAsia="Calibri" w:hAnsi="Times New Roman" w:cs="Times New Roman"/>
          <w:sz w:val="24"/>
          <w:szCs w:val="24"/>
        </w:rPr>
        <w:t>SAGE</w:t>
      </w:r>
      <w:r w:rsidR="008003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D1219C" w14:textId="3F05CDD3" w:rsidR="0076553C" w:rsidRPr="007F5B23" w:rsidRDefault="005504A7" w:rsidP="007F5B23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Engelsman, U., Rowe, M., &amp;</w:t>
      </w:r>
      <w:r w:rsidR="004B7DBA">
        <w:rPr>
          <w:rFonts w:ascii="Times New Roman" w:eastAsia="Calibri" w:hAnsi="Times New Roman" w:cs="Times New Roman"/>
          <w:sz w:val="24"/>
          <w:szCs w:val="24"/>
        </w:rPr>
        <w:t xml:space="preserve"> Southern, A. (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2018</w:t>
      </w:r>
      <w:r w:rsidR="004B7DBA">
        <w:rPr>
          <w:rFonts w:ascii="Times New Roman" w:eastAsia="Calibri" w:hAnsi="Times New Roman" w:cs="Times New Roman"/>
          <w:sz w:val="24"/>
          <w:szCs w:val="24"/>
        </w:rPr>
        <w:t>)</w:t>
      </w:r>
      <w:r w:rsidR="007077F8">
        <w:rPr>
          <w:rFonts w:ascii="Times New Roman" w:eastAsia="Calibri" w:hAnsi="Times New Roman" w:cs="Times New Roman"/>
          <w:sz w:val="24"/>
          <w:szCs w:val="24"/>
        </w:rPr>
        <w:t>. Community l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and Trusts, affordable housing and community organising in low-income neighbourhoods. </w:t>
      </w:r>
      <w:r w:rsidR="0076553C" w:rsidRPr="005504A7">
        <w:rPr>
          <w:rFonts w:ascii="Times New Roman" w:eastAsia="Calibri" w:hAnsi="Times New Roman" w:cs="Times New Roman"/>
          <w:i/>
          <w:iCs/>
          <w:sz w:val="24"/>
          <w:szCs w:val="24"/>
        </w:rPr>
        <w:t>International Journal of Housing Policy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, 18 (1), 103–123.</w:t>
      </w:r>
    </w:p>
    <w:p w14:paraId="5CB5E401" w14:textId="501318D5" w:rsidR="007F5B23" w:rsidRPr="007F5B23" w:rsidRDefault="007F5B23" w:rsidP="007F5B23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23">
        <w:rPr>
          <w:rStyle w:val="span-citation"/>
          <w:rFonts w:ascii="Times New Roman" w:hAnsi="Times New Roman" w:cs="Times New Roman"/>
          <w:sz w:val="24"/>
          <w:szCs w:val="24"/>
        </w:rPr>
        <w:t xml:space="preserve">German, L. (2018). Catalyzing self-governance. </w:t>
      </w:r>
      <w:r w:rsidRPr="007F5B23">
        <w:rPr>
          <w:rStyle w:val="span-citation"/>
          <w:rFonts w:ascii="Times New Roman" w:hAnsi="Times New Roman" w:cs="Times New Roman"/>
          <w:i/>
          <w:iCs/>
          <w:sz w:val="24"/>
          <w:szCs w:val="24"/>
        </w:rPr>
        <w:t>International Journal of the Commons</w:t>
      </w:r>
      <w:r w:rsidRPr="007F5B23">
        <w:rPr>
          <w:rStyle w:val="span-citation"/>
          <w:rFonts w:ascii="Times New Roman" w:hAnsi="Times New Roman" w:cs="Times New Roman"/>
          <w:sz w:val="24"/>
          <w:szCs w:val="24"/>
        </w:rPr>
        <w:t xml:space="preserve">, </w:t>
      </w:r>
      <w:r w:rsidRPr="00627AC9">
        <w:rPr>
          <w:rStyle w:val="span-citation"/>
          <w:rFonts w:ascii="Times New Roman" w:hAnsi="Times New Roman" w:cs="Times New Roman"/>
          <w:iCs/>
          <w:sz w:val="24"/>
          <w:szCs w:val="24"/>
        </w:rPr>
        <w:t>12</w:t>
      </w:r>
      <w:r w:rsidR="00627AC9">
        <w:rPr>
          <w:rStyle w:val="span-citation"/>
          <w:rFonts w:ascii="Times New Roman" w:hAnsi="Times New Roman" w:cs="Times New Roman"/>
          <w:iCs/>
          <w:sz w:val="24"/>
          <w:szCs w:val="24"/>
        </w:rPr>
        <w:t xml:space="preserve"> </w:t>
      </w:r>
      <w:r w:rsidRPr="00627AC9">
        <w:rPr>
          <w:rStyle w:val="span-citation"/>
          <w:rFonts w:ascii="Times New Roman" w:hAnsi="Times New Roman" w:cs="Times New Roman"/>
          <w:sz w:val="24"/>
          <w:szCs w:val="24"/>
        </w:rPr>
        <w:t>(2),</w:t>
      </w:r>
      <w:r w:rsidRPr="007F5B23">
        <w:rPr>
          <w:rStyle w:val="span-citation"/>
          <w:rFonts w:ascii="Times New Roman" w:hAnsi="Times New Roman" w:cs="Times New Roman"/>
          <w:sz w:val="24"/>
          <w:szCs w:val="24"/>
        </w:rPr>
        <w:t xml:space="preserve"> 217–250</w:t>
      </w:r>
      <w:r w:rsidR="00627AC9">
        <w:rPr>
          <w:rStyle w:val="span-citation"/>
          <w:rFonts w:ascii="Times New Roman" w:hAnsi="Times New Roman" w:cs="Times New Roman"/>
          <w:sz w:val="24"/>
          <w:szCs w:val="24"/>
        </w:rPr>
        <w:t>.</w:t>
      </w:r>
    </w:p>
    <w:p w14:paraId="5C01D637" w14:textId="18C16F80" w:rsidR="0076553C" w:rsidRPr="005504A7" w:rsidRDefault="005504A7" w:rsidP="007F5B23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23">
        <w:rPr>
          <w:rFonts w:ascii="Times New Roman" w:eastAsia="Calibri" w:hAnsi="Times New Roman" w:cs="Times New Roman"/>
          <w:sz w:val="24"/>
          <w:szCs w:val="24"/>
        </w:rPr>
        <w:t xml:space="preserve">Gidwani, V. &amp; </w:t>
      </w:r>
      <w:r w:rsidR="0076553C" w:rsidRPr="007F5B23">
        <w:rPr>
          <w:rFonts w:ascii="Times New Roman" w:eastAsia="Calibri" w:hAnsi="Times New Roman" w:cs="Times New Roman"/>
          <w:sz w:val="24"/>
          <w:szCs w:val="24"/>
        </w:rPr>
        <w:t>Baviskar</w:t>
      </w:r>
      <w:r w:rsidRPr="007F5B23">
        <w:rPr>
          <w:rFonts w:ascii="Times New Roman" w:eastAsia="Calibri" w:hAnsi="Times New Roman" w:cs="Times New Roman"/>
          <w:sz w:val="24"/>
          <w:szCs w:val="24"/>
        </w:rPr>
        <w:t>, A. (201</w:t>
      </w:r>
      <w:r w:rsidR="000A27D2" w:rsidRPr="007F5B23">
        <w:rPr>
          <w:rFonts w:ascii="Times New Roman" w:eastAsia="Calibri" w:hAnsi="Times New Roman" w:cs="Times New Roman"/>
          <w:sz w:val="24"/>
          <w:szCs w:val="24"/>
        </w:rPr>
        <w:t>1)</w:t>
      </w:r>
      <w:r w:rsidR="00557264" w:rsidRPr="007F5B23">
        <w:rPr>
          <w:rFonts w:ascii="Times New Roman" w:eastAsia="Calibri" w:hAnsi="Times New Roman" w:cs="Times New Roman"/>
          <w:sz w:val="24"/>
          <w:szCs w:val="24"/>
        </w:rPr>
        <w:t>.</w:t>
      </w:r>
      <w:r w:rsidR="000A27D2" w:rsidRPr="007F5B23">
        <w:rPr>
          <w:rFonts w:ascii="Times New Roman" w:eastAsia="Calibri" w:hAnsi="Times New Roman" w:cs="Times New Roman"/>
          <w:sz w:val="24"/>
          <w:szCs w:val="24"/>
          <w:rtl/>
        </w:rPr>
        <w:t xml:space="preserve"> </w:t>
      </w:r>
      <w:r w:rsidR="0076553C" w:rsidRPr="007F5B23">
        <w:rPr>
          <w:rFonts w:ascii="Times New Roman" w:eastAsia="Calibri" w:hAnsi="Times New Roman" w:cs="Times New Roman"/>
          <w:sz w:val="24"/>
          <w:szCs w:val="24"/>
        </w:rPr>
        <w:t xml:space="preserve">Urban commons. </w:t>
      </w:r>
      <w:r w:rsidR="0076553C" w:rsidRPr="007F5B23">
        <w:rPr>
          <w:rFonts w:ascii="Times New Roman" w:eastAsia="Calibri" w:hAnsi="Times New Roman" w:cs="Times New Roman"/>
          <w:i/>
          <w:sz w:val="24"/>
          <w:szCs w:val="24"/>
        </w:rPr>
        <w:t>Review of Urban Affairs</w:t>
      </w:r>
      <w:r w:rsidRPr="007F5B23">
        <w:rPr>
          <w:rFonts w:ascii="Times New Roman" w:eastAsia="Calibri" w:hAnsi="Times New Roman" w:cs="Times New Roman"/>
          <w:sz w:val="24"/>
          <w:szCs w:val="24"/>
        </w:rPr>
        <w:t>. xlvi</w:t>
      </w:r>
      <w:r w:rsidRPr="005504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50</w:t>
      </w:r>
      <w:r w:rsidRPr="005504A7">
        <w:rPr>
          <w:rFonts w:ascii="Times New Roman" w:eastAsia="Calibri" w:hAnsi="Times New Roman" w:cs="Times New Roman"/>
          <w:sz w:val="24"/>
          <w:szCs w:val="24"/>
        </w:rPr>
        <w:t>)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, 42-43.</w:t>
      </w:r>
    </w:p>
    <w:p w14:paraId="4D83EACD" w14:textId="5A3DEC2F" w:rsidR="0076553C" w:rsidRPr="005504A7" w:rsidRDefault="0076553C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Hardin, G. (1968)</w:t>
      </w:r>
      <w:r w:rsidR="005504A7" w:rsidRPr="005504A7">
        <w:rPr>
          <w:rFonts w:ascii="Times New Roman" w:eastAsia="Calibri" w:hAnsi="Times New Roman" w:cs="Times New Roman"/>
          <w:sz w:val="24"/>
          <w:szCs w:val="24"/>
        </w:rPr>
        <w:t>.</w:t>
      </w:r>
      <w:r w:rsidRPr="005504A7">
        <w:rPr>
          <w:rFonts w:ascii="Times New Roman" w:eastAsia="Calibri" w:hAnsi="Times New Roman" w:cs="Times New Roman"/>
          <w:sz w:val="24"/>
          <w:szCs w:val="24"/>
        </w:rPr>
        <w:t xml:space="preserve"> The tragedy of the commons. </w:t>
      </w:r>
      <w:r w:rsidRPr="005504A7">
        <w:rPr>
          <w:rFonts w:ascii="Times New Roman" w:eastAsia="Calibri" w:hAnsi="Times New Roman" w:cs="Times New Roman"/>
          <w:i/>
          <w:sz w:val="24"/>
          <w:szCs w:val="24"/>
        </w:rPr>
        <w:t>Science</w:t>
      </w:r>
      <w:r w:rsidR="005504A7" w:rsidRPr="005504A7">
        <w:rPr>
          <w:rFonts w:ascii="Times New Roman" w:eastAsia="Calibri" w:hAnsi="Times New Roman" w:cs="Times New Roman"/>
          <w:sz w:val="24"/>
          <w:szCs w:val="24"/>
        </w:rPr>
        <w:t>, 162:</w:t>
      </w:r>
      <w:r w:rsidRPr="005504A7">
        <w:rPr>
          <w:rFonts w:ascii="Times New Roman" w:eastAsia="Calibri" w:hAnsi="Times New Roman" w:cs="Times New Roman"/>
          <w:sz w:val="24"/>
          <w:szCs w:val="24"/>
        </w:rPr>
        <w:t>3859, 1243-1248.</w:t>
      </w:r>
    </w:p>
    <w:p w14:paraId="58D386C0" w14:textId="34D864DE" w:rsidR="0076553C" w:rsidRPr="005504A7" w:rsidRDefault="005504A7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Hess, C. &amp;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 Ostrom</w:t>
      </w:r>
      <w:r w:rsidRPr="005504A7">
        <w:rPr>
          <w:rFonts w:ascii="Times New Roman" w:eastAsia="Calibri" w:hAnsi="Times New Roman" w:cs="Times New Roman"/>
          <w:sz w:val="24"/>
          <w:szCs w:val="24"/>
        </w:rPr>
        <w:t>, E.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 (2007)</w:t>
      </w:r>
      <w:r w:rsidRPr="005504A7">
        <w:rPr>
          <w:rFonts w:ascii="Times New Roman" w:eastAsia="Calibri" w:hAnsi="Times New Roman" w:cs="Times New Roman"/>
          <w:sz w:val="24"/>
          <w:szCs w:val="24"/>
        </w:rPr>
        <w:t>.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0A27D2">
        <w:rPr>
          <w:rFonts w:ascii="Times New Roman" w:eastAsia="Calibri" w:hAnsi="Times New Roman" w:cs="Times New Roman"/>
          <w:i/>
          <w:sz w:val="24"/>
          <w:szCs w:val="24"/>
        </w:rPr>
        <w:t>Understanding knowledge as a commons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. MIT Press.</w:t>
      </w:r>
    </w:p>
    <w:p w14:paraId="011F9E61" w14:textId="1207CBF1" w:rsidR="00A40378" w:rsidRDefault="008E1B39" w:rsidP="00A40378">
      <w:pPr>
        <w:pStyle w:val="CommentText"/>
        <w:spacing w:line="480" w:lineRule="auto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Hess, C. (2008</w:t>
      </w:r>
      <w:r w:rsidR="00627AC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, 14-18 July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). </w:t>
      </w:r>
      <w:r w:rsidRPr="00627AC9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bdr w:val="none" w:sz="0" w:space="0" w:color="auto"/>
        </w:rPr>
        <w:t xml:space="preserve">Mapping </w:t>
      </w:r>
      <w:r w:rsidR="00627AC9" w:rsidRPr="00627AC9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bdr w:val="none" w:sz="0" w:space="0" w:color="auto"/>
        </w:rPr>
        <w:t>n</w:t>
      </w:r>
      <w:r w:rsidRPr="00627AC9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bdr w:val="none" w:sz="0" w:space="0" w:color="auto"/>
        </w:rPr>
        <w:t xml:space="preserve">ew </w:t>
      </w:r>
      <w:r w:rsidR="00627AC9" w:rsidRPr="00627AC9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bdr w:val="none" w:sz="0" w:space="0" w:color="auto"/>
        </w:rPr>
        <w:t>c</w:t>
      </w:r>
      <w:r w:rsidRPr="00627AC9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bdr w:val="none" w:sz="0" w:space="0" w:color="auto"/>
        </w:rPr>
        <w:t>ommons</w:t>
      </w:r>
      <w:r w:rsidR="00A40378" w:rsidRPr="00A40378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 </w:t>
      </w:r>
      <w:r w:rsidR="00627AC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[conference presentation]. </w:t>
      </w:r>
      <w:r w:rsidR="00A40378" w:rsidRPr="00A40378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Presented at The Twelfth Biennial Conference of the International Association for the Study of the Commons, Cheltenham, UK</w:t>
      </w:r>
      <w:r w:rsidR="00627AC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.</w:t>
      </w:r>
      <w:r w:rsidR="00A40378" w:rsidRPr="00A40378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 </w:t>
      </w:r>
    </w:p>
    <w:p w14:paraId="50279D4A" w14:textId="12CB441B" w:rsidR="00B37F20" w:rsidRPr="00A40378" w:rsidRDefault="00B37F20" w:rsidP="00A40378">
      <w:pPr>
        <w:pStyle w:val="CommentText"/>
        <w:spacing w:line="480" w:lineRule="auto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Huron, A. (2018) </w:t>
      </w:r>
      <w:r w:rsidRPr="00B37F20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bdr w:val="none" w:sz="0" w:space="0" w:color="auto"/>
        </w:rPr>
        <w:t>Carving out the commons: tenant organizing and housing cooperatives in Washington, D.C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. University of Minnesota Press.</w:t>
      </w:r>
    </w:p>
    <w:p w14:paraId="085A317B" w14:textId="7EBBE779" w:rsidR="0076553C" w:rsidRPr="005504A7" w:rsidRDefault="0076553C" w:rsidP="00145F20">
      <w:pPr>
        <w:pStyle w:val="CommentText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Larsen, </w:t>
      </w:r>
      <w:r w:rsidR="005504A7"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H.G. &amp;</w:t>
      </w:r>
      <w:r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 Hansen</w:t>
      </w:r>
      <w:r w:rsidR="005504A7"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, A.L. (2015)</w:t>
      </w:r>
      <w:r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. </w:t>
      </w:r>
      <w:r w:rsidR="005504A7"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>Commodifying Danish housing commons</w:t>
      </w:r>
      <w:r w:rsidRPr="005504A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bdr w:val="none" w:sz="0" w:space="0" w:color="auto"/>
        </w:rPr>
        <w:t xml:space="preserve">. </w:t>
      </w:r>
      <w:hyperlink r:id="rId10" w:history="1">
        <w:r w:rsidRPr="005504A7">
          <w:rPr>
            <w:rFonts w:ascii="Times New Roman" w:hAnsi="Times New Roman" w:cs="Times New Roman"/>
            <w:i/>
            <w:color w:val="auto"/>
            <w:sz w:val="24"/>
            <w:szCs w:val="24"/>
          </w:rPr>
          <w:t>Geografiska Annaler</w:t>
        </w:r>
        <w:r w:rsidR="005504A7" w:rsidRPr="005504A7">
          <w:rPr>
            <w:rFonts w:ascii="Times New Roman" w:hAnsi="Times New Roman" w:cs="Times New Roman"/>
            <w:i/>
            <w:color w:val="auto"/>
            <w:sz w:val="24"/>
            <w:szCs w:val="24"/>
          </w:rPr>
          <w:t>,</w:t>
        </w:r>
        <w:r w:rsidR="005504A7" w:rsidRPr="005504A7">
          <w:rPr>
            <w:rFonts w:ascii="Times New Roman" w:hAnsi="Times New Roman" w:cs="Times New Roman"/>
            <w:color w:val="auto"/>
            <w:sz w:val="24"/>
            <w:szCs w:val="24"/>
          </w:rPr>
          <w:t xml:space="preserve"> 97 (</w:t>
        </w:r>
        <w:r w:rsidRPr="005504A7">
          <w:rPr>
            <w:rFonts w:ascii="Times New Roman" w:hAnsi="Times New Roman" w:cs="Times New Roman"/>
            <w:color w:val="auto"/>
            <w:sz w:val="24"/>
            <w:szCs w:val="24"/>
          </w:rPr>
          <w:t>3</w:t>
        </w:r>
        <w:r w:rsidR="005504A7" w:rsidRPr="005504A7">
          <w:rPr>
            <w:rFonts w:ascii="Times New Roman" w:hAnsi="Times New Roman" w:cs="Times New Roman"/>
            <w:color w:val="auto"/>
            <w:sz w:val="24"/>
            <w:szCs w:val="24"/>
          </w:rPr>
          <w:t>),</w:t>
        </w:r>
        <w:r w:rsidRPr="005504A7">
          <w:rPr>
            <w:rFonts w:ascii="Times New Roman" w:hAnsi="Times New Roman" w:cs="Times New Roman"/>
            <w:color w:val="auto"/>
            <w:sz w:val="24"/>
            <w:szCs w:val="24"/>
          </w:rPr>
          <w:t> </w:t>
        </w:r>
      </w:hyperlink>
      <w:r w:rsidRPr="005504A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263-274</w:t>
      </w:r>
      <w:r w:rsidR="005504A7" w:rsidRPr="005504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728EC77" w14:textId="3D771B1A" w:rsidR="0076553C" w:rsidRPr="005504A7" w:rsidRDefault="005504A7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 xml:space="preserve">Lazarsfeld, P.F. (1937) 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Some remarks on the typologica</w:t>
      </w:r>
      <w:r w:rsidRPr="005504A7">
        <w:rPr>
          <w:rFonts w:ascii="Times New Roman" w:eastAsia="Calibri" w:hAnsi="Times New Roman" w:cs="Times New Roman"/>
          <w:sz w:val="24"/>
          <w:szCs w:val="24"/>
        </w:rPr>
        <w:t>l procedures in social research.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53C" w:rsidRPr="005504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Zeitschrift fur Sozialforschung, </w:t>
      </w:r>
      <w:r w:rsidR="00D22996">
        <w:rPr>
          <w:rFonts w:ascii="Times New Roman" w:eastAsia="Calibri" w:hAnsi="Times New Roman" w:cs="Times New Roman"/>
          <w:sz w:val="24"/>
          <w:szCs w:val="24"/>
        </w:rPr>
        <w:t>6,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 119-139.</w:t>
      </w:r>
    </w:p>
    <w:p w14:paraId="48044E39" w14:textId="4D68BD73" w:rsidR="0076553C" w:rsidRPr="005504A7" w:rsidRDefault="0076553C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Linebaugh, P. (2009)</w:t>
      </w:r>
      <w:r w:rsidR="000A27D2">
        <w:rPr>
          <w:rFonts w:ascii="Times New Roman" w:eastAsia="Calibri" w:hAnsi="Times New Roman" w:cs="Times New Roman"/>
          <w:sz w:val="24"/>
          <w:szCs w:val="24"/>
        </w:rPr>
        <w:t>.</w:t>
      </w:r>
      <w:r w:rsidRPr="005504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27D2">
        <w:rPr>
          <w:rFonts w:ascii="Times New Roman" w:eastAsia="Calibri" w:hAnsi="Times New Roman" w:cs="Times New Roman"/>
          <w:i/>
          <w:sz w:val="24"/>
          <w:szCs w:val="24"/>
        </w:rPr>
        <w:t>The Magna Carta manifesto</w:t>
      </w:r>
      <w:r w:rsidRPr="005504A7">
        <w:rPr>
          <w:rFonts w:ascii="Times New Roman" w:eastAsia="Calibri" w:hAnsi="Times New Roman" w:cs="Times New Roman"/>
          <w:sz w:val="24"/>
          <w:szCs w:val="24"/>
        </w:rPr>
        <w:t>. University of California Press.</w:t>
      </w:r>
    </w:p>
    <w:p w14:paraId="6839B500" w14:textId="794D7C9C" w:rsidR="0076553C" w:rsidRPr="005504A7" w:rsidRDefault="005504A7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Lowe, J. S. &amp; Thaden, E. (2016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). Deepening stewardship. </w:t>
      </w:r>
      <w:r w:rsidR="0076553C" w:rsidRPr="005504A7">
        <w:rPr>
          <w:rFonts w:ascii="Times New Roman" w:eastAsia="Calibri" w:hAnsi="Times New Roman" w:cs="Times New Roman"/>
          <w:i/>
          <w:sz w:val="24"/>
          <w:szCs w:val="24"/>
        </w:rPr>
        <w:t>Urban Geography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, 4, 611–628.</w:t>
      </w:r>
    </w:p>
    <w:p w14:paraId="0888E52B" w14:textId="7E73AA60" w:rsidR="000A27D2" w:rsidRPr="005504A7" w:rsidRDefault="004B7DBA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Midheme, E. &amp;</w:t>
      </w:r>
      <w:r w:rsidR="000A27D2">
        <w:rPr>
          <w:rFonts w:ascii="Times New Roman" w:eastAsia="Calibri" w:hAnsi="Times New Roman" w:cs="Times New Roman"/>
          <w:sz w:val="24"/>
          <w:szCs w:val="24"/>
        </w:rPr>
        <w:t xml:space="preserve"> Moulaert, F. (2013) Pushing back the frontiers of property. </w:t>
      </w:r>
      <w:r w:rsidR="000A27D2" w:rsidRPr="000A27D2">
        <w:rPr>
          <w:rFonts w:ascii="Times New Roman" w:eastAsia="Calibri" w:hAnsi="Times New Roman" w:cs="Times New Roman"/>
          <w:i/>
          <w:sz w:val="24"/>
          <w:szCs w:val="24"/>
        </w:rPr>
        <w:t>Land Use Policy</w:t>
      </w:r>
      <w:r w:rsidR="000A27D2">
        <w:rPr>
          <w:rFonts w:ascii="Times New Roman" w:eastAsia="Calibri" w:hAnsi="Times New Roman" w:cs="Times New Roman"/>
          <w:sz w:val="24"/>
          <w:szCs w:val="24"/>
        </w:rPr>
        <w:t>, 35, 73-84.</w:t>
      </w:r>
    </w:p>
    <w:p w14:paraId="2965218A" w14:textId="42770DDA" w:rsidR="0076553C" w:rsidRPr="005504A7" w:rsidRDefault="0076553C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>Moulaert</w:t>
      </w:r>
      <w:r w:rsidR="00145F20">
        <w:rPr>
          <w:rFonts w:ascii="Times New Roman" w:eastAsia="Calibri" w:hAnsi="Times New Roman" w:cs="Times New Roman"/>
          <w:sz w:val="24"/>
          <w:szCs w:val="24"/>
          <w:lang w:val="nl-NL"/>
        </w:rPr>
        <w:t>,</w:t>
      </w: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F</w:t>
      </w:r>
      <w:r w:rsidR="00145F20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>, Martinelli</w:t>
      </w:r>
      <w:r w:rsidR="00145F20">
        <w:rPr>
          <w:rFonts w:ascii="Times New Roman" w:eastAsia="Calibri" w:hAnsi="Times New Roman" w:cs="Times New Roman"/>
          <w:sz w:val="24"/>
          <w:szCs w:val="24"/>
          <w:lang w:val="nl-NL"/>
        </w:rPr>
        <w:t>,</w:t>
      </w: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F</w:t>
      </w:r>
      <w:r w:rsidR="00145F20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>, Swyngedouw</w:t>
      </w:r>
      <w:r w:rsidR="00145F20">
        <w:rPr>
          <w:rFonts w:ascii="Times New Roman" w:eastAsia="Calibri" w:hAnsi="Times New Roman" w:cs="Times New Roman"/>
          <w:sz w:val="24"/>
          <w:szCs w:val="24"/>
          <w:lang w:val="nl-NL"/>
        </w:rPr>
        <w:t>,</w:t>
      </w: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E</w:t>
      </w:r>
      <w:r w:rsidR="00145F20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>,</w:t>
      </w:r>
      <w:r w:rsidR="004B7DBA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&amp;</w:t>
      </w:r>
      <w:r w:rsidR="00145F2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Gonzalez, S.</w:t>
      </w: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(2005) Towards alternative model(s) of local innovation. </w:t>
      </w:r>
      <w:r w:rsidRPr="005504A7">
        <w:rPr>
          <w:rFonts w:ascii="Times New Roman" w:eastAsia="Calibri" w:hAnsi="Times New Roman" w:cs="Times New Roman"/>
          <w:i/>
          <w:sz w:val="24"/>
          <w:szCs w:val="24"/>
          <w:lang w:val="nl-NL"/>
        </w:rPr>
        <w:t>Urban Studies</w:t>
      </w:r>
      <w:r w:rsidR="00145F20">
        <w:rPr>
          <w:rFonts w:ascii="Times New Roman" w:eastAsia="Calibri" w:hAnsi="Times New Roman" w:cs="Times New Roman"/>
          <w:i/>
          <w:sz w:val="24"/>
          <w:szCs w:val="24"/>
          <w:lang w:val="nl-NL"/>
        </w:rPr>
        <w:t>,</w:t>
      </w:r>
      <w:r w:rsidR="00145F2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42(11),</w:t>
      </w:r>
      <w:r w:rsidRPr="005504A7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1969</w:t>
      </w:r>
      <w:r w:rsidRPr="005504A7">
        <w:rPr>
          <w:rFonts w:ascii="Times New Roman" w:eastAsia="Calibri" w:hAnsi="Times New Roman" w:cs="Times New Roman"/>
          <w:sz w:val="24"/>
          <w:szCs w:val="24"/>
        </w:rPr>
        <w:t>–1990.</w:t>
      </w:r>
    </w:p>
    <w:p w14:paraId="27C4747D" w14:textId="1F75596E" w:rsidR="0076553C" w:rsidRPr="005504A7" w:rsidRDefault="005504A7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>Moore, T. &amp;</w:t>
      </w:r>
      <w:r w:rsidR="00FF1494" w:rsidRPr="005504A7">
        <w:rPr>
          <w:rFonts w:ascii="Times New Roman" w:eastAsia="Calibri" w:hAnsi="Times New Roman" w:cs="Times New Roman"/>
          <w:sz w:val="24"/>
          <w:szCs w:val="24"/>
        </w:rPr>
        <w:t xml:space="preserve"> McKee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>, K. (2012)</w:t>
      </w:r>
      <w:r w:rsidR="0076553C" w:rsidRPr="005504A7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GB"/>
        </w:rPr>
        <w:t xml:space="preserve"> </w:t>
      </w:r>
      <w:r w:rsidR="0076553C" w:rsidRPr="005504A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Empowering </w:t>
      </w:r>
      <w:r w:rsidR="00800324">
        <w:rPr>
          <w:rFonts w:ascii="Times New Roman" w:eastAsia="Calibri" w:hAnsi="Times New Roman" w:cs="Times New Roman"/>
          <w:sz w:val="24"/>
          <w:szCs w:val="24"/>
          <w:lang w:val="en-GB"/>
        </w:rPr>
        <w:t>l</w:t>
      </w:r>
      <w:r w:rsidR="0076553C" w:rsidRPr="005504A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ocal </w:t>
      </w:r>
      <w:r w:rsidR="00800324">
        <w:rPr>
          <w:rFonts w:ascii="Times New Roman" w:eastAsia="Calibri" w:hAnsi="Times New Roman" w:cs="Times New Roman"/>
          <w:sz w:val="24"/>
          <w:szCs w:val="24"/>
          <w:lang w:val="en-GB"/>
        </w:rPr>
        <w:t>c</w:t>
      </w:r>
      <w:r w:rsidR="0076553C" w:rsidRPr="005504A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ommunities? </w:t>
      </w:r>
      <w:r w:rsidR="0076553C" w:rsidRPr="005504A7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Housing Studies</w:t>
      </w:r>
      <w:r w:rsidRPr="005504A7">
        <w:rPr>
          <w:rFonts w:ascii="Times New Roman" w:eastAsia="Calibri" w:hAnsi="Times New Roman" w:cs="Times New Roman"/>
          <w:sz w:val="24"/>
          <w:szCs w:val="24"/>
          <w:lang w:val="en-GB"/>
        </w:rPr>
        <w:t>, 27(2), 280-290,</w:t>
      </w:r>
    </w:p>
    <w:p w14:paraId="0768B370" w14:textId="7FA68915" w:rsidR="00FF1494" w:rsidRPr="005504A7" w:rsidRDefault="005504A7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504A7">
        <w:rPr>
          <w:rFonts w:ascii="Times New Roman" w:eastAsia="Calibri" w:hAnsi="Times New Roman" w:cs="Times New Roman"/>
          <w:sz w:val="24"/>
          <w:szCs w:val="24"/>
          <w:lang w:val="en-GB"/>
        </w:rPr>
        <w:t>Moore, T. &amp; Northcott. R.</w:t>
      </w:r>
      <w:r w:rsidR="00FF1494" w:rsidRPr="005504A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504A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(2010). </w:t>
      </w:r>
      <w:r w:rsidRPr="00483B2B">
        <w:rPr>
          <w:rFonts w:ascii="Times New Roman" w:eastAsia="Calibri" w:hAnsi="Times New Roman" w:cs="Times New Roman"/>
          <w:i/>
          <w:sz w:val="24"/>
          <w:szCs w:val="24"/>
          <w:lang w:val="en-GB"/>
        </w:rPr>
        <w:t>Delivering homes and assets with c</w:t>
      </w:r>
      <w:r w:rsidR="00FF1494" w:rsidRPr="00483B2B">
        <w:rPr>
          <w:rFonts w:ascii="Times New Roman" w:eastAsia="Calibri" w:hAnsi="Times New Roman" w:cs="Times New Roman"/>
          <w:i/>
          <w:sz w:val="24"/>
          <w:szCs w:val="24"/>
          <w:lang w:val="en-GB"/>
        </w:rPr>
        <w:t>ommunities</w:t>
      </w:r>
      <w:r w:rsidR="00483B2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Pr="005504A7">
        <w:rPr>
          <w:rFonts w:ascii="Times New Roman" w:eastAsia="Calibri" w:hAnsi="Times New Roman" w:cs="Times New Roman"/>
          <w:sz w:val="24"/>
          <w:szCs w:val="24"/>
          <w:lang w:val="en-GB"/>
        </w:rPr>
        <w:t>University of Salford</w:t>
      </w:r>
      <w:r w:rsidR="00B37F20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6B5B295" w14:textId="7B96C411" w:rsidR="0076553C" w:rsidRPr="005504A7" w:rsidRDefault="005504A7">
      <w:pPr>
        <w:pStyle w:val="CommentText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04A7">
        <w:rPr>
          <w:rFonts w:ascii="Times New Roman" w:hAnsi="Times New Roman" w:cs="Times New Roman"/>
          <w:sz w:val="24"/>
          <w:szCs w:val="24"/>
        </w:rPr>
        <w:t>Nonini, D</w:t>
      </w:r>
      <w:r w:rsidR="0076553C" w:rsidRPr="005504A7">
        <w:rPr>
          <w:rFonts w:ascii="Times New Roman" w:hAnsi="Times New Roman" w:cs="Times New Roman"/>
          <w:sz w:val="24"/>
          <w:szCs w:val="24"/>
        </w:rPr>
        <w:t>.</w:t>
      </w:r>
      <w:r w:rsidRPr="005504A7">
        <w:rPr>
          <w:rFonts w:ascii="Times New Roman" w:hAnsi="Times New Roman" w:cs="Times New Roman"/>
          <w:sz w:val="24"/>
          <w:szCs w:val="24"/>
        </w:rPr>
        <w:t xml:space="preserve"> (2017). </w:t>
      </w:r>
      <w:r w:rsidR="0076553C" w:rsidRPr="005504A7">
        <w:rPr>
          <w:rFonts w:ascii="Times New Roman" w:hAnsi="Times New Roman" w:cs="Times New Roman"/>
          <w:sz w:val="24"/>
          <w:szCs w:val="24"/>
        </w:rPr>
        <w:t xml:space="preserve">Theorizing the </w:t>
      </w:r>
      <w:r w:rsidRPr="005504A7">
        <w:rPr>
          <w:rFonts w:ascii="Times New Roman" w:hAnsi="Times New Roman" w:cs="Times New Roman"/>
          <w:sz w:val="24"/>
          <w:szCs w:val="24"/>
        </w:rPr>
        <w:t>u</w:t>
      </w:r>
      <w:r w:rsidR="0076553C" w:rsidRPr="005504A7">
        <w:rPr>
          <w:rFonts w:ascii="Times New Roman" w:hAnsi="Times New Roman" w:cs="Times New Roman"/>
          <w:sz w:val="24"/>
          <w:szCs w:val="24"/>
        </w:rPr>
        <w:t xml:space="preserve">rban </w:t>
      </w:r>
      <w:r w:rsidRPr="005504A7">
        <w:rPr>
          <w:rFonts w:ascii="Times New Roman" w:hAnsi="Times New Roman" w:cs="Times New Roman"/>
          <w:sz w:val="24"/>
          <w:szCs w:val="24"/>
        </w:rPr>
        <w:t>h</w:t>
      </w:r>
      <w:r w:rsidR="0076553C" w:rsidRPr="005504A7">
        <w:rPr>
          <w:rFonts w:ascii="Times New Roman" w:hAnsi="Times New Roman" w:cs="Times New Roman"/>
          <w:sz w:val="24"/>
          <w:szCs w:val="24"/>
        </w:rPr>
        <w:t xml:space="preserve">ousing </w:t>
      </w:r>
      <w:r w:rsidRPr="005504A7">
        <w:rPr>
          <w:rFonts w:ascii="Times New Roman" w:hAnsi="Times New Roman" w:cs="Times New Roman"/>
          <w:sz w:val="24"/>
          <w:szCs w:val="24"/>
        </w:rPr>
        <w:t>c</w:t>
      </w:r>
      <w:r w:rsidR="00483B2B">
        <w:rPr>
          <w:rFonts w:ascii="Times New Roman" w:hAnsi="Times New Roman" w:cs="Times New Roman"/>
          <w:sz w:val="24"/>
          <w:szCs w:val="24"/>
        </w:rPr>
        <w:t>ommons</w:t>
      </w:r>
      <w:r w:rsidR="0076553C" w:rsidRPr="005504A7">
        <w:rPr>
          <w:rFonts w:ascii="Times New Roman" w:hAnsi="Times New Roman" w:cs="Times New Roman"/>
          <w:sz w:val="24"/>
          <w:szCs w:val="24"/>
        </w:rPr>
        <w:t xml:space="preserve">. </w:t>
      </w:r>
      <w:r w:rsidR="0076553C" w:rsidRPr="005504A7">
        <w:rPr>
          <w:rFonts w:ascii="Times New Roman" w:hAnsi="Times New Roman" w:cs="Times New Roman"/>
          <w:i/>
          <w:sz w:val="24"/>
          <w:szCs w:val="24"/>
        </w:rPr>
        <w:t>Focaal</w:t>
      </w:r>
      <w:r w:rsidRPr="005504A7">
        <w:rPr>
          <w:rFonts w:ascii="Times New Roman" w:hAnsi="Times New Roman" w:cs="Times New Roman"/>
          <w:sz w:val="24"/>
          <w:szCs w:val="24"/>
        </w:rPr>
        <w:t xml:space="preserve"> 79</w:t>
      </w:r>
      <w:r w:rsidR="0076553C" w:rsidRPr="005504A7">
        <w:rPr>
          <w:rFonts w:ascii="Times New Roman" w:hAnsi="Times New Roman" w:cs="Times New Roman"/>
          <w:sz w:val="24"/>
          <w:szCs w:val="24"/>
        </w:rPr>
        <w:t xml:space="preserve">: 23–38. </w:t>
      </w:r>
    </w:p>
    <w:p w14:paraId="7390C96E" w14:textId="5B8C46D3" w:rsidR="0076553C" w:rsidRDefault="0076553C" w:rsidP="00145F20">
      <w:pPr>
        <w:pStyle w:val="Body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4A7">
        <w:rPr>
          <w:rFonts w:ascii="Times New Roman" w:eastAsia="Calibri" w:hAnsi="Times New Roman" w:cs="Times New Roman"/>
          <w:sz w:val="24"/>
          <w:szCs w:val="24"/>
        </w:rPr>
        <w:t xml:space="preserve">Ostrom, E. (1990) </w:t>
      </w:r>
      <w:r w:rsidRPr="00483B2B">
        <w:rPr>
          <w:rFonts w:ascii="Times New Roman" w:eastAsia="Calibri" w:hAnsi="Times New Roman" w:cs="Times New Roman"/>
          <w:i/>
          <w:sz w:val="24"/>
          <w:szCs w:val="24"/>
        </w:rPr>
        <w:t>Governing the commons</w:t>
      </w:r>
      <w:r w:rsidRPr="005504A7">
        <w:rPr>
          <w:rFonts w:ascii="Times New Roman" w:eastAsia="Calibri" w:hAnsi="Times New Roman" w:cs="Times New Roman"/>
          <w:sz w:val="24"/>
          <w:szCs w:val="24"/>
        </w:rPr>
        <w:t>. Cambridge University Press.</w:t>
      </w:r>
    </w:p>
    <w:p w14:paraId="3F09B45F" w14:textId="1B955C09" w:rsidR="00BF2031" w:rsidRPr="003A69F3" w:rsidRDefault="00BF2031" w:rsidP="008003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</w:pPr>
      <w:r w:rsidRPr="00800324">
        <w:rPr>
          <w:lang w:eastAsia="en-GB"/>
        </w:rPr>
        <w:t>Pickerill, J. (2016). Building the</w:t>
      </w:r>
      <w:r w:rsidR="00B13FDD">
        <w:rPr>
          <w:lang w:eastAsia="en-GB"/>
        </w:rPr>
        <w:t xml:space="preserve"> c</w:t>
      </w:r>
      <w:r w:rsidRPr="00800324">
        <w:rPr>
          <w:lang w:eastAsia="en-GB"/>
        </w:rPr>
        <w:t xml:space="preserve">ommons in </w:t>
      </w:r>
      <w:r w:rsidR="00B13FDD">
        <w:rPr>
          <w:lang w:eastAsia="en-GB"/>
        </w:rPr>
        <w:t>e</w:t>
      </w:r>
      <w:r w:rsidRPr="00800324">
        <w:rPr>
          <w:lang w:eastAsia="en-GB"/>
        </w:rPr>
        <w:t>co-communities. In S. Kirwan, L.</w:t>
      </w:r>
      <w:r w:rsidRPr="00800324">
        <w:t>Dawney, and J. Brigstocke</w:t>
      </w:r>
      <w:r w:rsidRPr="00800324">
        <w:rPr>
          <w:lang w:eastAsia="en-GB"/>
        </w:rPr>
        <w:t xml:space="preserve"> (Eds.) </w:t>
      </w:r>
      <w:r w:rsidRPr="00800324">
        <w:rPr>
          <w:i/>
          <w:iCs/>
          <w:lang w:eastAsia="en-GB"/>
        </w:rPr>
        <w:t xml:space="preserve">Space, </w:t>
      </w:r>
      <w:r w:rsidR="00B13FDD">
        <w:rPr>
          <w:i/>
          <w:iCs/>
          <w:lang w:eastAsia="en-GB"/>
        </w:rPr>
        <w:t>p</w:t>
      </w:r>
      <w:r w:rsidRPr="00800324">
        <w:rPr>
          <w:i/>
          <w:iCs/>
          <w:lang w:eastAsia="en-GB"/>
        </w:rPr>
        <w:t xml:space="preserve">ower and the </w:t>
      </w:r>
      <w:r w:rsidR="00B13FDD">
        <w:rPr>
          <w:i/>
          <w:iCs/>
          <w:lang w:eastAsia="en-GB"/>
        </w:rPr>
        <w:t>c</w:t>
      </w:r>
      <w:r w:rsidRPr="00800324">
        <w:rPr>
          <w:i/>
          <w:iCs/>
          <w:lang w:eastAsia="en-GB"/>
        </w:rPr>
        <w:t>ommons</w:t>
      </w:r>
      <w:r w:rsidRPr="00800324">
        <w:rPr>
          <w:lang w:eastAsia="en-GB"/>
        </w:rPr>
        <w:t xml:space="preserve"> </w:t>
      </w:r>
      <w:r w:rsidR="00B13FDD">
        <w:rPr>
          <w:lang w:eastAsia="en-GB"/>
        </w:rPr>
        <w:t xml:space="preserve">(pp. </w:t>
      </w:r>
      <w:r w:rsidRPr="00800324">
        <w:t>31–67</w:t>
      </w:r>
      <w:r w:rsidR="00B13FDD">
        <w:t>)</w:t>
      </w:r>
      <w:r w:rsidRPr="00800324">
        <w:t>. London: Routledge.</w:t>
      </w:r>
    </w:p>
    <w:p w14:paraId="624E6C1B" w14:textId="21E1887C" w:rsidR="0076553C" w:rsidRPr="00F316D2" w:rsidRDefault="00483B2B" w:rsidP="00145F20">
      <w:pPr>
        <w:pStyle w:val="Body"/>
        <w:tabs>
          <w:tab w:val="left" w:pos="99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D2">
        <w:rPr>
          <w:rFonts w:ascii="Times New Roman" w:eastAsia="Calibri" w:hAnsi="Times New Roman" w:cs="Times New Roman"/>
          <w:sz w:val="24"/>
          <w:szCs w:val="24"/>
        </w:rPr>
        <w:t xml:space="preserve">Ragin, C. </w:t>
      </w:r>
      <w:r w:rsidR="0076553C" w:rsidRPr="00F316D2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F316D2">
        <w:rPr>
          <w:rFonts w:ascii="Times New Roman" w:eastAsia="Calibri" w:hAnsi="Times New Roman" w:cs="Times New Roman"/>
          <w:sz w:val="24"/>
          <w:szCs w:val="24"/>
        </w:rPr>
        <w:t xml:space="preserve">(2000). </w:t>
      </w:r>
      <w:r w:rsidRPr="00F316D2">
        <w:rPr>
          <w:rFonts w:ascii="Times New Roman" w:eastAsia="Calibri" w:hAnsi="Times New Roman" w:cs="Times New Roman"/>
          <w:i/>
          <w:sz w:val="24"/>
          <w:szCs w:val="24"/>
        </w:rPr>
        <w:t>Fuzzy-set social science</w:t>
      </w:r>
      <w:r w:rsidRPr="00F316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6553C" w:rsidRPr="00F316D2">
        <w:rPr>
          <w:rFonts w:ascii="Times New Roman" w:eastAsia="Calibri" w:hAnsi="Times New Roman" w:cs="Times New Roman"/>
          <w:sz w:val="24"/>
          <w:szCs w:val="24"/>
        </w:rPr>
        <w:t>Chicago University Press</w:t>
      </w:r>
      <w:r w:rsidRPr="00F316D2">
        <w:rPr>
          <w:rFonts w:ascii="Times New Roman" w:eastAsia="Calibri" w:hAnsi="Times New Roman" w:cs="Times New Roman"/>
          <w:sz w:val="24"/>
          <w:szCs w:val="24"/>
        </w:rPr>
        <w:t>.</w:t>
      </w:r>
      <w:r w:rsidR="0076553C" w:rsidRPr="00F316D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643DAF52" w14:textId="59F58041" w:rsidR="005F329A" w:rsidRPr="00F316D2" w:rsidRDefault="00627AC9" w:rsidP="00145F20">
      <w:pPr>
        <w:pStyle w:val="Body"/>
        <w:tabs>
          <w:tab w:val="left" w:pos="99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Rihoux, B.</w:t>
      </w:r>
      <w:r w:rsidR="005F329A" w:rsidRPr="00F316D2">
        <w:rPr>
          <w:rFonts w:ascii="Times New Roman" w:eastAsia="Calibri" w:hAnsi="Times New Roman" w:cs="Times New Roman"/>
          <w:sz w:val="24"/>
          <w:szCs w:val="24"/>
        </w:rPr>
        <w:t xml:space="preserve"> &amp; Ragin, C. C. (2009). </w:t>
      </w:r>
      <w:r w:rsidR="005F329A" w:rsidRPr="00800324">
        <w:rPr>
          <w:rFonts w:ascii="Times New Roman" w:eastAsia="Calibri" w:hAnsi="Times New Roman" w:cs="Times New Roman"/>
          <w:i/>
          <w:iCs/>
          <w:sz w:val="24"/>
          <w:szCs w:val="24"/>
        </w:rPr>
        <w:t>Configurational comparative methods</w:t>
      </w:r>
      <w:r w:rsidR="00B13FD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5F329A" w:rsidRPr="00F316D2">
        <w:rPr>
          <w:rFonts w:ascii="Times New Roman" w:eastAsia="Calibri" w:hAnsi="Times New Roman" w:cs="Times New Roman"/>
          <w:sz w:val="24"/>
          <w:szCs w:val="24"/>
        </w:rPr>
        <w:t xml:space="preserve"> SAGE</w:t>
      </w:r>
      <w:r w:rsidR="00800324">
        <w:rPr>
          <w:rFonts w:ascii="Times New Roman" w:eastAsia="Calibri" w:hAnsi="Times New Roman" w:cs="Times New Roman"/>
          <w:sz w:val="24"/>
          <w:szCs w:val="24"/>
        </w:rPr>
        <w:t>.</w:t>
      </w:r>
      <w:r w:rsidR="005F329A" w:rsidRPr="00F316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9661AB" w14:textId="491E93F7" w:rsidR="0076553C" w:rsidRPr="00F316D2" w:rsidRDefault="0076553C" w:rsidP="00145F20">
      <w:pPr>
        <w:pStyle w:val="Body"/>
        <w:tabs>
          <w:tab w:val="left" w:pos="9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D2">
        <w:rPr>
          <w:rFonts w:ascii="Times New Roman" w:hAnsi="Times New Roman" w:cs="Times New Roman"/>
          <w:sz w:val="24"/>
          <w:szCs w:val="24"/>
        </w:rPr>
        <w:t>Robinson, J. N. (2020)</w:t>
      </w:r>
      <w:r w:rsidR="00F41A07" w:rsidRPr="00F316D2">
        <w:rPr>
          <w:rFonts w:ascii="Times New Roman" w:hAnsi="Times New Roman" w:cs="Times New Roman"/>
          <w:sz w:val="24"/>
          <w:szCs w:val="24"/>
        </w:rPr>
        <w:t>. Capitalizing on community.</w:t>
      </w:r>
      <w:r w:rsidRPr="00F316D2">
        <w:rPr>
          <w:rFonts w:ascii="Times New Roman" w:hAnsi="Times New Roman" w:cs="Times New Roman"/>
          <w:sz w:val="24"/>
          <w:szCs w:val="24"/>
        </w:rPr>
        <w:t xml:space="preserve"> </w:t>
      </w:r>
      <w:r w:rsidRPr="00F316D2">
        <w:rPr>
          <w:rFonts w:ascii="Times New Roman" w:hAnsi="Times New Roman" w:cs="Times New Roman"/>
          <w:i/>
          <w:sz w:val="24"/>
          <w:szCs w:val="24"/>
        </w:rPr>
        <w:t>Politics &amp; Society</w:t>
      </w:r>
      <w:r w:rsidR="00F41A07" w:rsidRPr="00F316D2">
        <w:rPr>
          <w:rFonts w:ascii="Times New Roman" w:hAnsi="Times New Roman" w:cs="Times New Roman"/>
          <w:i/>
          <w:sz w:val="24"/>
          <w:szCs w:val="24"/>
        </w:rPr>
        <w:t>,</w:t>
      </w:r>
      <w:r w:rsidRPr="00F316D2">
        <w:rPr>
          <w:rFonts w:ascii="Times New Roman" w:hAnsi="Times New Roman" w:cs="Times New Roman"/>
          <w:sz w:val="24"/>
          <w:szCs w:val="24"/>
        </w:rPr>
        <w:t xml:space="preserve"> 48(2), 171-198.</w:t>
      </w:r>
    </w:p>
    <w:p w14:paraId="792DB29C" w14:textId="30106DE1" w:rsidR="0076553C" w:rsidRPr="00283827" w:rsidRDefault="00F41A07" w:rsidP="00283827">
      <w:pPr>
        <w:pStyle w:val="Body"/>
        <w:tabs>
          <w:tab w:val="left" w:pos="9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D2">
        <w:rPr>
          <w:rFonts w:ascii="Times New Roman" w:hAnsi="Times New Roman" w:cs="Times New Roman"/>
          <w:sz w:val="24"/>
          <w:szCs w:val="24"/>
        </w:rPr>
        <w:t>Rosenberg, G. &amp;</w:t>
      </w:r>
      <w:r w:rsidR="0076553C" w:rsidRPr="00F316D2">
        <w:rPr>
          <w:rFonts w:ascii="Times New Roman" w:hAnsi="Times New Roman" w:cs="Times New Roman"/>
          <w:sz w:val="24"/>
          <w:szCs w:val="24"/>
        </w:rPr>
        <w:t xml:space="preserve"> Yuen</w:t>
      </w:r>
      <w:r w:rsidRPr="00F316D2">
        <w:rPr>
          <w:rFonts w:ascii="Times New Roman" w:hAnsi="Times New Roman" w:cs="Times New Roman"/>
          <w:sz w:val="24"/>
          <w:szCs w:val="24"/>
        </w:rPr>
        <w:t>, J. (2012)</w:t>
      </w:r>
      <w:r w:rsidR="0076553C" w:rsidRPr="00F316D2">
        <w:rPr>
          <w:rFonts w:ascii="Times New Roman" w:hAnsi="Times New Roman" w:cs="Times New Roman"/>
          <w:sz w:val="24"/>
          <w:szCs w:val="24"/>
        </w:rPr>
        <w:t xml:space="preserve"> </w:t>
      </w:r>
      <w:r w:rsidR="007077F8" w:rsidRPr="00F316D2">
        <w:rPr>
          <w:rFonts w:ascii="Times New Roman" w:hAnsi="Times New Roman" w:cs="Times New Roman"/>
          <w:i/>
          <w:sz w:val="24"/>
          <w:szCs w:val="24"/>
        </w:rPr>
        <w:t>Beyond h</w:t>
      </w:r>
      <w:r w:rsidRPr="00F316D2">
        <w:rPr>
          <w:rFonts w:ascii="Times New Roman" w:hAnsi="Times New Roman" w:cs="Times New Roman"/>
          <w:i/>
          <w:sz w:val="24"/>
          <w:szCs w:val="24"/>
        </w:rPr>
        <w:t>ousing</w:t>
      </w:r>
      <w:r w:rsidR="0076553C" w:rsidRPr="00F316D2">
        <w:rPr>
          <w:rFonts w:ascii="Times New Roman" w:hAnsi="Times New Roman" w:cs="Times New Roman"/>
          <w:i/>
          <w:sz w:val="24"/>
          <w:szCs w:val="24"/>
        </w:rPr>
        <w:t>.</w:t>
      </w:r>
      <w:r w:rsidR="0076553C" w:rsidRPr="00F316D2">
        <w:rPr>
          <w:rFonts w:ascii="Times New Roman" w:hAnsi="Times New Roman" w:cs="Times New Roman"/>
          <w:sz w:val="24"/>
          <w:szCs w:val="24"/>
        </w:rPr>
        <w:t xml:space="preserve"> Lincol</w:t>
      </w:r>
      <w:r w:rsidRPr="00F316D2">
        <w:rPr>
          <w:rFonts w:ascii="Times New Roman" w:hAnsi="Times New Roman" w:cs="Times New Roman"/>
          <w:sz w:val="24"/>
          <w:szCs w:val="24"/>
        </w:rPr>
        <w:t>n Institute of Land</w:t>
      </w:r>
      <w:r w:rsidRPr="00283827">
        <w:rPr>
          <w:rFonts w:ascii="Times New Roman" w:hAnsi="Times New Roman" w:cs="Times New Roman"/>
          <w:sz w:val="24"/>
          <w:szCs w:val="24"/>
        </w:rPr>
        <w:t xml:space="preserve"> Policy</w:t>
      </w:r>
      <w:r w:rsidR="0076553C" w:rsidRPr="00283827">
        <w:rPr>
          <w:rFonts w:ascii="Times New Roman" w:hAnsi="Times New Roman" w:cs="Times New Roman"/>
          <w:sz w:val="24"/>
          <w:szCs w:val="24"/>
        </w:rPr>
        <w:t>.</w:t>
      </w:r>
    </w:p>
    <w:p w14:paraId="20DE3EE0" w14:textId="019935D8" w:rsidR="00283827" w:rsidRPr="00283827" w:rsidRDefault="00627AC9" w:rsidP="00283827">
      <w:pPr>
        <w:spacing w:after="200" w:line="480" w:lineRule="auto"/>
        <w:jc w:val="both"/>
      </w:pPr>
      <w:r>
        <w:rPr>
          <w:rFonts w:eastAsia="Calibri"/>
          <w:noProof/>
          <w:lang w:val="en-US"/>
        </w:rPr>
        <w:t xml:space="preserve">Rowe, M., Engelsman, U. </w:t>
      </w:r>
      <w:r w:rsidR="00283827" w:rsidRPr="00283827">
        <w:rPr>
          <w:rFonts w:eastAsia="Calibri"/>
          <w:noProof/>
          <w:lang w:val="en-US"/>
        </w:rPr>
        <w:t xml:space="preserve"> </w:t>
      </w:r>
      <w:r>
        <w:rPr>
          <w:rFonts w:eastAsia="Calibri"/>
          <w:noProof/>
          <w:lang w:val="en-US"/>
        </w:rPr>
        <w:t xml:space="preserve">&amp; </w:t>
      </w:r>
      <w:r w:rsidR="00283827" w:rsidRPr="00283827">
        <w:rPr>
          <w:rFonts w:eastAsia="Calibri"/>
          <w:noProof/>
          <w:lang w:val="en-US"/>
        </w:rPr>
        <w:t xml:space="preserve">Southern, A. (2016). Community land trusts - a radical or reformist response to the housing question today? </w:t>
      </w:r>
      <w:r w:rsidR="00283827" w:rsidRPr="00283827">
        <w:rPr>
          <w:rFonts w:eastAsia="Calibri"/>
          <w:i/>
          <w:noProof/>
          <w:lang w:val="en-US"/>
        </w:rPr>
        <w:t xml:space="preserve">Acme, </w:t>
      </w:r>
      <w:r w:rsidR="00283827" w:rsidRPr="00283827">
        <w:rPr>
          <w:rFonts w:eastAsia="Calibri"/>
          <w:noProof/>
          <w:lang w:val="en-US"/>
        </w:rPr>
        <w:t xml:space="preserve">15(3), 590- 615. </w:t>
      </w:r>
    </w:p>
    <w:p w14:paraId="0079D2A6" w14:textId="43A56F95" w:rsidR="0076553C" w:rsidRPr="005504A7" w:rsidRDefault="00483B2B" w:rsidP="00145F20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Schneider, C.Q. &amp;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 Wagemann, C. (2012) </w:t>
      </w:r>
      <w:r w:rsidR="0076553C" w:rsidRPr="005504A7">
        <w:rPr>
          <w:rFonts w:ascii="Times New Roman" w:eastAsia="Calibri" w:hAnsi="Times New Roman" w:cs="Times New Roman"/>
          <w:i/>
          <w:iCs/>
          <w:sz w:val="24"/>
          <w:szCs w:val="24"/>
        </w:rPr>
        <w:t>Set-theoretic methods in the social sciences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6553C" w:rsidRPr="005504A7">
        <w:rPr>
          <w:rFonts w:ascii="Times New Roman" w:eastAsia="Calibri" w:hAnsi="Times New Roman" w:cs="Times New Roman"/>
          <w:sz w:val="24"/>
          <w:szCs w:val="24"/>
        </w:rPr>
        <w:t xml:space="preserve">Cambridge University Press. </w:t>
      </w:r>
    </w:p>
    <w:p w14:paraId="4750B842" w14:textId="7F4872DB" w:rsidR="0076553C" w:rsidRPr="005417A5" w:rsidRDefault="0076553C">
      <w:pPr>
        <w:pStyle w:val="Body"/>
        <w:tabs>
          <w:tab w:val="left" w:pos="9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96">
        <w:rPr>
          <w:rFonts w:ascii="Times New Roman" w:hAnsi="Times New Roman" w:cs="Times New Roman"/>
          <w:sz w:val="24"/>
          <w:szCs w:val="24"/>
        </w:rPr>
        <w:t>Stern, P., Dietz,</w:t>
      </w:r>
      <w:r w:rsidRPr="005504A7">
        <w:rPr>
          <w:rFonts w:ascii="Times New Roman" w:hAnsi="Times New Roman" w:cs="Times New Roman"/>
          <w:sz w:val="24"/>
          <w:szCs w:val="24"/>
        </w:rPr>
        <w:t xml:space="preserve"> T., </w:t>
      </w:r>
      <w:r w:rsidR="00D22996">
        <w:rPr>
          <w:rFonts w:ascii="Times New Roman" w:hAnsi="Times New Roman" w:cs="Times New Roman"/>
          <w:sz w:val="24"/>
          <w:szCs w:val="24"/>
        </w:rPr>
        <w:t xml:space="preserve">Dolsˇak, N., Ostrom, E. &amp; </w:t>
      </w:r>
      <w:r w:rsidRPr="005504A7">
        <w:rPr>
          <w:rFonts w:ascii="Times New Roman" w:hAnsi="Times New Roman" w:cs="Times New Roman"/>
          <w:sz w:val="24"/>
          <w:szCs w:val="24"/>
        </w:rPr>
        <w:t>Stonich, S.</w:t>
      </w:r>
      <w:r w:rsidR="00F41A07" w:rsidRPr="005504A7">
        <w:rPr>
          <w:rFonts w:ascii="Times New Roman" w:hAnsi="Times New Roman" w:cs="Times New Roman"/>
          <w:sz w:val="24"/>
          <w:szCs w:val="24"/>
        </w:rPr>
        <w:t xml:space="preserve"> (2002). </w:t>
      </w:r>
      <w:r w:rsidR="00D22996">
        <w:rPr>
          <w:rFonts w:ascii="Times New Roman" w:hAnsi="Times New Roman" w:cs="Times New Roman"/>
          <w:sz w:val="24"/>
          <w:szCs w:val="24"/>
        </w:rPr>
        <w:t>Knowledge and questions after 15 years of research.</w:t>
      </w:r>
      <w:r w:rsidRPr="005504A7">
        <w:rPr>
          <w:rFonts w:ascii="Times New Roman" w:hAnsi="Times New Roman" w:cs="Times New Roman"/>
          <w:sz w:val="24"/>
          <w:szCs w:val="24"/>
        </w:rPr>
        <w:t xml:space="preserve"> </w:t>
      </w:r>
      <w:r w:rsidR="00D22996">
        <w:rPr>
          <w:rFonts w:ascii="Times New Roman" w:hAnsi="Times New Roman" w:cs="Times New Roman"/>
          <w:sz w:val="24"/>
          <w:szCs w:val="24"/>
        </w:rPr>
        <w:t>I</w:t>
      </w:r>
      <w:r w:rsidR="00D22996" w:rsidRPr="005504A7">
        <w:rPr>
          <w:rFonts w:ascii="Times New Roman" w:hAnsi="Times New Roman" w:cs="Times New Roman"/>
          <w:sz w:val="24"/>
          <w:szCs w:val="24"/>
        </w:rPr>
        <w:t xml:space="preserve">n </w:t>
      </w:r>
      <w:r w:rsidR="00D22996">
        <w:rPr>
          <w:rFonts w:ascii="Times New Roman" w:hAnsi="Times New Roman" w:cs="Times New Roman"/>
          <w:sz w:val="24"/>
          <w:szCs w:val="24"/>
        </w:rPr>
        <w:t xml:space="preserve">National Research Council (Ed.), </w:t>
      </w:r>
      <w:r w:rsidR="00D22996" w:rsidRPr="005504A7">
        <w:rPr>
          <w:rFonts w:ascii="Times New Roman" w:hAnsi="Times New Roman" w:cs="Times New Roman"/>
          <w:i/>
          <w:sz w:val="24"/>
          <w:szCs w:val="24"/>
        </w:rPr>
        <w:t>The Drama of the Commons</w:t>
      </w:r>
      <w:r w:rsidR="00D22996">
        <w:rPr>
          <w:rFonts w:ascii="Times New Roman" w:hAnsi="Times New Roman" w:cs="Times New Roman"/>
          <w:sz w:val="24"/>
          <w:szCs w:val="24"/>
        </w:rPr>
        <w:t xml:space="preserve"> (</w:t>
      </w:r>
      <w:r w:rsidR="00D22996" w:rsidRPr="005417A5">
        <w:rPr>
          <w:rFonts w:ascii="Times New Roman" w:hAnsi="Times New Roman" w:cs="Times New Roman"/>
          <w:sz w:val="24"/>
          <w:szCs w:val="24"/>
        </w:rPr>
        <w:t>pp.443-490). The National Academies Press.</w:t>
      </w:r>
    </w:p>
    <w:p w14:paraId="196B47E7" w14:textId="3F80CF73" w:rsidR="005417A5" w:rsidRPr="005417A5" w:rsidRDefault="005417A5">
      <w:pPr>
        <w:pStyle w:val="Body"/>
        <w:tabs>
          <w:tab w:val="left" w:pos="9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863">
        <w:rPr>
          <w:rStyle w:val="span-citation"/>
          <w:rFonts w:ascii="Times New Roman" w:hAnsi="Times New Roman" w:cs="Times New Roman"/>
          <w:sz w:val="24"/>
          <w:szCs w:val="24"/>
        </w:rPr>
        <w:t>Tummers, L., &amp; MacGregor, S. (2019). Beyond wishful thinking</w:t>
      </w:r>
      <w:r w:rsidR="00800324">
        <w:rPr>
          <w:rStyle w:val="span-citation"/>
          <w:rFonts w:ascii="Times New Roman" w:hAnsi="Times New Roman" w:cs="Times New Roman"/>
          <w:sz w:val="24"/>
          <w:szCs w:val="24"/>
        </w:rPr>
        <w:t>.</w:t>
      </w:r>
      <w:r w:rsidRPr="00225863">
        <w:rPr>
          <w:rStyle w:val="span-citation"/>
          <w:rFonts w:ascii="Times New Roman" w:hAnsi="Times New Roman" w:cs="Times New Roman"/>
          <w:sz w:val="24"/>
          <w:szCs w:val="24"/>
        </w:rPr>
        <w:t xml:space="preserve"> </w:t>
      </w:r>
      <w:r w:rsidRPr="00225863">
        <w:rPr>
          <w:rStyle w:val="span-citation"/>
          <w:rFonts w:ascii="Times New Roman" w:hAnsi="Times New Roman" w:cs="Times New Roman"/>
          <w:i/>
          <w:iCs/>
          <w:sz w:val="24"/>
          <w:szCs w:val="24"/>
        </w:rPr>
        <w:t>International Journal of the Commons</w:t>
      </w:r>
      <w:r w:rsidRPr="00225863">
        <w:rPr>
          <w:rStyle w:val="span-citation"/>
          <w:rFonts w:ascii="Times New Roman" w:hAnsi="Times New Roman" w:cs="Times New Roman"/>
          <w:sz w:val="24"/>
          <w:szCs w:val="24"/>
        </w:rPr>
        <w:t xml:space="preserve">, </w:t>
      </w:r>
      <w:r w:rsidRPr="00800324">
        <w:rPr>
          <w:rStyle w:val="span-citation"/>
          <w:rFonts w:ascii="Times New Roman" w:hAnsi="Times New Roman" w:cs="Times New Roman"/>
          <w:iCs/>
          <w:sz w:val="24"/>
          <w:szCs w:val="24"/>
        </w:rPr>
        <w:t>13</w:t>
      </w:r>
      <w:r w:rsidRPr="00800324">
        <w:rPr>
          <w:rStyle w:val="span-citation"/>
          <w:rFonts w:ascii="Times New Roman" w:hAnsi="Times New Roman" w:cs="Times New Roman"/>
          <w:sz w:val="24"/>
          <w:szCs w:val="24"/>
        </w:rPr>
        <w:t>(1),</w:t>
      </w:r>
      <w:r w:rsidRPr="00225863">
        <w:rPr>
          <w:rStyle w:val="span-citation"/>
          <w:rFonts w:ascii="Times New Roman" w:hAnsi="Times New Roman" w:cs="Times New Roman"/>
          <w:sz w:val="24"/>
          <w:szCs w:val="24"/>
        </w:rPr>
        <w:t xml:space="preserve"> 62–83.</w:t>
      </w:r>
    </w:p>
    <w:p w14:paraId="675A0182" w14:textId="61E2433B" w:rsidR="00F06EFC" w:rsidRPr="005417A5" w:rsidRDefault="00F06EFC">
      <w:pPr>
        <w:pStyle w:val="Body"/>
        <w:tabs>
          <w:tab w:val="left" w:pos="9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863">
        <w:rPr>
          <w:rStyle w:val="span-citation"/>
          <w:rFonts w:ascii="Times New Roman" w:hAnsi="Times New Roman" w:cs="Times New Roman"/>
          <w:sz w:val="24"/>
          <w:szCs w:val="24"/>
        </w:rPr>
        <w:t>Westerink, J., Termeer, C., &amp;</w:t>
      </w:r>
      <w:r w:rsidRPr="005417A5">
        <w:rPr>
          <w:rStyle w:val="span-citation"/>
          <w:rFonts w:ascii="Times New Roman" w:hAnsi="Times New Roman" w:cs="Times New Roman"/>
          <w:sz w:val="24"/>
          <w:szCs w:val="24"/>
        </w:rPr>
        <w:t xml:space="preserve"> Manhoudt, A. (2020). Identity conflict?</w:t>
      </w:r>
      <w:r w:rsidRPr="00225863">
        <w:rPr>
          <w:rStyle w:val="span-citation"/>
          <w:rFonts w:ascii="Times New Roman" w:hAnsi="Times New Roman" w:cs="Times New Roman"/>
          <w:sz w:val="24"/>
          <w:szCs w:val="24"/>
        </w:rPr>
        <w:t xml:space="preserve"> </w:t>
      </w:r>
      <w:r w:rsidRPr="00225863">
        <w:rPr>
          <w:rStyle w:val="span-citation"/>
          <w:rFonts w:ascii="Times New Roman" w:hAnsi="Times New Roman" w:cs="Times New Roman"/>
          <w:i/>
          <w:iCs/>
          <w:sz w:val="24"/>
          <w:szCs w:val="24"/>
        </w:rPr>
        <w:t>International Journal of the Commons</w:t>
      </w:r>
      <w:r w:rsidRPr="00225863">
        <w:rPr>
          <w:rStyle w:val="span-citation"/>
          <w:rFonts w:ascii="Times New Roman" w:hAnsi="Times New Roman" w:cs="Times New Roman"/>
          <w:sz w:val="24"/>
          <w:szCs w:val="24"/>
        </w:rPr>
        <w:t xml:space="preserve">, </w:t>
      </w:r>
      <w:r w:rsidRPr="00225863">
        <w:rPr>
          <w:rStyle w:val="span-citation"/>
          <w:rFonts w:ascii="Times New Roman" w:hAnsi="Times New Roman" w:cs="Times New Roman"/>
          <w:i/>
          <w:iCs/>
          <w:sz w:val="24"/>
          <w:szCs w:val="24"/>
        </w:rPr>
        <w:t>14</w:t>
      </w:r>
      <w:r w:rsidRPr="00225863">
        <w:rPr>
          <w:rStyle w:val="span-citation"/>
          <w:rFonts w:ascii="Times New Roman" w:hAnsi="Times New Roman" w:cs="Times New Roman"/>
          <w:sz w:val="24"/>
          <w:szCs w:val="24"/>
        </w:rPr>
        <w:t xml:space="preserve">(1), 388–403. </w:t>
      </w:r>
    </w:p>
    <w:p w14:paraId="1CD2703A" w14:textId="176E0C02" w:rsidR="001D0A1B" w:rsidRPr="00E779E2" w:rsidRDefault="00F41A07" w:rsidP="000B5801">
      <w:pPr>
        <w:spacing w:after="200" w:line="480" w:lineRule="auto"/>
        <w:jc w:val="both"/>
      </w:pPr>
      <w:r w:rsidRPr="005504A7">
        <w:rPr>
          <w:noProof/>
          <w:lang w:val="en-US"/>
        </w:rPr>
        <w:t xml:space="preserve">Williams, O. </w:t>
      </w:r>
      <w:r w:rsidR="0076553C" w:rsidRPr="005504A7">
        <w:rPr>
          <w:noProof/>
          <w:lang w:val="en-US"/>
        </w:rPr>
        <w:t xml:space="preserve">R. </w:t>
      </w:r>
      <w:r w:rsidRPr="005504A7">
        <w:rPr>
          <w:noProof/>
          <w:lang w:val="en-US"/>
        </w:rPr>
        <w:t>(</w:t>
      </w:r>
      <w:r w:rsidR="0076553C" w:rsidRPr="005504A7">
        <w:rPr>
          <w:noProof/>
          <w:lang w:val="en-US"/>
        </w:rPr>
        <w:t>2018</w:t>
      </w:r>
      <w:r w:rsidRPr="005504A7">
        <w:rPr>
          <w:noProof/>
          <w:lang w:val="en-US"/>
        </w:rPr>
        <w:t>). Community control as a r</w:t>
      </w:r>
      <w:r w:rsidR="0076553C" w:rsidRPr="005504A7">
        <w:rPr>
          <w:noProof/>
          <w:lang w:val="en-US"/>
        </w:rPr>
        <w:t>elationship betwe</w:t>
      </w:r>
      <w:r w:rsidRPr="005504A7">
        <w:rPr>
          <w:noProof/>
          <w:lang w:val="en-US"/>
        </w:rPr>
        <w:t>en a place-based population and i</w:t>
      </w:r>
      <w:r w:rsidR="0076553C" w:rsidRPr="005504A7">
        <w:rPr>
          <w:noProof/>
          <w:lang w:val="en-US"/>
        </w:rPr>
        <w:t xml:space="preserve">nstitution. </w:t>
      </w:r>
      <w:r w:rsidR="0076553C" w:rsidRPr="005504A7">
        <w:rPr>
          <w:i/>
          <w:iCs/>
          <w:noProof/>
          <w:lang w:val="en-US"/>
        </w:rPr>
        <w:t>Local Economy</w:t>
      </w:r>
      <w:r w:rsidRPr="005504A7">
        <w:rPr>
          <w:noProof/>
          <w:lang w:val="en-US"/>
        </w:rPr>
        <w:t xml:space="preserve"> 33(</w:t>
      </w:r>
      <w:r w:rsidR="0076553C" w:rsidRPr="005504A7">
        <w:rPr>
          <w:noProof/>
          <w:lang w:val="en-US"/>
        </w:rPr>
        <w:t>5</w:t>
      </w:r>
      <w:r w:rsidRPr="005504A7">
        <w:rPr>
          <w:noProof/>
          <w:lang w:val="en-US"/>
        </w:rPr>
        <w:t>)</w:t>
      </w:r>
      <w:r w:rsidR="0076553C" w:rsidRPr="005504A7">
        <w:rPr>
          <w:noProof/>
          <w:lang w:val="en-US"/>
        </w:rPr>
        <w:t xml:space="preserve">: 459–76. </w:t>
      </w:r>
    </w:p>
    <w:sectPr w:rsidR="001D0A1B" w:rsidRPr="00E779E2" w:rsidSect="00ED1A55">
      <w:endnotePr>
        <w:numFmt w:val="decimal"/>
      </w:endnotePr>
      <w:pgSz w:w="11900" w:h="16840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E201F" w14:textId="77777777" w:rsidR="00F949CE" w:rsidRDefault="00F949CE">
      <w:r>
        <w:separator/>
      </w:r>
    </w:p>
  </w:endnote>
  <w:endnote w:type="continuationSeparator" w:id="0">
    <w:p w14:paraId="75CAE77E" w14:textId="77777777" w:rsidR="00F949CE" w:rsidRDefault="00F9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6732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6CFF2" w14:textId="21EAD9DB" w:rsidR="00F949CE" w:rsidRDefault="00F949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D7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9869AF0" w14:textId="77777777" w:rsidR="00F949CE" w:rsidRDefault="00F94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644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9724A" w14:textId="4991577A" w:rsidR="00F949CE" w:rsidRDefault="00F949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1D6C9105" w14:textId="77777777" w:rsidR="00F949CE" w:rsidRDefault="00F94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EE358" w14:textId="77777777" w:rsidR="00F949CE" w:rsidRDefault="00F949CE">
      <w:r>
        <w:separator/>
      </w:r>
    </w:p>
  </w:footnote>
  <w:footnote w:type="continuationSeparator" w:id="0">
    <w:p w14:paraId="1DD0E5E0" w14:textId="77777777" w:rsidR="00F949CE" w:rsidRDefault="00F949CE">
      <w:r>
        <w:continuationSeparator/>
      </w:r>
    </w:p>
  </w:footnote>
  <w:footnote w:id="1">
    <w:p w14:paraId="0CF24422" w14:textId="5925724E" w:rsidR="00F949CE" w:rsidRDefault="00F949CE">
      <w:pPr>
        <w:pStyle w:val="FootnoteText"/>
      </w:pPr>
      <w:r>
        <w:rPr>
          <w:rStyle w:val="FootnoteReference"/>
        </w:rPr>
        <w:footnoteRef/>
      </w:r>
      <w:r>
        <w:t xml:space="preserve"> UK Housing and Regeneration Act</w:t>
      </w:r>
    </w:p>
  </w:footnote>
  <w:footnote w:id="2">
    <w:p w14:paraId="408E5F59" w14:textId="21B12881" w:rsidR="00F949CE" w:rsidRDefault="00F949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419">
        <w:t>That is, the case fulfilled all of the following criteria: the productive use of its assets is legally separated from the land and perpetually held in common; the productive use of the land is stewarded or managed by a defined community; and, the members of this community determine the generation, consumption and redistribution of the land’s productive use through formalised and democratic decision-making.</w:t>
      </w:r>
    </w:p>
  </w:footnote>
  <w:footnote w:id="3">
    <w:p w14:paraId="55D40AAD" w14:textId="4A505992" w:rsidR="00F949CE" w:rsidRDefault="00F949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419">
        <w:t>President, Vice President, Secretary and Treasurer.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822A2"/>
    <w:multiLevelType w:val="hybridMultilevel"/>
    <w:tmpl w:val="C2F4AAD8"/>
    <w:styleLink w:val="ImportedStyle2"/>
    <w:lvl w:ilvl="0" w:tplc="9044E2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439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4208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BC54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87F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6B8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BA92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62A0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8A6A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F937B5"/>
    <w:multiLevelType w:val="hybridMultilevel"/>
    <w:tmpl w:val="F7FAC9E2"/>
    <w:lvl w:ilvl="0" w:tplc="7B668F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699B"/>
    <w:multiLevelType w:val="hybridMultilevel"/>
    <w:tmpl w:val="70F03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D30E3"/>
    <w:multiLevelType w:val="hybridMultilevel"/>
    <w:tmpl w:val="CC48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E5D8A"/>
    <w:multiLevelType w:val="hybridMultilevel"/>
    <w:tmpl w:val="71404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D1E6D"/>
    <w:multiLevelType w:val="hybridMultilevel"/>
    <w:tmpl w:val="C2F4AAD8"/>
    <w:numStyleLink w:val="ImportedStyle2"/>
  </w:abstractNum>
  <w:abstractNum w:abstractNumId="6" w15:restartNumberingAfterBreak="0">
    <w:nsid w:val="35A65E55"/>
    <w:multiLevelType w:val="hybridMultilevel"/>
    <w:tmpl w:val="3B2EB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838FE"/>
    <w:multiLevelType w:val="hybridMultilevel"/>
    <w:tmpl w:val="5CA82D24"/>
    <w:styleLink w:val="ImportedStyle1"/>
    <w:lvl w:ilvl="0" w:tplc="388016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CAC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F04F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60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982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E4B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8220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B40B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DCFE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0E5F14"/>
    <w:multiLevelType w:val="hybridMultilevel"/>
    <w:tmpl w:val="78000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97869"/>
    <w:multiLevelType w:val="hybridMultilevel"/>
    <w:tmpl w:val="7E9A7D92"/>
    <w:lvl w:ilvl="0" w:tplc="597074FC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92D13"/>
    <w:multiLevelType w:val="hybridMultilevel"/>
    <w:tmpl w:val="5224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54B7A"/>
    <w:multiLevelType w:val="hybridMultilevel"/>
    <w:tmpl w:val="AB7C69C8"/>
    <w:lvl w:ilvl="0" w:tplc="592A0ECA">
      <w:start w:val="9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07A55"/>
    <w:multiLevelType w:val="hybridMultilevel"/>
    <w:tmpl w:val="AD087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C605F"/>
    <w:multiLevelType w:val="hybridMultilevel"/>
    <w:tmpl w:val="CD92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77B4A"/>
    <w:multiLevelType w:val="hybridMultilevel"/>
    <w:tmpl w:val="5CA82D24"/>
    <w:numStyleLink w:val="ImportedStyle1"/>
  </w:abstractNum>
  <w:abstractNum w:abstractNumId="15" w15:restartNumberingAfterBreak="0">
    <w:nsid w:val="639F16C8"/>
    <w:multiLevelType w:val="hybridMultilevel"/>
    <w:tmpl w:val="D2EE8B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348A8"/>
    <w:multiLevelType w:val="hybridMultilevel"/>
    <w:tmpl w:val="36FCA9CC"/>
    <w:lvl w:ilvl="0" w:tplc="99389D8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3A45"/>
    <w:multiLevelType w:val="hybridMultilevel"/>
    <w:tmpl w:val="3404FE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912165"/>
    <w:multiLevelType w:val="hybridMultilevel"/>
    <w:tmpl w:val="C1A8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5"/>
  </w:num>
  <w:num w:numId="5">
    <w:abstractNumId w:val="12"/>
  </w:num>
  <w:num w:numId="6">
    <w:abstractNumId w:val="15"/>
  </w:num>
  <w:num w:numId="7">
    <w:abstractNumId w:val="11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18"/>
  </w:num>
  <w:num w:numId="13">
    <w:abstractNumId w:val="4"/>
  </w:num>
  <w:num w:numId="14">
    <w:abstractNumId w:val="13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nl-NL" w:vendorID="64" w:dllVersion="4096" w:nlCheck="1" w:checkStyle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1B"/>
    <w:rsid w:val="00000B2A"/>
    <w:rsid w:val="000015E1"/>
    <w:rsid w:val="00003EE2"/>
    <w:rsid w:val="00004243"/>
    <w:rsid w:val="00005B8B"/>
    <w:rsid w:val="00005CDC"/>
    <w:rsid w:val="00006954"/>
    <w:rsid w:val="00006D4C"/>
    <w:rsid w:val="000074CC"/>
    <w:rsid w:val="0001161A"/>
    <w:rsid w:val="00011B41"/>
    <w:rsid w:val="0001239C"/>
    <w:rsid w:val="00012823"/>
    <w:rsid w:val="0001297D"/>
    <w:rsid w:val="00014594"/>
    <w:rsid w:val="000145F3"/>
    <w:rsid w:val="0001502D"/>
    <w:rsid w:val="0001687A"/>
    <w:rsid w:val="00020E79"/>
    <w:rsid w:val="00024EF4"/>
    <w:rsid w:val="0002657B"/>
    <w:rsid w:val="000268F2"/>
    <w:rsid w:val="00026E7E"/>
    <w:rsid w:val="0003089F"/>
    <w:rsid w:val="0003099A"/>
    <w:rsid w:val="0003100A"/>
    <w:rsid w:val="000328A8"/>
    <w:rsid w:val="00032D06"/>
    <w:rsid w:val="000336C3"/>
    <w:rsid w:val="00035537"/>
    <w:rsid w:val="00036183"/>
    <w:rsid w:val="00040006"/>
    <w:rsid w:val="00040AAC"/>
    <w:rsid w:val="00041271"/>
    <w:rsid w:val="000432DE"/>
    <w:rsid w:val="000447A6"/>
    <w:rsid w:val="00044ABA"/>
    <w:rsid w:val="00045023"/>
    <w:rsid w:val="000503CA"/>
    <w:rsid w:val="00051B2B"/>
    <w:rsid w:val="000526D0"/>
    <w:rsid w:val="00052917"/>
    <w:rsid w:val="00052F84"/>
    <w:rsid w:val="0005332D"/>
    <w:rsid w:val="000557E5"/>
    <w:rsid w:val="00055DCE"/>
    <w:rsid w:val="00056F97"/>
    <w:rsid w:val="00060A1D"/>
    <w:rsid w:val="00060D68"/>
    <w:rsid w:val="00060F16"/>
    <w:rsid w:val="00061B79"/>
    <w:rsid w:val="000620CB"/>
    <w:rsid w:val="0006285B"/>
    <w:rsid w:val="00062AFC"/>
    <w:rsid w:val="00063B4E"/>
    <w:rsid w:val="00064AF3"/>
    <w:rsid w:val="00065B5F"/>
    <w:rsid w:val="0006707D"/>
    <w:rsid w:val="00067855"/>
    <w:rsid w:val="000712DD"/>
    <w:rsid w:val="000734B3"/>
    <w:rsid w:val="0007401E"/>
    <w:rsid w:val="0007418D"/>
    <w:rsid w:val="00076419"/>
    <w:rsid w:val="0007708B"/>
    <w:rsid w:val="00081058"/>
    <w:rsid w:val="00081586"/>
    <w:rsid w:val="00081878"/>
    <w:rsid w:val="000830E0"/>
    <w:rsid w:val="00084059"/>
    <w:rsid w:val="000873CB"/>
    <w:rsid w:val="000907FF"/>
    <w:rsid w:val="00090EC4"/>
    <w:rsid w:val="00091B43"/>
    <w:rsid w:val="000956F2"/>
    <w:rsid w:val="00095FD6"/>
    <w:rsid w:val="00096644"/>
    <w:rsid w:val="000A0017"/>
    <w:rsid w:val="000A1FA3"/>
    <w:rsid w:val="000A27D2"/>
    <w:rsid w:val="000A2A88"/>
    <w:rsid w:val="000A2D27"/>
    <w:rsid w:val="000A46EA"/>
    <w:rsid w:val="000A5D19"/>
    <w:rsid w:val="000B1442"/>
    <w:rsid w:val="000B1C8F"/>
    <w:rsid w:val="000B3407"/>
    <w:rsid w:val="000B369A"/>
    <w:rsid w:val="000B5801"/>
    <w:rsid w:val="000B7DA3"/>
    <w:rsid w:val="000C1FEF"/>
    <w:rsid w:val="000C2E6B"/>
    <w:rsid w:val="000C3FD5"/>
    <w:rsid w:val="000C479C"/>
    <w:rsid w:val="000C5DA8"/>
    <w:rsid w:val="000C6346"/>
    <w:rsid w:val="000C637A"/>
    <w:rsid w:val="000C7BB1"/>
    <w:rsid w:val="000C7E26"/>
    <w:rsid w:val="000D16D5"/>
    <w:rsid w:val="000D1AB0"/>
    <w:rsid w:val="000D2906"/>
    <w:rsid w:val="000D32EC"/>
    <w:rsid w:val="000D378A"/>
    <w:rsid w:val="000D5EEE"/>
    <w:rsid w:val="000D648B"/>
    <w:rsid w:val="000D7A23"/>
    <w:rsid w:val="000E3F8B"/>
    <w:rsid w:val="000E4789"/>
    <w:rsid w:val="000E4909"/>
    <w:rsid w:val="000E60CF"/>
    <w:rsid w:val="000F1F1D"/>
    <w:rsid w:val="000F2273"/>
    <w:rsid w:val="000F4FA2"/>
    <w:rsid w:val="000F5280"/>
    <w:rsid w:val="000F53D2"/>
    <w:rsid w:val="00100710"/>
    <w:rsid w:val="001010EB"/>
    <w:rsid w:val="00104EE3"/>
    <w:rsid w:val="001055FA"/>
    <w:rsid w:val="00105C39"/>
    <w:rsid w:val="00112FBB"/>
    <w:rsid w:val="0011350F"/>
    <w:rsid w:val="001136B8"/>
    <w:rsid w:val="00113D6A"/>
    <w:rsid w:val="001210C3"/>
    <w:rsid w:val="00121535"/>
    <w:rsid w:val="00122055"/>
    <w:rsid w:val="0012265F"/>
    <w:rsid w:val="00124645"/>
    <w:rsid w:val="00125827"/>
    <w:rsid w:val="00125B9E"/>
    <w:rsid w:val="00127F2D"/>
    <w:rsid w:val="001325BB"/>
    <w:rsid w:val="001327FB"/>
    <w:rsid w:val="00132FC6"/>
    <w:rsid w:val="001346A6"/>
    <w:rsid w:val="001349FF"/>
    <w:rsid w:val="00140033"/>
    <w:rsid w:val="00141B6D"/>
    <w:rsid w:val="001428CF"/>
    <w:rsid w:val="00143399"/>
    <w:rsid w:val="00145F20"/>
    <w:rsid w:val="001533E7"/>
    <w:rsid w:val="00153968"/>
    <w:rsid w:val="00155025"/>
    <w:rsid w:val="00156F09"/>
    <w:rsid w:val="00160961"/>
    <w:rsid w:val="00162CF2"/>
    <w:rsid w:val="0016337C"/>
    <w:rsid w:val="00164A04"/>
    <w:rsid w:val="001655FB"/>
    <w:rsid w:val="00170C43"/>
    <w:rsid w:val="0017525B"/>
    <w:rsid w:val="00176511"/>
    <w:rsid w:val="001778DB"/>
    <w:rsid w:val="00177A7D"/>
    <w:rsid w:val="0018043B"/>
    <w:rsid w:val="00180E31"/>
    <w:rsid w:val="00181804"/>
    <w:rsid w:val="001826DC"/>
    <w:rsid w:val="00183098"/>
    <w:rsid w:val="001845DD"/>
    <w:rsid w:val="00184880"/>
    <w:rsid w:val="00184A76"/>
    <w:rsid w:val="001905DB"/>
    <w:rsid w:val="00193EE1"/>
    <w:rsid w:val="0019467E"/>
    <w:rsid w:val="001A09AC"/>
    <w:rsid w:val="001A29CF"/>
    <w:rsid w:val="001A340F"/>
    <w:rsid w:val="001A4E3E"/>
    <w:rsid w:val="001A517C"/>
    <w:rsid w:val="001A68DF"/>
    <w:rsid w:val="001A6F74"/>
    <w:rsid w:val="001A762A"/>
    <w:rsid w:val="001B0091"/>
    <w:rsid w:val="001B0374"/>
    <w:rsid w:val="001B07A6"/>
    <w:rsid w:val="001B1359"/>
    <w:rsid w:val="001B2FB7"/>
    <w:rsid w:val="001B5156"/>
    <w:rsid w:val="001B6AB6"/>
    <w:rsid w:val="001C3B52"/>
    <w:rsid w:val="001C4828"/>
    <w:rsid w:val="001C542F"/>
    <w:rsid w:val="001D0428"/>
    <w:rsid w:val="001D0A1B"/>
    <w:rsid w:val="001D159A"/>
    <w:rsid w:val="001D17BB"/>
    <w:rsid w:val="001D1FBB"/>
    <w:rsid w:val="001D21BD"/>
    <w:rsid w:val="001D3335"/>
    <w:rsid w:val="001D3DFF"/>
    <w:rsid w:val="001D3F22"/>
    <w:rsid w:val="001D4E1A"/>
    <w:rsid w:val="001E1681"/>
    <w:rsid w:val="001E1E6E"/>
    <w:rsid w:val="001E2DE4"/>
    <w:rsid w:val="001E2FBA"/>
    <w:rsid w:val="001E5713"/>
    <w:rsid w:val="001E64E3"/>
    <w:rsid w:val="001E7378"/>
    <w:rsid w:val="001E7863"/>
    <w:rsid w:val="001F09C8"/>
    <w:rsid w:val="001F39DA"/>
    <w:rsid w:val="001F3C0A"/>
    <w:rsid w:val="001F5BD5"/>
    <w:rsid w:val="001F5F07"/>
    <w:rsid w:val="001F6C4F"/>
    <w:rsid w:val="001F6F38"/>
    <w:rsid w:val="001F708A"/>
    <w:rsid w:val="001F7281"/>
    <w:rsid w:val="00203756"/>
    <w:rsid w:val="002054E9"/>
    <w:rsid w:val="00206C62"/>
    <w:rsid w:val="00206F2C"/>
    <w:rsid w:val="00210957"/>
    <w:rsid w:val="00210A12"/>
    <w:rsid w:val="00211099"/>
    <w:rsid w:val="00211ED7"/>
    <w:rsid w:val="00212527"/>
    <w:rsid w:val="00214864"/>
    <w:rsid w:val="00217EC3"/>
    <w:rsid w:val="00221212"/>
    <w:rsid w:val="00222FBE"/>
    <w:rsid w:val="00223444"/>
    <w:rsid w:val="00225863"/>
    <w:rsid w:val="002269B2"/>
    <w:rsid w:val="002272F5"/>
    <w:rsid w:val="00231269"/>
    <w:rsid w:val="00231FAB"/>
    <w:rsid w:val="002336E1"/>
    <w:rsid w:val="00233A7E"/>
    <w:rsid w:val="00233D16"/>
    <w:rsid w:val="00233E16"/>
    <w:rsid w:val="002356F7"/>
    <w:rsid w:val="00235A5C"/>
    <w:rsid w:val="00235CEC"/>
    <w:rsid w:val="00235E1D"/>
    <w:rsid w:val="002370E4"/>
    <w:rsid w:val="00237CDE"/>
    <w:rsid w:val="00240443"/>
    <w:rsid w:val="002417B0"/>
    <w:rsid w:val="0024398B"/>
    <w:rsid w:val="00243EC7"/>
    <w:rsid w:val="002448D8"/>
    <w:rsid w:val="00244C23"/>
    <w:rsid w:val="002515C2"/>
    <w:rsid w:val="00251FE1"/>
    <w:rsid w:val="00252227"/>
    <w:rsid w:val="00252BFC"/>
    <w:rsid w:val="00254A9C"/>
    <w:rsid w:val="002561A5"/>
    <w:rsid w:val="00257DF3"/>
    <w:rsid w:val="00260325"/>
    <w:rsid w:val="00261471"/>
    <w:rsid w:val="00264B43"/>
    <w:rsid w:val="0026709E"/>
    <w:rsid w:val="0027338C"/>
    <w:rsid w:val="00274E11"/>
    <w:rsid w:val="002750D4"/>
    <w:rsid w:val="00282D6C"/>
    <w:rsid w:val="00283292"/>
    <w:rsid w:val="00283827"/>
    <w:rsid w:val="00283C8B"/>
    <w:rsid w:val="00285915"/>
    <w:rsid w:val="00285C58"/>
    <w:rsid w:val="002935BA"/>
    <w:rsid w:val="00293CA9"/>
    <w:rsid w:val="00293CD2"/>
    <w:rsid w:val="00294F3C"/>
    <w:rsid w:val="002961AD"/>
    <w:rsid w:val="00296324"/>
    <w:rsid w:val="0029743B"/>
    <w:rsid w:val="002A1C3E"/>
    <w:rsid w:val="002A2A39"/>
    <w:rsid w:val="002A407D"/>
    <w:rsid w:val="002A4456"/>
    <w:rsid w:val="002A4949"/>
    <w:rsid w:val="002A4D4D"/>
    <w:rsid w:val="002A5A9C"/>
    <w:rsid w:val="002A6415"/>
    <w:rsid w:val="002A692E"/>
    <w:rsid w:val="002A7C06"/>
    <w:rsid w:val="002B1ADB"/>
    <w:rsid w:val="002B4E94"/>
    <w:rsid w:val="002B74C5"/>
    <w:rsid w:val="002B761D"/>
    <w:rsid w:val="002C044C"/>
    <w:rsid w:val="002C0503"/>
    <w:rsid w:val="002C0D5F"/>
    <w:rsid w:val="002C1088"/>
    <w:rsid w:val="002C1BFE"/>
    <w:rsid w:val="002C3D0D"/>
    <w:rsid w:val="002D03BF"/>
    <w:rsid w:val="002D45E3"/>
    <w:rsid w:val="002D4625"/>
    <w:rsid w:val="002D4A0B"/>
    <w:rsid w:val="002D50E3"/>
    <w:rsid w:val="002D5713"/>
    <w:rsid w:val="002D5AE1"/>
    <w:rsid w:val="002D720B"/>
    <w:rsid w:val="002E0710"/>
    <w:rsid w:val="002E241D"/>
    <w:rsid w:val="002E3E07"/>
    <w:rsid w:val="002E4860"/>
    <w:rsid w:val="002E4E36"/>
    <w:rsid w:val="002E5A75"/>
    <w:rsid w:val="002E7659"/>
    <w:rsid w:val="002F3FE1"/>
    <w:rsid w:val="002F4BCA"/>
    <w:rsid w:val="002F7F57"/>
    <w:rsid w:val="003008BB"/>
    <w:rsid w:val="003011AC"/>
    <w:rsid w:val="00301543"/>
    <w:rsid w:val="00301F11"/>
    <w:rsid w:val="0030213D"/>
    <w:rsid w:val="00303103"/>
    <w:rsid w:val="00303526"/>
    <w:rsid w:val="003042BF"/>
    <w:rsid w:val="00307677"/>
    <w:rsid w:val="00307D2E"/>
    <w:rsid w:val="00310E36"/>
    <w:rsid w:val="00313A8E"/>
    <w:rsid w:val="00313EA4"/>
    <w:rsid w:val="00314199"/>
    <w:rsid w:val="00314DA5"/>
    <w:rsid w:val="00315121"/>
    <w:rsid w:val="00315355"/>
    <w:rsid w:val="00316216"/>
    <w:rsid w:val="003169A1"/>
    <w:rsid w:val="003171C6"/>
    <w:rsid w:val="00317514"/>
    <w:rsid w:val="003178FD"/>
    <w:rsid w:val="00320258"/>
    <w:rsid w:val="00320712"/>
    <w:rsid w:val="003225BB"/>
    <w:rsid w:val="00323F77"/>
    <w:rsid w:val="00324BE8"/>
    <w:rsid w:val="00324C40"/>
    <w:rsid w:val="00324D57"/>
    <w:rsid w:val="00326BE9"/>
    <w:rsid w:val="00326F48"/>
    <w:rsid w:val="00331032"/>
    <w:rsid w:val="00331A3B"/>
    <w:rsid w:val="003351B8"/>
    <w:rsid w:val="00336018"/>
    <w:rsid w:val="00340FA5"/>
    <w:rsid w:val="003416C3"/>
    <w:rsid w:val="00341D24"/>
    <w:rsid w:val="00342294"/>
    <w:rsid w:val="003443EF"/>
    <w:rsid w:val="003443FF"/>
    <w:rsid w:val="003447C5"/>
    <w:rsid w:val="00345B6B"/>
    <w:rsid w:val="00346E46"/>
    <w:rsid w:val="003471B3"/>
    <w:rsid w:val="0035165B"/>
    <w:rsid w:val="0035227E"/>
    <w:rsid w:val="003530C9"/>
    <w:rsid w:val="00353D4F"/>
    <w:rsid w:val="00357215"/>
    <w:rsid w:val="00357A17"/>
    <w:rsid w:val="00357D17"/>
    <w:rsid w:val="00361934"/>
    <w:rsid w:val="003640C5"/>
    <w:rsid w:val="003640CD"/>
    <w:rsid w:val="00364453"/>
    <w:rsid w:val="00367D5F"/>
    <w:rsid w:val="00367D7B"/>
    <w:rsid w:val="00370D23"/>
    <w:rsid w:val="00370EA5"/>
    <w:rsid w:val="00372034"/>
    <w:rsid w:val="00373F02"/>
    <w:rsid w:val="00374F6D"/>
    <w:rsid w:val="0038002F"/>
    <w:rsid w:val="00381741"/>
    <w:rsid w:val="00383740"/>
    <w:rsid w:val="0038400A"/>
    <w:rsid w:val="00384355"/>
    <w:rsid w:val="0038609E"/>
    <w:rsid w:val="00386CB8"/>
    <w:rsid w:val="00386E3B"/>
    <w:rsid w:val="00390051"/>
    <w:rsid w:val="0039096D"/>
    <w:rsid w:val="00391BEA"/>
    <w:rsid w:val="003923F2"/>
    <w:rsid w:val="003929CC"/>
    <w:rsid w:val="00392FBC"/>
    <w:rsid w:val="00393BA7"/>
    <w:rsid w:val="00393FF1"/>
    <w:rsid w:val="003A04F5"/>
    <w:rsid w:val="003A1761"/>
    <w:rsid w:val="003A1E5B"/>
    <w:rsid w:val="003A541D"/>
    <w:rsid w:val="003A5726"/>
    <w:rsid w:val="003A58BD"/>
    <w:rsid w:val="003A5E37"/>
    <w:rsid w:val="003A69F3"/>
    <w:rsid w:val="003B047A"/>
    <w:rsid w:val="003B733B"/>
    <w:rsid w:val="003B74B4"/>
    <w:rsid w:val="003C0780"/>
    <w:rsid w:val="003C0B06"/>
    <w:rsid w:val="003C14CF"/>
    <w:rsid w:val="003C1D91"/>
    <w:rsid w:val="003C2D46"/>
    <w:rsid w:val="003C3EE9"/>
    <w:rsid w:val="003C40B9"/>
    <w:rsid w:val="003C431A"/>
    <w:rsid w:val="003C65CC"/>
    <w:rsid w:val="003C7343"/>
    <w:rsid w:val="003D052E"/>
    <w:rsid w:val="003D1007"/>
    <w:rsid w:val="003D201F"/>
    <w:rsid w:val="003D21F1"/>
    <w:rsid w:val="003D56C4"/>
    <w:rsid w:val="003D5CFE"/>
    <w:rsid w:val="003D7F93"/>
    <w:rsid w:val="003E3DBF"/>
    <w:rsid w:val="003E5194"/>
    <w:rsid w:val="003E75BA"/>
    <w:rsid w:val="003E7D18"/>
    <w:rsid w:val="003F082A"/>
    <w:rsid w:val="003F0C04"/>
    <w:rsid w:val="003F25A2"/>
    <w:rsid w:val="003F430F"/>
    <w:rsid w:val="003F4D37"/>
    <w:rsid w:val="003F5558"/>
    <w:rsid w:val="003F567D"/>
    <w:rsid w:val="003F79CB"/>
    <w:rsid w:val="004006D1"/>
    <w:rsid w:val="004006D4"/>
    <w:rsid w:val="004044AB"/>
    <w:rsid w:val="0040483F"/>
    <w:rsid w:val="004049BF"/>
    <w:rsid w:val="004061EA"/>
    <w:rsid w:val="00406811"/>
    <w:rsid w:val="00406A8D"/>
    <w:rsid w:val="00406F78"/>
    <w:rsid w:val="0040776F"/>
    <w:rsid w:val="00411794"/>
    <w:rsid w:val="00412EA0"/>
    <w:rsid w:val="0041371B"/>
    <w:rsid w:val="00413A89"/>
    <w:rsid w:val="00415CCD"/>
    <w:rsid w:val="0041730C"/>
    <w:rsid w:val="004206B4"/>
    <w:rsid w:val="00420CF8"/>
    <w:rsid w:val="004220EF"/>
    <w:rsid w:val="0042278C"/>
    <w:rsid w:val="00422D0B"/>
    <w:rsid w:val="00423485"/>
    <w:rsid w:val="00424CAE"/>
    <w:rsid w:val="00425696"/>
    <w:rsid w:val="00425FD5"/>
    <w:rsid w:val="00426C31"/>
    <w:rsid w:val="00427C51"/>
    <w:rsid w:val="004313E4"/>
    <w:rsid w:val="00431EF8"/>
    <w:rsid w:val="00433602"/>
    <w:rsid w:val="00434DA3"/>
    <w:rsid w:val="004354E6"/>
    <w:rsid w:val="0043676B"/>
    <w:rsid w:val="00442E68"/>
    <w:rsid w:val="00443EF9"/>
    <w:rsid w:val="00444EF9"/>
    <w:rsid w:val="004467D2"/>
    <w:rsid w:val="00450817"/>
    <w:rsid w:val="00451DA6"/>
    <w:rsid w:val="00451FF3"/>
    <w:rsid w:val="00454A58"/>
    <w:rsid w:val="004576F0"/>
    <w:rsid w:val="00457762"/>
    <w:rsid w:val="00460D5D"/>
    <w:rsid w:val="00461EFD"/>
    <w:rsid w:val="00463012"/>
    <w:rsid w:val="00464029"/>
    <w:rsid w:val="00465505"/>
    <w:rsid w:val="0046691E"/>
    <w:rsid w:val="0046758E"/>
    <w:rsid w:val="0047047E"/>
    <w:rsid w:val="00471968"/>
    <w:rsid w:val="0047379C"/>
    <w:rsid w:val="004751DB"/>
    <w:rsid w:val="004755CB"/>
    <w:rsid w:val="00475B26"/>
    <w:rsid w:val="004771C3"/>
    <w:rsid w:val="00477ACC"/>
    <w:rsid w:val="00483B2B"/>
    <w:rsid w:val="0048434C"/>
    <w:rsid w:val="004848AA"/>
    <w:rsid w:val="00484FED"/>
    <w:rsid w:val="004865D6"/>
    <w:rsid w:val="00493143"/>
    <w:rsid w:val="00493D57"/>
    <w:rsid w:val="004947DE"/>
    <w:rsid w:val="00495D22"/>
    <w:rsid w:val="00497F24"/>
    <w:rsid w:val="004A0816"/>
    <w:rsid w:val="004A3496"/>
    <w:rsid w:val="004A3B2F"/>
    <w:rsid w:val="004A441F"/>
    <w:rsid w:val="004A5EC6"/>
    <w:rsid w:val="004A7792"/>
    <w:rsid w:val="004A7A56"/>
    <w:rsid w:val="004B06D5"/>
    <w:rsid w:val="004B0D7D"/>
    <w:rsid w:val="004B1BE4"/>
    <w:rsid w:val="004B267E"/>
    <w:rsid w:val="004B4276"/>
    <w:rsid w:val="004B452A"/>
    <w:rsid w:val="004B4A88"/>
    <w:rsid w:val="004B5712"/>
    <w:rsid w:val="004B5F17"/>
    <w:rsid w:val="004B5F98"/>
    <w:rsid w:val="004B6640"/>
    <w:rsid w:val="004B7DBA"/>
    <w:rsid w:val="004C14D8"/>
    <w:rsid w:val="004C27C4"/>
    <w:rsid w:val="004C6D3F"/>
    <w:rsid w:val="004D1332"/>
    <w:rsid w:val="004D136E"/>
    <w:rsid w:val="004D27B8"/>
    <w:rsid w:val="004D3743"/>
    <w:rsid w:val="004D6321"/>
    <w:rsid w:val="004D745B"/>
    <w:rsid w:val="004E0179"/>
    <w:rsid w:val="004E117D"/>
    <w:rsid w:val="004E1215"/>
    <w:rsid w:val="004E160C"/>
    <w:rsid w:val="004E21DC"/>
    <w:rsid w:val="004E472F"/>
    <w:rsid w:val="004E5242"/>
    <w:rsid w:val="004E5BB5"/>
    <w:rsid w:val="004E7104"/>
    <w:rsid w:val="004E716B"/>
    <w:rsid w:val="004F3537"/>
    <w:rsid w:val="004F399E"/>
    <w:rsid w:val="004F588E"/>
    <w:rsid w:val="004F66B5"/>
    <w:rsid w:val="00500164"/>
    <w:rsid w:val="005007E1"/>
    <w:rsid w:val="00502D8A"/>
    <w:rsid w:val="00504A01"/>
    <w:rsid w:val="00507341"/>
    <w:rsid w:val="005116CB"/>
    <w:rsid w:val="00515AF5"/>
    <w:rsid w:val="00515B94"/>
    <w:rsid w:val="0051722D"/>
    <w:rsid w:val="005172CF"/>
    <w:rsid w:val="005222A5"/>
    <w:rsid w:val="00522DC7"/>
    <w:rsid w:val="00524CA3"/>
    <w:rsid w:val="005250A1"/>
    <w:rsid w:val="00525AAA"/>
    <w:rsid w:val="00526870"/>
    <w:rsid w:val="00527A25"/>
    <w:rsid w:val="00530238"/>
    <w:rsid w:val="005313FA"/>
    <w:rsid w:val="005322F7"/>
    <w:rsid w:val="00532A23"/>
    <w:rsid w:val="00533229"/>
    <w:rsid w:val="00533FD7"/>
    <w:rsid w:val="00535BB5"/>
    <w:rsid w:val="00536569"/>
    <w:rsid w:val="00536A98"/>
    <w:rsid w:val="00540500"/>
    <w:rsid w:val="005417A5"/>
    <w:rsid w:val="00541884"/>
    <w:rsid w:val="005453EF"/>
    <w:rsid w:val="00546039"/>
    <w:rsid w:val="00546744"/>
    <w:rsid w:val="00546D00"/>
    <w:rsid w:val="00546E86"/>
    <w:rsid w:val="00547671"/>
    <w:rsid w:val="005504A7"/>
    <w:rsid w:val="005514F3"/>
    <w:rsid w:val="00554184"/>
    <w:rsid w:val="00554838"/>
    <w:rsid w:val="00556052"/>
    <w:rsid w:val="00556932"/>
    <w:rsid w:val="00557264"/>
    <w:rsid w:val="00557845"/>
    <w:rsid w:val="005613F6"/>
    <w:rsid w:val="005659FB"/>
    <w:rsid w:val="00572C94"/>
    <w:rsid w:val="00574B01"/>
    <w:rsid w:val="00575115"/>
    <w:rsid w:val="00575988"/>
    <w:rsid w:val="00577319"/>
    <w:rsid w:val="00577B38"/>
    <w:rsid w:val="00583FF4"/>
    <w:rsid w:val="00585DD4"/>
    <w:rsid w:val="00586216"/>
    <w:rsid w:val="0058784F"/>
    <w:rsid w:val="00591A8C"/>
    <w:rsid w:val="00591BE6"/>
    <w:rsid w:val="0059201A"/>
    <w:rsid w:val="005920AF"/>
    <w:rsid w:val="0059305A"/>
    <w:rsid w:val="00593887"/>
    <w:rsid w:val="00595643"/>
    <w:rsid w:val="00595AAC"/>
    <w:rsid w:val="00596F3A"/>
    <w:rsid w:val="005973C7"/>
    <w:rsid w:val="005A142A"/>
    <w:rsid w:val="005A151E"/>
    <w:rsid w:val="005A1FB9"/>
    <w:rsid w:val="005A4D51"/>
    <w:rsid w:val="005A6F5A"/>
    <w:rsid w:val="005A713B"/>
    <w:rsid w:val="005A720A"/>
    <w:rsid w:val="005B0291"/>
    <w:rsid w:val="005B029F"/>
    <w:rsid w:val="005B6456"/>
    <w:rsid w:val="005B6E17"/>
    <w:rsid w:val="005C0008"/>
    <w:rsid w:val="005C1399"/>
    <w:rsid w:val="005C18A9"/>
    <w:rsid w:val="005C5208"/>
    <w:rsid w:val="005D0FE0"/>
    <w:rsid w:val="005D25EC"/>
    <w:rsid w:val="005D25FB"/>
    <w:rsid w:val="005D278E"/>
    <w:rsid w:val="005D3182"/>
    <w:rsid w:val="005D41BC"/>
    <w:rsid w:val="005D4867"/>
    <w:rsid w:val="005D4E8E"/>
    <w:rsid w:val="005D748C"/>
    <w:rsid w:val="005D7931"/>
    <w:rsid w:val="005E0A2B"/>
    <w:rsid w:val="005E0D34"/>
    <w:rsid w:val="005E1DA6"/>
    <w:rsid w:val="005E1FA3"/>
    <w:rsid w:val="005E2C0D"/>
    <w:rsid w:val="005E49F9"/>
    <w:rsid w:val="005E4FD2"/>
    <w:rsid w:val="005E5061"/>
    <w:rsid w:val="005E7149"/>
    <w:rsid w:val="005E7C34"/>
    <w:rsid w:val="005F0627"/>
    <w:rsid w:val="005F1757"/>
    <w:rsid w:val="005F1810"/>
    <w:rsid w:val="005F28B1"/>
    <w:rsid w:val="005F2DFD"/>
    <w:rsid w:val="005F329A"/>
    <w:rsid w:val="005F41EF"/>
    <w:rsid w:val="005F53A6"/>
    <w:rsid w:val="005F61EA"/>
    <w:rsid w:val="005F649F"/>
    <w:rsid w:val="006001AD"/>
    <w:rsid w:val="0060248F"/>
    <w:rsid w:val="00602908"/>
    <w:rsid w:val="00602947"/>
    <w:rsid w:val="00604105"/>
    <w:rsid w:val="006047BA"/>
    <w:rsid w:val="00605F56"/>
    <w:rsid w:val="0061207B"/>
    <w:rsid w:val="00612FE9"/>
    <w:rsid w:val="006133C0"/>
    <w:rsid w:val="00613F34"/>
    <w:rsid w:val="00614252"/>
    <w:rsid w:val="00614C3A"/>
    <w:rsid w:val="006164EE"/>
    <w:rsid w:val="00616AEC"/>
    <w:rsid w:val="0062093A"/>
    <w:rsid w:val="00620BCD"/>
    <w:rsid w:val="006212C2"/>
    <w:rsid w:val="006222AE"/>
    <w:rsid w:val="006227DE"/>
    <w:rsid w:val="0062289D"/>
    <w:rsid w:val="00623735"/>
    <w:rsid w:val="00623FBC"/>
    <w:rsid w:val="00625C1A"/>
    <w:rsid w:val="00627AC9"/>
    <w:rsid w:val="00630BCF"/>
    <w:rsid w:val="0063529A"/>
    <w:rsid w:val="00635CCB"/>
    <w:rsid w:val="00635DA0"/>
    <w:rsid w:val="006362A8"/>
    <w:rsid w:val="006368C8"/>
    <w:rsid w:val="0063786F"/>
    <w:rsid w:val="0064331C"/>
    <w:rsid w:val="00646FB8"/>
    <w:rsid w:val="00651E96"/>
    <w:rsid w:val="00651FD9"/>
    <w:rsid w:val="006521A8"/>
    <w:rsid w:val="00653258"/>
    <w:rsid w:val="0065418D"/>
    <w:rsid w:val="0065498A"/>
    <w:rsid w:val="0065556C"/>
    <w:rsid w:val="00655744"/>
    <w:rsid w:val="00656233"/>
    <w:rsid w:val="0065692B"/>
    <w:rsid w:val="006573D5"/>
    <w:rsid w:val="00657AF0"/>
    <w:rsid w:val="00657FAA"/>
    <w:rsid w:val="00657FFA"/>
    <w:rsid w:val="006615D2"/>
    <w:rsid w:val="006616AC"/>
    <w:rsid w:val="00663CC8"/>
    <w:rsid w:val="006649B6"/>
    <w:rsid w:val="00664A1A"/>
    <w:rsid w:val="0066594A"/>
    <w:rsid w:val="006666CC"/>
    <w:rsid w:val="00666CC9"/>
    <w:rsid w:val="006729B8"/>
    <w:rsid w:val="006766C4"/>
    <w:rsid w:val="00677161"/>
    <w:rsid w:val="00677776"/>
    <w:rsid w:val="006801AC"/>
    <w:rsid w:val="00683C57"/>
    <w:rsid w:val="006875BC"/>
    <w:rsid w:val="00687656"/>
    <w:rsid w:val="006909C1"/>
    <w:rsid w:val="0069246A"/>
    <w:rsid w:val="00693FF7"/>
    <w:rsid w:val="006A11B6"/>
    <w:rsid w:val="006A11F1"/>
    <w:rsid w:val="006A157E"/>
    <w:rsid w:val="006A1C20"/>
    <w:rsid w:val="006A2509"/>
    <w:rsid w:val="006A36A0"/>
    <w:rsid w:val="006A67B8"/>
    <w:rsid w:val="006A6813"/>
    <w:rsid w:val="006A6D04"/>
    <w:rsid w:val="006B10BE"/>
    <w:rsid w:val="006B1AEC"/>
    <w:rsid w:val="006B1D4D"/>
    <w:rsid w:val="006B1EE6"/>
    <w:rsid w:val="006B3456"/>
    <w:rsid w:val="006B3636"/>
    <w:rsid w:val="006B4F56"/>
    <w:rsid w:val="006B5032"/>
    <w:rsid w:val="006B5571"/>
    <w:rsid w:val="006B66D4"/>
    <w:rsid w:val="006C0E2D"/>
    <w:rsid w:val="006C1C95"/>
    <w:rsid w:val="006C32A0"/>
    <w:rsid w:val="006C35E5"/>
    <w:rsid w:val="006C3653"/>
    <w:rsid w:val="006C6F49"/>
    <w:rsid w:val="006D2311"/>
    <w:rsid w:val="006D257F"/>
    <w:rsid w:val="006D3E58"/>
    <w:rsid w:val="006E187D"/>
    <w:rsid w:val="006E2073"/>
    <w:rsid w:val="006E4A2C"/>
    <w:rsid w:val="006E6303"/>
    <w:rsid w:val="006F0619"/>
    <w:rsid w:val="006F1A10"/>
    <w:rsid w:val="006F1CB7"/>
    <w:rsid w:val="006F220F"/>
    <w:rsid w:val="006F25E6"/>
    <w:rsid w:val="006F3E6D"/>
    <w:rsid w:val="006F73BA"/>
    <w:rsid w:val="0070197D"/>
    <w:rsid w:val="0070561F"/>
    <w:rsid w:val="00705E8B"/>
    <w:rsid w:val="007077F8"/>
    <w:rsid w:val="00710E90"/>
    <w:rsid w:val="007125C5"/>
    <w:rsid w:val="00713DBD"/>
    <w:rsid w:val="00717367"/>
    <w:rsid w:val="007175CF"/>
    <w:rsid w:val="00717A88"/>
    <w:rsid w:val="00720D1E"/>
    <w:rsid w:val="00722685"/>
    <w:rsid w:val="007235D4"/>
    <w:rsid w:val="00723952"/>
    <w:rsid w:val="00725235"/>
    <w:rsid w:val="00726056"/>
    <w:rsid w:val="007307D4"/>
    <w:rsid w:val="00733507"/>
    <w:rsid w:val="007363DB"/>
    <w:rsid w:val="00741194"/>
    <w:rsid w:val="00741834"/>
    <w:rsid w:val="00741C52"/>
    <w:rsid w:val="007424D1"/>
    <w:rsid w:val="007440DF"/>
    <w:rsid w:val="007441A6"/>
    <w:rsid w:val="0074462C"/>
    <w:rsid w:val="00744D46"/>
    <w:rsid w:val="00744F61"/>
    <w:rsid w:val="0074627A"/>
    <w:rsid w:val="007463CE"/>
    <w:rsid w:val="00746A29"/>
    <w:rsid w:val="00746EAA"/>
    <w:rsid w:val="00746F63"/>
    <w:rsid w:val="0074770C"/>
    <w:rsid w:val="00752CF9"/>
    <w:rsid w:val="0075397B"/>
    <w:rsid w:val="00757436"/>
    <w:rsid w:val="007623C2"/>
    <w:rsid w:val="0076348E"/>
    <w:rsid w:val="0076385D"/>
    <w:rsid w:val="007639F8"/>
    <w:rsid w:val="0076553C"/>
    <w:rsid w:val="00766BCA"/>
    <w:rsid w:val="00766CE4"/>
    <w:rsid w:val="00770592"/>
    <w:rsid w:val="00770798"/>
    <w:rsid w:val="00773C0C"/>
    <w:rsid w:val="0077426E"/>
    <w:rsid w:val="00775729"/>
    <w:rsid w:val="00776890"/>
    <w:rsid w:val="0078067E"/>
    <w:rsid w:val="0078356C"/>
    <w:rsid w:val="0078432B"/>
    <w:rsid w:val="00784CA2"/>
    <w:rsid w:val="007865CF"/>
    <w:rsid w:val="007868B5"/>
    <w:rsid w:val="007919C1"/>
    <w:rsid w:val="007972E8"/>
    <w:rsid w:val="007979A7"/>
    <w:rsid w:val="007A0577"/>
    <w:rsid w:val="007A369B"/>
    <w:rsid w:val="007A619D"/>
    <w:rsid w:val="007A718E"/>
    <w:rsid w:val="007B5043"/>
    <w:rsid w:val="007B61AC"/>
    <w:rsid w:val="007B6287"/>
    <w:rsid w:val="007B696C"/>
    <w:rsid w:val="007B771B"/>
    <w:rsid w:val="007C15CE"/>
    <w:rsid w:val="007C190F"/>
    <w:rsid w:val="007C31F7"/>
    <w:rsid w:val="007C371C"/>
    <w:rsid w:val="007C37AA"/>
    <w:rsid w:val="007C3E3E"/>
    <w:rsid w:val="007C50D7"/>
    <w:rsid w:val="007C7119"/>
    <w:rsid w:val="007C77BD"/>
    <w:rsid w:val="007D085A"/>
    <w:rsid w:val="007D1357"/>
    <w:rsid w:val="007D1C04"/>
    <w:rsid w:val="007D2DA4"/>
    <w:rsid w:val="007D350A"/>
    <w:rsid w:val="007D4A71"/>
    <w:rsid w:val="007D75A8"/>
    <w:rsid w:val="007D7CBA"/>
    <w:rsid w:val="007D7E4D"/>
    <w:rsid w:val="007E038C"/>
    <w:rsid w:val="007E0435"/>
    <w:rsid w:val="007E27B5"/>
    <w:rsid w:val="007E37BF"/>
    <w:rsid w:val="007E616F"/>
    <w:rsid w:val="007E68A8"/>
    <w:rsid w:val="007F138F"/>
    <w:rsid w:val="007F20D8"/>
    <w:rsid w:val="007F2922"/>
    <w:rsid w:val="007F2EC6"/>
    <w:rsid w:val="007F3970"/>
    <w:rsid w:val="007F39A3"/>
    <w:rsid w:val="007F5335"/>
    <w:rsid w:val="007F5B23"/>
    <w:rsid w:val="007F738B"/>
    <w:rsid w:val="007F7410"/>
    <w:rsid w:val="007F74F8"/>
    <w:rsid w:val="00800324"/>
    <w:rsid w:val="00801C75"/>
    <w:rsid w:val="008020CA"/>
    <w:rsid w:val="00803B54"/>
    <w:rsid w:val="00803EE8"/>
    <w:rsid w:val="00804373"/>
    <w:rsid w:val="00806864"/>
    <w:rsid w:val="00810DCC"/>
    <w:rsid w:val="00813084"/>
    <w:rsid w:val="0082005B"/>
    <w:rsid w:val="00821C57"/>
    <w:rsid w:val="00822E87"/>
    <w:rsid w:val="0082384C"/>
    <w:rsid w:val="008247D9"/>
    <w:rsid w:val="00825867"/>
    <w:rsid w:val="008262A0"/>
    <w:rsid w:val="008302B5"/>
    <w:rsid w:val="0083055D"/>
    <w:rsid w:val="00830A4D"/>
    <w:rsid w:val="00832030"/>
    <w:rsid w:val="00832280"/>
    <w:rsid w:val="008328CF"/>
    <w:rsid w:val="00832B0E"/>
    <w:rsid w:val="00833865"/>
    <w:rsid w:val="00833A52"/>
    <w:rsid w:val="00833BAC"/>
    <w:rsid w:val="00834F7B"/>
    <w:rsid w:val="008352C2"/>
    <w:rsid w:val="00835C8F"/>
    <w:rsid w:val="008362DB"/>
    <w:rsid w:val="00836E39"/>
    <w:rsid w:val="00837BA8"/>
    <w:rsid w:val="0084013A"/>
    <w:rsid w:val="008402FF"/>
    <w:rsid w:val="0084148B"/>
    <w:rsid w:val="00841DF3"/>
    <w:rsid w:val="008427FD"/>
    <w:rsid w:val="00842C8A"/>
    <w:rsid w:val="00843919"/>
    <w:rsid w:val="00844316"/>
    <w:rsid w:val="008463BC"/>
    <w:rsid w:val="00846FC6"/>
    <w:rsid w:val="00850017"/>
    <w:rsid w:val="00850849"/>
    <w:rsid w:val="00850C18"/>
    <w:rsid w:val="00851763"/>
    <w:rsid w:val="00852109"/>
    <w:rsid w:val="008540F0"/>
    <w:rsid w:val="00854413"/>
    <w:rsid w:val="00857101"/>
    <w:rsid w:val="00857D09"/>
    <w:rsid w:val="00860622"/>
    <w:rsid w:val="0086091F"/>
    <w:rsid w:val="00861184"/>
    <w:rsid w:val="0086173F"/>
    <w:rsid w:val="00862738"/>
    <w:rsid w:val="0086332A"/>
    <w:rsid w:val="00866519"/>
    <w:rsid w:val="00866B1A"/>
    <w:rsid w:val="00866D80"/>
    <w:rsid w:val="008670B5"/>
    <w:rsid w:val="008676FB"/>
    <w:rsid w:val="0087105B"/>
    <w:rsid w:val="0087358E"/>
    <w:rsid w:val="00874905"/>
    <w:rsid w:val="00874A6F"/>
    <w:rsid w:val="00875C71"/>
    <w:rsid w:val="00876689"/>
    <w:rsid w:val="00877ACC"/>
    <w:rsid w:val="008812D6"/>
    <w:rsid w:val="00881B95"/>
    <w:rsid w:val="00882672"/>
    <w:rsid w:val="00882DFC"/>
    <w:rsid w:val="00882E1E"/>
    <w:rsid w:val="00883407"/>
    <w:rsid w:val="008868E4"/>
    <w:rsid w:val="00886CA9"/>
    <w:rsid w:val="00892001"/>
    <w:rsid w:val="008930F8"/>
    <w:rsid w:val="00893152"/>
    <w:rsid w:val="008940D3"/>
    <w:rsid w:val="008946D5"/>
    <w:rsid w:val="00896BEE"/>
    <w:rsid w:val="00897432"/>
    <w:rsid w:val="00897AD8"/>
    <w:rsid w:val="008A0F56"/>
    <w:rsid w:val="008A18E4"/>
    <w:rsid w:val="008A2630"/>
    <w:rsid w:val="008A31FE"/>
    <w:rsid w:val="008A3A78"/>
    <w:rsid w:val="008A5BEA"/>
    <w:rsid w:val="008A6AED"/>
    <w:rsid w:val="008A74C4"/>
    <w:rsid w:val="008A7809"/>
    <w:rsid w:val="008B269E"/>
    <w:rsid w:val="008B371B"/>
    <w:rsid w:val="008B6171"/>
    <w:rsid w:val="008C041A"/>
    <w:rsid w:val="008C10DB"/>
    <w:rsid w:val="008C1C6B"/>
    <w:rsid w:val="008C253C"/>
    <w:rsid w:val="008C5526"/>
    <w:rsid w:val="008D1D61"/>
    <w:rsid w:val="008D2514"/>
    <w:rsid w:val="008D2876"/>
    <w:rsid w:val="008D767F"/>
    <w:rsid w:val="008E02BE"/>
    <w:rsid w:val="008E1B39"/>
    <w:rsid w:val="008E3511"/>
    <w:rsid w:val="008E3946"/>
    <w:rsid w:val="008E3ABA"/>
    <w:rsid w:val="008E572D"/>
    <w:rsid w:val="008E67B2"/>
    <w:rsid w:val="008E7896"/>
    <w:rsid w:val="008F1468"/>
    <w:rsid w:val="008F28C9"/>
    <w:rsid w:val="008F3599"/>
    <w:rsid w:val="008F4222"/>
    <w:rsid w:val="008F7F47"/>
    <w:rsid w:val="00900992"/>
    <w:rsid w:val="009025DC"/>
    <w:rsid w:val="009039C2"/>
    <w:rsid w:val="009045D2"/>
    <w:rsid w:val="00907338"/>
    <w:rsid w:val="00907E0C"/>
    <w:rsid w:val="00910114"/>
    <w:rsid w:val="0091062A"/>
    <w:rsid w:val="00911C43"/>
    <w:rsid w:val="00912D7F"/>
    <w:rsid w:val="009132ED"/>
    <w:rsid w:val="009144CF"/>
    <w:rsid w:val="009144D0"/>
    <w:rsid w:val="00914993"/>
    <w:rsid w:val="0091753C"/>
    <w:rsid w:val="009179AC"/>
    <w:rsid w:val="0092181A"/>
    <w:rsid w:val="00921FE0"/>
    <w:rsid w:val="0092379A"/>
    <w:rsid w:val="009238FD"/>
    <w:rsid w:val="00924221"/>
    <w:rsid w:val="00926C42"/>
    <w:rsid w:val="0093104A"/>
    <w:rsid w:val="00931C26"/>
    <w:rsid w:val="00934EAF"/>
    <w:rsid w:val="0093547C"/>
    <w:rsid w:val="00935D93"/>
    <w:rsid w:val="00937A1D"/>
    <w:rsid w:val="00940785"/>
    <w:rsid w:val="00940841"/>
    <w:rsid w:val="00941B5D"/>
    <w:rsid w:val="00942601"/>
    <w:rsid w:val="00943294"/>
    <w:rsid w:val="009435B0"/>
    <w:rsid w:val="0094406F"/>
    <w:rsid w:val="00947D8E"/>
    <w:rsid w:val="00947F1E"/>
    <w:rsid w:val="00950738"/>
    <w:rsid w:val="00950C05"/>
    <w:rsid w:val="00953DE6"/>
    <w:rsid w:val="009556E1"/>
    <w:rsid w:val="00955D1D"/>
    <w:rsid w:val="00956783"/>
    <w:rsid w:val="00957AD1"/>
    <w:rsid w:val="00957AFA"/>
    <w:rsid w:val="00957CED"/>
    <w:rsid w:val="00960E99"/>
    <w:rsid w:val="009612E1"/>
    <w:rsid w:val="009621F2"/>
    <w:rsid w:val="0096493E"/>
    <w:rsid w:val="00965C0F"/>
    <w:rsid w:val="00967704"/>
    <w:rsid w:val="009707FD"/>
    <w:rsid w:val="0097224C"/>
    <w:rsid w:val="00972ECA"/>
    <w:rsid w:val="00973EFC"/>
    <w:rsid w:val="00976DF8"/>
    <w:rsid w:val="009773EE"/>
    <w:rsid w:val="00977F4D"/>
    <w:rsid w:val="00981A2A"/>
    <w:rsid w:val="009825B4"/>
    <w:rsid w:val="009830D0"/>
    <w:rsid w:val="0098322C"/>
    <w:rsid w:val="00984290"/>
    <w:rsid w:val="009848CE"/>
    <w:rsid w:val="00984987"/>
    <w:rsid w:val="009851AE"/>
    <w:rsid w:val="00985EEC"/>
    <w:rsid w:val="009879DB"/>
    <w:rsid w:val="00991925"/>
    <w:rsid w:val="009926D8"/>
    <w:rsid w:val="00993179"/>
    <w:rsid w:val="00993C77"/>
    <w:rsid w:val="00993F5F"/>
    <w:rsid w:val="00994376"/>
    <w:rsid w:val="009A38D9"/>
    <w:rsid w:val="009A39C3"/>
    <w:rsid w:val="009A46C6"/>
    <w:rsid w:val="009A488D"/>
    <w:rsid w:val="009A4CD4"/>
    <w:rsid w:val="009A7459"/>
    <w:rsid w:val="009A7F7E"/>
    <w:rsid w:val="009B11C4"/>
    <w:rsid w:val="009B12B0"/>
    <w:rsid w:val="009B24EB"/>
    <w:rsid w:val="009B3FBC"/>
    <w:rsid w:val="009B6C91"/>
    <w:rsid w:val="009B6FEE"/>
    <w:rsid w:val="009C109A"/>
    <w:rsid w:val="009C6AA9"/>
    <w:rsid w:val="009C6C1E"/>
    <w:rsid w:val="009C6FAD"/>
    <w:rsid w:val="009D059B"/>
    <w:rsid w:val="009D0A13"/>
    <w:rsid w:val="009D0D18"/>
    <w:rsid w:val="009D148E"/>
    <w:rsid w:val="009D32AE"/>
    <w:rsid w:val="009D4CB8"/>
    <w:rsid w:val="009D7ABA"/>
    <w:rsid w:val="009E0BCA"/>
    <w:rsid w:val="009E0E91"/>
    <w:rsid w:val="009E52BF"/>
    <w:rsid w:val="009E53B4"/>
    <w:rsid w:val="009E5BD2"/>
    <w:rsid w:val="009E71DD"/>
    <w:rsid w:val="009E7CDC"/>
    <w:rsid w:val="009F5253"/>
    <w:rsid w:val="009F795E"/>
    <w:rsid w:val="00A00668"/>
    <w:rsid w:val="00A01906"/>
    <w:rsid w:val="00A0359A"/>
    <w:rsid w:val="00A03EE0"/>
    <w:rsid w:val="00A04246"/>
    <w:rsid w:val="00A05500"/>
    <w:rsid w:val="00A05CD5"/>
    <w:rsid w:val="00A102F7"/>
    <w:rsid w:val="00A10E75"/>
    <w:rsid w:val="00A12118"/>
    <w:rsid w:val="00A122BD"/>
    <w:rsid w:val="00A13AD6"/>
    <w:rsid w:val="00A1507D"/>
    <w:rsid w:val="00A16EAF"/>
    <w:rsid w:val="00A204F9"/>
    <w:rsid w:val="00A20917"/>
    <w:rsid w:val="00A20B2F"/>
    <w:rsid w:val="00A2169E"/>
    <w:rsid w:val="00A2192F"/>
    <w:rsid w:val="00A2338D"/>
    <w:rsid w:val="00A23C62"/>
    <w:rsid w:val="00A246ED"/>
    <w:rsid w:val="00A26CE6"/>
    <w:rsid w:val="00A323F7"/>
    <w:rsid w:val="00A33832"/>
    <w:rsid w:val="00A35C7D"/>
    <w:rsid w:val="00A3716B"/>
    <w:rsid w:val="00A37577"/>
    <w:rsid w:val="00A40378"/>
    <w:rsid w:val="00A40E86"/>
    <w:rsid w:val="00A415E5"/>
    <w:rsid w:val="00A442FD"/>
    <w:rsid w:val="00A46E62"/>
    <w:rsid w:val="00A50463"/>
    <w:rsid w:val="00A52311"/>
    <w:rsid w:val="00A546C5"/>
    <w:rsid w:val="00A54B64"/>
    <w:rsid w:val="00A54C3A"/>
    <w:rsid w:val="00A57301"/>
    <w:rsid w:val="00A578C3"/>
    <w:rsid w:val="00A61A35"/>
    <w:rsid w:val="00A6316B"/>
    <w:rsid w:val="00A6470E"/>
    <w:rsid w:val="00A6480C"/>
    <w:rsid w:val="00A65570"/>
    <w:rsid w:val="00A6656E"/>
    <w:rsid w:val="00A66D67"/>
    <w:rsid w:val="00A67947"/>
    <w:rsid w:val="00A70641"/>
    <w:rsid w:val="00A71016"/>
    <w:rsid w:val="00A71671"/>
    <w:rsid w:val="00A719EE"/>
    <w:rsid w:val="00A73B1C"/>
    <w:rsid w:val="00A743C7"/>
    <w:rsid w:val="00A7733A"/>
    <w:rsid w:val="00A775C2"/>
    <w:rsid w:val="00A81214"/>
    <w:rsid w:val="00A8238F"/>
    <w:rsid w:val="00A83714"/>
    <w:rsid w:val="00A8402B"/>
    <w:rsid w:val="00A84FBE"/>
    <w:rsid w:val="00A87ADA"/>
    <w:rsid w:val="00A90227"/>
    <w:rsid w:val="00A908E0"/>
    <w:rsid w:val="00A91C9A"/>
    <w:rsid w:val="00A94C73"/>
    <w:rsid w:val="00A958C0"/>
    <w:rsid w:val="00AA08AD"/>
    <w:rsid w:val="00AA4046"/>
    <w:rsid w:val="00AA4609"/>
    <w:rsid w:val="00AA4ADE"/>
    <w:rsid w:val="00AA4AFD"/>
    <w:rsid w:val="00AA51D8"/>
    <w:rsid w:val="00AA57D3"/>
    <w:rsid w:val="00AB02AF"/>
    <w:rsid w:val="00AB03B9"/>
    <w:rsid w:val="00AB4238"/>
    <w:rsid w:val="00AB6AA2"/>
    <w:rsid w:val="00AC0CA3"/>
    <w:rsid w:val="00AC287D"/>
    <w:rsid w:val="00AC49A8"/>
    <w:rsid w:val="00AC70EF"/>
    <w:rsid w:val="00AC75B9"/>
    <w:rsid w:val="00AD0360"/>
    <w:rsid w:val="00AD170E"/>
    <w:rsid w:val="00AD1CA5"/>
    <w:rsid w:val="00AD64F4"/>
    <w:rsid w:val="00AE0618"/>
    <w:rsid w:val="00AE19E6"/>
    <w:rsid w:val="00AE3C0B"/>
    <w:rsid w:val="00AE479B"/>
    <w:rsid w:val="00AE5CDB"/>
    <w:rsid w:val="00AE5D76"/>
    <w:rsid w:val="00AE765C"/>
    <w:rsid w:val="00AF1906"/>
    <w:rsid w:val="00AF55C6"/>
    <w:rsid w:val="00AF55FD"/>
    <w:rsid w:val="00AF7A28"/>
    <w:rsid w:val="00AF7E95"/>
    <w:rsid w:val="00B02AC6"/>
    <w:rsid w:val="00B03AEC"/>
    <w:rsid w:val="00B04687"/>
    <w:rsid w:val="00B07FAE"/>
    <w:rsid w:val="00B12FA9"/>
    <w:rsid w:val="00B135C9"/>
    <w:rsid w:val="00B13FDD"/>
    <w:rsid w:val="00B14BAC"/>
    <w:rsid w:val="00B17FD7"/>
    <w:rsid w:val="00B202C6"/>
    <w:rsid w:val="00B213D3"/>
    <w:rsid w:val="00B21582"/>
    <w:rsid w:val="00B224AE"/>
    <w:rsid w:val="00B22E08"/>
    <w:rsid w:val="00B2604E"/>
    <w:rsid w:val="00B26D73"/>
    <w:rsid w:val="00B26DC6"/>
    <w:rsid w:val="00B270D4"/>
    <w:rsid w:val="00B277FF"/>
    <w:rsid w:val="00B30AB1"/>
    <w:rsid w:val="00B32B82"/>
    <w:rsid w:val="00B355C0"/>
    <w:rsid w:val="00B35CA1"/>
    <w:rsid w:val="00B365D2"/>
    <w:rsid w:val="00B37F20"/>
    <w:rsid w:val="00B40067"/>
    <w:rsid w:val="00B44DC8"/>
    <w:rsid w:val="00B4552A"/>
    <w:rsid w:val="00B45B49"/>
    <w:rsid w:val="00B50EA6"/>
    <w:rsid w:val="00B50F94"/>
    <w:rsid w:val="00B51618"/>
    <w:rsid w:val="00B53277"/>
    <w:rsid w:val="00B53C80"/>
    <w:rsid w:val="00B56E7E"/>
    <w:rsid w:val="00B602D7"/>
    <w:rsid w:val="00B6273D"/>
    <w:rsid w:val="00B70A45"/>
    <w:rsid w:val="00B733D1"/>
    <w:rsid w:val="00B73DC8"/>
    <w:rsid w:val="00B73F48"/>
    <w:rsid w:val="00B74278"/>
    <w:rsid w:val="00B74E34"/>
    <w:rsid w:val="00B75E5E"/>
    <w:rsid w:val="00B76812"/>
    <w:rsid w:val="00B7744C"/>
    <w:rsid w:val="00B81BCD"/>
    <w:rsid w:val="00B827CF"/>
    <w:rsid w:val="00B8489D"/>
    <w:rsid w:val="00B85475"/>
    <w:rsid w:val="00B86247"/>
    <w:rsid w:val="00B868FF"/>
    <w:rsid w:val="00B91368"/>
    <w:rsid w:val="00B91801"/>
    <w:rsid w:val="00B92D65"/>
    <w:rsid w:val="00B93EBE"/>
    <w:rsid w:val="00B94408"/>
    <w:rsid w:val="00B97086"/>
    <w:rsid w:val="00B97D99"/>
    <w:rsid w:val="00BA10E6"/>
    <w:rsid w:val="00BA71C2"/>
    <w:rsid w:val="00BB0C34"/>
    <w:rsid w:val="00BB5F02"/>
    <w:rsid w:val="00BB7A3B"/>
    <w:rsid w:val="00BC2604"/>
    <w:rsid w:val="00BC2EB5"/>
    <w:rsid w:val="00BC3B16"/>
    <w:rsid w:val="00BC3F09"/>
    <w:rsid w:val="00BC3FD0"/>
    <w:rsid w:val="00BC43CE"/>
    <w:rsid w:val="00BC5F14"/>
    <w:rsid w:val="00BC6334"/>
    <w:rsid w:val="00BC6D4E"/>
    <w:rsid w:val="00BC7481"/>
    <w:rsid w:val="00BD699F"/>
    <w:rsid w:val="00BE027A"/>
    <w:rsid w:val="00BE0ABC"/>
    <w:rsid w:val="00BE1E34"/>
    <w:rsid w:val="00BE2530"/>
    <w:rsid w:val="00BE2E80"/>
    <w:rsid w:val="00BE2F16"/>
    <w:rsid w:val="00BE2F8A"/>
    <w:rsid w:val="00BE3F1C"/>
    <w:rsid w:val="00BE4005"/>
    <w:rsid w:val="00BE5FDB"/>
    <w:rsid w:val="00BE6978"/>
    <w:rsid w:val="00BE6E35"/>
    <w:rsid w:val="00BE7334"/>
    <w:rsid w:val="00BE7A90"/>
    <w:rsid w:val="00BF2031"/>
    <w:rsid w:val="00BF50BE"/>
    <w:rsid w:val="00C011B5"/>
    <w:rsid w:val="00C05563"/>
    <w:rsid w:val="00C06415"/>
    <w:rsid w:val="00C0756F"/>
    <w:rsid w:val="00C10FD8"/>
    <w:rsid w:val="00C12A1E"/>
    <w:rsid w:val="00C154BE"/>
    <w:rsid w:val="00C17030"/>
    <w:rsid w:val="00C175F5"/>
    <w:rsid w:val="00C209F6"/>
    <w:rsid w:val="00C245D7"/>
    <w:rsid w:val="00C250D8"/>
    <w:rsid w:val="00C2518A"/>
    <w:rsid w:val="00C25327"/>
    <w:rsid w:val="00C26013"/>
    <w:rsid w:val="00C279BF"/>
    <w:rsid w:val="00C27A6F"/>
    <w:rsid w:val="00C27C36"/>
    <w:rsid w:val="00C304A4"/>
    <w:rsid w:val="00C311F1"/>
    <w:rsid w:val="00C32CA0"/>
    <w:rsid w:val="00C33609"/>
    <w:rsid w:val="00C33D5D"/>
    <w:rsid w:val="00C350B9"/>
    <w:rsid w:val="00C35224"/>
    <w:rsid w:val="00C378FC"/>
    <w:rsid w:val="00C403A5"/>
    <w:rsid w:val="00C404FD"/>
    <w:rsid w:val="00C44509"/>
    <w:rsid w:val="00C44633"/>
    <w:rsid w:val="00C45347"/>
    <w:rsid w:val="00C46233"/>
    <w:rsid w:val="00C46D6A"/>
    <w:rsid w:val="00C47503"/>
    <w:rsid w:val="00C530D5"/>
    <w:rsid w:val="00C536B7"/>
    <w:rsid w:val="00C545D5"/>
    <w:rsid w:val="00C54E2A"/>
    <w:rsid w:val="00C609AE"/>
    <w:rsid w:val="00C62275"/>
    <w:rsid w:val="00C645C3"/>
    <w:rsid w:val="00C65AED"/>
    <w:rsid w:val="00C66205"/>
    <w:rsid w:val="00C67D9C"/>
    <w:rsid w:val="00C701A9"/>
    <w:rsid w:val="00C71637"/>
    <w:rsid w:val="00C72042"/>
    <w:rsid w:val="00C72C5C"/>
    <w:rsid w:val="00C74BB3"/>
    <w:rsid w:val="00C77150"/>
    <w:rsid w:val="00C772E0"/>
    <w:rsid w:val="00C82EB1"/>
    <w:rsid w:val="00C8316F"/>
    <w:rsid w:val="00C83CF0"/>
    <w:rsid w:val="00C85C85"/>
    <w:rsid w:val="00C8724B"/>
    <w:rsid w:val="00C90014"/>
    <w:rsid w:val="00C90EBD"/>
    <w:rsid w:val="00C92807"/>
    <w:rsid w:val="00C938AE"/>
    <w:rsid w:val="00CA060C"/>
    <w:rsid w:val="00CA305F"/>
    <w:rsid w:val="00CA3116"/>
    <w:rsid w:val="00CA3DF6"/>
    <w:rsid w:val="00CA53E0"/>
    <w:rsid w:val="00CA68D3"/>
    <w:rsid w:val="00CA6F54"/>
    <w:rsid w:val="00CA7039"/>
    <w:rsid w:val="00CA77BE"/>
    <w:rsid w:val="00CB123A"/>
    <w:rsid w:val="00CB14F4"/>
    <w:rsid w:val="00CB257F"/>
    <w:rsid w:val="00CB30EE"/>
    <w:rsid w:val="00CB3824"/>
    <w:rsid w:val="00CB4EFA"/>
    <w:rsid w:val="00CB5031"/>
    <w:rsid w:val="00CB7C45"/>
    <w:rsid w:val="00CB7D65"/>
    <w:rsid w:val="00CB7ECE"/>
    <w:rsid w:val="00CC2DEA"/>
    <w:rsid w:val="00CC3ADC"/>
    <w:rsid w:val="00CC49EF"/>
    <w:rsid w:val="00CC629E"/>
    <w:rsid w:val="00CC6371"/>
    <w:rsid w:val="00CC6DDE"/>
    <w:rsid w:val="00CC7E55"/>
    <w:rsid w:val="00CD00F3"/>
    <w:rsid w:val="00CD0F10"/>
    <w:rsid w:val="00CD1655"/>
    <w:rsid w:val="00CD3EE8"/>
    <w:rsid w:val="00CD4D5D"/>
    <w:rsid w:val="00CD5619"/>
    <w:rsid w:val="00CD6B29"/>
    <w:rsid w:val="00CD6CFB"/>
    <w:rsid w:val="00CD7604"/>
    <w:rsid w:val="00CE119B"/>
    <w:rsid w:val="00CE16D9"/>
    <w:rsid w:val="00CE1D8A"/>
    <w:rsid w:val="00CE2A35"/>
    <w:rsid w:val="00CE2A3E"/>
    <w:rsid w:val="00CE3086"/>
    <w:rsid w:val="00CE444F"/>
    <w:rsid w:val="00CE4E14"/>
    <w:rsid w:val="00CE5DF0"/>
    <w:rsid w:val="00CE64B8"/>
    <w:rsid w:val="00CF0E9B"/>
    <w:rsid w:val="00CF39AB"/>
    <w:rsid w:val="00CF51B1"/>
    <w:rsid w:val="00D03228"/>
    <w:rsid w:val="00D05E6A"/>
    <w:rsid w:val="00D06654"/>
    <w:rsid w:val="00D12144"/>
    <w:rsid w:val="00D13BD5"/>
    <w:rsid w:val="00D14E92"/>
    <w:rsid w:val="00D20079"/>
    <w:rsid w:val="00D20E3E"/>
    <w:rsid w:val="00D22996"/>
    <w:rsid w:val="00D22CC3"/>
    <w:rsid w:val="00D22E46"/>
    <w:rsid w:val="00D22EAC"/>
    <w:rsid w:val="00D22FB7"/>
    <w:rsid w:val="00D23BA5"/>
    <w:rsid w:val="00D242C5"/>
    <w:rsid w:val="00D2506C"/>
    <w:rsid w:val="00D26D95"/>
    <w:rsid w:val="00D30125"/>
    <w:rsid w:val="00D31350"/>
    <w:rsid w:val="00D325C4"/>
    <w:rsid w:val="00D32A2E"/>
    <w:rsid w:val="00D33695"/>
    <w:rsid w:val="00D339BB"/>
    <w:rsid w:val="00D34B0A"/>
    <w:rsid w:val="00D36B85"/>
    <w:rsid w:val="00D377F4"/>
    <w:rsid w:val="00D40C35"/>
    <w:rsid w:val="00D4376B"/>
    <w:rsid w:val="00D4489A"/>
    <w:rsid w:val="00D5075E"/>
    <w:rsid w:val="00D507C9"/>
    <w:rsid w:val="00D51870"/>
    <w:rsid w:val="00D526E1"/>
    <w:rsid w:val="00D531F8"/>
    <w:rsid w:val="00D53C32"/>
    <w:rsid w:val="00D54409"/>
    <w:rsid w:val="00D5600F"/>
    <w:rsid w:val="00D561CE"/>
    <w:rsid w:val="00D57CD9"/>
    <w:rsid w:val="00D6198D"/>
    <w:rsid w:val="00D629DF"/>
    <w:rsid w:val="00D6449D"/>
    <w:rsid w:val="00D649E7"/>
    <w:rsid w:val="00D67AC3"/>
    <w:rsid w:val="00D722D4"/>
    <w:rsid w:val="00D75FAF"/>
    <w:rsid w:val="00D80CE9"/>
    <w:rsid w:val="00D81056"/>
    <w:rsid w:val="00D83477"/>
    <w:rsid w:val="00D856CE"/>
    <w:rsid w:val="00D85AD3"/>
    <w:rsid w:val="00D860CD"/>
    <w:rsid w:val="00D87318"/>
    <w:rsid w:val="00D90A42"/>
    <w:rsid w:val="00D92397"/>
    <w:rsid w:val="00D9366E"/>
    <w:rsid w:val="00D93C4C"/>
    <w:rsid w:val="00D94BEA"/>
    <w:rsid w:val="00D96888"/>
    <w:rsid w:val="00D97E8D"/>
    <w:rsid w:val="00DA2403"/>
    <w:rsid w:val="00DA2DDF"/>
    <w:rsid w:val="00DA2EB4"/>
    <w:rsid w:val="00DA34D1"/>
    <w:rsid w:val="00DA5CAC"/>
    <w:rsid w:val="00DA6190"/>
    <w:rsid w:val="00DA7B0A"/>
    <w:rsid w:val="00DB056F"/>
    <w:rsid w:val="00DB189D"/>
    <w:rsid w:val="00DB26EE"/>
    <w:rsid w:val="00DB344E"/>
    <w:rsid w:val="00DB4062"/>
    <w:rsid w:val="00DB4BFE"/>
    <w:rsid w:val="00DB56D0"/>
    <w:rsid w:val="00DB79AE"/>
    <w:rsid w:val="00DC2719"/>
    <w:rsid w:val="00DD0C37"/>
    <w:rsid w:val="00DD119C"/>
    <w:rsid w:val="00DD32D0"/>
    <w:rsid w:val="00DD3325"/>
    <w:rsid w:val="00DD4993"/>
    <w:rsid w:val="00DD781D"/>
    <w:rsid w:val="00DD799D"/>
    <w:rsid w:val="00DE024C"/>
    <w:rsid w:val="00DE3D7C"/>
    <w:rsid w:val="00DE4988"/>
    <w:rsid w:val="00DE4D42"/>
    <w:rsid w:val="00DE54A0"/>
    <w:rsid w:val="00DE58B0"/>
    <w:rsid w:val="00DE5BC6"/>
    <w:rsid w:val="00DE760B"/>
    <w:rsid w:val="00DF1DB5"/>
    <w:rsid w:val="00DF22C2"/>
    <w:rsid w:val="00DF31AD"/>
    <w:rsid w:val="00E000A2"/>
    <w:rsid w:val="00E00BD9"/>
    <w:rsid w:val="00E03294"/>
    <w:rsid w:val="00E03B65"/>
    <w:rsid w:val="00E0457C"/>
    <w:rsid w:val="00E05BF1"/>
    <w:rsid w:val="00E06FA0"/>
    <w:rsid w:val="00E07A39"/>
    <w:rsid w:val="00E07AC3"/>
    <w:rsid w:val="00E11CFC"/>
    <w:rsid w:val="00E12500"/>
    <w:rsid w:val="00E12EEF"/>
    <w:rsid w:val="00E140A1"/>
    <w:rsid w:val="00E15DD7"/>
    <w:rsid w:val="00E20CA1"/>
    <w:rsid w:val="00E21AB5"/>
    <w:rsid w:val="00E238E7"/>
    <w:rsid w:val="00E23B9E"/>
    <w:rsid w:val="00E2646B"/>
    <w:rsid w:val="00E26680"/>
    <w:rsid w:val="00E268AF"/>
    <w:rsid w:val="00E313D5"/>
    <w:rsid w:val="00E33101"/>
    <w:rsid w:val="00E33C6E"/>
    <w:rsid w:val="00E35C04"/>
    <w:rsid w:val="00E37765"/>
    <w:rsid w:val="00E37B31"/>
    <w:rsid w:val="00E41B5D"/>
    <w:rsid w:val="00E42BF6"/>
    <w:rsid w:val="00E443B2"/>
    <w:rsid w:val="00E4592E"/>
    <w:rsid w:val="00E45CD5"/>
    <w:rsid w:val="00E461C3"/>
    <w:rsid w:val="00E50A7F"/>
    <w:rsid w:val="00E51915"/>
    <w:rsid w:val="00E5257D"/>
    <w:rsid w:val="00E530EF"/>
    <w:rsid w:val="00E56189"/>
    <w:rsid w:val="00E5798D"/>
    <w:rsid w:val="00E57994"/>
    <w:rsid w:val="00E57EAB"/>
    <w:rsid w:val="00E57F0F"/>
    <w:rsid w:val="00E61845"/>
    <w:rsid w:val="00E61935"/>
    <w:rsid w:val="00E61A21"/>
    <w:rsid w:val="00E62F60"/>
    <w:rsid w:val="00E636B7"/>
    <w:rsid w:val="00E6496A"/>
    <w:rsid w:val="00E64CA3"/>
    <w:rsid w:val="00E652AE"/>
    <w:rsid w:val="00E65751"/>
    <w:rsid w:val="00E67240"/>
    <w:rsid w:val="00E676A9"/>
    <w:rsid w:val="00E704EB"/>
    <w:rsid w:val="00E70781"/>
    <w:rsid w:val="00E719BA"/>
    <w:rsid w:val="00E74457"/>
    <w:rsid w:val="00E746C8"/>
    <w:rsid w:val="00E7563F"/>
    <w:rsid w:val="00E75D7D"/>
    <w:rsid w:val="00E76E8B"/>
    <w:rsid w:val="00E779E2"/>
    <w:rsid w:val="00E80BF4"/>
    <w:rsid w:val="00E827C8"/>
    <w:rsid w:val="00E82B28"/>
    <w:rsid w:val="00E82FBE"/>
    <w:rsid w:val="00E8312F"/>
    <w:rsid w:val="00E86D79"/>
    <w:rsid w:val="00E87330"/>
    <w:rsid w:val="00E87496"/>
    <w:rsid w:val="00E87A84"/>
    <w:rsid w:val="00E9152C"/>
    <w:rsid w:val="00E939D0"/>
    <w:rsid w:val="00E97705"/>
    <w:rsid w:val="00E97938"/>
    <w:rsid w:val="00EA1B46"/>
    <w:rsid w:val="00EA2813"/>
    <w:rsid w:val="00EA4E75"/>
    <w:rsid w:val="00EA57A9"/>
    <w:rsid w:val="00EA6DE5"/>
    <w:rsid w:val="00EA6EB9"/>
    <w:rsid w:val="00EA794E"/>
    <w:rsid w:val="00EA7B37"/>
    <w:rsid w:val="00EA7D8B"/>
    <w:rsid w:val="00EB0299"/>
    <w:rsid w:val="00EB2BDB"/>
    <w:rsid w:val="00EB58D7"/>
    <w:rsid w:val="00EB651E"/>
    <w:rsid w:val="00EC0ADC"/>
    <w:rsid w:val="00EC18F0"/>
    <w:rsid w:val="00EC2633"/>
    <w:rsid w:val="00EC2AF4"/>
    <w:rsid w:val="00EC2B8D"/>
    <w:rsid w:val="00EC5524"/>
    <w:rsid w:val="00EC5C16"/>
    <w:rsid w:val="00EC67BE"/>
    <w:rsid w:val="00EC6EB8"/>
    <w:rsid w:val="00EC7B90"/>
    <w:rsid w:val="00ED0067"/>
    <w:rsid w:val="00ED0D41"/>
    <w:rsid w:val="00ED17B9"/>
    <w:rsid w:val="00ED1A55"/>
    <w:rsid w:val="00ED24CA"/>
    <w:rsid w:val="00ED2F06"/>
    <w:rsid w:val="00ED3E8D"/>
    <w:rsid w:val="00ED405B"/>
    <w:rsid w:val="00ED4C0A"/>
    <w:rsid w:val="00ED5FAD"/>
    <w:rsid w:val="00ED6A1A"/>
    <w:rsid w:val="00ED71EE"/>
    <w:rsid w:val="00EE083E"/>
    <w:rsid w:val="00EE164C"/>
    <w:rsid w:val="00EE286A"/>
    <w:rsid w:val="00EE2AD1"/>
    <w:rsid w:val="00EE2C28"/>
    <w:rsid w:val="00EE2D37"/>
    <w:rsid w:val="00EE357C"/>
    <w:rsid w:val="00EE49CC"/>
    <w:rsid w:val="00EE4F01"/>
    <w:rsid w:val="00EF16A3"/>
    <w:rsid w:val="00EF18B2"/>
    <w:rsid w:val="00EF1F72"/>
    <w:rsid w:val="00EF5229"/>
    <w:rsid w:val="00EF61EB"/>
    <w:rsid w:val="00EF7D4E"/>
    <w:rsid w:val="00EF7D5F"/>
    <w:rsid w:val="00F0419A"/>
    <w:rsid w:val="00F04EB3"/>
    <w:rsid w:val="00F0527D"/>
    <w:rsid w:val="00F05A94"/>
    <w:rsid w:val="00F06EFC"/>
    <w:rsid w:val="00F11117"/>
    <w:rsid w:val="00F11E77"/>
    <w:rsid w:val="00F1291D"/>
    <w:rsid w:val="00F14BA7"/>
    <w:rsid w:val="00F17AAD"/>
    <w:rsid w:val="00F20E90"/>
    <w:rsid w:val="00F23236"/>
    <w:rsid w:val="00F23AEE"/>
    <w:rsid w:val="00F273FB"/>
    <w:rsid w:val="00F3101D"/>
    <w:rsid w:val="00F316D2"/>
    <w:rsid w:val="00F31FEB"/>
    <w:rsid w:val="00F333CB"/>
    <w:rsid w:val="00F33B16"/>
    <w:rsid w:val="00F33E88"/>
    <w:rsid w:val="00F34798"/>
    <w:rsid w:val="00F348BB"/>
    <w:rsid w:val="00F35F1F"/>
    <w:rsid w:val="00F36E58"/>
    <w:rsid w:val="00F41423"/>
    <w:rsid w:val="00F41A07"/>
    <w:rsid w:val="00F437F5"/>
    <w:rsid w:val="00F43F12"/>
    <w:rsid w:val="00F44C0A"/>
    <w:rsid w:val="00F501C6"/>
    <w:rsid w:val="00F52B53"/>
    <w:rsid w:val="00F533C2"/>
    <w:rsid w:val="00F54173"/>
    <w:rsid w:val="00F54CAC"/>
    <w:rsid w:val="00F558A9"/>
    <w:rsid w:val="00F57D58"/>
    <w:rsid w:val="00F61D31"/>
    <w:rsid w:val="00F620C0"/>
    <w:rsid w:val="00F62F95"/>
    <w:rsid w:val="00F63A31"/>
    <w:rsid w:val="00F64A42"/>
    <w:rsid w:val="00F65ADC"/>
    <w:rsid w:val="00F7054D"/>
    <w:rsid w:val="00F70FF5"/>
    <w:rsid w:val="00F725BE"/>
    <w:rsid w:val="00F73D13"/>
    <w:rsid w:val="00F7509B"/>
    <w:rsid w:val="00F75641"/>
    <w:rsid w:val="00F761C9"/>
    <w:rsid w:val="00F779F1"/>
    <w:rsid w:val="00F77EC6"/>
    <w:rsid w:val="00F80BAD"/>
    <w:rsid w:val="00F81348"/>
    <w:rsid w:val="00F8376C"/>
    <w:rsid w:val="00F8399F"/>
    <w:rsid w:val="00F83B4A"/>
    <w:rsid w:val="00F83B78"/>
    <w:rsid w:val="00F84C61"/>
    <w:rsid w:val="00F86EA4"/>
    <w:rsid w:val="00F87E76"/>
    <w:rsid w:val="00F91621"/>
    <w:rsid w:val="00F91EC5"/>
    <w:rsid w:val="00F92F2E"/>
    <w:rsid w:val="00F93658"/>
    <w:rsid w:val="00F9368D"/>
    <w:rsid w:val="00F93C31"/>
    <w:rsid w:val="00F949CE"/>
    <w:rsid w:val="00F95C4B"/>
    <w:rsid w:val="00F962D0"/>
    <w:rsid w:val="00FA0028"/>
    <w:rsid w:val="00FA1EDA"/>
    <w:rsid w:val="00FA2AEE"/>
    <w:rsid w:val="00FA36E8"/>
    <w:rsid w:val="00FA54A0"/>
    <w:rsid w:val="00FA62BC"/>
    <w:rsid w:val="00FA6EB1"/>
    <w:rsid w:val="00FA7436"/>
    <w:rsid w:val="00FB1285"/>
    <w:rsid w:val="00FB210F"/>
    <w:rsid w:val="00FB2D33"/>
    <w:rsid w:val="00FB2EED"/>
    <w:rsid w:val="00FB3025"/>
    <w:rsid w:val="00FB40A3"/>
    <w:rsid w:val="00FB4AF0"/>
    <w:rsid w:val="00FB50C3"/>
    <w:rsid w:val="00FB5500"/>
    <w:rsid w:val="00FB5AFB"/>
    <w:rsid w:val="00FB5FD8"/>
    <w:rsid w:val="00FB65B9"/>
    <w:rsid w:val="00FB757B"/>
    <w:rsid w:val="00FC11BF"/>
    <w:rsid w:val="00FC1812"/>
    <w:rsid w:val="00FC1AE7"/>
    <w:rsid w:val="00FC2464"/>
    <w:rsid w:val="00FC26F4"/>
    <w:rsid w:val="00FC4E78"/>
    <w:rsid w:val="00FC53E6"/>
    <w:rsid w:val="00FC5D12"/>
    <w:rsid w:val="00FC7BA0"/>
    <w:rsid w:val="00FD07FE"/>
    <w:rsid w:val="00FD0F55"/>
    <w:rsid w:val="00FD15BD"/>
    <w:rsid w:val="00FD1ACF"/>
    <w:rsid w:val="00FD3CD4"/>
    <w:rsid w:val="00FD4EB0"/>
    <w:rsid w:val="00FD5704"/>
    <w:rsid w:val="00FD5711"/>
    <w:rsid w:val="00FD5E59"/>
    <w:rsid w:val="00FD61A4"/>
    <w:rsid w:val="00FD7DEA"/>
    <w:rsid w:val="00FE1254"/>
    <w:rsid w:val="00FE224E"/>
    <w:rsid w:val="00FE37D2"/>
    <w:rsid w:val="00FE4039"/>
    <w:rsid w:val="00FE65F3"/>
    <w:rsid w:val="00FE6F08"/>
    <w:rsid w:val="00FF09A9"/>
    <w:rsid w:val="00FF1494"/>
    <w:rsid w:val="00FF1B6C"/>
    <w:rsid w:val="00FF2053"/>
    <w:rsid w:val="00FF2D52"/>
    <w:rsid w:val="00FF3572"/>
    <w:rsid w:val="00FF4364"/>
    <w:rsid w:val="00FF4DF2"/>
    <w:rsid w:val="00FF4E9C"/>
    <w:rsid w:val="00FF5C1E"/>
    <w:rsid w:val="00FF61A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04378B"/>
  <w15:docId w15:val="{56C6B039-4210-47DC-A0B1-3587C18F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A0F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CommentText">
    <w:name w:val="annotation text"/>
    <w:link w:val="CommentTextChar"/>
    <w:uiPriority w:val="99"/>
    <w:pPr>
      <w:spacing w:after="200"/>
    </w:pPr>
    <w:rPr>
      <w:rFonts w:ascii="Calibri" w:hAnsi="Calibri" w:cs="Arial Unicode MS"/>
      <w:color w:val="000000"/>
      <w:u w:color="000000"/>
      <w:lang w:val="en-US"/>
    </w:rPr>
  </w:style>
  <w:style w:type="character" w:customStyle="1" w:styleId="Hyperlink1">
    <w:name w:val="Hyperlink.1"/>
    <w:basedOn w:val="Hyperlink0"/>
    <w:rPr>
      <w:outline w:val="0"/>
      <w:color w:val="0000FF"/>
      <w:sz w:val="22"/>
      <w:szCs w:val="22"/>
      <w:u w:val="single" w:color="0000FF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outline w:val="0"/>
      <w:color w:val="0000FF"/>
      <w:sz w:val="22"/>
      <w:szCs w:val="22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423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23485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CD"/>
    <w:pPr>
      <w:spacing w:after="0"/>
    </w:pPr>
    <w:rPr>
      <w:rFonts w:ascii="Times New Roman" w:hAnsi="Times New Roman" w:cs="Times New Roman"/>
      <w:b/>
      <w:bCs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BCD"/>
    <w:rPr>
      <w:rFonts w:ascii="Calibri" w:hAnsi="Calibri" w:cs="Arial Unicode MS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BCD"/>
    <w:rPr>
      <w:rFonts w:ascii="Calibri" w:hAnsi="Calibri" w:cs="Arial Unicode MS"/>
      <w:b/>
      <w:bCs/>
      <w:color w:val="000000"/>
      <w:u w:color="00000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E4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F52B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D93C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1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3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38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233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4E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78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4E78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B50E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50EA6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50EA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250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F5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fn">
    <w:name w:val="fn"/>
    <w:basedOn w:val="DefaultParagraphFont"/>
    <w:rsid w:val="008A0F56"/>
  </w:style>
  <w:style w:type="character" w:customStyle="1" w:styleId="Subtitle1">
    <w:name w:val="Subtitle1"/>
    <w:basedOn w:val="DefaultParagraphFont"/>
    <w:rsid w:val="008A0F5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209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3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5AED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D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30BCF"/>
    <w:rPr>
      <w:color w:val="605E5C"/>
      <w:shd w:val="clear" w:color="auto" w:fill="E1DFDD"/>
    </w:rPr>
  </w:style>
  <w:style w:type="character" w:customStyle="1" w:styleId="span-citation">
    <w:name w:val="span-citation"/>
    <w:basedOn w:val="DefaultParagraphFont"/>
    <w:rsid w:val="00F06EFC"/>
  </w:style>
  <w:style w:type="character" w:styleId="Strong">
    <w:name w:val="Strong"/>
    <w:basedOn w:val="DefaultParagraphFont"/>
    <w:uiPriority w:val="22"/>
    <w:qFormat/>
    <w:rsid w:val="005417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F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Emphasis">
    <w:name w:val="Emphasis"/>
    <w:basedOn w:val="DefaultParagraphFont"/>
    <w:uiPriority w:val="20"/>
    <w:qFormat/>
    <w:rsid w:val="00FE6F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9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8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2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70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24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4191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763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andfonline.com/toc/rgab20/curren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F7088B-271E-40FB-9335-ECE27F7A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6959</Words>
  <Characters>39671</Characters>
  <Application>Microsoft Office Word</Application>
  <DocSecurity>4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Durose (Institute of Local Government Studies)</dc:creator>
  <cp:keywords/>
  <dc:description/>
  <cp:lastModifiedBy>Matt Ryan</cp:lastModifiedBy>
  <cp:revision>2</cp:revision>
  <dcterms:created xsi:type="dcterms:W3CDTF">2021-07-14T22:54:00Z</dcterms:created>
  <dcterms:modified xsi:type="dcterms:W3CDTF">2021-07-14T22:54:00Z</dcterms:modified>
</cp:coreProperties>
</file>