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6F86" w14:textId="70711585" w:rsidR="00072E7A" w:rsidRPr="003B3924" w:rsidRDefault="00AF0755" w:rsidP="00072E7A">
      <w:pPr>
        <w:pStyle w:val="PlainText"/>
        <w:rPr>
          <w:rFonts w:ascii="Arial Narrow" w:hAnsi="Arial Narrow"/>
          <w:b/>
          <w:sz w:val="24"/>
          <w:szCs w:val="24"/>
        </w:rPr>
      </w:pPr>
      <w:r w:rsidRPr="003B3924">
        <w:rPr>
          <w:rFonts w:ascii="Arial Narrow" w:hAnsi="Arial Narrow"/>
          <w:b/>
          <w:sz w:val="28"/>
          <w:szCs w:val="28"/>
        </w:rPr>
        <w:t>Small stories of home</w:t>
      </w:r>
      <w:r w:rsidR="00E917F2" w:rsidRPr="003B3924">
        <w:rPr>
          <w:rFonts w:ascii="Arial Narrow" w:hAnsi="Arial Narrow"/>
          <w:b/>
          <w:sz w:val="28"/>
          <w:szCs w:val="28"/>
        </w:rPr>
        <w:t xml:space="preserve"> moves</w:t>
      </w:r>
      <w:r w:rsidRPr="003B3924">
        <w:rPr>
          <w:rFonts w:ascii="Arial Narrow" w:hAnsi="Arial Narrow"/>
          <w:b/>
          <w:sz w:val="28"/>
          <w:szCs w:val="28"/>
        </w:rPr>
        <w:t xml:space="preserve">: a </w:t>
      </w:r>
      <w:r w:rsidR="0013213C" w:rsidRPr="003B3924">
        <w:rPr>
          <w:rFonts w:ascii="Arial Narrow" w:hAnsi="Arial Narrow"/>
          <w:b/>
          <w:sz w:val="28"/>
          <w:szCs w:val="28"/>
        </w:rPr>
        <w:t xml:space="preserve">gendered and generational </w:t>
      </w:r>
      <w:r w:rsidRPr="003B3924">
        <w:rPr>
          <w:rFonts w:ascii="Arial Narrow" w:hAnsi="Arial Narrow"/>
          <w:b/>
          <w:sz w:val="28"/>
          <w:szCs w:val="28"/>
        </w:rPr>
        <w:t>breadth-and-depth investigation</w:t>
      </w:r>
    </w:p>
    <w:p w14:paraId="19CC2559" w14:textId="6E03DF62" w:rsidR="00072E7A" w:rsidRPr="003B3924" w:rsidRDefault="00072E7A" w:rsidP="00072E7A">
      <w:pPr>
        <w:pStyle w:val="PlainText"/>
        <w:rPr>
          <w:rFonts w:ascii="Arial Narrow" w:hAnsi="Arial Narrow"/>
          <w:sz w:val="24"/>
          <w:szCs w:val="24"/>
        </w:rPr>
      </w:pPr>
    </w:p>
    <w:p w14:paraId="23EC9A75" w14:textId="290C337A" w:rsidR="00AD3293" w:rsidRPr="003B3924" w:rsidRDefault="00AD3293" w:rsidP="00072E7A">
      <w:pPr>
        <w:pStyle w:val="PlainText"/>
        <w:rPr>
          <w:rFonts w:ascii="Arial Narrow" w:hAnsi="Arial Narrow"/>
          <w:b/>
          <w:bCs/>
          <w:sz w:val="24"/>
          <w:szCs w:val="24"/>
        </w:rPr>
      </w:pPr>
      <w:r w:rsidRPr="003B3924">
        <w:rPr>
          <w:rFonts w:ascii="Arial Narrow" w:hAnsi="Arial Narrow"/>
          <w:b/>
          <w:bCs/>
          <w:sz w:val="24"/>
          <w:szCs w:val="24"/>
        </w:rPr>
        <w:t>Abstract</w:t>
      </w:r>
    </w:p>
    <w:p w14:paraId="541F9082" w14:textId="4C5EC60B" w:rsidR="00AD3293" w:rsidRPr="003B3924" w:rsidRDefault="00AD3293" w:rsidP="00072E7A">
      <w:pPr>
        <w:pStyle w:val="PlainText"/>
        <w:rPr>
          <w:rFonts w:ascii="Arial Narrow" w:hAnsi="Arial Narrow"/>
          <w:sz w:val="24"/>
          <w:szCs w:val="24"/>
        </w:rPr>
      </w:pPr>
    </w:p>
    <w:p w14:paraId="43955167" w14:textId="08479FC8" w:rsidR="004E04D1" w:rsidRPr="003B3924" w:rsidRDefault="004E04D1" w:rsidP="004E04D1">
      <w:r w:rsidRPr="003B3924">
        <w:t>This paper explores the way</w:t>
      </w:r>
      <w:r w:rsidR="00053C1E">
        <w:t xml:space="preserve"> </w:t>
      </w:r>
      <w:r w:rsidRPr="003B3924">
        <w:t>people from different age cohorts and genders talk about home moves</w:t>
      </w:r>
      <w:r w:rsidR="00C260BC" w:rsidRPr="003B3924">
        <w:t xml:space="preserve"> to contribute</w:t>
      </w:r>
      <w:r w:rsidRPr="003B3924">
        <w:t xml:space="preserve"> a rounded and nuanced relational understanding.  We draw on a secondary analysis of qualitative longitudinal data from multiple archived studies, using a breadth-and-depth analytic approach.  Conceptually, we appl</w:t>
      </w:r>
      <w:r w:rsidR="00C260BC" w:rsidRPr="003B3924">
        <w:t>y</w:t>
      </w:r>
      <w:r w:rsidRPr="003B3924">
        <w:t xml:space="preserve"> a linked lives perspective that understands home moves as tied to sets of social relationships and involving the navigation of structural circumstances.  We identif</w:t>
      </w:r>
      <w:r w:rsidR="00C260BC" w:rsidRPr="003B3924">
        <w:t>y</w:t>
      </w:r>
      <w:r w:rsidRPr="003B3924">
        <w:t xml:space="preserve"> complex discrete and serial small stories </w:t>
      </w:r>
      <w:proofErr w:type="gramStart"/>
      <w:r w:rsidRPr="003B3924">
        <w:t>where</w:t>
      </w:r>
      <w:proofErr w:type="gramEnd"/>
      <w:r w:rsidRPr="003B3924">
        <w:t xml:space="preserve"> moving away from or returning to is </w:t>
      </w:r>
      <w:r w:rsidR="00C260BC" w:rsidRPr="003B3924">
        <w:t xml:space="preserve">interdependently </w:t>
      </w:r>
      <w:r w:rsidRPr="003B3924">
        <w:t xml:space="preserve">linked to others staying put, and staying put to others’ home moves, at local, intra- and trans-national </w:t>
      </w:r>
      <w:r w:rsidRPr="00C105EB">
        <w:t>level</w:t>
      </w:r>
      <w:r w:rsidR="00C260BC" w:rsidRPr="00C105EB">
        <w:t>s</w:t>
      </w:r>
      <w:r w:rsidRPr="00C105EB">
        <w:t xml:space="preserve">.  Home moves are shaped structurally by gender and </w:t>
      </w:r>
      <w:r w:rsidR="00AE354A" w:rsidRPr="00C105EB">
        <w:t xml:space="preserve">age cohort </w:t>
      </w:r>
      <w:r w:rsidRPr="00C105EB">
        <w:t>generation</w:t>
      </w:r>
      <w:r w:rsidR="00AE354A" w:rsidRPr="00C105EB">
        <w:t>.  H</w:t>
      </w:r>
      <w:r w:rsidRPr="00C105EB">
        <w:t xml:space="preserve">ome and moving tend to be more salient in women’s accounts, articulating with </w:t>
      </w:r>
      <w:r w:rsidR="00AE354A" w:rsidRPr="00C105EB">
        <w:t xml:space="preserve">familial </w:t>
      </w:r>
      <w:r w:rsidRPr="00C105EB">
        <w:t xml:space="preserve">generation as their </w:t>
      </w:r>
      <w:r w:rsidRPr="003B3924">
        <w:t>own and others’ comings and goings accumulated over their lifetime.  Structural issues are also evident in the material and social resources that enable and constrain home moves, with more micro-level identification of recurrent themes of anxieties in the accounts of men who are starting</w:t>
      </w:r>
      <w:r w:rsidR="002268F9">
        <w:t>/</w:t>
      </w:r>
      <w:r w:rsidRPr="003B3924">
        <w:t xml:space="preserve">have young families, in contrast to women’s anxieties concerning the relational implications of home moves.  </w:t>
      </w:r>
    </w:p>
    <w:p w14:paraId="6AE06F1B" w14:textId="3F135A37" w:rsidR="00AD3293" w:rsidRPr="003B3924" w:rsidRDefault="00AD3293" w:rsidP="00072E7A">
      <w:pPr>
        <w:pStyle w:val="PlainText"/>
        <w:rPr>
          <w:rFonts w:ascii="Arial Narrow" w:hAnsi="Arial Narrow"/>
          <w:sz w:val="24"/>
          <w:szCs w:val="24"/>
        </w:rPr>
      </w:pPr>
    </w:p>
    <w:p w14:paraId="6478D01D" w14:textId="43849F35" w:rsidR="00AD3293" w:rsidRPr="003B3924" w:rsidRDefault="00AD3293" w:rsidP="00072E7A">
      <w:pPr>
        <w:pStyle w:val="PlainText"/>
        <w:rPr>
          <w:rFonts w:ascii="Arial Narrow" w:hAnsi="Arial Narrow"/>
          <w:sz w:val="24"/>
          <w:szCs w:val="24"/>
        </w:rPr>
      </w:pPr>
      <w:r w:rsidRPr="003B3924">
        <w:rPr>
          <w:rFonts w:ascii="Arial Narrow" w:hAnsi="Arial Narrow"/>
          <w:i/>
          <w:iCs/>
          <w:sz w:val="24"/>
          <w:szCs w:val="24"/>
        </w:rPr>
        <w:t>Keywords:</w:t>
      </w:r>
      <w:r w:rsidRPr="003B3924">
        <w:rPr>
          <w:rFonts w:ascii="Arial Narrow" w:hAnsi="Arial Narrow"/>
          <w:sz w:val="24"/>
          <w:szCs w:val="24"/>
        </w:rPr>
        <w:t xml:space="preserve"> </w:t>
      </w:r>
      <w:r w:rsidR="009021DD" w:rsidRPr="003B3924">
        <w:rPr>
          <w:rFonts w:ascii="Arial Narrow" w:hAnsi="Arial Narrow"/>
          <w:sz w:val="24"/>
          <w:szCs w:val="24"/>
        </w:rPr>
        <w:t xml:space="preserve">small stories, home moves, gender, generation, breadth-and-depth method, </w:t>
      </w:r>
      <w:r w:rsidR="003F5E5F" w:rsidRPr="003B3924">
        <w:rPr>
          <w:rFonts w:ascii="Arial Narrow" w:hAnsi="Arial Narrow"/>
          <w:sz w:val="24"/>
          <w:szCs w:val="24"/>
        </w:rPr>
        <w:t>linked lives.</w:t>
      </w:r>
    </w:p>
    <w:p w14:paraId="4465E098" w14:textId="77777777" w:rsidR="00AD3293" w:rsidRPr="003B3924" w:rsidRDefault="00AD3293" w:rsidP="00072E7A">
      <w:pPr>
        <w:pStyle w:val="PlainText"/>
        <w:rPr>
          <w:rFonts w:ascii="Arial Narrow" w:hAnsi="Arial Narrow"/>
          <w:sz w:val="24"/>
          <w:szCs w:val="24"/>
        </w:rPr>
      </w:pPr>
    </w:p>
    <w:p w14:paraId="0352A7E9" w14:textId="77777777" w:rsidR="009021DD" w:rsidRPr="003B3924" w:rsidRDefault="009021DD" w:rsidP="00072E7A">
      <w:pPr>
        <w:pStyle w:val="PlainText"/>
        <w:rPr>
          <w:rFonts w:ascii="Arial Narrow" w:hAnsi="Arial Narrow"/>
          <w:sz w:val="24"/>
          <w:szCs w:val="24"/>
        </w:rPr>
      </w:pPr>
    </w:p>
    <w:p w14:paraId="47C18D9D" w14:textId="77777777" w:rsidR="00072E7A" w:rsidRPr="003B3924" w:rsidRDefault="00072E7A" w:rsidP="00072E7A">
      <w:pPr>
        <w:pStyle w:val="PlainText"/>
        <w:rPr>
          <w:rFonts w:ascii="Arial Narrow" w:hAnsi="Arial Narrow"/>
          <w:b/>
          <w:sz w:val="24"/>
          <w:szCs w:val="24"/>
        </w:rPr>
      </w:pPr>
      <w:r w:rsidRPr="003B3924">
        <w:rPr>
          <w:rFonts w:ascii="Arial Narrow" w:hAnsi="Arial Narrow"/>
          <w:b/>
          <w:sz w:val="24"/>
          <w:szCs w:val="24"/>
        </w:rPr>
        <w:t>Introduction</w:t>
      </w:r>
    </w:p>
    <w:p w14:paraId="76822909" w14:textId="64343152" w:rsidR="00716D3C" w:rsidRPr="003B3924" w:rsidRDefault="00716D3C" w:rsidP="00072E7A">
      <w:pPr>
        <w:pStyle w:val="PlainText"/>
        <w:rPr>
          <w:rFonts w:ascii="Arial Narrow" w:hAnsi="Arial Narrow"/>
          <w:sz w:val="24"/>
          <w:szCs w:val="24"/>
        </w:rPr>
      </w:pPr>
    </w:p>
    <w:p w14:paraId="1C67BBF3" w14:textId="7B57E0AD" w:rsidR="00C81081" w:rsidRPr="003B3924" w:rsidRDefault="00565473" w:rsidP="00072E7A">
      <w:pPr>
        <w:pStyle w:val="PlainText"/>
        <w:rPr>
          <w:rFonts w:ascii="Arial Narrow" w:hAnsi="Arial Narrow"/>
          <w:sz w:val="24"/>
          <w:szCs w:val="24"/>
        </w:rPr>
      </w:pPr>
      <w:r w:rsidRPr="003B3924">
        <w:rPr>
          <w:rFonts w:ascii="Arial Narrow" w:hAnsi="Arial Narrow"/>
          <w:sz w:val="24"/>
          <w:szCs w:val="24"/>
        </w:rPr>
        <w:t xml:space="preserve">In this paper we consider </w:t>
      </w:r>
      <w:bookmarkStart w:id="0" w:name="_Hlk521327660"/>
      <w:r w:rsidRPr="003B3924">
        <w:rPr>
          <w:rFonts w:ascii="Arial Narrow" w:hAnsi="Arial Narrow"/>
          <w:sz w:val="24"/>
          <w:szCs w:val="24"/>
        </w:rPr>
        <w:t>the way</w:t>
      </w:r>
      <w:r w:rsidR="001B243D" w:rsidRPr="003B3924">
        <w:rPr>
          <w:rFonts w:ascii="Arial Narrow" w:hAnsi="Arial Narrow"/>
          <w:sz w:val="24"/>
          <w:szCs w:val="24"/>
        </w:rPr>
        <w:t>s</w:t>
      </w:r>
      <w:r w:rsidRPr="003B3924">
        <w:rPr>
          <w:rFonts w:ascii="Arial Narrow" w:hAnsi="Arial Narrow"/>
          <w:sz w:val="24"/>
          <w:szCs w:val="24"/>
        </w:rPr>
        <w:t xml:space="preserve"> that people </w:t>
      </w:r>
      <w:r w:rsidR="00684C95" w:rsidRPr="003B3924">
        <w:rPr>
          <w:rFonts w:ascii="Arial Narrow" w:hAnsi="Arial Narrow"/>
          <w:sz w:val="24"/>
          <w:szCs w:val="24"/>
        </w:rPr>
        <w:t>from</w:t>
      </w:r>
      <w:r w:rsidRPr="003B3924">
        <w:rPr>
          <w:rFonts w:ascii="Arial Narrow" w:hAnsi="Arial Narrow"/>
          <w:sz w:val="24"/>
          <w:szCs w:val="24"/>
        </w:rPr>
        <w:t xml:space="preserve"> different </w:t>
      </w:r>
      <w:r w:rsidR="00F52EAF" w:rsidRPr="003B3924">
        <w:rPr>
          <w:rFonts w:ascii="Arial Narrow" w:hAnsi="Arial Narrow"/>
          <w:sz w:val="24"/>
          <w:szCs w:val="24"/>
        </w:rPr>
        <w:t xml:space="preserve">age cohorts </w:t>
      </w:r>
      <w:r w:rsidRPr="003B3924">
        <w:rPr>
          <w:rFonts w:ascii="Arial Narrow" w:hAnsi="Arial Narrow"/>
          <w:sz w:val="24"/>
          <w:szCs w:val="24"/>
        </w:rPr>
        <w:t>and genders talk about</w:t>
      </w:r>
      <w:bookmarkEnd w:id="0"/>
      <w:r w:rsidR="00E917F2" w:rsidRPr="003B3924">
        <w:rPr>
          <w:rFonts w:ascii="Arial Narrow" w:hAnsi="Arial Narrow"/>
          <w:sz w:val="24"/>
          <w:szCs w:val="24"/>
        </w:rPr>
        <w:t xml:space="preserve"> home moves</w:t>
      </w:r>
      <w:r w:rsidR="00BE3766" w:rsidRPr="003B3924">
        <w:rPr>
          <w:rFonts w:ascii="Arial Narrow" w:hAnsi="Arial Narrow"/>
          <w:sz w:val="24"/>
          <w:szCs w:val="24"/>
        </w:rPr>
        <w:t>.</w:t>
      </w:r>
      <w:r w:rsidRPr="003B3924">
        <w:rPr>
          <w:rFonts w:ascii="Arial Narrow" w:hAnsi="Arial Narrow"/>
          <w:sz w:val="24"/>
          <w:szCs w:val="24"/>
        </w:rPr>
        <w:t xml:space="preserve"> </w:t>
      </w:r>
      <w:r w:rsidR="00CF6B9F" w:rsidRPr="003B3924">
        <w:rPr>
          <w:rFonts w:ascii="Arial Narrow" w:hAnsi="Arial Narrow"/>
          <w:sz w:val="24"/>
          <w:szCs w:val="24"/>
        </w:rPr>
        <w:t xml:space="preserve"> </w:t>
      </w:r>
      <w:r w:rsidR="001B243D" w:rsidRPr="003B3924">
        <w:rPr>
          <w:rFonts w:ascii="Arial Narrow" w:hAnsi="Arial Narrow"/>
          <w:sz w:val="24"/>
          <w:szCs w:val="24"/>
        </w:rPr>
        <w:t xml:space="preserve">In 2015, </w:t>
      </w:r>
      <w:r w:rsidR="00B91DDE" w:rsidRPr="003B3924">
        <w:rPr>
          <w:rFonts w:ascii="Arial Narrow" w:hAnsi="Arial Narrow"/>
          <w:sz w:val="24"/>
          <w:szCs w:val="24"/>
        </w:rPr>
        <w:t xml:space="preserve">Office for National Statistics figures (2016) show that </w:t>
      </w:r>
      <w:r w:rsidR="001B243D" w:rsidRPr="003B3924">
        <w:rPr>
          <w:rFonts w:ascii="Arial Narrow" w:hAnsi="Arial Narrow"/>
          <w:sz w:val="24"/>
          <w:szCs w:val="24"/>
        </w:rPr>
        <w:t>a</w:t>
      </w:r>
      <w:r w:rsidR="00CF6B9F" w:rsidRPr="003B3924">
        <w:rPr>
          <w:rFonts w:ascii="Arial Narrow" w:hAnsi="Arial Narrow"/>
          <w:sz w:val="24"/>
          <w:szCs w:val="24"/>
        </w:rPr>
        <w:t>round 2.9 million people moved</w:t>
      </w:r>
      <w:r w:rsidR="001718D3" w:rsidRPr="003B3924">
        <w:rPr>
          <w:rFonts w:ascii="Arial Narrow" w:hAnsi="Arial Narrow"/>
          <w:sz w:val="24"/>
          <w:szCs w:val="24"/>
        </w:rPr>
        <w:t xml:space="preserve"> </w:t>
      </w:r>
      <w:r w:rsidR="00CF6B9F" w:rsidRPr="003B3924">
        <w:rPr>
          <w:rFonts w:ascii="Arial Narrow" w:hAnsi="Arial Narrow"/>
          <w:sz w:val="24"/>
          <w:szCs w:val="24"/>
        </w:rPr>
        <w:t>within England and Wales</w:t>
      </w:r>
      <w:r w:rsidR="00B91DDE" w:rsidRPr="003B3924">
        <w:rPr>
          <w:rFonts w:ascii="Arial Narrow" w:hAnsi="Arial Narrow"/>
          <w:sz w:val="24"/>
          <w:szCs w:val="24"/>
        </w:rPr>
        <w:t xml:space="preserve">.  This includes </w:t>
      </w:r>
      <w:r w:rsidR="00237FAB" w:rsidRPr="003B3924">
        <w:rPr>
          <w:rFonts w:ascii="Arial Narrow" w:hAnsi="Arial Narrow"/>
          <w:sz w:val="24"/>
          <w:szCs w:val="24"/>
        </w:rPr>
        <w:t xml:space="preserve">both shorter local </w:t>
      </w:r>
      <w:r w:rsidR="00B91DDE" w:rsidRPr="003B3924">
        <w:rPr>
          <w:rFonts w:ascii="Arial Narrow" w:hAnsi="Arial Narrow"/>
          <w:sz w:val="24"/>
          <w:szCs w:val="24"/>
        </w:rPr>
        <w:t xml:space="preserve">and </w:t>
      </w:r>
      <w:r w:rsidR="001718D3" w:rsidRPr="003B3924">
        <w:rPr>
          <w:rFonts w:ascii="Arial Narrow" w:hAnsi="Arial Narrow"/>
          <w:sz w:val="24"/>
          <w:szCs w:val="24"/>
        </w:rPr>
        <w:t xml:space="preserve">longer distances </w:t>
      </w:r>
      <w:r w:rsidR="00CF6B9F" w:rsidRPr="003B3924">
        <w:rPr>
          <w:rFonts w:ascii="Arial Narrow" w:hAnsi="Arial Narrow"/>
          <w:sz w:val="24"/>
          <w:szCs w:val="24"/>
        </w:rPr>
        <w:t>to and from the rest of the UK</w:t>
      </w:r>
      <w:r w:rsidR="00B91DDE" w:rsidRPr="003B3924">
        <w:rPr>
          <w:rFonts w:ascii="Arial Narrow" w:hAnsi="Arial Narrow"/>
          <w:sz w:val="24"/>
          <w:szCs w:val="24"/>
        </w:rPr>
        <w:t>.  A</w:t>
      </w:r>
      <w:r w:rsidR="00C81081" w:rsidRPr="003B3924">
        <w:rPr>
          <w:rFonts w:ascii="Arial Narrow" w:hAnsi="Arial Narrow"/>
          <w:sz w:val="24"/>
          <w:szCs w:val="24"/>
        </w:rPr>
        <w:t xml:space="preserve"> slightly higher proportion of women </w:t>
      </w:r>
      <w:r w:rsidR="00B91DDE" w:rsidRPr="003B3924">
        <w:rPr>
          <w:rFonts w:ascii="Arial Narrow" w:hAnsi="Arial Narrow"/>
          <w:sz w:val="24"/>
          <w:szCs w:val="24"/>
        </w:rPr>
        <w:t xml:space="preserve">are </w:t>
      </w:r>
      <w:r w:rsidR="00C81081" w:rsidRPr="003B3924">
        <w:rPr>
          <w:rFonts w:ascii="Arial Narrow" w:hAnsi="Arial Narrow"/>
          <w:sz w:val="24"/>
          <w:szCs w:val="24"/>
        </w:rPr>
        <w:t>more likely to move</w:t>
      </w:r>
      <w:r w:rsidR="00291F01" w:rsidRPr="003B3924">
        <w:rPr>
          <w:rFonts w:ascii="Arial Narrow" w:hAnsi="Arial Narrow"/>
          <w:sz w:val="24"/>
          <w:szCs w:val="24"/>
        </w:rPr>
        <w:t xml:space="preserve"> overall</w:t>
      </w:r>
      <w:r w:rsidR="00C81081" w:rsidRPr="003B3924">
        <w:rPr>
          <w:rFonts w:ascii="Arial Narrow" w:hAnsi="Arial Narrow"/>
          <w:sz w:val="24"/>
          <w:szCs w:val="24"/>
        </w:rPr>
        <w:t xml:space="preserve"> (52%</w:t>
      </w:r>
      <w:r w:rsidR="007B0FA6" w:rsidRPr="003B3924">
        <w:rPr>
          <w:rFonts w:ascii="Arial Narrow" w:hAnsi="Arial Narrow"/>
          <w:sz w:val="24"/>
          <w:szCs w:val="24"/>
        </w:rPr>
        <w:t>)</w:t>
      </w:r>
      <w:r w:rsidR="00B91DDE" w:rsidRPr="003B3924">
        <w:rPr>
          <w:rFonts w:ascii="Arial Narrow" w:hAnsi="Arial Narrow"/>
          <w:sz w:val="24"/>
          <w:szCs w:val="24"/>
        </w:rPr>
        <w:t>, with y</w:t>
      </w:r>
      <w:r w:rsidR="00F35CD5" w:rsidRPr="003B3924">
        <w:rPr>
          <w:rFonts w:ascii="Arial Narrow" w:hAnsi="Arial Narrow"/>
          <w:sz w:val="24"/>
          <w:szCs w:val="24"/>
        </w:rPr>
        <w:t>oung adults most likely to move</w:t>
      </w:r>
      <w:r w:rsidR="00C260BC" w:rsidRPr="003B3924">
        <w:rPr>
          <w:rFonts w:ascii="Arial Narrow" w:hAnsi="Arial Narrow"/>
          <w:sz w:val="24"/>
          <w:szCs w:val="24"/>
        </w:rPr>
        <w:t xml:space="preserve">, especially </w:t>
      </w:r>
      <w:r w:rsidR="00F35CD5" w:rsidRPr="003B3924">
        <w:rPr>
          <w:rFonts w:ascii="Arial Narrow" w:hAnsi="Arial Narrow"/>
          <w:sz w:val="24"/>
          <w:szCs w:val="24"/>
        </w:rPr>
        <w:t>young women</w:t>
      </w:r>
      <w:r w:rsidR="00B91DDE" w:rsidRPr="003B3924">
        <w:rPr>
          <w:rFonts w:ascii="Arial Narrow" w:hAnsi="Arial Narrow"/>
          <w:sz w:val="24"/>
          <w:szCs w:val="24"/>
        </w:rPr>
        <w:t>.  The ONS commentary accounts for this as</w:t>
      </w:r>
      <w:r w:rsidR="00F35CD5" w:rsidRPr="003B3924">
        <w:rPr>
          <w:rFonts w:ascii="Arial Narrow" w:hAnsi="Arial Narrow"/>
          <w:sz w:val="24"/>
          <w:szCs w:val="24"/>
        </w:rPr>
        <w:t xml:space="preserve"> students starting and finishing university,</w:t>
      </w:r>
      <w:r w:rsidR="00291F01" w:rsidRPr="003B3924">
        <w:rPr>
          <w:rFonts w:ascii="Arial Narrow" w:hAnsi="Arial Narrow"/>
          <w:sz w:val="24"/>
          <w:szCs w:val="24"/>
        </w:rPr>
        <w:t xml:space="preserve"> </w:t>
      </w:r>
      <w:r w:rsidR="00C81081" w:rsidRPr="003B3924">
        <w:rPr>
          <w:rFonts w:ascii="Arial Narrow" w:hAnsi="Arial Narrow"/>
          <w:sz w:val="24"/>
          <w:szCs w:val="24"/>
        </w:rPr>
        <w:t>and</w:t>
      </w:r>
      <w:r w:rsidR="00F35CD5" w:rsidRPr="003B3924">
        <w:rPr>
          <w:rFonts w:ascii="Arial Narrow" w:hAnsi="Arial Narrow"/>
          <w:sz w:val="24"/>
          <w:szCs w:val="24"/>
        </w:rPr>
        <w:t xml:space="preserve"> more women than men </w:t>
      </w:r>
      <w:r w:rsidR="00C81081" w:rsidRPr="003B3924">
        <w:rPr>
          <w:rFonts w:ascii="Arial Narrow" w:hAnsi="Arial Narrow"/>
          <w:sz w:val="24"/>
          <w:szCs w:val="24"/>
        </w:rPr>
        <w:t xml:space="preserve">being </w:t>
      </w:r>
      <w:r w:rsidR="00F35CD5" w:rsidRPr="003B3924">
        <w:rPr>
          <w:rFonts w:ascii="Arial Narrow" w:hAnsi="Arial Narrow"/>
          <w:sz w:val="24"/>
          <w:szCs w:val="24"/>
        </w:rPr>
        <w:t>enrolled in higher education.  Levels of movement remain comparatively high for people in their 20s and 30s</w:t>
      </w:r>
      <w:r w:rsidR="00C81081" w:rsidRPr="003B3924">
        <w:rPr>
          <w:rFonts w:ascii="Arial Narrow" w:hAnsi="Arial Narrow"/>
          <w:sz w:val="24"/>
          <w:szCs w:val="24"/>
        </w:rPr>
        <w:t xml:space="preserve">, </w:t>
      </w:r>
      <w:r w:rsidR="00F35CD5" w:rsidRPr="003B3924">
        <w:rPr>
          <w:rFonts w:ascii="Arial Narrow" w:hAnsi="Arial Narrow"/>
          <w:sz w:val="24"/>
          <w:szCs w:val="24"/>
        </w:rPr>
        <w:t xml:space="preserve">but </w:t>
      </w:r>
      <w:r w:rsidR="00C81081" w:rsidRPr="003B3924">
        <w:rPr>
          <w:rFonts w:ascii="Arial Narrow" w:hAnsi="Arial Narrow"/>
          <w:sz w:val="24"/>
          <w:szCs w:val="24"/>
        </w:rPr>
        <w:t xml:space="preserve">there is a </w:t>
      </w:r>
      <w:r w:rsidR="00F35CD5" w:rsidRPr="003B3924">
        <w:rPr>
          <w:rFonts w:ascii="Arial Narrow" w:hAnsi="Arial Narrow"/>
          <w:sz w:val="24"/>
          <w:szCs w:val="24"/>
        </w:rPr>
        <w:t xml:space="preserve">gradual decline with age, </w:t>
      </w:r>
      <w:r w:rsidR="00C81081" w:rsidRPr="003B3924">
        <w:rPr>
          <w:rFonts w:ascii="Arial Narrow" w:hAnsi="Arial Narrow"/>
          <w:sz w:val="24"/>
          <w:szCs w:val="24"/>
        </w:rPr>
        <w:t>as people may become more settled with employment</w:t>
      </w:r>
      <w:r w:rsidR="00C260BC" w:rsidRPr="003B3924">
        <w:rPr>
          <w:rFonts w:ascii="Arial Narrow" w:hAnsi="Arial Narrow"/>
          <w:sz w:val="24"/>
          <w:szCs w:val="24"/>
        </w:rPr>
        <w:t>,</w:t>
      </w:r>
      <w:r w:rsidR="00C81081" w:rsidRPr="003B3924">
        <w:rPr>
          <w:rFonts w:ascii="Arial Narrow" w:hAnsi="Arial Narrow"/>
          <w:sz w:val="24"/>
          <w:szCs w:val="24"/>
        </w:rPr>
        <w:t xml:space="preserve"> and intimate and family relationships.  A slight rise </w:t>
      </w:r>
      <w:r w:rsidR="000C57B1" w:rsidRPr="003B3924">
        <w:rPr>
          <w:rFonts w:ascii="Arial Narrow" w:hAnsi="Arial Narrow"/>
          <w:sz w:val="24"/>
          <w:szCs w:val="24"/>
        </w:rPr>
        <w:t xml:space="preserve">in moves </w:t>
      </w:r>
      <w:r w:rsidR="00C81081" w:rsidRPr="003B3924">
        <w:rPr>
          <w:rFonts w:ascii="Arial Narrow" w:hAnsi="Arial Narrow"/>
          <w:sz w:val="24"/>
          <w:szCs w:val="24"/>
        </w:rPr>
        <w:t xml:space="preserve">occurs </w:t>
      </w:r>
      <w:r w:rsidR="001B243D" w:rsidRPr="003B3924">
        <w:rPr>
          <w:rFonts w:ascii="Arial Narrow" w:hAnsi="Arial Narrow"/>
          <w:sz w:val="24"/>
          <w:szCs w:val="24"/>
        </w:rPr>
        <w:t>for people in their</w:t>
      </w:r>
      <w:r w:rsidR="00C81081" w:rsidRPr="003B3924">
        <w:rPr>
          <w:rFonts w:ascii="Arial Narrow" w:hAnsi="Arial Narrow"/>
          <w:sz w:val="24"/>
          <w:szCs w:val="24"/>
        </w:rPr>
        <w:t xml:space="preserve"> late 70s</w:t>
      </w:r>
      <w:r w:rsidR="00C260BC" w:rsidRPr="003B3924">
        <w:rPr>
          <w:rFonts w:ascii="Arial Narrow" w:hAnsi="Arial Narrow"/>
          <w:sz w:val="24"/>
          <w:szCs w:val="24"/>
        </w:rPr>
        <w:t xml:space="preserve">.  This is </w:t>
      </w:r>
      <w:r w:rsidR="00C81081" w:rsidRPr="003B3924">
        <w:rPr>
          <w:rFonts w:ascii="Arial Narrow" w:hAnsi="Arial Narrow"/>
          <w:sz w:val="24"/>
          <w:szCs w:val="24"/>
        </w:rPr>
        <w:t xml:space="preserve">assumed to be down to </w:t>
      </w:r>
      <w:r w:rsidR="00DA6D55" w:rsidRPr="003B3924">
        <w:rPr>
          <w:rFonts w:ascii="Arial Narrow" w:hAnsi="Arial Narrow"/>
          <w:sz w:val="24"/>
          <w:szCs w:val="24"/>
        </w:rPr>
        <w:t xml:space="preserve">older </w:t>
      </w:r>
      <w:r w:rsidR="00C81081" w:rsidRPr="003B3924">
        <w:rPr>
          <w:rFonts w:ascii="Arial Narrow" w:hAnsi="Arial Narrow"/>
          <w:sz w:val="24"/>
          <w:szCs w:val="24"/>
        </w:rPr>
        <w:t>people moving to be close to their family, down-sizing</w:t>
      </w:r>
      <w:r w:rsidR="00291F01" w:rsidRPr="003B3924">
        <w:rPr>
          <w:rFonts w:ascii="Arial Narrow" w:hAnsi="Arial Narrow"/>
          <w:sz w:val="24"/>
          <w:szCs w:val="24"/>
        </w:rPr>
        <w:t xml:space="preserve">, or to access support and care, </w:t>
      </w:r>
      <w:r w:rsidR="00C260BC" w:rsidRPr="003B3924">
        <w:rPr>
          <w:rFonts w:ascii="Arial Narrow" w:hAnsi="Arial Narrow"/>
          <w:sz w:val="24"/>
          <w:szCs w:val="24"/>
        </w:rPr>
        <w:t xml:space="preserve">and the </w:t>
      </w:r>
      <w:r w:rsidR="00291F01" w:rsidRPr="003B3924">
        <w:rPr>
          <w:rFonts w:ascii="Arial Narrow" w:hAnsi="Arial Narrow"/>
          <w:sz w:val="24"/>
          <w:szCs w:val="24"/>
        </w:rPr>
        <w:t xml:space="preserve">majority being women reflecting </w:t>
      </w:r>
      <w:r w:rsidR="002268F9">
        <w:rPr>
          <w:rFonts w:ascii="Arial Narrow" w:hAnsi="Arial Narrow"/>
          <w:sz w:val="24"/>
          <w:szCs w:val="24"/>
        </w:rPr>
        <w:t>gender differences in life expectancy</w:t>
      </w:r>
      <w:r w:rsidR="00C260BC" w:rsidRPr="003B3924">
        <w:rPr>
          <w:rFonts w:ascii="Arial Narrow" w:hAnsi="Arial Narrow"/>
          <w:sz w:val="24"/>
          <w:szCs w:val="24"/>
        </w:rPr>
        <w:t xml:space="preserve"> (ONS, 2016)</w:t>
      </w:r>
      <w:r w:rsidR="00291F01" w:rsidRPr="003B3924">
        <w:rPr>
          <w:rFonts w:ascii="Arial Narrow" w:hAnsi="Arial Narrow"/>
          <w:sz w:val="24"/>
          <w:szCs w:val="24"/>
        </w:rPr>
        <w:t xml:space="preserve">.  </w:t>
      </w:r>
      <w:r w:rsidR="00DC01BE" w:rsidRPr="003B3924">
        <w:rPr>
          <w:rFonts w:ascii="Arial Narrow" w:hAnsi="Arial Narrow"/>
          <w:sz w:val="24"/>
          <w:szCs w:val="24"/>
        </w:rPr>
        <w:t>Jane Falkingham and colleagues</w:t>
      </w:r>
      <w:r w:rsidR="004F0C85" w:rsidRPr="003B3924">
        <w:rPr>
          <w:rFonts w:ascii="Arial Narrow" w:hAnsi="Arial Narrow"/>
          <w:sz w:val="24"/>
          <w:szCs w:val="24"/>
        </w:rPr>
        <w:t>’</w:t>
      </w:r>
      <w:r w:rsidR="00DC01BE" w:rsidRPr="003B3924">
        <w:rPr>
          <w:rFonts w:ascii="Arial Narrow" w:hAnsi="Arial Narrow"/>
          <w:sz w:val="24"/>
          <w:szCs w:val="24"/>
        </w:rPr>
        <w:t xml:space="preserve"> </w:t>
      </w:r>
      <w:r w:rsidR="00905455" w:rsidRPr="003B3924">
        <w:rPr>
          <w:rFonts w:ascii="Arial Narrow" w:hAnsi="Arial Narrow"/>
          <w:sz w:val="24"/>
          <w:szCs w:val="24"/>
        </w:rPr>
        <w:t xml:space="preserve">temporal </w:t>
      </w:r>
      <w:r w:rsidR="00611A2D" w:rsidRPr="003B3924">
        <w:rPr>
          <w:rFonts w:ascii="Arial Narrow" w:hAnsi="Arial Narrow"/>
          <w:sz w:val="24"/>
          <w:szCs w:val="24"/>
        </w:rPr>
        <w:t xml:space="preserve">comparison of residential mobility </w:t>
      </w:r>
      <w:r w:rsidR="00905455" w:rsidRPr="003B3924">
        <w:rPr>
          <w:rFonts w:ascii="Arial Narrow" w:hAnsi="Arial Narrow"/>
          <w:sz w:val="24"/>
          <w:szCs w:val="24"/>
        </w:rPr>
        <w:t>in</w:t>
      </w:r>
      <w:r w:rsidR="00611A2D" w:rsidRPr="003B3924">
        <w:rPr>
          <w:rFonts w:ascii="Arial Narrow" w:hAnsi="Arial Narrow"/>
          <w:sz w:val="24"/>
          <w:szCs w:val="24"/>
        </w:rPr>
        <w:t xml:space="preserve"> three birth cohorts in Britain born before 1950 </w:t>
      </w:r>
      <w:r w:rsidR="000C57B1" w:rsidRPr="003B3924">
        <w:rPr>
          <w:rFonts w:ascii="Arial Narrow" w:hAnsi="Arial Narrow"/>
          <w:sz w:val="24"/>
          <w:szCs w:val="24"/>
        </w:rPr>
        <w:t>confirm</w:t>
      </w:r>
      <w:r w:rsidR="00611A2D" w:rsidRPr="003B3924">
        <w:rPr>
          <w:rFonts w:ascii="Arial Narrow" w:hAnsi="Arial Narrow"/>
          <w:sz w:val="24"/>
          <w:szCs w:val="24"/>
        </w:rPr>
        <w:t>s the gendered nature of continuity and change over time</w:t>
      </w:r>
      <w:r w:rsidR="000C57B1" w:rsidRPr="003B3924">
        <w:rPr>
          <w:rFonts w:ascii="Arial Narrow" w:hAnsi="Arial Narrow"/>
          <w:sz w:val="24"/>
          <w:szCs w:val="24"/>
        </w:rPr>
        <w:t xml:space="preserve"> (2016).  Their analyses reveal</w:t>
      </w:r>
      <w:r w:rsidR="00611A2D" w:rsidRPr="003B3924">
        <w:rPr>
          <w:rFonts w:ascii="Arial Narrow" w:hAnsi="Arial Narrow"/>
          <w:sz w:val="24"/>
          <w:szCs w:val="24"/>
        </w:rPr>
        <w:t xml:space="preserve"> the way that young women’s residential mobility increased in their younger cohorts along with social change in opportunities and expectations for women</w:t>
      </w:r>
      <w:r w:rsidR="000C57B1" w:rsidRPr="003B3924">
        <w:rPr>
          <w:rFonts w:ascii="Arial Narrow" w:hAnsi="Arial Narrow"/>
          <w:sz w:val="24"/>
          <w:szCs w:val="24"/>
        </w:rPr>
        <w:t>.  We</w:t>
      </w:r>
      <w:r w:rsidR="00C81081" w:rsidRPr="003B3924">
        <w:rPr>
          <w:rFonts w:ascii="Arial Narrow" w:hAnsi="Arial Narrow"/>
          <w:sz w:val="24"/>
          <w:szCs w:val="24"/>
        </w:rPr>
        <w:t xml:space="preserve"> can </w:t>
      </w:r>
      <w:r w:rsidR="0064495F" w:rsidRPr="003B3924">
        <w:rPr>
          <w:rFonts w:ascii="Arial Narrow" w:hAnsi="Arial Narrow"/>
          <w:sz w:val="24"/>
          <w:szCs w:val="24"/>
        </w:rPr>
        <w:t>glimpse</w:t>
      </w:r>
      <w:r w:rsidR="00C81081" w:rsidRPr="003B3924">
        <w:rPr>
          <w:rFonts w:ascii="Arial Narrow" w:hAnsi="Arial Narrow"/>
          <w:sz w:val="24"/>
          <w:szCs w:val="24"/>
        </w:rPr>
        <w:t xml:space="preserve"> people’s </w:t>
      </w:r>
      <w:proofErr w:type="spellStart"/>
      <w:r w:rsidR="00C81081" w:rsidRPr="003B3924">
        <w:rPr>
          <w:rFonts w:ascii="Arial Narrow" w:hAnsi="Arial Narrow"/>
          <w:sz w:val="24"/>
          <w:szCs w:val="24"/>
        </w:rPr>
        <w:t>lifecourse</w:t>
      </w:r>
      <w:r w:rsidR="0064495F" w:rsidRPr="003B3924">
        <w:rPr>
          <w:rFonts w:ascii="Arial Narrow" w:hAnsi="Arial Narrow"/>
          <w:sz w:val="24"/>
          <w:szCs w:val="24"/>
        </w:rPr>
        <w:t>s</w:t>
      </w:r>
      <w:proofErr w:type="spellEnd"/>
      <w:r w:rsidR="00C81081" w:rsidRPr="003B3924">
        <w:rPr>
          <w:rFonts w:ascii="Arial Narrow" w:hAnsi="Arial Narrow"/>
          <w:sz w:val="24"/>
          <w:szCs w:val="24"/>
        </w:rPr>
        <w:t xml:space="preserve"> </w:t>
      </w:r>
      <w:r w:rsidR="00611A2D" w:rsidRPr="003B3924">
        <w:rPr>
          <w:rFonts w:ascii="Arial Narrow" w:hAnsi="Arial Narrow"/>
          <w:sz w:val="24"/>
          <w:szCs w:val="24"/>
        </w:rPr>
        <w:t>in social and historical context</w:t>
      </w:r>
      <w:r w:rsidR="000C57B1" w:rsidRPr="003B3924">
        <w:rPr>
          <w:rFonts w:ascii="Arial Narrow" w:hAnsi="Arial Narrow"/>
          <w:sz w:val="24"/>
          <w:szCs w:val="24"/>
        </w:rPr>
        <w:t xml:space="preserve"> mapped out in this </w:t>
      </w:r>
      <w:r w:rsidR="000C57B1" w:rsidRPr="00C105EB">
        <w:rPr>
          <w:rFonts w:ascii="Arial Narrow" w:hAnsi="Arial Narrow"/>
          <w:sz w:val="24"/>
          <w:szCs w:val="24"/>
        </w:rPr>
        <w:t xml:space="preserve">information about moving residence </w:t>
      </w:r>
      <w:r w:rsidR="00611A2D" w:rsidRPr="00C105EB">
        <w:rPr>
          <w:rFonts w:ascii="Arial Narrow" w:hAnsi="Arial Narrow"/>
          <w:sz w:val="24"/>
          <w:szCs w:val="24"/>
        </w:rPr>
        <w:t>– or at least we can for the ‘action’ of residential mobility</w:t>
      </w:r>
      <w:r w:rsidR="000C57B1" w:rsidRPr="00C105EB">
        <w:rPr>
          <w:rFonts w:ascii="Arial Narrow" w:hAnsi="Arial Narrow"/>
          <w:sz w:val="24"/>
          <w:szCs w:val="24"/>
        </w:rPr>
        <w:t xml:space="preserve">.  </w:t>
      </w:r>
      <w:r w:rsidR="00DB240B" w:rsidRPr="00C105EB">
        <w:rPr>
          <w:rFonts w:ascii="Arial Narrow" w:hAnsi="Arial Narrow"/>
          <w:sz w:val="24"/>
          <w:szCs w:val="24"/>
        </w:rPr>
        <w:t>Scholars have considered inequalities in the capacity to be mobile (e.g. Kaufmann et al., 2010) and the differential effects of the disruption of residential mobility (</w:t>
      </w:r>
      <w:proofErr w:type="spellStart"/>
      <w:r w:rsidR="00DB240B" w:rsidRPr="00C105EB">
        <w:rPr>
          <w:rFonts w:ascii="Arial Narrow" w:hAnsi="Arial Narrow"/>
          <w:sz w:val="24"/>
          <w:szCs w:val="24"/>
        </w:rPr>
        <w:t>Viry</w:t>
      </w:r>
      <w:proofErr w:type="spellEnd"/>
      <w:r w:rsidR="00DB240B" w:rsidRPr="00C105EB">
        <w:rPr>
          <w:rFonts w:ascii="Arial Narrow" w:hAnsi="Arial Narrow"/>
          <w:sz w:val="24"/>
          <w:szCs w:val="24"/>
        </w:rPr>
        <w:t xml:space="preserve">, 2012).  </w:t>
      </w:r>
      <w:r w:rsidR="000C57B1" w:rsidRPr="00C105EB">
        <w:rPr>
          <w:rFonts w:ascii="Arial Narrow" w:hAnsi="Arial Narrow"/>
          <w:sz w:val="24"/>
          <w:szCs w:val="24"/>
        </w:rPr>
        <w:t xml:space="preserve">What is </w:t>
      </w:r>
      <w:r w:rsidR="00DB240B" w:rsidRPr="00C105EB">
        <w:rPr>
          <w:rFonts w:ascii="Arial Narrow" w:hAnsi="Arial Narrow"/>
          <w:sz w:val="24"/>
          <w:szCs w:val="24"/>
        </w:rPr>
        <w:t xml:space="preserve">largely </w:t>
      </w:r>
      <w:r w:rsidR="000C57B1" w:rsidRPr="00C105EB">
        <w:rPr>
          <w:rFonts w:ascii="Arial Narrow" w:hAnsi="Arial Narrow"/>
          <w:sz w:val="24"/>
          <w:szCs w:val="24"/>
        </w:rPr>
        <w:t xml:space="preserve">missing </w:t>
      </w:r>
      <w:r w:rsidR="00DB240B">
        <w:rPr>
          <w:rFonts w:ascii="Arial Narrow" w:hAnsi="Arial Narrow"/>
          <w:sz w:val="24"/>
          <w:szCs w:val="24"/>
        </w:rPr>
        <w:t xml:space="preserve">from the UK literature, </w:t>
      </w:r>
      <w:r w:rsidR="000C57B1" w:rsidRPr="003B3924">
        <w:rPr>
          <w:rFonts w:ascii="Arial Narrow" w:hAnsi="Arial Narrow"/>
          <w:sz w:val="24"/>
          <w:szCs w:val="24"/>
        </w:rPr>
        <w:t>though</w:t>
      </w:r>
      <w:r w:rsidR="00DB240B">
        <w:rPr>
          <w:rFonts w:ascii="Arial Narrow" w:hAnsi="Arial Narrow"/>
          <w:sz w:val="24"/>
          <w:szCs w:val="24"/>
        </w:rPr>
        <w:t>,</w:t>
      </w:r>
      <w:r w:rsidR="000C57B1" w:rsidRPr="003B3924">
        <w:rPr>
          <w:rFonts w:ascii="Arial Narrow" w:hAnsi="Arial Narrow"/>
          <w:sz w:val="24"/>
          <w:szCs w:val="24"/>
        </w:rPr>
        <w:t xml:space="preserve"> is any </w:t>
      </w:r>
      <w:r w:rsidR="005C6877" w:rsidRPr="003B3924">
        <w:rPr>
          <w:rFonts w:ascii="Arial Narrow" w:hAnsi="Arial Narrow"/>
          <w:sz w:val="24"/>
          <w:szCs w:val="24"/>
        </w:rPr>
        <w:t>sense of the meaning of moving for the people concerned</w:t>
      </w:r>
      <w:r w:rsidR="007C63EB" w:rsidRPr="003B3924">
        <w:rPr>
          <w:rFonts w:ascii="Arial Narrow" w:hAnsi="Arial Narrow"/>
          <w:sz w:val="24"/>
          <w:szCs w:val="24"/>
        </w:rPr>
        <w:t>, or indeed whether it is voluntary or forced</w:t>
      </w:r>
      <w:r w:rsidR="00524F01" w:rsidRPr="003B3924">
        <w:rPr>
          <w:rFonts w:ascii="Arial Narrow" w:hAnsi="Arial Narrow"/>
          <w:sz w:val="24"/>
          <w:szCs w:val="24"/>
        </w:rPr>
        <w:t>.</w:t>
      </w:r>
    </w:p>
    <w:p w14:paraId="7442F632" w14:textId="77777777" w:rsidR="00291F01" w:rsidRPr="003B3924" w:rsidRDefault="00291F01" w:rsidP="00072E7A">
      <w:pPr>
        <w:pStyle w:val="PlainText"/>
        <w:rPr>
          <w:rFonts w:ascii="Arial Narrow" w:hAnsi="Arial Narrow"/>
          <w:sz w:val="24"/>
          <w:szCs w:val="24"/>
        </w:rPr>
      </w:pPr>
    </w:p>
    <w:p w14:paraId="2B977AF3" w14:textId="2C98CE57" w:rsidR="00AE354A" w:rsidRDefault="001B243D" w:rsidP="00072E7A">
      <w:pPr>
        <w:pStyle w:val="PlainText"/>
        <w:rPr>
          <w:rFonts w:ascii="Arial Narrow" w:hAnsi="Arial Narrow"/>
          <w:sz w:val="24"/>
          <w:szCs w:val="24"/>
        </w:rPr>
      </w:pPr>
      <w:r w:rsidRPr="003B3924">
        <w:rPr>
          <w:rFonts w:ascii="Arial Narrow" w:hAnsi="Arial Narrow"/>
          <w:sz w:val="24"/>
          <w:szCs w:val="24"/>
        </w:rPr>
        <w:t xml:space="preserve">Nonetheless, </w:t>
      </w:r>
      <w:r w:rsidR="002268F9">
        <w:rPr>
          <w:rFonts w:ascii="Arial Narrow" w:hAnsi="Arial Narrow"/>
          <w:sz w:val="24"/>
          <w:szCs w:val="24"/>
        </w:rPr>
        <w:t>most</w:t>
      </w:r>
      <w:r w:rsidR="00CF6B9F" w:rsidRPr="003B3924">
        <w:rPr>
          <w:rFonts w:ascii="Arial Narrow" w:hAnsi="Arial Narrow"/>
          <w:sz w:val="24"/>
          <w:szCs w:val="24"/>
        </w:rPr>
        <w:t xml:space="preserve"> people </w:t>
      </w:r>
      <w:r w:rsidR="00C53EBF" w:rsidRPr="003B3924">
        <w:rPr>
          <w:rFonts w:ascii="Arial Narrow" w:hAnsi="Arial Narrow"/>
          <w:sz w:val="24"/>
          <w:szCs w:val="24"/>
        </w:rPr>
        <w:t>‘</w:t>
      </w:r>
      <w:r w:rsidR="00CF6B9F" w:rsidRPr="003B3924">
        <w:rPr>
          <w:rFonts w:ascii="Arial Narrow" w:hAnsi="Arial Narrow"/>
          <w:sz w:val="24"/>
          <w:szCs w:val="24"/>
        </w:rPr>
        <w:t>stay</w:t>
      </w:r>
      <w:r w:rsidR="0087486A" w:rsidRPr="003B3924">
        <w:rPr>
          <w:rFonts w:ascii="Arial Narrow" w:hAnsi="Arial Narrow"/>
          <w:sz w:val="24"/>
          <w:szCs w:val="24"/>
        </w:rPr>
        <w:t>ed</w:t>
      </w:r>
      <w:r w:rsidR="00CF6B9F" w:rsidRPr="003B3924">
        <w:rPr>
          <w:rFonts w:ascii="Arial Narrow" w:hAnsi="Arial Narrow"/>
          <w:sz w:val="24"/>
          <w:szCs w:val="24"/>
        </w:rPr>
        <w:t xml:space="preserve"> put</w:t>
      </w:r>
      <w:r w:rsidR="00C53EBF" w:rsidRPr="003B3924">
        <w:rPr>
          <w:rFonts w:ascii="Arial Narrow" w:hAnsi="Arial Narrow"/>
          <w:sz w:val="24"/>
          <w:szCs w:val="24"/>
        </w:rPr>
        <w:t>’</w:t>
      </w:r>
      <w:r w:rsidRPr="003B3924">
        <w:rPr>
          <w:rFonts w:ascii="Arial Narrow" w:hAnsi="Arial Narrow"/>
          <w:sz w:val="24"/>
          <w:szCs w:val="24"/>
        </w:rPr>
        <w:t xml:space="preserve"> internationally (IOM, 2015) and internally within the UK: </w:t>
      </w:r>
      <w:r w:rsidR="0087486A" w:rsidRPr="003B3924">
        <w:rPr>
          <w:rFonts w:ascii="Arial Narrow" w:hAnsi="Arial Narrow"/>
          <w:sz w:val="24"/>
          <w:szCs w:val="24"/>
        </w:rPr>
        <w:t xml:space="preserve">the 2.9 million movers </w:t>
      </w:r>
      <w:r w:rsidR="00B27E5C" w:rsidRPr="003B3924">
        <w:rPr>
          <w:rFonts w:ascii="Arial Narrow" w:hAnsi="Arial Narrow"/>
          <w:sz w:val="24"/>
          <w:szCs w:val="24"/>
        </w:rPr>
        <w:t xml:space="preserve">of 2015 </w:t>
      </w:r>
      <w:r w:rsidR="0087486A" w:rsidRPr="003B3924">
        <w:rPr>
          <w:rFonts w:ascii="Arial Narrow" w:hAnsi="Arial Narrow"/>
          <w:sz w:val="24"/>
          <w:szCs w:val="24"/>
        </w:rPr>
        <w:t xml:space="preserve">comprised </w:t>
      </w:r>
      <w:r w:rsidR="00551E69" w:rsidRPr="003B3924">
        <w:rPr>
          <w:rFonts w:ascii="Arial Narrow" w:hAnsi="Arial Narrow"/>
          <w:sz w:val="24"/>
          <w:szCs w:val="24"/>
        </w:rPr>
        <w:t xml:space="preserve">just </w:t>
      </w:r>
      <w:r w:rsidR="0087486A" w:rsidRPr="003B3924">
        <w:rPr>
          <w:rFonts w:ascii="Arial Narrow" w:hAnsi="Arial Narrow"/>
          <w:sz w:val="24"/>
          <w:szCs w:val="24"/>
        </w:rPr>
        <w:t xml:space="preserve">5 per cent of the population </w:t>
      </w:r>
      <w:r w:rsidR="00B27E5C" w:rsidRPr="003B3924">
        <w:rPr>
          <w:rFonts w:ascii="Arial Narrow" w:hAnsi="Arial Narrow"/>
          <w:sz w:val="24"/>
          <w:szCs w:val="24"/>
        </w:rPr>
        <w:t>(ONS</w:t>
      </w:r>
      <w:r w:rsidR="00AF3BED" w:rsidRPr="003B3924">
        <w:rPr>
          <w:rFonts w:ascii="Arial Narrow" w:hAnsi="Arial Narrow"/>
          <w:sz w:val="24"/>
          <w:szCs w:val="24"/>
        </w:rPr>
        <w:t>,</w:t>
      </w:r>
      <w:r w:rsidR="00B27E5C" w:rsidRPr="003B3924">
        <w:rPr>
          <w:rFonts w:ascii="Arial Narrow" w:hAnsi="Arial Narrow"/>
          <w:sz w:val="24"/>
          <w:szCs w:val="24"/>
        </w:rPr>
        <w:t xml:space="preserve"> 2016)</w:t>
      </w:r>
      <w:r w:rsidR="0087486A" w:rsidRPr="003B3924">
        <w:rPr>
          <w:rFonts w:ascii="Arial Narrow" w:hAnsi="Arial Narrow"/>
          <w:sz w:val="24"/>
          <w:szCs w:val="24"/>
        </w:rPr>
        <w:t xml:space="preserve">.  </w:t>
      </w:r>
      <w:r w:rsidR="005E4AEE" w:rsidRPr="003B3924">
        <w:rPr>
          <w:rFonts w:ascii="Arial Narrow" w:hAnsi="Arial Narrow"/>
          <w:sz w:val="24"/>
          <w:szCs w:val="24"/>
        </w:rPr>
        <w:t xml:space="preserve">Indeed, analysis of census data over 40 years </w:t>
      </w:r>
      <w:r w:rsidR="00551E69" w:rsidRPr="003B3924">
        <w:rPr>
          <w:rFonts w:ascii="Arial Narrow" w:hAnsi="Arial Narrow"/>
          <w:sz w:val="24"/>
          <w:szCs w:val="24"/>
        </w:rPr>
        <w:t xml:space="preserve">paints </w:t>
      </w:r>
      <w:r w:rsidR="005E4AEE" w:rsidRPr="003B3924">
        <w:rPr>
          <w:rFonts w:ascii="Arial Narrow" w:hAnsi="Arial Narrow"/>
          <w:sz w:val="24"/>
          <w:szCs w:val="24"/>
        </w:rPr>
        <w:t xml:space="preserve">a picture of people becoming progressively less mobile, </w:t>
      </w:r>
      <w:r w:rsidR="005E4AEE" w:rsidRPr="003B3924">
        <w:rPr>
          <w:rFonts w:ascii="Arial Narrow" w:hAnsi="Arial Narrow"/>
          <w:sz w:val="24"/>
          <w:szCs w:val="24"/>
        </w:rPr>
        <w:lastRenderedPageBreak/>
        <w:t xml:space="preserve">with under half of </w:t>
      </w:r>
      <w:r w:rsidR="001718D3" w:rsidRPr="003B3924">
        <w:rPr>
          <w:rFonts w:ascii="Arial Narrow" w:hAnsi="Arial Narrow"/>
          <w:sz w:val="24"/>
          <w:szCs w:val="24"/>
        </w:rPr>
        <w:t xml:space="preserve">individuals </w:t>
      </w:r>
      <w:r w:rsidR="005E4AEE" w:rsidRPr="003B3924">
        <w:rPr>
          <w:rFonts w:ascii="Arial Narrow" w:hAnsi="Arial Narrow"/>
          <w:sz w:val="24"/>
          <w:szCs w:val="24"/>
        </w:rPr>
        <w:t>moving address across the course of a decade</w:t>
      </w:r>
      <w:r w:rsidR="001718D3" w:rsidRPr="003B3924">
        <w:rPr>
          <w:rFonts w:ascii="Arial Narrow" w:hAnsi="Arial Narrow"/>
          <w:sz w:val="24"/>
          <w:szCs w:val="24"/>
        </w:rPr>
        <w:t xml:space="preserve"> (Shuttleworth, Cook and Champion, 2018)</w:t>
      </w:r>
      <w:r w:rsidR="005E4AEE" w:rsidRPr="003B3924">
        <w:rPr>
          <w:rFonts w:ascii="Arial Narrow" w:hAnsi="Arial Narrow"/>
          <w:sz w:val="24"/>
          <w:szCs w:val="24"/>
        </w:rPr>
        <w:t xml:space="preserve">.  </w:t>
      </w:r>
      <w:r w:rsidR="003E1E1D" w:rsidRPr="003B3924">
        <w:rPr>
          <w:rFonts w:ascii="Arial Narrow" w:hAnsi="Arial Narrow"/>
          <w:sz w:val="24"/>
          <w:szCs w:val="24"/>
        </w:rPr>
        <w:t xml:space="preserve">This decline was seen across all age groups but particularly so in older age, was especially the case for short distance moves, and applied both to those who own and who rent their </w:t>
      </w:r>
      <w:r w:rsidR="003E1E1D" w:rsidRPr="00C105EB">
        <w:rPr>
          <w:rFonts w:ascii="Arial Narrow" w:hAnsi="Arial Narrow"/>
          <w:sz w:val="24"/>
          <w:szCs w:val="24"/>
        </w:rPr>
        <w:t xml:space="preserve">homes.  </w:t>
      </w:r>
      <w:r w:rsidR="007A11C4" w:rsidRPr="00C105EB">
        <w:rPr>
          <w:rFonts w:ascii="Arial Narrow" w:hAnsi="Arial Narrow"/>
          <w:sz w:val="24"/>
          <w:szCs w:val="24"/>
        </w:rPr>
        <w:t xml:space="preserve">Families in lower social classes are </w:t>
      </w:r>
      <w:r w:rsidR="002268F9" w:rsidRPr="00C105EB">
        <w:rPr>
          <w:rFonts w:ascii="Arial Narrow" w:hAnsi="Arial Narrow"/>
          <w:sz w:val="24"/>
          <w:szCs w:val="24"/>
        </w:rPr>
        <w:t>disproportionately</w:t>
      </w:r>
      <w:r w:rsidR="007A11C4" w:rsidRPr="00C105EB">
        <w:rPr>
          <w:rFonts w:ascii="Arial Narrow" w:hAnsi="Arial Narrow"/>
          <w:sz w:val="24"/>
          <w:szCs w:val="24"/>
        </w:rPr>
        <w:t xml:space="preserve"> more likely to be ‘stuck in place’, affecting their ability to manage negative life events (Morris, 2017: 1030).  </w:t>
      </w:r>
      <w:r w:rsidR="00A432C4" w:rsidRPr="00C105EB">
        <w:rPr>
          <w:rFonts w:ascii="Arial Narrow" w:hAnsi="Arial Narrow"/>
          <w:sz w:val="24"/>
          <w:szCs w:val="24"/>
        </w:rPr>
        <w:t>Possible reasons for th</w:t>
      </w:r>
      <w:r w:rsidR="007A11C4" w:rsidRPr="00C105EB">
        <w:rPr>
          <w:rFonts w:ascii="Arial Narrow" w:hAnsi="Arial Narrow"/>
          <w:sz w:val="24"/>
          <w:szCs w:val="24"/>
        </w:rPr>
        <w:t xml:space="preserve">e </w:t>
      </w:r>
      <w:r w:rsidR="007A11C4">
        <w:rPr>
          <w:rFonts w:ascii="Arial Narrow" w:hAnsi="Arial Narrow"/>
          <w:sz w:val="24"/>
          <w:szCs w:val="24"/>
        </w:rPr>
        <w:t>overall decline in moves</w:t>
      </w:r>
      <w:r w:rsidR="00A432C4" w:rsidRPr="003B3924">
        <w:rPr>
          <w:rFonts w:ascii="Arial Narrow" w:hAnsi="Arial Narrow"/>
          <w:sz w:val="24"/>
          <w:szCs w:val="24"/>
        </w:rPr>
        <w:t xml:space="preserve"> are s</w:t>
      </w:r>
      <w:r w:rsidR="003C1499" w:rsidRPr="003B3924">
        <w:rPr>
          <w:rFonts w:ascii="Arial Narrow" w:hAnsi="Arial Narrow"/>
          <w:sz w:val="24"/>
          <w:szCs w:val="24"/>
        </w:rPr>
        <w:t>tructural changes</w:t>
      </w:r>
      <w:r w:rsidR="00A432C4" w:rsidRPr="003B3924">
        <w:rPr>
          <w:rFonts w:ascii="Arial Narrow" w:hAnsi="Arial Narrow"/>
          <w:sz w:val="24"/>
          <w:szCs w:val="24"/>
        </w:rPr>
        <w:t>,</w:t>
      </w:r>
      <w:r w:rsidR="003C1499" w:rsidRPr="003B3924">
        <w:rPr>
          <w:rFonts w:ascii="Arial Narrow" w:hAnsi="Arial Narrow"/>
          <w:sz w:val="24"/>
          <w:szCs w:val="24"/>
        </w:rPr>
        <w:t xml:space="preserve"> including a</w:t>
      </w:r>
      <w:r w:rsidR="00551E69" w:rsidRPr="003B3924">
        <w:rPr>
          <w:rFonts w:ascii="Arial Narrow" w:hAnsi="Arial Narrow"/>
          <w:sz w:val="24"/>
          <w:szCs w:val="24"/>
        </w:rPr>
        <w:t xml:space="preserve"> slowdown in social mobility</w:t>
      </w:r>
      <w:r w:rsidR="00A432C4" w:rsidRPr="003B3924">
        <w:rPr>
          <w:rFonts w:ascii="Arial Narrow" w:hAnsi="Arial Narrow"/>
          <w:sz w:val="24"/>
          <w:szCs w:val="24"/>
        </w:rPr>
        <w:t>,</w:t>
      </w:r>
      <w:r w:rsidR="00551E69" w:rsidRPr="003B3924">
        <w:rPr>
          <w:rFonts w:ascii="Arial Narrow" w:hAnsi="Arial Narrow"/>
          <w:sz w:val="24"/>
          <w:szCs w:val="24"/>
        </w:rPr>
        <w:t xml:space="preserve"> and shifts towards higher property costs and rents in the housing market</w:t>
      </w:r>
      <w:r w:rsidR="00BC0EB6">
        <w:rPr>
          <w:rFonts w:ascii="Arial Narrow" w:hAnsi="Arial Narrow"/>
          <w:sz w:val="24"/>
          <w:szCs w:val="24"/>
        </w:rPr>
        <w:t>.</w:t>
      </w:r>
    </w:p>
    <w:p w14:paraId="5E46EEA4" w14:textId="77777777" w:rsidR="00AE354A" w:rsidRDefault="00AE354A" w:rsidP="00072E7A">
      <w:pPr>
        <w:pStyle w:val="PlainText"/>
        <w:rPr>
          <w:rFonts w:ascii="Arial Narrow" w:hAnsi="Arial Narrow"/>
          <w:sz w:val="24"/>
          <w:szCs w:val="24"/>
        </w:rPr>
      </w:pPr>
    </w:p>
    <w:p w14:paraId="7F3870D6" w14:textId="2DE413FF" w:rsidR="00CF6B9F" w:rsidRPr="003B3924" w:rsidRDefault="00611A2D" w:rsidP="00072E7A">
      <w:pPr>
        <w:pStyle w:val="PlainText"/>
        <w:rPr>
          <w:rFonts w:ascii="Arial Narrow" w:hAnsi="Arial Narrow"/>
          <w:sz w:val="24"/>
          <w:szCs w:val="24"/>
        </w:rPr>
      </w:pPr>
      <w:r w:rsidRPr="003B3924">
        <w:rPr>
          <w:rFonts w:ascii="Arial Narrow" w:hAnsi="Arial Narrow"/>
          <w:sz w:val="24"/>
          <w:szCs w:val="24"/>
        </w:rPr>
        <w:t xml:space="preserve">Even given the rise in young women’s residential mobility </w:t>
      </w:r>
      <w:r w:rsidR="00524F01" w:rsidRPr="003B3924">
        <w:rPr>
          <w:rFonts w:ascii="Arial Narrow" w:hAnsi="Arial Narrow"/>
          <w:sz w:val="24"/>
          <w:szCs w:val="24"/>
        </w:rPr>
        <w:t>over time</w:t>
      </w:r>
      <w:r w:rsidRPr="003B3924">
        <w:rPr>
          <w:rFonts w:ascii="Arial Narrow" w:hAnsi="Arial Narrow"/>
          <w:sz w:val="24"/>
          <w:szCs w:val="24"/>
        </w:rPr>
        <w:t xml:space="preserve"> identified by Falkingham et al. (2016), they still note relatively low total levels of mobility </w:t>
      </w:r>
      <w:r w:rsidR="00087CF5" w:rsidRPr="003B3924">
        <w:rPr>
          <w:rFonts w:ascii="Arial Narrow" w:hAnsi="Arial Narrow"/>
          <w:sz w:val="24"/>
          <w:szCs w:val="24"/>
        </w:rPr>
        <w:t xml:space="preserve">for both genders across their cohorts, </w:t>
      </w:r>
      <w:r w:rsidRPr="003B3924">
        <w:rPr>
          <w:rFonts w:ascii="Arial Narrow" w:hAnsi="Arial Narrow"/>
          <w:sz w:val="24"/>
          <w:szCs w:val="24"/>
        </w:rPr>
        <w:t xml:space="preserve">and caution against overstating the significance or prevalence of mobility.  </w:t>
      </w:r>
      <w:r w:rsidR="003E1E1D" w:rsidRPr="003B3924">
        <w:rPr>
          <w:rFonts w:ascii="Arial Narrow" w:hAnsi="Arial Narrow"/>
          <w:sz w:val="24"/>
          <w:szCs w:val="24"/>
        </w:rPr>
        <w:t>Th</w:t>
      </w:r>
      <w:r w:rsidR="001B243D" w:rsidRPr="003B3924">
        <w:rPr>
          <w:rFonts w:ascii="Arial Narrow" w:hAnsi="Arial Narrow"/>
          <w:sz w:val="24"/>
          <w:szCs w:val="24"/>
        </w:rPr>
        <w:t>is</w:t>
      </w:r>
      <w:r w:rsidR="003E1E1D" w:rsidRPr="003B3924">
        <w:rPr>
          <w:rFonts w:ascii="Arial Narrow" w:hAnsi="Arial Narrow"/>
          <w:sz w:val="24"/>
          <w:szCs w:val="24"/>
        </w:rPr>
        <w:t xml:space="preserve"> picture of a somewhat static population</w:t>
      </w:r>
      <w:r w:rsidR="0087486A" w:rsidRPr="003B3924">
        <w:rPr>
          <w:rFonts w:ascii="Arial Narrow" w:hAnsi="Arial Narrow"/>
          <w:sz w:val="24"/>
          <w:szCs w:val="24"/>
        </w:rPr>
        <w:t xml:space="preserve"> does not mean that </w:t>
      </w:r>
      <w:r w:rsidR="00551E69" w:rsidRPr="003B3924">
        <w:rPr>
          <w:rFonts w:ascii="Arial Narrow" w:hAnsi="Arial Narrow"/>
          <w:sz w:val="24"/>
          <w:szCs w:val="24"/>
        </w:rPr>
        <w:t xml:space="preserve">those who </w:t>
      </w:r>
      <w:r w:rsidR="004F0C85" w:rsidRPr="003B3924">
        <w:rPr>
          <w:rFonts w:ascii="Arial Narrow" w:hAnsi="Arial Narrow"/>
          <w:sz w:val="24"/>
          <w:szCs w:val="24"/>
        </w:rPr>
        <w:t xml:space="preserve">stay put </w:t>
      </w:r>
      <w:r w:rsidR="00B27E5C" w:rsidRPr="003B3924">
        <w:rPr>
          <w:rFonts w:ascii="Arial Narrow" w:hAnsi="Arial Narrow"/>
          <w:sz w:val="24"/>
          <w:szCs w:val="24"/>
        </w:rPr>
        <w:t xml:space="preserve">do not play </w:t>
      </w:r>
      <w:r w:rsidR="00524F01" w:rsidRPr="003B3924">
        <w:rPr>
          <w:rFonts w:ascii="Arial Narrow" w:hAnsi="Arial Narrow"/>
          <w:sz w:val="24"/>
          <w:szCs w:val="24"/>
        </w:rPr>
        <w:t xml:space="preserve">an active role in </w:t>
      </w:r>
      <w:r w:rsidR="004F0C85" w:rsidRPr="003B3924">
        <w:rPr>
          <w:rFonts w:ascii="Arial Narrow" w:hAnsi="Arial Narrow"/>
          <w:sz w:val="24"/>
          <w:szCs w:val="24"/>
        </w:rPr>
        <w:t>their immobility</w:t>
      </w:r>
      <w:r w:rsidR="00524F01" w:rsidRPr="003B3924">
        <w:rPr>
          <w:rFonts w:ascii="Arial Narrow" w:hAnsi="Arial Narrow"/>
          <w:sz w:val="24"/>
          <w:szCs w:val="24"/>
        </w:rPr>
        <w:t xml:space="preserve">, or do </w:t>
      </w:r>
      <w:r w:rsidR="0087486A" w:rsidRPr="003B3924">
        <w:rPr>
          <w:rFonts w:ascii="Arial Narrow" w:hAnsi="Arial Narrow"/>
          <w:sz w:val="24"/>
          <w:szCs w:val="24"/>
        </w:rPr>
        <w:t xml:space="preserve">not have </w:t>
      </w:r>
      <w:r w:rsidR="00BD12DB">
        <w:rPr>
          <w:rFonts w:ascii="Arial Narrow" w:hAnsi="Arial Narrow"/>
          <w:sz w:val="24"/>
          <w:szCs w:val="24"/>
        </w:rPr>
        <w:t xml:space="preserve">home moving </w:t>
      </w:r>
      <w:r w:rsidR="0087486A" w:rsidRPr="003B3924">
        <w:rPr>
          <w:rFonts w:ascii="Arial Narrow" w:hAnsi="Arial Narrow"/>
          <w:sz w:val="24"/>
          <w:szCs w:val="24"/>
        </w:rPr>
        <w:t>experiences</w:t>
      </w:r>
      <w:r w:rsidR="003E1E1D" w:rsidRPr="003B3924">
        <w:rPr>
          <w:rFonts w:ascii="Arial Narrow" w:hAnsi="Arial Narrow"/>
          <w:sz w:val="24"/>
          <w:szCs w:val="24"/>
        </w:rPr>
        <w:t xml:space="preserve">.  </w:t>
      </w:r>
      <w:r w:rsidR="00087CF5" w:rsidRPr="003B3924">
        <w:rPr>
          <w:rFonts w:ascii="Arial Narrow" w:hAnsi="Arial Narrow"/>
          <w:sz w:val="24"/>
          <w:szCs w:val="24"/>
        </w:rPr>
        <w:t>I</w:t>
      </w:r>
      <w:r w:rsidR="003E1E1D" w:rsidRPr="003B3924">
        <w:rPr>
          <w:rFonts w:ascii="Arial Narrow" w:hAnsi="Arial Narrow"/>
          <w:sz w:val="24"/>
          <w:szCs w:val="24"/>
        </w:rPr>
        <w:t xml:space="preserve">mportantly, </w:t>
      </w:r>
      <w:r w:rsidR="0087486A" w:rsidRPr="003B3924">
        <w:rPr>
          <w:rFonts w:ascii="Arial Narrow" w:hAnsi="Arial Narrow"/>
          <w:sz w:val="24"/>
          <w:szCs w:val="24"/>
        </w:rPr>
        <w:t xml:space="preserve">they may have </w:t>
      </w:r>
      <w:r w:rsidR="00BD12DB">
        <w:rPr>
          <w:rFonts w:ascii="Arial Narrow" w:hAnsi="Arial Narrow"/>
          <w:sz w:val="24"/>
          <w:szCs w:val="24"/>
        </w:rPr>
        <w:t xml:space="preserve">family </w:t>
      </w:r>
      <w:r w:rsidR="0087486A" w:rsidRPr="003B3924">
        <w:rPr>
          <w:rFonts w:ascii="Arial Narrow" w:hAnsi="Arial Narrow"/>
          <w:sz w:val="24"/>
          <w:szCs w:val="24"/>
        </w:rPr>
        <w:t>members or friends who moved away from or close</w:t>
      </w:r>
      <w:r w:rsidR="004F0C85" w:rsidRPr="003B3924">
        <w:rPr>
          <w:rFonts w:ascii="Arial Narrow" w:hAnsi="Arial Narrow"/>
          <w:sz w:val="24"/>
          <w:szCs w:val="24"/>
        </w:rPr>
        <w:t>r</w:t>
      </w:r>
      <w:r w:rsidR="0087486A" w:rsidRPr="003B3924">
        <w:rPr>
          <w:rFonts w:ascii="Arial Narrow" w:hAnsi="Arial Narrow"/>
          <w:sz w:val="24"/>
          <w:szCs w:val="24"/>
        </w:rPr>
        <w:t xml:space="preserve"> to them</w:t>
      </w:r>
      <w:r w:rsidR="00087CF5" w:rsidRPr="003B3924">
        <w:rPr>
          <w:rFonts w:ascii="Arial Narrow" w:hAnsi="Arial Narrow"/>
          <w:sz w:val="24"/>
          <w:szCs w:val="24"/>
        </w:rPr>
        <w:t>, and they may have played an active role</w:t>
      </w:r>
      <w:r w:rsidR="003D03EF" w:rsidRPr="003B3924">
        <w:rPr>
          <w:rFonts w:ascii="Arial Narrow" w:hAnsi="Arial Narrow"/>
          <w:sz w:val="24"/>
          <w:szCs w:val="24"/>
        </w:rPr>
        <w:t xml:space="preserve"> in </w:t>
      </w:r>
      <w:r w:rsidR="004F0C85" w:rsidRPr="003B3924">
        <w:rPr>
          <w:rFonts w:ascii="Arial Narrow" w:hAnsi="Arial Narrow"/>
          <w:sz w:val="24"/>
          <w:szCs w:val="24"/>
        </w:rPr>
        <w:t xml:space="preserve">such </w:t>
      </w:r>
      <w:r w:rsidR="003D03EF" w:rsidRPr="003B3924">
        <w:rPr>
          <w:rFonts w:ascii="Arial Narrow" w:hAnsi="Arial Narrow"/>
          <w:sz w:val="24"/>
          <w:szCs w:val="24"/>
        </w:rPr>
        <w:t>move</w:t>
      </w:r>
      <w:r w:rsidR="00BD12DB">
        <w:rPr>
          <w:rFonts w:ascii="Arial Narrow" w:hAnsi="Arial Narrow"/>
          <w:sz w:val="24"/>
          <w:szCs w:val="24"/>
        </w:rPr>
        <w:t>s</w:t>
      </w:r>
      <w:r w:rsidR="00A432C4" w:rsidRPr="003B3924">
        <w:rPr>
          <w:rFonts w:ascii="Arial Narrow" w:hAnsi="Arial Narrow"/>
          <w:sz w:val="24"/>
          <w:szCs w:val="24"/>
        </w:rPr>
        <w:t xml:space="preserve">. They may </w:t>
      </w:r>
      <w:r w:rsidR="003D03EF" w:rsidRPr="003B3924">
        <w:rPr>
          <w:rFonts w:ascii="Arial Narrow" w:hAnsi="Arial Narrow"/>
          <w:sz w:val="24"/>
          <w:szCs w:val="24"/>
        </w:rPr>
        <w:t>have views on</w:t>
      </w:r>
      <w:r w:rsidR="002268F9">
        <w:rPr>
          <w:rFonts w:ascii="Arial Narrow" w:hAnsi="Arial Narrow"/>
          <w:sz w:val="24"/>
          <w:szCs w:val="24"/>
        </w:rPr>
        <w:t xml:space="preserve"> such</w:t>
      </w:r>
      <w:r w:rsidR="003D03EF" w:rsidRPr="003B3924">
        <w:rPr>
          <w:rFonts w:ascii="Arial Narrow" w:hAnsi="Arial Narrow"/>
          <w:sz w:val="24"/>
          <w:szCs w:val="24"/>
        </w:rPr>
        <w:t xml:space="preserve"> </w:t>
      </w:r>
      <w:r w:rsidR="00A432C4" w:rsidRPr="003B3924">
        <w:rPr>
          <w:rFonts w:ascii="Arial Narrow" w:hAnsi="Arial Narrow"/>
          <w:sz w:val="24"/>
          <w:szCs w:val="24"/>
        </w:rPr>
        <w:t>moves</w:t>
      </w:r>
      <w:r w:rsidR="003D03EF" w:rsidRPr="003B3924">
        <w:rPr>
          <w:rFonts w:ascii="Arial Narrow" w:hAnsi="Arial Narrow"/>
          <w:sz w:val="24"/>
          <w:szCs w:val="24"/>
        </w:rPr>
        <w:t>,</w:t>
      </w:r>
      <w:r w:rsidR="00087CF5" w:rsidRPr="003B3924">
        <w:rPr>
          <w:rFonts w:ascii="Arial Narrow" w:hAnsi="Arial Narrow"/>
          <w:sz w:val="24"/>
          <w:szCs w:val="24"/>
        </w:rPr>
        <w:t xml:space="preserve"> or experience </w:t>
      </w:r>
      <w:r w:rsidR="00E84017" w:rsidRPr="003B3924">
        <w:rPr>
          <w:rFonts w:ascii="Arial Narrow" w:hAnsi="Arial Narrow"/>
          <w:sz w:val="24"/>
          <w:szCs w:val="24"/>
        </w:rPr>
        <w:t xml:space="preserve">relief or </w:t>
      </w:r>
      <w:r w:rsidR="00087CF5" w:rsidRPr="003B3924">
        <w:rPr>
          <w:rFonts w:ascii="Arial Narrow" w:hAnsi="Arial Narrow"/>
          <w:sz w:val="24"/>
          <w:szCs w:val="24"/>
        </w:rPr>
        <w:t>anxieties about</w:t>
      </w:r>
      <w:r w:rsidR="00524F01" w:rsidRPr="003B3924">
        <w:rPr>
          <w:rFonts w:ascii="Arial Narrow" w:hAnsi="Arial Narrow"/>
          <w:sz w:val="24"/>
          <w:szCs w:val="24"/>
        </w:rPr>
        <w:t xml:space="preserve"> being left behind</w:t>
      </w:r>
      <w:r w:rsidR="0087486A" w:rsidRPr="003B3924">
        <w:rPr>
          <w:rFonts w:ascii="Arial Narrow" w:hAnsi="Arial Narrow"/>
          <w:sz w:val="24"/>
          <w:szCs w:val="24"/>
        </w:rPr>
        <w:t xml:space="preserve">.  </w:t>
      </w:r>
      <w:r w:rsidR="00087CF5" w:rsidRPr="003B3924">
        <w:rPr>
          <w:rFonts w:ascii="Arial Narrow" w:hAnsi="Arial Narrow"/>
          <w:sz w:val="24"/>
          <w:szCs w:val="24"/>
        </w:rPr>
        <w:t>Yet</w:t>
      </w:r>
      <w:r w:rsidR="0064495F" w:rsidRPr="003B3924">
        <w:rPr>
          <w:rFonts w:ascii="Arial Narrow" w:hAnsi="Arial Narrow"/>
          <w:sz w:val="24"/>
          <w:szCs w:val="24"/>
        </w:rPr>
        <w:t>, a</w:t>
      </w:r>
      <w:r w:rsidR="0087486A" w:rsidRPr="003B3924">
        <w:rPr>
          <w:rFonts w:ascii="Arial Narrow" w:hAnsi="Arial Narrow"/>
          <w:sz w:val="24"/>
          <w:szCs w:val="24"/>
        </w:rPr>
        <w:t xml:space="preserve">s we note below, scholarship on </w:t>
      </w:r>
      <w:r w:rsidR="00524F01" w:rsidRPr="003B3924">
        <w:rPr>
          <w:rFonts w:ascii="Arial Narrow" w:hAnsi="Arial Narrow"/>
          <w:sz w:val="24"/>
          <w:szCs w:val="24"/>
        </w:rPr>
        <w:t xml:space="preserve">residential mobility and </w:t>
      </w:r>
      <w:r w:rsidR="0087486A" w:rsidRPr="003B3924">
        <w:rPr>
          <w:rFonts w:ascii="Arial Narrow" w:hAnsi="Arial Narrow"/>
          <w:sz w:val="24"/>
          <w:szCs w:val="24"/>
        </w:rPr>
        <w:t xml:space="preserve">‘moving home’ tends to </w:t>
      </w:r>
      <w:r w:rsidR="002268F9">
        <w:rPr>
          <w:rFonts w:ascii="Arial Narrow" w:hAnsi="Arial Narrow"/>
          <w:sz w:val="24"/>
          <w:szCs w:val="24"/>
        </w:rPr>
        <w:t>focus</w:t>
      </w:r>
      <w:r w:rsidR="002268F9" w:rsidRPr="003B3924">
        <w:rPr>
          <w:rFonts w:ascii="Arial Narrow" w:hAnsi="Arial Narrow"/>
          <w:sz w:val="24"/>
          <w:szCs w:val="24"/>
        </w:rPr>
        <w:t xml:space="preserve"> </w:t>
      </w:r>
      <w:r w:rsidR="0087486A" w:rsidRPr="003B3924">
        <w:rPr>
          <w:rFonts w:ascii="Arial Narrow" w:hAnsi="Arial Narrow"/>
          <w:sz w:val="24"/>
          <w:szCs w:val="24"/>
        </w:rPr>
        <w:t>on those who are doing the moving</w:t>
      </w:r>
      <w:r w:rsidR="00A728A9" w:rsidRPr="003B3924">
        <w:rPr>
          <w:rFonts w:ascii="Arial Narrow" w:hAnsi="Arial Narrow"/>
          <w:sz w:val="24"/>
          <w:szCs w:val="24"/>
        </w:rPr>
        <w:t xml:space="preserve"> (or being moved)</w:t>
      </w:r>
      <w:r w:rsidR="00421C3E" w:rsidRPr="003B3924">
        <w:rPr>
          <w:rFonts w:ascii="Arial Narrow" w:hAnsi="Arial Narrow"/>
          <w:sz w:val="24"/>
          <w:szCs w:val="24"/>
        </w:rPr>
        <w:t xml:space="preserve"> rather than those</w:t>
      </w:r>
      <w:r w:rsidR="00524F01" w:rsidRPr="003B3924">
        <w:rPr>
          <w:rFonts w:ascii="Arial Narrow" w:hAnsi="Arial Narrow"/>
          <w:sz w:val="24"/>
          <w:szCs w:val="24"/>
        </w:rPr>
        <w:t xml:space="preserve"> staying put</w:t>
      </w:r>
      <w:r w:rsidR="00087CF5" w:rsidRPr="003B3924">
        <w:rPr>
          <w:rFonts w:ascii="Arial Narrow" w:hAnsi="Arial Narrow"/>
          <w:sz w:val="24"/>
          <w:szCs w:val="24"/>
        </w:rPr>
        <w:t>.</w:t>
      </w:r>
    </w:p>
    <w:p w14:paraId="432C6B20" w14:textId="1A1694E0" w:rsidR="00087CF5" w:rsidRPr="003B3924" w:rsidRDefault="00087CF5" w:rsidP="00072E7A">
      <w:pPr>
        <w:pStyle w:val="PlainText"/>
        <w:rPr>
          <w:rFonts w:ascii="Arial Narrow" w:hAnsi="Arial Narrow"/>
          <w:sz w:val="24"/>
          <w:szCs w:val="24"/>
        </w:rPr>
      </w:pPr>
    </w:p>
    <w:p w14:paraId="10E5C4E7" w14:textId="590688B3" w:rsidR="00263C37" w:rsidRPr="003B3924" w:rsidRDefault="00087CF5" w:rsidP="00E917F2">
      <w:pPr>
        <w:pStyle w:val="PlainText"/>
        <w:rPr>
          <w:rFonts w:ascii="Arial Narrow" w:hAnsi="Arial Narrow"/>
          <w:sz w:val="24"/>
          <w:szCs w:val="24"/>
        </w:rPr>
      </w:pPr>
      <w:r w:rsidRPr="003B3924">
        <w:rPr>
          <w:rFonts w:ascii="Arial Narrow" w:hAnsi="Arial Narrow"/>
          <w:sz w:val="24"/>
          <w:szCs w:val="24"/>
        </w:rPr>
        <w:t xml:space="preserve">In this exploration of </w:t>
      </w:r>
      <w:r w:rsidR="00B27E5C" w:rsidRPr="003B3924">
        <w:rPr>
          <w:rFonts w:ascii="Arial Narrow" w:hAnsi="Arial Narrow"/>
          <w:sz w:val="24"/>
          <w:szCs w:val="24"/>
        </w:rPr>
        <w:t xml:space="preserve">the way people of different age cohorts and genders talk about </w:t>
      </w:r>
      <w:r w:rsidR="00E917F2" w:rsidRPr="003B3924">
        <w:rPr>
          <w:rFonts w:ascii="Arial Narrow" w:hAnsi="Arial Narrow"/>
          <w:sz w:val="24"/>
          <w:szCs w:val="24"/>
        </w:rPr>
        <w:t xml:space="preserve">home moves </w:t>
      </w:r>
      <w:r w:rsidRPr="003B3924">
        <w:rPr>
          <w:rFonts w:ascii="Arial Narrow" w:hAnsi="Arial Narrow"/>
          <w:sz w:val="24"/>
          <w:szCs w:val="24"/>
        </w:rPr>
        <w:t xml:space="preserve">we </w:t>
      </w:r>
      <w:r w:rsidR="00421C3E" w:rsidRPr="003B3924">
        <w:rPr>
          <w:rFonts w:ascii="Arial Narrow" w:hAnsi="Arial Narrow"/>
          <w:sz w:val="24"/>
          <w:szCs w:val="24"/>
        </w:rPr>
        <w:t>focus</w:t>
      </w:r>
      <w:r w:rsidR="00D76348" w:rsidRPr="003B3924">
        <w:rPr>
          <w:rFonts w:ascii="Arial Narrow" w:hAnsi="Arial Narrow"/>
          <w:sz w:val="24"/>
          <w:szCs w:val="24"/>
        </w:rPr>
        <w:t xml:space="preserve"> on</w:t>
      </w:r>
      <w:r w:rsidR="00421C3E" w:rsidRPr="003B3924">
        <w:rPr>
          <w:rFonts w:ascii="Arial Narrow" w:hAnsi="Arial Narrow"/>
          <w:sz w:val="24"/>
          <w:szCs w:val="24"/>
        </w:rPr>
        <w:t xml:space="preserve"> those who have not moved a</w:t>
      </w:r>
      <w:r w:rsidR="00344F57" w:rsidRPr="003B3924">
        <w:rPr>
          <w:rFonts w:ascii="Arial Narrow" w:hAnsi="Arial Narrow"/>
          <w:sz w:val="24"/>
          <w:szCs w:val="24"/>
        </w:rPr>
        <w:t>longside</w:t>
      </w:r>
      <w:r w:rsidR="00421C3E" w:rsidRPr="003B3924">
        <w:rPr>
          <w:rFonts w:ascii="Arial Narrow" w:hAnsi="Arial Narrow"/>
          <w:sz w:val="24"/>
          <w:szCs w:val="24"/>
        </w:rPr>
        <w:t xml:space="preserve"> those who have</w:t>
      </w:r>
      <w:r w:rsidR="00A432C4" w:rsidRPr="003B3924">
        <w:rPr>
          <w:rFonts w:ascii="Arial Narrow" w:hAnsi="Arial Narrow"/>
          <w:sz w:val="24"/>
          <w:szCs w:val="24"/>
        </w:rPr>
        <w:t>.  We</w:t>
      </w:r>
      <w:r w:rsidR="00421C3E" w:rsidRPr="003B3924">
        <w:rPr>
          <w:rFonts w:ascii="Arial Narrow" w:hAnsi="Arial Narrow"/>
          <w:sz w:val="24"/>
          <w:szCs w:val="24"/>
        </w:rPr>
        <w:t xml:space="preserve"> reveal the complexity of</w:t>
      </w:r>
      <w:r w:rsidR="00897BFC" w:rsidRPr="003B3924">
        <w:rPr>
          <w:rFonts w:ascii="Arial Narrow" w:hAnsi="Arial Narrow"/>
          <w:sz w:val="24"/>
          <w:szCs w:val="24"/>
        </w:rPr>
        <w:t xml:space="preserve"> what</w:t>
      </w:r>
      <w:r w:rsidR="00421C3E" w:rsidRPr="003B3924">
        <w:rPr>
          <w:rFonts w:ascii="Arial Narrow" w:hAnsi="Arial Narrow"/>
          <w:sz w:val="24"/>
          <w:szCs w:val="24"/>
        </w:rPr>
        <w:t xml:space="preserve"> moving home</w:t>
      </w:r>
      <w:r w:rsidR="00897BFC" w:rsidRPr="003B3924">
        <w:rPr>
          <w:rFonts w:ascii="Arial Narrow" w:hAnsi="Arial Narrow"/>
          <w:sz w:val="24"/>
          <w:szCs w:val="24"/>
        </w:rPr>
        <w:t xml:space="preserve"> </w:t>
      </w:r>
      <w:r w:rsidR="00E917F2" w:rsidRPr="003B3924">
        <w:rPr>
          <w:rFonts w:ascii="Arial Narrow" w:hAnsi="Arial Narrow"/>
          <w:sz w:val="24"/>
          <w:szCs w:val="24"/>
        </w:rPr>
        <w:t>means</w:t>
      </w:r>
      <w:r w:rsidR="00B27E5C" w:rsidRPr="003B3924">
        <w:rPr>
          <w:rFonts w:ascii="Arial Narrow" w:hAnsi="Arial Narrow"/>
          <w:sz w:val="24"/>
          <w:szCs w:val="24"/>
        </w:rPr>
        <w:t xml:space="preserve"> as set</w:t>
      </w:r>
      <w:r w:rsidR="001B243D" w:rsidRPr="003B3924">
        <w:rPr>
          <w:rFonts w:ascii="Arial Narrow" w:hAnsi="Arial Narrow"/>
          <w:sz w:val="24"/>
          <w:szCs w:val="24"/>
        </w:rPr>
        <w:t>s</w:t>
      </w:r>
      <w:r w:rsidR="00B27E5C" w:rsidRPr="003B3924">
        <w:rPr>
          <w:rFonts w:ascii="Arial Narrow" w:hAnsi="Arial Narrow"/>
          <w:sz w:val="24"/>
          <w:szCs w:val="24"/>
        </w:rPr>
        <w:t xml:space="preserve"> of </w:t>
      </w:r>
      <w:r w:rsidR="001B243D" w:rsidRPr="003B3924">
        <w:rPr>
          <w:rFonts w:ascii="Arial Narrow" w:hAnsi="Arial Narrow"/>
          <w:sz w:val="24"/>
          <w:szCs w:val="24"/>
        </w:rPr>
        <w:t xml:space="preserve">linked relational </w:t>
      </w:r>
      <w:r w:rsidR="00B27E5C" w:rsidRPr="003B3924">
        <w:rPr>
          <w:rFonts w:ascii="Arial Narrow" w:hAnsi="Arial Narrow"/>
          <w:sz w:val="24"/>
          <w:szCs w:val="24"/>
        </w:rPr>
        <w:t>experiences</w:t>
      </w:r>
      <w:r w:rsidR="00524F01" w:rsidRPr="003B3924">
        <w:rPr>
          <w:rFonts w:ascii="Arial Narrow" w:hAnsi="Arial Narrow"/>
          <w:sz w:val="24"/>
          <w:szCs w:val="24"/>
        </w:rPr>
        <w:t>, including home as residence</w:t>
      </w:r>
      <w:r w:rsidR="00897BFC" w:rsidRPr="003B3924">
        <w:rPr>
          <w:rFonts w:ascii="Arial Narrow" w:hAnsi="Arial Narrow"/>
          <w:sz w:val="24"/>
          <w:szCs w:val="24"/>
        </w:rPr>
        <w:t>, people</w:t>
      </w:r>
      <w:r w:rsidR="00524F01" w:rsidRPr="003B3924">
        <w:rPr>
          <w:rFonts w:ascii="Arial Narrow" w:hAnsi="Arial Narrow"/>
          <w:sz w:val="24"/>
          <w:szCs w:val="24"/>
        </w:rPr>
        <w:t xml:space="preserve"> and</w:t>
      </w:r>
      <w:r w:rsidR="00897BFC" w:rsidRPr="003B3924">
        <w:rPr>
          <w:rFonts w:ascii="Arial Narrow" w:hAnsi="Arial Narrow"/>
          <w:sz w:val="24"/>
          <w:szCs w:val="24"/>
        </w:rPr>
        <w:t>/or</w:t>
      </w:r>
      <w:r w:rsidR="00524F01" w:rsidRPr="003B3924">
        <w:rPr>
          <w:rFonts w:ascii="Arial Narrow" w:hAnsi="Arial Narrow"/>
          <w:sz w:val="24"/>
          <w:szCs w:val="24"/>
        </w:rPr>
        <w:t xml:space="preserve"> place.  We draw on </w:t>
      </w:r>
      <w:r w:rsidR="00B27E5C" w:rsidRPr="003B3924">
        <w:rPr>
          <w:rFonts w:ascii="Arial Narrow" w:hAnsi="Arial Narrow"/>
          <w:sz w:val="24"/>
          <w:szCs w:val="24"/>
        </w:rPr>
        <w:t xml:space="preserve">material from the </w:t>
      </w:r>
      <w:proofErr w:type="spellStart"/>
      <w:r w:rsidR="00B27E5C" w:rsidRPr="003B3924">
        <w:rPr>
          <w:rFonts w:ascii="Arial Narrow" w:hAnsi="Arial Narrow"/>
          <w:sz w:val="24"/>
          <w:szCs w:val="24"/>
        </w:rPr>
        <w:t>Timescapes</w:t>
      </w:r>
      <w:proofErr w:type="spellEnd"/>
      <w:r w:rsidR="00B27E5C" w:rsidRPr="003B3924">
        <w:rPr>
          <w:rFonts w:ascii="Arial Narrow" w:hAnsi="Arial Narrow"/>
          <w:sz w:val="24"/>
          <w:szCs w:val="24"/>
        </w:rPr>
        <w:t xml:space="preserve"> study</w:t>
      </w:r>
      <w:r w:rsidR="005F5AC6" w:rsidRPr="003B3924">
        <w:rPr>
          <w:rFonts w:ascii="Arial Narrow" w:hAnsi="Arial Narrow"/>
          <w:sz w:val="24"/>
          <w:szCs w:val="24"/>
        </w:rPr>
        <w:t xml:space="preserve">, a set of archived qualitative longitudinal </w:t>
      </w:r>
      <w:r w:rsidR="00344F57" w:rsidRPr="003B3924">
        <w:rPr>
          <w:rFonts w:ascii="Arial Narrow" w:hAnsi="Arial Narrow"/>
          <w:sz w:val="24"/>
          <w:szCs w:val="24"/>
        </w:rPr>
        <w:t>projects</w:t>
      </w:r>
      <w:r w:rsidR="005F5AC6" w:rsidRPr="003B3924">
        <w:rPr>
          <w:rFonts w:ascii="Arial Narrow" w:hAnsi="Arial Narrow"/>
          <w:sz w:val="24"/>
          <w:szCs w:val="24"/>
        </w:rPr>
        <w:t xml:space="preserve"> containing interview</w:t>
      </w:r>
      <w:r w:rsidR="00263C37" w:rsidRPr="003B3924">
        <w:rPr>
          <w:rFonts w:ascii="Arial Narrow" w:hAnsi="Arial Narrow"/>
          <w:sz w:val="24"/>
          <w:szCs w:val="24"/>
        </w:rPr>
        <w:t xml:space="preserve">s with </w:t>
      </w:r>
      <w:r w:rsidR="004F0C85" w:rsidRPr="003B3924">
        <w:rPr>
          <w:rFonts w:ascii="Arial Narrow" w:hAnsi="Arial Narrow"/>
          <w:sz w:val="24"/>
          <w:szCs w:val="24"/>
        </w:rPr>
        <w:t xml:space="preserve">members of </w:t>
      </w:r>
      <w:r w:rsidR="00263C37" w:rsidRPr="003B3924">
        <w:rPr>
          <w:rFonts w:ascii="Arial Narrow" w:hAnsi="Arial Narrow"/>
          <w:sz w:val="24"/>
          <w:szCs w:val="24"/>
        </w:rPr>
        <w:t xml:space="preserve">age cohorts </w:t>
      </w:r>
      <w:r w:rsidR="005F5AC6" w:rsidRPr="003B3924">
        <w:rPr>
          <w:rFonts w:ascii="Arial Narrow" w:hAnsi="Arial Narrow"/>
          <w:sz w:val="24"/>
          <w:szCs w:val="24"/>
        </w:rPr>
        <w:t xml:space="preserve">from across the </w:t>
      </w:r>
      <w:proofErr w:type="spellStart"/>
      <w:r w:rsidR="005F5AC6" w:rsidRPr="003B3924">
        <w:rPr>
          <w:rFonts w:ascii="Arial Narrow" w:hAnsi="Arial Narrow"/>
          <w:sz w:val="24"/>
          <w:szCs w:val="24"/>
        </w:rPr>
        <w:t>lifecourse</w:t>
      </w:r>
      <w:proofErr w:type="spellEnd"/>
      <w:r w:rsidR="00BD12DB">
        <w:rPr>
          <w:rFonts w:ascii="Arial Narrow" w:hAnsi="Arial Narrow"/>
          <w:sz w:val="24"/>
          <w:szCs w:val="24"/>
        </w:rPr>
        <w:t xml:space="preserve">. </w:t>
      </w:r>
      <w:r w:rsidR="005F5AC6" w:rsidRPr="003B3924">
        <w:rPr>
          <w:rFonts w:ascii="Arial Narrow" w:hAnsi="Arial Narrow"/>
          <w:sz w:val="24"/>
          <w:szCs w:val="24"/>
        </w:rPr>
        <w:t xml:space="preserve">We begin with a brief review of relevant literature and </w:t>
      </w:r>
      <w:r w:rsidR="001D32A8" w:rsidRPr="003B3924">
        <w:rPr>
          <w:rFonts w:ascii="Arial Narrow" w:hAnsi="Arial Narrow"/>
          <w:sz w:val="24"/>
          <w:szCs w:val="24"/>
        </w:rPr>
        <w:t>concept</w:t>
      </w:r>
      <w:r w:rsidR="005F5AC6" w:rsidRPr="003B3924">
        <w:rPr>
          <w:rFonts w:ascii="Arial Narrow" w:hAnsi="Arial Narrow"/>
          <w:sz w:val="24"/>
          <w:szCs w:val="24"/>
        </w:rPr>
        <w:t>s</w:t>
      </w:r>
      <w:r w:rsidR="001D32A8" w:rsidRPr="003B3924">
        <w:rPr>
          <w:rFonts w:ascii="Arial Narrow" w:hAnsi="Arial Narrow"/>
          <w:sz w:val="24"/>
          <w:szCs w:val="24"/>
        </w:rPr>
        <w:t>, outlining our approach</w:t>
      </w:r>
      <w:r w:rsidR="005F5AC6" w:rsidRPr="003B3924">
        <w:rPr>
          <w:rFonts w:ascii="Arial Narrow" w:hAnsi="Arial Narrow"/>
          <w:sz w:val="24"/>
          <w:szCs w:val="24"/>
        </w:rPr>
        <w:t xml:space="preserve"> to understanding home</w:t>
      </w:r>
      <w:r w:rsidR="00E917F2" w:rsidRPr="003B3924">
        <w:rPr>
          <w:rFonts w:ascii="Arial Narrow" w:hAnsi="Arial Narrow"/>
          <w:sz w:val="24"/>
          <w:szCs w:val="24"/>
        </w:rPr>
        <w:t xml:space="preserve"> moves</w:t>
      </w:r>
      <w:r w:rsidR="001D32A8" w:rsidRPr="003B3924">
        <w:rPr>
          <w:rFonts w:ascii="Arial Narrow" w:hAnsi="Arial Narrow"/>
          <w:sz w:val="24"/>
          <w:szCs w:val="24"/>
        </w:rPr>
        <w:t xml:space="preserve">, before </w:t>
      </w:r>
      <w:r w:rsidR="004F0C85" w:rsidRPr="003B3924">
        <w:rPr>
          <w:rFonts w:ascii="Arial Narrow" w:hAnsi="Arial Narrow"/>
          <w:sz w:val="24"/>
          <w:szCs w:val="24"/>
        </w:rPr>
        <w:t>elaborating</w:t>
      </w:r>
      <w:r w:rsidR="001D32A8" w:rsidRPr="003B3924">
        <w:rPr>
          <w:rFonts w:ascii="Arial Narrow" w:hAnsi="Arial Narrow"/>
          <w:sz w:val="24"/>
          <w:szCs w:val="24"/>
        </w:rPr>
        <w:t xml:space="preserve"> </w:t>
      </w:r>
      <w:r w:rsidR="00E32F88">
        <w:rPr>
          <w:rFonts w:ascii="Arial Narrow" w:hAnsi="Arial Narrow"/>
          <w:sz w:val="24"/>
          <w:szCs w:val="24"/>
        </w:rPr>
        <w:t xml:space="preserve">on a series of discrete and serial </w:t>
      </w:r>
      <w:r w:rsidR="00A432C4" w:rsidRPr="003B3924">
        <w:rPr>
          <w:rFonts w:ascii="Arial Narrow" w:hAnsi="Arial Narrow"/>
          <w:sz w:val="24"/>
          <w:szCs w:val="24"/>
        </w:rPr>
        <w:t>small stories</w:t>
      </w:r>
      <w:r w:rsidR="00E32F88">
        <w:rPr>
          <w:rFonts w:ascii="Arial Narrow" w:hAnsi="Arial Narrow"/>
          <w:sz w:val="24"/>
          <w:szCs w:val="24"/>
        </w:rPr>
        <w:t xml:space="preserve"> about home moves</w:t>
      </w:r>
      <w:r w:rsidR="006C791F" w:rsidRPr="003B3924">
        <w:rPr>
          <w:rFonts w:ascii="Arial Narrow" w:hAnsi="Arial Narrow"/>
          <w:sz w:val="24"/>
          <w:szCs w:val="24"/>
        </w:rPr>
        <w:t xml:space="preserve">. </w:t>
      </w:r>
      <w:r w:rsidR="00E32F88">
        <w:rPr>
          <w:rFonts w:ascii="Arial Narrow" w:hAnsi="Arial Narrow"/>
          <w:sz w:val="24"/>
          <w:szCs w:val="24"/>
        </w:rPr>
        <w:t xml:space="preserve">Throughout we </w:t>
      </w:r>
      <w:r w:rsidR="002268F9">
        <w:rPr>
          <w:rFonts w:ascii="Arial Narrow" w:hAnsi="Arial Narrow"/>
          <w:sz w:val="24"/>
          <w:szCs w:val="24"/>
        </w:rPr>
        <w:t>adopt</w:t>
      </w:r>
      <w:r w:rsidR="00CB3A8C">
        <w:rPr>
          <w:rFonts w:ascii="Arial Narrow" w:hAnsi="Arial Narrow"/>
          <w:sz w:val="24"/>
          <w:szCs w:val="24"/>
        </w:rPr>
        <w:t xml:space="preserve"> a </w:t>
      </w:r>
      <w:r w:rsidR="00E917F2" w:rsidRPr="003B3924">
        <w:rPr>
          <w:rFonts w:ascii="Arial Narrow" w:hAnsi="Arial Narrow"/>
          <w:sz w:val="24"/>
          <w:szCs w:val="24"/>
        </w:rPr>
        <w:t xml:space="preserve">‘linked lives’ approach, </w:t>
      </w:r>
      <w:r w:rsidR="004C4C5B" w:rsidRPr="003B3924">
        <w:rPr>
          <w:rFonts w:ascii="Arial Narrow" w:hAnsi="Arial Narrow"/>
          <w:sz w:val="24"/>
          <w:szCs w:val="24"/>
        </w:rPr>
        <w:t>highlight</w:t>
      </w:r>
      <w:r w:rsidR="00E32F88">
        <w:rPr>
          <w:rFonts w:ascii="Arial Narrow" w:hAnsi="Arial Narrow"/>
          <w:sz w:val="24"/>
          <w:szCs w:val="24"/>
        </w:rPr>
        <w:t>ing</w:t>
      </w:r>
      <w:r w:rsidR="004C4C5B" w:rsidRPr="003B3924">
        <w:rPr>
          <w:rFonts w:ascii="Arial Narrow" w:hAnsi="Arial Narrow"/>
          <w:sz w:val="24"/>
          <w:szCs w:val="24"/>
        </w:rPr>
        <w:t xml:space="preserve"> the articulation of relationality and adaptation to </w:t>
      </w:r>
      <w:r w:rsidR="00237FAB" w:rsidRPr="003B3924">
        <w:rPr>
          <w:rFonts w:ascii="Arial Narrow" w:hAnsi="Arial Narrow"/>
          <w:sz w:val="24"/>
          <w:szCs w:val="24"/>
        </w:rPr>
        <w:t xml:space="preserve">material and social </w:t>
      </w:r>
      <w:r w:rsidR="004C4C5B" w:rsidRPr="003B3924">
        <w:rPr>
          <w:rFonts w:ascii="Arial Narrow" w:hAnsi="Arial Narrow"/>
          <w:sz w:val="24"/>
          <w:szCs w:val="24"/>
        </w:rPr>
        <w:t xml:space="preserve">conditions, </w:t>
      </w:r>
      <w:r w:rsidR="00294DCE" w:rsidRPr="003B3924">
        <w:rPr>
          <w:rFonts w:ascii="Arial Narrow" w:hAnsi="Arial Narrow"/>
          <w:sz w:val="24"/>
          <w:szCs w:val="24"/>
        </w:rPr>
        <w:t xml:space="preserve">juxtaposing </w:t>
      </w:r>
      <w:r w:rsidR="00263C37" w:rsidRPr="003B3924">
        <w:rPr>
          <w:rFonts w:ascii="Arial Narrow" w:hAnsi="Arial Narrow"/>
          <w:sz w:val="24"/>
          <w:szCs w:val="24"/>
        </w:rPr>
        <w:t>accounts from different age cohorts.</w:t>
      </w:r>
    </w:p>
    <w:p w14:paraId="65A04428" w14:textId="77777777" w:rsidR="00072E7A" w:rsidRPr="003B3924" w:rsidRDefault="00072E7A" w:rsidP="00072E7A">
      <w:pPr>
        <w:pStyle w:val="PlainText"/>
        <w:rPr>
          <w:rFonts w:ascii="Arial Narrow" w:hAnsi="Arial Narrow"/>
          <w:sz w:val="24"/>
          <w:szCs w:val="24"/>
        </w:rPr>
      </w:pPr>
    </w:p>
    <w:p w14:paraId="50639D3A" w14:textId="7508FFFD" w:rsidR="00072E7A" w:rsidRPr="003B3924" w:rsidRDefault="000047A5" w:rsidP="00072E7A">
      <w:pPr>
        <w:pStyle w:val="PlainText"/>
        <w:rPr>
          <w:rFonts w:ascii="Arial Narrow" w:hAnsi="Arial Narrow"/>
          <w:b/>
          <w:sz w:val="24"/>
          <w:szCs w:val="24"/>
        </w:rPr>
      </w:pPr>
      <w:r w:rsidRPr="003B3924">
        <w:rPr>
          <w:rFonts w:ascii="Arial Narrow" w:hAnsi="Arial Narrow"/>
          <w:b/>
          <w:sz w:val="24"/>
          <w:szCs w:val="24"/>
        </w:rPr>
        <w:t>Preoccupations and conceptualis</w:t>
      </w:r>
      <w:r w:rsidR="005432DE" w:rsidRPr="003B3924">
        <w:rPr>
          <w:rFonts w:ascii="Arial Narrow" w:hAnsi="Arial Narrow"/>
          <w:b/>
          <w:sz w:val="24"/>
          <w:szCs w:val="24"/>
        </w:rPr>
        <w:t>ing</w:t>
      </w:r>
      <w:r w:rsidRPr="003B3924">
        <w:rPr>
          <w:rFonts w:ascii="Arial Narrow" w:hAnsi="Arial Narrow"/>
          <w:b/>
          <w:sz w:val="24"/>
          <w:szCs w:val="24"/>
        </w:rPr>
        <w:t xml:space="preserve"> moving home</w:t>
      </w:r>
    </w:p>
    <w:p w14:paraId="1893AD17" w14:textId="000BC470" w:rsidR="00072E7A" w:rsidRPr="003B3924" w:rsidRDefault="00072E7A" w:rsidP="00072E7A">
      <w:pPr>
        <w:pStyle w:val="PlainText"/>
        <w:rPr>
          <w:rFonts w:ascii="Arial Narrow" w:hAnsi="Arial Narrow"/>
          <w:sz w:val="24"/>
          <w:szCs w:val="24"/>
        </w:rPr>
      </w:pPr>
    </w:p>
    <w:p w14:paraId="630F7CBD" w14:textId="05A0B191" w:rsidR="00744D8D" w:rsidRPr="003B3924" w:rsidRDefault="00596116" w:rsidP="00072E7A">
      <w:pPr>
        <w:pStyle w:val="PlainText"/>
        <w:rPr>
          <w:rFonts w:ascii="Arial Narrow" w:hAnsi="Arial Narrow"/>
          <w:sz w:val="24"/>
          <w:szCs w:val="24"/>
        </w:rPr>
      </w:pPr>
      <w:r w:rsidRPr="003B3924">
        <w:rPr>
          <w:rFonts w:ascii="Arial Narrow" w:hAnsi="Arial Narrow"/>
          <w:sz w:val="24"/>
          <w:szCs w:val="24"/>
        </w:rPr>
        <w:t>Traditiona</w:t>
      </w:r>
      <w:r w:rsidR="00B92B99" w:rsidRPr="003B3924">
        <w:rPr>
          <w:rFonts w:ascii="Arial Narrow" w:hAnsi="Arial Narrow"/>
          <w:sz w:val="24"/>
          <w:szCs w:val="24"/>
        </w:rPr>
        <w:t>lly,</w:t>
      </w:r>
      <w:r w:rsidRPr="003B3924">
        <w:rPr>
          <w:rFonts w:ascii="Arial Narrow" w:hAnsi="Arial Narrow"/>
          <w:sz w:val="24"/>
          <w:szCs w:val="24"/>
        </w:rPr>
        <w:t xml:space="preserve"> s</w:t>
      </w:r>
      <w:r w:rsidR="00700C58" w:rsidRPr="003B3924">
        <w:rPr>
          <w:rFonts w:ascii="Arial Narrow" w:hAnsi="Arial Narrow"/>
          <w:sz w:val="24"/>
          <w:szCs w:val="24"/>
        </w:rPr>
        <w:t>tudies of residential mobility are</w:t>
      </w:r>
      <w:r w:rsidR="00F13A9F" w:rsidRPr="003B3924">
        <w:rPr>
          <w:rFonts w:ascii="Arial Narrow" w:hAnsi="Arial Narrow"/>
          <w:sz w:val="24"/>
          <w:szCs w:val="24"/>
        </w:rPr>
        <w:t xml:space="preserve"> discrete</w:t>
      </w:r>
      <w:r w:rsidR="00CB3A8C">
        <w:rPr>
          <w:rFonts w:ascii="Arial Narrow" w:hAnsi="Arial Narrow"/>
          <w:sz w:val="24"/>
          <w:szCs w:val="24"/>
        </w:rPr>
        <w:t>,</w:t>
      </w:r>
      <w:r w:rsidR="00F13A9F" w:rsidRPr="003B3924">
        <w:rPr>
          <w:rFonts w:ascii="Arial Narrow" w:hAnsi="Arial Narrow"/>
          <w:sz w:val="24"/>
          <w:szCs w:val="24"/>
        </w:rPr>
        <w:t xml:space="preserve"> event chain focused or </w:t>
      </w:r>
      <w:proofErr w:type="gramStart"/>
      <w:r w:rsidR="00F13A9F" w:rsidRPr="003B3924">
        <w:rPr>
          <w:rFonts w:ascii="Arial Narrow" w:hAnsi="Arial Narrow"/>
          <w:sz w:val="24"/>
          <w:szCs w:val="24"/>
        </w:rPr>
        <w:t>outcomes-based</w:t>
      </w:r>
      <w:proofErr w:type="gramEnd"/>
      <w:r w:rsidR="00F13A9F" w:rsidRPr="003B3924">
        <w:rPr>
          <w:rFonts w:ascii="Arial Narrow" w:hAnsi="Arial Narrow"/>
          <w:sz w:val="24"/>
          <w:szCs w:val="24"/>
        </w:rPr>
        <w:t xml:space="preserve">. </w:t>
      </w:r>
      <w:r w:rsidR="00700C58" w:rsidRPr="003B3924">
        <w:rPr>
          <w:rFonts w:ascii="Arial Narrow" w:hAnsi="Arial Narrow"/>
          <w:sz w:val="24"/>
          <w:szCs w:val="24"/>
        </w:rPr>
        <w:t xml:space="preserve"> </w:t>
      </w:r>
      <w:r w:rsidR="00F13A9F" w:rsidRPr="003B3924">
        <w:rPr>
          <w:rFonts w:ascii="Arial Narrow" w:hAnsi="Arial Narrow"/>
          <w:sz w:val="24"/>
          <w:szCs w:val="24"/>
        </w:rPr>
        <w:t xml:space="preserve">Event chain </w:t>
      </w:r>
      <w:r w:rsidR="006F6965" w:rsidRPr="003B3924">
        <w:rPr>
          <w:rFonts w:ascii="Arial Narrow" w:hAnsi="Arial Narrow"/>
          <w:sz w:val="24"/>
          <w:szCs w:val="24"/>
        </w:rPr>
        <w:t xml:space="preserve">research </w:t>
      </w:r>
      <w:r w:rsidR="00B92B99" w:rsidRPr="003B3924">
        <w:rPr>
          <w:rFonts w:ascii="Arial Narrow" w:hAnsi="Arial Narrow"/>
          <w:sz w:val="24"/>
          <w:szCs w:val="24"/>
        </w:rPr>
        <w:t>link</w:t>
      </w:r>
      <w:r w:rsidR="00F13A9F" w:rsidRPr="003B3924">
        <w:rPr>
          <w:rFonts w:ascii="Arial Narrow" w:hAnsi="Arial Narrow"/>
          <w:sz w:val="24"/>
          <w:szCs w:val="24"/>
        </w:rPr>
        <w:t>s moving home</w:t>
      </w:r>
      <w:r w:rsidR="00B92B99" w:rsidRPr="003B3924">
        <w:rPr>
          <w:rFonts w:ascii="Arial Narrow" w:hAnsi="Arial Narrow"/>
          <w:sz w:val="24"/>
          <w:szCs w:val="24"/>
        </w:rPr>
        <w:t xml:space="preserve"> to certain life stages</w:t>
      </w:r>
      <w:r w:rsidR="00C60C43" w:rsidRPr="003B3924">
        <w:rPr>
          <w:rFonts w:ascii="Arial Narrow" w:hAnsi="Arial Narrow"/>
          <w:sz w:val="24"/>
          <w:szCs w:val="24"/>
        </w:rPr>
        <w:t xml:space="preserve"> and events</w:t>
      </w:r>
      <w:r w:rsidR="00B92B99" w:rsidRPr="003B3924">
        <w:rPr>
          <w:rFonts w:ascii="Arial Narrow" w:hAnsi="Arial Narrow"/>
          <w:sz w:val="24"/>
          <w:szCs w:val="24"/>
        </w:rPr>
        <w:t xml:space="preserve">: </w:t>
      </w:r>
      <w:r w:rsidR="00C60C43" w:rsidRPr="003B3924">
        <w:rPr>
          <w:rFonts w:ascii="Arial Narrow" w:hAnsi="Arial Narrow"/>
          <w:sz w:val="24"/>
          <w:szCs w:val="24"/>
        </w:rPr>
        <w:t xml:space="preserve">notably young </w:t>
      </w:r>
      <w:r w:rsidR="00905455" w:rsidRPr="003B3924">
        <w:rPr>
          <w:rFonts w:ascii="Arial Narrow" w:hAnsi="Arial Narrow"/>
          <w:sz w:val="24"/>
          <w:szCs w:val="24"/>
        </w:rPr>
        <w:t>adulthood</w:t>
      </w:r>
      <w:r w:rsidR="00C60C43" w:rsidRPr="003B3924">
        <w:rPr>
          <w:rFonts w:ascii="Arial Narrow" w:hAnsi="Arial Narrow"/>
          <w:sz w:val="24"/>
          <w:szCs w:val="24"/>
        </w:rPr>
        <w:t>, starting a family, partnership/family dissolution</w:t>
      </w:r>
      <w:r w:rsidR="00CB3A8C">
        <w:rPr>
          <w:rFonts w:ascii="Arial Narrow" w:hAnsi="Arial Narrow"/>
          <w:sz w:val="24"/>
          <w:szCs w:val="24"/>
        </w:rPr>
        <w:t>,</w:t>
      </w:r>
      <w:r w:rsidR="00C60C43" w:rsidRPr="003B3924">
        <w:rPr>
          <w:rFonts w:ascii="Arial Narrow" w:hAnsi="Arial Narrow"/>
          <w:sz w:val="24"/>
          <w:szCs w:val="24"/>
        </w:rPr>
        <w:t xml:space="preserve"> changing employment, retirement </w:t>
      </w:r>
      <w:r w:rsidR="00744D8D" w:rsidRPr="003B3924">
        <w:rPr>
          <w:rFonts w:ascii="Arial Narrow" w:hAnsi="Arial Narrow"/>
          <w:sz w:val="24"/>
          <w:szCs w:val="24"/>
        </w:rPr>
        <w:t xml:space="preserve">and oldest age </w:t>
      </w:r>
      <w:r w:rsidR="00C60C43" w:rsidRPr="003B3924">
        <w:rPr>
          <w:rFonts w:ascii="Arial Narrow" w:hAnsi="Arial Narrow"/>
          <w:sz w:val="24"/>
          <w:szCs w:val="24"/>
        </w:rPr>
        <w:t xml:space="preserve">(e.g. </w:t>
      </w:r>
      <w:bookmarkStart w:id="1" w:name="_Hlk521515088"/>
      <w:r w:rsidR="00C60C43" w:rsidRPr="003B3924">
        <w:rPr>
          <w:rFonts w:ascii="Arial Narrow" w:hAnsi="Arial Narrow"/>
          <w:sz w:val="24"/>
          <w:szCs w:val="24"/>
        </w:rPr>
        <w:t xml:space="preserve">Bonnet et al., 2010; Boyle et al., 2008; Gilmore, 2006; Kan, 2003; </w:t>
      </w:r>
      <w:r w:rsidR="00744D8D" w:rsidRPr="003B3924">
        <w:rPr>
          <w:rFonts w:ascii="Arial Narrow" w:hAnsi="Arial Narrow"/>
          <w:sz w:val="24"/>
          <w:szCs w:val="24"/>
        </w:rPr>
        <w:t>Smits et al., 2010</w:t>
      </w:r>
      <w:bookmarkEnd w:id="1"/>
      <w:r w:rsidR="00C60C43" w:rsidRPr="003B3924">
        <w:rPr>
          <w:rFonts w:ascii="Arial Narrow" w:hAnsi="Arial Narrow"/>
          <w:sz w:val="24"/>
          <w:szCs w:val="24"/>
        </w:rPr>
        <w:t xml:space="preserve">).  </w:t>
      </w:r>
      <w:r w:rsidR="001B243D" w:rsidRPr="003B3924">
        <w:rPr>
          <w:rFonts w:ascii="Arial Narrow" w:hAnsi="Arial Narrow"/>
          <w:sz w:val="24"/>
          <w:szCs w:val="24"/>
        </w:rPr>
        <w:t xml:space="preserve">For example, Francesca </w:t>
      </w:r>
      <w:proofErr w:type="spellStart"/>
      <w:r w:rsidR="001B243D" w:rsidRPr="003B3924">
        <w:rPr>
          <w:rFonts w:ascii="Arial Narrow" w:hAnsi="Arial Narrow"/>
          <w:sz w:val="24"/>
          <w:szCs w:val="24"/>
        </w:rPr>
        <w:t>Michielin</w:t>
      </w:r>
      <w:proofErr w:type="spellEnd"/>
      <w:r w:rsidR="001B243D" w:rsidRPr="003B3924">
        <w:rPr>
          <w:rFonts w:ascii="Arial Narrow" w:hAnsi="Arial Narrow"/>
          <w:sz w:val="24"/>
          <w:szCs w:val="24"/>
        </w:rPr>
        <w:t xml:space="preserve"> and Clara Mulder (2008) state that residential moves are prevalent in the period preceding a wedding or during pregnancy</w:t>
      </w:r>
      <w:r w:rsidR="00237FAB" w:rsidRPr="003B3924">
        <w:rPr>
          <w:rFonts w:ascii="Arial Narrow" w:hAnsi="Arial Narrow"/>
          <w:sz w:val="24"/>
          <w:szCs w:val="24"/>
        </w:rPr>
        <w:t xml:space="preserve">, </w:t>
      </w:r>
      <w:r w:rsidR="00D054E6" w:rsidRPr="003B3924">
        <w:rPr>
          <w:rFonts w:ascii="Arial Narrow" w:hAnsi="Arial Narrow"/>
          <w:sz w:val="24"/>
          <w:szCs w:val="24"/>
        </w:rPr>
        <w:t>while</w:t>
      </w:r>
      <w:r w:rsidR="00C105EB">
        <w:rPr>
          <w:rFonts w:ascii="Arial Narrow" w:hAnsi="Arial Narrow"/>
          <w:sz w:val="24"/>
          <w:szCs w:val="24"/>
        </w:rPr>
        <w:t xml:space="preserve"> Lynn Jamieson and </w:t>
      </w:r>
      <w:proofErr w:type="spellStart"/>
      <w:r w:rsidR="00C105EB">
        <w:rPr>
          <w:rFonts w:ascii="Arial Narrow" w:hAnsi="Arial Narrow"/>
          <w:sz w:val="24"/>
          <w:szCs w:val="24"/>
        </w:rPr>
        <w:t>Roona</w:t>
      </w:r>
      <w:proofErr w:type="spellEnd"/>
      <w:r w:rsidR="00C105EB">
        <w:rPr>
          <w:rFonts w:ascii="Arial Narrow" w:hAnsi="Arial Narrow"/>
          <w:sz w:val="24"/>
          <w:szCs w:val="24"/>
        </w:rPr>
        <w:t xml:space="preserve"> Simpson</w:t>
      </w:r>
      <w:r w:rsidR="00237FAB" w:rsidRPr="00EB5C80">
        <w:rPr>
          <w:rFonts w:ascii="Arial Narrow" w:hAnsi="Arial Narrow"/>
          <w:color w:val="002060"/>
          <w:sz w:val="24"/>
          <w:szCs w:val="24"/>
        </w:rPr>
        <w:t xml:space="preserve"> </w:t>
      </w:r>
      <w:r w:rsidR="00237FAB" w:rsidRPr="003B3924">
        <w:rPr>
          <w:rFonts w:ascii="Arial Narrow" w:hAnsi="Arial Narrow"/>
          <w:sz w:val="24"/>
          <w:szCs w:val="24"/>
        </w:rPr>
        <w:t xml:space="preserve">(2013) note it </w:t>
      </w:r>
      <w:r w:rsidR="00AE354A">
        <w:rPr>
          <w:rFonts w:ascii="Arial Narrow" w:hAnsi="Arial Narrow"/>
          <w:sz w:val="24"/>
          <w:szCs w:val="24"/>
        </w:rPr>
        <w:t xml:space="preserve">is </w:t>
      </w:r>
      <w:r w:rsidR="00237FAB" w:rsidRPr="003B3924">
        <w:rPr>
          <w:rFonts w:ascii="Arial Narrow" w:hAnsi="Arial Narrow"/>
          <w:sz w:val="24"/>
          <w:szCs w:val="24"/>
        </w:rPr>
        <w:t xml:space="preserve">typically </w:t>
      </w:r>
      <w:proofErr w:type="gramStart"/>
      <w:r w:rsidR="00237FAB" w:rsidRPr="003B3924">
        <w:rPr>
          <w:rFonts w:ascii="Arial Narrow" w:hAnsi="Arial Narrow"/>
          <w:sz w:val="24"/>
          <w:szCs w:val="24"/>
        </w:rPr>
        <w:t>as a</w:t>
      </w:r>
      <w:r w:rsidR="00D054E6" w:rsidRPr="003B3924">
        <w:rPr>
          <w:rFonts w:ascii="Arial Narrow" w:hAnsi="Arial Narrow"/>
          <w:sz w:val="24"/>
          <w:szCs w:val="24"/>
        </w:rPr>
        <w:t xml:space="preserve"> result </w:t>
      </w:r>
      <w:r w:rsidR="00237FAB" w:rsidRPr="003B3924">
        <w:rPr>
          <w:rFonts w:ascii="Arial Narrow" w:hAnsi="Arial Narrow"/>
          <w:sz w:val="24"/>
          <w:szCs w:val="24"/>
        </w:rPr>
        <w:t>of</w:t>
      </w:r>
      <w:proofErr w:type="gramEnd"/>
      <w:r w:rsidR="00237FAB" w:rsidRPr="003B3924">
        <w:rPr>
          <w:rFonts w:ascii="Arial Narrow" w:hAnsi="Arial Narrow"/>
          <w:sz w:val="24"/>
          <w:szCs w:val="24"/>
        </w:rPr>
        <w:t xml:space="preserve"> the dissolution of co-residential relationships</w:t>
      </w:r>
      <w:r w:rsidR="001B243D" w:rsidRPr="003B3924">
        <w:rPr>
          <w:rFonts w:ascii="Arial Narrow" w:hAnsi="Arial Narrow"/>
          <w:sz w:val="24"/>
          <w:szCs w:val="24"/>
        </w:rPr>
        <w:t xml:space="preserve">.  </w:t>
      </w:r>
      <w:r w:rsidR="006F6965" w:rsidRPr="003B3924">
        <w:rPr>
          <w:rFonts w:ascii="Arial Narrow" w:hAnsi="Arial Narrow"/>
          <w:sz w:val="24"/>
          <w:szCs w:val="24"/>
        </w:rPr>
        <w:t xml:space="preserve">Outcomes-based research </w:t>
      </w:r>
      <w:r w:rsidR="00C60C43" w:rsidRPr="003B3924">
        <w:rPr>
          <w:rFonts w:ascii="Arial Narrow" w:hAnsi="Arial Narrow"/>
          <w:sz w:val="24"/>
          <w:szCs w:val="24"/>
        </w:rPr>
        <w:t>examin</w:t>
      </w:r>
      <w:r w:rsidR="004B407F" w:rsidRPr="003B3924">
        <w:rPr>
          <w:rFonts w:ascii="Arial Narrow" w:hAnsi="Arial Narrow"/>
          <w:sz w:val="24"/>
          <w:szCs w:val="24"/>
        </w:rPr>
        <w:t>e</w:t>
      </w:r>
      <w:r w:rsidR="006F6965" w:rsidRPr="003B3924">
        <w:rPr>
          <w:rFonts w:ascii="Arial Narrow" w:hAnsi="Arial Narrow"/>
          <w:sz w:val="24"/>
          <w:szCs w:val="24"/>
        </w:rPr>
        <w:t>s</w:t>
      </w:r>
      <w:r w:rsidR="00C60C43" w:rsidRPr="003B3924">
        <w:rPr>
          <w:rFonts w:ascii="Arial Narrow" w:hAnsi="Arial Narrow"/>
          <w:sz w:val="24"/>
          <w:szCs w:val="24"/>
        </w:rPr>
        <w:t xml:space="preserve"> the impact of moving place/s of residence on a range of psychological, behavioural and educational outcomes, and physical and cognitive functions (</w:t>
      </w:r>
      <w:r w:rsidR="00C420D6" w:rsidRPr="003B3924">
        <w:rPr>
          <w:rFonts w:ascii="Arial Narrow" w:hAnsi="Arial Narrow"/>
          <w:sz w:val="24"/>
          <w:szCs w:val="24"/>
        </w:rPr>
        <w:t xml:space="preserve">e.g. </w:t>
      </w:r>
      <w:r w:rsidR="00C60C43" w:rsidRPr="003B3924">
        <w:rPr>
          <w:rFonts w:ascii="Arial Narrow" w:hAnsi="Arial Narrow"/>
          <w:sz w:val="24"/>
          <w:szCs w:val="24"/>
        </w:rPr>
        <w:t xml:space="preserve">Scanlon and Devine, 2001; Wu et al. 2015), </w:t>
      </w:r>
      <w:r w:rsidR="005D5AA2" w:rsidRPr="003B3924">
        <w:rPr>
          <w:rFonts w:ascii="Arial Narrow" w:hAnsi="Arial Narrow"/>
          <w:sz w:val="24"/>
          <w:szCs w:val="24"/>
        </w:rPr>
        <w:t>a</w:t>
      </w:r>
      <w:r w:rsidR="00344F57" w:rsidRPr="003B3924">
        <w:rPr>
          <w:rFonts w:ascii="Arial Narrow" w:hAnsi="Arial Narrow"/>
          <w:sz w:val="24"/>
          <w:szCs w:val="24"/>
        </w:rPr>
        <w:t>s well as</w:t>
      </w:r>
      <w:r w:rsidR="005D5AA2" w:rsidRPr="003B3924">
        <w:rPr>
          <w:rFonts w:ascii="Arial Narrow" w:hAnsi="Arial Narrow"/>
          <w:sz w:val="24"/>
          <w:szCs w:val="24"/>
        </w:rPr>
        <w:t xml:space="preserve"> </w:t>
      </w:r>
      <w:r w:rsidR="0039142D" w:rsidRPr="003B3924">
        <w:rPr>
          <w:rFonts w:ascii="Arial Narrow" w:hAnsi="Arial Narrow"/>
          <w:sz w:val="24"/>
          <w:szCs w:val="24"/>
        </w:rPr>
        <w:t xml:space="preserve">outcomes for </w:t>
      </w:r>
      <w:r w:rsidR="00C60C43" w:rsidRPr="003B3924">
        <w:rPr>
          <w:rFonts w:ascii="Arial Narrow" w:hAnsi="Arial Narrow"/>
          <w:sz w:val="24"/>
          <w:szCs w:val="24"/>
        </w:rPr>
        <w:t>relationships (</w:t>
      </w:r>
      <w:r w:rsidR="00C420D6" w:rsidRPr="003B3924">
        <w:rPr>
          <w:rFonts w:ascii="Arial Narrow" w:hAnsi="Arial Narrow"/>
          <w:sz w:val="24"/>
          <w:szCs w:val="24"/>
        </w:rPr>
        <w:t xml:space="preserve">e.g. </w:t>
      </w:r>
      <w:r w:rsidR="00344F57" w:rsidRPr="003B3924">
        <w:rPr>
          <w:rFonts w:ascii="Arial Narrow" w:hAnsi="Arial Narrow"/>
          <w:sz w:val="24"/>
          <w:szCs w:val="24"/>
        </w:rPr>
        <w:t xml:space="preserve">Green and Canny, 2003; </w:t>
      </w:r>
      <w:r w:rsidR="00C60C43" w:rsidRPr="003B3924">
        <w:rPr>
          <w:rFonts w:ascii="Arial Narrow" w:hAnsi="Arial Narrow"/>
          <w:sz w:val="24"/>
          <w:szCs w:val="24"/>
        </w:rPr>
        <w:t xml:space="preserve">Tosi and </w:t>
      </w:r>
      <w:proofErr w:type="spellStart"/>
      <w:r w:rsidR="00C60C43" w:rsidRPr="003B3924">
        <w:rPr>
          <w:rFonts w:ascii="Arial Narrow" w:hAnsi="Arial Narrow"/>
          <w:sz w:val="24"/>
          <w:szCs w:val="24"/>
        </w:rPr>
        <w:t>Gãhler</w:t>
      </w:r>
      <w:proofErr w:type="spellEnd"/>
      <w:r w:rsidR="00C60C43" w:rsidRPr="003B3924">
        <w:rPr>
          <w:rFonts w:ascii="Arial Narrow" w:hAnsi="Arial Narrow"/>
          <w:sz w:val="24"/>
          <w:szCs w:val="24"/>
        </w:rPr>
        <w:t>, 2016)</w:t>
      </w:r>
      <w:r w:rsidR="00744D8D" w:rsidRPr="003B3924">
        <w:rPr>
          <w:rFonts w:ascii="Arial Narrow" w:hAnsi="Arial Narrow"/>
          <w:sz w:val="24"/>
          <w:szCs w:val="24"/>
        </w:rPr>
        <w:t xml:space="preserve">.  </w:t>
      </w:r>
      <w:r w:rsidR="001B243D" w:rsidRPr="003B3924">
        <w:rPr>
          <w:rFonts w:ascii="Arial Narrow" w:hAnsi="Arial Narrow"/>
          <w:sz w:val="24"/>
          <w:szCs w:val="24"/>
        </w:rPr>
        <w:t xml:space="preserve">For instance, Glenna </w:t>
      </w:r>
      <w:proofErr w:type="spellStart"/>
      <w:r w:rsidR="001B243D" w:rsidRPr="003B3924">
        <w:rPr>
          <w:rFonts w:ascii="Arial Narrow" w:hAnsi="Arial Narrow"/>
          <w:sz w:val="24"/>
          <w:szCs w:val="24"/>
        </w:rPr>
        <w:t>Spitze</w:t>
      </w:r>
      <w:proofErr w:type="spellEnd"/>
      <w:r w:rsidR="001B243D" w:rsidRPr="003B3924">
        <w:rPr>
          <w:rFonts w:ascii="Arial Narrow" w:hAnsi="Arial Narrow"/>
          <w:sz w:val="24"/>
          <w:szCs w:val="24"/>
        </w:rPr>
        <w:t xml:space="preserve"> and Katherine Trent (2016) find that distance in geographical proximity lowers contact and support between siblings.</w:t>
      </w:r>
    </w:p>
    <w:p w14:paraId="52CF4FF3" w14:textId="77777777" w:rsidR="00744D8D" w:rsidRPr="003B3924" w:rsidRDefault="00744D8D" w:rsidP="00072E7A">
      <w:pPr>
        <w:pStyle w:val="PlainText"/>
        <w:rPr>
          <w:rFonts w:ascii="Arial Narrow" w:hAnsi="Arial Narrow"/>
          <w:sz w:val="24"/>
          <w:szCs w:val="24"/>
        </w:rPr>
      </w:pPr>
    </w:p>
    <w:p w14:paraId="351F5BA3" w14:textId="02081453" w:rsidR="0039142D" w:rsidRPr="003B3924" w:rsidRDefault="006F6965" w:rsidP="00072E7A">
      <w:pPr>
        <w:pStyle w:val="PlainText"/>
        <w:rPr>
          <w:rFonts w:ascii="Arial Narrow" w:hAnsi="Arial Narrow"/>
          <w:sz w:val="24"/>
          <w:szCs w:val="24"/>
        </w:rPr>
      </w:pPr>
      <w:r w:rsidRPr="003B3924">
        <w:rPr>
          <w:rFonts w:ascii="Arial Narrow" w:hAnsi="Arial Narrow"/>
          <w:sz w:val="24"/>
          <w:szCs w:val="24"/>
        </w:rPr>
        <w:t>S</w:t>
      </w:r>
      <w:r w:rsidR="00B92B99" w:rsidRPr="003B3924">
        <w:rPr>
          <w:rFonts w:ascii="Arial Narrow" w:hAnsi="Arial Narrow"/>
          <w:sz w:val="24"/>
          <w:szCs w:val="24"/>
        </w:rPr>
        <w:t xml:space="preserve">uch </w:t>
      </w:r>
      <w:r w:rsidR="0034687B" w:rsidRPr="003B3924">
        <w:rPr>
          <w:rFonts w:ascii="Arial Narrow" w:hAnsi="Arial Narrow"/>
          <w:sz w:val="24"/>
          <w:szCs w:val="24"/>
        </w:rPr>
        <w:t>literature</w:t>
      </w:r>
      <w:r w:rsidR="00B92B99" w:rsidRPr="003B3924">
        <w:rPr>
          <w:rFonts w:ascii="Arial Narrow" w:hAnsi="Arial Narrow"/>
          <w:sz w:val="24"/>
          <w:szCs w:val="24"/>
        </w:rPr>
        <w:t xml:space="preserve"> reveals wider influences on individuals’ residential moves</w:t>
      </w:r>
      <w:r w:rsidRPr="003B3924">
        <w:rPr>
          <w:rFonts w:ascii="Arial Narrow" w:hAnsi="Arial Narrow"/>
          <w:sz w:val="24"/>
          <w:szCs w:val="24"/>
        </w:rPr>
        <w:t>.  But as Caitlin Buckle (2017) points out, it also</w:t>
      </w:r>
      <w:r w:rsidR="005432DE" w:rsidRPr="003B3924">
        <w:rPr>
          <w:rFonts w:ascii="Arial Narrow" w:hAnsi="Arial Narrow"/>
          <w:sz w:val="24"/>
          <w:szCs w:val="24"/>
        </w:rPr>
        <w:t xml:space="preserve"> ties a</w:t>
      </w:r>
      <w:r w:rsidR="00C5248D" w:rsidRPr="003B3924">
        <w:rPr>
          <w:rFonts w:ascii="Arial Narrow" w:hAnsi="Arial Narrow"/>
          <w:sz w:val="24"/>
          <w:szCs w:val="24"/>
        </w:rPr>
        <w:t xml:space="preserve">n understanding of </w:t>
      </w:r>
      <w:r w:rsidR="00260E75" w:rsidRPr="003B3924">
        <w:rPr>
          <w:rFonts w:ascii="Arial Narrow" w:hAnsi="Arial Narrow"/>
          <w:sz w:val="24"/>
          <w:szCs w:val="24"/>
        </w:rPr>
        <w:t xml:space="preserve">moving to a discrete event, and </w:t>
      </w:r>
      <w:r w:rsidR="002B10B9">
        <w:rPr>
          <w:rFonts w:ascii="Arial Narrow" w:hAnsi="Arial Narrow"/>
          <w:sz w:val="24"/>
          <w:szCs w:val="24"/>
        </w:rPr>
        <w:t>‘</w:t>
      </w:r>
      <w:r w:rsidR="005432DE" w:rsidRPr="003B3924">
        <w:rPr>
          <w:rFonts w:ascii="Arial Narrow" w:hAnsi="Arial Narrow"/>
          <w:sz w:val="24"/>
          <w:szCs w:val="24"/>
        </w:rPr>
        <w:t>home</w:t>
      </w:r>
      <w:r w:rsidR="00CB3A8C">
        <w:rPr>
          <w:rFonts w:ascii="Arial Narrow" w:hAnsi="Arial Narrow"/>
          <w:sz w:val="24"/>
          <w:szCs w:val="24"/>
        </w:rPr>
        <w:t>’</w:t>
      </w:r>
      <w:r w:rsidR="005432DE" w:rsidRPr="003B3924">
        <w:rPr>
          <w:rFonts w:ascii="Arial Narrow" w:hAnsi="Arial Narrow"/>
          <w:sz w:val="24"/>
          <w:szCs w:val="24"/>
        </w:rPr>
        <w:t xml:space="preserve"> to a fixed</w:t>
      </w:r>
      <w:r w:rsidR="00C5248D" w:rsidRPr="003B3924">
        <w:rPr>
          <w:rFonts w:ascii="Arial Narrow" w:hAnsi="Arial Narrow"/>
          <w:sz w:val="24"/>
          <w:szCs w:val="24"/>
        </w:rPr>
        <w:t xml:space="preserve"> residential</w:t>
      </w:r>
      <w:r w:rsidR="005432DE" w:rsidRPr="003B3924">
        <w:rPr>
          <w:rFonts w:ascii="Arial Narrow" w:hAnsi="Arial Narrow"/>
          <w:sz w:val="24"/>
          <w:szCs w:val="24"/>
        </w:rPr>
        <w:t xml:space="preserve"> location</w:t>
      </w:r>
      <w:r w:rsidR="0039142D" w:rsidRPr="003B3924">
        <w:rPr>
          <w:rFonts w:ascii="Arial Narrow" w:hAnsi="Arial Narrow"/>
          <w:sz w:val="24"/>
          <w:szCs w:val="24"/>
        </w:rPr>
        <w:t xml:space="preserve">.  </w:t>
      </w:r>
      <w:r w:rsidR="005432DE" w:rsidRPr="003B3924">
        <w:rPr>
          <w:rFonts w:ascii="Arial Narrow" w:hAnsi="Arial Narrow"/>
          <w:sz w:val="24"/>
          <w:szCs w:val="24"/>
        </w:rPr>
        <w:t xml:space="preserve">Work within the new mobilities paradigm seeks to overcome this </w:t>
      </w:r>
      <w:r w:rsidR="00C5248D" w:rsidRPr="003B3924">
        <w:rPr>
          <w:rFonts w:ascii="Arial Narrow" w:hAnsi="Arial Narrow"/>
          <w:sz w:val="24"/>
          <w:szCs w:val="24"/>
        </w:rPr>
        <w:t xml:space="preserve">lack of nuance </w:t>
      </w:r>
      <w:r w:rsidR="005432DE" w:rsidRPr="003B3924">
        <w:rPr>
          <w:rFonts w:ascii="Arial Narrow" w:hAnsi="Arial Narrow"/>
          <w:sz w:val="24"/>
          <w:szCs w:val="24"/>
        </w:rPr>
        <w:t xml:space="preserve">by reconciling ideas about the </w:t>
      </w:r>
      <w:proofErr w:type="spellStart"/>
      <w:r w:rsidR="005432DE" w:rsidRPr="003B3924">
        <w:rPr>
          <w:rFonts w:ascii="Arial Narrow" w:hAnsi="Arial Narrow"/>
          <w:sz w:val="24"/>
          <w:szCs w:val="24"/>
        </w:rPr>
        <w:t>lifecourse</w:t>
      </w:r>
      <w:proofErr w:type="spellEnd"/>
      <w:r w:rsidR="005432DE" w:rsidRPr="003B3924">
        <w:rPr>
          <w:rFonts w:ascii="Arial Narrow" w:hAnsi="Arial Narrow"/>
          <w:sz w:val="24"/>
          <w:szCs w:val="24"/>
        </w:rPr>
        <w:t xml:space="preserve"> and broader societal factors, with narrative and biographical methods that explore agency and the linked lives, time, place and culture</w:t>
      </w:r>
      <w:r w:rsidR="00C5248D" w:rsidRPr="003B3924">
        <w:rPr>
          <w:rFonts w:ascii="Arial Narrow" w:hAnsi="Arial Narrow"/>
          <w:sz w:val="24"/>
          <w:szCs w:val="24"/>
        </w:rPr>
        <w:t xml:space="preserve"> that movement is enacted within</w:t>
      </w:r>
      <w:r w:rsidR="004A4CD7" w:rsidRPr="003B3924">
        <w:rPr>
          <w:rFonts w:ascii="Arial Narrow" w:hAnsi="Arial Narrow"/>
          <w:sz w:val="24"/>
          <w:szCs w:val="24"/>
        </w:rPr>
        <w:t xml:space="preserve"> (e.g. Holdsworth, 2013)</w:t>
      </w:r>
      <w:r w:rsidR="00711348" w:rsidRPr="003B3924">
        <w:rPr>
          <w:rFonts w:ascii="Arial Narrow" w:hAnsi="Arial Narrow"/>
          <w:sz w:val="24"/>
          <w:szCs w:val="24"/>
        </w:rPr>
        <w:t xml:space="preserve">.  </w:t>
      </w:r>
      <w:r w:rsidR="0039142D" w:rsidRPr="003B3924">
        <w:rPr>
          <w:rFonts w:ascii="Arial Narrow" w:hAnsi="Arial Narrow"/>
          <w:sz w:val="24"/>
          <w:szCs w:val="24"/>
        </w:rPr>
        <w:t xml:space="preserve">Indeed, home itself has been conceived of as multidimensional, </w:t>
      </w:r>
      <w:r w:rsidR="0039142D" w:rsidRPr="003B3924">
        <w:rPr>
          <w:rFonts w:ascii="Arial Narrow" w:hAnsi="Arial Narrow"/>
          <w:sz w:val="24"/>
          <w:szCs w:val="24"/>
        </w:rPr>
        <w:lastRenderedPageBreak/>
        <w:t>encompassing places, people and feeling, and ongoing encounters between those who s</w:t>
      </w:r>
      <w:r w:rsidR="001B243D" w:rsidRPr="003B3924">
        <w:rPr>
          <w:rFonts w:ascii="Arial Narrow" w:hAnsi="Arial Narrow"/>
          <w:sz w:val="24"/>
          <w:szCs w:val="24"/>
        </w:rPr>
        <w:t>t</w:t>
      </w:r>
      <w:r w:rsidR="0039142D" w:rsidRPr="003B3924">
        <w:rPr>
          <w:rFonts w:ascii="Arial Narrow" w:hAnsi="Arial Narrow"/>
          <w:sz w:val="24"/>
          <w:szCs w:val="24"/>
        </w:rPr>
        <w:t>ay, arrive and leave (Ahmed</w:t>
      </w:r>
      <w:r w:rsidR="00DC6C8D" w:rsidRPr="003B3924">
        <w:rPr>
          <w:rFonts w:ascii="Arial Narrow" w:hAnsi="Arial Narrow"/>
          <w:sz w:val="24"/>
          <w:szCs w:val="24"/>
        </w:rPr>
        <w:t>,</w:t>
      </w:r>
      <w:r w:rsidR="0039142D" w:rsidRPr="003B3924">
        <w:rPr>
          <w:rFonts w:ascii="Arial Narrow" w:hAnsi="Arial Narrow"/>
          <w:sz w:val="24"/>
          <w:szCs w:val="24"/>
        </w:rPr>
        <w:t xml:space="preserve"> 1999; Mallett, 2004).</w:t>
      </w:r>
      <w:r w:rsidR="00DB240B">
        <w:rPr>
          <w:rFonts w:ascii="Arial Narrow" w:hAnsi="Arial Narrow"/>
          <w:sz w:val="24"/>
          <w:szCs w:val="24"/>
        </w:rPr>
        <w:t xml:space="preserve">  </w:t>
      </w:r>
    </w:p>
    <w:p w14:paraId="0F3E2C5E" w14:textId="77777777" w:rsidR="0039142D" w:rsidRPr="003B3924" w:rsidRDefault="0039142D" w:rsidP="00072E7A">
      <w:pPr>
        <w:pStyle w:val="PlainText"/>
        <w:rPr>
          <w:rFonts w:ascii="Arial Narrow" w:hAnsi="Arial Narrow"/>
          <w:sz w:val="24"/>
          <w:szCs w:val="24"/>
        </w:rPr>
      </w:pPr>
    </w:p>
    <w:p w14:paraId="1BF54F80" w14:textId="71AA77FB" w:rsidR="0064495F" w:rsidRPr="00C105EB" w:rsidRDefault="00711348" w:rsidP="00072E7A">
      <w:pPr>
        <w:pStyle w:val="PlainText"/>
        <w:rPr>
          <w:rFonts w:ascii="Arial Narrow" w:hAnsi="Arial Narrow"/>
          <w:sz w:val="24"/>
          <w:szCs w:val="24"/>
        </w:rPr>
      </w:pPr>
      <w:r w:rsidRPr="003B3924">
        <w:rPr>
          <w:rFonts w:ascii="Arial Narrow" w:hAnsi="Arial Narrow"/>
          <w:sz w:val="24"/>
          <w:szCs w:val="24"/>
        </w:rPr>
        <w:t xml:space="preserve">The notion of </w:t>
      </w:r>
      <w:r w:rsidR="00665123" w:rsidRPr="003B3924">
        <w:rPr>
          <w:rFonts w:ascii="Arial Narrow" w:hAnsi="Arial Narrow"/>
          <w:sz w:val="24"/>
          <w:szCs w:val="24"/>
        </w:rPr>
        <w:t>‘</w:t>
      </w:r>
      <w:r w:rsidRPr="003B3924">
        <w:rPr>
          <w:rFonts w:ascii="Arial Narrow" w:hAnsi="Arial Narrow"/>
          <w:sz w:val="24"/>
          <w:szCs w:val="24"/>
        </w:rPr>
        <w:t>linked lives</w:t>
      </w:r>
      <w:r w:rsidR="00665123" w:rsidRPr="003B3924">
        <w:rPr>
          <w:rFonts w:ascii="Arial Narrow" w:hAnsi="Arial Narrow"/>
          <w:sz w:val="24"/>
          <w:szCs w:val="24"/>
        </w:rPr>
        <w:t>’ a</w:t>
      </w:r>
      <w:r w:rsidR="00533974" w:rsidRPr="003B3924">
        <w:rPr>
          <w:rFonts w:ascii="Arial Narrow" w:hAnsi="Arial Narrow"/>
          <w:sz w:val="24"/>
          <w:szCs w:val="24"/>
        </w:rPr>
        <w:t xml:space="preserve">longside </w:t>
      </w:r>
      <w:r w:rsidR="00665123" w:rsidRPr="003B3924">
        <w:rPr>
          <w:rFonts w:ascii="Arial Narrow" w:hAnsi="Arial Narrow"/>
          <w:sz w:val="24"/>
          <w:szCs w:val="24"/>
        </w:rPr>
        <w:t>structural connections</w:t>
      </w:r>
      <w:r w:rsidRPr="003B3924">
        <w:rPr>
          <w:rFonts w:ascii="Arial Narrow" w:hAnsi="Arial Narrow"/>
          <w:sz w:val="24"/>
          <w:szCs w:val="24"/>
        </w:rPr>
        <w:t xml:space="preserve"> is </w:t>
      </w:r>
      <w:r w:rsidR="00237FAB" w:rsidRPr="003B3924">
        <w:rPr>
          <w:rFonts w:ascii="Arial Narrow" w:hAnsi="Arial Narrow"/>
          <w:sz w:val="24"/>
          <w:szCs w:val="24"/>
        </w:rPr>
        <w:t xml:space="preserve">drawn on </w:t>
      </w:r>
      <w:r w:rsidR="00720E44" w:rsidRPr="003B3924">
        <w:rPr>
          <w:rFonts w:ascii="Arial Narrow" w:hAnsi="Arial Narrow"/>
          <w:sz w:val="24"/>
          <w:szCs w:val="24"/>
        </w:rPr>
        <w:t>by Rory Coulter and colleagues (2016) as part of their micro and meso/macro conceptual approach</w:t>
      </w:r>
      <w:r w:rsidR="002268F9">
        <w:rPr>
          <w:rFonts w:ascii="Arial Narrow" w:hAnsi="Arial Narrow"/>
          <w:sz w:val="24"/>
          <w:szCs w:val="24"/>
        </w:rPr>
        <w:t>, which t</w:t>
      </w:r>
      <w:r w:rsidR="00493A21" w:rsidRPr="003B3924">
        <w:rPr>
          <w:rFonts w:ascii="Arial Narrow" w:hAnsi="Arial Narrow"/>
          <w:sz w:val="24"/>
          <w:szCs w:val="24"/>
        </w:rPr>
        <w:t xml:space="preserve">hey </w:t>
      </w:r>
      <w:r w:rsidR="00C35019" w:rsidRPr="003B3924">
        <w:rPr>
          <w:rFonts w:ascii="Arial Narrow" w:hAnsi="Arial Narrow"/>
          <w:sz w:val="24"/>
          <w:szCs w:val="24"/>
        </w:rPr>
        <w:t>us</w:t>
      </w:r>
      <w:r w:rsidR="00493A21" w:rsidRPr="003B3924">
        <w:rPr>
          <w:rFonts w:ascii="Arial Narrow" w:hAnsi="Arial Narrow"/>
          <w:sz w:val="24"/>
          <w:szCs w:val="24"/>
        </w:rPr>
        <w:t xml:space="preserve">ed </w:t>
      </w:r>
      <w:r w:rsidR="00720E44" w:rsidRPr="003B3924">
        <w:rPr>
          <w:rFonts w:ascii="Arial Narrow" w:hAnsi="Arial Narrow"/>
          <w:sz w:val="24"/>
          <w:szCs w:val="24"/>
        </w:rPr>
        <w:t xml:space="preserve">to </w:t>
      </w:r>
      <w:r w:rsidR="00665123" w:rsidRPr="003B3924">
        <w:rPr>
          <w:rFonts w:ascii="Arial Narrow" w:hAnsi="Arial Narrow"/>
          <w:sz w:val="24"/>
          <w:szCs w:val="24"/>
        </w:rPr>
        <w:t>address</w:t>
      </w:r>
      <w:r w:rsidR="00720E44" w:rsidRPr="003B3924">
        <w:rPr>
          <w:rFonts w:ascii="Arial Narrow" w:hAnsi="Arial Narrow"/>
          <w:sz w:val="24"/>
          <w:szCs w:val="24"/>
        </w:rPr>
        <w:t xml:space="preserve"> </w:t>
      </w:r>
      <w:r w:rsidR="00665123" w:rsidRPr="003B3924">
        <w:rPr>
          <w:rFonts w:ascii="Arial Narrow" w:hAnsi="Arial Narrow"/>
          <w:sz w:val="24"/>
          <w:szCs w:val="24"/>
        </w:rPr>
        <w:t xml:space="preserve">short </w:t>
      </w:r>
      <w:r w:rsidR="00493A21" w:rsidRPr="003B3924">
        <w:rPr>
          <w:rFonts w:ascii="Arial Narrow" w:hAnsi="Arial Narrow"/>
          <w:sz w:val="24"/>
          <w:szCs w:val="24"/>
        </w:rPr>
        <w:t>and</w:t>
      </w:r>
      <w:r w:rsidR="00665123" w:rsidRPr="003B3924">
        <w:rPr>
          <w:rFonts w:ascii="Arial Narrow" w:hAnsi="Arial Narrow"/>
          <w:sz w:val="24"/>
          <w:szCs w:val="24"/>
        </w:rPr>
        <w:t xml:space="preserve"> long distance </w:t>
      </w:r>
      <w:r w:rsidR="00720E44" w:rsidRPr="003B3924">
        <w:rPr>
          <w:rFonts w:ascii="Arial Narrow" w:hAnsi="Arial Narrow"/>
          <w:sz w:val="24"/>
          <w:szCs w:val="24"/>
        </w:rPr>
        <w:t xml:space="preserve">residential mobility as </w:t>
      </w:r>
      <w:r w:rsidR="00665123" w:rsidRPr="003B3924">
        <w:rPr>
          <w:rFonts w:ascii="Arial Narrow" w:hAnsi="Arial Narrow"/>
          <w:sz w:val="24"/>
          <w:szCs w:val="24"/>
        </w:rPr>
        <w:t xml:space="preserve">active </w:t>
      </w:r>
      <w:r w:rsidR="0039142D" w:rsidRPr="003B3924">
        <w:rPr>
          <w:rFonts w:ascii="Arial Narrow" w:hAnsi="Arial Narrow"/>
          <w:sz w:val="24"/>
          <w:szCs w:val="24"/>
        </w:rPr>
        <w:t xml:space="preserve">relational </w:t>
      </w:r>
      <w:r w:rsidR="00720E44" w:rsidRPr="003B3924">
        <w:rPr>
          <w:rFonts w:ascii="Arial Narrow" w:hAnsi="Arial Narrow"/>
          <w:sz w:val="24"/>
          <w:szCs w:val="24"/>
        </w:rPr>
        <w:t>practice</w:t>
      </w:r>
      <w:r w:rsidR="00665123" w:rsidRPr="003B3924">
        <w:rPr>
          <w:rFonts w:ascii="Arial Narrow" w:hAnsi="Arial Narrow"/>
          <w:sz w:val="24"/>
          <w:szCs w:val="24"/>
        </w:rPr>
        <w:t>s</w:t>
      </w:r>
      <w:r w:rsidR="00720E44" w:rsidRPr="003B3924">
        <w:rPr>
          <w:rFonts w:ascii="Arial Narrow" w:hAnsi="Arial Narrow"/>
          <w:sz w:val="24"/>
          <w:szCs w:val="24"/>
        </w:rPr>
        <w:t xml:space="preserve"> that unfold over time.  </w:t>
      </w:r>
      <w:r w:rsidR="00665123" w:rsidRPr="003B3924">
        <w:rPr>
          <w:rFonts w:ascii="Arial Narrow" w:hAnsi="Arial Narrow"/>
          <w:sz w:val="24"/>
          <w:szCs w:val="24"/>
        </w:rPr>
        <w:t>The micro-level concept of linked lives captures the way that</w:t>
      </w:r>
      <w:r w:rsidR="00450008" w:rsidRPr="003B3924">
        <w:rPr>
          <w:rFonts w:ascii="Arial Narrow" w:hAnsi="Arial Narrow"/>
          <w:sz w:val="24"/>
          <w:szCs w:val="24"/>
        </w:rPr>
        <w:t xml:space="preserve"> a person’s life is </w:t>
      </w:r>
      <w:r w:rsidR="00C35019" w:rsidRPr="003B3924">
        <w:rPr>
          <w:rFonts w:ascii="Arial Narrow" w:hAnsi="Arial Narrow"/>
          <w:sz w:val="24"/>
          <w:szCs w:val="24"/>
        </w:rPr>
        <w:t>interdependen</w:t>
      </w:r>
      <w:r w:rsidR="00450008" w:rsidRPr="003B3924">
        <w:rPr>
          <w:rFonts w:ascii="Arial Narrow" w:hAnsi="Arial Narrow"/>
          <w:sz w:val="24"/>
          <w:szCs w:val="24"/>
        </w:rPr>
        <w:t xml:space="preserve">tly connected to the </w:t>
      </w:r>
      <w:proofErr w:type="spellStart"/>
      <w:r w:rsidR="00450008" w:rsidRPr="003B3924">
        <w:rPr>
          <w:rFonts w:ascii="Arial Narrow" w:hAnsi="Arial Narrow"/>
          <w:sz w:val="24"/>
          <w:szCs w:val="24"/>
        </w:rPr>
        <w:t>lifecourse</w:t>
      </w:r>
      <w:proofErr w:type="spellEnd"/>
      <w:r w:rsidR="00450008" w:rsidRPr="003B3924">
        <w:rPr>
          <w:rFonts w:ascii="Arial Narrow" w:hAnsi="Arial Narrow"/>
          <w:sz w:val="24"/>
          <w:szCs w:val="24"/>
        </w:rPr>
        <w:t xml:space="preserve"> of</w:t>
      </w:r>
      <w:r w:rsidR="00C35019" w:rsidRPr="003B3924">
        <w:rPr>
          <w:rFonts w:ascii="Arial Narrow" w:hAnsi="Arial Narrow"/>
          <w:sz w:val="24"/>
          <w:szCs w:val="24"/>
        </w:rPr>
        <w:t xml:space="preserve"> others</w:t>
      </w:r>
      <w:r w:rsidR="00450008" w:rsidRPr="003B3924">
        <w:rPr>
          <w:rFonts w:ascii="Arial Narrow" w:hAnsi="Arial Narrow"/>
          <w:sz w:val="24"/>
          <w:szCs w:val="24"/>
        </w:rPr>
        <w:t>.  P</w:t>
      </w:r>
      <w:r w:rsidR="00665123" w:rsidRPr="003B3924">
        <w:rPr>
          <w:rFonts w:ascii="Arial Narrow" w:hAnsi="Arial Narrow"/>
          <w:sz w:val="24"/>
          <w:szCs w:val="24"/>
        </w:rPr>
        <w:t xml:space="preserve">eople are tied into kinship and social networks, which </w:t>
      </w:r>
      <w:r w:rsidR="00450008" w:rsidRPr="003B3924">
        <w:rPr>
          <w:rFonts w:ascii="Arial Narrow" w:hAnsi="Arial Narrow"/>
          <w:sz w:val="24"/>
          <w:szCs w:val="24"/>
        </w:rPr>
        <w:t xml:space="preserve">in turn </w:t>
      </w:r>
      <w:r w:rsidR="00544BAD" w:rsidRPr="003B3924">
        <w:rPr>
          <w:rFonts w:ascii="Arial Narrow" w:hAnsi="Arial Narrow"/>
          <w:sz w:val="24"/>
          <w:szCs w:val="24"/>
        </w:rPr>
        <w:t xml:space="preserve">connect and articulate with </w:t>
      </w:r>
      <w:r w:rsidR="00665123" w:rsidRPr="003B3924">
        <w:rPr>
          <w:rFonts w:ascii="Arial Narrow" w:hAnsi="Arial Narrow"/>
          <w:sz w:val="24"/>
          <w:szCs w:val="24"/>
        </w:rPr>
        <w:t xml:space="preserve">neighbourhood, welfare systems, housing, markets, class inequalities, </w:t>
      </w:r>
      <w:r w:rsidR="001B243D" w:rsidRPr="003B3924">
        <w:rPr>
          <w:rFonts w:ascii="Arial Narrow" w:hAnsi="Arial Narrow"/>
          <w:sz w:val="24"/>
          <w:szCs w:val="24"/>
        </w:rPr>
        <w:t>and so on</w:t>
      </w:r>
      <w:r w:rsidR="00665123" w:rsidRPr="003B3924">
        <w:rPr>
          <w:rFonts w:ascii="Arial Narrow" w:hAnsi="Arial Narrow"/>
          <w:sz w:val="24"/>
          <w:szCs w:val="24"/>
        </w:rPr>
        <w:t xml:space="preserve">.  </w:t>
      </w:r>
      <w:r w:rsidR="00450008" w:rsidRPr="003B3924">
        <w:rPr>
          <w:rFonts w:ascii="Arial Narrow" w:hAnsi="Arial Narrow"/>
          <w:sz w:val="24"/>
          <w:szCs w:val="24"/>
        </w:rPr>
        <w:t>Coulter et al.</w:t>
      </w:r>
      <w:r w:rsidR="00665123" w:rsidRPr="003B3924">
        <w:rPr>
          <w:rFonts w:ascii="Arial Narrow" w:hAnsi="Arial Narrow"/>
          <w:sz w:val="24"/>
          <w:szCs w:val="24"/>
        </w:rPr>
        <w:t xml:space="preserve"> view </w:t>
      </w:r>
      <w:r w:rsidR="00260E75" w:rsidRPr="003B3924">
        <w:rPr>
          <w:rFonts w:ascii="Arial Narrow" w:hAnsi="Arial Narrow"/>
          <w:sz w:val="24"/>
          <w:szCs w:val="24"/>
        </w:rPr>
        <w:t xml:space="preserve">moving home </w:t>
      </w:r>
      <w:r w:rsidR="00665123" w:rsidRPr="003B3924">
        <w:rPr>
          <w:rFonts w:ascii="Arial Narrow" w:hAnsi="Arial Narrow"/>
          <w:sz w:val="24"/>
          <w:szCs w:val="24"/>
        </w:rPr>
        <w:t>as a practice through which people use their linked lives to adapt to events and navigate structural conditions, with residential mobility in turn affecting linked lives</w:t>
      </w:r>
      <w:r w:rsidR="004A4CD7" w:rsidRPr="003B3924">
        <w:rPr>
          <w:rFonts w:ascii="Arial Narrow" w:hAnsi="Arial Narrow"/>
          <w:sz w:val="24"/>
          <w:szCs w:val="24"/>
        </w:rPr>
        <w:t xml:space="preserve">.  For example, </w:t>
      </w:r>
      <w:r w:rsidR="00A258C5" w:rsidRPr="003B3924">
        <w:rPr>
          <w:rFonts w:ascii="Arial Narrow" w:hAnsi="Arial Narrow"/>
          <w:sz w:val="24"/>
          <w:szCs w:val="24"/>
        </w:rPr>
        <w:t xml:space="preserve">in her discussion of families </w:t>
      </w:r>
      <w:proofErr w:type="gramStart"/>
      <w:r w:rsidR="00A258C5" w:rsidRPr="003B3924">
        <w:rPr>
          <w:rFonts w:ascii="Arial Narrow" w:hAnsi="Arial Narrow"/>
          <w:sz w:val="24"/>
          <w:szCs w:val="24"/>
        </w:rPr>
        <w:t>moving house</w:t>
      </w:r>
      <w:proofErr w:type="gramEnd"/>
      <w:r w:rsidR="00A258C5" w:rsidRPr="003B3924">
        <w:rPr>
          <w:rFonts w:ascii="Arial Narrow" w:hAnsi="Arial Narrow"/>
          <w:sz w:val="24"/>
          <w:szCs w:val="24"/>
        </w:rPr>
        <w:t xml:space="preserve">, </w:t>
      </w:r>
      <w:r w:rsidR="004A4CD7" w:rsidRPr="003B3924">
        <w:rPr>
          <w:rFonts w:ascii="Arial Narrow" w:hAnsi="Arial Narrow"/>
          <w:sz w:val="24"/>
          <w:szCs w:val="24"/>
        </w:rPr>
        <w:t xml:space="preserve">Clare Holdsworth (2013) identified several tensions, including between parents moving </w:t>
      </w:r>
      <w:r w:rsidR="00CB3A8C">
        <w:rPr>
          <w:rFonts w:ascii="Arial Narrow" w:hAnsi="Arial Narrow"/>
          <w:sz w:val="24"/>
          <w:szCs w:val="24"/>
        </w:rPr>
        <w:t xml:space="preserve">to improve </w:t>
      </w:r>
      <w:r w:rsidR="004A4CD7" w:rsidRPr="003B3924">
        <w:rPr>
          <w:rFonts w:ascii="Arial Narrow" w:hAnsi="Arial Narrow"/>
          <w:sz w:val="24"/>
          <w:szCs w:val="24"/>
        </w:rPr>
        <w:t>their children’s life chances and experiences</w:t>
      </w:r>
      <w:r w:rsidR="00D12282" w:rsidRPr="003B3924">
        <w:rPr>
          <w:rFonts w:ascii="Arial Narrow" w:hAnsi="Arial Narrow"/>
          <w:sz w:val="24"/>
          <w:szCs w:val="24"/>
        </w:rPr>
        <w:t>,</w:t>
      </w:r>
      <w:r w:rsidR="004A4CD7" w:rsidRPr="003B3924">
        <w:rPr>
          <w:rFonts w:ascii="Arial Narrow" w:hAnsi="Arial Narrow"/>
          <w:sz w:val="24"/>
          <w:szCs w:val="24"/>
        </w:rPr>
        <w:t xml:space="preserve"> and </w:t>
      </w:r>
      <w:r w:rsidR="00CB3A8C">
        <w:rPr>
          <w:rFonts w:ascii="Arial Narrow" w:hAnsi="Arial Narrow"/>
          <w:sz w:val="24"/>
          <w:szCs w:val="24"/>
        </w:rPr>
        <w:t xml:space="preserve">home </w:t>
      </w:r>
      <w:r w:rsidR="004A4CD7" w:rsidRPr="003B3924">
        <w:rPr>
          <w:rFonts w:ascii="Arial Narrow" w:hAnsi="Arial Narrow"/>
          <w:sz w:val="24"/>
          <w:szCs w:val="24"/>
        </w:rPr>
        <w:t xml:space="preserve">moves </w:t>
      </w:r>
      <w:r w:rsidR="00CB3A8C">
        <w:rPr>
          <w:rFonts w:ascii="Arial Narrow" w:hAnsi="Arial Narrow"/>
          <w:sz w:val="24"/>
          <w:szCs w:val="24"/>
        </w:rPr>
        <w:t xml:space="preserve">being </w:t>
      </w:r>
      <w:r w:rsidR="004A4CD7" w:rsidRPr="003B3924">
        <w:rPr>
          <w:rFonts w:ascii="Arial Narrow" w:hAnsi="Arial Narrow"/>
          <w:sz w:val="24"/>
          <w:szCs w:val="24"/>
        </w:rPr>
        <w:t xml:space="preserve">regarded as damaging for children’s social networks and </w:t>
      </w:r>
      <w:r w:rsidR="004A4CD7" w:rsidRPr="00C105EB">
        <w:rPr>
          <w:rFonts w:ascii="Arial Narrow" w:hAnsi="Arial Narrow"/>
          <w:sz w:val="24"/>
          <w:szCs w:val="24"/>
        </w:rPr>
        <w:t>education.</w:t>
      </w:r>
      <w:r w:rsidR="00262B05" w:rsidRPr="00C105EB">
        <w:rPr>
          <w:rFonts w:ascii="Arial Narrow" w:hAnsi="Arial Narrow"/>
          <w:sz w:val="24"/>
          <w:szCs w:val="24"/>
        </w:rPr>
        <w:t xml:space="preserve">  Given the connection of micro linked lives and structural systems and inequalities</w:t>
      </w:r>
      <w:proofErr w:type="gramStart"/>
      <w:r w:rsidR="00262B05" w:rsidRPr="00C105EB">
        <w:rPr>
          <w:rFonts w:ascii="Arial Narrow" w:hAnsi="Arial Narrow"/>
          <w:sz w:val="24"/>
          <w:szCs w:val="24"/>
        </w:rPr>
        <w:t>, it is clear that</w:t>
      </w:r>
      <w:r w:rsidR="002417C1" w:rsidRPr="00C105EB">
        <w:rPr>
          <w:rFonts w:ascii="Arial Narrow" w:hAnsi="Arial Narrow"/>
          <w:sz w:val="24"/>
          <w:szCs w:val="24"/>
        </w:rPr>
        <w:t>,</w:t>
      </w:r>
      <w:r w:rsidR="00262B05" w:rsidRPr="00C105EB">
        <w:rPr>
          <w:rFonts w:ascii="Arial Narrow" w:hAnsi="Arial Narrow"/>
          <w:sz w:val="24"/>
          <w:szCs w:val="24"/>
        </w:rPr>
        <w:t xml:space="preserve"> </w:t>
      </w:r>
      <w:r w:rsidR="002417C1" w:rsidRPr="00C105EB">
        <w:rPr>
          <w:rFonts w:ascii="Arial Narrow" w:hAnsi="Arial Narrow"/>
          <w:sz w:val="24"/>
          <w:szCs w:val="24"/>
        </w:rPr>
        <w:t>as</w:t>
      </w:r>
      <w:proofErr w:type="gramEnd"/>
      <w:r w:rsidR="002417C1" w:rsidRPr="00C105EB">
        <w:rPr>
          <w:rFonts w:ascii="Arial Narrow" w:hAnsi="Arial Narrow"/>
          <w:sz w:val="24"/>
          <w:szCs w:val="24"/>
        </w:rPr>
        <w:t xml:space="preserve"> Tim Morris (2017) concludes about social class and mobility, </w:t>
      </w:r>
      <w:r w:rsidR="00262B05" w:rsidRPr="00C105EB">
        <w:rPr>
          <w:rFonts w:ascii="Arial Narrow" w:hAnsi="Arial Narrow"/>
          <w:sz w:val="24"/>
          <w:szCs w:val="24"/>
        </w:rPr>
        <w:t xml:space="preserve">some people have more resources </w:t>
      </w:r>
      <w:bookmarkStart w:id="2" w:name="_Hlk71454872"/>
      <w:r w:rsidR="00262B05" w:rsidRPr="00C105EB">
        <w:rPr>
          <w:rFonts w:ascii="Arial Narrow" w:hAnsi="Arial Narrow"/>
          <w:sz w:val="24"/>
          <w:szCs w:val="24"/>
        </w:rPr>
        <w:t xml:space="preserve">to negotiate life events by home moves </w:t>
      </w:r>
      <w:bookmarkEnd w:id="2"/>
      <w:r w:rsidR="00262B05" w:rsidRPr="00C105EB">
        <w:rPr>
          <w:rFonts w:ascii="Arial Narrow" w:hAnsi="Arial Narrow"/>
          <w:sz w:val="24"/>
          <w:szCs w:val="24"/>
        </w:rPr>
        <w:t>than others</w:t>
      </w:r>
      <w:r w:rsidR="002417C1" w:rsidRPr="00C105EB">
        <w:rPr>
          <w:rFonts w:ascii="Arial Narrow" w:hAnsi="Arial Narrow"/>
          <w:sz w:val="24"/>
          <w:szCs w:val="24"/>
        </w:rPr>
        <w:t>.</w:t>
      </w:r>
    </w:p>
    <w:p w14:paraId="61E918F9" w14:textId="6120440D" w:rsidR="00F36147" w:rsidRDefault="00F36147" w:rsidP="00072E7A">
      <w:pPr>
        <w:pStyle w:val="PlainText"/>
        <w:rPr>
          <w:rFonts w:ascii="Arial Narrow" w:hAnsi="Arial Narrow"/>
          <w:sz w:val="24"/>
          <w:szCs w:val="24"/>
        </w:rPr>
      </w:pPr>
    </w:p>
    <w:p w14:paraId="137CE211" w14:textId="5BD42153" w:rsidR="005432DE" w:rsidRPr="003B3924" w:rsidRDefault="00F36147" w:rsidP="00072E7A">
      <w:pPr>
        <w:pStyle w:val="PlainText"/>
        <w:rPr>
          <w:rFonts w:ascii="Arial Narrow" w:hAnsi="Arial Narrow"/>
          <w:sz w:val="24"/>
          <w:szCs w:val="24"/>
        </w:rPr>
      </w:pPr>
      <w:r>
        <w:rPr>
          <w:rFonts w:ascii="Arial Narrow" w:hAnsi="Arial Narrow"/>
          <w:sz w:val="24"/>
          <w:szCs w:val="24"/>
        </w:rPr>
        <w:t xml:space="preserve">By </w:t>
      </w:r>
      <w:r w:rsidR="00744D8D" w:rsidRPr="003B3924">
        <w:rPr>
          <w:rFonts w:ascii="Arial Narrow" w:hAnsi="Arial Narrow"/>
          <w:sz w:val="24"/>
          <w:szCs w:val="24"/>
        </w:rPr>
        <w:t xml:space="preserve">highlighting </w:t>
      </w:r>
      <w:r w:rsidR="00260E75" w:rsidRPr="003B3924">
        <w:rPr>
          <w:rFonts w:ascii="Arial Narrow" w:hAnsi="Arial Narrow"/>
          <w:sz w:val="24"/>
          <w:szCs w:val="24"/>
        </w:rPr>
        <w:t xml:space="preserve">moving residence </w:t>
      </w:r>
      <w:r w:rsidR="00744D8D" w:rsidRPr="003B3924">
        <w:rPr>
          <w:rFonts w:ascii="Arial Narrow" w:hAnsi="Arial Narrow"/>
          <w:sz w:val="24"/>
          <w:szCs w:val="24"/>
        </w:rPr>
        <w:t xml:space="preserve">as fluid </w:t>
      </w:r>
      <w:r w:rsidR="00D12282" w:rsidRPr="003B3924">
        <w:rPr>
          <w:rFonts w:ascii="Arial Narrow" w:hAnsi="Arial Narrow"/>
          <w:sz w:val="24"/>
          <w:szCs w:val="24"/>
        </w:rPr>
        <w:t xml:space="preserve">and temporal </w:t>
      </w:r>
      <w:r w:rsidR="00744D8D" w:rsidRPr="003B3924">
        <w:rPr>
          <w:rFonts w:ascii="Arial Narrow" w:hAnsi="Arial Narrow"/>
          <w:sz w:val="24"/>
          <w:szCs w:val="24"/>
        </w:rPr>
        <w:t>processes</w:t>
      </w:r>
      <w:r>
        <w:rPr>
          <w:rFonts w:ascii="Arial Narrow" w:hAnsi="Arial Narrow"/>
          <w:sz w:val="24"/>
          <w:szCs w:val="24"/>
        </w:rPr>
        <w:t>, new mobilities</w:t>
      </w:r>
      <w:r w:rsidR="00744D8D" w:rsidRPr="003B3924">
        <w:rPr>
          <w:rFonts w:ascii="Arial Narrow" w:hAnsi="Arial Narrow"/>
          <w:sz w:val="24"/>
          <w:szCs w:val="24"/>
        </w:rPr>
        <w:t xml:space="preserve"> allows a view of moving home as a repeated or rhythmic set of occurrences rather than being a necessarily discrete event</w:t>
      </w:r>
      <w:r w:rsidR="00905455" w:rsidRPr="003B3924">
        <w:rPr>
          <w:rFonts w:ascii="Arial Narrow" w:hAnsi="Arial Narrow"/>
          <w:sz w:val="24"/>
          <w:szCs w:val="24"/>
        </w:rPr>
        <w:t xml:space="preserve"> in time</w:t>
      </w:r>
      <w:r w:rsidR="005654EB" w:rsidRPr="003B3924">
        <w:rPr>
          <w:rFonts w:ascii="Arial Narrow" w:hAnsi="Arial Narrow"/>
          <w:sz w:val="24"/>
          <w:szCs w:val="24"/>
        </w:rPr>
        <w:t>.  Examples include</w:t>
      </w:r>
      <w:r w:rsidR="00744D8D" w:rsidRPr="003B3924">
        <w:rPr>
          <w:rFonts w:ascii="Arial Narrow" w:hAnsi="Arial Narrow"/>
          <w:sz w:val="24"/>
          <w:szCs w:val="24"/>
        </w:rPr>
        <w:t xml:space="preserve"> </w:t>
      </w:r>
      <w:r w:rsidR="00A81C9D" w:rsidRPr="003B3924">
        <w:rPr>
          <w:rFonts w:ascii="Arial Narrow" w:hAnsi="Arial Narrow"/>
          <w:sz w:val="24"/>
          <w:szCs w:val="24"/>
        </w:rPr>
        <w:t>‘boomerang’ young adults who have left and return home, perhaps repeatedly (Sage et al.</w:t>
      </w:r>
      <w:r w:rsidR="00AF3BED" w:rsidRPr="003B3924">
        <w:rPr>
          <w:rFonts w:ascii="Arial Narrow" w:hAnsi="Arial Narrow"/>
          <w:sz w:val="24"/>
          <w:szCs w:val="24"/>
        </w:rPr>
        <w:t>,</w:t>
      </w:r>
      <w:r w:rsidR="00A81C9D" w:rsidRPr="003B3924">
        <w:rPr>
          <w:rFonts w:ascii="Arial Narrow" w:hAnsi="Arial Narrow"/>
          <w:sz w:val="24"/>
          <w:szCs w:val="24"/>
        </w:rPr>
        <w:t xml:space="preserve"> 2013)</w:t>
      </w:r>
      <w:r w:rsidR="00AF3BED" w:rsidRPr="003B3924">
        <w:rPr>
          <w:rFonts w:ascii="Arial Narrow" w:hAnsi="Arial Narrow"/>
          <w:sz w:val="24"/>
          <w:szCs w:val="24"/>
        </w:rPr>
        <w:t>, people in Living Apart Together (LAT) relationships (</w:t>
      </w:r>
      <w:r w:rsidR="00C105EB">
        <w:rPr>
          <w:rFonts w:ascii="Arial Narrow" w:hAnsi="Arial Narrow"/>
          <w:sz w:val="24"/>
          <w:szCs w:val="24"/>
        </w:rPr>
        <w:t>Jamieson and Simpson</w:t>
      </w:r>
      <w:r w:rsidR="00AF3BED" w:rsidRPr="003B3924">
        <w:rPr>
          <w:rFonts w:ascii="Arial Narrow" w:hAnsi="Arial Narrow"/>
          <w:sz w:val="24"/>
          <w:szCs w:val="24"/>
        </w:rPr>
        <w:t>, 2013</w:t>
      </w:r>
      <w:r w:rsidR="007C6BD6" w:rsidRPr="003B3924">
        <w:rPr>
          <w:rFonts w:ascii="Arial Narrow" w:hAnsi="Arial Narrow"/>
          <w:sz w:val="24"/>
          <w:szCs w:val="24"/>
        </w:rPr>
        <w:t xml:space="preserve">; </w:t>
      </w:r>
      <w:proofErr w:type="spellStart"/>
      <w:r w:rsidR="007C6BD6" w:rsidRPr="003B3924">
        <w:rPr>
          <w:rFonts w:ascii="Arial Narrow" w:hAnsi="Arial Narrow"/>
          <w:sz w:val="24"/>
          <w:szCs w:val="24"/>
        </w:rPr>
        <w:t>Stoilova</w:t>
      </w:r>
      <w:proofErr w:type="spellEnd"/>
      <w:r w:rsidR="007C6BD6" w:rsidRPr="003B3924">
        <w:rPr>
          <w:rFonts w:ascii="Arial Narrow" w:hAnsi="Arial Narrow"/>
          <w:sz w:val="24"/>
          <w:szCs w:val="24"/>
        </w:rPr>
        <w:t xml:space="preserve"> et al., 2016)</w:t>
      </w:r>
      <w:r w:rsidR="00AF3BED" w:rsidRPr="003B3924">
        <w:rPr>
          <w:rFonts w:ascii="Arial Narrow" w:hAnsi="Arial Narrow"/>
          <w:sz w:val="24"/>
          <w:szCs w:val="24"/>
        </w:rPr>
        <w:t xml:space="preserve">), </w:t>
      </w:r>
      <w:r w:rsidR="00EB76BF" w:rsidRPr="003B3924">
        <w:rPr>
          <w:rFonts w:ascii="Arial Narrow" w:hAnsi="Arial Narrow"/>
          <w:sz w:val="24"/>
          <w:szCs w:val="24"/>
        </w:rPr>
        <w:t xml:space="preserve">as well as </w:t>
      </w:r>
      <w:r w:rsidR="00AF3BED" w:rsidRPr="003B3924">
        <w:rPr>
          <w:rFonts w:ascii="Arial Narrow" w:hAnsi="Arial Narrow"/>
          <w:sz w:val="24"/>
          <w:szCs w:val="24"/>
        </w:rPr>
        <w:t xml:space="preserve">shared </w:t>
      </w:r>
      <w:r w:rsidR="0034687B" w:rsidRPr="003B3924">
        <w:rPr>
          <w:rFonts w:ascii="Arial Narrow" w:hAnsi="Arial Narrow"/>
          <w:sz w:val="24"/>
          <w:szCs w:val="24"/>
        </w:rPr>
        <w:t xml:space="preserve">care </w:t>
      </w:r>
      <w:r w:rsidR="00AF3BED" w:rsidRPr="003B3924">
        <w:rPr>
          <w:rFonts w:ascii="Arial Narrow" w:hAnsi="Arial Narrow"/>
          <w:sz w:val="24"/>
          <w:szCs w:val="24"/>
        </w:rPr>
        <w:t>children</w:t>
      </w:r>
      <w:r w:rsidR="00EB76BF" w:rsidRPr="003B3924">
        <w:rPr>
          <w:rFonts w:ascii="Arial Narrow" w:hAnsi="Arial Narrow"/>
          <w:sz w:val="24"/>
          <w:szCs w:val="24"/>
        </w:rPr>
        <w:t xml:space="preserve"> and multi-local post-separation families</w:t>
      </w:r>
      <w:r w:rsidR="00AF3BED" w:rsidRPr="003B3924">
        <w:rPr>
          <w:rFonts w:ascii="Arial Narrow" w:hAnsi="Arial Narrow"/>
          <w:sz w:val="24"/>
          <w:szCs w:val="24"/>
        </w:rPr>
        <w:t xml:space="preserve"> (Gilmore, 2006</w:t>
      </w:r>
      <w:r w:rsidR="00EB76BF" w:rsidRPr="003B3924">
        <w:rPr>
          <w:rFonts w:ascii="Arial Narrow" w:hAnsi="Arial Narrow"/>
          <w:sz w:val="24"/>
          <w:szCs w:val="24"/>
        </w:rPr>
        <w:t xml:space="preserve">; </w:t>
      </w:r>
      <w:proofErr w:type="spellStart"/>
      <w:r w:rsidR="00EB76BF" w:rsidRPr="003B3924">
        <w:rPr>
          <w:rFonts w:ascii="Arial Narrow" w:hAnsi="Arial Narrow"/>
          <w:sz w:val="24"/>
          <w:szCs w:val="24"/>
        </w:rPr>
        <w:t>Schier</w:t>
      </w:r>
      <w:proofErr w:type="spellEnd"/>
      <w:r w:rsidR="00EB76BF" w:rsidRPr="003B3924">
        <w:rPr>
          <w:rFonts w:ascii="Arial Narrow" w:hAnsi="Arial Narrow"/>
          <w:sz w:val="24"/>
          <w:szCs w:val="24"/>
        </w:rPr>
        <w:t xml:space="preserve"> 2015</w:t>
      </w:r>
      <w:r w:rsidR="00AF3BED" w:rsidRPr="003B3924">
        <w:rPr>
          <w:rFonts w:ascii="Arial Narrow" w:hAnsi="Arial Narrow"/>
          <w:sz w:val="24"/>
          <w:szCs w:val="24"/>
        </w:rPr>
        <w:t>).</w:t>
      </w:r>
      <w:r w:rsidR="00720E44" w:rsidRPr="003B3924">
        <w:rPr>
          <w:rFonts w:ascii="Arial Narrow" w:hAnsi="Arial Narrow"/>
          <w:sz w:val="24"/>
          <w:szCs w:val="24"/>
        </w:rPr>
        <w:t xml:space="preserve">  </w:t>
      </w:r>
      <w:r w:rsidR="00711348" w:rsidRPr="003B3924">
        <w:rPr>
          <w:rFonts w:ascii="Arial Narrow" w:hAnsi="Arial Narrow"/>
          <w:sz w:val="24"/>
          <w:szCs w:val="24"/>
        </w:rPr>
        <w:t>Nonetheless, the</w:t>
      </w:r>
      <w:r w:rsidR="00D12282" w:rsidRPr="003B3924">
        <w:rPr>
          <w:rFonts w:ascii="Arial Narrow" w:hAnsi="Arial Narrow"/>
          <w:sz w:val="24"/>
          <w:szCs w:val="24"/>
        </w:rPr>
        <w:t xml:space="preserve"> spotlight tends to be </w:t>
      </w:r>
      <w:r w:rsidR="0039142D" w:rsidRPr="003B3924">
        <w:rPr>
          <w:rFonts w:ascii="Arial Narrow" w:hAnsi="Arial Narrow"/>
          <w:sz w:val="24"/>
          <w:szCs w:val="24"/>
        </w:rPr>
        <w:t>singular</w:t>
      </w:r>
      <w:r w:rsidR="00D12282" w:rsidRPr="003B3924">
        <w:rPr>
          <w:rFonts w:ascii="Arial Narrow" w:hAnsi="Arial Narrow"/>
          <w:sz w:val="24"/>
          <w:szCs w:val="24"/>
        </w:rPr>
        <w:t xml:space="preserve">, on home as residence rather than a place or feeling, and </w:t>
      </w:r>
      <w:r w:rsidR="004B407F" w:rsidRPr="003B3924">
        <w:rPr>
          <w:rFonts w:ascii="Arial Narrow" w:hAnsi="Arial Narrow"/>
          <w:sz w:val="24"/>
          <w:szCs w:val="24"/>
        </w:rPr>
        <w:t>on</w:t>
      </w:r>
      <w:r w:rsidR="00711348" w:rsidRPr="003B3924">
        <w:rPr>
          <w:rFonts w:ascii="Arial Narrow" w:hAnsi="Arial Narrow"/>
          <w:sz w:val="24"/>
          <w:szCs w:val="24"/>
        </w:rPr>
        <w:t xml:space="preserve"> those who are moving rather those who stay put.  </w:t>
      </w:r>
      <w:proofErr w:type="spellStart"/>
      <w:r w:rsidR="001B243D" w:rsidRPr="003B3924">
        <w:rPr>
          <w:rFonts w:ascii="Arial Narrow" w:hAnsi="Arial Narrow"/>
          <w:sz w:val="24"/>
          <w:szCs w:val="24"/>
        </w:rPr>
        <w:t>Kerilyn</w:t>
      </w:r>
      <w:proofErr w:type="spellEnd"/>
      <w:r w:rsidR="001B243D" w:rsidRPr="003B3924">
        <w:rPr>
          <w:rFonts w:ascii="Arial Narrow" w:hAnsi="Arial Narrow"/>
          <w:sz w:val="24"/>
          <w:szCs w:val="24"/>
        </w:rPr>
        <w:t xml:space="preserve"> </w:t>
      </w:r>
      <w:proofErr w:type="spellStart"/>
      <w:r w:rsidR="001B243D" w:rsidRPr="003B3924">
        <w:rPr>
          <w:rFonts w:ascii="Arial Narrow" w:hAnsi="Arial Narrow"/>
          <w:sz w:val="24"/>
          <w:szCs w:val="24"/>
        </w:rPr>
        <w:t>Schewel</w:t>
      </w:r>
      <w:proofErr w:type="spellEnd"/>
      <w:r w:rsidR="001B243D" w:rsidRPr="003B3924">
        <w:rPr>
          <w:rFonts w:ascii="Arial Narrow" w:hAnsi="Arial Narrow"/>
          <w:sz w:val="24"/>
          <w:szCs w:val="24"/>
        </w:rPr>
        <w:t xml:space="preserve"> (2019) refers to this as ‘mobility </w:t>
      </w:r>
      <w:proofErr w:type="spellStart"/>
      <w:r w:rsidR="001B243D" w:rsidRPr="003B3924">
        <w:rPr>
          <w:rFonts w:ascii="Arial Narrow" w:hAnsi="Arial Narrow"/>
          <w:sz w:val="24"/>
          <w:szCs w:val="24"/>
        </w:rPr>
        <w:t>bias’</w:t>
      </w:r>
      <w:proofErr w:type="spellEnd"/>
      <w:r w:rsidR="001B243D" w:rsidRPr="003B3924">
        <w:rPr>
          <w:rFonts w:ascii="Arial Narrow" w:hAnsi="Arial Narrow"/>
          <w:sz w:val="24"/>
          <w:szCs w:val="24"/>
        </w:rPr>
        <w:t xml:space="preserve"> in relation to migration research, ignoring the active processes of immobility.  Exceptions include </w:t>
      </w:r>
      <w:r w:rsidR="00F13A9F" w:rsidRPr="003B3924">
        <w:rPr>
          <w:rFonts w:ascii="Arial Narrow" w:hAnsi="Arial Narrow"/>
          <w:sz w:val="24"/>
          <w:szCs w:val="24"/>
        </w:rPr>
        <w:t>strand</w:t>
      </w:r>
      <w:r w:rsidR="001B243D" w:rsidRPr="003B3924">
        <w:rPr>
          <w:rFonts w:ascii="Arial Narrow" w:hAnsi="Arial Narrow"/>
          <w:sz w:val="24"/>
          <w:szCs w:val="24"/>
        </w:rPr>
        <w:t>s</w:t>
      </w:r>
      <w:r w:rsidR="00F13A9F" w:rsidRPr="003B3924">
        <w:rPr>
          <w:rFonts w:ascii="Arial Narrow" w:hAnsi="Arial Narrow"/>
          <w:sz w:val="24"/>
          <w:szCs w:val="24"/>
        </w:rPr>
        <w:t xml:space="preserve"> of </w:t>
      </w:r>
      <w:r w:rsidR="0034687B" w:rsidRPr="003B3924">
        <w:rPr>
          <w:rFonts w:ascii="Arial Narrow" w:hAnsi="Arial Narrow"/>
          <w:sz w:val="24"/>
          <w:szCs w:val="24"/>
        </w:rPr>
        <w:t>literature</w:t>
      </w:r>
      <w:r w:rsidR="00F13A9F" w:rsidRPr="003B3924">
        <w:rPr>
          <w:rFonts w:ascii="Arial Narrow" w:hAnsi="Arial Narrow"/>
          <w:sz w:val="24"/>
          <w:szCs w:val="24"/>
        </w:rPr>
        <w:t xml:space="preserve"> exploring </w:t>
      </w:r>
      <w:r w:rsidR="001B243D" w:rsidRPr="003B3924">
        <w:rPr>
          <w:rFonts w:ascii="Arial Narrow" w:hAnsi="Arial Narrow"/>
          <w:sz w:val="24"/>
          <w:szCs w:val="24"/>
        </w:rPr>
        <w:t xml:space="preserve">households with a migrant elsewhere (e.g. </w:t>
      </w:r>
      <w:proofErr w:type="spellStart"/>
      <w:r w:rsidR="001B243D" w:rsidRPr="003B3924">
        <w:rPr>
          <w:rFonts w:ascii="Arial Narrow" w:hAnsi="Arial Narrow"/>
          <w:sz w:val="24"/>
          <w:szCs w:val="24"/>
        </w:rPr>
        <w:t>Iv</w:t>
      </w:r>
      <w:r w:rsidR="00450008" w:rsidRPr="003B3924">
        <w:rPr>
          <w:rFonts w:ascii="Arial Narrow" w:hAnsi="Arial Narrow"/>
          <w:sz w:val="24"/>
          <w:szCs w:val="24"/>
        </w:rPr>
        <w:t>le</w:t>
      </w:r>
      <w:r w:rsidR="001B243D" w:rsidRPr="003B3924">
        <w:rPr>
          <w:rFonts w:ascii="Arial Narrow" w:hAnsi="Arial Narrow"/>
          <w:sz w:val="24"/>
          <w:szCs w:val="24"/>
        </w:rPr>
        <w:t>vs</w:t>
      </w:r>
      <w:proofErr w:type="spellEnd"/>
      <w:r w:rsidR="001B243D" w:rsidRPr="003B3924">
        <w:rPr>
          <w:rFonts w:ascii="Arial Narrow" w:hAnsi="Arial Narrow"/>
          <w:sz w:val="24"/>
          <w:szCs w:val="24"/>
        </w:rPr>
        <w:t xml:space="preserve"> et al., 2019) and </w:t>
      </w:r>
      <w:r w:rsidR="00F13A9F" w:rsidRPr="003B3924">
        <w:rPr>
          <w:rFonts w:ascii="Arial Narrow" w:hAnsi="Arial Narrow"/>
          <w:sz w:val="24"/>
          <w:szCs w:val="24"/>
        </w:rPr>
        <w:t xml:space="preserve">what is often referred to as the ‘empty nest’ syndrome for mothers in the aftermath of their adult children leaving home (e.g. </w:t>
      </w:r>
      <w:bookmarkStart w:id="3" w:name="_Hlk521581768"/>
      <w:r w:rsidR="00F13A9F" w:rsidRPr="003B3924">
        <w:rPr>
          <w:rFonts w:ascii="Arial Narrow" w:hAnsi="Arial Narrow"/>
          <w:sz w:val="24"/>
          <w:szCs w:val="24"/>
        </w:rPr>
        <w:t>Green, 2010; Hobdy et al., 2007</w:t>
      </w:r>
      <w:bookmarkEnd w:id="3"/>
      <w:r w:rsidR="00F13A9F" w:rsidRPr="003B3924">
        <w:rPr>
          <w:rFonts w:ascii="Arial Narrow" w:hAnsi="Arial Narrow"/>
          <w:sz w:val="24"/>
          <w:szCs w:val="24"/>
        </w:rPr>
        <w:t>)</w:t>
      </w:r>
      <w:r w:rsidR="001B243D" w:rsidRPr="003B3924">
        <w:rPr>
          <w:rFonts w:ascii="Arial Narrow" w:hAnsi="Arial Narrow"/>
          <w:sz w:val="24"/>
          <w:szCs w:val="24"/>
        </w:rPr>
        <w:t>.  Th</w:t>
      </w:r>
      <w:r w:rsidR="00FF39D6" w:rsidRPr="003B3924">
        <w:rPr>
          <w:rFonts w:ascii="Arial Narrow" w:hAnsi="Arial Narrow"/>
          <w:sz w:val="24"/>
          <w:szCs w:val="24"/>
        </w:rPr>
        <w:t xml:space="preserve">ese </w:t>
      </w:r>
      <w:r w:rsidR="00AE354A">
        <w:rPr>
          <w:rFonts w:ascii="Arial Narrow" w:hAnsi="Arial Narrow"/>
          <w:sz w:val="24"/>
          <w:szCs w:val="24"/>
        </w:rPr>
        <w:t xml:space="preserve">‘left behind’ </w:t>
      </w:r>
      <w:r w:rsidR="00FF39D6" w:rsidRPr="003B3924">
        <w:rPr>
          <w:rFonts w:ascii="Arial Narrow" w:hAnsi="Arial Narrow"/>
          <w:sz w:val="24"/>
          <w:szCs w:val="24"/>
        </w:rPr>
        <w:t xml:space="preserve">situations </w:t>
      </w:r>
      <w:r w:rsidR="004B407F" w:rsidRPr="003B3924">
        <w:rPr>
          <w:rFonts w:ascii="Arial Narrow" w:hAnsi="Arial Narrow"/>
          <w:sz w:val="24"/>
          <w:szCs w:val="24"/>
        </w:rPr>
        <w:t xml:space="preserve">tend to be </w:t>
      </w:r>
      <w:r w:rsidR="00260E75" w:rsidRPr="003B3924">
        <w:rPr>
          <w:rFonts w:ascii="Arial Narrow" w:hAnsi="Arial Narrow"/>
          <w:sz w:val="24"/>
          <w:szCs w:val="24"/>
        </w:rPr>
        <w:t xml:space="preserve">viewed </w:t>
      </w:r>
      <w:r w:rsidR="004B407F" w:rsidRPr="003B3924">
        <w:rPr>
          <w:rFonts w:ascii="Arial Narrow" w:hAnsi="Arial Narrow"/>
          <w:sz w:val="24"/>
          <w:szCs w:val="24"/>
        </w:rPr>
        <w:t xml:space="preserve">from </w:t>
      </w:r>
      <w:r w:rsidR="001B243D" w:rsidRPr="003B3924">
        <w:rPr>
          <w:rFonts w:ascii="Arial Narrow" w:hAnsi="Arial Narrow"/>
          <w:sz w:val="24"/>
          <w:szCs w:val="24"/>
        </w:rPr>
        <w:t xml:space="preserve">passive and </w:t>
      </w:r>
      <w:r w:rsidR="004B407F" w:rsidRPr="003B3924">
        <w:rPr>
          <w:rFonts w:ascii="Arial Narrow" w:hAnsi="Arial Narrow"/>
          <w:sz w:val="24"/>
          <w:szCs w:val="24"/>
        </w:rPr>
        <w:t>reactive rather than proactive stance</w:t>
      </w:r>
      <w:r w:rsidR="00FF39D6" w:rsidRPr="003B3924">
        <w:rPr>
          <w:rFonts w:ascii="Arial Narrow" w:hAnsi="Arial Narrow"/>
          <w:sz w:val="24"/>
          <w:szCs w:val="24"/>
        </w:rPr>
        <w:t>s</w:t>
      </w:r>
      <w:r w:rsidR="004B407F" w:rsidRPr="003B3924">
        <w:rPr>
          <w:rFonts w:ascii="Arial Narrow" w:hAnsi="Arial Narrow"/>
          <w:sz w:val="24"/>
          <w:szCs w:val="24"/>
        </w:rPr>
        <w:t>.</w:t>
      </w:r>
      <w:r w:rsidR="001A790C" w:rsidRPr="003B3924">
        <w:rPr>
          <w:rFonts w:ascii="Arial Narrow" w:hAnsi="Arial Narrow"/>
          <w:sz w:val="24"/>
          <w:szCs w:val="24"/>
        </w:rPr>
        <w:t xml:space="preserve">  The focus on the mobile also obscures the linked relational experiences of interdependent lives.</w:t>
      </w:r>
    </w:p>
    <w:p w14:paraId="4F813DE5" w14:textId="77777777" w:rsidR="005432DE" w:rsidRPr="003B3924" w:rsidRDefault="005432DE" w:rsidP="00072E7A">
      <w:pPr>
        <w:pStyle w:val="PlainText"/>
        <w:rPr>
          <w:rFonts w:ascii="Arial Narrow" w:hAnsi="Arial Narrow"/>
          <w:sz w:val="24"/>
          <w:szCs w:val="24"/>
        </w:rPr>
      </w:pPr>
    </w:p>
    <w:p w14:paraId="7329199E" w14:textId="7825DCF1" w:rsidR="00533974" w:rsidRPr="003B3924" w:rsidRDefault="00D12282" w:rsidP="00072E7A">
      <w:pPr>
        <w:pStyle w:val="PlainText"/>
        <w:rPr>
          <w:rFonts w:ascii="Arial Narrow" w:hAnsi="Arial Narrow"/>
          <w:sz w:val="24"/>
          <w:szCs w:val="24"/>
        </w:rPr>
      </w:pPr>
      <w:r w:rsidRPr="003B3924">
        <w:rPr>
          <w:rFonts w:ascii="Arial Narrow" w:hAnsi="Arial Narrow"/>
          <w:sz w:val="24"/>
          <w:szCs w:val="24"/>
        </w:rPr>
        <w:t xml:space="preserve">In what follows we widen </w:t>
      </w:r>
      <w:r w:rsidR="00F36147">
        <w:rPr>
          <w:rFonts w:ascii="Arial Narrow" w:hAnsi="Arial Narrow"/>
          <w:sz w:val="24"/>
          <w:szCs w:val="24"/>
        </w:rPr>
        <w:t xml:space="preserve">the </w:t>
      </w:r>
      <w:r w:rsidRPr="003B3924">
        <w:rPr>
          <w:rFonts w:ascii="Arial Narrow" w:hAnsi="Arial Narrow"/>
          <w:sz w:val="24"/>
          <w:szCs w:val="24"/>
        </w:rPr>
        <w:t xml:space="preserve">analysis of moving home, to view linked lives through </w:t>
      </w:r>
      <w:r w:rsidR="0060321E" w:rsidRPr="003B3924">
        <w:rPr>
          <w:rFonts w:ascii="Arial Narrow" w:hAnsi="Arial Narrow"/>
          <w:sz w:val="24"/>
          <w:szCs w:val="24"/>
        </w:rPr>
        <w:t>‘</w:t>
      </w:r>
      <w:r w:rsidRPr="003B3924">
        <w:rPr>
          <w:rFonts w:ascii="Arial Narrow" w:hAnsi="Arial Narrow"/>
          <w:sz w:val="24"/>
          <w:szCs w:val="24"/>
        </w:rPr>
        <w:t>small stories</w:t>
      </w:r>
      <w:r w:rsidR="0060321E" w:rsidRPr="003B3924">
        <w:rPr>
          <w:rFonts w:ascii="Arial Narrow" w:hAnsi="Arial Narrow"/>
          <w:sz w:val="24"/>
          <w:szCs w:val="24"/>
        </w:rPr>
        <w:t>’</w:t>
      </w:r>
      <w:r w:rsidRPr="003B3924">
        <w:rPr>
          <w:rFonts w:ascii="Arial Narrow" w:hAnsi="Arial Narrow"/>
          <w:sz w:val="24"/>
          <w:szCs w:val="24"/>
        </w:rPr>
        <w:t xml:space="preserve"> </w:t>
      </w:r>
      <w:r w:rsidR="001A790C" w:rsidRPr="003B3924">
        <w:rPr>
          <w:rFonts w:ascii="Arial Narrow" w:hAnsi="Arial Narrow"/>
          <w:sz w:val="24"/>
          <w:szCs w:val="24"/>
        </w:rPr>
        <w:t xml:space="preserve">from different perspectives: </w:t>
      </w:r>
      <w:r w:rsidRPr="003B3924">
        <w:rPr>
          <w:rFonts w:ascii="Arial Narrow" w:hAnsi="Arial Narrow"/>
          <w:sz w:val="24"/>
          <w:szCs w:val="24"/>
        </w:rPr>
        <w:t xml:space="preserve">those who </w:t>
      </w:r>
      <w:r w:rsidR="004C66A9" w:rsidRPr="003B3924">
        <w:rPr>
          <w:rFonts w:ascii="Arial Narrow" w:hAnsi="Arial Narrow"/>
          <w:sz w:val="24"/>
          <w:szCs w:val="24"/>
        </w:rPr>
        <w:t xml:space="preserve">stay put, are </w:t>
      </w:r>
      <w:r w:rsidRPr="003B3924">
        <w:rPr>
          <w:rFonts w:ascii="Arial Narrow" w:hAnsi="Arial Narrow"/>
          <w:sz w:val="24"/>
          <w:szCs w:val="24"/>
        </w:rPr>
        <w:t xml:space="preserve">‘left behind’ </w:t>
      </w:r>
      <w:r w:rsidR="004C66A9" w:rsidRPr="003B3924">
        <w:rPr>
          <w:rFonts w:ascii="Arial Narrow" w:hAnsi="Arial Narrow"/>
          <w:sz w:val="24"/>
          <w:szCs w:val="24"/>
        </w:rPr>
        <w:t xml:space="preserve">or returned to, </w:t>
      </w:r>
      <w:r w:rsidRPr="003B3924">
        <w:rPr>
          <w:rFonts w:ascii="Arial Narrow" w:hAnsi="Arial Narrow"/>
          <w:sz w:val="24"/>
          <w:szCs w:val="24"/>
        </w:rPr>
        <w:t>those who move away</w:t>
      </w:r>
      <w:r w:rsidR="004C66A9" w:rsidRPr="003B3924">
        <w:rPr>
          <w:rFonts w:ascii="Arial Narrow" w:hAnsi="Arial Narrow"/>
          <w:sz w:val="24"/>
          <w:szCs w:val="24"/>
        </w:rPr>
        <w:t xml:space="preserve"> and those who</w:t>
      </w:r>
      <w:r w:rsidRPr="003B3924">
        <w:rPr>
          <w:rFonts w:ascii="Arial Narrow" w:hAnsi="Arial Narrow"/>
          <w:sz w:val="24"/>
          <w:szCs w:val="24"/>
        </w:rPr>
        <w:t xml:space="preserve"> </w:t>
      </w:r>
      <w:r w:rsidR="004C66A9" w:rsidRPr="003B3924">
        <w:rPr>
          <w:rFonts w:ascii="Arial Narrow" w:hAnsi="Arial Narrow"/>
          <w:sz w:val="24"/>
          <w:szCs w:val="24"/>
        </w:rPr>
        <w:t xml:space="preserve">return, as well as those who </w:t>
      </w:r>
      <w:r w:rsidR="001A790C" w:rsidRPr="003B3924">
        <w:rPr>
          <w:rFonts w:ascii="Arial Narrow" w:hAnsi="Arial Narrow"/>
          <w:sz w:val="24"/>
          <w:szCs w:val="24"/>
        </w:rPr>
        <w:t>experience</w:t>
      </w:r>
      <w:r w:rsidR="004C66A9" w:rsidRPr="003B3924">
        <w:rPr>
          <w:rFonts w:ascii="Arial Narrow" w:hAnsi="Arial Narrow"/>
          <w:sz w:val="24"/>
          <w:szCs w:val="24"/>
        </w:rPr>
        <w:t xml:space="preserve"> both. </w:t>
      </w:r>
      <w:r w:rsidR="0090622F" w:rsidRPr="003B3924">
        <w:rPr>
          <w:rFonts w:ascii="Arial Narrow" w:hAnsi="Arial Narrow"/>
          <w:sz w:val="24"/>
          <w:szCs w:val="24"/>
        </w:rPr>
        <w:t xml:space="preserve"> </w:t>
      </w:r>
      <w:r w:rsidR="0060321E" w:rsidRPr="003B3924">
        <w:rPr>
          <w:rFonts w:ascii="Arial Narrow" w:hAnsi="Arial Narrow"/>
          <w:sz w:val="24"/>
          <w:szCs w:val="24"/>
        </w:rPr>
        <w:t>The concept of s</w:t>
      </w:r>
      <w:r w:rsidR="0090622F" w:rsidRPr="003B3924">
        <w:rPr>
          <w:rFonts w:ascii="Arial Narrow" w:hAnsi="Arial Narrow"/>
          <w:sz w:val="24"/>
          <w:szCs w:val="24"/>
        </w:rPr>
        <w:t xml:space="preserve">mall stories </w:t>
      </w:r>
      <w:r w:rsidR="0060321E" w:rsidRPr="003B3924">
        <w:rPr>
          <w:rFonts w:ascii="Arial Narrow" w:hAnsi="Arial Narrow"/>
          <w:sz w:val="24"/>
          <w:szCs w:val="24"/>
        </w:rPr>
        <w:t xml:space="preserve">(see </w:t>
      </w:r>
      <w:r w:rsidR="007F54BC" w:rsidRPr="003B3924">
        <w:rPr>
          <w:rFonts w:ascii="Arial Narrow" w:hAnsi="Arial Narrow"/>
          <w:sz w:val="24"/>
          <w:szCs w:val="24"/>
        </w:rPr>
        <w:t xml:space="preserve">Bamberg and </w:t>
      </w:r>
      <w:proofErr w:type="spellStart"/>
      <w:r w:rsidR="007F54BC" w:rsidRPr="003B3924">
        <w:rPr>
          <w:rFonts w:ascii="Arial Narrow" w:hAnsi="Arial Narrow"/>
          <w:sz w:val="24"/>
          <w:szCs w:val="24"/>
        </w:rPr>
        <w:t>Georgakopoulou</w:t>
      </w:r>
      <w:proofErr w:type="spellEnd"/>
      <w:r w:rsidR="00DC6C8D" w:rsidRPr="003B3924">
        <w:rPr>
          <w:rFonts w:ascii="Arial Narrow" w:hAnsi="Arial Narrow"/>
          <w:sz w:val="24"/>
          <w:szCs w:val="24"/>
        </w:rPr>
        <w:t>,</w:t>
      </w:r>
      <w:r w:rsidR="007F54BC" w:rsidRPr="003B3924">
        <w:rPr>
          <w:rFonts w:ascii="Arial Narrow" w:hAnsi="Arial Narrow"/>
          <w:sz w:val="24"/>
          <w:szCs w:val="24"/>
        </w:rPr>
        <w:t xml:space="preserve"> 2008; </w:t>
      </w:r>
      <w:proofErr w:type="spellStart"/>
      <w:r w:rsidR="0060321E" w:rsidRPr="003B3924">
        <w:rPr>
          <w:rFonts w:ascii="Arial Narrow" w:hAnsi="Arial Narrow"/>
          <w:sz w:val="24"/>
          <w:szCs w:val="24"/>
        </w:rPr>
        <w:t>Georgakopoulou</w:t>
      </w:r>
      <w:proofErr w:type="spellEnd"/>
      <w:r w:rsidR="00DC6C8D" w:rsidRPr="003B3924">
        <w:rPr>
          <w:rFonts w:ascii="Arial Narrow" w:hAnsi="Arial Narrow"/>
          <w:sz w:val="24"/>
          <w:szCs w:val="24"/>
        </w:rPr>
        <w:t>,</w:t>
      </w:r>
      <w:r w:rsidR="0060321E" w:rsidRPr="003B3924">
        <w:rPr>
          <w:rFonts w:ascii="Arial Narrow" w:hAnsi="Arial Narrow"/>
          <w:sz w:val="24"/>
          <w:szCs w:val="24"/>
        </w:rPr>
        <w:t xml:space="preserve"> </w:t>
      </w:r>
      <w:r w:rsidR="007F54BC" w:rsidRPr="003B3924">
        <w:rPr>
          <w:rFonts w:ascii="Arial Narrow" w:hAnsi="Arial Narrow"/>
          <w:sz w:val="24"/>
          <w:szCs w:val="24"/>
        </w:rPr>
        <w:t xml:space="preserve">2007, </w:t>
      </w:r>
      <w:r w:rsidR="0060321E" w:rsidRPr="003B3924">
        <w:rPr>
          <w:rFonts w:ascii="Arial Narrow" w:hAnsi="Arial Narrow"/>
          <w:sz w:val="24"/>
          <w:szCs w:val="24"/>
        </w:rPr>
        <w:t>2015)</w:t>
      </w:r>
      <w:r w:rsidR="00E95D21" w:rsidRPr="003B3924">
        <w:rPr>
          <w:rFonts w:ascii="Arial Narrow" w:hAnsi="Arial Narrow"/>
          <w:sz w:val="24"/>
          <w:szCs w:val="24"/>
        </w:rPr>
        <w:t xml:space="preserve"> calls for attention to neglected,</w:t>
      </w:r>
      <w:r w:rsidR="002E1293" w:rsidRPr="003B3924">
        <w:rPr>
          <w:rFonts w:ascii="Arial Narrow" w:hAnsi="Arial Narrow"/>
          <w:sz w:val="24"/>
          <w:szCs w:val="24"/>
        </w:rPr>
        <w:t xml:space="preserve"> mundane, </w:t>
      </w:r>
      <w:r w:rsidR="00E95D21" w:rsidRPr="003B3924">
        <w:rPr>
          <w:rFonts w:ascii="Arial Narrow" w:hAnsi="Arial Narrow"/>
          <w:sz w:val="24"/>
          <w:szCs w:val="24"/>
        </w:rPr>
        <w:t>fragmented</w:t>
      </w:r>
      <w:r w:rsidR="00D76348" w:rsidRPr="003B3924">
        <w:rPr>
          <w:rFonts w:ascii="Arial Narrow" w:hAnsi="Arial Narrow"/>
          <w:sz w:val="24"/>
          <w:szCs w:val="24"/>
        </w:rPr>
        <w:t>, and multi-linear</w:t>
      </w:r>
      <w:r w:rsidR="002E1293" w:rsidRPr="003B3924">
        <w:rPr>
          <w:rFonts w:ascii="Arial Narrow" w:hAnsi="Arial Narrow"/>
          <w:sz w:val="24"/>
          <w:szCs w:val="24"/>
        </w:rPr>
        <w:t xml:space="preserve"> </w:t>
      </w:r>
      <w:r w:rsidR="00E95D21" w:rsidRPr="003B3924">
        <w:rPr>
          <w:rFonts w:ascii="Arial Narrow" w:hAnsi="Arial Narrow"/>
          <w:sz w:val="24"/>
          <w:szCs w:val="24"/>
        </w:rPr>
        <w:t>short narratives</w:t>
      </w:r>
      <w:r w:rsidR="002E1293" w:rsidRPr="003B3924">
        <w:rPr>
          <w:rFonts w:ascii="Arial Narrow" w:hAnsi="Arial Narrow"/>
          <w:sz w:val="24"/>
          <w:szCs w:val="24"/>
        </w:rPr>
        <w:t xml:space="preserve"> that signal tensions and dilemmas</w:t>
      </w:r>
      <w:r w:rsidR="00E95D21" w:rsidRPr="003B3924">
        <w:rPr>
          <w:rFonts w:ascii="Arial Narrow" w:hAnsi="Arial Narrow"/>
          <w:sz w:val="24"/>
          <w:szCs w:val="24"/>
        </w:rPr>
        <w:t xml:space="preserve">, as against </w:t>
      </w:r>
      <w:r w:rsidR="007F54BC" w:rsidRPr="003B3924">
        <w:rPr>
          <w:rFonts w:ascii="Arial Narrow" w:hAnsi="Arial Narrow"/>
          <w:sz w:val="24"/>
          <w:szCs w:val="24"/>
        </w:rPr>
        <w:t xml:space="preserve">‘fully fledged’ </w:t>
      </w:r>
      <w:r w:rsidR="00E95D21" w:rsidRPr="003B3924">
        <w:rPr>
          <w:rFonts w:ascii="Arial Narrow" w:hAnsi="Arial Narrow"/>
          <w:sz w:val="24"/>
          <w:szCs w:val="24"/>
        </w:rPr>
        <w:t xml:space="preserve">linear </w:t>
      </w:r>
      <w:r w:rsidR="007F54BC" w:rsidRPr="003B3924">
        <w:rPr>
          <w:rFonts w:ascii="Arial Narrow" w:hAnsi="Arial Narrow"/>
          <w:sz w:val="24"/>
          <w:szCs w:val="24"/>
        </w:rPr>
        <w:t xml:space="preserve">coherent </w:t>
      </w:r>
      <w:r w:rsidR="002E1293" w:rsidRPr="003B3924">
        <w:rPr>
          <w:rFonts w:ascii="Arial Narrow" w:hAnsi="Arial Narrow"/>
          <w:sz w:val="24"/>
          <w:szCs w:val="24"/>
        </w:rPr>
        <w:t>account</w:t>
      </w:r>
      <w:r w:rsidR="007F54BC" w:rsidRPr="003B3924">
        <w:rPr>
          <w:rFonts w:ascii="Arial Narrow" w:hAnsi="Arial Narrow"/>
          <w:sz w:val="24"/>
          <w:szCs w:val="24"/>
        </w:rPr>
        <w:t>s</w:t>
      </w:r>
      <w:r w:rsidR="002E1293" w:rsidRPr="003B3924">
        <w:rPr>
          <w:rFonts w:ascii="Arial Narrow" w:hAnsi="Arial Narrow"/>
          <w:sz w:val="24"/>
          <w:szCs w:val="24"/>
        </w:rPr>
        <w:t xml:space="preserve"> with a beginning, middle and end</w:t>
      </w:r>
      <w:r w:rsidR="00533974" w:rsidRPr="003B3924">
        <w:rPr>
          <w:rFonts w:ascii="Arial Narrow" w:hAnsi="Arial Narrow"/>
          <w:sz w:val="24"/>
          <w:szCs w:val="24"/>
        </w:rPr>
        <w:t>:</w:t>
      </w:r>
    </w:p>
    <w:p w14:paraId="2AC94E45" w14:textId="2852FC3F" w:rsidR="00D76348" w:rsidRPr="003B3924" w:rsidRDefault="00D76348" w:rsidP="00D76348">
      <w:pPr>
        <w:pStyle w:val="PlainText"/>
        <w:ind w:left="720"/>
        <w:rPr>
          <w:rFonts w:ascii="Arial Narrow" w:hAnsi="Arial Narrow"/>
          <w:sz w:val="24"/>
          <w:szCs w:val="24"/>
        </w:rPr>
      </w:pPr>
      <w:r w:rsidRPr="003B3924">
        <w:rPr>
          <w:rFonts w:ascii="Arial Narrow" w:hAnsi="Arial Narrow"/>
          <w:sz w:val="24"/>
          <w:szCs w:val="24"/>
        </w:rPr>
        <w:t>… the spirit of small stories research is all about recognising the pluralism, heterogeneity, and productive coexistence of narrative activities, big and small, in the same event, by the same tell</w:t>
      </w:r>
      <w:r w:rsidR="00690413" w:rsidRPr="003B3924">
        <w:rPr>
          <w:rFonts w:ascii="Arial Narrow" w:hAnsi="Arial Narrow"/>
          <w:sz w:val="24"/>
          <w:szCs w:val="24"/>
        </w:rPr>
        <w:t>er</w:t>
      </w:r>
      <w:r w:rsidRPr="003B3924">
        <w:rPr>
          <w:rFonts w:ascii="Arial Narrow" w:hAnsi="Arial Narrow"/>
          <w:sz w:val="24"/>
          <w:szCs w:val="24"/>
        </w:rPr>
        <w:t>, and so on. (</w:t>
      </w:r>
      <w:proofErr w:type="spellStart"/>
      <w:r w:rsidRPr="003B3924">
        <w:rPr>
          <w:rFonts w:ascii="Arial Narrow" w:hAnsi="Arial Narrow"/>
          <w:sz w:val="24"/>
          <w:szCs w:val="24"/>
        </w:rPr>
        <w:t>Georgakopoulou</w:t>
      </w:r>
      <w:proofErr w:type="spellEnd"/>
      <w:r w:rsidRPr="003B3924">
        <w:rPr>
          <w:rFonts w:ascii="Arial Narrow" w:hAnsi="Arial Narrow"/>
          <w:sz w:val="24"/>
          <w:szCs w:val="24"/>
        </w:rPr>
        <w:t>, 2015: 256)</w:t>
      </w:r>
    </w:p>
    <w:p w14:paraId="6A9A4A28" w14:textId="19A2F899" w:rsidR="004C66A9" w:rsidRPr="003B3924" w:rsidRDefault="007F54BC" w:rsidP="00072E7A">
      <w:pPr>
        <w:pStyle w:val="PlainText"/>
        <w:rPr>
          <w:rFonts w:ascii="Arial Narrow" w:hAnsi="Arial Narrow"/>
          <w:sz w:val="24"/>
          <w:szCs w:val="24"/>
        </w:rPr>
      </w:pPr>
      <w:r w:rsidRPr="003B3924">
        <w:rPr>
          <w:rFonts w:ascii="Arial Narrow" w:hAnsi="Arial Narrow"/>
          <w:sz w:val="24"/>
          <w:szCs w:val="24"/>
        </w:rPr>
        <w:t xml:space="preserve">Such small stories </w:t>
      </w:r>
      <w:r w:rsidR="00556CB3" w:rsidRPr="003B3924">
        <w:rPr>
          <w:rFonts w:ascii="Arial Narrow" w:hAnsi="Arial Narrow"/>
          <w:sz w:val="24"/>
          <w:szCs w:val="24"/>
        </w:rPr>
        <w:t xml:space="preserve">fit with our linked lives approach.  They </w:t>
      </w:r>
      <w:r w:rsidRPr="003B3924">
        <w:rPr>
          <w:rFonts w:ascii="Arial Narrow" w:hAnsi="Arial Narrow"/>
          <w:sz w:val="24"/>
          <w:szCs w:val="24"/>
        </w:rPr>
        <w:t>enable a navigation between fine-grained analysis of fleeting</w:t>
      </w:r>
      <w:r w:rsidR="00D76348" w:rsidRPr="003B3924">
        <w:rPr>
          <w:rFonts w:ascii="Arial Narrow" w:hAnsi="Arial Narrow"/>
          <w:sz w:val="24"/>
          <w:szCs w:val="24"/>
        </w:rPr>
        <w:t>, messy</w:t>
      </w:r>
      <w:r w:rsidR="00533974" w:rsidRPr="003B3924">
        <w:rPr>
          <w:rFonts w:ascii="Arial Narrow" w:hAnsi="Arial Narrow"/>
          <w:sz w:val="24"/>
          <w:szCs w:val="24"/>
        </w:rPr>
        <w:t xml:space="preserve"> and pluralistic</w:t>
      </w:r>
      <w:r w:rsidRPr="003B3924">
        <w:rPr>
          <w:rFonts w:ascii="Arial Narrow" w:hAnsi="Arial Narrow"/>
          <w:sz w:val="24"/>
          <w:szCs w:val="24"/>
        </w:rPr>
        <w:t xml:space="preserve"> aspects of lived experience in time and space, and</w:t>
      </w:r>
      <w:r w:rsidR="00533974" w:rsidRPr="003B3924">
        <w:rPr>
          <w:rFonts w:ascii="Arial Narrow" w:hAnsi="Arial Narrow"/>
          <w:sz w:val="24"/>
          <w:szCs w:val="24"/>
        </w:rPr>
        <w:t xml:space="preserve"> the way that they are negotiated relationally</w:t>
      </w:r>
      <w:r w:rsidRPr="003B3924">
        <w:rPr>
          <w:rFonts w:ascii="Arial Narrow" w:hAnsi="Arial Narrow"/>
          <w:sz w:val="24"/>
          <w:szCs w:val="24"/>
        </w:rPr>
        <w:t>.</w:t>
      </w:r>
    </w:p>
    <w:p w14:paraId="3EBE22E2" w14:textId="77777777" w:rsidR="008A0F24" w:rsidRPr="003B3924" w:rsidRDefault="008A0F24" w:rsidP="00072E7A">
      <w:pPr>
        <w:pStyle w:val="PlainText"/>
        <w:rPr>
          <w:rFonts w:ascii="Arial Narrow" w:hAnsi="Arial Narrow"/>
          <w:sz w:val="24"/>
          <w:szCs w:val="24"/>
        </w:rPr>
      </w:pPr>
    </w:p>
    <w:p w14:paraId="7463F7DC" w14:textId="0F2FB384" w:rsidR="00072E7A" w:rsidRPr="003B3924" w:rsidRDefault="008A0F24" w:rsidP="00072E7A">
      <w:pPr>
        <w:pStyle w:val="PlainText"/>
        <w:rPr>
          <w:rFonts w:ascii="Arial Narrow" w:hAnsi="Arial Narrow"/>
          <w:b/>
          <w:sz w:val="24"/>
          <w:szCs w:val="24"/>
        </w:rPr>
      </w:pPr>
      <w:r w:rsidRPr="003B3924">
        <w:rPr>
          <w:rFonts w:ascii="Arial Narrow" w:hAnsi="Arial Narrow"/>
          <w:b/>
          <w:sz w:val="24"/>
          <w:szCs w:val="24"/>
        </w:rPr>
        <w:t xml:space="preserve">Stories from </w:t>
      </w:r>
      <w:proofErr w:type="spellStart"/>
      <w:r w:rsidRPr="003B3924">
        <w:rPr>
          <w:rFonts w:ascii="Arial Narrow" w:hAnsi="Arial Narrow"/>
          <w:b/>
          <w:sz w:val="24"/>
          <w:szCs w:val="24"/>
        </w:rPr>
        <w:t>Timescapes</w:t>
      </w:r>
      <w:proofErr w:type="spellEnd"/>
      <w:r w:rsidRPr="003B3924">
        <w:rPr>
          <w:rFonts w:ascii="Arial Narrow" w:hAnsi="Arial Narrow"/>
          <w:b/>
          <w:sz w:val="24"/>
          <w:szCs w:val="24"/>
        </w:rPr>
        <w:t>: our data</w:t>
      </w:r>
    </w:p>
    <w:p w14:paraId="5C1EF04C" w14:textId="34068C78" w:rsidR="0064495F" w:rsidRPr="003B3924" w:rsidRDefault="0064495F" w:rsidP="00072E7A">
      <w:pPr>
        <w:pStyle w:val="PlainText"/>
        <w:rPr>
          <w:rFonts w:ascii="Arial Narrow" w:hAnsi="Arial Narrow"/>
          <w:sz w:val="24"/>
          <w:szCs w:val="24"/>
        </w:rPr>
      </w:pPr>
    </w:p>
    <w:p w14:paraId="5C62CA85" w14:textId="5BE61B59" w:rsidR="00101E05" w:rsidRPr="003B3924" w:rsidRDefault="007B1E76" w:rsidP="00072E7A">
      <w:pPr>
        <w:pStyle w:val="PlainText"/>
        <w:rPr>
          <w:rFonts w:ascii="Arial Narrow" w:hAnsi="Arial Narrow"/>
          <w:sz w:val="24"/>
          <w:szCs w:val="24"/>
        </w:rPr>
      </w:pPr>
      <w:r w:rsidRPr="00115F96">
        <w:rPr>
          <w:rFonts w:ascii="Arial Narrow" w:hAnsi="Arial Narrow"/>
          <w:sz w:val="24"/>
          <w:szCs w:val="24"/>
        </w:rPr>
        <w:t xml:space="preserve">Our exploration of the way that people of different </w:t>
      </w:r>
      <w:r w:rsidR="00AE354A" w:rsidRPr="00115F96">
        <w:rPr>
          <w:rFonts w:ascii="Arial Narrow" w:hAnsi="Arial Narrow"/>
          <w:sz w:val="24"/>
          <w:szCs w:val="24"/>
        </w:rPr>
        <w:t xml:space="preserve">social </w:t>
      </w:r>
      <w:r w:rsidRPr="00115F96">
        <w:rPr>
          <w:rFonts w:ascii="Arial Narrow" w:hAnsi="Arial Narrow"/>
          <w:sz w:val="24"/>
          <w:szCs w:val="24"/>
        </w:rPr>
        <w:t xml:space="preserve">generations and genders talk about and </w:t>
      </w:r>
      <w:r w:rsidRPr="003B3924">
        <w:rPr>
          <w:rFonts w:ascii="Arial Narrow" w:hAnsi="Arial Narrow"/>
          <w:sz w:val="24"/>
          <w:szCs w:val="24"/>
        </w:rPr>
        <w:t xml:space="preserve">experience ‘moving home’ draws on </w:t>
      </w:r>
      <w:r w:rsidR="00637DC1" w:rsidRPr="003B3924">
        <w:rPr>
          <w:rFonts w:ascii="Arial Narrow" w:hAnsi="Arial Narrow"/>
          <w:sz w:val="24"/>
          <w:szCs w:val="24"/>
        </w:rPr>
        <w:t xml:space="preserve">inductive analysis of </w:t>
      </w:r>
      <w:r w:rsidR="005D0A8A" w:rsidRPr="003B3924">
        <w:rPr>
          <w:rFonts w:ascii="Arial Narrow" w:hAnsi="Arial Narrow"/>
          <w:sz w:val="24"/>
          <w:szCs w:val="24"/>
        </w:rPr>
        <w:t xml:space="preserve">material </w:t>
      </w:r>
      <w:r w:rsidRPr="003B3924">
        <w:rPr>
          <w:rFonts w:ascii="Arial Narrow" w:hAnsi="Arial Narrow"/>
          <w:sz w:val="24"/>
          <w:szCs w:val="24"/>
        </w:rPr>
        <w:t xml:space="preserve">from a methodological research </w:t>
      </w:r>
      <w:r w:rsidRPr="003B3924">
        <w:rPr>
          <w:rFonts w:ascii="Arial Narrow" w:hAnsi="Arial Narrow"/>
          <w:sz w:val="24"/>
          <w:szCs w:val="24"/>
        </w:rPr>
        <w:lastRenderedPageBreak/>
        <w:t xml:space="preserve">project </w:t>
      </w:r>
      <w:r w:rsidR="0097700D" w:rsidRPr="003B3924">
        <w:rPr>
          <w:rFonts w:ascii="Arial Narrow" w:hAnsi="Arial Narrow"/>
          <w:sz w:val="24"/>
          <w:szCs w:val="24"/>
        </w:rPr>
        <w:t xml:space="preserve">that aimed to develop secondary analytic practice for working </w:t>
      </w:r>
      <w:r w:rsidR="00450FBC" w:rsidRPr="003B3924">
        <w:rPr>
          <w:rFonts w:ascii="Arial Narrow" w:hAnsi="Arial Narrow"/>
          <w:sz w:val="24"/>
          <w:szCs w:val="24"/>
        </w:rPr>
        <w:t>across</w:t>
      </w:r>
      <w:r w:rsidR="0097700D" w:rsidRPr="003B3924">
        <w:rPr>
          <w:rFonts w:ascii="Arial Narrow" w:hAnsi="Arial Narrow"/>
          <w:sz w:val="24"/>
          <w:szCs w:val="24"/>
        </w:rPr>
        <w:t xml:space="preserve"> multiple sets of in-depth </w:t>
      </w:r>
      <w:r w:rsidR="00A77815" w:rsidRPr="003B3924">
        <w:rPr>
          <w:rFonts w:ascii="Arial Narrow" w:hAnsi="Arial Narrow"/>
          <w:sz w:val="24"/>
          <w:szCs w:val="24"/>
        </w:rPr>
        <w:t>t</w:t>
      </w:r>
      <w:r w:rsidR="0097700D" w:rsidRPr="003B3924">
        <w:rPr>
          <w:rFonts w:ascii="Arial Narrow" w:hAnsi="Arial Narrow"/>
          <w:sz w:val="24"/>
          <w:szCs w:val="24"/>
        </w:rPr>
        <w:t>emporal qualitative data</w:t>
      </w:r>
      <w:r w:rsidR="008F7981" w:rsidRPr="003B3924">
        <w:rPr>
          <w:rFonts w:ascii="Arial Narrow" w:hAnsi="Arial Narrow"/>
          <w:sz w:val="24"/>
          <w:szCs w:val="24"/>
        </w:rPr>
        <w:t xml:space="preserve"> (</w:t>
      </w:r>
      <w:r w:rsidR="008F7981" w:rsidRPr="00115F96">
        <w:rPr>
          <w:rFonts w:ascii="Arial Narrow" w:hAnsi="Arial Narrow"/>
          <w:sz w:val="24"/>
          <w:szCs w:val="24"/>
        </w:rPr>
        <w:t>see</w:t>
      </w:r>
      <w:r w:rsidR="00A77815" w:rsidRPr="00115F96">
        <w:rPr>
          <w:rFonts w:ascii="Arial Narrow" w:hAnsi="Arial Narrow"/>
          <w:sz w:val="24"/>
          <w:szCs w:val="24"/>
        </w:rPr>
        <w:t xml:space="preserve"> </w:t>
      </w:r>
      <w:r w:rsidR="00115F96" w:rsidRPr="00115F96">
        <w:rPr>
          <w:rFonts w:ascii="Arial Narrow" w:hAnsi="Arial Narrow"/>
          <w:sz w:val="24"/>
          <w:szCs w:val="24"/>
        </w:rPr>
        <w:t>https://bigqlr.ncrm.ac.uk/</w:t>
      </w:r>
      <w:r w:rsidR="00E23017" w:rsidRPr="00115F96">
        <w:rPr>
          <w:rFonts w:ascii="Arial Narrow" w:hAnsi="Arial Narrow"/>
          <w:sz w:val="24"/>
          <w:szCs w:val="24"/>
        </w:rPr>
        <w:t>)</w:t>
      </w:r>
      <w:r w:rsidR="0097700D" w:rsidRPr="00115F96">
        <w:rPr>
          <w:rFonts w:ascii="Arial Narrow" w:hAnsi="Arial Narrow"/>
          <w:sz w:val="24"/>
          <w:szCs w:val="24"/>
        </w:rPr>
        <w:t>.</w:t>
      </w:r>
      <w:r w:rsidR="00101E05" w:rsidRPr="00115F96">
        <w:rPr>
          <w:rStyle w:val="EndnoteReference"/>
          <w:rFonts w:ascii="Arial Narrow" w:hAnsi="Arial Narrow"/>
          <w:sz w:val="24"/>
          <w:szCs w:val="24"/>
        </w:rPr>
        <w:endnoteReference w:id="1"/>
      </w:r>
      <w:r w:rsidR="00101E05" w:rsidRPr="00115F96">
        <w:rPr>
          <w:rFonts w:ascii="Arial Narrow" w:hAnsi="Arial Narrow"/>
          <w:sz w:val="24"/>
          <w:szCs w:val="24"/>
        </w:rPr>
        <w:t xml:space="preserve">  </w:t>
      </w:r>
      <w:r w:rsidR="007A4E2A" w:rsidRPr="003B3924">
        <w:rPr>
          <w:rFonts w:ascii="Arial Narrow" w:hAnsi="Arial Narrow"/>
          <w:sz w:val="24"/>
          <w:szCs w:val="24"/>
        </w:rPr>
        <w:t xml:space="preserve">We worked with </w:t>
      </w:r>
      <w:r w:rsidR="00101E05" w:rsidRPr="003B3924">
        <w:rPr>
          <w:rFonts w:ascii="Arial Narrow" w:hAnsi="Arial Narrow"/>
          <w:sz w:val="24"/>
          <w:szCs w:val="24"/>
        </w:rPr>
        <w:t>six empirical qualitative longitudinal research projects</w:t>
      </w:r>
      <w:r w:rsidR="007A4E2A" w:rsidRPr="003B3924">
        <w:rPr>
          <w:rFonts w:ascii="Arial Narrow" w:hAnsi="Arial Narrow"/>
          <w:sz w:val="24"/>
          <w:szCs w:val="24"/>
        </w:rPr>
        <w:t xml:space="preserve"> that had been</w:t>
      </w:r>
      <w:r w:rsidR="00101E05" w:rsidRPr="003B3924">
        <w:rPr>
          <w:rFonts w:ascii="Arial Narrow" w:hAnsi="Arial Narrow"/>
          <w:sz w:val="24"/>
          <w:szCs w:val="24"/>
        </w:rPr>
        <w:t xml:space="preserve"> anonymised, archived and made available digitally for re-use</w:t>
      </w:r>
      <w:r w:rsidR="00E23017" w:rsidRPr="003B3924">
        <w:rPr>
          <w:rFonts w:ascii="Arial Narrow" w:hAnsi="Arial Narrow"/>
          <w:sz w:val="24"/>
          <w:szCs w:val="24"/>
        </w:rPr>
        <w:t xml:space="preserve"> as part of the </w:t>
      </w:r>
      <w:proofErr w:type="spellStart"/>
      <w:r w:rsidR="00E23017" w:rsidRPr="003B3924">
        <w:rPr>
          <w:rFonts w:ascii="Arial Narrow" w:hAnsi="Arial Narrow"/>
          <w:sz w:val="24"/>
          <w:szCs w:val="24"/>
        </w:rPr>
        <w:t>Timescapes</w:t>
      </w:r>
      <w:proofErr w:type="spellEnd"/>
      <w:r w:rsidR="00E23017" w:rsidRPr="003B3924">
        <w:rPr>
          <w:rFonts w:ascii="Arial Narrow" w:hAnsi="Arial Narrow"/>
          <w:sz w:val="24"/>
          <w:szCs w:val="24"/>
        </w:rPr>
        <w:t xml:space="preserve"> Archive (ESRC, 2007-2012, </w:t>
      </w:r>
      <w:hyperlink r:id="rId8" w:history="1">
        <w:r w:rsidR="00E23017" w:rsidRPr="003B3924">
          <w:rPr>
            <w:rStyle w:val="Hyperlink"/>
            <w:rFonts w:ascii="Arial Narrow" w:hAnsi="Arial Narrow"/>
            <w:color w:val="auto"/>
            <w:sz w:val="24"/>
            <w:szCs w:val="24"/>
          </w:rPr>
          <w:t>www.timescapes.leeds.ac.uk</w:t>
        </w:r>
      </w:hyperlink>
      <w:r w:rsidR="00E23017" w:rsidRPr="003B3924">
        <w:rPr>
          <w:rStyle w:val="Hyperlink"/>
          <w:rFonts w:ascii="Arial Narrow" w:hAnsi="Arial Narrow"/>
          <w:color w:val="auto"/>
          <w:sz w:val="24"/>
          <w:szCs w:val="24"/>
        </w:rPr>
        <w:t>)</w:t>
      </w:r>
      <w:r w:rsidR="00101E05" w:rsidRPr="003B3924">
        <w:rPr>
          <w:rFonts w:ascii="Arial Narrow" w:hAnsi="Arial Narrow"/>
          <w:sz w:val="24"/>
          <w:szCs w:val="24"/>
        </w:rPr>
        <w:t xml:space="preserve">.  Working with multiple merged qualitative data sets means that advantage can be taken of differences between studies to ask comparative research questions that could not be answered by individual </w:t>
      </w:r>
      <w:proofErr w:type="gramStart"/>
      <w:r w:rsidR="00101E05" w:rsidRPr="003B3924">
        <w:rPr>
          <w:rFonts w:ascii="Arial Narrow" w:hAnsi="Arial Narrow"/>
          <w:sz w:val="24"/>
          <w:szCs w:val="24"/>
        </w:rPr>
        <w:t>projects, and</w:t>
      </w:r>
      <w:proofErr w:type="gramEnd"/>
      <w:r w:rsidR="00101E05" w:rsidRPr="003B3924">
        <w:rPr>
          <w:rFonts w:ascii="Arial Narrow" w:hAnsi="Arial Narrow"/>
          <w:sz w:val="24"/>
          <w:szCs w:val="24"/>
        </w:rPr>
        <w:t xml:space="preserve"> strengthens the basis of theoretical </w:t>
      </w:r>
      <w:r w:rsidR="00E23017" w:rsidRPr="003B3924">
        <w:rPr>
          <w:rFonts w:ascii="Arial Narrow" w:hAnsi="Arial Narrow"/>
          <w:sz w:val="24"/>
          <w:szCs w:val="24"/>
        </w:rPr>
        <w:t xml:space="preserve">comparison and </w:t>
      </w:r>
      <w:r w:rsidR="00101E05" w:rsidRPr="003B3924">
        <w:rPr>
          <w:rFonts w:ascii="Arial Narrow" w:hAnsi="Arial Narrow"/>
          <w:sz w:val="24"/>
          <w:szCs w:val="24"/>
        </w:rPr>
        <w:t>generalisation (</w:t>
      </w:r>
      <w:r w:rsidR="00115F96">
        <w:rPr>
          <w:rFonts w:ascii="Arial Narrow" w:hAnsi="Arial Narrow"/>
          <w:sz w:val="24"/>
          <w:szCs w:val="24"/>
        </w:rPr>
        <w:t>Davidson et al.</w:t>
      </w:r>
      <w:r w:rsidR="002454C4">
        <w:rPr>
          <w:rFonts w:ascii="Arial Narrow" w:hAnsi="Arial Narrow"/>
          <w:sz w:val="24"/>
          <w:szCs w:val="24"/>
        </w:rPr>
        <w:t>,</w:t>
      </w:r>
      <w:r w:rsidR="00115F96">
        <w:rPr>
          <w:rFonts w:ascii="Arial Narrow" w:hAnsi="Arial Narrow"/>
          <w:sz w:val="24"/>
          <w:szCs w:val="24"/>
        </w:rPr>
        <w:t xml:space="preserve"> 2019</w:t>
      </w:r>
      <w:r w:rsidR="00101E05" w:rsidRPr="003B3924">
        <w:rPr>
          <w:rFonts w:ascii="Arial Narrow" w:hAnsi="Arial Narrow"/>
          <w:sz w:val="24"/>
          <w:szCs w:val="24"/>
        </w:rPr>
        <w:t>; Tarrant, 2016; Wright and Patrick, 2019).</w:t>
      </w:r>
    </w:p>
    <w:p w14:paraId="044C7BF7" w14:textId="77777777" w:rsidR="00101E05" w:rsidRPr="003B3924" w:rsidRDefault="00101E05" w:rsidP="00072E7A">
      <w:pPr>
        <w:pStyle w:val="PlainText"/>
        <w:rPr>
          <w:rFonts w:ascii="Arial Narrow" w:hAnsi="Arial Narrow"/>
          <w:sz w:val="24"/>
          <w:szCs w:val="24"/>
        </w:rPr>
      </w:pPr>
    </w:p>
    <w:p w14:paraId="701D2B05" w14:textId="5F43C722" w:rsidR="00AE354A" w:rsidRDefault="00101E05" w:rsidP="00072E7A">
      <w:pPr>
        <w:pStyle w:val="PlainText"/>
        <w:rPr>
          <w:rFonts w:ascii="Arial Narrow" w:hAnsi="Arial Narrow"/>
          <w:sz w:val="24"/>
          <w:szCs w:val="24"/>
        </w:rPr>
      </w:pPr>
      <w:r w:rsidRPr="003B3924">
        <w:rPr>
          <w:rFonts w:ascii="Arial Narrow" w:hAnsi="Arial Narrow"/>
          <w:sz w:val="24"/>
          <w:szCs w:val="24"/>
        </w:rPr>
        <w:t xml:space="preserve">The </w:t>
      </w:r>
      <w:proofErr w:type="spellStart"/>
      <w:r w:rsidRPr="003B3924">
        <w:rPr>
          <w:rFonts w:ascii="Arial Narrow" w:hAnsi="Arial Narrow"/>
          <w:sz w:val="24"/>
          <w:szCs w:val="24"/>
        </w:rPr>
        <w:t>Timescapes</w:t>
      </w:r>
      <w:proofErr w:type="spellEnd"/>
      <w:r w:rsidRPr="003B3924">
        <w:rPr>
          <w:rFonts w:ascii="Arial Narrow" w:hAnsi="Arial Narrow"/>
          <w:sz w:val="24"/>
          <w:szCs w:val="24"/>
        </w:rPr>
        <w:t xml:space="preserve"> projects all traced </w:t>
      </w:r>
      <w:bookmarkStart w:id="4" w:name="_Hlk521500794"/>
      <w:r w:rsidRPr="003B3924">
        <w:rPr>
          <w:rFonts w:ascii="Arial Narrow" w:hAnsi="Arial Narrow"/>
          <w:sz w:val="24"/>
          <w:szCs w:val="24"/>
        </w:rPr>
        <w:t>personal and family relationships over time</w:t>
      </w:r>
      <w:bookmarkEnd w:id="4"/>
      <w:r w:rsidRPr="003B3924">
        <w:rPr>
          <w:rFonts w:ascii="Arial Narrow" w:hAnsi="Arial Narrow"/>
          <w:sz w:val="24"/>
          <w:szCs w:val="24"/>
        </w:rPr>
        <w:t xml:space="preserve">, each emphasising a different </w:t>
      </w:r>
      <w:proofErr w:type="spellStart"/>
      <w:r w:rsidRPr="003B3924">
        <w:rPr>
          <w:rFonts w:ascii="Arial Narrow" w:hAnsi="Arial Narrow"/>
          <w:sz w:val="24"/>
          <w:szCs w:val="24"/>
        </w:rPr>
        <w:t>lifecourse</w:t>
      </w:r>
      <w:proofErr w:type="spellEnd"/>
      <w:r w:rsidRPr="003B3924">
        <w:rPr>
          <w:rFonts w:ascii="Arial Narrow" w:hAnsi="Arial Narrow"/>
          <w:sz w:val="24"/>
          <w:szCs w:val="24"/>
        </w:rPr>
        <w:t xml:space="preserve"> phase: from childhood and young personhood, through becoming parents and young family lives, to grandparenting and older age.</w:t>
      </w:r>
      <w:r w:rsidR="007A3D89">
        <w:rPr>
          <w:rFonts w:ascii="Arial Narrow" w:hAnsi="Arial Narrow"/>
          <w:sz w:val="24"/>
          <w:szCs w:val="24"/>
        </w:rPr>
        <w:t xml:space="preserve">  </w:t>
      </w:r>
      <w:r w:rsidR="00F36147">
        <w:rPr>
          <w:rFonts w:ascii="Arial Narrow" w:hAnsi="Arial Narrow"/>
          <w:sz w:val="24"/>
          <w:szCs w:val="24"/>
        </w:rPr>
        <w:t>T</w:t>
      </w:r>
      <w:r w:rsidRPr="003B3924">
        <w:rPr>
          <w:rFonts w:ascii="Arial Narrow" w:hAnsi="Arial Narrow"/>
          <w:sz w:val="24"/>
          <w:szCs w:val="24"/>
        </w:rPr>
        <w:t xml:space="preserve">he substantive focus for our methodological endeavour </w:t>
      </w:r>
      <w:r w:rsidR="00F36147">
        <w:rPr>
          <w:rFonts w:ascii="Arial Narrow" w:hAnsi="Arial Narrow"/>
          <w:sz w:val="24"/>
          <w:szCs w:val="24"/>
        </w:rPr>
        <w:t xml:space="preserve">was </w:t>
      </w:r>
      <w:r w:rsidRPr="003B3924">
        <w:rPr>
          <w:rFonts w:ascii="Arial Narrow" w:hAnsi="Arial Narrow"/>
          <w:sz w:val="24"/>
          <w:szCs w:val="24"/>
        </w:rPr>
        <w:t xml:space="preserve">shifts in vocabularies and practices of care and intimacy over time by gender and </w:t>
      </w:r>
      <w:r w:rsidRPr="002454C4">
        <w:rPr>
          <w:rFonts w:ascii="Arial Narrow" w:hAnsi="Arial Narrow"/>
          <w:sz w:val="24"/>
          <w:szCs w:val="24"/>
        </w:rPr>
        <w:t>age cohort.  We undertook a breadth-and-depth approach (see</w:t>
      </w:r>
      <w:r w:rsidR="00FE400D" w:rsidRPr="002454C4">
        <w:rPr>
          <w:rFonts w:ascii="Arial Narrow" w:hAnsi="Arial Narrow"/>
          <w:sz w:val="24"/>
          <w:szCs w:val="24"/>
        </w:rPr>
        <w:t xml:space="preserve"> </w:t>
      </w:r>
      <w:r w:rsidR="002454C4" w:rsidRPr="002454C4">
        <w:rPr>
          <w:rFonts w:ascii="Arial Narrow" w:hAnsi="Arial Narrow"/>
          <w:sz w:val="24"/>
          <w:szCs w:val="24"/>
        </w:rPr>
        <w:t>Davidson et al.</w:t>
      </w:r>
      <w:r w:rsidR="00FE400D" w:rsidRPr="002454C4">
        <w:rPr>
          <w:rFonts w:ascii="Arial Narrow" w:hAnsi="Arial Narrow"/>
          <w:sz w:val="24"/>
          <w:szCs w:val="24"/>
        </w:rPr>
        <w:t xml:space="preserve"> 2019</w:t>
      </w:r>
      <w:r w:rsidR="00E23017" w:rsidRPr="002454C4">
        <w:rPr>
          <w:rFonts w:ascii="Arial Narrow" w:hAnsi="Arial Narrow"/>
          <w:sz w:val="24"/>
          <w:szCs w:val="24"/>
        </w:rPr>
        <w:t xml:space="preserve">; </w:t>
      </w:r>
      <w:r w:rsidR="002454C4" w:rsidRPr="002454C4">
        <w:rPr>
          <w:rFonts w:ascii="Arial Narrow" w:hAnsi="Arial Narrow"/>
          <w:sz w:val="24"/>
          <w:szCs w:val="24"/>
        </w:rPr>
        <w:t>Edwards et al.</w:t>
      </w:r>
      <w:r w:rsidR="00FE400D" w:rsidRPr="002454C4">
        <w:rPr>
          <w:rFonts w:ascii="Arial Narrow" w:hAnsi="Arial Narrow"/>
          <w:sz w:val="24"/>
          <w:szCs w:val="24"/>
        </w:rPr>
        <w:t>,</w:t>
      </w:r>
      <w:r w:rsidR="00E23017" w:rsidRPr="002454C4">
        <w:rPr>
          <w:rFonts w:ascii="Arial Narrow" w:hAnsi="Arial Narrow"/>
          <w:sz w:val="24"/>
          <w:szCs w:val="24"/>
        </w:rPr>
        <w:t xml:space="preserve"> 2019</w:t>
      </w:r>
      <w:r w:rsidRPr="002454C4">
        <w:rPr>
          <w:rFonts w:ascii="Arial Narrow" w:hAnsi="Arial Narrow"/>
          <w:sz w:val="24"/>
          <w:szCs w:val="24"/>
        </w:rPr>
        <w:t>), a method developed for dealing with large amounts of qualitative data</w:t>
      </w:r>
      <w:r w:rsidR="00E23017" w:rsidRPr="002454C4">
        <w:rPr>
          <w:rFonts w:ascii="Arial Narrow" w:hAnsi="Arial Narrow"/>
          <w:sz w:val="24"/>
          <w:szCs w:val="24"/>
        </w:rPr>
        <w:t xml:space="preserve"> while retaining </w:t>
      </w:r>
      <w:r w:rsidR="00195EC8" w:rsidRPr="002454C4">
        <w:rPr>
          <w:rFonts w:ascii="Arial Narrow" w:hAnsi="Arial Narrow"/>
          <w:sz w:val="24"/>
          <w:szCs w:val="24"/>
        </w:rPr>
        <w:t xml:space="preserve">the </w:t>
      </w:r>
      <w:r w:rsidR="00195EC8" w:rsidRPr="003B3924">
        <w:rPr>
          <w:rFonts w:ascii="Arial Narrow" w:hAnsi="Arial Narrow"/>
          <w:sz w:val="24"/>
          <w:szCs w:val="24"/>
        </w:rPr>
        <w:t>distinctive order of knowledge about social processes that is the hallmark of rigorous qualitative research.  The approach</w:t>
      </w:r>
      <w:r w:rsidRPr="003B3924">
        <w:rPr>
          <w:rFonts w:ascii="Arial Narrow" w:hAnsi="Arial Narrow"/>
          <w:sz w:val="24"/>
          <w:szCs w:val="24"/>
        </w:rPr>
        <w:t xml:space="preserve"> involves four analytic steps: </w:t>
      </w:r>
      <w:r w:rsidR="00EE0146" w:rsidRPr="003B3924">
        <w:rPr>
          <w:rFonts w:ascii="Arial Narrow" w:hAnsi="Arial Narrow"/>
          <w:sz w:val="24"/>
          <w:szCs w:val="24"/>
        </w:rPr>
        <w:t xml:space="preserve">1. </w:t>
      </w:r>
      <w:r w:rsidRPr="003B3924">
        <w:rPr>
          <w:rFonts w:ascii="Arial Narrow" w:hAnsi="Arial Narrow"/>
          <w:sz w:val="24"/>
          <w:szCs w:val="24"/>
        </w:rPr>
        <w:t xml:space="preserve">constructing a corpus, </w:t>
      </w:r>
      <w:bookmarkStart w:id="5" w:name="_Hlk58584698"/>
      <w:r w:rsidR="00EE0146" w:rsidRPr="003B3924">
        <w:rPr>
          <w:rFonts w:ascii="Arial Narrow" w:hAnsi="Arial Narrow"/>
          <w:sz w:val="24"/>
          <w:szCs w:val="24"/>
        </w:rPr>
        <w:t xml:space="preserve">2. </w:t>
      </w:r>
      <w:r w:rsidRPr="003B3924">
        <w:rPr>
          <w:rFonts w:ascii="Arial Narrow" w:hAnsi="Arial Narrow"/>
          <w:sz w:val="24"/>
          <w:szCs w:val="24"/>
        </w:rPr>
        <w:t>gaining an overview of the contents of the corpus using computational techniques,</w:t>
      </w:r>
      <w:r w:rsidR="00EE0146" w:rsidRPr="003B3924">
        <w:rPr>
          <w:rFonts w:ascii="Arial Narrow" w:hAnsi="Arial Narrow"/>
          <w:sz w:val="24"/>
          <w:szCs w:val="24"/>
        </w:rPr>
        <w:t xml:space="preserve"> 3.</w:t>
      </w:r>
      <w:r w:rsidRPr="003B3924">
        <w:rPr>
          <w:rFonts w:ascii="Arial Narrow" w:hAnsi="Arial Narrow"/>
          <w:sz w:val="24"/>
          <w:szCs w:val="24"/>
        </w:rPr>
        <w:t xml:space="preserve"> a preliminary thematic examination of short data extracts, and </w:t>
      </w:r>
      <w:r w:rsidR="00210B76" w:rsidRPr="003B3924">
        <w:rPr>
          <w:rFonts w:ascii="Arial Narrow" w:hAnsi="Arial Narrow"/>
          <w:sz w:val="24"/>
          <w:szCs w:val="24"/>
        </w:rPr>
        <w:t>4</w:t>
      </w:r>
      <w:r w:rsidR="00EE0146" w:rsidRPr="003B3924">
        <w:rPr>
          <w:rFonts w:ascii="Arial Narrow" w:hAnsi="Arial Narrow"/>
          <w:sz w:val="24"/>
          <w:szCs w:val="24"/>
        </w:rPr>
        <w:t xml:space="preserve">. </w:t>
      </w:r>
      <w:r w:rsidRPr="003B3924">
        <w:rPr>
          <w:rFonts w:ascii="Arial Narrow" w:hAnsi="Arial Narrow"/>
          <w:sz w:val="24"/>
          <w:szCs w:val="24"/>
        </w:rPr>
        <w:t xml:space="preserve">working with whole cases for in-depth analysis.  </w:t>
      </w:r>
      <w:bookmarkEnd w:id="5"/>
    </w:p>
    <w:p w14:paraId="1A2D02DD" w14:textId="77777777" w:rsidR="00AE354A" w:rsidRDefault="00AE354A" w:rsidP="00072E7A">
      <w:pPr>
        <w:pStyle w:val="PlainText"/>
        <w:rPr>
          <w:rFonts w:ascii="Arial Narrow" w:hAnsi="Arial Narrow"/>
          <w:sz w:val="24"/>
          <w:szCs w:val="24"/>
        </w:rPr>
      </w:pPr>
    </w:p>
    <w:p w14:paraId="12C625D9" w14:textId="1F6E77DD" w:rsidR="00C548C7" w:rsidRPr="002454C4" w:rsidRDefault="00101E05" w:rsidP="00072E7A">
      <w:pPr>
        <w:pStyle w:val="PlainText"/>
        <w:rPr>
          <w:rFonts w:ascii="Arial Narrow" w:hAnsi="Arial Narrow"/>
          <w:sz w:val="24"/>
          <w:szCs w:val="24"/>
        </w:rPr>
      </w:pPr>
      <w:r w:rsidRPr="002454C4">
        <w:rPr>
          <w:rFonts w:ascii="Arial Narrow" w:hAnsi="Arial Narrow"/>
          <w:sz w:val="24"/>
          <w:szCs w:val="24"/>
        </w:rPr>
        <w:t xml:space="preserve">Thus, our </w:t>
      </w:r>
      <w:r w:rsidR="00EE0146" w:rsidRPr="002454C4">
        <w:rPr>
          <w:rFonts w:ascii="Arial Narrow" w:hAnsi="Arial Narrow"/>
          <w:sz w:val="24"/>
          <w:szCs w:val="24"/>
        </w:rPr>
        <w:t>first</w:t>
      </w:r>
      <w:r w:rsidRPr="002454C4">
        <w:rPr>
          <w:rFonts w:ascii="Arial Narrow" w:hAnsi="Arial Narrow"/>
          <w:sz w:val="24"/>
          <w:szCs w:val="24"/>
        </w:rPr>
        <w:t xml:space="preserve"> step was to combine the interviews with individuals across time from the archived </w:t>
      </w:r>
      <w:proofErr w:type="spellStart"/>
      <w:r w:rsidRPr="002454C4">
        <w:rPr>
          <w:rFonts w:ascii="Arial Narrow" w:hAnsi="Arial Narrow"/>
          <w:sz w:val="24"/>
          <w:szCs w:val="24"/>
        </w:rPr>
        <w:t>Timescapes</w:t>
      </w:r>
      <w:proofErr w:type="spellEnd"/>
      <w:r w:rsidRPr="002454C4">
        <w:rPr>
          <w:rFonts w:ascii="Arial Narrow" w:hAnsi="Arial Narrow"/>
          <w:sz w:val="24"/>
          <w:szCs w:val="24"/>
        </w:rPr>
        <w:t xml:space="preserve"> projects into one corpus.  </w:t>
      </w:r>
      <w:r w:rsidR="007A3D89" w:rsidRPr="002454C4">
        <w:rPr>
          <w:rFonts w:ascii="Arial Narrow" w:hAnsi="Arial Narrow"/>
          <w:sz w:val="24"/>
          <w:szCs w:val="24"/>
        </w:rPr>
        <w:t xml:space="preserve">The samples for the projects are complex, with core longitudinal participants and one-off significant others, and individual and group interviews.  </w:t>
      </w:r>
      <w:r w:rsidR="00A82A18" w:rsidRPr="002454C4">
        <w:rPr>
          <w:rFonts w:ascii="Arial Narrow" w:hAnsi="Arial Narrow"/>
          <w:sz w:val="24"/>
          <w:szCs w:val="24"/>
        </w:rPr>
        <w:t>T</w:t>
      </w:r>
      <w:r w:rsidR="007A3D89" w:rsidRPr="002454C4">
        <w:rPr>
          <w:rFonts w:ascii="Arial Narrow" w:hAnsi="Arial Narrow"/>
          <w:sz w:val="24"/>
          <w:szCs w:val="24"/>
        </w:rPr>
        <w:t>he profiles for each project are distinct, ranging from one focusing on a white working</w:t>
      </w:r>
      <w:r w:rsidR="0089412F" w:rsidRPr="002454C4">
        <w:rPr>
          <w:rFonts w:ascii="Arial Narrow" w:hAnsi="Arial Narrow"/>
          <w:sz w:val="24"/>
          <w:szCs w:val="24"/>
        </w:rPr>
        <w:t>-</w:t>
      </w:r>
      <w:r w:rsidR="007A3D89" w:rsidRPr="002454C4">
        <w:rPr>
          <w:rFonts w:ascii="Arial Narrow" w:hAnsi="Arial Narrow"/>
          <w:sz w:val="24"/>
          <w:szCs w:val="24"/>
        </w:rPr>
        <w:t xml:space="preserve">class community and another drawing on young people from diverse ethnic and social class locations. </w:t>
      </w:r>
      <w:r w:rsidR="00A82A18" w:rsidRPr="002454C4">
        <w:rPr>
          <w:rFonts w:ascii="Arial Narrow" w:hAnsi="Arial Narrow"/>
          <w:sz w:val="24"/>
          <w:szCs w:val="24"/>
        </w:rPr>
        <w:t xml:space="preserve"> </w:t>
      </w:r>
      <w:proofErr w:type="gramStart"/>
      <w:r w:rsidR="00A82A18" w:rsidRPr="002454C4">
        <w:rPr>
          <w:rFonts w:ascii="Arial Narrow" w:hAnsi="Arial Narrow"/>
          <w:sz w:val="24"/>
          <w:szCs w:val="24"/>
        </w:rPr>
        <w:t>Moreover</w:t>
      </w:r>
      <w:proofErr w:type="gramEnd"/>
      <w:r w:rsidR="00A82A18" w:rsidRPr="002454C4">
        <w:rPr>
          <w:rFonts w:ascii="Arial Narrow" w:hAnsi="Arial Narrow"/>
          <w:sz w:val="24"/>
          <w:szCs w:val="24"/>
        </w:rPr>
        <w:t xml:space="preserve"> the same background information was not always collected across the projects. </w:t>
      </w:r>
      <w:r w:rsidR="007A3D89" w:rsidRPr="002454C4">
        <w:rPr>
          <w:rFonts w:ascii="Arial Narrow" w:hAnsi="Arial Narrow"/>
          <w:sz w:val="24"/>
          <w:szCs w:val="24"/>
        </w:rPr>
        <w:t xml:space="preserve"> Details for each project </w:t>
      </w:r>
      <w:r w:rsidR="00C548C7" w:rsidRPr="002454C4">
        <w:rPr>
          <w:rFonts w:ascii="Arial Narrow" w:hAnsi="Arial Narrow"/>
          <w:sz w:val="24"/>
          <w:szCs w:val="24"/>
        </w:rPr>
        <w:t xml:space="preserve">can be found at </w:t>
      </w:r>
      <w:hyperlink r:id="rId9" w:history="1">
        <w:r w:rsidR="00C548C7" w:rsidRPr="002454C4">
          <w:rPr>
            <w:rStyle w:val="Hyperlink"/>
            <w:rFonts w:ascii="Arial Narrow" w:hAnsi="Arial Narrow"/>
            <w:color w:val="auto"/>
            <w:sz w:val="24"/>
            <w:szCs w:val="24"/>
          </w:rPr>
          <w:t>www.timescapes-archive.leeds.ac.uk/timescapes/research/</w:t>
        </w:r>
      </w:hyperlink>
      <w:r w:rsidR="00C548C7" w:rsidRPr="002454C4">
        <w:rPr>
          <w:rFonts w:ascii="Arial Narrow" w:hAnsi="Arial Narrow"/>
          <w:sz w:val="24"/>
          <w:szCs w:val="24"/>
        </w:rPr>
        <w:t xml:space="preserve">. </w:t>
      </w:r>
    </w:p>
    <w:p w14:paraId="6D5B206D" w14:textId="77777777" w:rsidR="007A3D89" w:rsidRPr="002454C4" w:rsidRDefault="007A3D89" w:rsidP="00072E7A">
      <w:pPr>
        <w:pStyle w:val="PlainText"/>
        <w:rPr>
          <w:rFonts w:ascii="Arial Narrow" w:hAnsi="Arial Narrow"/>
          <w:sz w:val="24"/>
          <w:szCs w:val="24"/>
        </w:rPr>
      </w:pPr>
    </w:p>
    <w:p w14:paraId="13961009" w14:textId="04D978C7" w:rsidR="00626066" w:rsidRPr="002454C4" w:rsidRDefault="00101E05" w:rsidP="00072E7A">
      <w:pPr>
        <w:pStyle w:val="PlainText"/>
        <w:rPr>
          <w:rFonts w:ascii="Arial Narrow" w:hAnsi="Arial Narrow"/>
          <w:sz w:val="24"/>
          <w:szCs w:val="24"/>
        </w:rPr>
      </w:pPr>
      <w:r w:rsidRPr="002454C4">
        <w:rPr>
          <w:rFonts w:ascii="Arial Narrow" w:hAnsi="Arial Narrow"/>
          <w:sz w:val="24"/>
          <w:szCs w:val="24"/>
        </w:rPr>
        <w:t>Th</w:t>
      </w:r>
      <w:r w:rsidR="00195EC8" w:rsidRPr="002454C4">
        <w:rPr>
          <w:rFonts w:ascii="Arial Narrow" w:hAnsi="Arial Narrow"/>
          <w:sz w:val="24"/>
          <w:szCs w:val="24"/>
        </w:rPr>
        <w:t>e corpus</w:t>
      </w:r>
      <w:r w:rsidRPr="002454C4">
        <w:rPr>
          <w:rFonts w:ascii="Arial Narrow" w:hAnsi="Arial Narrow"/>
          <w:sz w:val="24"/>
          <w:szCs w:val="24"/>
        </w:rPr>
        <w:t xml:space="preserve"> was organised into four main age cohorts that </w:t>
      </w:r>
      <w:r w:rsidR="00AE354A" w:rsidRPr="002454C4">
        <w:rPr>
          <w:rFonts w:ascii="Arial Narrow" w:hAnsi="Arial Narrow"/>
          <w:sz w:val="24"/>
          <w:szCs w:val="24"/>
        </w:rPr>
        <w:t>represented social generational experiences of social change related to our substantive area of interest, and in interaction with the individual participants position in various familial generations (child, parent, grandparent) (</w:t>
      </w:r>
      <w:proofErr w:type="spellStart"/>
      <w:r w:rsidR="00AE354A" w:rsidRPr="002454C4">
        <w:rPr>
          <w:rFonts w:ascii="Arial Narrow" w:hAnsi="Arial Narrow"/>
          <w:sz w:val="24"/>
          <w:szCs w:val="24"/>
        </w:rPr>
        <w:t>Hantrais</w:t>
      </w:r>
      <w:proofErr w:type="spellEnd"/>
      <w:r w:rsidR="00AE354A" w:rsidRPr="002454C4">
        <w:rPr>
          <w:rFonts w:ascii="Arial Narrow" w:hAnsi="Arial Narrow"/>
          <w:sz w:val="24"/>
          <w:szCs w:val="24"/>
        </w:rPr>
        <w:t xml:space="preserve"> et al., 2020).  The age cohorts </w:t>
      </w:r>
      <w:r w:rsidRPr="002454C4">
        <w:rPr>
          <w:rFonts w:ascii="Arial Narrow" w:hAnsi="Arial Narrow"/>
          <w:sz w:val="24"/>
          <w:szCs w:val="24"/>
        </w:rPr>
        <w:t xml:space="preserve">were </w:t>
      </w:r>
      <w:r w:rsidRPr="002454C4">
        <w:rPr>
          <w:rStyle w:val="s1"/>
          <w:rFonts w:ascii="Arial Narrow" w:hAnsi="Arial Narrow" w:cstheme="minorHAnsi"/>
          <w:sz w:val="24"/>
          <w:szCs w:val="24"/>
        </w:rPr>
        <w:t xml:space="preserve">defined using </w:t>
      </w:r>
      <w:r w:rsidR="00AE354A" w:rsidRPr="002454C4">
        <w:rPr>
          <w:rStyle w:val="s1"/>
          <w:rFonts w:ascii="Arial Narrow" w:hAnsi="Arial Narrow" w:cstheme="minorHAnsi"/>
          <w:sz w:val="24"/>
          <w:szCs w:val="24"/>
        </w:rPr>
        <w:t xml:space="preserve">a combination of analytic drive and pragmatism.  Our </w:t>
      </w:r>
      <w:r w:rsidRPr="002454C4">
        <w:rPr>
          <w:rStyle w:val="s1"/>
          <w:rFonts w:ascii="Arial Narrow" w:hAnsi="Arial Narrow" w:cstheme="minorHAnsi"/>
          <w:sz w:val="24"/>
          <w:szCs w:val="24"/>
        </w:rPr>
        <w:t xml:space="preserve">analytic drive reflects </w:t>
      </w:r>
      <w:r w:rsidRPr="002454C4">
        <w:rPr>
          <w:rFonts w:ascii="Arial Narrow" w:hAnsi="Arial Narrow" w:cstheme="minorHAnsi"/>
          <w:sz w:val="24"/>
          <w:szCs w:val="24"/>
        </w:rPr>
        <w:t xml:space="preserve">economic, welfare and demographic trends, and the implications </w:t>
      </w:r>
      <w:r w:rsidR="00195EC8" w:rsidRPr="002454C4">
        <w:rPr>
          <w:rFonts w:ascii="Arial Narrow" w:hAnsi="Arial Narrow" w:cstheme="minorHAnsi"/>
          <w:sz w:val="24"/>
          <w:szCs w:val="24"/>
        </w:rPr>
        <w:t xml:space="preserve">of these trends </w:t>
      </w:r>
      <w:r w:rsidRPr="002454C4">
        <w:rPr>
          <w:rFonts w:ascii="Arial Narrow" w:hAnsi="Arial Narrow" w:cstheme="minorHAnsi"/>
          <w:sz w:val="24"/>
          <w:szCs w:val="24"/>
        </w:rPr>
        <w:t xml:space="preserve">for </w:t>
      </w:r>
      <w:r w:rsidRPr="002454C4">
        <w:rPr>
          <w:rStyle w:val="s1"/>
          <w:rFonts w:ascii="Arial Narrow" w:hAnsi="Arial Narrow" w:cstheme="minorHAnsi"/>
          <w:sz w:val="24"/>
          <w:szCs w:val="24"/>
        </w:rPr>
        <w:t>caring and intimacy</w:t>
      </w:r>
      <w:r w:rsidR="00F36147" w:rsidRPr="002454C4">
        <w:rPr>
          <w:rStyle w:val="s1"/>
          <w:rFonts w:ascii="Arial Narrow" w:hAnsi="Arial Narrow" w:cstheme="minorHAnsi"/>
          <w:sz w:val="24"/>
          <w:szCs w:val="24"/>
        </w:rPr>
        <w:t>. P</w:t>
      </w:r>
      <w:r w:rsidR="00FD742F" w:rsidRPr="002454C4">
        <w:rPr>
          <w:rStyle w:val="s1"/>
          <w:rFonts w:ascii="Arial Narrow" w:hAnsi="Arial Narrow" w:cstheme="minorHAnsi"/>
          <w:sz w:val="24"/>
          <w:szCs w:val="24"/>
        </w:rPr>
        <w:t xml:space="preserve">ragmatically, given the extent of our combined dataset, age cohort boundaries had to be constructed so as to create analytically workable categories (e.g. a pre-1924 category would include only 8 individuals) </w:t>
      </w:r>
      <w:r w:rsidR="00195EC8" w:rsidRPr="002454C4">
        <w:rPr>
          <w:rFonts w:ascii="Arial Narrow" w:hAnsi="Arial Narrow"/>
          <w:sz w:val="24"/>
          <w:szCs w:val="24"/>
        </w:rPr>
        <w:t>(see Table 1)</w:t>
      </w:r>
      <w:r w:rsidR="00195EC8" w:rsidRPr="002454C4">
        <w:rPr>
          <w:rStyle w:val="s1"/>
          <w:rFonts w:ascii="Arial Narrow" w:hAnsi="Arial Narrow" w:cstheme="minorHAnsi"/>
          <w:sz w:val="24"/>
          <w:szCs w:val="24"/>
        </w:rPr>
        <w:t>.</w:t>
      </w:r>
      <w:r w:rsidRPr="002454C4">
        <w:rPr>
          <w:rStyle w:val="EndnoteReference"/>
          <w:rFonts w:ascii="Arial Narrow" w:hAnsi="Arial Narrow"/>
          <w:sz w:val="24"/>
          <w:szCs w:val="24"/>
        </w:rPr>
        <w:endnoteReference w:id="2"/>
      </w:r>
      <w:r w:rsidRPr="002454C4">
        <w:rPr>
          <w:rFonts w:ascii="Arial Narrow" w:hAnsi="Arial Narrow"/>
          <w:sz w:val="24"/>
          <w:szCs w:val="24"/>
        </w:rPr>
        <w:t xml:space="preserve"> </w:t>
      </w:r>
      <w:r w:rsidR="00195EC8" w:rsidRPr="002454C4">
        <w:rPr>
          <w:rFonts w:ascii="Arial Narrow" w:hAnsi="Arial Narrow"/>
          <w:sz w:val="24"/>
          <w:szCs w:val="24"/>
        </w:rPr>
        <w:t xml:space="preserve"> </w:t>
      </w:r>
      <w:r w:rsidR="007D4307" w:rsidRPr="002454C4">
        <w:rPr>
          <w:rFonts w:ascii="Arial Narrow" w:hAnsi="Arial Narrow"/>
          <w:sz w:val="24"/>
          <w:szCs w:val="24"/>
        </w:rPr>
        <w:t xml:space="preserve">While this still resulted in an uneven age cohort sample, this was mitigated through the process of generating </w:t>
      </w:r>
      <w:proofErr w:type="spellStart"/>
      <w:r w:rsidR="007D4307" w:rsidRPr="002454C4">
        <w:rPr>
          <w:rFonts w:ascii="Arial Narrow" w:hAnsi="Arial Narrow"/>
          <w:sz w:val="24"/>
          <w:szCs w:val="24"/>
        </w:rPr>
        <w:t>keyness</w:t>
      </w:r>
      <w:proofErr w:type="spellEnd"/>
      <w:r w:rsidR="007D4307" w:rsidRPr="002454C4">
        <w:rPr>
          <w:rFonts w:ascii="Arial Narrow" w:hAnsi="Arial Narrow"/>
          <w:sz w:val="24"/>
          <w:szCs w:val="24"/>
        </w:rPr>
        <w:t xml:space="preserve"> and co-</w:t>
      </w:r>
      <w:r w:rsidR="00F36147" w:rsidRPr="002454C4">
        <w:rPr>
          <w:rFonts w:ascii="Arial Narrow" w:hAnsi="Arial Narrow"/>
          <w:sz w:val="24"/>
          <w:szCs w:val="24"/>
        </w:rPr>
        <w:t>occurrence</w:t>
      </w:r>
      <w:r w:rsidR="007D4307" w:rsidRPr="002454C4">
        <w:rPr>
          <w:rFonts w:ascii="Arial Narrow" w:hAnsi="Arial Narrow"/>
          <w:sz w:val="24"/>
          <w:szCs w:val="24"/>
        </w:rPr>
        <w:t xml:space="preserve">, which we describe below.  </w:t>
      </w:r>
      <w:r w:rsidR="00195EC8" w:rsidRPr="002454C4">
        <w:rPr>
          <w:rFonts w:ascii="Arial Narrow" w:hAnsi="Arial Narrow"/>
          <w:sz w:val="24"/>
          <w:szCs w:val="24"/>
        </w:rPr>
        <w:t xml:space="preserve">The cohorts were </w:t>
      </w:r>
      <w:proofErr w:type="gramStart"/>
      <w:r w:rsidR="008F7981" w:rsidRPr="002454C4">
        <w:rPr>
          <w:rFonts w:ascii="Arial Narrow" w:hAnsi="Arial Narrow"/>
          <w:sz w:val="24"/>
          <w:szCs w:val="24"/>
        </w:rPr>
        <w:t>cross-cut</w:t>
      </w:r>
      <w:proofErr w:type="gramEnd"/>
      <w:r w:rsidR="008F7981" w:rsidRPr="002454C4">
        <w:rPr>
          <w:rFonts w:ascii="Arial Narrow" w:hAnsi="Arial Narrow"/>
          <w:sz w:val="24"/>
          <w:szCs w:val="24"/>
        </w:rPr>
        <w:t xml:space="preserve"> </w:t>
      </w:r>
      <w:r w:rsidR="003F69CC" w:rsidRPr="002454C4">
        <w:rPr>
          <w:rFonts w:ascii="Arial Narrow" w:hAnsi="Arial Narrow"/>
          <w:sz w:val="24"/>
          <w:szCs w:val="24"/>
        </w:rPr>
        <w:t>by gender</w:t>
      </w:r>
      <w:r w:rsidR="004C4C5B" w:rsidRPr="002454C4">
        <w:rPr>
          <w:rFonts w:ascii="Arial Narrow" w:hAnsi="Arial Narrow"/>
          <w:sz w:val="24"/>
          <w:szCs w:val="24"/>
        </w:rPr>
        <w:t xml:space="preserve"> as binary (given the </w:t>
      </w:r>
      <w:r w:rsidR="00195EC8" w:rsidRPr="002454C4">
        <w:rPr>
          <w:rFonts w:ascii="Arial Narrow" w:hAnsi="Arial Narrow"/>
          <w:sz w:val="24"/>
          <w:szCs w:val="24"/>
        </w:rPr>
        <w:t xml:space="preserve">binary </w:t>
      </w:r>
      <w:r w:rsidR="004C4C5B" w:rsidRPr="002454C4">
        <w:rPr>
          <w:rFonts w:ascii="Arial Narrow" w:hAnsi="Arial Narrow"/>
          <w:sz w:val="24"/>
          <w:szCs w:val="24"/>
        </w:rPr>
        <w:t>baseline data collected for the archived data)</w:t>
      </w:r>
      <w:r w:rsidR="003F69CC" w:rsidRPr="002454C4">
        <w:rPr>
          <w:rFonts w:ascii="Arial Narrow" w:hAnsi="Arial Narrow"/>
          <w:sz w:val="24"/>
          <w:szCs w:val="24"/>
        </w:rPr>
        <w:t xml:space="preserve">. </w:t>
      </w:r>
      <w:r w:rsidR="00A57459" w:rsidRPr="002454C4">
        <w:rPr>
          <w:rFonts w:ascii="Arial Narrow" w:hAnsi="Arial Narrow"/>
          <w:sz w:val="24"/>
          <w:szCs w:val="24"/>
        </w:rPr>
        <w:t xml:space="preserve"> </w:t>
      </w:r>
    </w:p>
    <w:p w14:paraId="2731BEBE" w14:textId="77777777" w:rsidR="007674B9" w:rsidRPr="003B3924" w:rsidRDefault="007674B9" w:rsidP="00072E7A">
      <w:pPr>
        <w:pStyle w:val="PlainText"/>
        <w:rPr>
          <w:rFonts w:ascii="Arial Narrow" w:hAnsi="Arial Narrow"/>
          <w:sz w:val="24"/>
          <w:szCs w:val="24"/>
        </w:rPr>
      </w:pPr>
    </w:p>
    <w:p w14:paraId="1EB16871" w14:textId="54043ABB" w:rsidR="00626066" w:rsidRPr="003B3924" w:rsidRDefault="00626066" w:rsidP="00072E7A">
      <w:pPr>
        <w:pStyle w:val="PlainText"/>
        <w:rPr>
          <w:rFonts w:ascii="Arial Narrow" w:hAnsi="Arial Narrow"/>
          <w:i/>
          <w:szCs w:val="22"/>
        </w:rPr>
      </w:pPr>
      <w:r w:rsidRPr="003B3924">
        <w:rPr>
          <w:rFonts w:ascii="Arial Narrow" w:hAnsi="Arial Narrow"/>
          <w:sz w:val="24"/>
          <w:szCs w:val="24"/>
        </w:rPr>
        <w:tab/>
      </w:r>
      <w:r w:rsidR="00385FC4" w:rsidRPr="003B3924">
        <w:rPr>
          <w:rFonts w:ascii="Arial Narrow" w:hAnsi="Arial Narrow"/>
          <w:i/>
          <w:szCs w:val="22"/>
        </w:rPr>
        <w:t>Tabl</w:t>
      </w:r>
      <w:r w:rsidRPr="003B3924">
        <w:rPr>
          <w:rFonts w:ascii="Arial Narrow" w:hAnsi="Arial Narrow"/>
          <w:i/>
          <w:szCs w:val="22"/>
        </w:rPr>
        <w:t>e 1: Age cohorts</w:t>
      </w:r>
      <w:r w:rsidR="005A4464" w:rsidRPr="003B3924">
        <w:rPr>
          <w:rFonts w:ascii="Arial Narrow" w:hAnsi="Arial Narrow"/>
          <w:i/>
          <w:szCs w:val="22"/>
        </w:rPr>
        <w:t xml:space="preserve"> by birt</w:t>
      </w:r>
      <w:r w:rsidR="00AE1FE1" w:rsidRPr="003B3924">
        <w:rPr>
          <w:rFonts w:ascii="Arial Narrow" w:hAnsi="Arial Narrow"/>
          <w:i/>
          <w:szCs w:val="22"/>
        </w:rPr>
        <w:t>h</w:t>
      </w:r>
      <w:r w:rsidR="001A790C" w:rsidRPr="003B3924">
        <w:rPr>
          <w:rFonts w:ascii="Arial Narrow" w:hAnsi="Arial Narrow"/>
          <w:i/>
          <w:szCs w:val="22"/>
        </w:rPr>
        <w:t xml:space="preserve"> year</w:t>
      </w:r>
      <w:r w:rsidR="00AE1FE1" w:rsidRPr="003B3924">
        <w:rPr>
          <w:rFonts w:ascii="Arial Narrow" w:hAnsi="Arial Narrow"/>
          <w:i/>
          <w:szCs w:val="22"/>
        </w:rPr>
        <w:t>, s</w:t>
      </w:r>
      <w:r w:rsidRPr="003B3924">
        <w:rPr>
          <w:rFonts w:ascii="Arial Narrow" w:hAnsi="Arial Narrow"/>
          <w:i/>
          <w:szCs w:val="22"/>
        </w:rPr>
        <w:t xml:space="preserve">ocial </w:t>
      </w:r>
      <w:proofErr w:type="gramStart"/>
      <w:r w:rsidRPr="003B3924">
        <w:rPr>
          <w:rFonts w:ascii="Arial Narrow" w:hAnsi="Arial Narrow"/>
          <w:i/>
          <w:szCs w:val="22"/>
        </w:rPr>
        <w:t>change</w:t>
      </w:r>
      <w:proofErr w:type="gramEnd"/>
      <w:r w:rsidR="00AE1FE1" w:rsidRPr="003B3924">
        <w:rPr>
          <w:rFonts w:ascii="Arial Narrow" w:hAnsi="Arial Narrow"/>
          <w:i/>
          <w:szCs w:val="22"/>
        </w:rPr>
        <w:t xml:space="preserve"> and </w:t>
      </w:r>
      <w:r w:rsidR="001A790C" w:rsidRPr="003B3924">
        <w:rPr>
          <w:rFonts w:ascii="Arial Narrow" w:hAnsi="Arial Narrow"/>
          <w:i/>
          <w:szCs w:val="22"/>
        </w:rPr>
        <w:t>sample by gender</w:t>
      </w:r>
    </w:p>
    <w:tbl>
      <w:tblPr>
        <w:tblStyle w:val="TableGrid"/>
        <w:tblW w:w="0" w:type="auto"/>
        <w:tblInd w:w="137" w:type="dxa"/>
        <w:tblLook w:val="04A0" w:firstRow="1" w:lastRow="0" w:firstColumn="1" w:lastColumn="0" w:noHBand="0" w:noVBand="1"/>
      </w:tblPr>
      <w:tblGrid>
        <w:gridCol w:w="843"/>
        <w:gridCol w:w="5524"/>
        <w:gridCol w:w="763"/>
        <w:gridCol w:w="761"/>
        <w:gridCol w:w="749"/>
      </w:tblGrid>
      <w:tr w:rsidR="00195EC8" w:rsidRPr="003B3924" w14:paraId="0244CB20" w14:textId="6383C69D" w:rsidTr="00D80245">
        <w:tc>
          <w:tcPr>
            <w:tcW w:w="846" w:type="dxa"/>
          </w:tcPr>
          <w:p w14:paraId="42465392" w14:textId="567D6BFE" w:rsidR="00D80245" w:rsidRPr="003B3924" w:rsidRDefault="00D80245" w:rsidP="00072E7A">
            <w:pPr>
              <w:pStyle w:val="PlainText"/>
              <w:rPr>
                <w:rFonts w:ascii="Arial Narrow" w:hAnsi="Arial Narrow"/>
                <w:i/>
                <w:sz w:val="20"/>
                <w:szCs w:val="20"/>
              </w:rPr>
            </w:pPr>
            <w:r w:rsidRPr="003B3924">
              <w:rPr>
                <w:rFonts w:ascii="Arial Narrow" w:hAnsi="Arial Narrow"/>
                <w:i/>
                <w:sz w:val="20"/>
                <w:szCs w:val="20"/>
              </w:rPr>
              <w:t>Born</w:t>
            </w:r>
          </w:p>
        </w:tc>
        <w:tc>
          <w:tcPr>
            <w:tcW w:w="5575" w:type="dxa"/>
          </w:tcPr>
          <w:p w14:paraId="1F00F1B1" w14:textId="7589A742" w:rsidR="00D80245" w:rsidRPr="003B3924" w:rsidRDefault="00D80245" w:rsidP="00072E7A">
            <w:pPr>
              <w:pStyle w:val="PlainText"/>
              <w:rPr>
                <w:rFonts w:ascii="Arial Narrow" w:hAnsi="Arial Narrow"/>
                <w:i/>
                <w:sz w:val="20"/>
                <w:szCs w:val="20"/>
              </w:rPr>
            </w:pPr>
            <w:r w:rsidRPr="003B3924">
              <w:rPr>
                <w:rFonts w:ascii="Arial Narrow" w:hAnsi="Arial Narrow"/>
                <w:i/>
                <w:sz w:val="20"/>
                <w:szCs w:val="20"/>
              </w:rPr>
              <w:t>Examples of social change related to intimacy and care</w:t>
            </w:r>
          </w:p>
        </w:tc>
        <w:tc>
          <w:tcPr>
            <w:tcW w:w="705" w:type="dxa"/>
          </w:tcPr>
          <w:p w14:paraId="1775E202" w14:textId="488AAE5A" w:rsidR="00D80245" w:rsidRPr="003B3924" w:rsidRDefault="00D80245" w:rsidP="00AE1FE1">
            <w:pPr>
              <w:pStyle w:val="PlainText"/>
              <w:jc w:val="center"/>
              <w:rPr>
                <w:rFonts w:ascii="Arial Narrow" w:hAnsi="Arial Narrow"/>
                <w:i/>
                <w:sz w:val="20"/>
                <w:szCs w:val="20"/>
              </w:rPr>
            </w:pPr>
            <w:r w:rsidRPr="003B3924">
              <w:rPr>
                <w:rFonts w:ascii="Arial Narrow" w:hAnsi="Arial Narrow"/>
                <w:i/>
                <w:sz w:val="20"/>
                <w:szCs w:val="20"/>
              </w:rPr>
              <w:t>Female</w:t>
            </w:r>
          </w:p>
        </w:tc>
        <w:tc>
          <w:tcPr>
            <w:tcW w:w="763" w:type="dxa"/>
          </w:tcPr>
          <w:p w14:paraId="0286B87C" w14:textId="2AAB04C4" w:rsidR="00D80245" w:rsidRPr="003B3924" w:rsidRDefault="00D80245" w:rsidP="00AE1FE1">
            <w:pPr>
              <w:pStyle w:val="PlainText"/>
              <w:jc w:val="center"/>
              <w:rPr>
                <w:rFonts w:ascii="Arial Narrow" w:hAnsi="Arial Narrow"/>
                <w:i/>
                <w:sz w:val="20"/>
                <w:szCs w:val="20"/>
              </w:rPr>
            </w:pPr>
            <w:r w:rsidRPr="003B3924">
              <w:rPr>
                <w:rFonts w:ascii="Arial Narrow" w:hAnsi="Arial Narrow"/>
                <w:i/>
                <w:sz w:val="20"/>
                <w:szCs w:val="20"/>
              </w:rPr>
              <w:t>Male</w:t>
            </w:r>
          </w:p>
        </w:tc>
        <w:tc>
          <w:tcPr>
            <w:tcW w:w="751" w:type="dxa"/>
          </w:tcPr>
          <w:p w14:paraId="516771A4" w14:textId="7547B53C" w:rsidR="00D80245" w:rsidRPr="003B3924" w:rsidRDefault="00D80245" w:rsidP="00AE1FE1">
            <w:pPr>
              <w:pStyle w:val="PlainText"/>
              <w:jc w:val="center"/>
              <w:rPr>
                <w:rFonts w:ascii="Arial Narrow" w:hAnsi="Arial Narrow"/>
                <w:i/>
                <w:sz w:val="20"/>
                <w:szCs w:val="20"/>
              </w:rPr>
            </w:pPr>
            <w:r w:rsidRPr="003B3924">
              <w:rPr>
                <w:rFonts w:ascii="Arial Narrow" w:hAnsi="Arial Narrow"/>
                <w:i/>
                <w:sz w:val="20"/>
                <w:szCs w:val="20"/>
              </w:rPr>
              <w:t>Total</w:t>
            </w:r>
          </w:p>
        </w:tc>
      </w:tr>
      <w:tr w:rsidR="00195EC8" w:rsidRPr="003B3924" w14:paraId="061FD841" w14:textId="087F7D0B" w:rsidTr="00D80245">
        <w:tc>
          <w:tcPr>
            <w:tcW w:w="846" w:type="dxa"/>
          </w:tcPr>
          <w:p w14:paraId="24314A77" w14:textId="69605C3E"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1908-1949</w:t>
            </w:r>
          </w:p>
        </w:tc>
        <w:tc>
          <w:tcPr>
            <w:tcW w:w="5575" w:type="dxa"/>
          </w:tcPr>
          <w:p w14:paraId="42A79B1E" w14:textId="1D50A396"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Experience of First and Second World Wars, rationing and austerity</w:t>
            </w:r>
          </w:p>
          <w:p w14:paraId="391DA4E1" w14:textId="47DB3023"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Pre</w:t>
            </w:r>
            <w:r w:rsidR="00F36147">
              <w:rPr>
                <w:rFonts w:ascii="Arial Narrow" w:hAnsi="Arial Narrow"/>
                <w:sz w:val="20"/>
                <w:szCs w:val="20"/>
              </w:rPr>
              <w:t>-</w:t>
            </w:r>
            <w:r w:rsidRPr="003B3924">
              <w:rPr>
                <w:rFonts w:ascii="Arial Narrow" w:hAnsi="Arial Narrow"/>
                <w:sz w:val="20"/>
                <w:szCs w:val="20"/>
              </w:rPr>
              <w:t>comprehensive welfare state</w:t>
            </w:r>
          </w:p>
          <w:p w14:paraId="120287C9" w14:textId="661049C5"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Defined male and female roles</w:t>
            </w:r>
          </w:p>
        </w:tc>
        <w:tc>
          <w:tcPr>
            <w:tcW w:w="705" w:type="dxa"/>
          </w:tcPr>
          <w:p w14:paraId="006B306E" w14:textId="77777777" w:rsidR="00D80245" w:rsidRPr="00C00209" w:rsidRDefault="00D80245" w:rsidP="00AE1FE1">
            <w:pPr>
              <w:pStyle w:val="PlainText"/>
              <w:jc w:val="center"/>
              <w:rPr>
                <w:rFonts w:ascii="Arial Narrow" w:hAnsi="Arial Narrow"/>
                <w:sz w:val="20"/>
                <w:szCs w:val="20"/>
              </w:rPr>
            </w:pPr>
          </w:p>
          <w:p w14:paraId="71AB66BA" w14:textId="303981BD" w:rsidR="00D80245" w:rsidRPr="00C00209" w:rsidRDefault="00D80245" w:rsidP="00D80245">
            <w:pPr>
              <w:pStyle w:val="PlainText"/>
              <w:jc w:val="center"/>
              <w:rPr>
                <w:rFonts w:ascii="Arial Narrow" w:hAnsi="Arial Narrow"/>
                <w:sz w:val="20"/>
                <w:szCs w:val="20"/>
              </w:rPr>
            </w:pPr>
            <w:r w:rsidRPr="00C00209">
              <w:rPr>
                <w:rFonts w:ascii="Arial Narrow" w:hAnsi="Arial Narrow"/>
                <w:sz w:val="20"/>
                <w:szCs w:val="20"/>
              </w:rPr>
              <w:t>13</w:t>
            </w:r>
          </w:p>
        </w:tc>
        <w:tc>
          <w:tcPr>
            <w:tcW w:w="763" w:type="dxa"/>
          </w:tcPr>
          <w:p w14:paraId="11ABED75" w14:textId="77777777" w:rsidR="00D80245" w:rsidRPr="00C00209" w:rsidRDefault="00D80245" w:rsidP="00AE1FE1">
            <w:pPr>
              <w:pStyle w:val="PlainText"/>
              <w:jc w:val="center"/>
              <w:rPr>
                <w:rFonts w:ascii="Arial Narrow" w:hAnsi="Arial Narrow"/>
                <w:sz w:val="20"/>
                <w:szCs w:val="20"/>
              </w:rPr>
            </w:pPr>
          </w:p>
          <w:p w14:paraId="55B5305E" w14:textId="29330C50" w:rsidR="00D80245" w:rsidRPr="00C00209" w:rsidRDefault="00D80245" w:rsidP="00D80245">
            <w:pPr>
              <w:pStyle w:val="PlainText"/>
              <w:jc w:val="center"/>
              <w:rPr>
                <w:rFonts w:ascii="Arial Narrow" w:hAnsi="Arial Narrow"/>
                <w:sz w:val="20"/>
                <w:szCs w:val="20"/>
              </w:rPr>
            </w:pPr>
            <w:r w:rsidRPr="00C00209">
              <w:rPr>
                <w:rFonts w:ascii="Arial Narrow" w:hAnsi="Arial Narrow"/>
                <w:sz w:val="20"/>
                <w:szCs w:val="20"/>
              </w:rPr>
              <w:t>5</w:t>
            </w:r>
          </w:p>
        </w:tc>
        <w:tc>
          <w:tcPr>
            <w:tcW w:w="751" w:type="dxa"/>
          </w:tcPr>
          <w:p w14:paraId="13549DE1" w14:textId="77777777" w:rsidR="00D80245" w:rsidRPr="00C00209" w:rsidRDefault="00D80245" w:rsidP="00AE1FE1">
            <w:pPr>
              <w:pStyle w:val="PlainText"/>
              <w:jc w:val="center"/>
              <w:rPr>
                <w:rFonts w:ascii="Arial Narrow" w:hAnsi="Arial Narrow"/>
                <w:sz w:val="20"/>
                <w:szCs w:val="20"/>
              </w:rPr>
            </w:pPr>
          </w:p>
          <w:p w14:paraId="1DECC805" w14:textId="7E3E651B" w:rsidR="00D80245" w:rsidRPr="00C00209" w:rsidRDefault="00D80245" w:rsidP="00D80245">
            <w:pPr>
              <w:pStyle w:val="PlainText"/>
              <w:jc w:val="center"/>
              <w:rPr>
                <w:rFonts w:ascii="Arial Narrow" w:hAnsi="Arial Narrow"/>
                <w:sz w:val="20"/>
                <w:szCs w:val="20"/>
              </w:rPr>
            </w:pPr>
            <w:r w:rsidRPr="00C00209">
              <w:rPr>
                <w:rFonts w:ascii="Arial Narrow" w:hAnsi="Arial Narrow"/>
                <w:sz w:val="20"/>
                <w:szCs w:val="20"/>
              </w:rPr>
              <w:t>1</w:t>
            </w:r>
            <w:r w:rsidR="008B0FB6">
              <w:rPr>
                <w:rFonts w:ascii="Arial Narrow" w:hAnsi="Arial Narrow"/>
                <w:sz w:val="20"/>
                <w:szCs w:val="20"/>
              </w:rPr>
              <w:t>8</w:t>
            </w:r>
          </w:p>
        </w:tc>
      </w:tr>
      <w:tr w:rsidR="00195EC8" w:rsidRPr="003B3924" w14:paraId="76A6D8E2" w14:textId="1FC22410" w:rsidTr="00D80245">
        <w:tc>
          <w:tcPr>
            <w:tcW w:w="846" w:type="dxa"/>
          </w:tcPr>
          <w:p w14:paraId="0EB7EBDD" w14:textId="738EAFC1"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1950-1969</w:t>
            </w:r>
          </w:p>
        </w:tc>
        <w:tc>
          <w:tcPr>
            <w:tcW w:w="5575" w:type="dxa"/>
          </w:tcPr>
          <w:p w14:paraId="4906CEA6" w14:textId="53B19DA4"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Comprehensive welfare state with security from ‘cradle to grave’ established following 1948 National Insurance, National Assistance and National Health Service Acts.</w:t>
            </w:r>
          </w:p>
          <w:p w14:paraId="0444C1A5" w14:textId="2DB7F6AF"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Low unemployment and social housing provision</w:t>
            </w:r>
          </w:p>
          <w:p w14:paraId="40E0443E" w14:textId="048ED714" w:rsidR="00D80245" w:rsidRPr="003B3924" w:rsidRDefault="00D80245" w:rsidP="00F36147">
            <w:pPr>
              <w:pStyle w:val="PlainText"/>
              <w:rPr>
                <w:rFonts w:ascii="Arial Narrow" w:hAnsi="Arial Narrow"/>
                <w:sz w:val="20"/>
                <w:szCs w:val="20"/>
              </w:rPr>
            </w:pPr>
            <w:r w:rsidRPr="003B3924">
              <w:rPr>
                <w:rFonts w:ascii="Arial Narrow" w:hAnsi="Arial Narrow"/>
                <w:sz w:val="20"/>
                <w:szCs w:val="20"/>
              </w:rPr>
              <w:t xml:space="preserve">Rise in female emancipation, </w:t>
            </w:r>
            <w:r w:rsidR="00870DE3" w:rsidRPr="003B3924">
              <w:rPr>
                <w:rFonts w:ascii="Arial Narrow" w:hAnsi="Arial Narrow"/>
                <w:sz w:val="20"/>
                <w:szCs w:val="20"/>
              </w:rPr>
              <w:t>start of availability of</w:t>
            </w:r>
            <w:r w:rsidRPr="003B3924">
              <w:rPr>
                <w:rFonts w:ascii="Arial Narrow" w:hAnsi="Arial Narrow"/>
                <w:sz w:val="20"/>
                <w:szCs w:val="20"/>
              </w:rPr>
              <w:t xml:space="preserve"> contraceptive pill, change in attitudes to sex and marriage, 1967 Abortion Act</w:t>
            </w:r>
          </w:p>
        </w:tc>
        <w:tc>
          <w:tcPr>
            <w:tcW w:w="705" w:type="dxa"/>
          </w:tcPr>
          <w:p w14:paraId="01448F84" w14:textId="77777777" w:rsidR="00D80245" w:rsidRPr="00C00209" w:rsidRDefault="00D80245" w:rsidP="00AE1FE1">
            <w:pPr>
              <w:pStyle w:val="PlainText"/>
              <w:jc w:val="center"/>
              <w:rPr>
                <w:rFonts w:ascii="Arial Narrow" w:hAnsi="Arial Narrow"/>
                <w:sz w:val="20"/>
                <w:szCs w:val="20"/>
              </w:rPr>
            </w:pPr>
          </w:p>
          <w:p w14:paraId="6D6EDD24" w14:textId="13C62AB5"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24</w:t>
            </w:r>
          </w:p>
        </w:tc>
        <w:tc>
          <w:tcPr>
            <w:tcW w:w="763" w:type="dxa"/>
          </w:tcPr>
          <w:p w14:paraId="1448B282" w14:textId="77777777" w:rsidR="00D80245" w:rsidRPr="00C00209" w:rsidRDefault="00D80245" w:rsidP="00AE1FE1">
            <w:pPr>
              <w:pStyle w:val="PlainText"/>
              <w:jc w:val="center"/>
              <w:rPr>
                <w:rFonts w:ascii="Arial Narrow" w:hAnsi="Arial Narrow"/>
                <w:sz w:val="20"/>
                <w:szCs w:val="20"/>
              </w:rPr>
            </w:pPr>
          </w:p>
          <w:p w14:paraId="5507ECF9" w14:textId="0C908D80"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23</w:t>
            </w:r>
          </w:p>
        </w:tc>
        <w:tc>
          <w:tcPr>
            <w:tcW w:w="751" w:type="dxa"/>
          </w:tcPr>
          <w:p w14:paraId="79DA4985" w14:textId="77777777" w:rsidR="00D80245" w:rsidRPr="00C00209" w:rsidRDefault="00D80245" w:rsidP="00AE1FE1">
            <w:pPr>
              <w:pStyle w:val="PlainText"/>
              <w:jc w:val="center"/>
              <w:rPr>
                <w:rFonts w:ascii="Arial Narrow" w:hAnsi="Arial Narrow"/>
                <w:sz w:val="20"/>
                <w:szCs w:val="20"/>
              </w:rPr>
            </w:pPr>
          </w:p>
          <w:p w14:paraId="26D918A5" w14:textId="27D61B16"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47</w:t>
            </w:r>
          </w:p>
          <w:p w14:paraId="75EE2EC9" w14:textId="43F4F147" w:rsidR="00D80245" w:rsidRPr="00C00209" w:rsidRDefault="00D80245" w:rsidP="00D80245">
            <w:pPr>
              <w:pStyle w:val="PlainText"/>
              <w:rPr>
                <w:rFonts w:ascii="Arial Narrow" w:hAnsi="Arial Narrow"/>
                <w:sz w:val="20"/>
                <w:szCs w:val="20"/>
              </w:rPr>
            </w:pPr>
          </w:p>
        </w:tc>
      </w:tr>
      <w:tr w:rsidR="00195EC8" w:rsidRPr="003B3924" w14:paraId="4FE366B1" w14:textId="4D85BEF8" w:rsidTr="00D80245">
        <w:tc>
          <w:tcPr>
            <w:tcW w:w="846" w:type="dxa"/>
          </w:tcPr>
          <w:p w14:paraId="2BFC35FE" w14:textId="354CB8F2"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lastRenderedPageBreak/>
              <w:t>1970-1989</w:t>
            </w:r>
          </w:p>
        </w:tc>
        <w:tc>
          <w:tcPr>
            <w:tcW w:w="5575" w:type="dxa"/>
          </w:tcPr>
          <w:p w14:paraId="4B6F4ADE" w14:textId="77777777"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Rising employment rate and protection for women: 1970 Equal Pay Act, 1975 Sex Discrimination Act, 1975 Employment Protection Act</w:t>
            </w:r>
          </w:p>
          <w:p w14:paraId="05B01A08" w14:textId="663AE827"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Rising divorce rate and cohabitation: 1971 Divorce Reform Act</w:t>
            </w:r>
          </w:p>
        </w:tc>
        <w:tc>
          <w:tcPr>
            <w:tcW w:w="705" w:type="dxa"/>
          </w:tcPr>
          <w:p w14:paraId="3964D9A0" w14:textId="77777777" w:rsidR="00D80245" w:rsidRPr="00C00209" w:rsidRDefault="00D80245" w:rsidP="00AE1FE1">
            <w:pPr>
              <w:pStyle w:val="PlainText"/>
              <w:jc w:val="center"/>
              <w:rPr>
                <w:rFonts w:ascii="Arial Narrow" w:hAnsi="Arial Narrow"/>
                <w:sz w:val="20"/>
                <w:szCs w:val="20"/>
              </w:rPr>
            </w:pPr>
          </w:p>
          <w:p w14:paraId="51555038" w14:textId="51115DE4"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14</w:t>
            </w:r>
          </w:p>
        </w:tc>
        <w:tc>
          <w:tcPr>
            <w:tcW w:w="763" w:type="dxa"/>
          </w:tcPr>
          <w:p w14:paraId="578A7CF5" w14:textId="77777777" w:rsidR="00D80245" w:rsidRPr="00C00209" w:rsidRDefault="00D80245" w:rsidP="00AE1FE1">
            <w:pPr>
              <w:pStyle w:val="PlainText"/>
              <w:jc w:val="center"/>
              <w:rPr>
                <w:rFonts w:ascii="Arial Narrow" w:hAnsi="Arial Narrow"/>
                <w:sz w:val="20"/>
                <w:szCs w:val="20"/>
              </w:rPr>
            </w:pPr>
          </w:p>
          <w:p w14:paraId="1EF923AC" w14:textId="50CA8E8B"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16</w:t>
            </w:r>
          </w:p>
        </w:tc>
        <w:tc>
          <w:tcPr>
            <w:tcW w:w="751" w:type="dxa"/>
          </w:tcPr>
          <w:p w14:paraId="5600CEB1" w14:textId="62A1C20F" w:rsidR="00D80245" w:rsidRPr="00C00209" w:rsidRDefault="00D80245" w:rsidP="00AE1FE1">
            <w:pPr>
              <w:pStyle w:val="PlainText"/>
              <w:jc w:val="center"/>
              <w:rPr>
                <w:rFonts w:ascii="Arial Narrow" w:hAnsi="Arial Narrow"/>
                <w:sz w:val="20"/>
                <w:szCs w:val="20"/>
              </w:rPr>
            </w:pPr>
          </w:p>
          <w:p w14:paraId="1EFC03F1" w14:textId="4A375C07"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30</w:t>
            </w:r>
          </w:p>
        </w:tc>
      </w:tr>
      <w:tr w:rsidR="00D80245" w:rsidRPr="003B3924" w14:paraId="48382EC8" w14:textId="452FF1D8" w:rsidTr="00D80245">
        <w:tc>
          <w:tcPr>
            <w:tcW w:w="846" w:type="dxa"/>
          </w:tcPr>
          <w:p w14:paraId="79DB588C" w14:textId="2ED33B48"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1990-2001</w:t>
            </w:r>
          </w:p>
        </w:tc>
        <w:tc>
          <w:tcPr>
            <w:tcW w:w="5575" w:type="dxa"/>
          </w:tcPr>
          <w:p w14:paraId="0A6998B3" w14:textId="76DDD7DB"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Extended dependency in childhood with longer in education</w:t>
            </w:r>
          </w:p>
          <w:p w14:paraId="496A4C20" w14:textId="77777777"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Later age of marriage and having children</w:t>
            </w:r>
          </w:p>
          <w:p w14:paraId="6EE0FC33" w14:textId="41817123" w:rsidR="00D80245" w:rsidRPr="003B3924" w:rsidRDefault="00D80245" w:rsidP="00072E7A">
            <w:pPr>
              <w:pStyle w:val="PlainText"/>
              <w:rPr>
                <w:rFonts w:ascii="Arial Narrow" w:hAnsi="Arial Narrow"/>
                <w:sz w:val="20"/>
                <w:szCs w:val="20"/>
              </w:rPr>
            </w:pPr>
            <w:r w:rsidRPr="003B3924">
              <w:rPr>
                <w:rFonts w:ascii="Arial Narrow" w:hAnsi="Arial Narrow"/>
                <w:sz w:val="20"/>
                <w:szCs w:val="20"/>
              </w:rPr>
              <w:t>Experience of austerity with public service cutbacks, and health and care privatisation</w:t>
            </w:r>
          </w:p>
        </w:tc>
        <w:tc>
          <w:tcPr>
            <w:tcW w:w="705" w:type="dxa"/>
          </w:tcPr>
          <w:p w14:paraId="204F60A6" w14:textId="77777777" w:rsidR="00D80245" w:rsidRPr="00C00209" w:rsidRDefault="00D80245" w:rsidP="00AE1FE1">
            <w:pPr>
              <w:pStyle w:val="PlainText"/>
              <w:jc w:val="center"/>
              <w:rPr>
                <w:rFonts w:ascii="Arial Narrow" w:hAnsi="Arial Narrow"/>
                <w:sz w:val="20"/>
                <w:szCs w:val="20"/>
              </w:rPr>
            </w:pPr>
          </w:p>
          <w:p w14:paraId="2261435C" w14:textId="465C1A89"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28</w:t>
            </w:r>
          </w:p>
        </w:tc>
        <w:tc>
          <w:tcPr>
            <w:tcW w:w="763" w:type="dxa"/>
          </w:tcPr>
          <w:p w14:paraId="28DD5764" w14:textId="77777777" w:rsidR="00D80245" w:rsidRPr="00C00209" w:rsidRDefault="00D80245" w:rsidP="00AE1FE1">
            <w:pPr>
              <w:pStyle w:val="PlainText"/>
              <w:jc w:val="center"/>
              <w:rPr>
                <w:rFonts w:ascii="Arial Narrow" w:hAnsi="Arial Narrow"/>
                <w:sz w:val="20"/>
                <w:szCs w:val="20"/>
              </w:rPr>
            </w:pPr>
          </w:p>
          <w:p w14:paraId="0D5E2A7B" w14:textId="0C3E6F97"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27</w:t>
            </w:r>
          </w:p>
        </w:tc>
        <w:tc>
          <w:tcPr>
            <w:tcW w:w="751" w:type="dxa"/>
          </w:tcPr>
          <w:p w14:paraId="7D2F1958" w14:textId="3E0B5AC6" w:rsidR="00D80245" w:rsidRPr="00C00209" w:rsidRDefault="00D80245" w:rsidP="00AE1FE1">
            <w:pPr>
              <w:pStyle w:val="PlainText"/>
              <w:jc w:val="center"/>
              <w:rPr>
                <w:rFonts w:ascii="Arial Narrow" w:hAnsi="Arial Narrow"/>
                <w:sz w:val="20"/>
                <w:szCs w:val="20"/>
              </w:rPr>
            </w:pPr>
          </w:p>
          <w:p w14:paraId="5B5DB546" w14:textId="04637886" w:rsidR="00D80245" w:rsidRPr="00C00209" w:rsidRDefault="00D80245" w:rsidP="00AE1FE1">
            <w:pPr>
              <w:pStyle w:val="PlainText"/>
              <w:jc w:val="center"/>
              <w:rPr>
                <w:rFonts w:ascii="Arial Narrow" w:hAnsi="Arial Narrow"/>
                <w:sz w:val="20"/>
                <w:szCs w:val="20"/>
              </w:rPr>
            </w:pPr>
            <w:r w:rsidRPr="00C00209">
              <w:rPr>
                <w:rFonts w:ascii="Arial Narrow" w:hAnsi="Arial Narrow"/>
                <w:sz w:val="20"/>
                <w:szCs w:val="20"/>
              </w:rPr>
              <w:t>55</w:t>
            </w:r>
          </w:p>
        </w:tc>
      </w:tr>
    </w:tbl>
    <w:p w14:paraId="59D81278" w14:textId="51497DDA" w:rsidR="00626066" w:rsidRPr="003B3924" w:rsidRDefault="00626066" w:rsidP="00072E7A">
      <w:pPr>
        <w:pStyle w:val="PlainText"/>
        <w:rPr>
          <w:rFonts w:ascii="Arial Narrow" w:hAnsi="Arial Narrow"/>
          <w:sz w:val="24"/>
          <w:szCs w:val="24"/>
        </w:rPr>
      </w:pPr>
    </w:p>
    <w:p w14:paraId="7C2FF985" w14:textId="36359ACF" w:rsidR="0097700D" w:rsidRPr="003B3924" w:rsidRDefault="008737F6" w:rsidP="00DD60E7">
      <w:r w:rsidRPr="002454C4">
        <w:t xml:space="preserve">This </w:t>
      </w:r>
      <w:r w:rsidR="005A4464" w:rsidRPr="002454C4">
        <w:t xml:space="preserve">organisation </w:t>
      </w:r>
      <w:r w:rsidRPr="002454C4">
        <w:t xml:space="preserve">enabled a comparative approach to investigation, between </w:t>
      </w:r>
      <w:r w:rsidR="00FD742F" w:rsidRPr="002454C4">
        <w:t xml:space="preserve">age </w:t>
      </w:r>
      <w:r w:rsidRPr="002454C4">
        <w:t xml:space="preserve">cohorts and </w:t>
      </w:r>
      <w:r w:rsidRPr="003B3924">
        <w:t xml:space="preserve">gender.  </w:t>
      </w:r>
      <w:r w:rsidR="00011F8F">
        <w:t xml:space="preserve">Our </w:t>
      </w:r>
      <w:r w:rsidR="00EE0146" w:rsidRPr="003B3924">
        <w:t xml:space="preserve">second step </w:t>
      </w:r>
      <w:r w:rsidR="00011F8F">
        <w:t xml:space="preserve">was to </w:t>
      </w:r>
      <w:r w:rsidR="00EE0146" w:rsidRPr="003B3924">
        <w:t xml:space="preserve">gain an overview of the contents of the corpus.  We conducted </w:t>
      </w:r>
      <w:r w:rsidR="0097700D" w:rsidRPr="003B3924">
        <w:t>a breadth keyword</w:t>
      </w:r>
      <w:r w:rsidR="006C0E6E" w:rsidRPr="003B3924">
        <w:t xml:space="preserve"> search </w:t>
      </w:r>
      <w:r w:rsidR="00723FF1" w:rsidRPr="003B3924">
        <w:t xml:space="preserve">across the combined </w:t>
      </w:r>
      <w:proofErr w:type="spellStart"/>
      <w:r w:rsidR="00723FF1" w:rsidRPr="003B3924">
        <w:t>Timescapes</w:t>
      </w:r>
      <w:proofErr w:type="spellEnd"/>
      <w:r w:rsidR="00723FF1" w:rsidRPr="003B3924">
        <w:t xml:space="preserve"> data set </w:t>
      </w:r>
      <w:r w:rsidR="00195EC8" w:rsidRPr="003B3924">
        <w:t xml:space="preserve">using </w:t>
      </w:r>
      <w:r w:rsidR="00F228BE" w:rsidRPr="003B3924">
        <w:t>Leximancer</w:t>
      </w:r>
      <w:r w:rsidR="00F377EA">
        <w:t>;</w:t>
      </w:r>
      <w:r w:rsidR="00F228BE" w:rsidRPr="003B3924">
        <w:t xml:space="preserve"> </w:t>
      </w:r>
      <w:r w:rsidR="00F377EA">
        <w:t xml:space="preserve">text-mining </w:t>
      </w:r>
      <w:r w:rsidR="00F228BE" w:rsidRPr="003B3924">
        <w:t xml:space="preserve">software </w:t>
      </w:r>
      <w:r w:rsidR="00F377EA" w:rsidRPr="003B3924">
        <w:t>t</w:t>
      </w:r>
      <w:r w:rsidR="00F377EA">
        <w:t>hat</w:t>
      </w:r>
      <w:r w:rsidR="00EE0146" w:rsidRPr="003B3924">
        <w:t xml:space="preserve"> scrutinise</w:t>
      </w:r>
      <w:r w:rsidR="00F377EA">
        <w:t>s</w:t>
      </w:r>
      <w:r w:rsidR="00EE0146" w:rsidRPr="003B3924">
        <w:t xml:space="preserve"> the relative frequency of words across individual participants for whom we had </w:t>
      </w:r>
      <w:r w:rsidR="0089412F">
        <w:t xml:space="preserve">a </w:t>
      </w:r>
      <w:r w:rsidR="00EE0146" w:rsidRPr="003B3924">
        <w:t>date of birth</w:t>
      </w:r>
      <w:r w:rsidR="00195EC8" w:rsidRPr="003B3924">
        <w:t>.  Leximancer</w:t>
      </w:r>
      <w:r w:rsidR="00DD60E7" w:rsidRPr="003B3924">
        <w:t xml:space="preserve"> u</w:t>
      </w:r>
      <w:r w:rsidR="00E14C88" w:rsidRPr="003B3924">
        <w:t>ses</w:t>
      </w:r>
      <w:r w:rsidR="00DD60E7" w:rsidRPr="003B3924">
        <w:t xml:space="preserve"> statistics-based algorithms to automatically analyse text</w:t>
      </w:r>
      <w:r w:rsidR="00870DE3" w:rsidRPr="003B3924">
        <w:t>:</w:t>
      </w:r>
      <w:r w:rsidR="00DD60E7" w:rsidRPr="003B3924">
        <w:t xml:space="preserve"> </w:t>
      </w:r>
      <w:r w:rsidR="00016419" w:rsidRPr="003B3924">
        <w:t xml:space="preserve">to identify groups of related and co-occurring words that </w:t>
      </w:r>
      <w:r w:rsidR="00237FD2" w:rsidRPr="003B3924">
        <w:t>distinguish</w:t>
      </w:r>
      <w:r w:rsidR="00016419" w:rsidRPr="003B3924">
        <w:t xml:space="preserve"> concepts and suggest themes or semantic information.  </w:t>
      </w:r>
      <w:r w:rsidR="00195EC8" w:rsidRPr="003B3924">
        <w:t xml:space="preserve">This process allowed us </w:t>
      </w:r>
      <w:r w:rsidR="006C0E6E" w:rsidRPr="003B3924">
        <w:t xml:space="preserve">to gain an </w:t>
      </w:r>
      <w:r w:rsidR="00011F8F">
        <w:t xml:space="preserve">overview of the corpus </w:t>
      </w:r>
      <w:r w:rsidR="006C0E6E" w:rsidRPr="003B3924">
        <w:t>content</w:t>
      </w:r>
      <w:r w:rsidR="00F03124" w:rsidRPr="003B3924">
        <w:t xml:space="preserve">, </w:t>
      </w:r>
      <w:r w:rsidR="00195EC8" w:rsidRPr="003B3924">
        <w:t xml:space="preserve">before </w:t>
      </w:r>
      <w:r w:rsidR="00011F8F" w:rsidRPr="003B3924">
        <w:t xml:space="preserve">proceeding </w:t>
      </w:r>
      <w:r w:rsidR="00F03124" w:rsidRPr="003B3924">
        <w:t xml:space="preserve">towards depth </w:t>
      </w:r>
      <w:r w:rsidR="005D0A8A" w:rsidRPr="003B3924">
        <w:t xml:space="preserve">thematic </w:t>
      </w:r>
      <w:r w:rsidR="0097700D" w:rsidRPr="003B3924">
        <w:t>search</w:t>
      </w:r>
      <w:r w:rsidR="006C0E6E" w:rsidRPr="003B3924">
        <w:t>es</w:t>
      </w:r>
      <w:r w:rsidR="00195EC8" w:rsidRPr="003B3924">
        <w:t xml:space="preserve"> and </w:t>
      </w:r>
      <w:r w:rsidR="00910FD0" w:rsidRPr="003B3924">
        <w:t xml:space="preserve">deeper </w:t>
      </w:r>
      <w:r w:rsidR="00637DC1" w:rsidRPr="003B3924">
        <w:t>analysis</w:t>
      </w:r>
      <w:r w:rsidR="00910FD0" w:rsidRPr="003B3924">
        <w:t xml:space="preserve"> of individual cases</w:t>
      </w:r>
      <w:r w:rsidR="00F03124" w:rsidRPr="003B3924">
        <w:t>.</w:t>
      </w:r>
      <w:r w:rsidR="00F228BE" w:rsidRPr="003B3924">
        <w:t xml:space="preserve">  </w:t>
      </w:r>
    </w:p>
    <w:p w14:paraId="79675FD1" w14:textId="6FACD16C" w:rsidR="00450FBC" w:rsidRPr="003B3924" w:rsidRDefault="00450FBC" w:rsidP="00072E7A">
      <w:pPr>
        <w:pStyle w:val="PlainText"/>
        <w:rPr>
          <w:rFonts w:ascii="Arial Narrow" w:hAnsi="Arial Narrow"/>
          <w:sz w:val="24"/>
          <w:szCs w:val="24"/>
        </w:rPr>
      </w:pPr>
    </w:p>
    <w:p w14:paraId="4313B40D" w14:textId="5A7E71F5" w:rsidR="00E93B9C" w:rsidRPr="003B3924" w:rsidRDefault="00136C4E" w:rsidP="00072E7A">
      <w:pPr>
        <w:pStyle w:val="PlainText"/>
        <w:rPr>
          <w:rFonts w:ascii="Arial Narrow" w:hAnsi="Arial Narrow"/>
          <w:sz w:val="24"/>
          <w:szCs w:val="24"/>
        </w:rPr>
      </w:pPr>
      <w:r>
        <w:rPr>
          <w:rFonts w:ascii="Arial Narrow" w:hAnsi="Arial Narrow"/>
          <w:sz w:val="24"/>
          <w:szCs w:val="24"/>
        </w:rPr>
        <w:t>Text i</w:t>
      </w:r>
      <w:r w:rsidR="00011F8F" w:rsidRPr="00542039">
        <w:rPr>
          <w:rFonts w:ascii="Arial Narrow" w:hAnsi="Arial Narrow"/>
          <w:sz w:val="24"/>
          <w:szCs w:val="24"/>
        </w:rPr>
        <w:t xml:space="preserve">dentified as salient </w:t>
      </w:r>
      <w:r w:rsidR="00870DE3" w:rsidRPr="00542039">
        <w:rPr>
          <w:rFonts w:ascii="Arial Narrow" w:hAnsi="Arial Narrow"/>
          <w:sz w:val="24"/>
          <w:szCs w:val="24"/>
        </w:rPr>
        <w:t>by Leximancer</w:t>
      </w:r>
      <w:r>
        <w:rPr>
          <w:rFonts w:ascii="Arial Narrow" w:hAnsi="Arial Narrow"/>
          <w:sz w:val="24"/>
          <w:szCs w:val="24"/>
        </w:rPr>
        <w:t xml:space="preserve"> included</w:t>
      </w:r>
      <w:r w:rsidR="00870DE3" w:rsidRPr="00542039">
        <w:rPr>
          <w:rFonts w:ascii="Arial Narrow" w:hAnsi="Arial Narrow"/>
          <w:sz w:val="24"/>
          <w:szCs w:val="24"/>
        </w:rPr>
        <w:t xml:space="preserve"> </w:t>
      </w:r>
      <w:r w:rsidR="00542039" w:rsidRPr="00136C4E">
        <w:rPr>
          <w:rFonts w:ascii="Arial Narrow" w:hAnsi="Arial Narrow"/>
          <w:sz w:val="24"/>
          <w:szCs w:val="24"/>
        </w:rPr>
        <w:t>the concept</w:t>
      </w:r>
      <w:r w:rsidR="00011F8F" w:rsidRPr="00542039">
        <w:rPr>
          <w:rFonts w:ascii="Arial Narrow" w:hAnsi="Arial Narrow"/>
          <w:sz w:val="24"/>
          <w:szCs w:val="24"/>
        </w:rPr>
        <w:t xml:space="preserve"> </w:t>
      </w:r>
      <w:r w:rsidR="008737F6" w:rsidRPr="00542039">
        <w:rPr>
          <w:rFonts w:ascii="Arial Narrow" w:hAnsi="Arial Narrow"/>
          <w:sz w:val="24"/>
          <w:szCs w:val="24"/>
        </w:rPr>
        <w:t xml:space="preserve">‘home’ and its </w:t>
      </w:r>
      <w:r w:rsidR="00AF0755" w:rsidRPr="00542039">
        <w:rPr>
          <w:rFonts w:ascii="Arial Narrow" w:hAnsi="Arial Narrow"/>
          <w:sz w:val="24"/>
          <w:szCs w:val="24"/>
        </w:rPr>
        <w:t xml:space="preserve">significant co-occurrence </w:t>
      </w:r>
      <w:r w:rsidR="00011F8F" w:rsidRPr="00542039">
        <w:rPr>
          <w:rFonts w:ascii="Arial Narrow" w:hAnsi="Arial Narrow"/>
          <w:sz w:val="24"/>
          <w:szCs w:val="24"/>
        </w:rPr>
        <w:t xml:space="preserve">with </w:t>
      </w:r>
      <w:r w:rsidR="00542039" w:rsidRPr="00542039">
        <w:rPr>
          <w:rFonts w:ascii="Arial Narrow" w:hAnsi="Arial Narrow"/>
          <w:sz w:val="24"/>
          <w:szCs w:val="24"/>
        </w:rPr>
        <w:t xml:space="preserve">the term </w:t>
      </w:r>
      <w:r w:rsidR="008737F6" w:rsidRPr="00542039">
        <w:rPr>
          <w:rFonts w:ascii="Arial Narrow" w:hAnsi="Arial Narrow"/>
          <w:sz w:val="24"/>
          <w:szCs w:val="24"/>
        </w:rPr>
        <w:t>‘moving</w:t>
      </w:r>
      <w:r w:rsidR="00542039">
        <w:rPr>
          <w:rFonts w:ascii="Arial Narrow" w:hAnsi="Arial Narrow"/>
          <w:sz w:val="24"/>
          <w:szCs w:val="24"/>
        </w:rPr>
        <w:t>/ed</w:t>
      </w:r>
      <w:r w:rsidR="008737F6" w:rsidRPr="00542039">
        <w:rPr>
          <w:rFonts w:ascii="Arial Narrow" w:hAnsi="Arial Narrow"/>
          <w:sz w:val="24"/>
          <w:szCs w:val="24"/>
        </w:rPr>
        <w:t>’.  This arose in contexts where participants had moved home themselves</w:t>
      </w:r>
      <w:r w:rsidR="008737F6" w:rsidRPr="003B3924">
        <w:rPr>
          <w:rFonts w:ascii="Arial Narrow" w:hAnsi="Arial Narrow"/>
          <w:sz w:val="24"/>
          <w:szCs w:val="24"/>
        </w:rPr>
        <w:t xml:space="preserve"> and/or had stayed put while others moved away</w:t>
      </w:r>
      <w:r w:rsidR="00082665" w:rsidRPr="003B3924">
        <w:rPr>
          <w:rFonts w:ascii="Arial Narrow" w:hAnsi="Arial Narrow"/>
          <w:sz w:val="24"/>
          <w:szCs w:val="24"/>
        </w:rPr>
        <w:t xml:space="preserve"> from or closer to them</w:t>
      </w:r>
      <w:r w:rsidR="008737F6" w:rsidRPr="003B3924">
        <w:rPr>
          <w:rFonts w:ascii="Arial Narrow" w:hAnsi="Arial Narrow"/>
          <w:sz w:val="24"/>
          <w:szCs w:val="24"/>
        </w:rPr>
        <w:t xml:space="preserve">.  </w:t>
      </w:r>
      <w:r w:rsidR="00E93B9C" w:rsidRPr="003B3924">
        <w:rPr>
          <w:rFonts w:ascii="Arial Narrow" w:hAnsi="Arial Narrow"/>
          <w:sz w:val="24"/>
          <w:szCs w:val="24"/>
        </w:rPr>
        <w:t xml:space="preserve">The interviews for the </w:t>
      </w:r>
      <w:proofErr w:type="spellStart"/>
      <w:r w:rsidR="00E93B9C" w:rsidRPr="003B3924">
        <w:rPr>
          <w:rFonts w:ascii="Arial Narrow" w:hAnsi="Arial Narrow"/>
          <w:sz w:val="24"/>
          <w:szCs w:val="24"/>
        </w:rPr>
        <w:t>Timescapes</w:t>
      </w:r>
      <w:proofErr w:type="spellEnd"/>
      <w:r w:rsidR="00E93B9C" w:rsidRPr="003B3924">
        <w:rPr>
          <w:rFonts w:ascii="Arial Narrow" w:hAnsi="Arial Narrow"/>
          <w:sz w:val="24"/>
          <w:szCs w:val="24"/>
        </w:rPr>
        <w:t xml:space="preserve"> studies did not ask specifically about moving home or staying put experiences</w:t>
      </w:r>
      <w:r w:rsidR="00E14C88" w:rsidRPr="003B3924">
        <w:rPr>
          <w:rFonts w:ascii="Arial Narrow" w:hAnsi="Arial Narrow"/>
          <w:sz w:val="24"/>
          <w:szCs w:val="24"/>
        </w:rPr>
        <w:t xml:space="preserve">; </w:t>
      </w:r>
      <w:r w:rsidR="00E93B9C" w:rsidRPr="003B3924">
        <w:rPr>
          <w:rFonts w:ascii="Arial Narrow" w:hAnsi="Arial Narrow"/>
          <w:sz w:val="24"/>
          <w:szCs w:val="24"/>
        </w:rPr>
        <w:t>rather accounts of home moves were provided by participants as part of wider narratives about personal and family relationships over time</w:t>
      </w:r>
      <w:r w:rsidR="00EE0146" w:rsidRPr="003B3924">
        <w:rPr>
          <w:rFonts w:ascii="Arial Narrow" w:hAnsi="Arial Narrow"/>
          <w:sz w:val="24"/>
          <w:szCs w:val="24"/>
        </w:rPr>
        <w:t xml:space="preserve"> – that is, the interdependencies of their linked lives.</w:t>
      </w:r>
    </w:p>
    <w:p w14:paraId="21441739" w14:textId="77777777" w:rsidR="00E93B9C" w:rsidRPr="003B3924" w:rsidRDefault="00E93B9C" w:rsidP="00072E7A">
      <w:pPr>
        <w:pStyle w:val="PlainText"/>
        <w:rPr>
          <w:rFonts w:ascii="Arial Narrow" w:hAnsi="Arial Narrow"/>
          <w:sz w:val="24"/>
          <w:szCs w:val="24"/>
        </w:rPr>
      </w:pPr>
    </w:p>
    <w:p w14:paraId="59DCE1B2" w14:textId="6DEA3BD3" w:rsidR="007A3D89" w:rsidRPr="002454C4" w:rsidRDefault="00EE0146" w:rsidP="00072E7A">
      <w:pPr>
        <w:pStyle w:val="PlainText"/>
        <w:rPr>
          <w:rFonts w:ascii="Arial Narrow" w:hAnsi="Arial Narrow"/>
          <w:sz w:val="24"/>
          <w:szCs w:val="24"/>
        </w:rPr>
      </w:pPr>
      <w:r w:rsidRPr="002454C4">
        <w:rPr>
          <w:rFonts w:ascii="Arial Narrow" w:hAnsi="Arial Narrow"/>
          <w:sz w:val="24"/>
          <w:szCs w:val="24"/>
        </w:rPr>
        <w:t>We f</w:t>
      </w:r>
      <w:r w:rsidR="00A20613" w:rsidRPr="002454C4">
        <w:rPr>
          <w:rFonts w:ascii="Arial Narrow" w:hAnsi="Arial Narrow"/>
          <w:sz w:val="24"/>
          <w:szCs w:val="24"/>
        </w:rPr>
        <w:t>ollow</w:t>
      </w:r>
      <w:r w:rsidRPr="002454C4">
        <w:rPr>
          <w:rFonts w:ascii="Arial Narrow" w:hAnsi="Arial Narrow"/>
          <w:sz w:val="24"/>
          <w:szCs w:val="24"/>
        </w:rPr>
        <w:t>ed</w:t>
      </w:r>
      <w:r w:rsidR="00A20613" w:rsidRPr="002454C4">
        <w:rPr>
          <w:rFonts w:ascii="Arial Narrow" w:hAnsi="Arial Narrow"/>
          <w:sz w:val="24"/>
          <w:szCs w:val="24"/>
        </w:rPr>
        <w:t xml:space="preserve"> the ‘breadth’ identification of </w:t>
      </w:r>
      <w:r w:rsidR="00011F8F" w:rsidRPr="002454C4">
        <w:rPr>
          <w:rFonts w:ascii="Arial Narrow" w:hAnsi="Arial Narrow"/>
          <w:sz w:val="24"/>
          <w:szCs w:val="24"/>
        </w:rPr>
        <w:t>‘</w:t>
      </w:r>
      <w:r w:rsidRPr="002454C4">
        <w:rPr>
          <w:rFonts w:ascii="Arial Narrow" w:hAnsi="Arial Narrow"/>
          <w:sz w:val="24"/>
          <w:szCs w:val="24"/>
        </w:rPr>
        <w:t>home</w:t>
      </w:r>
      <w:proofErr w:type="gramStart"/>
      <w:r w:rsidR="00F377EA" w:rsidRPr="002454C4">
        <w:rPr>
          <w:rFonts w:ascii="Arial Narrow" w:hAnsi="Arial Narrow"/>
          <w:sz w:val="24"/>
          <w:szCs w:val="24"/>
        </w:rPr>
        <w:t xml:space="preserve">’, </w:t>
      </w:r>
      <w:r w:rsidR="00011F8F" w:rsidRPr="002454C4">
        <w:rPr>
          <w:rFonts w:ascii="Arial Narrow" w:hAnsi="Arial Narrow"/>
          <w:sz w:val="24"/>
          <w:szCs w:val="24"/>
        </w:rPr>
        <w:t>and</w:t>
      </w:r>
      <w:proofErr w:type="gramEnd"/>
      <w:r w:rsidR="00011F8F" w:rsidRPr="002454C4">
        <w:rPr>
          <w:rFonts w:ascii="Arial Narrow" w:hAnsi="Arial Narrow"/>
          <w:sz w:val="24"/>
          <w:szCs w:val="24"/>
        </w:rPr>
        <w:t xml:space="preserve"> moved </w:t>
      </w:r>
      <w:r w:rsidRPr="002454C4">
        <w:rPr>
          <w:rFonts w:ascii="Arial Narrow" w:hAnsi="Arial Narrow"/>
          <w:sz w:val="24"/>
          <w:szCs w:val="24"/>
        </w:rPr>
        <w:t>through</w:t>
      </w:r>
      <w:r w:rsidR="00A20613" w:rsidRPr="002454C4">
        <w:rPr>
          <w:rFonts w:ascii="Arial Narrow" w:hAnsi="Arial Narrow"/>
          <w:sz w:val="24"/>
          <w:szCs w:val="24"/>
        </w:rPr>
        <w:t xml:space="preserve"> </w:t>
      </w:r>
      <w:r w:rsidR="00310C5E" w:rsidRPr="002454C4">
        <w:rPr>
          <w:rFonts w:ascii="Arial Narrow" w:hAnsi="Arial Narrow"/>
          <w:sz w:val="24"/>
          <w:szCs w:val="24"/>
        </w:rPr>
        <w:t>a</w:t>
      </w:r>
      <w:r w:rsidRPr="002454C4">
        <w:rPr>
          <w:rFonts w:ascii="Arial Narrow" w:hAnsi="Arial Narrow"/>
          <w:sz w:val="24"/>
          <w:szCs w:val="24"/>
        </w:rPr>
        <w:t xml:space="preserve"> third analytic step.  We conducted a</w:t>
      </w:r>
      <w:r w:rsidR="009E0322" w:rsidRPr="002454C4">
        <w:rPr>
          <w:rFonts w:ascii="Arial Narrow" w:hAnsi="Arial Narrow"/>
          <w:sz w:val="24"/>
          <w:szCs w:val="24"/>
        </w:rPr>
        <w:t>n</w:t>
      </w:r>
      <w:r w:rsidRPr="002454C4">
        <w:rPr>
          <w:rFonts w:ascii="Arial Narrow" w:hAnsi="Arial Narrow"/>
          <w:sz w:val="24"/>
          <w:szCs w:val="24"/>
        </w:rPr>
        <w:t xml:space="preserve"> </w:t>
      </w:r>
      <w:r w:rsidR="009E0322" w:rsidRPr="002454C4">
        <w:rPr>
          <w:rFonts w:ascii="Arial Narrow" w:hAnsi="Arial Narrow"/>
          <w:sz w:val="24"/>
          <w:szCs w:val="24"/>
        </w:rPr>
        <w:t xml:space="preserve">initial </w:t>
      </w:r>
      <w:r w:rsidR="00310C5E" w:rsidRPr="002454C4">
        <w:rPr>
          <w:rFonts w:ascii="Arial Narrow" w:hAnsi="Arial Narrow"/>
          <w:sz w:val="24"/>
          <w:szCs w:val="24"/>
        </w:rPr>
        <w:t xml:space="preserve">thematic </w:t>
      </w:r>
      <w:r w:rsidR="00A82A18" w:rsidRPr="002454C4">
        <w:rPr>
          <w:rFonts w:ascii="Arial Narrow" w:hAnsi="Arial Narrow"/>
          <w:sz w:val="24"/>
          <w:szCs w:val="24"/>
        </w:rPr>
        <w:t>review and then</w:t>
      </w:r>
      <w:r w:rsidR="009E0322" w:rsidRPr="002454C4">
        <w:rPr>
          <w:rFonts w:ascii="Arial Narrow" w:hAnsi="Arial Narrow"/>
          <w:sz w:val="24"/>
          <w:szCs w:val="24"/>
        </w:rPr>
        <w:t xml:space="preserve"> an</w:t>
      </w:r>
      <w:r w:rsidR="00A82A18" w:rsidRPr="002454C4">
        <w:rPr>
          <w:rFonts w:ascii="Arial Narrow" w:hAnsi="Arial Narrow"/>
          <w:sz w:val="24"/>
          <w:szCs w:val="24"/>
        </w:rPr>
        <w:t xml:space="preserve"> </w:t>
      </w:r>
      <w:r w:rsidR="00310C5E" w:rsidRPr="002454C4">
        <w:rPr>
          <w:rFonts w:ascii="Arial Narrow" w:hAnsi="Arial Narrow"/>
          <w:sz w:val="24"/>
          <w:szCs w:val="24"/>
        </w:rPr>
        <w:t xml:space="preserve">analysis of </w:t>
      </w:r>
      <w:r w:rsidR="002369DA" w:rsidRPr="002454C4">
        <w:rPr>
          <w:rFonts w:ascii="Arial Narrow" w:hAnsi="Arial Narrow"/>
          <w:sz w:val="24"/>
          <w:szCs w:val="24"/>
        </w:rPr>
        <w:t xml:space="preserve">brief </w:t>
      </w:r>
      <w:r w:rsidR="00723FF1" w:rsidRPr="002454C4">
        <w:rPr>
          <w:rFonts w:ascii="Arial Narrow" w:hAnsi="Arial Narrow"/>
          <w:sz w:val="24"/>
          <w:szCs w:val="24"/>
        </w:rPr>
        <w:t xml:space="preserve">relevant </w:t>
      </w:r>
      <w:r w:rsidR="00310C5E" w:rsidRPr="002454C4">
        <w:rPr>
          <w:rFonts w:ascii="Arial Narrow" w:hAnsi="Arial Narrow"/>
          <w:sz w:val="24"/>
          <w:szCs w:val="24"/>
        </w:rPr>
        <w:t xml:space="preserve">sections of interviews where these </w:t>
      </w:r>
      <w:r w:rsidR="00870DE3" w:rsidRPr="002454C4">
        <w:rPr>
          <w:rFonts w:ascii="Arial Narrow" w:hAnsi="Arial Narrow"/>
          <w:sz w:val="24"/>
          <w:szCs w:val="24"/>
        </w:rPr>
        <w:t xml:space="preserve">words </w:t>
      </w:r>
      <w:r w:rsidR="00310C5E" w:rsidRPr="002454C4">
        <w:rPr>
          <w:rFonts w:ascii="Arial Narrow" w:hAnsi="Arial Narrow"/>
          <w:sz w:val="24"/>
          <w:szCs w:val="24"/>
        </w:rPr>
        <w:t>occurred together</w:t>
      </w:r>
      <w:r w:rsidR="00723FF1" w:rsidRPr="002454C4">
        <w:rPr>
          <w:rFonts w:ascii="Arial Narrow" w:hAnsi="Arial Narrow"/>
          <w:sz w:val="24"/>
          <w:szCs w:val="24"/>
        </w:rPr>
        <w:t>, amounting to</w:t>
      </w:r>
      <w:r w:rsidR="00611551" w:rsidRPr="002454C4">
        <w:rPr>
          <w:rFonts w:ascii="Arial Narrow" w:hAnsi="Arial Narrow"/>
          <w:sz w:val="24"/>
          <w:szCs w:val="24"/>
        </w:rPr>
        <w:t xml:space="preserve"> </w:t>
      </w:r>
      <w:r w:rsidR="0067047B" w:rsidRPr="002454C4">
        <w:rPr>
          <w:rFonts w:ascii="Arial Narrow" w:hAnsi="Arial Narrow"/>
          <w:sz w:val="24"/>
          <w:szCs w:val="24"/>
        </w:rPr>
        <w:t>62</w:t>
      </w:r>
      <w:r w:rsidR="00AF0755" w:rsidRPr="002454C4">
        <w:rPr>
          <w:rFonts w:ascii="Arial Narrow" w:hAnsi="Arial Narrow"/>
          <w:sz w:val="24"/>
          <w:szCs w:val="24"/>
        </w:rPr>
        <w:t xml:space="preserve"> female </w:t>
      </w:r>
      <w:r w:rsidR="00611551" w:rsidRPr="002454C4">
        <w:rPr>
          <w:rFonts w:ascii="Arial Narrow" w:hAnsi="Arial Narrow"/>
          <w:sz w:val="24"/>
          <w:szCs w:val="24"/>
        </w:rPr>
        <w:t xml:space="preserve">and </w:t>
      </w:r>
      <w:r w:rsidR="0067047B" w:rsidRPr="002454C4">
        <w:rPr>
          <w:rFonts w:ascii="Arial Narrow" w:hAnsi="Arial Narrow"/>
          <w:sz w:val="24"/>
          <w:szCs w:val="24"/>
        </w:rPr>
        <w:t>43</w:t>
      </w:r>
      <w:r w:rsidR="00AF0755" w:rsidRPr="002454C4">
        <w:rPr>
          <w:rFonts w:ascii="Arial Narrow" w:hAnsi="Arial Narrow"/>
          <w:sz w:val="24"/>
          <w:szCs w:val="24"/>
        </w:rPr>
        <w:t xml:space="preserve"> </w:t>
      </w:r>
      <w:r w:rsidR="00611551" w:rsidRPr="002454C4">
        <w:rPr>
          <w:rFonts w:ascii="Arial Narrow" w:hAnsi="Arial Narrow"/>
          <w:sz w:val="24"/>
          <w:szCs w:val="24"/>
        </w:rPr>
        <w:t>m</w:t>
      </w:r>
      <w:r w:rsidR="00AF0755" w:rsidRPr="002454C4">
        <w:rPr>
          <w:rFonts w:ascii="Arial Narrow" w:hAnsi="Arial Narrow"/>
          <w:sz w:val="24"/>
          <w:szCs w:val="24"/>
        </w:rPr>
        <w:t>ale</w:t>
      </w:r>
      <w:r w:rsidR="00611551" w:rsidRPr="002454C4">
        <w:rPr>
          <w:rFonts w:ascii="Arial Narrow" w:hAnsi="Arial Narrow"/>
          <w:sz w:val="24"/>
          <w:szCs w:val="24"/>
        </w:rPr>
        <w:t xml:space="preserve"> participants</w:t>
      </w:r>
      <w:r w:rsidR="00723FF1" w:rsidRPr="002454C4">
        <w:rPr>
          <w:rFonts w:ascii="Arial Narrow" w:hAnsi="Arial Narrow"/>
          <w:sz w:val="24"/>
          <w:szCs w:val="24"/>
        </w:rPr>
        <w:t xml:space="preserve">.  </w:t>
      </w:r>
      <w:r w:rsidR="00F377EA" w:rsidRPr="002454C4">
        <w:rPr>
          <w:rFonts w:ascii="Arial Narrow" w:hAnsi="Arial Narrow"/>
          <w:sz w:val="24"/>
          <w:szCs w:val="24"/>
        </w:rPr>
        <w:t>Most</w:t>
      </w:r>
      <w:r w:rsidR="009E0322" w:rsidRPr="002454C4">
        <w:rPr>
          <w:rFonts w:ascii="Arial Narrow" w:hAnsi="Arial Narrow"/>
          <w:sz w:val="24"/>
          <w:szCs w:val="24"/>
        </w:rPr>
        <w:t xml:space="preserve"> o</w:t>
      </w:r>
      <w:r w:rsidR="00A82A18" w:rsidRPr="002454C4">
        <w:rPr>
          <w:rFonts w:ascii="Arial Narrow" w:hAnsi="Arial Narrow"/>
          <w:sz w:val="24"/>
          <w:szCs w:val="24"/>
        </w:rPr>
        <w:t xml:space="preserve">f our selected home and moving </w:t>
      </w:r>
      <w:proofErr w:type="spellStart"/>
      <w:r w:rsidR="00A82A18" w:rsidRPr="002454C4">
        <w:rPr>
          <w:rFonts w:ascii="Arial Narrow" w:hAnsi="Arial Narrow"/>
          <w:sz w:val="24"/>
          <w:szCs w:val="24"/>
        </w:rPr>
        <w:t>keyness</w:t>
      </w:r>
      <w:proofErr w:type="spellEnd"/>
      <w:r w:rsidR="00A82A18" w:rsidRPr="002454C4">
        <w:rPr>
          <w:rFonts w:ascii="Arial Narrow" w:hAnsi="Arial Narrow"/>
          <w:sz w:val="24"/>
          <w:szCs w:val="24"/>
        </w:rPr>
        <w:t xml:space="preserve"> and co-</w:t>
      </w:r>
      <w:r w:rsidR="00542039" w:rsidRPr="002454C4">
        <w:rPr>
          <w:rFonts w:ascii="Arial Narrow" w:hAnsi="Arial Narrow"/>
          <w:sz w:val="24"/>
          <w:szCs w:val="24"/>
        </w:rPr>
        <w:t>occurrence</w:t>
      </w:r>
      <w:r w:rsidR="00A82A18" w:rsidRPr="002454C4">
        <w:rPr>
          <w:rFonts w:ascii="Arial Narrow" w:hAnsi="Arial Narrow"/>
          <w:sz w:val="24"/>
          <w:szCs w:val="24"/>
        </w:rPr>
        <w:t xml:space="preserve"> sample were White British</w:t>
      </w:r>
      <w:r w:rsidR="009E0322" w:rsidRPr="002454C4">
        <w:rPr>
          <w:rFonts w:ascii="Arial Narrow" w:hAnsi="Arial Narrow"/>
          <w:sz w:val="24"/>
          <w:szCs w:val="24"/>
        </w:rPr>
        <w:t xml:space="preserve"> with others </w:t>
      </w:r>
      <w:r w:rsidR="00A82A18" w:rsidRPr="002454C4">
        <w:rPr>
          <w:rFonts w:ascii="Arial Narrow" w:hAnsi="Arial Narrow"/>
          <w:sz w:val="24"/>
          <w:szCs w:val="24"/>
        </w:rPr>
        <w:t xml:space="preserve">from </w:t>
      </w:r>
      <w:r w:rsidR="009E0322" w:rsidRPr="002454C4">
        <w:rPr>
          <w:rFonts w:ascii="Arial Narrow" w:hAnsi="Arial Narrow"/>
          <w:sz w:val="24"/>
          <w:szCs w:val="24"/>
        </w:rPr>
        <w:t xml:space="preserve">a range of ethnic </w:t>
      </w:r>
      <w:r w:rsidR="00A82A18" w:rsidRPr="002454C4">
        <w:rPr>
          <w:rFonts w:ascii="Arial Narrow" w:hAnsi="Arial Narrow"/>
          <w:sz w:val="24"/>
          <w:szCs w:val="24"/>
        </w:rPr>
        <w:t>minority groups (</w:t>
      </w:r>
      <w:r w:rsidR="009E0322" w:rsidRPr="002454C4">
        <w:rPr>
          <w:rFonts w:ascii="Arial Narrow" w:hAnsi="Arial Narrow"/>
          <w:sz w:val="24"/>
          <w:szCs w:val="24"/>
        </w:rPr>
        <w:t xml:space="preserve">but </w:t>
      </w:r>
      <w:r w:rsidR="00A82A18" w:rsidRPr="002454C4">
        <w:rPr>
          <w:rFonts w:ascii="Arial Narrow" w:hAnsi="Arial Narrow"/>
          <w:sz w:val="24"/>
          <w:szCs w:val="24"/>
        </w:rPr>
        <w:t xml:space="preserve">race/ethnicity information was not provided for just under a quarter of our sample).   </w:t>
      </w:r>
      <w:r w:rsidR="009E0322" w:rsidRPr="002454C4">
        <w:rPr>
          <w:rFonts w:ascii="Arial Narrow" w:hAnsi="Arial Narrow"/>
          <w:sz w:val="24"/>
          <w:szCs w:val="24"/>
        </w:rPr>
        <w:t xml:space="preserve">Of the adults in our </w:t>
      </w:r>
      <w:r w:rsidR="00A82A18" w:rsidRPr="002454C4">
        <w:rPr>
          <w:rFonts w:ascii="Arial Narrow" w:hAnsi="Arial Narrow"/>
          <w:sz w:val="24"/>
          <w:szCs w:val="24"/>
        </w:rPr>
        <w:t xml:space="preserve">sample </w:t>
      </w:r>
      <w:r w:rsidR="009E0322" w:rsidRPr="002454C4">
        <w:rPr>
          <w:rFonts w:ascii="Arial Narrow" w:hAnsi="Arial Narrow"/>
          <w:sz w:val="24"/>
          <w:szCs w:val="24"/>
        </w:rPr>
        <w:t xml:space="preserve">the majority </w:t>
      </w:r>
      <w:r w:rsidR="00A82A18" w:rsidRPr="002454C4">
        <w:rPr>
          <w:rFonts w:ascii="Arial Narrow" w:hAnsi="Arial Narrow"/>
          <w:sz w:val="24"/>
          <w:szCs w:val="24"/>
        </w:rPr>
        <w:t>were owner-occupiers</w:t>
      </w:r>
      <w:r w:rsidR="009E0322" w:rsidRPr="002454C4">
        <w:rPr>
          <w:rFonts w:ascii="Arial Narrow" w:hAnsi="Arial Narrow"/>
          <w:sz w:val="24"/>
          <w:szCs w:val="24"/>
        </w:rPr>
        <w:t xml:space="preserve">, with around a quarter living in rented accommodation.  </w:t>
      </w:r>
      <w:r w:rsidR="00BB69F1" w:rsidRPr="002454C4">
        <w:rPr>
          <w:rFonts w:ascii="Arial Narrow" w:hAnsi="Arial Narrow"/>
          <w:sz w:val="24"/>
          <w:szCs w:val="24"/>
        </w:rPr>
        <w:t>Around a quarter were in professional or managerial occupations, a tenth in routine or clerical work, and others were not in the labour force as retired, students or unemploy</w:t>
      </w:r>
      <w:r w:rsidR="00F012EC" w:rsidRPr="002454C4">
        <w:rPr>
          <w:rFonts w:ascii="Arial Narrow" w:hAnsi="Arial Narrow"/>
          <w:sz w:val="24"/>
          <w:szCs w:val="24"/>
        </w:rPr>
        <w:t>ed</w:t>
      </w:r>
      <w:r w:rsidR="00BB69F1" w:rsidRPr="002454C4">
        <w:rPr>
          <w:rFonts w:ascii="Arial Narrow" w:hAnsi="Arial Narrow"/>
          <w:sz w:val="24"/>
          <w:szCs w:val="24"/>
        </w:rPr>
        <w:t>.  The resources available with which to negotiate life events by home moves</w:t>
      </w:r>
      <w:r w:rsidR="00A82A18" w:rsidRPr="002454C4">
        <w:rPr>
          <w:rFonts w:ascii="Arial Narrow" w:hAnsi="Arial Narrow"/>
          <w:sz w:val="24"/>
          <w:szCs w:val="24"/>
        </w:rPr>
        <w:t xml:space="preserve"> </w:t>
      </w:r>
      <w:r w:rsidR="00BB69F1" w:rsidRPr="002454C4">
        <w:rPr>
          <w:rFonts w:ascii="Arial Narrow" w:hAnsi="Arial Narrow"/>
          <w:sz w:val="24"/>
          <w:szCs w:val="24"/>
        </w:rPr>
        <w:t xml:space="preserve">were, then, variable across our </w:t>
      </w:r>
      <w:proofErr w:type="spellStart"/>
      <w:r w:rsidR="00BB69F1" w:rsidRPr="002454C4">
        <w:rPr>
          <w:rFonts w:ascii="Arial Narrow" w:hAnsi="Arial Narrow"/>
          <w:sz w:val="24"/>
          <w:szCs w:val="24"/>
        </w:rPr>
        <w:t>keyness</w:t>
      </w:r>
      <w:proofErr w:type="spellEnd"/>
      <w:r w:rsidR="00BB69F1" w:rsidRPr="002454C4">
        <w:rPr>
          <w:rFonts w:ascii="Arial Narrow" w:hAnsi="Arial Narrow"/>
          <w:sz w:val="24"/>
          <w:szCs w:val="24"/>
        </w:rPr>
        <w:t xml:space="preserve"> co-occurrence sample.</w:t>
      </w:r>
    </w:p>
    <w:p w14:paraId="5681D6AE" w14:textId="77777777" w:rsidR="007A3D89" w:rsidRPr="002454C4" w:rsidRDefault="007A3D89" w:rsidP="00072E7A">
      <w:pPr>
        <w:pStyle w:val="PlainText"/>
        <w:rPr>
          <w:rFonts w:ascii="Arial Narrow" w:hAnsi="Arial Narrow"/>
          <w:sz w:val="24"/>
          <w:szCs w:val="24"/>
        </w:rPr>
      </w:pPr>
    </w:p>
    <w:p w14:paraId="498B4E65" w14:textId="325246F3" w:rsidR="0064495F" w:rsidRPr="003B3924" w:rsidRDefault="00723FF1" w:rsidP="00072E7A">
      <w:pPr>
        <w:pStyle w:val="PlainText"/>
        <w:rPr>
          <w:rFonts w:ascii="Arial Narrow" w:hAnsi="Arial Narrow"/>
          <w:sz w:val="24"/>
          <w:szCs w:val="24"/>
        </w:rPr>
      </w:pPr>
      <w:r w:rsidRPr="002454C4">
        <w:rPr>
          <w:rFonts w:ascii="Arial Narrow" w:hAnsi="Arial Narrow"/>
          <w:sz w:val="24"/>
          <w:szCs w:val="24"/>
        </w:rPr>
        <w:t>Th</w:t>
      </w:r>
      <w:r w:rsidR="00EE1599" w:rsidRPr="002454C4">
        <w:rPr>
          <w:rFonts w:ascii="Arial Narrow" w:hAnsi="Arial Narrow"/>
          <w:sz w:val="24"/>
          <w:szCs w:val="24"/>
        </w:rPr>
        <w:t>e final, fourth</w:t>
      </w:r>
      <w:r w:rsidRPr="002454C4">
        <w:rPr>
          <w:rFonts w:ascii="Arial Narrow" w:hAnsi="Arial Narrow"/>
          <w:sz w:val="24"/>
          <w:szCs w:val="24"/>
        </w:rPr>
        <w:t xml:space="preserve"> </w:t>
      </w:r>
      <w:r w:rsidR="00EE0146" w:rsidRPr="002454C4">
        <w:rPr>
          <w:rFonts w:ascii="Arial Narrow" w:hAnsi="Arial Narrow"/>
          <w:sz w:val="24"/>
          <w:szCs w:val="24"/>
        </w:rPr>
        <w:t xml:space="preserve">step </w:t>
      </w:r>
      <w:r w:rsidRPr="002454C4">
        <w:rPr>
          <w:rFonts w:ascii="Arial Narrow" w:hAnsi="Arial Narrow"/>
          <w:sz w:val="24"/>
          <w:szCs w:val="24"/>
        </w:rPr>
        <w:t>was</w:t>
      </w:r>
      <w:r w:rsidR="00310C5E" w:rsidRPr="002454C4">
        <w:rPr>
          <w:rFonts w:ascii="Arial Narrow" w:hAnsi="Arial Narrow"/>
          <w:sz w:val="24"/>
          <w:szCs w:val="24"/>
        </w:rPr>
        <w:t xml:space="preserve"> a</w:t>
      </w:r>
      <w:r w:rsidR="00A20613" w:rsidRPr="002454C4">
        <w:rPr>
          <w:rFonts w:ascii="Arial Narrow" w:hAnsi="Arial Narrow"/>
          <w:sz w:val="24"/>
          <w:szCs w:val="24"/>
        </w:rPr>
        <w:t xml:space="preserve"> de</w:t>
      </w:r>
      <w:r w:rsidR="00910FD0" w:rsidRPr="002454C4">
        <w:rPr>
          <w:rFonts w:ascii="Arial Narrow" w:hAnsi="Arial Narrow"/>
          <w:sz w:val="24"/>
          <w:szCs w:val="24"/>
        </w:rPr>
        <w:t>eper</w:t>
      </w:r>
      <w:r w:rsidR="00A20613" w:rsidRPr="002454C4">
        <w:rPr>
          <w:rFonts w:ascii="Arial Narrow" w:hAnsi="Arial Narrow"/>
          <w:sz w:val="24"/>
          <w:szCs w:val="24"/>
        </w:rPr>
        <w:t xml:space="preserve"> mini-</w:t>
      </w:r>
      <w:r w:rsidR="00310C5E" w:rsidRPr="002454C4">
        <w:rPr>
          <w:rFonts w:ascii="Arial Narrow" w:hAnsi="Arial Narrow"/>
          <w:sz w:val="24"/>
          <w:szCs w:val="24"/>
        </w:rPr>
        <w:t xml:space="preserve">narrative analysis of </w:t>
      </w:r>
      <w:r w:rsidR="00A20613" w:rsidRPr="002454C4">
        <w:rPr>
          <w:rFonts w:ascii="Arial Narrow" w:hAnsi="Arial Narrow"/>
          <w:sz w:val="24"/>
          <w:szCs w:val="24"/>
        </w:rPr>
        <w:t xml:space="preserve">extended accounts in </w:t>
      </w:r>
      <w:r w:rsidRPr="002454C4">
        <w:rPr>
          <w:rFonts w:ascii="Arial Narrow" w:hAnsi="Arial Narrow"/>
          <w:sz w:val="24"/>
          <w:szCs w:val="24"/>
        </w:rPr>
        <w:t xml:space="preserve">13 </w:t>
      </w:r>
      <w:r w:rsidR="00310C5E" w:rsidRPr="002454C4">
        <w:rPr>
          <w:rFonts w:ascii="Arial Narrow" w:hAnsi="Arial Narrow"/>
          <w:sz w:val="24"/>
          <w:szCs w:val="24"/>
        </w:rPr>
        <w:t>cases</w:t>
      </w:r>
      <w:r w:rsidR="00C4589E" w:rsidRPr="002454C4">
        <w:rPr>
          <w:rFonts w:ascii="Arial Narrow" w:hAnsi="Arial Narrow"/>
          <w:sz w:val="24"/>
          <w:szCs w:val="24"/>
        </w:rPr>
        <w:t xml:space="preserve">, encompassing our concern with </w:t>
      </w:r>
      <w:r w:rsidR="00611551" w:rsidRPr="002454C4">
        <w:rPr>
          <w:rFonts w:ascii="Arial Narrow" w:hAnsi="Arial Narrow"/>
          <w:sz w:val="24"/>
          <w:szCs w:val="24"/>
        </w:rPr>
        <w:t>age cohorts</w:t>
      </w:r>
      <w:r w:rsidR="00C4589E" w:rsidRPr="002454C4">
        <w:rPr>
          <w:rFonts w:ascii="Arial Narrow" w:hAnsi="Arial Narrow"/>
          <w:sz w:val="24"/>
          <w:szCs w:val="24"/>
        </w:rPr>
        <w:t xml:space="preserve"> and gender, </w:t>
      </w:r>
      <w:r w:rsidR="00BB69F1" w:rsidRPr="002454C4">
        <w:rPr>
          <w:rFonts w:ascii="Arial Narrow" w:hAnsi="Arial Narrow"/>
          <w:sz w:val="24"/>
          <w:szCs w:val="24"/>
        </w:rPr>
        <w:t xml:space="preserve">and reflecting the profile of the </w:t>
      </w:r>
      <w:proofErr w:type="spellStart"/>
      <w:r w:rsidR="00BB69F1" w:rsidRPr="002454C4">
        <w:rPr>
          <w:rFonts w:ascii="Arial Narrow" w:hAnsi="Arial Narrow"/>
          <w:sz w:val="24"/>
          <w:szCs w:val="24"/>
        </w:rPr>
        <w:t>keyness</w:t>
      </w:r>
      <w:proofErr w:type="spellEnd"/>
      <w:r w:rsidR="00BB69F1" w:rsidRPr="002454C4">
        <w:rPr>
          <w:rFonts w:ascii="Arial Narrow" w:hAnsi="Arial Narrow"/>
          <w:sz w:val="24"/>
          <w:szCs w:val="24"/>
        </w:rPr>
        <w:t xml:space="preserve"> co-occurrence sample</w:t>
      </w:r>
      <w:r w:rsidR="00926C38" w:rsidRPr="002454C4">
        <w:rPr>
          <w:rFonts w:ascii="Arial Narrow" w:hAnsi="Arial Narrow"/>
          <w:sz w:val="24"/>
          <w:szCs w:val="24"/>
        </w:rPr>
        <w:t xml:space="preserve">.  These cases were </w:t>
      </w:r>
      <w:r w:rsidR="00310C5E" w:rsidRPr="002454C4">
        <w:rPr>
          <w:rFonts w:ascii="Arial Narrow" w:hAnsi="Arial Narrow"/>
          <w:sz w:val="24"/>
          <w:szCs w:val="24"/>
        </w:rPr>
        <w:t>selected</w:t>
      </w:r>
      <w:r w:rsidR="00926C38" w:rsidRPr="002454C4">
        <w:rPr>
          <w:rFonts w:ascii="Arial Narrow" w:hAnsi="Arial Narrow"/>
          <w:sz w:val="24"/>
          <w:szCs w:val="24"/>
        </w:rPr>
        <w:t xml:space="preserve"> </w:t>
      </w:r>
      <w:r w:rsidR="00F377EA" w:rsidRPr="002454C4">
        <w:rPr>
          <w:rFonts w:ascii="Arial Narrow" w:hAnsi="Arial Narrow"/>
          <w:sz w:val="24"/>
          <w:szCs w:val="24"/>
        </w:rPr>
        <w:t>based on</w:t>
      </w:r>
      <w:r w:rsidR="00926C38" w:rsidRPr="002454C4">
        <w:rPr>
          <w:rFonts w:ascii="Arial Narrow" w:hAnsi="Arial Narrow"/>
          <w:sz w:val="24"/>
          <w:szCs w:val="24"/>
        </w:rPr>
        <w:t xml:space="preserve"> our thematic analysis</w:t>
      </w:r>
      <w:r w:rsidR="00011F8F" w:rsidRPr="002454C4">
        <w:rPr>
          <w:rFonts w:ascii="Arial Narrow" w:hAnsi="Arial Narrow"/>
          <w:sz w:val="24"/>
          <w:szCs w:val="24"/>
        </w:rPr>
        <w:t xml:space="preserve">, </w:t>
      </w:r>
      <w:r w:rsidR="00A20613" w:rsidRPr="002454C4">
        <w:rPr>
          <w:rFonts w:ascii="Arial Narrow" w:hAnsi="Arial Narrow"/>
          <w:sz w:val="24"/>
          <w:szCs w:val="24"/>
        </w:rPr>
        <w:t xml:space="preserve">illustrative </w:t>
      </w:r>
      <w:r w:rsidR="00926C38" w:rsidRPr="002454C4">
        <w:rPr>
          <w:rFonts w:ascii="Arial Narrow" w:hAnsi="Arial Narrow"/>
          <w:sz w:val="24"/>
          <w:szCs w:val="24"/>
        </w:rPr>
        <w:t xml:space="preserve">of small stories about </w:t>
      </w:r>
      <w:r w:rsidR="00F27258" w:rsidRPr="002454C4">
        <w:rPr>
          <w:rFonts w:ascii="Arial Narrow" w:hAnsi="Arial Narrow"/>
          <w:sz w:val="24"/>
          <w:szCs w:val="24"/>
        </w:rPr>
        <w:t xml:space="preserve">home moves </w:t>
      </w:r>
      <w:r w:rsidR="00926C38" w:rsidRPr="002454C4">
        <w:rPr>
          <w:rFonts w:ascii="Arial Narrow" w:hAnsi="Arial Narrow"/>
          <w:sz w:val="24"/>
          <w:szCs w:val="24"/>
        </w:rPr>
        <w:t xml:space="preserve">from </w:t>
      </w:r>
      <w:r w:rsidR="00926C38" w:rsidRPr="003B3924">
        <w:rPr>
          <w:rFonts w:ascii="Arial Narrow" w:hAnsi="Arial Narrow"/>
          <w:sz w:val="24"/>
          <w:szCs w:val="24"/>
        </w:rPr>
        <w:t>one or several perspectives</w:t>
      </w:r>
      <w:r w:rsidR="00EE1599" w:rsidRPr="003B3924">
        <w:rPr>
          <w:rFonts w:ascii="Arial Narrow" w:hAnsi="Arial Narrow"/>
          <w:sz w:val="24"/>
          <w:szCs w:val="24"/>
        </w:rPr>
        <w:t>:</w:t>
      </w:r>
      <w:r w:rsidR="00926C38" w:rsidRPr="003B3924">
        <w:rPr>
          <w:rFonts w:ascii="Arial Narrow" w:hAnsi="Arial Narrow"/>
          <w:sz w:val="24"/>
          <w:szCs w:val="24"/>
        </w:rPr>
        <w:t xml:space="preserve"> as home movers, </w:t>
      </w:r>
      <w:r w:rsidR="00EE1599" w:rsidRPr="003B3924">
        <w:rPr>
          <w:rFonts w:ascii="Arial Narrow" w:hAnsi="Arial Narrow"/>
          <w:sz w:val="24"/>
          <w:szCs w:val="24"/>
        </w:rPr>
        <w:t xml:space="preserve">as </w:t>
      </w:r>
      <w:r w:rsidR="00926C38" w:rsidRPr="003B3924">
        <w:rPr>
          <w:rFonts w:ascii="Arial Narrow" w:hAnsi="Arial Narrow"/>
          <w:sz w:val="24"/>
          <w:szCs w:val="24"/>
        </w:rPr>
        <w:t xml:space="preserve">stay putters or </w:t>
      </w:r>
      <w:r w:rsidR="00EE1599" w:rsidRPr="003B3924">
        <w:rPr>
          <w:rFonts w:ascii="Arial Narrow" w:hAnsi="Arial Narrow"/>
          <w:sz w:val="24"/>
          <w:szCs w:val="24"/>
        </w:rPr>
        <w:t xml:space="preserve">as </w:t>
      </w:r>
      <w:r w:rsidR="00926C38" w:rsidRPr="003B3924">
        <w:rPr>
          <w:rFonts w:ascii="Arial Narrow" w:hAnsi="Arial Narrow"/>
          <w:sz w:val="24"/>
          <w:szCs w:val="24"/>
        </w:rPr>
        <w:t>both</w:t>
      </w:r>
      <w:r w:rsidR="00EE1599" w:rsidRPr="003B3924">
        <w:rPr>
          <w:rFonts w:ascii="Arial Narrow" w:hAnsi="Arial Narrow"/>
          <w:sz w:val="24"/>
          <w:szCs w:val="24"/>
        </w:rPr>
        <w:t>.  They</w:t>
      </w:r>
      <w:r w:rsidR="00926C38" w:rsidRPr="003B3924">
        <w:rPr>
          <w:rFonts w:ascii="Arial Narrow" w:hAnsi="Arial Narrow"/>
          <w:sz w:val="24"/>
          <w:szCs w:val="24"/>
        </w:rPr>
        <w:t xml:space="preserve"> variously were </w:t>
      </w:r>
      <w:r w:rsidR="00F27258" w:rsidRPr="003B3924">
        <w:rPr>
          <w:rFonts w:ascii="Arial Narrow" w:hAnsi="Arial Narrow"/>
          <w:sz w:val="24"/>
          <w:szCs w:val="24"/>
        </w:rPr>
        <w:t xml:space="preserve">brief or more extended extracts in an individual interview, or a series of stories from across several interviews in which the individual participated.  </w:t>
      </w:r>
      <w:r w:rsidR="008737F6" w:rsidRPr="003B3924">
        <w:rPr>
          <w:rFonts w:ascii="Arial Narrow" w:hAnsi="Arial Narrow"/>
          <w:sz w:val="24"/>
          <w:szCs w:val="24"/>
        </w:rPr>
        <w:t xml:space="preserve">It is our further </w:t>
      </w:r>
      <w:r w:rsidR="00A20613" w:rsidRPr="003B3924">
        <w:rPr>
          <w:rFonts w:ascii="Arial Narrow" w:hAnsi="Arial Narrow"/>
          <w:sz w:val="24"/>
          <w:szCs w:val="24"/>
        </w:rPr>
        <w:t xml:space="preserve">‘depth’ </w:t>
      </w:r>
      <w:r w:rsidR="008737F6" w:rsidRPr="003B3924">
        <w:rPr>
          <w:rFonts w:ascii="Arial Narrow" w:hAnsi="Arial Narrow"/>
          <w:sz w:val="24"/>
          <w:szCs w:val="24"/>
        </w:rPr>
        <w:t xml:space="preserve">investigation of these elements and their interweaving, </w:t>
      </w:r>
      <w:r w:rsidR="00A20613" w:rsidRPr="003B3924">
        <w:rPr>
          <w:rFonts w:ascii="Arial Narrow" w:hAnsi="Arial Narrow"/>
          <w:sz w:val="24"/>
          <w:szCs w:val="24"/>
        </w:rPr>
        <w:t xml:space="preserve">placed </w:t>
      </w:r>
      <w:r w:rsidR="008737F6" w:rsidRPr="003B3924">
        <w:rPr>
          <w:rFonts w:ascii="Arial Narrow" w:hAnsi="Arial Narrow"/>
          <w:sz w:val="24"/>
          <w:szCs w:val="24"/>
        </w:rPr>
        <w:t xml:space="preserve">in </w:t>
      </w:r>
      <w:r w:rsidR="00A20613" w:rsidRPr="003B3924">
        <w:rPr>
          <w:rFonts w:ascii="Arial Narrow" w:hAnsi="Arial Narrow"/>
          <w:sz w:val="24"/>
          <w:szCs w:val="24"/>
        </w:rPr>
        <w:t xml:space="preserve">the context of our ‘breadth’ analysis in </w:t>
      </w:r>
      <w:r w:rsidR="008737F6" w:rsidRPr="003B3924">
        <w:rPr>
          <w:rFonts w:ascii="Arial Narrow" w:hAnsi="Arial Narrow"/>
          <w:sz w:val="24"/>
          <w:szCs w:val="24"/>
        </w:rPr>
        <w:t xml:space="preserve">relation to age cohorts </w:t>
      </w:r>
      <w:proofErr w:type="gramStart"/>
      <w:r w:rsidR="008F7981" w:rsidRPr="003B3924">
        <w:rPr>
          <w:rFonts w:ascii="Arial Narrow" w:hAnsi="Arial Narrow"/>
          <w:sz w:val="24"/>
          <w:szCs w:val="24"/>
        </w:rPr>
        <w:t>cross-cut</w:t>
      </w:r>
      <w:proofErr w:type="gramEnd"/>
      <w:r w:rsidR="008F7981" w:rsidRPr="003B3924">
        <w:rPr>
          <w:rFonts w:ascii="Arial Narrow" w:hAnsi="Arial Narrow"/>
          <w:sz w:val="24"/>
          <w:szCs w:val="24"/>
        </w:rPr>
        <w:t xml:space="preserve"> by </w:t>
      </w:r>
      <w:r w:rsidR="00DD60E7" w:rsidRPr="003B3924">
        <w:rPr>
          <w:rFonts w:ascii="Arial Narrow" w:hAnsi="Arial Narrow"/>
          <w:sz w:val="24"/>
          <w:szCs w:val="24"/>
        </w:rPr>
        <w:t xml:space="preserve">binary </w:t>
      </w:r>
      <w:r w:rsidR="008737F6" w:rsidRPr="003B3924">
        <w:rPr>
          <w:rFonts w:ascii="Arial Narrow" w:hAnsi="Arial Narrow"/>
          <w:sz w:val="24"/>
          <w:szCs w:val="24"/>
        </w:rPr>
        <w:t>gender, that we present here</w:t>
      </w:r>
      <w:r w:rsidR="005353A7" w:rsidRPr="003B3924">
        <w:rPr>
          <w:rFonts w:ascii="Arial Narrow" w:hAnsi="Arial Narrow"/>
          <w:sz w:val="24"/>
          <w:szCs w:val="24"/>
        </w:rPr>
        <w:t xml:space="preserve">.  We explore three main types of </w:t>
      </w:r>
      <w:r w:rsidR="00F4254F" w:rsidRPr="003B3924">
        <w:rPr>
          <w:rFonts w:ascii="Arial Narrow" w:hAnsi="Arial Narrow"/>
          <w:sz w:val="24"/>
          <w:szCs w:val="24"/>
        </w:rPr>
        <w:t xml:space="preserve">‘small </w:t>
      </w:r>
      <w:r w:rsidR="005353A7" w:rsidRPr="003B3924">
        <w:rPr>
          <w:rFonts w:ascii="Arial Narrow" w:hAnsi="Arial Narrow"/>
          <w:sz w:val="24"/>
          <w:szCs w:val="24"/>
        </w:rPr>
        <w:t>stories</w:t>
      </w:r>
      <w:r w:rsidR="00F4254F" w:rsidRPr="003B3924">
        <w:rPr>
          <w:rFonts w:ascii="Arial Narrow" w:hAnsi="Arial Narrow"/>
          <w:sz w:val="24"/>
          <w:szCs w:val="24"/>
        </w:rPr>
        <w:t>’</w:t>
      </w:r>
      <w:r w:rsidR="005353A7" w:rsidRPr="003B3924">
        <w:rPr>
          <w:rFonts w:ascii="Arial Narrow" w:hAnsi="Arial Narrow"/>
          <w:sz w:val="24"/>
          <w:szCs w:val="24"/>
        </w:rPr>
        <w:t xml:space="preserve"> that participants told about moving home: staying put, return and pendulum</w:t>
      </w:r>
      <w:r w:rsidR="008171A4" w:rsidRPr="003B3924">
        <w:rPr>
          <w:rFonts w:ascii="Arial Narrow" w:hAnsi="Arial Narrow"/>
          <w:sz w:val="24"/>
          <w:szCs w:val="24"/>
        </w:rPr>
        <w:t xml:space="preserve">.  </w:t>
      </w:r>
    </w:p>
    <w:p w14:paraId="3964040D" w14:textId="6CDC3C28" w:rsidR="00072E7A" w:rsidRPr="003B3924" w:rsidRDefault="00072E7A" w:rsidP="00072E7A">
      <w:pPr>
        <w:pStyle w:val="PlainText"/>
        <w:rPr>
          <w:rFonts w:ascii="Arial Narrow" w:hAnsi="Arial Narrow"/>
          <w:sz w:val="24"/>
          <w:szCs w:val="24"/>
        </w:rPr>
      </w:pPr>
    </w:p>
    <w:p w14:paraId="57FCB929" w14:textId="2CDBA063" w:rsidR="00B8165C" w:rsidRPr="003B3924" w:rsidRDefault="00B8165C" w:rsidP="00072E7A">
      <w:pPr>
        <w:pStyle w:val="PlainText"/>
        <w:rPr>
          <w:rFonts w:ascii="Arial Narrow" w:hAnsi="Arial Narrow"/>
          <w:b/>
          <w:bCs/>
          <w:sz w:val="24"/>
          <w:szCs w:val="24"/>
        </w:rPr>
      </w:pPr>
      <w:r w:rsidRPr="003B3924">
        <w:rPr>
          <w:rFonts w:ascii="Arial Narrow" w:hAnsi="Arial Narrow"/>
          <w:b/>
          <w:bCs/>
          <w:sz w:val="24"/>
          <w:szCs w:val="24"/>
        </w:rPr>
        <w:t>Overarching themes: age cohort/gender</w:t>
      </w:r>
    </w:p>
    <w:p w14:paraId="527D6BE9" w14:textId="7B537410" w:rsidR="00B8165C" w:rsidRPr="003B3924" w:rsidRDefault="00B8165C" w:rsidP="00072E7A">
      <w:pPr>
        <w:pStyle w:val="PlainText"/>
        <w:rPr>
          <w:rFonts w:ascii="Arial Narrow" w:hAnsi="Arial Narrow"/>
          <w:sz w:val="24"/>
          <w:szCs w:val="24"/>
        </w:rPr>
      </w:pPr>
    </w:p>
    <w:p w14:paraId="326835AB" w14:textId="3EA5379F" w:rsidR="002369DA" w:rsidRPr="003B3924" w:rsidRDefault="00DC2704" w:rsidP="00C4589E">
      <w:pPr>
        <w:pStyle w:val="PlainText"/>
        <w:rPr>
          <w:rFonts w:ascii="Arial Narrow" w:hAnsi="Arial Narrow"/>
          <w:sz w:val="24"/>
          <w:szCs w:val="24"/>
        </w:rPr>
      </w:pPr>
      <w:r w:rsidRPr="003B3924">
        <w:rPr>
          <w:rFonts w:ascii="Arial Narrow" w:hAnsi="Arial Narrow"/>
          <w:sz w:val="24"/>
          <w:szCs w:val="24"/>
        </w:rPr>
        <w:t xml:space="preserve">The extent that home and moving featured together in </w:t>
      </w:r>
      <w:r w:rsidR="00011F8F">
        <w:rPr>
          <w:rFonts w:ascii="Arial Narrow" w:hAnsi="Arial Narrow"/>
          <w:sz w:val="24"/>
          <w:szCs w:val="24"/>
        </w:rPr>
        <w:t xml:space="preserve">the corpus </w:t>
      </w:r>
      <w:r w:rsidRPr="003B3924">
        <w:rPr>
          <w:rFonts w:ascii="Arial Narrow" w:hAnsi="Arial Narrow"/>
          <w:sz w:val="24"/>
          <w:szCs w:val="24"/>
        </w:rPr>
        <w:t xml:space="preserve">varied by gender and age cohort.  </w:t>
      </w:r>
      <w:r w:rsidR="00385FC4" w:rsidRPr="003B3924">
        <w:rPr>
          <w:rFonts w:ascii="Arial Narrow" w:hAnsi="Arial Narrow"/>
          <w:sz w:val="24"/>
          <w:szCs w:val="24"/>
        </w:rPr>
        <w:t>O</w:t>
      </w:r>
      <w:r w:rsidR="00110A38" w:rsidRPr="003B3924">
        <w:rPr>
          <w:rFonts w:ascii="Arial Narrow" w:hAnsi="Arial Narrow"/>
          <w:sz w:val="24"/>
          <w:szCs w:val="24"/>
        </w:rPr>
        <w:t>ur</w:t>
      </w:r>
      <w:r w:rsidRPr="003B3924">
        <w:rPr>
          <w:rFonts w:ascii="Arial Narrow" w:hAnsi="Arial Narrow"/>
          <w:sz w:val="24"/>
          <w:szCs w:val="24"/>
        </w:rPr>
        <w:t xml:space="preserve"> Leximancer</w:t>
      </w:r>
      <w:r w:rsidR="002369DA" w:rsidRPr="003B3924">
        <w:rPr>
          <w:rFonts w:ascii="Arial Narrow" w:hAnsi="Arial Narrow"/>
          <w:sz w:val="24"/>
          <w:szCs w:val="24"/>
        </w:rPr>
        <w:t xml:space="preserve"> breadth </w:t>
      </w:r>
      <w:r w:rsidR="00116EBA" w:rsidRPr="003B3924">
        <w:rPr>
          <w:rFonts w:ascii="Arial Narrow" w:hAnsi="Arial Narrow"/>
          <w:sz w:val="24"/>
          <w:szCs w:val="24"/>
        </w:rPr>
        <w:t xml:space="preserve">keyword </w:t>
      </w:r>
      <w:r w:rsidR="002369DA" w:rsidRPr="003B3924">
        <w:rPr>
          <w:rFonts w:ascii="Arial Narrow" w:hAnsi="Arial Narrow"/>
          <w:sz w:val="24"/>
          <w:szCs w:val="24"/>
        </w:rPr>
        <w:t>analysis</w:t>
      </w:r>
      <w:r w:rsidR="00385FC4" w:rsidRPr="003B3924">
        <w:rPr>
          <w:rFonts w:ascii="Arial Narrow" w:hAnsi="Arial Narrow"/>
          <w:sz w:val="24"/>
          <w:szCs w:val="24"/>
        </w:rPr>
        <w:t xml:space="preserve"> </w:t>
      </w:r>
      <w:r w:rsidR="00011F8F">
        <w:rPr>
          <w:rFonts w:ascii="Arial Narrow" w:hAnsi="Arial Narrow"/>
          <w:sz w:val="24"/>
          <w:szCs w:val="24"/>
        </w:rPr>
        <w:t xml:space="preserve">revealed </w:t>
      </w:r>
      <w:r w:rsidR="002369DA" w:rsidRPr="003B3924">
        <w:rPr>
          <w:rFonts w:ascii="Arial Narrow" w:hAnsi="Arial Narrow"/>
          <w:sz w:val="24"/>
          <w:szCs w:val="24"/>
        </w:rPr>
        <w:t>that co-occurrence of ‘home’ and ‘moving</w:t>
      </w:r>
      <w:r w:rsidR="00CB1DE4" w:rsidRPr="003B3924">
        <w:rPr>
          <w:rFonts w:ascii="Arial Narrow" w:hAnsi="Arial Narrow"/>
          <w:sz w:val="24"/>
          <w:szCs w:val="24"/>
        </w:rPr>
        <w:t>’</w:t>
      </w:r>
      <w:r w:rsidR="002369DA" w:rsidRPr="003B3924">
        <w:rPr>
          <w:rFonts w:ascii="Arial Narrow" w:hAnsi="Arial Narrow"/>
          <w:sz w:val="24"/>
          <w:szCs w:val="24"/>
        </w:rPr>
        <w:t xml:space="preserve"> was strongest among </w:t>
      </w:r>
      <w:r w:rsidR="00CB1DE4" w:rsidRPr="003B3924">
        <w:rPr>
          <w:rFonts w:ascii="Arial Narrow" w:hAnsi="Arial Narrow"/>
          <w:sz w:val="24"/>
          <w:szCs w:val="24"/>
        </w:rPr>
        <w:t>female participants</w:t>
      </w:r>
      <w:r w:rsidR="00116EBA" w:rsidRPr="003B3924">
        <w:rPr>
          <w:rFonts w:ascii="Arial Narrow" w:hAnsi="Arial Narrow"/>
          <w:sz w:val="24"/>
          <w:szCs w:val="24"/>
        </w:rPr>
        <w:t xml:space="preserve"> (see Table 2)</w:t>
      </w:r>
      <w:r w:rsidR="008F11D1" w:rsidRPr="003B3924">
        <w:rPr>
          <w:rFonts w:ascii="Arial Narrow" w:hAnsi="Arial Narrow"/>
          <w:sz w:val="24"/>
          <w:szCs w:val="24"/>
        </w:rPr>
        <w:t>, whether moving themselves or being moved away from or to</w:t>
      </w:r>
      <w:r w:rsidR="00CB1DE4" w:rsidRPr="003B3924">
        <w:rPr>
          <w:rFonts w:ascii="Arial Narrow" w:hAnsi="Arial Narrow"/>
          <w:sz w:val="24"/>
          <w:szCs w:val="24"/>
        </w:rPr>
        <w:t xml:space="preserve">.  Within this, </w:t>
      </w:r>
      <w:r w:rsidR="00110A38" w:rsidRPr="003B3924">
        <w:rPr>
          <w:rFonts w:ascii="Arial Narrow" w:hAnsi="Arial Narrow"/>
          <w:sz w:val="24"/>
          <w:szCs w:val="24"/>
        </w:rPr>
        <w:t xml:space="preserve">it is striking that all women in </w:t>
      </w:r>
      <w:r w:rsidR="00011F8F">
        <w:rPr>
          <w:rFonts w:ascii="Arial Narrow" w:hAnsi="Arial Narrow"/>
          <w:sz w:val="24"/>
          <w:szCs w:val="24"/>
        </w:rPr>
        <w:t xml:space="preserve">the </w:t>
      </w:r>
      <w:r w:rsidR="00110A38" w:rsidRPr="003B3924">
        <w:rPr>
          <w:rFonts w:ascii="Arial Narrow" w:hAnsi="Arial Narrow"/>
          <w:sz w:val="24"/>
          <w:szCs w:val="24"/>
        </w:rPr>
        <w:t xml:space="preserve">oldest cohort </w:t>
      </w:r>
      <w:r w:rsidR="00F377EA" w:rsidRPr="003B3924">
        <w:rPr>
          <w:rFonts w:ascii="Arial Narrow" w:hAnsi="Arial Narrow"/>
          <w:sz w:val="24"/>
          <w:szCs w:val="24"/>
        </w:rPr>
        <w:t>referred</w:t>
      </w:r>
      <w:r w:rsidR="00110A38" w:rsidRPr="003B3924">
        <w:rPr>
          <w:rFonts w:ascii="Arial Narrow" w:hAnsi="Arial Narrow"/>
          <w:sz w:val="24"/>
          <w:szCs w:val="24"/>
        </w:rPr>
        <w:t xml:space="preserve"> to </w:t>
      </w:r>
      <w:r w:rsidR="009F6A8E" w:rsidRPr="003B3924">
        <w:rPr>
          <w:rFonts w:ascii="Arial Narrow" w:hAnsi="Arial Narrow"/>
          <w:sz w:val="24"/>
          <w:szCs w:val="24"/>
        </w:rPr>
        <w:t xml:space="preserve">home and </w:t>
      </w:r>
      <w:r w:rsidR="009F6A8E" w:rsidRPr="003B3924">
        <w:rPr>
          <w:rFonts w:ascii="Arial Narrow" w:hAnsi="Arial Narrow"/>
          <w:sz w:val="24"/>
          <w:szCs w:val="24"/>
        </w:rPr>
        <w:lastRenderedPageBreak/>
        <w:t>moving</w:t>
      </w:r>
      <w:r w:rsidR="00385FC4" w:rsidRPr="003B3924">
        <w:rPr>
          <w:rFonts w:ascii="Arial Narrow" w:hAnsi="Arial Narrow"/>
          <w:sz w:val="24"/>
          <w:szCs w:val="24"/>
        </w:rPr>
        <w:t>, albeit these issues were still highly important for their male counterparts</w:t>
      </w:r>
      <w:r w:rsidR="0061616F" w:rsidRPr="003B3924">
        <w:rPr>
          <w:rFonts w:ascii="Arial Narrow" w:hAnsi="Arial Narrow"/>
          <w:sz w:val="24"/>
          <w:szCs w:val="24"/>
        </w:rPr>
        <w:t xml:space="preserve"> born prior to 1950</w:t>
      </w:r>
      <w:r w:rsidR="00385FC4" w:rsidRPr="003B3924">
        <w:rPr>
          <w:rFonts w:ascii="Arial Narrow" w:hAnsi="Arial Narrow"/>
          <w:sz w:val="24"/>
          <w:szCs w:val="24"/>
        </w:rPr>
        <w:t xml:space="preserve">.  </w:t>
      </w:r>
      <w:r w:rsidR="0061616F" w:rsidRPr="002454C4">
        <w:rPr>
          <w:rFonts w:ascii="Arial Narrow" w:hAnsi="Arial Narrow"/>
          <w:sz w:val="24"/>
          <w:szCs w:val="24"/>
        </w:rPr>
        <w:t xml:space="preserve">Generally, the older the </w:t>
      </w:r>
      <w:r w:rsidR="00EE67A0" w:rsidRPr="002454C4">
        <w:rPr>
          <w:rFonts w:ascii="Arial Narrow" w:hAnsi="Arial Narrow"/>
          <w:sz w:val="24"/>
          <w:szCs w:val="24"/>
        </w:rPr>
        <w:t>cohort</w:t>
      </w:r>
      <w:r w:rsidR="0061616F" w:rsidRPr="002454C4">
        <w:rPr>
          <w:rFonts w:ascii="Arial Narrow" w:hAnsi="Arial Narrow"/>
          <w:sz w:val="24"/>
          <w:szCs w:val="24"/>
        </w:rPr>
        <w:t xml:space="preserve">, the more home and moving were salient, with </w:t>
      </w:r>
      <w:r w:rsidR="00385FC4" w:rsidRPr="002454C4">
        <w:rPr>
          <w:rFonts w:ascii="Arial Narrow" w:hAnsi="Arial Narrow"/>
          <w:sz w:val="24"/>
          <w:szCs w:val="24"/>
        </w:rPr>
        <w:t>co-occurrence of the terms decreas</w:t>
      </w:r>
      <w:r w:rsidR="0061616F" w:rsidRPr="002454C4">
        <w:rPr>
          <w:rFonts w:ascii="Arial Narrow" w:hAnsi="Arial Narrow"/>
          <w:sz w:val="24"/>
          <w:szCs w:val="24"/>
        </w:rPr>
        <w:t>ing</w:t>
      </w:r>
      <w:r w:rsidR="00385FC4" w:rsidRPr="002454C4">
        <w:rPr>
          <w:rFonts w:ascii="Arial Narrow" w:hAnsi="Arial Narrow"/>
          <w:sz w:val="24"/>
          <w:szCs w:val="24"/>
        </w:rPr>
        <w:t xml:space="preserve"> down the </w:t>
      </w:r>
      <w:r w:rsidR="00EE67A0" w:rsidRPr="002454C4">
        <w:rPr>
          <w:rFonts w:ascii="Arial Narrow" w:hAnsi="Arial Narrow"/>
          <w:sz w:val="24"/>
          <w:szCs w:val="24"/>
        </w:rPr>
        <w:t xml:space="preserve">age </w:t>
      </w:r>
      <w:r w:rsidR="00385FC4" w:rsidRPr="002454C4">
        <w:rPr>
          <w:rFonts w:ascii="Arial Narrow" w:hAnsi="Arial Narrow"/>
          <w:sz w:val="24"/>
          <w:szCs w:val="24"/>
        </w:rPr>
        <w:t>cohort</w:t>
      </w:r>
      <w:r w:rsidR="0061616F" w:rsidRPr="002454C4">
        <w:rPr>
          <w:rFonts w:ascii="Arial Narrow" w:hAnsi="Arial Narrow"/>
          <w:sz w:val="24"/>
          <w:szCs w:val="24"/>
        </w:rPr>
        <w:t>.  This is with one exception</w:t>
      </w:r>
      <w:r w:rsidR="00455B00" w:rsidRPr="002454C4">
        <w:rPr>
          <w:rFonts w:ascii="Arial Narrow" w:hAnsi="Arial Narrow"/>
          <w:sz w:val="24"/>
          <w:szCs w:val="24"/>
        </w:rPr>
        <w:t xml:space="preserve">; </w:t>
      </w:r>
      <w:r w:rsidR="0061616F" w:rsidRPr="002454C4">
        <w:rPr>
          <w:rFonts w:ascii="Arial Narrow" w:hAnsi="Arial Narrow"/>
          <w:sz w:val="24"/>
          <w:szCs w:val="24"/>
        </w:rPr>
        <w:t>men</w:t>
      </w:r>
      <w:r w:rsidR="004E5044" w:rsidRPr="002454C4">
        <w:rPr>
          <w:rFonts w:ascii="Arial Narrow" w:hAnsi="Arial Narrow"/>
          <w:sz w:val="24"/>
          <w:szCs w:val="24"/>
        </w:rPr>
        <w:t xml:space="preserve"> </w:t>
      </w:r>
      <w:r w:rsidR="0061616F" w:rsidRPr="002454C4">
        <w:rPr>
          <w:rFonts w:ascii="Arial Narrow" w:hAnsi="Arial Narrow"/>
          <w:sz w:val="24"/>
          <w:szCs w:val="24"/>
        </w:rPr>
        <w:t>born between 1970 and 1989</w:t>
      </w:r>
      <w:r w:rsidR="00455B00" w:rsidRPr="002454C4">
        <w:rPr>
          <w:rFonts w:ascii="Arial Narrow" w:hAnsi="Arial Narrow"/>
          <w:sz w:val="24"/>
          <w:szCs w:val="24"/>
        </w:rPr>
        <w:t xml:space="preserve"> made</w:t>
      </w:r>
      <w:r w:rsidR="0061616F" w:rsidRPr="002454C4">
        <w:rPr>
          <w:rFonts w:ascii="Arial Narrow" w:hAnsi="Arial Narrow"/>
          <w:sz w:val="24"/>
          <w:szCs w:val="24"/>
        </w:rPr>
        <w:t xml:space="preserve"> more reference to home and moving than men in </w:t>
      </w:r>
      <w:r w:rsidR="00016419" w:rsidRPr="002454C4">
        <w:rPr>
          <w:rFonts w:ascii="Arial Narrow" w:hAnsi="Arial Narrow"/>
          <w:sz w:val="24"/>
          <w:szCs w:val="24"/>
        </w:rPr>
        <w:t xml:space="preserve">the </w:t>
      </w:r>
      <w:r w:rsidR="0061616F" w:rsidRPr="002454C4">
        <w:rPr>
          <w:rFonts w:ascii="Arial Narrow" w:hAnsi="Arial Narrow"/>
          <w:sz w:val="24"/>
          <w:szCs w:val="24"/>
        </w:rPr>
        <w:t xml:space="preserve">age cohort above them, </w:t>
      </w:r>
      <w:proofErr w:type="gramStart"/>
      <w:r w:rsidR="0061616F" w:rsidRPr="002454C4">
        <w:rPr>
          <w:rFonts w:ascii="Arial Narrow" w:hAnsi="Arial Narrow"/>
          <w:sz w:val="24"/>
          <w:szCs w:val="24"/>
        </w:rPr>
        <w:t>and also</w:t>
      </w:r>
      <w:proofErr w:type="gramEnd"/>
      <w:r w:rsidR="0061616F" w:rsidRPr="002454C4">
        <w:rPr>
          <w:rFonts w:ascii="Arial Narrow" w:hAnsi="Arial Narrow"/>
          <w:sz w:val="24"/>
          <w:szCs w:val="24"/>
        </w:rPr>
        <w:t xml:space="preserve"> to their female </w:t>
      </w:r>
      <w:r w:rsidR="00016419" w:rsidRPr="002454C4">
        <w:rPr>
          <w:rFonts w:ascii="Arial Narrow" w:hAnsi="Arial Narrow"/>
          <w:sz w:val="24"/>
          <w:szCs w:val="24"/>
        </w:rPr>
        <w:t>1970-89</w:t>
      </w:r>
      <w:r w:rsidR="0061616F" w:rsidRPr="002454C4">
        <w:rPr>
          <w:rFonts w:ascii="Arial Narrow" w:hAnsi="Arial Narrow"/>
          <w:sz w:val="24"/>
          <w:szCs w:val="24"/>
        </w:rPr>
        <w:t xml:space="preserve"> cohort counterparts.  </w:t>
      </w:r>
      <w:r w:rsidR="0033102A" w:rsidRPr="002454C4">
        <w:rPr>
          <w:rFonts w:ascii="Arial Narrow" w:hAnsi="Arial Narrow"/>
          <w:sz w:val="24"/>
          <w:szCs w:val="24"/>
        </w:rPr>
        <w:t xml:space="preserve">This is likely to be because </w:t>
      </w:r>
      <w:r w:rsidR="00DB79AB" w:rsidRPr="002454C4">
        <w:rPr>
          <w:rFonts w:ascii="Arial Narrow" w:hAnsi="Arial Narrow"/>
          <w:sz w:val="24"/>
          <w:szCs w:val="24"/>
        </w:rPr>
        <w:t xml:space="preserve">the </w:t>
      </w:r>
      <w:r w:rsidR="0033102A" w:rsidRPr="002454C4">
        <w:rPr>
          <w:rFonts w:ascii="Arial Narrow" w:hAnsi="Arial Narrow"/>
          <w:sz w:val="24"/>
          <w:szCs w:val="24"/>
        </w:rPr>
        <w:t>men in this age cohort were often discussing becoming a father and concerned about providing a suitable family home</w:t>
      </w:r>
      <w:r w:rsidR="00BE5967" w:rsidRPr="002454C4">
        <w:rPr>
          <w:rFonts w:ascii="Arial Narrow" w:hAnsi="Arial Narrow"/>
          <w:sz w:val="24"/>
          <w:szCs w:val="24"/>
        </w:rPr>
        <w:t xml:space="preserve"> (</w:t>
      </w:r>
      <w:r w:rsidR="00F377EA" w:rsidRPr="002454C4">
        <w:rPr>
          <w:rFonts w:ascii="Arial Narrow" w:hAnsi="Arial Narrow"/>
          <w:sz w:val="24"/>
          <w:szCs w:val="24"/>
        </w:rPr>
        <w:t>e.g.</w:t>
      </w:r>
      <w:r w:rsidR="00BE5967" w:rsidRPr="002454C4">
        <w:rPr>
          <w:rFonts w:ascii="Arial Narrow" w:hAnsi="Arial Narrow"/>
          <w:sz w:val="24"/>
          <w:szCs w:val="24"/>
        </w:rPr>
        <w:t xml:space="preserve"> David</w:t>
      </w:r>
      <w:r w:rsidR="00DB79AB" w:rsidRPr="002454C4">
        <w:rPr>
          <w:rFonts w:ascii="Arial Narrow" w:hAnsi="Arial Narrow"/>
          <w:sz w:val="24"/>
          <w:szCs w:val="24"/>
        </w:rPr>
        <w:t>’s</w:t>
      </w:r>
      <w:r w:rsidR="00BE5967" w:rsidRPr="002454C4">
        <w:rPr>
          <w:rFonts w:ascii="Arial Narrow" w:hAnsi="Arial Narrow"/>
          <w:sz w:val="24"/>
          <w:szCs w:val="24"/>
        </w:rPr>
        <w:t xml:space="preserve"> and Joe</w:t>
      </w:r>
      <w:r w:rsidR="00DB79AB" w:rsidRPr="002454C4">
        <w:rPr>
          <w:rFonts w:ascii="Arial Narrow" w:hAnsi="Arial Narrow"/>
          <w:sz w:val="24"/>
          <w:szCs w:val="24"/>
        </w:rPr>
        <w:t>’s</w:t>
      </w:r>
      <w:r w:rsidR="00BE5967" w:rsidRPr="002454C4">
        <w:rPr>
          <w:rFonts w:ascii="Arial Narrow" w:hAnsi="Arial Narrow"/>
          <w:sz w:val="24"/>
          <w:szCs w:val="24"/>
        </w:rPr>
        <w:t xml:space="preserve"> </w:t>
      </w:r>
      <w:r w:rsidR="00DD60E7" w:rsidRPr="002454C4">
        <w:rPr>
          <w:rFonts w:ascii="Arial Narrow" w:hAnsi="Arial Narrow"/>
          <w:sz w:val="24"/>
          <w:szCs w:val="24"/>
        </w:rPr>
        <w:t xml:space="preserve">small stories </w:t>
      </w:r>
      <w:r w:rsidR="00BE5967" w:rsidRPr="002454C4">
        <w:rPr>
          <w:rFonts w:ascii="Arial Narrow" w:hAnsi="Arial Narrow"/>
          <w:sz w:val="24"/>
          <w:szCs w:val="24"/>
        </w:rPr>
        <w:t xml:space="preserve">below). </w:t>
      </w:r>
      <w:r w:rsidR="0033102A" w:rsidRPr="002454C4">
        <w:rPr>
          <w:rFonts w:ascii="Arial Narrow" w:hAnsi="Arial Narrow"/>
          <w:sz w:val="24"/>
          <w:szCs w:val="24"/>
        </w:rPr>
        <w:t xml:space="preserve"> </w:t>
      </w:r>
      <w:r w:rsidR="00C4589E" w:rsidRPr="002454C4">
        <w:rPr>
          <w:rFonts w:ascii="Arial Narrow" w:hAnsi="Arial Narrow"/>
          <w:sz w:val="24"/>
          <w:szCs w:val="24"/>
        </w:rPr>
        <w:t xml:space="preserve">It may seem unremarkable that, for the most part, the older cohorts talked more about home moves, but we need to understand this in the face of literature showing that discrete events of moving home are more prevalent among younger cohorts.  From a linked lives perspective, taking account of being moved away from as well as doing the moving, then </w:t>
      </w:r>
      <w:r w:rsidR="008F11D1" w:rsidRPr="002454C4">
        <w:rPr>
          <w:rFonts w:ascii="Arial Narrow" w:hAnsi="Arial Narrow"/>
          <w:sz w:val="24"/>
          <w:szCs w:val="24"/>
        </w:rPr>
        <w:t xml:space="preserve">the salience of home moves may be stronger when viewed as sets of relational processes </w:t>
      </w:r>
      <w:r w:rsidR="008F11D1" w:rsidRPr="003B3924">
        <w:rPr>
          <w:rFonts w:ascii="Arial Narrow" w:hAnsi="Arial Narrow"/>
          <w:sz w:val="24"/>
          <w:szCs w:val="24"/>
        </w:rPr>
        <w:t xml:space="preserve">accumulating and unfolding over time in people’s </w:t>
      </w:r>
      <w:proofErr w:type="spellStart"/>
      <w:r w:rsidR="008F11D1" w:rsidRPr="003B3924">
        <w:rPr>
          <w:rFonts w:ascii="Arial Narrow" w:hAnsi="Arial Narrow"/>
          <w:sz w:val="24"/>
          <w:szCs w:val="24"/>
        </w:rPr>
        <w:t>lifecourses</w:t>
      </w:r>
      <w:proofErr w:type="spellEnd"/>
      <w:r w:rsidR="008F11D1" w:rsidRPr="003B3924">
        <w:rPr>
          <w:rFonts w:ascii="Arial Narrow" w:hAnsi="Arial Narrow"/>
          <w:sz w:val="24"/>
          <w:szCs w:val="24"/>
        </w:rPr>
        <w:t>.</w:t>
      </w:r>
    </w:p>
    <w:p w14:paraId="374E2328" w14:textId="4BA79657" w:rsidR="002369DA" w:rsidRPr="003B3924" w:rsidRDefault="002369DA" w:rsidP="00072E7A">
      <w:pPr>
        <w:pStyle w:val="PlainText"/>
        <w:rPr>
          <w:rFonts w:ascii="Arial Narrow" w:hAnsi="Arial Narrow"/>
          <w:sz w:val="24"/>
          <w:szCs w:val="24"/>
        </w:rPr>
      </w:pPr>
    </w:p>
    <w:p w14:paraId="773F5527" w14:textId="730DF621" w:rsidR="002369DA" w:rsidRPr="00B852A7" w:rsidRDefault="00385FC4" w:rsidP="00072E7A">
      <w:pPr>
        <w:pStyle w:val="PlainText"/>
        <w:rPr>
          <w:rFonts w:ascii="Arial Narrow" w:hAnsi="Arial Narrow"/>
          <w:i/>
          <w:iCs/>
          <w:szCs w:val="22"/>
        </w:rPr>
      </w:pPr>
      <w:r w:rsidRPr="003B3924">
        <w:rPr>
          <w:rFonts w:ascii="Arial Narrow" w:hAnsi="Arial Narrow"/>
          <w:sz w:val="24"/>
          <w:szCs w:val="24"/>
        </w:rPr>
        <w:tab/>
      </w:r>
      <w:r w:rsidRPr="00B852A7">
        <w:rPr>
          <w:rFonts w:ascii="Arial Narrow" w:hAnsi="Arial Narrow"/>
          <w:i/>
          <w:iCs/>
          <w:szCs w:val="22"/>
        </w:rPr>
        <w:t>Table 2: Co-occurrence of ‘home’ and ‘moving’ by age cohort and gender</w:t>
      </w:r>
    </w:p>
    <w:tbl>
      <w:tblPr>
        <w:tblStyle w:val="TableGrid"/>
        <w:tblW w:w="0" w:type="auto"/>
        <w:tblInd w:w="846" w:type="dxa"/>
        <w:tblLook w:val="04A0" w:firstRow="1" w:lastRow="0" w:firstColumn="1" w:lastColumn="0" w:noHBand="0" w:noVBand="1"/>
      </w:tblPr>
      <w:tblGrid>
        <w:gridCol w:w="1843"/>
        <w:gridCol w:w="1701"/>
        <w:gridCol w:w="1701"/>
      </w:tblGrid>
      <w:tr w:rsidR="00455B00" w:rsidRPr="00B852A7" w14:paraId="065315E9" w14:textId="77777777" w:rsidTr="00116EBA">
        <w:tc>
          <w:tcPr>
            <w:tcW w:w="1843" w:type="dxa"/>
          </w:tcPr>
          <w:p w14:paraId="088B73EB" w14:textId="6F559914" w:rsidR="00385FC4" w:rsidRPr="00B852A7" w:rsidRDefault="00385FC4" w:rsidP="00072E7A">
            <w:pPr>
              <w:pStyle w:val="PlainText"/>
              <w:rPr>
                <w:rFonts w:ascii="Arial Narrow" w:hAnsi="Arial Narrow"/>
                <w:i/>
                <w:iCs/>
                <w:sz w:val="20"/>
                <w:szCs w:val="20"/>
              </w:rPr>
            </w:pPr>
            <w:r w:rsidRPr="00B852A7">
              <w:rPr>
                <w:rFonts w:ascii="Arial Narrow" w:hAnsi="Arial Narrow"/>
                <w:i/>
                <w:iCs/>
                <w:sz w:val="20"/>
                <w:szCs w:val="20"/>
              </w:rPr>
              <w:t>Age cohort</w:t>
            </w:r>
          </w:p>
        </w:tc>
        <w:tc>
          <w:tcPr>
            <w:tcW w:w="1701" w:type="dxa"/>
          </w:tcPr>
          <w:p w14:paraId="68EAA375" w14:textId="41BEDFE1" w:rsidR="00385FC4" w:rsidRPr="00B852A7" w:rsidRDefault="00385FC4" w:rsidP="00385FC4">
            <w:pPr>
              <w:pStyle w:val="PlainText"/>
              <w:jc w:val="center"/>
              <w:rPr>
                <w:rFonts w:ascii="Arial Narrow" w:hAnsi="Arial Narrow"/>
                <w:i/>
                <w:iCs/>
                <w:sz w:val="20"/>
                <w:szCs w:val="20"/>
              </w:rPr>
            </w:pPr>
            <w:r w:rsidRPr="00B852A7">
              <w:rPr>
                <w:rFonts w:ascii="Arial Narrow" w:hAnsi="Arial Narrow"/>
                <w:i/>
                <w:iCs/>
                <w:sz w:val="20"/>
                <w:szCs w:val="20"/>
              </w:rPr>
              <w:t>Female</w:t>
            </w:r>
            <w:r w:rsidR="0061616F" w:rsidRPr="00B852A7">
              <w:rPr>
                <w:rFonts w:ascii="Arial Narrow" w:hAnsi="Arial Narrow"/>
                <w:i/>
                <w:iCs/>
                <w:sz w:val="20"/>
                <w:szCs w:val="20"/>
              </w:rPr>
              <w:t xml:space="preserve"> %</w:t>
            </w:r>
          </w:p>
        </w:tc>
        <w:tc>
          <w:tcPr>
            <w:tcW w:w="1701" w:type="dxa"/>
          </w:tcPr>
          <w:p w14:paraId="0C8DBC57" w14:textId="4E954921" w:rsidR="00385FC4" w:rsidRPr="00B852A7" w:rsidRDefault="00385FC4" w:rsidP="00385FC4">
            <w:pPr>
              <w:pStyle w:val="PlainText"/>
              <w:jc w:val="center"/>
              <w:rPr>
                <w:rFonts w:ascii="Arial Narrow" w:hAnsi="Arial Narrow"/>
                <w:i/>
                <w:iCs/>
                <w:sz w:val="20"/>
                <w:szCs w:val="20"/>
              </w:rPr>
            </w:pPr>
            <w:r w:rsidRPr="00B852A7">
              <w:rPr>
                <w:rFonts w:ascii="Arial Narrow" w:hAnsi="Arial Narrow"/>
                <w:i/>
                <w:iCs/>
                <w:sz w:val="20"/>
                <w:szCs w:val="20"/>
              </w:rPr>
              <w:t>Male</w:t>
            </w:r>
            <w:r w:rsidR="0061616F" w:rsidRPr="00B852A7">
              <w:rPr>
                <w:rFonts w:ascii="Arial Narrow" w:hAnsi="Arial Narrow"/>
                <w:i/>
                <w:iCs/>
                <w:sz w:val="20"/>
                <w:szCs w:val="20"/>
              </w:rPr>
              <w:t xml:space="preserve"> %</w:t>
            </w:r>
          </w:p>
        </w:tc>
      </w:tr>
      <w:tr w:rsidR="00455B00" w:rsidRPr="00B852A7" w14:paraId="45785CB7" w14:textId="77777777" w:rsidTr="00116EBA">
        <w:tc>
          <w:tcPr>
            <w:tcW w:w="1843" w:type="dxa"/>
          </w:tcPr>
          <w:p w14:paraId="3C7C4903" w14:textId="4A991DD3" w:rsidR="00385FC4" w:rsidRPr="00B852A7" w:rsidRDefault="00385FC4" w:rsidP="00016419">
            <w:pPr>
              <w:pStyle w:val="PlainText"/>
              <w:ind w:left="360"/>
              <w:rPr>
                <w:rFonts w:ascii="Arial Narrow" w:hAnsi="Arial Narrow"/>
                <w:i/>
                <w:iCs/>
                <w:sz w:val="20"/>
                <w:szCs w:val="20"/>
              </w:rPr>
            </w:pPr>
            <w:r w:rsidRPr="00B852A7">
              <w:rPr>
                <w:rFonts w:ascii="Arial Narrow" w:hAnsi="Arial Narrow"/>
                <w:i/>
                <w:iCs/>
                <w:sz w:val="20"/>
                <w:szCs w:val="20"/>
              </w:rPr>
              <w:t>Pre 1950</w:t>
            </w:r>
          </w:p>
        </w:tc>
        <w:tc>
          <w:tcPr>
            <w:tcW w:w="1701" w:type="dxa"/>
          </w:tcPr>
          <w:p w14:paraId="0709C8DE" w14:textId="3AE6207D"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100</w:t>
            </w:r>
          </w:p>
        </w:tc>
        <w:tc>
          <w:tcPr>
            <w:tcW w:w="1701" w:type="dxa"/>
          </w:tcPr>
          <w:p w14:paraId="1D6B98C9" w14:textId="01F27096"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83</w:t>
            </w:r>
          </w:p>
        </w:tc>
      </w:tr>
      <w:tr w:rsidR="00455B00" w:rsidRPr="00B852A7" w14:paraId="6E2DFD90" w14:textId="77777777" w:rsidTr="00116EBA">
        <w:tc>
          <w:tcPr>
            <w:tcW w:w="1843" w:type="dxa"/>
          </w:tcPr>
          <w:p w14:paraId="3589A85B" w14:textId="417510EB" w:rsidR="00385FC4" w:rsidRPr="00B852A7" w:rsidRDefault="00385FC4" w:rsidP="00016419">
            <w:pPr>
              <w:pStyle w:val="PlainText"/>
              <w:ind w:left="360"/>
              <w:rPr>
                <w:rFonts w:ascii="Arial Narrow" w:hAnsi="Arial Narrow"/>
                <w:i/>
                <w:iCs/>
                <w:sz w:val="20"/>
                <w:szCs w:val="20"/>
              </w:rPr>
            </w:pPr>
            <w:r w:rsidRPr="00B852A7">
              <w:rPr>
                <w:rFonts w:ascii="Arial Narrow" w:hAnsi="Arial Narrow"/>
                <w:i/>
                <w:iCs/>
                <w:sz w:val="20"/>
                <w:szCs w:val="20"/>
              </w:rPr>
              <w:t>1950-1969</w:t>
            </w:r>
          </w:p>
        </w:tc>
        <w:tc>
          <w:tcPr>
            <w:tcW w:w="1701" w:type="dxa"/>
          </w:tcPr>
          <w:p w14:paraId="7D0C76A8" w14:textId="2B051E07"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77</w:t>
            </w:r>
          </w:p>
        </w:tc>
        <w:tc>
          <w:tcPr>
            <w:tcW w:w="1701" w:type="dxa"/>
          </w:tcPr>
          <w:p w14:paraId="623115CC" w14:textId="42A8D0AB"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65</w:t>
            </w:r>
          </w:p>
        </w:tc>
      </w:tr>
      <w:tr w:rsidR="00455B00" w:rsidRPr="00B852A7" w14:paraId="0DA29595" w14:textId="77777777" w:rsidTr="00116EBA">
        <w:tc>
          <w:tcPr>
            <w:tcW w:w="1843" w:type="dxa"/>
          </w:tcPr>
          <w:p w14:paraId="7565805C" w14:textId="1CC1794F" w:rsidR="00385FC4" w:rsidRPr="00B852A7" w:rsidRDefault="00385FC4" w:rsidP="00016419">
            <w:pPr>
              <w:pStyle w:val="PlainText"/>
              <w:ind w:left="360"/>
              <w:rPr>
                <w:rFonts w:ascii="Arial Narrow" w:hAnsi="Arial Narrow"/>
                <w:i/>
                <w:iCs/>
                <w:sz w:val="20"/>
                <w:szCs w:val="20"/>
              </w:rPr>
            </w:pPr>
            <w:r w:rsidRPr="00B852A7">
              <w:rPr>
                <w:rFonts w:ascii="Arial Narrow" w:hAnsi="Arial Narrow"/>
                <w:i/>
                <w:iCs/>
                <w:sz w:val="20"/>
                <w:szCs w:val="20"/>
              </w:rPr>
              <w:t>1970-89</w:t>
            </w:r>
          </w:p>
        </w:tc>
        <w:tc>
          <w:tcPr>
            <w:tcW w:w="1701" w:type="dxa"/>
          </w:tcPr>
          <w:p w14:paraId="51FA3DC9" w14:textId="6A521881"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64</w:t>
            </w:r>
          </w:p>
        </w:tc>
        <w:tc>
          <w:tcPr>
            <w:tcW w:w="1701" w:type="dxa"/>
          </w:tcPr>
          <w:p w14:paraId="0821254F" w14:textId="5331F716"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75</w:t>
            </w:r>
          </w:p>
        </w:tc>
      </w:tr>
      <w:tr w:rsidR="00455B00" w:rsidRPr="00B852A7" w14:paraId="6B8CC248" w14:textId="77777777" w:rsidTr="00116EBA">
        <w:tc>
          <w:tcPr>
            <w:tcW w:w="1843" w:type="dxa"/>
          </w:tcPr>
          <w:p w14:paraId="31512E4D" w14:textId="5220E523" w:rsidR="00385FC4" w:rsidRPr="00B852A7" w:rsidRDefault="00385FC4" w:rsidP="00016419">
            <w:pPr>
              <w:pStyle w:val="PlainText"/>
              <w:ind w:left="360"/>
              <w:rPr>
                <w:rFonts w:ascii="Arial Narrow" w:hAnsi="Arial Narrow"/>
                <w:i/>
                <w:iCs/>
                <w:sz w:val="20"/>
                <w:szCs w:val="20"/>
              </w:rPr>
            </w:pPr>
            <w:r w:rsidRPr="00B852A7">
              <w:rPr>
                <w:rFonts w:ascii="Arial Narrow" w:hAnsi="Arial Narrow"/>
                <w:i/>
                <w:iCs/>
                <w:sz w:val="20"/>
                <w:szCs w:val="20"/>
              </w:rPr>
              <w:t>Post 1990</w:t>
            </w:r>
          </w:p>
        </w:tc>
        <w:tc>
          <w:tcPr>
            <w:tcW w:w="1701" w:type="dxa"/>
          </w:tcPr>
          <w:p w14:paraId="126A0A28" w14:textId="3BED4CA6"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59</w:t>
            </w:r>
          </w:p>
        </w:tc>
        <w:tc>
          <w:tcPr>
            <w:tcW w:w="1701" w:type="dxa"/>
          </w:tcPr>
          <w:p w14:paraId="09144D44" w14:textId="54B0B674"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31</w:t>
            </w:r>
          </w:p>
        </w:tc>
      </w:tr>
      <w:tr w:rsidR="00385FC4" w:rsidRPr="003B3924" w14:paraId="0821E813" w14:textId="77777777" w:rsidTr="00116EBA">
        <w:tc>
          <w:tcPr>
            <w:tcW w:w="1843" w:type="dxa"/>
          </w:tcPr>
          <w:p w14:paraId="775A643E" w14:textId="1DC362D1" w:rsidR="00385FC4" w:rsidRPr="00B852A7" w:rsidRDefault="0061616F" w:rsidP="00072E7A">
            <w:pPr>
              <w:pStyle w:val="PlainText"/>
              <w:rPr>
                <w:rFonts w:ascii="Arial Narrow" w:hAnsi="Arial Narrow"/>
                <w:i/>
                <w:iCs/>
                <w:sz w:val="20"/>
                <w:szCs w:val="20"/>
              </w:rPr>
            </w:pPr>
            <w:r w:rsidRPr="00B852A7">
              <w:rPr>
                <w:rFonts w:ascii="Arial Narrow" w:hAnsi="Arial Narrow"/>
                <w:i/>
                <w:iCs/>
                <w:sz w:val="20"/>
                <w:szCs w:val="20"/>
              </w:rPr>
              <w:t>All</w:t>
            </w:r>
          </w:p>
        </w:tc>
        <w:tc>
          <w:tcPr>
            <w:tcW w:w="1701" w:type="dxa"/>
          </w:tcPr>
          <w:p w14:paraId="61C4A611" w14:textId="743CF991" w:rsidR="00385FC4" w:rsidRPr="00B852A7" w:rsidRDefault="0061616F" w:rsidP="00385FC4">
            <w:pPr>
              <w:pStyle w:val="PlainText"/>
              <w:jc w:val="center"/>
              <w:rPr>
                <w:rFonts w:ascii="Arial Narrow" w:hAnsi="Arial Narrow"/>
                <w:sz w:val="20"/>
                <w:szCs w:val="20"/>
              </w:rPr>
            </w:pPr>
            <w:r w:rsidRPr="00B852A7">
              <w:rPr>
                <w:rFonts w:ascii="Arial Narrow" w:hAnsi="Arial Narrow"/>
                <w:sz w:val="20"/>
                <w:szCs w:val="20"/>
              </w:rPr>
              <w:t>71</w:t>
            </w:r>
          </w:p>
        </w:tc>
        <w:tc>
          <w:tcPr>
            <w:tcW w:w="1701" w:type="dxa"/>
          </w:tcPr>
          <w:p w14:paraId="5023CAA4" w14:textId="2B39B237" w:rsidR="00385FC4" w:rsidRPr="003B3924" w:rsidRDefault="0061616F" w:rsidP="00385FC4">
            <w:pPr>
              <w:pStyle w:val="PlainText"/>
              <w:jc w:val="center"/>
              <w:rPr>
                <w:rFonts w:ascii="Arial Narrow" w:hAnsi="Arial Narrow"/>
                <w:sz w:val="20"/>
                <w:szCs w:val="20"/>
              </w:rPr>
            </w:pPr>
            <w:r w:rsidRPr="00B852A7">
              <w:rPr>
                <w:rFonts w:ascii="Arial Narrow" w:hAnsi="Arial Narrow"/>
                <w:sz w:val="20"/>
                <w:szCs w:val="20"/>
              </w:rPr>
              <w:t>56</w:t>
            </w:r>
          </w:p>
        </w:tc>
      </w:tr>
    </w:tbl>
    <w:p w14:paraId="300A9609" w14:textId="4ADB577A" w:rsidR="002369DA" w:rsidRPr="003B3924" w:rsidRDefault="002369DA" w:rsidP="00072E7A">
      <w:pPr>
        <w:pStyle w:val="PlainText"/>
        <w:rPr>
          <w:rFonts w:ascii="Arial Narrow" w:hAnsi="Arial Narrow"/>
          <w:sz w:val="24"/>
          <w:szCs w:val="24"/>
          <w:u w:val="single"/>
        </w:rPr>
      </w:pPr>
    </w:p>
    <w:p w14:paraId="20B98208" w14:textId="12CBBB0D" w:rsidR="00F56F10" w:rsidRPr="003B3924" w:rsidRDefault="00455B00" w:rsidP="00072E7A">
      <w:pPr>
        <w:pStyle w:val="PlainText"/>
        <w:rPr>
          <w:rFonts w:ascii="Arial Narrow" w:hAnsi="Arial Narrow"/>
          <w:sz w:val="24"/>
          <w:szCs w:val="24"/>
        </w:rPr>
      </w:pPr>
      <w:r w:rsidRPr="003B3924">
        <w:rPr>
          <w:rFonts w:ascii="Arial Narrow" w:hAnsi="Arial Narrow"/>
          <w:sz w:val="24"/>
          <w:szCs w:val="24"/>
        </w:rPr>
        <w:t>Our subsequent</w:t>
      </w:r>
      <w:r w:rsidR="00116EBA" w:rsidRPr="003B3924">
        <w:rPr>
          <w:rFonts w:ascii="Arial Narrow" w:hAnsi="Arial Narrow"/>
          <w:sz w:val="24"/>
          <w:szCs w:val="24"/>
        </w:rPr>
        <w:t xml:space="preserve"> thematic analysis of </w:t>
      </w:r>
      <w:r w:rsidR="000D5860" w:rsidRPr="003B3924">
        <w:rPr>
          <w:rFonts w:ascii="Arial Narrow" w:hAnsi="Arial Narrow"/>
          <w:sz w:val="24"/>
          <w:szCs w:val="24"/>
        </w:rPr>
        <w:t xml:space="preserve">brief extracts of the participants’ interview accounts where </w:t>
      </w:r>
      <w:r w:rsidR="00DB79AB" w:rsidRPr="003B3924">
        <w:rPr>
          <w:rFonts w:ascii="Arial Narrow" w:hAnsi="Arial Narrow"/>
          <w:sz w:val="24"/>
          <w:szCs w:val="24"/>
        </w:rPr>
        <w:t xml:space="preserve">mention of </w:t>
      </w:r>
      <w:r w:rsidR="008F11D1" w:rsidRPr="003B3924">
        <w:rPr>
          <w:rFonts w:ascii="Arial Narrow" w:hAnsi="Arial Narrow"/>
          <w:sz w:val="24"/>
          <w:szCs w:val="24"/>
        </w:rPr>
        <w:t>home and moving</w:t>
      </w:r>
      <w:r w:rsidR="000D5860" w:rsidRPr="003B3924">
        <w:rPr>
          <w:rFonts w:ascii="Arial Narrow" w:hAnsi="Arial Narrow"/>
          <w:sz w:val="24"/>
          <w:szCs w:val="24"/>
        </w:rPr>
        <w:t xml:space="preserve"> occurred together </w:t>
      </w:r>
      <w:r w:rsidR="002A4009" w:rsidRPr="003B3924">
        <w:rPr>
          <w:rFonts w:ascii="Arial Narrow" w:hAnsi="Arial Narrow"/>
          <w:sz w:val="24"/>
          <w:szCs w:val="24"/>
        </w:rPr>
        <w:t>generat</w:t>
      </w:r>
      <w:r w:rsidR="000D5860" w:rsidRPr="003B3924">
        <w:rPr>
          <w:rFonts w:ascii="Arial Narrow" w:hAnsi="Arial Narrow"/>
          <w:sz w:val="24"/>
          <w:szCs w:val="24"/>
        </w:rPr>
        <w:t>ed</w:t>
      </w:r>
      <w:r w:rsidRPr="003B3924">
        <w:rPr>
          <w:rFonts w:ascii="Arial Narrow" w:hAnsi="Arial Narrow"/>
          <w:sz w:val="24"/>
          <w:szCs w:val="24"/>
        </w:rPr>
        <w:t xml:space="preserve"> key </w:t>
      </w:r>
      <w:r w:rsidR="000D5860" w:rsidRPr="003B3924">
        <w:rPr>
          <w:rFonts w:ascii="Arial Narrow" w:hAnsi="Arial Narrow"/>
          <w:sz w:val="24"/>
          <w:szCs w:val="24"/>
        </w:rPr>
        <w:t>recurrent themes</w:t>
      </w:r>
      <w:r w:rsidRPr="003B3924">
        <w:rPr>
          <w:rFonts w:ascii="Arial Narrow" w:hAnsi="Arial Narrow"/>
          <w:sz w:val="24"/>
          <w:szCs w:val="24"/>
        </w:rPr>
        <w:t>:</w:t>
      </w:r>
      <w:r w:rsidR="000D5860" w:rsidRPr="003B3924">
        <w:rPr>
          <w:rFonts w:ascii="Arial Narrow" w:hAnsi="Arial Narrow"/>
          <w:sz w:val="24"/>
          <w:szCs w:val="24"/>
        </w:rPr>
        <w:t xml:space="preserve"> of </w:t>
      </w:r>
      <w:r w:rsidR="00135F9A" w:rsidRPr="003B3924">
        <w:rPr>
          <w:rFonts w:ascii="Arial Narrow" w:hAnsi="Arial Narrow"/>
          <w:sz w:val="24"/>
          <w:szCs w:val="24"/>
        </w:rPr>
        <w:t xml:space="preserve">passivity or </w:t>
      </w:r>
      <w:r w:rsidR="000D5860" w:rsidRPr="003B3924">
        <w:rPr>
          <w:rFonts w:ascii="Arial Narrow" w:hAnsi="Arial Narrow"/>
          <w:sz w:val="24"/>
          <w:szCs w:val="24"/>
        </w:rPr>
        <w:t xml:space="preserve">agency in home </w:t>
      </w:r>
      <w:r w:rsidR="008F11D1" w:rsidRPr="003B3924">
        <w:rPr>
          <w:rFonts w:ascii="Arial Narrow" w:hAnsi="Arial Narrow"/>
          <w:sz w:val="24"/>
          <w:szCs w:val="24"/>
        </w:rPr>
        <w:t xml:space="preserve">moves </w:t>
      </w:r>
      <w:r w:rsidR="00F56F10" w:rsidRPr="003B3924">
        <w:rPr>
          <w:rFonts w:ascii="Arial Narrow" w:hAnsi="Arial Narrow"/>
          <w:sz w:val="24"/>
          <w:szCs w:val="24"/>
        </w:rPr>
        <w:t>by self or others</w:t>
      </w:r>
      <w:r w:rsidR="000D5860" w:rsidRPr="003B3924">
        <w:rPr>
          <w:rFonts w:ascii="Arial Narrow" w:hAnsi="Arial Narrow"/>
          <w:sz w:val="24"/>
          <w:szCs w:val="24"/>
        </w:rPr>
        <w:t>, of moral or taken-for-granted stances towards the nature of the home move</w:t>
      </w:r>
      <w:r w:rsidR="00F56F10" w:rsidRPr="003B3924">
        <w:rPr>
          <w:rFonts w:ascii="Arial Narrow" w:hAnsi="Arial Narrow"/>
          <w:sz w:val="24"/>
          <w:szCs w:val="24"/>
        </w:rPr>
        <w:t>s</w:t>
      </w:r>
      <w:r w:rsidR="000D5860" w:rsidRPr="003B3924">
        <w:rPr>
          <w:rFonts w:ascii="Arial Narrow" w:hAnsi="Arial Narrow"/>
          <w:sz w:val="24"/>
          <w:szCs w:val="24"/>
        </w:rPr>
        <w:t xml:space="preserve"> concerned</w:t>
      </w:r>
      <w:r w:rsidRPr="003B3924">
        <w:rPr>
          <w:rFonts w:ascii="Arial Narrow" w:hAnsi="Arial Narrow"/>
          <w:sz w:val="24"/>
          <w:szCs w:val="24"/>
        </w:rPr>
        <w:t>; of</w:t>
      </w:r>
      <w:r w:rsidR="000D5860" w:rsidRPr="003B3924">
        <w:rPr>
          <w:rFonts w:ascii="Arial Narrow" w:hAnsi="Arial Narrow"/>
          <w:sz w:val="24"/>
          <w:szCs w:val="24"/>
        </w:rPr>
        <w:t xml:space="preserve"> </w:t>
      </w:r>
      <w:r w:rsidR="00AD665F" w:rsidRPr="003B3924">
        <w:rPr>
          <w:rFonts w:ascii="Arial Narrow" w:hAnsi="Arial Narrow"/>
          <w:sz w:val="24"/>
          <w:szCs w:val="24"/>
        </w:rPr>
        <w:t xml:space="preserve">home as place as well as people, </w:t>
      </w:r>
      <w:r w:rsidR="00F56F10" w:rsidRPr="003B3924">
        <w:rPr>
          <w:rFonts w:ascii="Arial Narrow" w:hAnsi="Arial Narrow"/>
          <w:sz w:val="24"/>
          <w:szCs w:val="24"/>
        </w:rPr>
        <w:t xml:space="preserve">and also </w:t>
      </w:r>
      <w:r w:rsidRPr="003B3924">
        <w:rPr>
          <w:rFonts w:ascii="Arial Narrow" w:hAnsi="Arial Narrow"/>
          <w:sz w:val="24"/>
          <w:szCs w:val="24"/>
        </w:rPr>
        <w:t xml:space="preserve">of </w:t>
      </w:r>
      <w:r w:rsidR="00F56F10" w:rsidRPr="003B3924">
        <w:rPr>
          <w:rFonts w:ascii="Arial Narrow" w:hAnsi="Arial Narrow"/>
          <w:sz w:val="24"/>
          <w:szCs w:val="24"/>
        </w:rPr>
        <w:t>anxieties about home moves by self and</w:t>
      </w:r>
      <w:r w:rsidR="00691219" w:rsidRPr="003B3924">
        <w:rPr>
          <w:rFonts w:ascii="Arial Narrow" w:hAnsi="Arial Narrow"/>
          <w:sz w:val="24"/>
          <w:szCs w:val="24"/>
        </w:rPr>
        <w:t>/</w:t>
      </w:r>
      <w:r w:rsidR="00F56F10" w:rsidRPr="003B3924">
        <w:rPr>
          <w:rFonts w:ascii="Arial Narrow" w:hAnsi="Arial Narrow"/>
          <w:sz w:val="24"/>
          <w:szCs w:val="24"/>
        </w:rPr>
        <w:t>or others.  Gender was an element in these understandings and experiences</w:t>
      </w:r>
      <w:r w:rsidRPr="003B3924">
        <w:rPr>
          <w:rFonts w:ascii="Arial Narrow" w:hAnsi="Arial Narrow"/>
          <w:sz w:val="24"/>
          <w:szCs w:val="24"/>
        </w:rPr>
        <w:t>.  T</w:t>
      </w:r>
      <w:r w:rsidR="00F56F10" w:rsidRPr="003B3924">
        <w:rPr>
          <w:rFonts w:ascii="Arial Narrow" w:hAnsi="Arial Narrow"/>
          <w:sz w:val="24"/>
          <w:szCs w:val="24"/>
        </w:rPr>
        <w:t xml:space="preserve">he theme of </w:t>
      </w:r>
      <w:r w:rsidR="00691219" w:rsidRPr="003B3924">
        <w:rPr>
          <w:rFonts w:ascii="Arial Narrow" w:hAnsi="Arial Narrow"/>
          <w:sz w:val="24"/>
          <w:szCs w:val="24"/>
        </w:rPr>
        <w:t xml:space="preserve">anxiety about </w:t>
      </w:r>
      <w:r w:rsidR="00F56F10" w:rsidRPr="003B3924">
        <w:rPr>
          <w:rFonts w:ascii="Arial Narrow" w:hAnsi="Arial Narrow"/>
          <w:sz w:val="24"/>
          <w:szCs w:val="24"/>
        </w:rPr>
        <w:t>being left</w:t>
      </w:r>
      <w:r w:rsidR="00691219" w:rsidRPr="003B3924">
        <w:rPr>
          <w:rFonts w:ascii="Arial Narrow" w:hAnsi="Arial Narrow"/>
          <w:sz w:val="24"/>
          <w:szCs w:val="24"/>
        </w:rPr>
        <w:t xml:space="preserve"> behind</w:t>
      </w:r>
      <w:r w:rsidR="00F56F10" w:rsidRPr="003B3924">
        <w:rPr>
          <w:rFonts w:ascii="Arial Narrow" w:hAnsi="Arial Narrow"/>
          <w:sz w:val="24"/>
          <w:szCs w:val="24"/>
        </w:rPr>
        <w:t xml:space="preserve"> </w:t>
      </w:r>
      <w:r w:rsidRPr="003B3924">
        <w:rPr>
          <w:rFonts w:ascii="Arial Narrow" w:hAnsi="Arial Narrow"/>
          <w:sz w:val="24"/>
          <w:szCs w:val="24"/>
        </w:rPr>
        <w:t xml:space="preserve">was </w:t>
      </w:r>
      <w:r w:rsidR="00F56F10" w:rsidRPr="003B3924">
        <w:rPr>
          <w:rFonts w:ascii="Arial Narrow" w:hAnsi="Arial Narrow"/>
          <w:sz w:val="24"/>
          <w:szCs w:val="24"/>
        </w:rPr>
        <w:t xml:space="preserve">not so prevalent in male accounts, and anxieties about the </w:t>
      </w:r>
      <w:r w:rsidR="00691219" w:rsidRPr="003B3924">
        <w:rPr>
          <w:rFonts w:ascii="Arial Narrow" w:hAnsi="Arial Narrow"/>
          <w:sz w:val="24"/>
          <w:szCs w:val="24"/>
        </w:rPr>
        <w:t xml:space="preserve">self or others’ </w:t>
      </w:r>
      <w:r w:rsidR="00F56F10" w:rsidRPr="003B3924">
        <w:rPr>
          <w:rFonts w:ascii="Arial Narrow" w:hAnsi="Arial Narrow"/>
          <w:sz w:val="24"/>
          <w:szCs w:val="24"/>
        </w:rPr>
        <w:t xml:space="preserve">move/s in question </w:t>
      </w:r>
      <w:r w:rsidRPr="003B3924">
        <w:rPr>
          <w:rFonts w:ascii="Arial Narrow" w:hAnsi="Arial Narrow"/>
          <w:sz w:val="24"/>
          <w:szCs w:val="24"/>
        </w:rPr>
        <w:t xml:space="preserve">were </w:t>
      </w:r>
      <w:r w:rsidR="00F56F10" w:rsidRPr="003B3924">
        <w:rPr>
          <w:rFonts w:ascii="Arial Narrow" w:hAnsi="Arial Narrow"/>
          <w:sz w:val="24"/>
          <w:szCs w:val="24"/>
        </w:rPr>
        <w:t xml:space="preserve">voiced more by female participants.  Our </w:t>
      </w:r>
      <w:r w:rsidRPr="003B3924">
        <w:rPr>
          <w:rFonts w:ascii="Arial Narrow" w:hAnsi="Arial Narrow"/>
          <w:sz w:val="24"/>
          <w:szCs w:val="24"/>
        </w:rPr>
        <w:t xml:space="preserve">consequent </w:t>
      </w:r>
      <w:r w:rsidR="00910FD0" w:rsidRPr="003B3924">
        <w:rPr>
          <w:rFonts w:ascii="Arial Narrow" w:hAnsi="Arial Narrow"/>
          <w:sz w:val="24"/>
          <w:szCs w:val="24"/>
        </w:rPr>
        <w:t xml:space="preserve">deeper </w:t>
      </w:r>
      <w:r w:rsidR="00F56F10" w:rsidRPr="003B3924">
        <w:rPr>
          <w:rFonts w:ascii="Arial Narrow" w:hAnsi="Arial Narrow"/>
          <w:sz w:val="24"/>
          <w:szCs w:val="24"/>
        </w:rPr>
        <w:t xml:space="preserve">case analyses then </w:t>
      </w:r>
      <w:r w:rsidR="002A4009" w:rsidRPr="003B3924">
        <w:rPr>
          <w:rFonts w:ascii="Arial Narrow" w:hAnsi="Arial Narrow"/>
          <w:sz w:val="24"/>
          <w:szCs w:val="24"/>
        </w:rPr>
        <w:t xml:space="preserve">identified </w:t>
      </w:r>
      <w:r w:rsidR="006D7DDF" w:rsidRPr="003B3924">
        <w:rPr>
          <w:rFonts w:ascii="Arial Narrow" w:hAnsi="Arial Narrow"/>
          <w:sz w:val="24"/>
          <w:szCs w:val="24"/>
        </w:rPr>
        <w:t xml:space="preserve">forms of multi-linear discrete or serial </w:t>
      </w:r>
      <w:r w:rsidR="00F56F10" w:rsidRPr="003B3924">
        <w:rPr>
          <w:rFonts w:ascii="Arial Narrow" w:hAnsi="Arial Narrow"/>
          <w:sz w:val="24"/>
          <w:szCs w:val="24"/>
        </w:rPr>
        <w:t>small stor</w:t>
      </w:r>
      <w:r w:rsidR="006D7DDF" w:rsidRPr="003B3924">
        <w:rPr>
          <w:rFonts w:ascii="Arial Narrow" w:hAnsi="Arial Narrow"/>
          <w:sz w:val="24"/>
          <w:szCs w:val="24"/>
        </w:rPr>
        <w:t xml:space="preserve">ies </w:t>
      </w:r>
      <w:proofErr w:type="gramStart"/>
      <w:r w:rsidR="006D7DDF" w:rsidRPr="003B3924">
        <w:rPr>
          <w:rFonts w:ascii="Arial Narrow" w:hAnsi="Arial Narrow"/>
          <w:sz w:val="24"/>
          <w:szCs w:val="24"/>
        </w:rPr>
        <w:t>concerning</w:t>
      </w:r>
      <w:r w:rsidR="00F56F10" w:rsidRPr="003B3924">
        <w:rPr>
          <w:rFonts w:ascii="Arial Narrow" w:hAnsi="Arial Narrow"/>
          <w:sz w:val="24"/>
          <w:szCs w:val="24"/>
        </w:rPr>
        <w:t>:</w:t>
      </w:r>
      <w:proofErr w:type="gramEnd"/>
      <w:r w:rsidR="00F56F10" w:rsidRPr="003B3924">
        <w:rPr>
          <w:rFonts w:ascii="Arial Narrow" w:hAnsi="Arial Narrow"/>
          <w:sz w:val="24"/>
          <w:szCs w:val="24"/>
        </w:rPr>
        <w:t xml:space="preserve"> staying put, return, and pendulum</w:t>
      </w:r>
      <w:r w:rsidR="002A4009" w:rsidRPr="003B3924">
        <w:rPr>
          <w:rFonts w:ascii="Arial Narrow" w:hAnsi="Arial Narrow"/>
          <w:sz w:val="24"/>
          <w:szCs w:val="24"/>
        </w:rPr>
        <w:t>.  E</w:t>
      </w:r>
      <w:r w:rsidR="00F56F10" w:rsidRPr="003B3924">
        <w:rPr>
          <w:rFonts w:ascii="Arial Narrow" w:hAnsi="Arial Narrow"/>
          <w:sz w:val="24"/>
          <w:szCs w:val="24"/>
        </w:rPr>
        <w:t xml:space="preserve">ach </w:t>
      </w:r>
      <w:r w:rsidR="002A4009" w:rsidRPr="003B3924">
        <w:rPr>
          <w:rFonts w:ascii="Arial Narrow" w:hAnsi="Arial Narrow"/>
          <w:sz w:val="24"/>
          <w:szCs w:val="24"/>
        </w:rPr>
        <w:t xml:space="preserve">small story </w:t>
      </w:r>
      <w:r w:rsidR="00AD665F" w:rsidRPr="003B3924">
        <w:rPr>
          <w:rFonts w:ascii="Arial Narrow" w:hAnsi="Arial Narrow"/>
          <w:sz w:val="24"/>
          <w:szCs w:val="24"/>
        </w:rPr>
        <w:t xml:space="preserve">relates </w:t>
      </w:r>
      <w:r w:rsidR="002A4009" w:rsidRPr="003B3924">
        <w:rPr>
          <w:rFonts w:ascii="Arial Narrow" w:hAnsi="Arial Narrow"/>
          <w:sz w:val="24"/>
          <w:szCs w:val="24"/>
        </w:rPr>
        <w:t xml:space="preserve">to </w:t>
      </w:r>
      <w:r w:rsidR="00AD665F" w:rsidRPr="003B3924">
        <w:rPr>
          <w:rFonts w:ascii="Arial Narrow" w:hAnsi="Arial Narrow"/>
          <w:sz w:val="24"/>
          <w:szCs w:val="24"/>
        </w:rPr>
        <w:t>the linked lives keyword and thematic analyses</w:t>
      </w:r>
      <w:r w:rsidR="002A4009" w:rsidRPr="003B3924">
        <w:rPr>
          <w:rFonts w:ascii="Arial Narrow" w:hAnsi="Arial Narrow"/>
          <w:sz w:val="24"/>
          <w:szCs w:val="24"/>
        </w:rPr>
        <w:t>, as we discuss below</w:t>
      </w:r>
      <w:r w:rsidR="00F56F10" w:rsidRPr="003B3924">
        <w:rPr>
          <w:rFonts w:ascii="Arial Narrow" w:hAnsi="Arial Narrow"/>
          <w:sz w:val="24"/>
          <w:szCs w:val="24"/>
        </w:rPr>
        <w:t xml:space="preserve">.  </w:t>
      </w:r>
    </w:p>
    <w:p w14:paraId="461A85EC" w14:textId="77777777" w:rsidR="00B8165C" w:rsidRPr="003B3924" w:rsidRDefault="00B8165C" w:rsidP="00072E7A">
      <w:pPr>
        <w:pStyle w:val="PlainText"/>
        <w:rPr>
          <w:rFonts w:ascii="Arial Narrow" w:hAnsi="Arial Narrow"/>
          <w:sz w:val="24"/>
          <w:szCs w:val="24"/>
        </w:rPr>
      </w:pPr>
    </w:p>
    <w:p w14:paraId="4CFC40F0" w14:textId="77777777" w:rsidR="00072E7A" w:rsidRPr="003B3924" w:rsidRDefault="00072E7A" w:rsidP="00072E7A">
      <w:pPr>
        <w:pStyle w:val="PlainText"/>
        <w:rPr>
          <w:rFonts w:ascii="Arial Narrow" w:hAnsi="Arial Narrow"/>
          <w:b/>
          <w:sz w:val="24"/>
          <w:szCs w:val="24"/>
        </w:rPr>
      </w:pPr>
      <w:r w:rsidRPr="003B3924">
        <w:rPr>
          <w:rFonts w:ascii="Arial Narrow" w:hAnsi="Arial Narrow"/>
          <w:b/>
          <w:sz w:val="24"/>
          <w:szCs w:val="24"/>
        </w:rPr>
        <w:t>Staying put stories</w:t>
      </w:r>
    </w:p>
    <w:p w14:paraId="04540557" w14:textId="5CE03155" w:rsidR="00072E7A" w:rsidRPr="003B3924" w:rsidRDefault="00072E7A" w:rsidP="00072E7A">
      <w:pPr>
        <w:pStyle w:val="PlainText"/>
        <w:rPr>
          <w:rFonts w:ascii="Arial Narrow" w:hAnsi="Arial Narrow"/>
          <w:sz w:val="24"/>
          <w:szCs w:val="24"/>
        </w:rPr>
      </w:pPr>
    </w:p>
    <w:p w14:paraId="1FD1691D" w14:textId="600EDEA6" w:rsidR="00440E2F" w:rsidRPr="002454C4" w:rsidRDefault="00440E2F" w:rsidP="00834007">
      <w:pPr>
        <w:pStyle w:val="PlainText"/>
        <w:rPr>
          <w:rFonts w:ascii="Arial Narrow" w:hAnsi="Arial Narrow"/>
          <w:sz w:val="24"/>
          <w:szCs w:val="24"/>
        </w:rPr>
      </w:pPr>
      <w:r w:rsidRPr="002454C4">
        <w:rPr>
          <w:rFonts w:ascii="Arial Narrow" w:hAnsi="Arial Narrow"/>
          <w:sz w:val="24"/>
          <w:szCs w:val="24"/>
        </w:rPr>
        <w:t>Staying put stories were usually characterised by passivity, where participants described being and feeling left behind</w:t>
      </w:r>
      <w:r w:rsidR="007805AD" w:rsidRPr="002454C4">
        <w:rPr>
          <w:rFonts w:ascii="Arial Narrow" w:hAnsi="Arial Narrow"/>
          <w:sz w:val="24"/>
          <w:szCs w:val="24"/>
        </w:rPr>
        <w:t xml:space="preserve">.  </w:t>
      </w:r>
      <w:r w:rsidR="00834007" w:rsidRPr="002454C4">
        <w:rPr>
          <w:rFonts w:ascii="Arial Narrow" w:hAnsi="Arial Narrow"/>
          <w:sz w:val="24"/>
          <w:szCs w:val="24"/>
        </w:rPr>
        <w:t xml:space="preserve">In using the term </w:t>
      </w:r>
      <w:r w:rsidR="00383ABA" w:rsidRPr="002454C4">
        <w:rPr>
          <w:rFonts w:ascii="Arial Narrow" w:hAnsi="Arial Narrow"/>
          <w:sz w:val="24"/>
          <w:szCs w:val="24"/>
        </w:rPr>
        <w:t>‘passive’</w:t>
      </w:r>
      <w:r w:rsidR="00834007" w:rsidRPr="002454C4">
        <w:rPr>
          <w:rFonts w:ascii="Arial Narrow" w:hAnsi="Arial Narrow"/>
          <w:sz w:val="24"/>
          <w:szCs w:val="24"/>
        </w:rPr>
        <w:t xml:space="preserve"> here and elsewhere</w:t>
      </w:r>
      <w:r w:rsidR="00383ABA" w:rsidRPr="002454C4">
        <w:rPr>
          <w:rFonts w:ascii="Arial Narrow" w:hAnsi="Arial Narrow"/>
          <w:sz w:val="24"/>
          <w:szCs w:val="24"/>
        </w:rPr>
        <w:t xml:space="preserve"> </w:t>
      </w:r>
      <w:r w:rsidR="00834007" w:rsidRPr="002454C4">
        <w:rPr>
          <w:rFonts w:ascii="Arial Narrow" w:hAnsi="Arial Narrow"/>
          <w:sz w:val="24"/>
          <w:szCs w:val="24"/>
        </w:rPr>
        <w:t>we are conveying a complex mix of often gendere</w:t>
      </w:r>
      <w:r w:rsidR="00FA188C" w:rsidRPr="002454C4">
        <w:rPr>
          <w:rFonts w:ascii="Arial Narrow" w:hAnsi="Arial Narrow"/>
          <w:sz w:val="24"/>
          <w:szCs w:val="24"/>
        </w:rPr>
        <w:t>d</w:t>
      </w:r>
      <w:r w:rsidR="00834007" w:rsidRPr="002454C4">
        <w:rPr>
          <w:rFonts w:ascii="Arial Narrow" w:hAnsi="Arial Narrow"/>
          <w:sz w:val="24"/>
          <w:szCs w:val="24"/>
        </w:rPr>
        <w:t xml:space="preserve"> acceptance and acquiescence, where the teller of the story is positioning themselves as experiencing</w:t>
      </w:r>
      <w:r w:rsidR="00FA188C" w:rsidRPr="002454C4">
        <w:rPr>
          <w:rFonts w:ascii="Arial Narrow" w:hAnsi="Arial Narrow"/>
          <w:sz w:val="24"/>
          <w:szCs w:val="24"/>
        </w:rPr>
        <w:t xml:space="preserve"> and reacting to</w:t>
      </w:r>
      <w:r w:rsidR="00834007" w:rsidRPr="002454C4">
        <w:rPr>
          <w:rFonts w:ascii="Arial Narrow" w:hAnsi="Arial Narrow"/>
          <w:sz w:val="24"/>
          <w:szCs w:val="24"/>
        </w:rPr>
        <w:t xml:space="preserve"> </w:t>
      </w:r>
      <w:r w:rsidR="00FA188C" w:rsidRPr="002454C4">
        <w:rPr>
          <w:rFonts w:ascii="Arial Narrow" w:hAnsi="Arial Narrow"/>
          <w:sz w:val="24"/>
          <w:szCs w:val="24"/>
        </w:rPr>
        <w:t xml:space="preserve">home </w:t>
      </w:r>
      <w:r w:rsidR="00834007" w:rsidRPr="002454C4">
        <w:rPr>
          <w:rFonts w:ascii="Arial Narrow" w:hAnsi="Arial Narrow"/>
          <w:sz w:val="24"/>
          <w:szCs w:val="24"/>
        </w:rPr>
        <w:t xml:space="preserve">moves that were instigated by others.  These stories can also convey anxiety or ambivalence.  Nonetheless it is important to note that staying put stories </w:t>
      </w:r>
      <w:r w:rsidR="00EE67A0" w:rsidRPr="002454C4">
        <w:rPr>
          <w:rFonts w:ascii="Arial Narrow" w:hAnsi="Arial Narrow"/>
          <w:sz w:val="24"/>
          <w:szCs w:val="24"/>
        </w:rPr>
        <w:t>could also communicate</w:t>
      </w:r>
      <w:r w:rsidRPr="002454C4">
        <w:rPr>
          <w:rFonts w:ascii="Arial Narrow" w:hAnsi="Arial Narrow"/>
          <w:sz w:val="24"/>
          <w:szCs w:val="24"/>
        </w:rPr>
        <w:t xml:space="preserve"> – </w:t>
      </w:r>
      <w:r w:rsidR="00EE67A0" w:rsidRPr="002454C4">
        <w:rPr>
          <w:rFonts w:ascii="Arial Narrow" w:hAnsi="Arial Narrow"/>
          <w:sz w:val="24"/>
          <w:szCs w:val="24"/>
        </w:rPr>
        <w:t xml:space="preserve">albeit </w:t>
      </w:r>
      <w:r w:rsidRPr="002454C4">
        <w:rPr>
          <w:rFonts w:ascii="Arial Narrow" w:hAnsi="Arial Narrow"/>
          <w:sz w:val="24"/>
          <w:szCs w:val="24"/>
        </w:rPr>
        <w:t>less often –</w:t>
      </w:r>
      <w:r w:rsidR="007805AD" w:rsidRPr="002454C4">
        <w:rPr>
          <w:rFonts w:ascii="Arial Narrow" w:hAnsi="Arial Narrow"/>
          <w:sz w:val="24"/>
          <w:szCs w:val="24"/>
        </w:rPr>
        <w:t xml:space="preserve"> </w:t>
      </w:r>
      <w:r w:rsidRPr="002454C4">
        <w:rPr>
          <w:rFonts w:ascii="Arial Narrow" w:hAnsi="Arial Narrow"/>
          <w:sz w:val="24"/>
          <w:szCs w:val="24"/>
        </w:rPr>
        <w:t xml:space="preserve">being proactive in others’ home moves.  On the latter, </w:t>
      </w:r>
      <w:r w:rsidR="00DD60E7" w:rsidRPr="002454C4">
        <w:rPr>
          <w:rFonts w:ascii="Arial Narrow" w:hAnsi="Arial Narrow"/>
          <w:sz w:val="24"/>
          <w:szCs w:val="24"/>
        </w:rPr>
        <w:t xml:space="preserve">two </w:t>
      </w:r>
      <w:r w:rsidRPr="002454C4">
        <w:rPr>
          <w:rFonts w:ascii="Arial Narrow" w:hAnsi="Arial Narrow"/>
          <w:sz w:val="24"/>
          <w:szCs w:val="24"/>
        </w:rPr>
        <w:t>member</w:t>
      </w:r>
      <w:r w:rsidR="00D63B40" w:rsidRPr="002454C4">
        <w:rPr>
          <w:rFonts w:ascii="Arial Narrow" w:hAnsi="Arial Narrow"/>
          <w:sz w:val="24"/>
          <w:szCs w:val="24"/>
        </w:rPr>
        <w:t>s</w:t>
      </w:r>
      <w:r w:rsidRPr="002454C4">
        <w:rPr>
          <w:rFonts w:ascii="Arial Narrow" w:hAnsi="Arial Narrow"/>
          <w:sz w:val="24"/>
          <w:szCs w:val="24"/>
        </w:rPr>
        <w:t xml:space="preserve"> of the oldest age cohort</w:t>
      </w:r>
      <w:r w:rsidR="004E5044" w:rsidRPr="002454C4">
        <w:rPr>
          <w:rFonts w:ascii="Arial Narrow" w:hAnsi="Arial Narrow"/>
          <w:sz w:val="24"/>
          <w:szCs w:val="24"/>
        </w:rPr>
        <w:t xml:space="preserve"> </w:t>
      </w:r>
      <w:r w:rsidR="00DD60E7" w:rsidRPr="002454C4">
        <w:rPr>
          <w:rFonts w:ascii="Arial Narrow" w:hAnsi="Arial Narrow"/>
          <w:sz w:val="24"/>
          <w:szCs w:val="24"/>
        </w:rPr>
        <w:t xml:space="preserve">respectively provide an example of </w:t>
      </w:r>
      <w:r w:rsidR="00D63B40" w:rsidRPr="002454C4">
        <w:rPr>
          <w:rFonts w:ascii="Arial Narrow" w:hAnsi="Arial Narrow"/>
          <w:sz w:val="24"/>
          <w:szCs w:val="24"/>
        </w:rPr>
        <w:t xml:space="preserve">a </w:t>
      </w:r>
      <w:r w:rsidR="00A777BB" w:rsidRPr="002454C4">
        <w:rPr>
          <w:rFonts w:ascii="Arial Narrow" w:hAnsi="Arial Narrow"/>
          <w:sz w:val="24"/>
          <w:szCs w:val="24"/>
        </w:rPr>
        <w:t xml:space="preserve">proactive staying put </w:t>
      </w:r>
      <w:r w:rsidR="00D63B40" w:rsidRPr="002454C4">
        <w:rPr>
          <w:rFonts w:ascii="Arial Narrow" w:hAnsi="Arial Narrow"/>
          <w:sz w:val="24"/>
          <w:szCs w:val="24"/>
        </w:rPr>
        <w:t>small story</w:t>
      </w:r>
      <w:r w:rsidR="0084316E" w:rsidRPr="002454C4">
        <w:rPr>
          <w:rFonts w:ascii="Arial Narrow" w:hAnsi="Arial Narrow"/>
          <w:sz w:val="24"/>
          <w:szCs w:val="24"/>
        </w:rPr>
        <w:t xml:space="preserve">.  </w:t>
      </w:r>
      <w:r w:rsidR="00D63B40" w:rsidRPr="002454C4">
        <w:rPr>
          <w:rFonts w:ascii="Arial Narrow" w:hAnsi="Arial Narrow"/>
          <w:b/>
          <w:bCs/>
          <w:i/>
          <w:iCs/>
          <w:sz w:val="24"/>
          <w:szCs w:val="24"/>
        </w:rPr>
        <w:t>Alan</w:t>
      </w:r>
      <w:r w:rsidR="00572385" w:rsidRPr="002454C4">
        <w:rPr>
          <w:rFonts w:ascii="Arial Narrow" w:hAnsi="Arial Narrow"/>
          <w:sz w:val="24"/>
          <w:szCs w:val="24"/>
        </w:rPr>
        <w:t>, born in 1924</w:t>
      </w:r>
      <w:r w:rsidR="00383ABA" w:rsidRPr="002454C4">
        <w:rPr>
          <w:rFonts w:ascii="Arial Narrow" w:hAnsi="Arial Narrow"/>
          <w:sz w:val="24"/>
          <w:szCs w:val="24"/>
        </w:rPr>
        <w:t xml:space="preserve"> and now a retired manager who owned his own home</w:t>
      </w:r>
      <w:r w:rsidR="00572385" w:rsidRPr="002454C4">
        <w:rPr>
          <w:rFonts w:ascii="Arial Narrow" w:hAnsi="Arial Narrow"/>
          <w:sz w:val="24"/>
          <w:szCs w:val="24"/>
        </w:rPr>
        <w:t xml:space="preserve">, spoke of </w:t>
      </w:r>
      <w:r w:rsidR="00383ABA" w:rsidRPr="002454C4">
        <w:rPr>
          <w:rFonts w:ascii="Arial Narrow" w:hAnsi="Arial Narrow"/>
          <w:sz w:val="24"/>
          <w:szCs w:val="24"/>
        </w:rPr>
        <w:t xml:space="preserve">deciding to </w:t>
      </w:r>
      <w:r w:rsidR="0084316E" w:rsidRPr="002454C4">
        <w:rPr>
          <w:rFonts w:ascii="Arial Narrow" w:hAnsi="Arial Narrow"/>
          <w:sz w:val="24"/>
          <w:szCs w:val="24"/>
        </w:rPr>
        <w:t>spen</w:t>
      </w:r>
      <w:r w:rsidR="00572385" w:rsidRPr="002454C4">
        <w:rPr>
          <w:rFonts w:ascii="Arial Narrow" w:hAnsi="Arial Narrow"/>
          <w:sz w:val="24"/>
          <w:szCs w:val="24"/>
        </w:rPr>
        <w:t>d</w:t>
      </w:r>
      <w:r w:rsidR="0084316E" w:rsidRPr="002454C4">
        <w:rPr>
          <w:rFonts w:ascii="Arial Narrow" w:hAnsi="Arial Narrow"/>
          <w:sz w:val="24"/>
          <w:szCs w:val="24"/>
        </w:rPr>
        <w:t xml:space="preserve"> several years </w:t>
      </w:r>
      <w:r w:rsidR="00D63B40" w:rsidRPr="002454C4">
        <w:rPr>
          <w:rFonts w:ascii="Arial Narrow" w:hAnsi="Arial Narrow"/>
          <w:sz w:val="24"/>
          <w:szCs w:val="24"/>
        </w:rPr>
        <w:t>working away and commuting home every weekend</w:t>
      </w:r>
      <w:r w:rsidR="00383ABA" w:rsidRPr="002454C4">
        <w:rPr>
          <w:rFonts w:ascii="Arial Narrow" w:hAnsi="Arial Narrow"/>
          <w:sz w:val="24"/>
          <w:szCs w:val="24"/>
        </w:rPr>
        <w:t xml:space="preserve"> so as not to unroot his children</w:t>
      </w:r>
      <w:r w:rsidR="00506505" w:rsidRPr="002454C4">
        <w:rPr>
          <w:rFonts w:ascii="Arial Narrow" w:hAnsi="Arial Narrow"/>
          <w:sz w:val="24"/>
          <w:szCs w:val="24"/>
        </w:rPr>
        <w:t>:</w:t>
      </w:r>
      <w:r w:rsidR="00D63B40" w:rsidRPr="002454C4">
        <w:rPr>
          <w:rFonts w:ascii="Arial Narrow" w:hAnsi="Arial Narrow"/>
          <w:sz w:val="24"/>
          <w:szCs w:val="24"/>
        </w:rPr>
        <w:t xml:space="preserve"> ‘because the kids were at school and I didn’t want to mess their education about’</w:t>
      </w:r>
      <w:r w:rsidR="0084316E" w:rsidRPr="002454C4">
        <w:rPr>
          <w:rFonts w:ascii="Arial Narrow" w:hAnsi="Arial Narrow"/>
          <w:sz w:val="24"/>
          <w:szCs w:val="24"/>
        </w:rPr>
        <w:t xml:space="preserve">. </w:t>
      </w:r>
      <w:r w:rsidR="00A777BB" w:rsidRPr="002454C4">
        <w:rPr>
          <w:rFonts w:ascii="Arial Narrow" w:hAnsi="Arial Narrow"/>
          <w:sz w:val="24"/>
          <w:szCs w:val="24"/>
        </w:rPr>
        <w:t xml:space="preserve"> </w:t>
      </w:r>
      <w:r w:rsidR="00A777BB" w:rsidRPr="002454C4">
        <w:rPr>
          <w:rFonts w:ascii="Arial Narrow" w:hAnsi="Arial Narrow"/>
          <w:b/>
          <w:bCs/>
          <w:i/>
          <w:iCs/>
          <w:sz w:val="24"/>
          <w:szCs w:val="24"/>
        </w:rPr>
        <w:t>Marion</w:t>
      </w:r>
      <w:r w:rsidR="00572385" w:rsidRPr="002454C4">
        <w:rPr>
          <w:rFonts w:ascii="Arial Narrow" w:hAnsi="Arial Narrow"/>
          <w:sz w:val="24"/>
          <w:szCs w:val="24"/>
        </w:rPr>
        <w:t>, born 19</w:t>
      </w:r>
      <w:r w:rsidR="00966B96" w:rsidRPr="002454C4">
        <w:rPr>
          <w:rFonts w:ascii="Arial Narrow" w:hAnsi="Arial Narrow"/>
          <w:sz w:val="24"/>
          <w:szCs w:val="24"/>
        </w:rPr>
        <w:t>20</w:t>
      </w:r>
      <w:r w:rsidR="00383ABA" w:rsidRPr="002454C4">
        <w:rPr>
          <w:rFonts w:ascii="Arial Narrow" w:hAnsi="Arial Narrow"/>
          <w:sz w:val="24"/>
          <w:szCs w:val="24"/>
        </w:rPr>
        <w:t xml:space="preserve"> and an owner-occupier</w:t>
      </w:r>
      <w:r w:rsidR="00572385" w:rsidRPr="002454C4">
        <w:rPr>
          <w:rFonts w:ascii="Arial Narrow" w:hAnsi="Arial Narrow"/>
          <w:sz w:val="24"/>
          <w:szCs w:val="24"/>
        </w:rPr>
        <w:t xml:space="preserve">, </w:t>
      </w:r>
      <w:r w:rsidR="00383ABA" w:rsidRPr="002454C4">
        <w:rPr>
          <w:rFonts w:ascii="Arial Narrow" w:hAnsi="Arial Narrow"/>
          <w:sz w:val="24"/>
          <w:szCs w:val="24"/>
        </w:rPr>
        <w:t>told a</w:t>
      </w:r>
      <w:r w:rsidR="00A777BB" w:rsidRPr="002454C4">
        <w:rPr>
          <w:rFonts w:ascii="Arial Narrow" w:hAnsi="Arial Narrow"/>
          <w:sz w:val="24"/>
          <w:szCs w:val="24"/>
        </w:rPr>
        <w:t xml:space="preserve"> proactive</w:t>
      </w:r>
      <w:r w:rsidR="00383ABA" w:rsidRPr="002454C4">
        <w:rPr>
          <w:rFonts w:ascii="Arial Narrow" w:hAnsi="Arial Narrow"/>
          <w:sz w:val="24"/>
          <w:szCs w:val="24"/>
        </w:rPr>
        <w:t xml:space="preserve"> small staying</w:t>
      </w:r>
      <w:r w:rsidR="005622F3" w:rsidRPr="002454C4">
        <w:rPr>
          <w:rFonts w:ascii="Arial Narrow" w:hAnsi="Arial Narrow"/>
          <w:sz w:val="24"/>
          <w:szCs w:val="24"/>
        </w:rPr>
        <w:t>-</w:t>
      </w:r>
      <w:r w:rsidR="00383ABA" w:rsidRPr="002454C4">
        <w:rPr>
          <w:rFonts w:ascii="Arial Narrow" w:hAnsi="Arial Narrow"/>
          <w:sz w:val="24"/>
          <w:szCs w:val="24"/>
        </w:rPr>
        <w:t>put story where she moved</w:t>
      </w:r>
      <w:r w:rsidR="00A777BB" w:rsidRPr="002454C4">
        <w:rPr>
          <w:rFonts w:ascii="Arial Narrow" w:hAnsi="Arial Narrow"/>
          <w:sz w:val="24"/>
          <w:szCs w:val="24"/>
        </w:rPr>
        <w:t xml:space="preserve"> her mother out of her own home and into a nursing home as </w:t>
      </w:r>
      <w:r w:rsidR="0084316E" w:rsidRPr="002454C4">
        <w:rPr>
          <w:rFonts w:ascii="Arial Narrow" w:hAnsi="Arial Narrow"/>
          <w:sz w:val="24"/>
          <w:szCs w:val="24"/>
        </w:rPr>
        <w:t>her</w:t>
      </w:r>
      <w:r w:rsidR="00A777BB" w:rsidRPr="002454C4">
        <w:rPr>
          <w:rFonts w:ascii="Arial Narrow" w:hAnsi="Arial Narrow"/>
          <w:sz w:val="24"/>
          <w:szCs w:val="24"/>
        </w:rPr>
        <w:t xml:space="preserve"> mother’s health deteriorated.</w:t>
      </w:r>
      <w:r w:rsidR="00007E86" w:rsidRPr="002454C4">
        <w:rPr>
          <w:rFonts w:ascii="Arial Narrow" w:hAnsi="Arial Narrow"/>
          <w:sz w:val="24"/>
          <w:szCs w:val="24"/>
        </w:rPr>
        <w:t xml:space="preserve">  </w:t>
      </w:r>
      <w:r w:rsidR="00FD47B2" w:rsidRPr="002454C4">
        <w:rPr>
          <w:rFonts w:ascii="Arial Narrow" w:hAnsi="Arial Narrow"/>
          <w:sz w:val="24"/>
          <w:szCs w:val="24"/>
        </w:rPr>
        <w:t>L</w:t>
      </w:r>
      <w:r w:rsidR="00A65A5D" w:rsidRPr="002454C4">
        <w:rPr>
          <w:rFonts w:ascii="Arial Narrow" w:hAnsi="Arial Narrow"/>
          <w:sz w:val="24"/>
          <w:szCs w:val="24"/>
        </w:rPr>
        <w:t>inked lives involv</w:t>
      </w:r>
      <w:r w:rsidR="00FD47B2" w:rsidRPr="002454C4">
        <w:rPr>
          <w:rFonts w:ascii="Arial Narrow" w:hAnsi="Arial Narrow"/>
          <w:sz w:val="24"/>
          <w:szCs w:val="24"/>
        </w:rPr>
        <w:t>ing</w:t>
      </w:r>
      <w:r w:rsidR="00A65A5D" w:rsidRPr="002454C4">
        <w:rPr>
          <w:rFonts w:ascii="Arial Narrow" w:hAnsi="Arial Narrow"/>
          <w:sz w:val="24"/>
          <w:szCs w:val="24"/>
        </w:rPr>
        <w:t xml:space="preserve"> m</w:t>
      </w:r>
      <w:r w:rsidR="00506505" w:rsidRPr="002454C4">
        <w:rPr>
          <w:rFonts w:ascii="Arial Narrow" w:hAnsi="Arial Narrow"/>
          <w:sz w:val="24"/>
          <w:szCs w:val="24"/>
        </w:rPr>
        <w:t>eeting the</w:t>
      </w:r>
      <w:r w:rsidR="00007E86" w:rsidRPr="002454C4">
        <w:rPr>
          <w:rFonts w:ascii="Arial Narrow" w:hAnsi="Arial Narrow"/>
          <w:sz w:val="24"/>
          <w:szCs w:val="24"/>
        </w:rPr>
        <w:t xml:space="preserve"> needs of others</w:t>
      </w:r>
      <w:r w:rsidR="00506505" w:rsidRPr="002454C4">
        <w:rPr>
          <w:rFonts w:ascii="Arial Narrow" w:hAnsi="Arial Narrow"/>
          <w:sz w:val="24"/>
          <w:szCs w:val="24"/>
        </w:rPr>
        <w:t xml:space="preserve"> as morally</w:t>
      </w:r>
      <w:r w:rsidR="00A65A5D" w:rsidRPr="002454C4">
        <w:rPr>
          <w:rFonts w:ascii="Arial Narrow" w:hAnsi="Arial Narrow"/>
          <w:sz w:val="24"/>
          <w:szCs w:val="24"/>
        </w:rPr>
        <w:t xml:space="preserve"> the</w:t>
      </w:r>
      <w:r w:rsidR="00506505" w:rsidRPr="002454C4">
        <w:rPr>
          <w:rFonts w:ascii="Arial Narrow" w:hAnsi="Arial Narrow"/>
          <w:sz w:val="24"/>
          <w:szCs w:val="24"/>
        </w:rPr>
        <w:t xml:space="preserve"> right thing to do</w:t>
      </w:r>
      <w:r w:rsidR="00007E86" w:rsidRPr="002454C4">
        <w:rPr>
          <w:rFonts w:ascii="Arial Narrow" w:hAnsi="Arial Narrow"/>
          <w:sz w:val="24"/>
          <w:szCs w:val="24"/>
        </w:rPr>
        <w:t xml:space="preserve"> were </w:t>
      </w:r>
      <w:r w:rsidR="00A65A5D" w:rsidRPr="002454C4">
        <w:rPr>
          <w:rFonts w:ascii="Arial Narrow" w:hAnsi="Arial Narrow"/>
          <w:sz w:val="24"/>
          <w:szCs w:val="24"/>
        </w:rPr>
        <w:t xml:space="preserve">taken-for-granted </w:t>
      </w:r>
      <w:r w:rsidR="00007E86" w:rsidRPr="002454C4">
        <w:rPr>
          <w:rFonts w:ascii="Arial Narrow" w:hAnsi="Arial Narrow"/>
          <w:sz w:val="24"/>
          <w:szCs w:val="24"/>
        </w:rPr>
        <w:t>in these staying put stories</w:t>
      </w:r>
      <w:r w:rsidR="00383ABA" w:rsidRPr="002454C4">
        <w:rPr>
          <w:rFonts w:ascii="Arial Narrow" w:hAnsi="Arial Narrow"/>
          <w:sz w:val="24"/>
          <w:szCs w:val="24"/>
        </w:rPr>
        <w:t>, with the structural resources to enable them</w:t>
      </w:r>
      <w:r w:rsidR="00007E86" w:rsidRPr="002454C4">
        <w:rPr>
          <w:rFonts w:ascii="Arial Narrow" w:hAnsi="Arial Narrow"/>
          <w:sz w:val="24"/>
          <w:szCs w:val="24"/>
        </w:rPr>
        <w:t>.</w:t>
      </w:r>
    </w:p>
    <w:p w14:paraId="1AB5D389" w14:textId="4C80F6ED" w:rsidR="00BC1048" w:rsidRPr="003B3924" w:rsidRDefault="00BC1048" w:rsidP="00072E7A">
      <w:pPr>
        <w:pStyle w:val="PlainText"/>
        <w:rPr>
          <w:rFonts w:ascii="Arial Narrow" w:hAnsi="Arial Narrow"/>
          <w:sz w:val="24"/>
          <w:szCs w:val="24"/>
        </w:rPr>
      </w:pPr>
    </w:p>
    <w:p w14:paraId="01350F24" w14:textId="4D68190E" w:rsidR="00A777BB" w:rsidRPr="003B3924" w:rsidRDefault="00007E86" w:rsidP="00072E7A">
      <w:pPr>
        <w:pStyle w:val="PlainText"/>
        <w:rPr>
          <w:rFonts w:ascii="Arial Narrow" w:hAnsi="Arial Narrow"/>
          <w:sz w:val="24"/>
          <w:szCs w:val="24"/>
        </w:rPr>
      </w:pPr>
      <w:r w:rsidRPr="003B3924">
        <w:rPr>
          <w:rFonts w:ascii="Arial Narrow" w:hAnsi="Arial Narrow"/>
          <w:sz w:val="24"/>
          <w:szCs w:val="24"/>
        </w:rPr>
        <w:t xml:space="preserve">Also </w:t>
      </w:r>
      <w:r w:rsidR="0070503A" w:rsidRPr="003B3924">
        <w:rPr>
          <w:rFonts w:ascii="Arial Narrow" w:hAnsi="Arial Narrow"/>
          <w:sz w:val="24"/>
          <w:szCs w:val="24"/>
        </w:rPr>
        <w:t xml:space="preserve">rooted in </w:t>
      </w:r>
      <w:r w:rsidR="00A65A5D" w:rsidRPr="003B3924">
        <w:rPr>
          <w:rFonts w:ascii="Arial Narrow" w:hAnsi="Arial Narrow"/>
          <w:sz w:val="24"/>
          <w:szCs w:val="24"/>
        </w:rPr>
        <w:t xml:space="preserve">the </w:t>
      </w:r>
      <w:r w:rsidRPr="003B3924">
        <w:rPr>
          <w:rFonts w:ascii="Arial Narrow" w:hAnsi="Arial Narrow"/>
          <w:sz w:val="24"/>
          <w:szCs w:val="24"/>
        </w:rPr>
        <w:t>relationality</w:t>
      </w:r>
      <w:r w:rsidR="00A65A5D" w:rsidRPr="003B3924">
        <w:rPr>
          <w:rFonts w:ascii="Arial Narrow" w:hAnsi="Arial Narrow"/>
          <w:sz w:val="24"/>
          <w:szCs w:val="24"/>
        </w:rPr>
        <w:t xml:space="preserve"> of linked lives</w:t>
      </w:r>
      <w:r w:rsidRPr="003B3924">
        <w:rPr>
          <w:rFonts w:ascii="Arial Narrow" w:hAnsi="Arial Narrow"/>
          <w:sz w:val="24"/>
          <w:szCs w:val="24"/>
        </w:rPr>
        <w:t xml:space="preserve">, but </w:t>
      </w:r>
      <w:r w:rsidR="0070503A" w:rsidRPr="003B3924">
        <w:rPr>
          <w:rFonts w:ascii="Arial Narrow" w:hAnsi="Arial Narrow"/>
          <w:sz w:val="24"/>
          <w:szCs w:val="24"/>
        </w:rPr>
        <w:t>with</w:t>
      </w:r>
      <w:r w:rsidR="00A777BB" w:rsidRPr="003B3924">
        <w:rPr>
          <w:rFonts w:ascii="Arial Narrow" w:hAnsi="Arial Narrow"/>
          <w:sz w:val="24"/>
          <w:szCs w:val="24"/>
        </w:rPr>
        <w:t xml:space="preserve"> some contrast</w:t>
      </w:r>
      <w:r w:rsidRPr="003B3924">
        <w:rPr>
          <w:rFonts w:ascii="Arial Narrow" w:hAnsi="Arial Narrow"/>
          <w:sz w:val="24"/>
          <w:szCs w:val="24"/>
        </w:rPr>
        <w:t xml:space="preserve"> in </w:t>
      </w:r>
      <w:r w:rsidR="00FD47B2" w:rsidRPr="003B3924">
        <w:rPr>
          <w:rFonts w:ascii="Arial Narrow" w:hAnsi="Arial Narrow"/>
          <w:sz w:val="24"/>
          <w:szCs w:val="24"/>
        </w:rPr>
        <w:t>sense of agency (lack of)</w:t>
      </w:r>
      <w:r w:rsidR="005E495F" w:rsidRPr="003B3924">
        <w:rPr>
          <w:rFonts w:ascii="Arial Narrow" w:hAnsi="Arial Narrow"/>
          <w:sz w:val="24"/>
          <w:szCs w:val="24"/>
        </w:rPr>
        <w:t xml:space="preserve"> and the structural resources,</w:t>
      </w:r>
      <w:r w:rsidR="00FD47B2" w:rsidRPr="003B3924">
        <w:rPr>
          <w:rFonts w:ascii="Arial Narrow" w:hAnsi="Arial Narrow"/>
          <w:sz w:val="24"/>
          <w:szCs w:val="24"/>
        </w:rPr>
        <w:t xml:space="preserve"> </w:t>
      </w:r>
      <w:r w:rsidR="0070503A" w:rsidRPr="003B3924">
        <w:rPr>
          <w:rFonts w:ascii="Arial Narrow" w:hAnsi="Arial Narrow"/>
          <w:sz w:val="24"/>
          <w:szCs w:val="24"/>
        </w:rPr>
        <w:t xml:space="preserve">is </w:t>
      </w:r>
      <w:r w:rsidR="00A777BB" w:rsidRPr="003B3924">
        <w:rPr>
          <w:rFonts w:ascii="Arial Narrow" w:hAnsi="Arial Narrow"/>
          <w:b/>
          <w:bCs/>
          <w:i/>
          <w:iCs/>
          <w:sz w:val="24"/>
          <w:szCs w:val="24"/>
        </w:rPr>
        <w:t>Sh</w:t>
      </w:r>
      <w:r w:rsidR="0070503A" w:rsidRPr="003B3924">
        <w:rPr>
          <w:rFonts w:ascii="Arial Narrow" w:hAnsi="Arial Narrow"/>
          <w:b/>
          <w:bCs/>
          <w:i/>
          <w:iCs/>
          <w:sz w:val="24"/>
          <w:szCs w:val="24"/>
        </w:rPr>
        <w:t>irley</w:t>
      </w:r>
      <w:r w:rsidR="0070503A" w:rsidRPr="003B3924">
        <w:rPr>
          <w:rFonts w:ascii="Arial Narrow" w:hAnsi="Arial Narrow"/>
          <w:sz w:val="24"/>
          <w:szCs w:val="24"/>
        </w:rPr>
        <w:t xml:space="preserve">.  Shirley was </w:t>
      </w:r>
      <w:r w:rsidR="00A65A5D" w:rsidRPr="003B3924">
        <w:rPr>
          <w:rFonts w:ascii="Arial Narrow" w:hAnsi="Arial Narrow"/>
          <w:sz w:val="24"/>
          <w:szCs w:val="24"/>
        </w:rPr>
        <w:t xml:space="preserve">a lone </w:t>
      </w:r>
      <w:r w:rsidR="00BF2C3D" w:rsidRPr="003B3924">
        <w:rPr>
          <w:rFonts w:ascii="Arial Narrow" w:hAnsi="Arial Narrow"/>
          <w:sz w:val="24"/>
          <w:szCs w:val="24"/>
        </w:rPr>
        <w:t xml:space="preserve">mother to eight children, unemployed due to </w:t>
      </w:r>
      <w:r w:rsidR="00BF2C3D" w:rsidRPr="003B3924">
        <w:rPr>
          <w:rFonts w:ascii="Arial Narrow" w:hAnsi="Arial Narrow"/>
          <w:sz w:val="24"/>
          <w:szCs w:val="24"/>
        </w:rPr>
        <w:lastRenderedPageBreak/>
        <w:t>ill health</w:t>
      </w:r>
      <w:r w:rsidR="005E495F" w:rsidRPr="003B3924">
        <w:rPr>
          <w:rFonts w:ascii="Arial Narrow" w:hAnsi="Arial Narrow"/>
          <w:sz w:val="24"/>
          <w:szCs w:val="24"/>
        </w:rPr>
        <w:t>,</w:t>
      </w:r>
      <w:r w:rsidR="00BF2C3D" w:rsidRPr="003B3924">
        <w:rPr>
          <w:rFonts w:ascii="Arial Narrow" w:hAnsi="Arial Narrow"/>
          <w:sz w:val="24"/>
          <w:szCs w:val="24"/>
        </w:rPr>
        <w:t xml:space="preserve"> and living in local authority housing.  </w:t>
      </w:r>
      <w:r w:rsidR="00016419" w:rsidRPr="003B3924">
        <w:rPr>
          <w:rFonts w:ascii="Arial Narrow" w:hAnsi="Arial Narrow"/>
          <w:sz w:val="24"/>
          <w:szCs w:val="24"/>
        </w:rPr>
        <w:t>B</w:t>
      </w:r>
      <w:r w:rsidR="00DB79AB" w:rsidRPr="003B3924">
        <w:rPr>
          <w:rFonts w:ascii="Arial Narrow" w:hAnsi="Arial Narrow"/>
          <w:sz w:val="24"/>
          <w:szCs w:val="24"/>
        </w:rPr>
        <w:t xml:space="preserve">orn </w:t>
      </w:r>
      <w:r w:rsidR="00572385" w:rsidRPr="003B3924">
        <w:rPr>
          <w:rFonts w:ascii="Arial Narrow" w:hAnsi="Arial Narrow"/>
          <w:sz w:val="24"/>
          <w:szCs w:val="24"/>
        </w:rPr>
        <w:t>in 1961</w:t>
      </w:r>
      <w:r w:rsidR="00BF2C3D" w:rsidRPr="003B3924">
        <w:rPr>
          <w:rFonts w:ascii="Arial Narrow" w:hAnsi="Arial Narrow"/>
          <w:sz w:val="24"/>
          <w:szCs w:val="24"/>
        </w:rPr>
        <w:t>, she was interviewed four times in a two</w:t>
      </w:r>
      <w:r w:rsidR="00A65A5D" w:rsidRPr="003B3924">
        <w:rPr>
          <w:rFonts w:ascii="Arial Narrow" w:hAnsi="Arial Narrow"/>
          <w:sz w:val="24"/>
          <w:szCs w:val="24"/>
        </w:rPr>
        <w:t>-</w:t>
      </w:r>
      <w:r w:rsidR="00BF2C3D" w:rsidRPr="003B3924">
        <w:rPr>
          <w:rFonts w:ascii="Arial Narrow" w:hAnsi="Arial Narrow"/>
          <w:sz w:val="24"/>
          <w:szCs w:val="24"/>
        </w:rPr>
        <w:t>year period when she was aged 46-48 and her children ranged between their mid-teens and early thirties.</w:t>
      </w:r>
      <w:r w:rsidR="007A1806" w:rsidRPr="003B3924">
        <w:rPr>
          <w:rFonts w:ascii="Arial Narrow" w:hAnsi="Arial Narrow"/>
          <w:sz w:val="24"/>
          <w:szCs w:val="24"/>
        </w:rPr>
        <w:t xml:space="preserve">  Shirley’s staying put story was characterised by </w:t>
      </w:r>
      <w:r w:rsidR="00E14C88" w:rsidRPr="003B3924">
        <w:rPr>
          <w:rFonts w:ascii="Arial Narrow" w:hAnsi="Arial Narrow"/>
          <w:sz w:val="24"/>
          <w:szCs w:val="24"/>
        </w:rPr>
        <w:t xml:space="preserve">a gendered feature of our cases: </w:t>
      </w:r>
      <w:r w:rsidR="007A1806" w:rsidRPr="003B3924">
        <w:rPr>
          <w:rFonts w:ascii="Arial Narrow" w:hAnsi="Arial Narrow"/>
          <w:sz w:val="24"/>
          <w:szCs w:val="24"/>
        </w:rPr>
        <w:t xml:space="preserve">ambivalence, </w:t>
      </w:r>
      <w:proofErr w:type="gramStart"/>
      <w:r w:rsidR="007A1806" w:rsidRPr="003B3924">
        <w:rPr>
          <w:rFonts w:ascii="Arial Narrow" w:hAnsi="Arial Narrow"/>
          <w:sz w:val="24"/>
          <w:szCs w:val="24"/>
        </w:rPr>
        <w:t>anxiety</w:t>
      </w:r>
      <w:proofErr w:type="gramEnd"/>
      <w:r w:rsidR="007A1806" w:rsidRPr="003B3924">
        <w:rPr>
          <w:rFonts w:ascii="Arial Narrow" w:hAnsi="Arial Narrow"/>
          <w:sz w:val="24"/>
          <w:szCs w:val="24"/>
        </w:rPr>
        <w:t xml:space="preserve"> and passivity in the face of her children growing up and leaving home:</w:t>
      </w:r>
    </w:p>
    <w:p w14:paraId="0A323446" w14:textId="71C16478" w:rsidR="007A1806" w:rsidRPr="003B3924" w:rsidRDefault="007A1806" w:rsidP="007A1806">
      <w:pPr>
        <w:pStyle w:val="PlainText"/>
        <w:ind w:left="720"/>
        <w:rPr>
          <w:rFonts w:ascii="Arial Narrow" w:hAnsi="Arial Narrow"/>
          <w:sz w:val="24"/>
          <w:szCs w:val="24"/>
        </w:rPr>
      </w:pPr>
      <w:r w:rsidRPr="003B3924">
        <w:rPr>
          <w:rFonts w:ascii="Arial Narrow" w:hAnsi="Arial Narrow"/>
          <w:sz w:val="24"/>
          <w:szCs w:val="24"/>
        </w:rPr>
        <w:t xml:space="preserve">I’m in two minds about it now that the kids are getting older.  It’s </w:t>
      </w:r>
      <w:proofErr w:type="gramStart"/>
      <w:r w:rsidRPr="003B3924">
        <w:rPr>
          <w:rFonts w:ascii="Arial Narrow" w:hAnsi="Arial Narrow"/>
          <w:sz w:val="24"/>
          <w:szCs w:val="24"/>
        </w:rPr>
        <w:t>really strange</w:t>
      </w:r>
      <w:proofErr w:type="gramEnd"/>
      <w:r w:rsidRPr="003B3924">
        <w:rPr>
          <w:rFonts w:ascii="Arial Narrow" w:hAnsi="Arial Narrow"/>
          <w:sz w:val="24"/>
          <w:szCs w:val="24"/>
        </w:rPr>
        <w:t xml:space="preserve">.  I’m used to being surrounded by them and then one by one they’ve started leaving.  And I know they’ve got to leave.  I know they’ve got to make a life of their own.  It’s just, I didn’t, I always thought they’d be there … I really, really found letting go hard.  I mean </w:t>
      </w:r>
      <w:r w:rsidR="000C4A3A" w:rsidRPr="003B3924">
        <w:rPr>
          <w:rFonts w:ascii="Arial Narrow" w:hAnsi="Arial Narrow"/>
          <w:sz w:val="24"/>
          <w:szCs w:val="24"/>
        </w:rPr>
        <w:t>Catherine</w:t>
      </w:r>
      <w:r w:rsidRPr="003B3924">
        <w:rPr>
          <w:rFonts w:ascii="Arial Narrow" w:hAnsi="Arial Narrow"/>
          <w:sz w:val="24"/>
          <w:szCs w:val="24"/>
        </w:rPr>
        <w:t xml:space="preserve"> was the first to leave home, but that weren’t too bad because she only moved two doors away. So that was it.  And then </w:t>
      </w:r>
      <w:r w:rsidR="000C4A3A" w:rsidRPr="003B3924">
        <w:rPr>
          <w:rFonts w:ascii="Arial Narrow" w:hAnsi="Arial Narrow"/>
          <w:sz w:val="24"/>
          <w:szCs w:val="24"/>
        </w:rPr>
        <w:t>Helen</w:t>
      </w:r>
      <w:r w:rsidRPr="003B3924">
        <w:rPr>
          <w:rFonts w:ascii="Arial Narrow" w:hAnsi="Arial Narrow"/>
          <w:sz w:val="24"/>
          <w:szCs w:val="24"/>
        </w:rPr>
        <w:t xml:space="preserve"> left, </w:t>
      </w:r>
      <w:r w:rsidR="000C4A3A" w:rsidRPr="003B3924">
        <w:rPr>
          <w:rFonts w:ascii="Arial Narrow" w:hAnsi="Arial Narrow"/>
          <w:sz w:val="24"/>
          <w:szCs w:val="24"/>
        </w:rPr>
        <w:t>David</w:t>
      </w:r>
      <w:r w:rsidRPr="003B3924">
        <w:rPr>
          <w:rFonts w:ascii="Arial Narrow" w:hAnsi="Arial Narrow"/>
          <w:sz w:val="24"/>
          <w:szCs w:val="24"/>
        </w:rPr>
        <w:t xml:space="preserve"> left home,</w:t>
      </w:r>
      <w:r w:rsidR="000C4A3A" w:rsidRPr="003B3924">
        <w:rPr>
          <w:rFonts w:ascii="Arial Narrow" w:hAnsi="Arial Narrow"/>
          <w:sz w:val="24"/>
          <w:szCs w:val="24"/>
        </w:rPr>
        <w:t xml:space="preserve"> Bethany</w:t>
      </w:r>
      <w:r w:rsidRPr="003B3924">
        <w:rPr>
          <w:rFonts w:ascii="Arial Narrow" w:hAnsi="Arial Narrow"/>
          <w:sz w:val="24"/>
          <w:szCs w:val="24"/>
        </w:rPr>
        <w:t xml:space="preserve"> left home, </w:t>
      </w:r>
      <w:r w:rsidR="000C4A3A" w:rsidRPr="003B3924">
        <w:rPr>
          <w:rFonts w:ascii="Arial Narrow" w:hAnsi="Arial Narrow"/>
          <w:sz w:val="24"/>
          <w:szCs w:val="24"/>
        </w:rPr>
        <w:t>Stephen</w:t>
      </w:r>
      <w:r w:rsidRPr="003B3924">
        <w:rPr>
          <w:rFonts w:ascii="Arial Narrow" w:hAnsi="Arial Narrow"/>
          <w:sz w:val="24"/>
          <w:szCs w:val="24"/>
        </w:rPr>
        <w:t xml:space="preserve"> left.  And it’s going from eight and it was shrinking … I’ve still got three at home but like </w:t>
      </w:r>
      <w:r w:rsidR="000C4A3A" w:rsidRPr="003B3924">
        <w:rPr>
          <w:rFonts w:ascii="Arial Narrow" w:hAnsi="Arial Narrow"/>
          <w:sz w:val="24"/>
          <w:szCs w:val="24"/>
        </w:rPr>
        <w:t>Patrick</w:t>
      </w:r>
      <w:r w:rsidRPr="003B3924">
        <w:rPr>
          <w:rFonts w:ascii="Arial Narrow" w:hAnsi="Arial Narrow"/>
          <w:sz w:val="24"/>
          <w:szCs w:val="24"/>
        </w:rPr>
        <w:t>’s moving soon.</w:t>
      </w:r>
    </w:p>
    <w:p w14:paraId="2B7BE910" w14:textId="7C936D60" w:rsidR="00D63B40" w:rsidRPr="003B3924" w:rsidRDefault="002B5860" w:rsidP="00072E7A">
      <w:pPr>
        <w:pStyle w:val="PlainText"/>
        <w:rPr>
          <w:rFonts w:ascii="Arial Narrow" w:hAnsi="Arial Narrow"/>
          <w:sz w:val="24"/>
          <w:szCs w:val="24"/>
        </w:rPr>
      </w:pPr>
      <w:r w:rsidRPr="003B3924">
        <w:rPr>
          <w:rFonts w:ascii="Arial Narrow" w:hAnsi="Arial Narrow"/>
          <w:sz w:val="24"/>
          <w:szCs w:val="24"/>
        </w:rPr>
        <w:t>For the most part</w:t>
      </w:r>
      <w:r w:rsidR="00EF009F" w:rsidRPr="003B3924">
        <w:rPr>
          <w:rFonts w:ascii="Arial Narrow" w:hAnsi="Arial Narrow"/>
          <w:sz w:val="24"/>
          <w:szCs w:val="24"/>
        </w:rPr>
        <w:t>, with one exception,</w:t>
      </w:r>
      <w:r w:rsidRPr="003B3924">
        <w:rPr>
          <w:rFonts w:ascii="Arial Narrow" w:hAnsi="Arial Narrow"/>
          <w:sz w:val="24"/>
          <w:szCs w:val="24"/>
        </w:rPr>
        <w:t xml:space="preserve"> Shirley’s children did not move too far away, and even </w:t>
      </w:r>
      <w:r w:rsidR="000C4A3A" w:rsidRPr="003B3924">
        <w:rPr>
          <w:rFonts w:ascii="Arial Narrow" w:hAnsi="Arial Narrow"/>
          <w:sz w:val="24"/>
          <w:szCs w:val="24"/>
        </w:rPr>
        <w:t>Patrick</w:t>
      </w:r>
      <w:r w:rsidRPr="003B3924">
        <w:rPr>
          <w:rFonts w:ascii="Arial Narrow" w:hAnsi="Arial Narrow"/>
          <w:sz w:val="24"/>
          <w:szCs w:val="24"/>
        </w:rPr>
        <w:t xml:space="preserve">’s </w:t>
      </w:r>
      <w:r w:rsidR="00EF009F" w:rsidRPr="003B3924">
        <w:rPr>
          <w:rFonts w:ascii="Arial Narrow" w:hAnsi="Arial Narrow"/>
          <w:sz w:val="24"/>
          <w:szCs w:val="24"/>
        </w:rPr>
        <w:t xml:space="preserve">move </w:t>
      </w:r>
      <w:r w:rsidRPr="003B3924">
        <w:rPr>
          <w:rFonts w:ascii="Arial Narrow" w:hAnsi="Arial Narrow"/>
          <w:sz w:val="24"/>
          <w:szCs w:val="24"/>
        </w:rPr>
        <w:t>another city w</w:t>
      </w:r>
      <w:r w:rsidR="00EF009F" w:rsidRPr="003B3924">
        <w:rPr>
          <w:rFonts w:ascii="Arial Narrow" w:hAnsi="Arial Narrow"/>
          <w:sz w:val="24"/>
          <w:szCs w:val="24"/>
        </w:rPr>
        <w:t>as</w:t>
      </w:r>
      <w:r w:rsidRPr="003B3924">
        <w:rPr>
          <w:rFonts w:ascii="Arial Narrow" w:hAnsi="Arial Narrow"/>
          <w:sz w:val="24"/>
          <w:szCs w:val="24"/>
        </w:rPr>
        <w:t xml:space="preserve"> to stay with Shir</w:t>
      </w:r>
      <w:r w:rsidR="003019EB" w:rsidRPr="003B3924">
        <w:rPr>
          <w:rFonts w:ascii="Arial Narrow" w:hAnsi="Arial Narrow"/>
          <w:sz w:val="24"/>
          <w:szCs w:val="24"/>
        </w:rPr>
        <w:t>le</w:t>
      </w:r>
      <w:r w:rsidRPr="003B3924">
        <w:rPr>
          <w:rFonts w:ascii="Arial Narrow" w:hAnsi="Arial Narrow"/>
          <w:sz w:val="24"/>
          <w:szCs w:val="24"/>
        </w:rPr>
        <w:t xml:space="preserve">y’s brother and his wife there.  </w:t>
      </w:r>
      <w:r w:rsidR="00F22DE5" w:rsidRPr="003B3924">
        <w:rPr>
          <w:rFonts w:ascii="Arial Narrow" w:hAnsi="Arial Narrow"/>
          <w:sz w:val="24"/>
          <w:szCs w:val="24"/>
        </w:rPr>
        <w:t>Further,</w:t>
      </w:r>
      <w:r w:rsidRPr="003B3924">
        <w:rPr>
          <w:rFonts w:ascii="Arial Narrow" w:hAnsi="Arial Narrow"/>
          <w:sz w:val="24"/>
          <w:szCs w:val="24"/>
        </w:rPr>
        <w:t xml:space="preserve"> </w:t>
      </w:r>
      <w:r w:rsidR="00FD47B2" w:rsidRPr="003B3924">
        <w:rPr>
          <w:rFonts w:ascii="Arial Narrow" w:hAnsi="Arial Narrow"/>
          <w:sz w:val="24"/>
          <w:szCs w:val="24"/>
        </w:rPr>
        <w:t xml:space="preserve">exemplifying home moves as a fluid temporal process, </w:t>
      </w:r>
      <w:r w:rsidRPr="003B3924">
        <w:rPr>
          <w:rFonts w:ascii="Arial Narrow" w:hAnsi="Arial Narrow"/>
          <w:sz w:val="24"/>
          <w:szCs w:val="24"/>
        </w:rPr>
        <w:t>Shirl</w:t>
      </w:r>
      <w:r w:rsidR="003019EB" w:rsidRPr="003B3924">
        <w:rPr>
          <w:rFonts w:ascii="Arial Narrow" w:hAnsi="Arial Narrow"/>
          <w:sz w:val="24"/>
          <w:szCs w:val="24"/>
        </w:rPr>
        <w:t>e</w:t>
      </w:r>
      <w:r w:rsidRPr="003B3924">
        <w:rPr>
          <w:rFonts w:ascii="Arial Narrow" w:hAnsi="Arial Narrow"/>
          <w:sz w:val="24"/>
          <w:szCs w:val="24"/>
        </w:rPr>
        <w:t>y’s home remained the family hub with some of her older children moving back in with her for periods of time</w:t>
      </w:r>
      <w:r w:rsidR="003019EB" w:rsidRPr="003B3924">
        <w:rPr>
          <w:rFonts w:ascii="Arial Narrow" w:hAnsi="Arial Narrow"/>
          <w:sz w:val="24"/>
          <w:szCs w:val="24"/>
        </w:rPr>
        <w:t xml:space="preserve"> to get themselves back on their feet</w:t>
      </w:r>
      <w:r w:rsidR="00A65A5D" w:rsidRPr="003B3924">
        <w:rPr>
          <w:rFonts w:ascii="Arial Narrow" w:hAnsi="Arial Narrow"/>
          <w:sz w:val="24"/>
          <w:szCs w:val="24"/>
        </w:rPr>
        <w:t xml:space="preserve"> in the face of life difficulties</w:t>
      </w:r>
      <w:r w:rsidRPr="003B3924">
        <w:rPr>
          <w:rFonts w:ascii="Arial Narrow" w:hAnsi="Arial Narrow"/>
          <w:sz w:val="24"/>
          <w:szCs w:val="24"/>
        </w:rPr>
        <w:t>.  This was a taken-for-granted assumption about the right thing to do in Shirley’s mind: ‘</w:t>
      </w:r>
      <w:r w:rsidR="00EF009F" w:rsidRPr="003B3924">
        <w:rPr>
          <w:rFonts w:ascii="Arial Narrow" w:hAnsi="Arial Narrow"/>
          <w:sz w:val="24"/>
          <w:szCs w:val="24"/>
        </w:rPr>
        <w:t>Look</w:t>
      </w:r>
      <w:r w:rsidR="0084316E" w:rsidRPr="003B3924">
        <w:rPr>
          <w:rFonts w:ascii="Arial Narrow" w:hAnsi="Arial Narrow"/>
          <w:sz w:val="24"/>
          <w:szCs w:val="24"/>
        </w:rPr>
        <w:t>,</w:t>
      </w:r>
      <w:r w:rsidR="00EF009F" w:rsidRPr="003B3924">
        <w:rPr>
          <w:rFonts w:ascii="Arial Narrow" w:hAnsi="Arial Narrow"/>
          <w:sz w:val="24"/>
          <w:szCs w:val="24"/>
        </w:rPr>
        <w:t xml:space="preserve"> family’s family.  You make room.  I mean if something happened now between him and his missus, you know, he’d come here … we make room, which we did’.</w:t>
      </w:r>
      <w:r w:rsidR="004649AD" w:rsidRPr="003B3924">
        <w:rPr>
          <w:rFonts w:ascii="Arial Narrow" w:hAnsi="Arial Narrow"/>
          <w:sz w:val="24"/>
          <w:szCs w:val="24"/>
        </w:rPr>
        <w:t xml:space="preserve"> Staying put can be part of enabling others in interdependent linked lives to adapt to events and navigate structural conditions through home moves.</w:t>
      </w:r>
    </w:p>
    <w:p w14:paraId="6F0E1D38" w14:textId="0B83D978" w:rsidR="00186760" w:rsidRPr="003B3924" w:rsidRDefault="00186760" w:rsidP="00072E7A">
      <w:pPr>
        <w:pStyle w:val="PlainText"/>
        <w:rPr>
          <w:rFonts w:ascii="Arial Narrow" w:hAnsi="Arial Narrow"/>
          <w:sz w:val="24"/>
          <w:szCs w:val="24"/>
        </w:rPr>
      </w:pPr>
    </w:p>
    <w:p w14:paraId="5C3A8844" w14:textId="0D379D71" w:rsidR="00186760" w:rsidRPr="003B3924" w:rsidRDefault="00506505" w:rsidP="00072E7A">
      <w:pPr>
        <w:pStyle w:val="PlainText"/>
        <w:rPr>
          <w:rFonts w:ascii="Arial Narrow" w:hAnsi="Arial Narrow"/>
          <w:sz w:val="24"/>
          <w:szCs w:val="24"/>
        </w:rPr>
      </w:pPr>
      <w:r w:rsidRPr="003B3924">
        <w:rPr>
          <w:rFonts w:ascii="Arial Narrow" w:hAnsi="Arial Narrow"/>
          <w:b/>
          <w:bCs/>
          <w:i/>
          <w:iCs/>
          <w:sz w:val="24"/>
          <w:szCs w:val="24"/>
        </w:rPr>
        <w:t>Marie</w:t>
      </w:r>
      <w:r w:rsidRPr="003B3924">
        <w:rPr>
          <w:rFonts w:ascii="Arial Narrow" w:hAnsi="Arial Narrow"/>
          <w:sz w:val="24"/>
          <w:szCs w:val="24"/>
        </w:rPr>
        <w:t xml:space="preserve"> is another case that demonstrates </w:t>
      </w:r>
      <w:r w:rsidR="004649AD" w:rsidRPr="003B3924">
        <w:rPr>
          <w:rFonts w:ascii="Arial Narrow" w:hAnsi="Arial Narrow"/>
          <w:sz w:val="24"/>
          <w:szCs w:val="24"/>
        </w:rPr>
        <w:t>how home moves unfold over time in relational linked lives</w:t>
      </w:r>
      <w:r w:rsidR="005E495F" w:rsidRPr="003B3924">
        <w:rPr>
          <w:rFonts w:ascii="Arial Narrow" w:hAnsi="Arial Narrow"/>
          <w:sz w:val="24"/>
          <w:szCs w:val="24"/>
        </w:rPr>
        <w:t>.  She also demonstrates</w:t>
      </w:r>
      <w:r w:rsidR="00F22DE5" w:rsidRPr="003B3924">
        <w:rPr>
          <w:rFonts w:ascii="Arial Narrow" w:hAnsi="Arial Narrow"/>
          <w:sz w:val="24"/>
          <w:szCs w:val="24"/>
        </w:rPr>
        <w:t xml:space="preserve"> </w:t>
      </w:r>
      <w:r w:rsidR="00690413" w:rsidRPr="003B3924">
        <w:rPr>
          <w:rFonts w:ascii="Arial Narrow" w:hAnsi="Arial Narrow"/>
          <w:sz w:val="24"/>
          <w:szCs w:val="24"/>
        </w:rPr>
        <w:t xml:space="preserve">the </w:t>
      </w:r>
      <w:bookmarkStart w:id="6" w:name="_Hlk39413363"/>
      <w:r w:rsidR="00690413" w:rsidRPr="003B3924">
        <w:rPr>
          <w:rFonts w:ascii="Arial Narrow" w:hAnsi="Arial Narrow"/>
          <w:sz w:val="24"/>
          <w:szCs w:val="24"/>
        </w:rPr>
        <w:t xml:space="preserve">value of a small stories approach that </w:t>
      </w:r>
      <w:r w:rsidR="00141B69" w:rsidRPr="003B3924">
        <w:rPr>
          <w:rFonts w:ascii="Arial Narrow" w:hAnsi="Arial Narrow"/>
          <w:sz w:val="24"/>
          <w:szCs w:val="24"/>
        </w:rPr>
        <w:t>can</w:t>
      </w:r>
      <w:r w:rsidR="00690413" w:rsidRPr="003B3924">
        <w:rPr>
          <w:rFonts w:ascii="Arial Narrow" w:hAnsi="Arial Narrow"/>
          <w:sz w:val="24"/>
          <w:szCs w:val="24"/>
        </w:rPr>
        <w:t xml:space="preserve"> recognise the </w:t>
      </w:r>
      <w:r w:rsidR="00F77549" w:rsidRPr="003B3924">
        <w:rPr>
          <w:rFonts w:ascii="Arial Narrow" w:hAnsi="Arial Narrow"/>
          <w:sz w:val="24"/>
          <w:szCs w:val="24"/>
        </w:rPr>
        <w:t>nuances of co-existing</w:t>
      </w:r>
      <w:r w:rsidRPr="003B3924">
        <w:rPr>
          <w:rFonts w:ascii="Arial Narrow" w:hAnsi="Arial Narrow"/>
          <w:sz w:val="24"/>
          <w:szCs w:val="24"/>
        </w:rPr>
        <w:t xml:space="preserve"> </w:t>
      </w:r>
      <w:r w:rsidR="00690413" w:rsidRPr="003B3924">
        <w:rPr>
          <w:rFonts w:ascii="Arial Narrow" w:hAnsi="Arial Narrow"/>
          <w:sz w:val="24"/>
          <w:szCs w:val="24"/>
        </w:rPr>
        <w:t>multi-linear short narratives</w:t>
      </w:r>
      <w:r w:rsidR="005E495F" w:rsidRPr="003B3924">
        <w:rPr>
          <w:rFonts w:ascii="Arial Narrow" w:hAnsi="Arial Narrow"/>
          <w:sz w:val="24"/>
          <w:szCs w:val="24"/>
        </w:rPr>
        <w:t>.  In Marie’s case these are</w:t>
      </w:r>
      <w:r w:rsidR="00F77549" w:rsidRPr="003B3924">
        <w:rPr>
          <w:rFonts w:ascii="Arial Narrow" w:hAnsi="Arial Narrow"/>
          <w:sz w:val="24"/>
          <w:szCs w:val="24"/>
        </w:rPr>
        <w:t xml:space="preserve"> of being moved away from and back to by others, </w:t>
      </w:r>
      <w:r w:rsidR="005E495F" w:rsidRPr="003B3924">
        <w:rPr>
          <w:rFonts w:ascii="Arial Narrow" w:hAnsi="Arial Narrow"/>
          <w:sz w:val="24"/>
          <w:szCs w:val="24"/>
        </w:rPr>
        <w:t>as well as her</w:t>
      </w:r>
      <w:r w:rsidR="00F77549" w:rsidRPr="003B3924">
        <w:rPr>
          <w:rFonts w:ascii="Arial Narrow" w:hAnsi="Arial Narrow"/>
          <w:sz w:val="24"/>
          <w:szCs w:val="24"/>
        </w:rPr>
        <w:t xml:space="preserve"> own home moves</w:t>
      </w:r>
      <w:r w:rsidR="005E495F" w:rsidRPr="003B3924">
        <w:rPr>
          <w:rFonts w:ascii="Arial Narrow" w:hAnsi="Arial Narrow"/>
          <w:sz w:val="24"/>
          <w:szCs w:val="24"/>
        </w:rPr>
        <w:t>,</w:t>
      </w:r>
      <w:r w:rsidR="00302B98" w:rsidRPr="003B3924">
        <w:rPr>
          <w:rFonts w:ascii="Arial Narrow" w:hAnsi="Arial Narrow"/>
          <w:sz w:val="24"/>
          <w:szCs w:val="24"/>
        </w:rPr>
        <w:t xml:space="preserve"> that were each conveyed as ‘staying put’</w:t>
      </w:r>
      <w:r w:rsidR="00690413" w:rsidRPr="003B3924">
        <w:rPr>
          <w:rFonts w:ascii="Arial Narrow" w:hAnsi="Arial Narrow"/>
          <w:sz w:val="24"/>
          <w:szCs w:val="24"/>
        </w:rPr>
        <w:t xml:space="preserve">.  </w:t>
      </w:r>
      <w:bookmarkEnd w:id="6"/>
      <w:r w:rsidRPr="003B3924">
        <w:rPr>
          <w:rFonts w:ascii="Arial Narrow" w:hAnsi="Arial Narrow"/>
          <w:sz w:val="24"/>
          <w:szCs w:val="24"/>
        </w:rPr>
        <w:t xml:space="preserve">Part of </w:t>
      </w:r>
      <w:r w:rsidR="00DB79AB" w:rsidRPr="003B3924">
        <w:rPr>
          <w:rFonts w:ascii="Arial Narrow" w:hAnsi="Arial Narrow"/>
          <w:sz w:val="24"/>
          <w:szCs w:val="24"/>
        </w:rPr>
        <w:t>the oldest cohort, born</w:t>
      </w:r>
      <w:r w:rsidR="00E14C88" w:rsidRPr="003B3924">
        <w:rPr>
          <w:rFonts w:ascii="Arial Narrow" w:hAnsi="Arial Narrow"/>
          <w:sz w:val="24"/>
          <w:szCs w:val="24"/>
        </w:rPr>
        <w:t xml:space="preserve"> </w:t>
      </w:r>
      <w:r w:rsidR="00572385" w:rsidRPr="003B3924">
        <w:rPr>
          <w:rFonts w:ascii="Arial Narrow" w:hAnsi="Arial Narrow"/>
          <w:sz w:val="24"/>
          <w:szCs w:val="24"/>
        </w:rPr>
        <w:t>1931,</w:t>
      </w:r>
      <w:r w:rsidRPr="003B3924">
        <w:rPr>
          <w:rFonts w:ascii="Arial Narrow" w:hAnsi="Arial Narrow"/>
          <w:sz w:val="24"/>
          <w:szCs w:val="24"/>
        </w:rPr>
        <w:t xml:space="preserve"> Marie was interviewed twice in two years, aged between 76 and 78.  Along with her husband, she was running a bed and breakfast in the</w:t>
      </w:r>
      <w:r w:rsidR="004649AD" w:rsidRPr="003B3924">
        <w:rPr>
          <w:rFonts w:ascii="Arial Narrow" w:hAnsi="Arial Narrow"/>
          <w:sz w:val="24"/>
          <w:szCs w:val="24"/>
        </w:rPr>
        <w:t>ir</w:t>
      </w:r>
      <w:r w:rsidRPr="003B3924">
        <w:rPr>
          <w:rFonts w:ascii="Arial Narrow" w:hAnsi="Arial Narrow"/>
          <w:sz w:val="24"/>
          <w:szCs w:val="24"/>
        </w:rPr>
        <w:t xml:space="preserve"> home, and had a multi-generational family of</w:t>
      </w:r>
      <w:r w:rsidR="00087CA8" w:rsidRPr="003B3924">
        <w:rPr>
          <w:rFonts w:ascii="Arial Narrow" w:hAnsi="Arial Narrow"/>
          <w:sz w:val="24"/>
          <w:szCs w:val="24"/>
        </w:rPr>
        <w:t xml:space="preserve"> </w:t>
      </w:r>
      <w:r w:rsidRPr="003B3924">
        <w:rPr>
          <w:rFonts w:ascii="Arial Narrow" w:hAnsi="Arial Narrow"/>
          <w:sz w:val="24"/>
          <w:szCs w:val="24"/>
        </w:rPr>
        <w:t xml:space="preserve">children, grandchildren and great-grandchildren.  </w:t>
      </w:r>
      <w:r w:rsidR="005E495F" w:rsidRPr="003B3924">
        <w:rPr>
          <w:rFonts w:ascii="Arial Narrow" w:hAnsi="Arial Narrow"/>
          <w:sz w:val="24"/>
          <w:szCs w:val="24"/>
        </w:rPr>
        <w:t>H</w:t>
      </w:r>
      <w:r w:rsidR="00E357AB" w:rsidRPr="003B3924">
        <w:rPr>
          <w:rFonts w:ascii="Arial Narrow" w:hAnsi="Arial Narrow"/>
          <w:sz w:val="24"/>
          <w:szCs w:val="24"/>
        </w:rPr>
        <w:t xml:space="preserve">er life story was organised around the ebb and flow of family members leaving and then </w:t>
      </w:r>
      <w:proofErr w:type="gramStart"/>
      <w:r w:rsidR="00E357AB" w:rsidRPr="003B3924">
        <w:rPr>
          <w:rFonts w:ascii="Arial Narrow" w:hAnsi="Arial Narrow"/>
          <w:sz w:val="24"/>
          <w:szCs w:val="24"/>
        </w:rPr>
        <w:t>returning again</w:t>
      </w:r>
      <w:proofErr w:type="gramEnd"/>
      <w:r w:rsidR="00E357AB" w:rsidRPr="003B3924">
        <w:rPr>
          <w:rFonts w:ascii="Arial Narrow" w:hAnsi="Arial Narrow"/>
          <w:sz w:val="24"/>
          <w:szCs w:val="24"/>
        </w:rPr>
        <w:t xml:space="preserve">.  Marie and her husband </w:t>
      </w:r>
      <w:r w:rsidR="008C2036" w:rsidRPr="003B3924">
        <w:rPr>
          <w:rFonts w:ascii="Arial Narrow" w:hAnsi="Arial Narrow"/>
          <w:sz w:val="24"/>
          <w:szCs w:val="24"/>
        </w:rPr>
        <w:t>first stayed put in their city home, from where their children left home</w:t>
      </w:r>
      <w:r w:rsidR="005E495F" w:rsidRPr="003B3924">
        <w:rPr>
          <w:rFonts w:ascii="Arial Narrow" w:hAnsi="Arial Narrow"/>
          <w:sz w:val="24"/>
          <w:szCs w:val="24"/>
        </w:rPr>
        <w:t>.  They</w:t>
      </w:r>
      <w:r w:rsidR="008C2036" w:rsidRPr="003B3924">
        <w:rPr>
          <w:rFonts w:ascii="Arial Narrow" w:hAnsi="Arial Narrow"/>
          <w:sz w:val="24"/>
          <w:szCs w:val="24"/>
        </w:rPr>
        <w:t xml:space="preserve"> then </w:t>
      </w:r>
      <w:r w:rsidR="0080394A" w:rsidRPr="003B3924">
        <w:rPr>
          <w:rFonts w:ascii="Arial Narrow" w:hAnsi="Arial Narrow"/>
          <w:sz w:val="24"/>
          <w:szCs w:val="24"/>
        </w:rPr>
        <w:t xml:space="preserve">sold that residence to </w:t>
      </w:r>
      <w:r w:rsidR="00E357AB" w:rsidRPr="003B3924">
        <w:rPr>
          <w:rFonts w:ascii="Arial Narrow" w:hAnsi="Arial Narrow"/>
          <w:sz w:val="24"/>
          <w:szCs w:val="24"/>
        </w:rPr>
        <w:t>return</w:t>
      </w:r>
      <w:r w:rsidR="00302B98" w:rsidRPr="003B3924">
        <w:rPr>
          <w:rFonts w:ascii="Arial Narrow" w:hAnsi="Arial Narrow"/>
          <w:sz w:val="24"/>
          <w:szCs w:val="24"/>
        </w:rPr>
        <w:t xml:space="preserve"> ‘home’</w:t>
      </w:r>
      <w:r w:rsidR="00E357AB" w:rsidRPr="003B3924">
        <w:rPr>
          <w:rFonts w:ascii="Arial Narrow" w:hAnsi="Arial Narrow"/>
          <w:sz w:val="24"/>
          <w:szCs w:val="24"/>
        </w:rPr>
        <w:t xml:space="preserve"> to </w:t>
      </w:r>
      <w:r w:rsidR="004E04D1" w:rsidRPr="003B3924">
        <w:rPr>
          <w:rFonts w:ascii="Arial Narrow" w:hAnsi="Arial Narrow"/>
          <w:sz w:val="24"/>
          <w:szCs w:val="24"/>
        </w:rPr>
        <w:t xml:space="preserve">her own parents’ </w:t>
      </w:r>
      <w:r w:rsidR="00E357AB" w:rsidRPr="003B3924">
        <w:rPr>
          <w:rFonts w:ascii="Arial Narrow" w:hAnsi="Arial Narrow"/>
          <w:sz w:val="24"/>
          <w:szCs w:val="24"/>
        </w:rPr>
        <w:t>island birthplace in mid-life</w:t>
      </w:r>
      <w:r w:rsidR="004649AD" w:rsidRPr="003B3924">
        <w:rPr>
          <w:rFonts w:ascii="Arial Narrow" w:hAnsi="Arial Narrow"/>
          <w:sz w:val="24"/>
          <w:szCs w:val="24"/>
        </w:rPr>
        <w:t>.  F</w:t>
      </w:r>
      <w:r w:rsidR="00E357AB" w:rsidRPr="003B3924">
        <w:rPr>
          <w:rFonts w:ascii="Arial Narrow" w:hAnsi="Arial Narrow"/>
          <w:sz w:val="24"/>
          <w:szCs w:val="24"/>
        </w:rPr>
        <w:t xml:space="preserve">rom this </w:t>
      </w:r>
      <w:r w:rsidR="008C2036" w:rsidRPr="003B3924">
        <w:rPr>
          <w:rFonts w:ascii="Arial Narrow" w:hAnsi="Arial Narrow"/>
          <w:sz w:val="24"/>
          <w:szCs w:val="24"/>
        </w:rPr>
        <w:t xml:space="preserve">second </w:t>
      </w:r>
      <w:r w:rsidR="00E357AB" w:rsidRPr="003B3924">
        <w:rPr>
          <w:rFonts w:ascii="Arial Narrow" w:hAnsi="Arial Narrow"/>
          <w:sz w:val="24"/>
          <w:szCs w:val="24"/>
        </w:rPr>
        <w:t>staying put position</w:t>
      </w:r>
      <w:r w:rsidR="008C2036" w:rsidRPr="003B3924">
        <w:rPr>
          <w:rFonts w:ascii="Arial Narrow" w:hAnsi="Arial Narrow"/>
          <w:sz w:val="24"/>
          <w:szCs w:val="24"/>
        </w:rPr>
        <w:t xml:space="preserve">, </w:t>
      </w:r>
      <w:r w:rsidR="00E357AB" w:rsidRPr="003B3924">
        <w:rPr>
          <w:rFonts w:ascii="Arial Narrow" w:hAnsi="Arial Narrow"/>
          <w:sz w:val="24"/>
          <w:szCs w:val="24"/>
        </w:rPr>
        <w:t>four of her five children had returned to live on the same island as her</w:t>
      </w:r>
      <w:r w:rsidR="008C2036" w:rsidRPr="003B3924">
        <w:rPr>
          <w:rFonts w:ascii="Arial Narrow" w:hAnsi="Arial Narrow"/>
          <w:sz w:val="24"/>
          <w:szCs w:val="24"/>
        </w:rPr>
        <w:t>:</w:t>
      </w:r>
    </w:p>
    <w:p w14:paraId="1C61F24F" w14:textId="7B2DE618" w:rsidR="008C2036" w:rsidRPr="003B3924" w:rsidRDefault="008C2036" w:rsidP="008C2036">
      <w:pPr>
        <w:pStyle w:val="PlainText"/>
        <w:ind w:left="720"/>
        <w:rPr>
          <w:rFonts w:ascii="Arial Narrow" w:hAnsi="Arial Narrow"/>
          <w:sz w:val="24"/>
          <w:szCs w:val="24"/>
        </w:rPr>
      </w:pPr>
      <w:r w:rsidRPr="003B3924">
        <w:rPr>
          <w:rFonts w:ascii="Arial Narrow" w:hAnsi="Arial Narrow"/>
          <w:sz w:val="24"/>
          <w:szCs w:val="24"/>
        </w:rPr>
        <w:t>Margery of course left, well got married at 18.  Winnie left at 19 to go to do her [</w:t>
      </w:r>
      <w:r w:rsidR="005A0D3D" w:rsidRPr="003B3924">
        <w:rPr>
          <w:rFonts w:ascii="Arial Narrow" w:hAnsi="Arial Narrow"/>
          <w:sz w:val="24"/>
          <w:szCs w:val="24"/>
        </w:rPr>
        <w:t>training</w:t>
      </w:r>
      <w:r w:rsidRPr="003B3924">
        <w:rPr>
          <w:rFonts w:ascii="Arial Narrow" w:hAnsi="Arial Narrow"/>
          <w:sz w:val="24"/>
          <w:szCs w:val="24"/>
        </w:rPr>
        <w:t xml:space="preserve">].  </w:t>
      </w:r>
      <w:proofErr w:type="gramStart"/>
      <w:r w:rsidRPr="003B3924">
        <w:rPr>
          <w:rFonts w:ascii="Arial Narrow" w:hAnsi="Arial Narrow"/>
          <w:sz w:val="24"/>
          <w:szCs w:val="24"/>
        </w:rPr>
        <w:t>Cos</w:t>
      </w:r>
      <w:proofErr w:type="gramEnd"/>
      <w:r w:rsidRPr="003B3924">
        <w:rPr>
          <w:rFonts w:ascii="Arial Narrow" w:hAnsi="Arial Narrow"/>
          <w:sz w:val="24"/>
          <w:szCs w:val="24"/>
        </w:rPr>
        <w:t xml:space="preserve"> we moved to [the island] shortly after.  Ingrid moved away to [the island] before we did and stayed with my mother.  And Samuel, when he started at college we’d moved to [the island] and left him in [the city].  And Alice moved with us to [the island].  She still had two years of schooling and then she went off to [another city] …</w:t>
      </w:r>
      <w:r w:rsidR="005A0D3D" w:rsidRPr="003B3924">
        <w:rPr>
          <w:rFonts w:ascii="Arial Narrow" w:hAnsi="Arial Narrow"/>
          <w:sz w:val="24"/>
          <w:szCs w:val="24"/>
        </w:rPr>
        <w:t xml:space="preserve"> And Margery and John moved up with their two children, and then when Winnie had done her training she came up.  And Alice came home on holiday and met Ted, they were both working in [a city] at the time and when they got </w:t>
      </w:r>
      <w:proofErr w:type="gramStart"/>
      <w:r w:rsidR="005A0D3D" w:rsidRPr="003B3924">
        <w:rPr>
          <w:rFonts w:ascii="Arial Narrow" w:hAnsi="Arial Narrow"/>
          <w:sz w:val="24"/>
          <w:szCs w:val="24"/>
        </w:rPr>
        <w:t>married</w:t>
      </w:r>
      <w:proofErr w:type="gramEnd"/>
      <w:r w:rsidR="005A0D3D" w:rsidRPr="003B3924">
        <w:rPr>
          <w:rFonts w:ascii="Arial Narrow" w:hAnsi="Arial Narrow"/>
          <w:sz w:val="24"/>
          <w:szCs w:val="24"/>
        </w:rPr>
        <w:t xml:space="preserve"> they moved back to [the island].  And so, you know, there’s been that sort of thing, you know, when they’ve been away and then come back and so on.</w:t>
      </w:r>
    </w:p>
    <w:p w14:paraId="68C44F40" w14:textId="299F9D4B" w:rsidR="00E357AB" w:rsidRPr="003B3924" w:rsidRDefault="00E357AB" w:rsidP="00072E7A">
      <w:pPr>
        <w:pStyle w:val="PlainText"/>
        <w:rPr>
          <w:rFonts w:ascii="Arial Narrow" w:hAnsi="Arial Narrow"/>
          <w:sz w:val="24"/>
          <w:szCs w:val="24"/>
        </w:rPr>
      </w:pPr>
      <w:r w:rsidRPr="003B3924">
        <w:rPr>
          <w:rFonts w:ascii="Arial Narrow" w:hAnsi="Arial Narrow"/>
          <w:sz w:val="24"/>
          <w:szCs w:val="24"/>
        </w:rPr>
        <w:t xml:space="preserve">Marie </w:t>
      </w:r>
      <w:r w:rsidR="00087CA8" w:rsidRPr="003B3924">
        <w:rPr>
          <w:rFonts w:ascii="Arial Narrow" w:hAnsi="Arial Narrow"/>
          <w:sz w:val="24"/>
          <w:szCs w:val="24"/>
        </w:rPr>
        <w:t>saw</w:t>
      </w:r>
      <w:r w:rsidRPr="003B3924">
        <w:rPr>
          <w:rFonts w:ascii="Arial Narrow" w:hAnsi="Arial Narrow"/>
          <w:sz w:val="24"/>
          <w:szCs w:val="24"/>
        </w:rPr>
        <w:t xml:space="preserve"> these </w:t>
      </w:r>
      <w:r w:rsidR="00087CA8" w:rsidRPr="003B3924">
        <w:rPr>
          <w:rFonts w:ascii="Arial Narrow" w:hAnsi="Arial Narrow"/>
          <w:sz w:val="24"/>
          <w:szCs w:val="24"/>
        </w:rPr>
        <w:t xml:space="preserve">family leavings and </w:t>
      </w:r>
      <w:proofErr w:type="spellStart"/>
      <w:r w:rsidR="00087CA8" w:rsidRPr="003B3924">
        <w:rPr>
          <w:rFonts w:ascii="Arial Narrow" w:hAnsi="Arial Narrow"/>
          <w:sz w:val="24"/>
          <w:szCs w:val="24"/>
        </w:rPr>
        <w:t>reunitings</w:t>
      </w:r>
      <w:proofErr w:type="spellEnd"/>
      <w:r w:rsidR="00087CA8" w:rsidRPr="003B3924">
        <w:rPr>
          <w:rFonts w:ascii="Arial Narrow" w:hAnsi="Arial Narrow"/>
          <w:sz w:val="24"/>
          <w:szCs w:val="24"/>
        </w:rPr>
        <w:t xml:space="preserve"> </w:t>
      </w:r>
      <w:r w:rsidRPr="003B3924">
        <w:rPr>
          <w:rFonts w:ascii="Arial Narrow" w:hAnsi="Arial Narrow"/>
          <w:sz w:val="24"/>
          <w:szCs w:val="24"/>
        </w:rPr>
        <w:t xml:space="preserve">as </w:t>
      </w:r>
      <w:r w:rsidR="00087CA8" w:rsidRPr="003B3924">
        <w:rPr>
          <w:rFonts w:ascii="Arial Narrow" w:hAnsi="Arial Narrow"/>
          <w:sz w:val="24"/>
          <w:szCs w:val="24"/>
        </w:rPr>
        <w:t xml:space="preserve">taken for granted </w:t>
      </w:r>
      <w:r w:rsidRPr="003B3924">
        <w:rPr>
          <w:rFonts w:ascii="Arial Narrow" w:hAnsi="Arial Narrow"/>
          <w:sz w:val="24"/>
          <w:szCs w:val="24"/>
        </w:rPr>
        <w:t>element</w:t>
      </w:r>
      <w:r w:rsidR="00087CA8" w:rsidRPr="003B3924">
        <w:rPr>
          <w:rFonts w:ascii="Arial Narrow" w:hAnsi="Arial Narrow"/>
          <w:sz w:val="24"/>
          <w:szCs w:val="24"/>
        </w:rPr>
        <w:t>s</w:t>
      </w:r>
      <w:r w:rsidRPr="003B3924">
        <w:rPr>
          <w:rFonts w:ascii="Arial Narrow" w:hAnsi="Arial Narrow"/>
          <w:sz w:val="24"/>
          <w:szCs w:val="24"/>
        </w:rPr>
        <w:t xml:space="preserve"> of </w:t>
      </w:r>
      <w:proofErr w:type="spellStart"/>
      <w:r w:rsidRPr="003B3924">
        <w:rPr>
          <w:rFonts w:ascii="Arial Narrow" w:hAnsi="Arial Narrow"/>
          <w:sz w:val="24"/>
          <w:szCs w:val="24"/>
        </w:rPr>
        <w:t>lifecourse</w:t>
      </w:r>
      <w:proofErr w:type="spellEnd"/>
      <w:r w:rsidRPr="003B3924">
        <w:rPr>
          <w:rFonts w:ascii="Arial Narrow" w:hAnsi="Arial Narrow"/>
          <w:sz w:val="24"/>
          <w:szCs w:val="24"/>
        </w:rPr>
        <w:t xml:space="preserve"> trajectories</w:t>
      </w:r>
      <w:r w:rsidR="005E495F" w:rsidRPr="003B3924">
        <w:rPr>
          <w:rFonts w:ascii="Arial Narrow" w:hAnsi="Arial Narrow"/>
          <w:sz w:val="24"/>
          <w:szCs w:val="24"/>
        </w:rPr>
        <w:t>.  H</w:t>
      </w:r>
      <w:r w:rsidR="00087CA8" w:rsidRPr="003B3924">
        <w:rPr>
          <w:rFonts w:ascii="Arial Narrow" w:hAnsi="Arial Narrow"/>
          <w:sz w:val="24"/>
          <w:szCs w:val="24"/>
        </w:rPr>
        <w:t>er</w:t>
      </w:r>
      <w:r w:rsidR="005A0D3D" w:rsidRPr="003B3924">
        <w:rPr>
          <w:rFonts w:ascii="Arial Narrow" w:hAnsi="Arial Narrow"/>
          <w:sz w:val="24"/>
          <w:szCs w:val="24"/>
        </w:rPr>
        <w:t xml:space="preserve"> remark that ‘they’ve been away and then come back’ indicates that home in small stories can be people as much as a specific house or place, with her and her husband as the locational ‘home’ lynchpin.  </w:t>
      </w:r>
    </w:p>
    <w:p w14:paraId="6B4BF67A" w14:textId="19E526F6" w:rsidR="002B5860" w:rsidRPr="003B3924" w:rsidRDefault="002B5860" w:rsidP="00072E7A">
      <w:pPr>
        <w:pStyle w:val="PlainText"/>
        <w:rPr>
          <w:rFonts w:ascii="Arial Narrow" w:hAnsi="Arial Narrow"/>
          <w:sz w:val="24"/>
          <w:szCs w:val="24"/>
        </w:rPr>
      </w:pPr>
    </w:p>
    <w:p w14:paraId="07147507" w14:textId="667845FF" w:rsidR="004649AD" w:rsidRPr="003B3924" w:rsidRDefault="004649AD" w:rsidP="00072E7A">
      <w:pPr>
        <w:pStyle w:val="PlainText"/>
        <w:rPr>
          <w:rFonts w:ascii="Arial Narrow" w:hAnsi="Arial Narrow"/>
          <w:sz w:val="24"/>
          <w:szCs w:val="24"/>
        </w:rPr>
      </w:pPr>
      <w:r w:rsidRPr="003B3924">
        <w:rPr>
          <w:rFonts w:ascii="Arial Narrow" w:hAnsi="Arial Narrow"/>
          <w:sz w:val="24"/>
          <w:szCs w:val="24"/>
        </w:rPr>
        <w:t xml:space="preserve">Staying put stories are integrally linked relationally to others’ moving home stories in interdependent </w:t>
      </w:r>
      <w:proofErr w:type="spellStart"/>
      <w:proofErr w:type="gramStart"/>
      <w:r w:rsidRPr="003B3924">
        <w:rPr>
          <w:rFonts w:ascii="Arial Narrow" w:hAnsi="Arial Narrow"/>
          <w:sz w:val="24"/>
          <w:szCs w:val="24"/>
        </w:rPr>
        <w:t>lifecourses</w:t>
      </w:r>
      <w:proofErr w:type="spellEnd"/>
      <w:r w:rsidRPr="003B3924">
        <w:rPr>
          <w:rFonts w:ascii="Arial Narrow" w:hAnsi="Arial Narrow"/>
          <w:sz w:val="24"/>
          <w:szCs w:val="24"/>
        </w:rPr>
        <w:t>, and</w:t>
      </w:r>
      <w:proofErr w:type="gramEnd"/>
      <w:r w:rsidRPr="003B3924">
        <w:rPr>
          <w:rFonts w:ascii="Arial Narrow" w:hAnsi="Arial Narrow"/>
          <w:sz w:val="24"/>
          <w:szCs w:val="24"/>
        </w:rPr>
        <w:t xml:space="preserve"> can also involve what might be return and pendulum stories – the other types of small stories we </w:t>
      </w:r>
      <w:r w:rsidR="005E495F" w:rsidRPr="003B3924">
        <w:rPr>
          <w:rFonts w:ascii="Arial Narrow" w:hAnsi="Arial Narrow"/>
          <w:sz w:val="24"/>
          <w:szCs w:val="24"/>
        </w:rPr>
        <w:t xml:space="preserve">now </w:t>
      </w:r>
      <w:r w:rsidRPr="003B3924">
        <w:rPr>
          <w:rFonts w:ascii="Arial Narrow" w:hAnsi="Arial Narrow"/>
          <w:sz w:val="24"/>
          <w:szCs w:val="24"/>
        </w:rPr>
        <w:t xml:space="preserve">elaborate.  </w:t>
      </w:r>
    </w:p>
    <w:p w14:paraId="6B6AEC1A" w14:textId="77777777" w:rsidR="004649AD" w:rsidRPr="003B3924" w:rsidRDefault="004649AD" w:rsidP="00072E7A">
      <w:pPr>
        <w:pStyle w:val="PlainText"/>
        <w:rPr>
          <w:rFonts w:ascii="Arial Narrow" w:hAnsi="Arial Narrow"/>
          <w:sz w:val="24"/>
          <w:szCs w:val="24"/>
        </w:rPr>
      </w:pPr>
    </w:p>
    <w:p w14:paraId="265D9F64" w14:textId="77777777" w:rsidR="00072E7A" w:rsidRPr="003B3924" w:rsidRDefault="00072E7A" w:rsidP="00072E7A">
      <w:pPr>
        <w:pStyle w:val="PlainText"/>
        <w:rPr>
          <w:rFonts w:ascii="Arial Narrow" w:hAnsi="Arial Narrow"/>
          <w:b/>
          <w:sz w:val="24"/>
          <w:szCs w:val="24"/>
        </w:rPr>
      </w:pPr>
      <w:r w:rsidRPr="003B3924">
        <w:rPr>
          <w:rFonts w:ascii="Arial Narrow" w:hAnsi="Arial Narrow"/>
          <w:b/>
          <w:sz w:val="24"/>
          <w:szCs w:val="24"/>
        </w:rPr>
        <w:lastRenderedPageBreak/>
        <w:t>Return stories</w:t>
      </w:r>
    </w:p>
    <w:p w14:paraId="70B88F6C" w14:textId="26F10FE1" w:rsidR="00072E7A" w:rsidRPr="003B3924" w:rsidRDefault="00072E7A" w:rsidP="00072E7A">
      <w:pPr>
        <w:pStyle w:val="PlainText"/>
        <w:rPr>
          <w:rFonts w:ascii="Arial Narrow" w:hAnsi="Arial Narrow"/>
          <w:sz w:val="24"/>
          <w:szCs w:val="24"/>
        </w:rPr>
      </w:pPr>
    </w:p>
    <w:p w14:paraId="45DF4B39" w14:textId="6C11C498" w:rsidR="00870DE3" w:rsidRPr="003B3924" w:rsidRDefault="00024AF7" w:rsidP="00072E7A">
      <w:pPr>
        <w:pStyle w:val="PlainText"/>
        <w:rPr>
          <w:rFonts w:ascii="Arial Narrow" w:hAnsi="Arial Narrow"/>
          <w:sz w:val="24"/>
          <w:szCs w:val="24"/>
        </w:rPr>
      </w:pPr>
      <w:r w:rsidRPr="003B3924">
        <w:rPr>
          <w:rFonts w:ascii="Arial Narrow" w:hAnsi="Arial Narrow"/>
          <w:sz w:val="24"/>
          <w:szCs w:val="24"/>
        </w:rPr>
        <w:t>Small stories of return comprised accounts of revisiting or returning to people and/or places</w:t>
      </w:r>
      <w:r w:rsidR="004A4F36" w:rsidRPr="003B3924">
        <w:rPr>
          <w:rFonts w:ascii="Arial Narrow" w:hAnsi="Arial Narrow"/>
          <w:sz w:val="24"/>
          <w:szCs w:val="24"/>
        </w:rPr>
        <w:t xml:space="preserve"> as ‘home’.  </w:t>
      </w:r>
      <w:r w:rsidR="00AB2388" w:rsidRPr="003B3924">
        <w:rPr>
          <w:rFonts w:ascii="Arial Narrow" w:hAnsi="Arial Narrow"/>
          <w:b/>
          <w:bCs/>
          <w:i/>
          <w:iCs/>
          <w:sz w:val="24"/>
          <w:szCs w:val="24"/>
        </w:rPr>
        <w:t>Ken</w:t>
      </w:r>
      <w:r w:rsidR="00AB2388" w:rsidRPr="003B3924">
        <w:rPr>
          <w:rFonts w:ascii="Arial Narrow" w:hAnsi="Arial Narrow"/>
          <w:sz w:val="24"/>
          <w:szCs w:val="24"/>
        </w:rPr>
        <w:t xml:space="preserve">, </w:t>
      </w:r>
      <w:r w:rsidR="004E5044" w:rsidRPr="003B3924">
        <w:rPr>
          <w:rFonts w:ascii="Arial Narrow" w:hAnsi="Arial Narrow"/>
          <w:sz w:val="24"/>
          <w:szCs w:val="24"/>
        </w:rPr>
        <w:t xml:space="preserve">from </w:t>
      </w:r>
      <w:r w:rsidR="00DB79AB" w:rsidRPr="003B3924">
        <w:rPr>
          <w:rFonts w:ascii="Arial Narrow" w:hAnsi="Arial Narrow"/>
          <w:sz w:val="24"/>
          <w:szCs w:val="24"/>
        </w:rPr>
        <w:t xml:space="preserve">the second </w:t>
      </w:r>
      <w:r w:rsidR="004E5044" w:rsidRPr="003B3924">
        <w:rPr>
          <w:rFonts w:ascii="Arial Narrow" w:hAnsi="Arial Narrow"/>
          <w:sz w:val="24"/>
          <w:szCs w:val="24"/>
        </w:rPr>
        <w:t>age cohort</w:t>
      </w:r>
      <w:r w:rsidR="00DB79AB" w:rsidRPr="003B3924">
        <w:rPr>
          <w:rFonts w:ascii="Arial Narrow" w:hAnsi="Arial Narrow"/>
          <w:sz w:val="24"/>
          <w:szCs w:val="24"/>
        </w:rPr>
        <w:t xml:space="preserve">, born </w:t>
      </w:r>
      <w:r w:rsidR="00572385" w:rsidRPr="003B3924">
        <w:rPr>
          <w:rFonts w:ascii="Arial Narrow" w:hAnsi="Arial Narrow"/>
          <w:sz w:val="24"/>
          <w:szCs w:val="24"/>
        </w:rPr>
        <w:t>1965,</w:t>
      </w:r>
      <w:r w:rsidR="004E5044" w:rsidRPr="003B3924">
        <w:rPr>
          <w:rFonts w:ascii="Arial Narrow" w:hAnsi="Arial Narrow"/>
          <w:sz w:val="24"/>
          <w:szCs w:val="24"/>
        </w:rPr>
        <w:t xml:space="preserve"> was</w:t>
      </w:r>
      <w:r w:rsidR="004E04D1" w:rsidRPr="003B3924">
        <w:rPr>
          <w:rFonts w:ascii="Arial Narrow" w:hAnsi="Arial Narrow"/>
          <w:sz w:val="24"/>
          <w:szCs w:val="24"/>
        </w:rPr>
        <w:t xml:space="preserve"> </w:t>
      </w:r>
      <w:r w:rsidR="00AB2388" w:rsidRPr="003B3924">
        <w:rPr>
          <w:rFonts w:ascii="Arial Narrow" w:hAnsi="Arial Narrow"/>
          <w:sz w:val="24"/>
          <w:szCs w:val="24"/>
        </w:rPr>
        <w:t xml:space="preserve">separating from his partner and children </w:t>
      </w:r>
      <w:r w:rsidR="00A845BD" w:rsidRPr="003B3924">
        <w:rPr>
          <w:rFonts w:ascii="Arial Narrow" w:hAnsi="Arial Narrow"/>
          <w:sz w:val="24"/>
          <w:szCs w:val="24"/>
        </w:rPr>
        <w:t xml:space="preserve">over </w:t>
      </w:r>
      <w:r w:rsidR="00B945CD" w:rsidRPr="003B3924">
        <w:rPr>
          <w:rFonts w:ascii="Arial Narrow" w:hAnsi="Arial Narrow"/>
          <w:sz w:val="24"/>
          <w:szCs w:val="24"/>
        </w:rPr>
        <w:t xml:space="preserve">the course </w:t>
      </w:r>
      <w:r w:rsidR="00AB2388" w:rsidRPr="003B3924">
        <w:rPr>
          <w:rFonts w:ascii="Arial Narrow" w:hAnsi="Arial Narrow"/>
          <w:sz w:val="24"/>
          <w:szCs w:val="24"/>
        </w:rPr>
        <w:t xml:space="preserve">of a series of three interviews </w:t>
      </w:r>
      <w:r w:rsidR="00DE16EB" w:rsidRPr="003B3924">
        <w:rPr>
          <w:rFonts w:ascii="Arial Narrow" w:hAnsi="Arial Narrow"/>
          <w:sz w:val="24"/>
          <w:szCs w:val="24"/>
        </w:rPr>
        <w:t xml:space="preserve">held </w:t>
      </w:r>
      <w:r w:rsidR="00AB2388" w:rsidRPr="003B3924">
        <w:rPr>
          <w:rFonts w:ascii="Arial Narrow" w:hAnsi="Arial Narrow"/>
          <w:sz w:val="24"/>
          <w:szCs w:val="24"/>
        </w:rPr>
        <w:t xml:space="preserve">when he was age 35.  Ken was </w:t>
      </w:r>
      <w:r w:rsidR="00DE16EB" w:rsidRPr="003B3924">
        <w:rPr>
          <w:rFonts w:ascii="Arial Narrow" w:hAnsi="Arial Narrow"/>
          <w:sz w:val="24"/>
          <w:szCs w:val="24"/>
        </w:rPr>
        <w:t>self-employed in a personal service</w:t>
      </w:r>
      <w:r w:rsidR="00A845BD" w:rsidRPr="003B3924">
        <w:rPr>
          <w:rFonts w:ascii="Arial Narrow" w:hAnsi="Arial Narrow"/>
          <w:sz w:val="24"/>
          <w:szCs w:val="24"/>
        </w:rPr>
        <w:t>, living in local authority housing,</w:t>
      </w:r>
      <w:r w:rsidR="00DE16EB" w:rsidRPr="003B3924">
        <w:rPr>
          <w:rFonts w:ascii="Arial Narrow" w:hAnsi="Arial Narrow"/>
          <w:sz w:val="24"/>
          <w:szCs w:val="24"/>
        </w:rPr>
        <w:t xml:space="preserve"> and </w:t>
      </w:r>
      <w:r w:rsidR="00AB2388" w:rsidRPr="003B3924">
        <w:rPr>
          <w:rFonts w:ascii="Arial Narrow" w:hAnsi="Arial Narrow"/>
          <w:sz w:val="24"/>
          <w:szCs w:val="24"/>
        </w:rPr>
        <w:t>contemplating a move back to his home city in another part of the country.  He felt ambivalent about leaving his children but spoke of the draw of place and previous relationships: ‘I have just wanted to go back, but I don’t know.  I will have to really think about it.  And I am starting to think, you know, about the friends there</w:t>
      </w:r>
      <w:r w:rsidR="00DE16EB" w:rsidRPr="003B3924">
        <w:rPr>
          <w:rFonts w:ascii="Arial Narrow" w:hAnsi="Arial Narrow"/>
          <w:sz w:val="24"/>
          <w:szCs w:val="24"/>
        </w:rPr>
        <w:t>’</w:t>
      </w:r>
      <w:r w:rsidR="00AB2388" w:rsidRPr="003B3924">
        <w:rPr>
          <w:rFonts w:ascii="Arial Narrow" w:hAnsi="Arial Narrow"/>
          <w:sz w:val="24"/>
          <w:szCs w:val="24"/>
        </w:rPr>
        <w:t xml:space="preserve">. </w:t>
      </w:r>
      <w:r w:rsidR="00870DE3" w:rsidRPr="003B3924">
        <w:rPr>
          <w:rFonts w:ascii="Arial Narrow" w:hAnsi="Arial Narrow"/>
          <w:sz w:val="24"/>
          <w:szCs w:val="24"/>
        </w:rPr>
        <w:t xml:space="preserve"> Ken’s small story illustrates that even the parent-child relationsh</w:t>
      </w:r>
      <w:r w:rsidR="00DC6C8D" w:rsidRPr="003B3924">
        <w:rPr>
          <w:rFonts w:ascii="Arial Narrow" w:hAnsi="Arial Narrow"/>
          <w:sz w:val="24"/>
          <w:szCs w:val="24"/>
        </w:rPr>
        <w:t>i</w:t>
      </w:r>
      <w:r w:rsidR="00870DE3" w:rsidRPr="003B3924">
        <w:rPr>
          <w:rFonts w:ascii="Arial Narrow" w:hAnsi="Arial Narrow"/>
          <w:sz w:val="24"/>
          <w:szCs w:val="24"/>
        </w:rPr>
        <w:t>p as the quintessential</w:t>
      </w:r>
      <w:r w:rsidR="0080394A" w:rsidRPr="003B3924">
        <w:rPr>
          <w:rFonts w:ascii="Arial Narrow" w:hAnsi="Arial Narrow"/>
          <w:sz w:val="24"/>
          <w:szCs w:val="24"/>
        </w:rPr>
        <w:t xml:space="preserve"> and morally charged</w:t>
      </w:r>
      <w:r w:rsidR="00870DE3" w:rsidRPr="003B3924">
        <w:rPr>
          <w:rFonts w:ascii="Arial Narrow" w:hAnsi="Arial Narrow"/>
          <w:sz w:val="24"/>
          <w:szCs w:val="24"/>
        </w:rPr>
        <w:t xml:space="preserve"> ‘linked life’ </w:t>
      </w:r>
      <w:r w:rsidR="00F22A68" w:rsidRPr="003B3924">
        <w:rPr>
          <w:rFonts w:ascii="Arial Narrow" w:hAnsi="Arial Narrow"/>
          <w:sz w:val="24"/>
          <w:szCs w:val="24"/>
        </w:rPr>
        <w:t>may</w:t>
      </w:r>
      <w:r w:rsidR="00870DE3" w:rsidRPr="003B3924">
        <w:rPr>
          <w:rFonts w:ascii="Arial Narrow" w:hAnsi="Arial Narrow"/>
          <w:sz w:val="24"/>
          <w:szCs w:val="24"/>
        </w:rPr>
        <w:t xml:space="preserve"> be set aside – a gendered account in that it is far more likely to be fathers who do this as compared with mother-child relationships</w:t>
      </w:r>
      <w:r w:rsidR="0066775B" w:rsidRPr="003B3924">
        <w:rPr>
          <w:rFonts w:ascii="Arial Narrow" w:hAnsi="Arial Narrow"/>
          <w:sz w:val="24"/>
          <w:szCs w:val="24"/>
        </w:rPr>
        <w:t xml:space="preserve"> (Haux and Platt</w:t>
      </w:r>
      <w:r w:rsidR="00DC6C8D" w:rsidRPr="003B3924">
        <w:rPr>
          <w:rFonts w:ascii="Arial Narrow" w:hAnsi="Arial Narrow"/>
          <w:sz w:val="24"/>
          <w:szCs w:val="24"/>
        </w:rPr>
        <w:t>,</w:t>
      </w:r>
      <w:r w:rsidR="0066775B" w:rsidRPr="003B3924">
        <w:rPr>
          <w:rFonts w:ascii="Arial Narrow" w:hAnsi="Arial Narrow"/>
          <w:sz w:val="24"/>
          <w:szCs w:val="24"/>
        </w:rPr>
        <w:t xml:space="preserve"> 2015)</w:t>
      </w:r>
      <w:r w:rsidR="00DC6C8D" w:rsidRPr="003B3924">
        <w:rPr>
          <w:rFonts w:ascii="Arial Narrow" w:hAnsi="Arial Narrow"/>
          <w:sz w:val="24"/>
          <w:szCs w:val="24"/>
        </w:rPr>
        <w:t>.  A sense of home as people and as place was shifting</w:t>
      </w:r>
      <w:r w:rsidR="00302B98" w:rsidRPr="003B3924">
        <w:rPr>
          <w:rFonts w:ascii="Arial Narrow" w:hAnsi="Arial Narrow"/>
          <w:sz w:val="24"/>
          <w:szCs w:val="24"/>
        </w:rPr>
        <w:t>, or rekindling,</w:t>
      </w:r>
      <w:r w:rsidR="00DC6C8D" w:rsidRPr="003B3924">
        <w:rPr>
          <w:rFonts w:ascii="Arial Narrow" w:hAnsi="Arial Narrow"/>
          <w:sz w:val="24"/>
          <w:szCs w:val="24"/>
        </w:rPr>
        <w:t xml:space="preserve"> for Ken.</w:t>
      </w:r>
      <w:r w:rsidR="00E14C88" w:rsidRPr="003B3924">
        <w:rPr>
          <w:rFonts w:ascii="Arial Narrow" w:hAnsi="Arial Narrow"/>
          <w:sz w:val="24"/>
          <w:szCs w:val="24"/>
        </w:rPr>
        <w:t xml:space="preserve">  In this small story he positioned himself as agentic, mulling over a decision to return.</w:t>
      </w:r>
    </w:p>
    <w:p w14:paraId="56605775" w14:textId="55DC90D1" w:rsidR="00186760" w:rsidRPr="003B3924" w:rsidRDefault="00186760" w:rsidP="00072E7A">
      <w:pPr>
        <w:pStyle w:val="PlainText"/>
        <w:rPr>
          <w:rFonts w:ascii="Arial Narrow" w:hAnsi="Arial Narrow"/>
          <w:sz w:val="24"/>
          <w:szCs w:val="24"/>
        </w:rPr>
      </w:pPr>
    </w:p>
    <w:p w14:paraId="011918AE" w14:textId="1EDD17AD" w:rsidR="0084316E" w:rsidRPr="003B3924" w:rsidRDefault="00E14C88" w:rsidP="00072E7A">
      <w:pPr>
        <w:pStyle w:val="PlainText"/>
        <w:rPr>
          <w:rFonts w:ascii="Arial Narrow" w:hAnsi="Arial Narrow"/>
          <w:sz w:val="24"/>
          <w:szCs w:val="24"/>
        </w:rPr>
      </w:pPr>
      <w:r w:rsidRPr="00FA188C">
        <w:rPr>
          <w:rFonts w:ascii="Arial Narrow" w:hAnsi="Arial Narrow"/>
          <w:sz w:val="24"/>
          <w:szCs w:val="24"/>
        </w:rPr>
        <w:t xml:space="preserve">In contrast, like many women in our sample, </w:t>
      </w:r>
      <w:r w:rsidR="00AB2388" w:rsidRPr="00FA188C">
        <w:rPr>
          <w:rFonts w:ascii="Arial Narrow" w:hAnsi="Arial Narrow"/>
          <w:b/>
          <w:bCs/>
          <w:i/>
          <w:iCs/>
          <w:sz w:val="24"/>
          <w:szCs w:val="24"/>
        </w:rPr>
        <w:t>Beverley</w:t>
      </w:r>
      <w:r w:rsidRPr="00FA188C">
        <w:rPr>
          <w:rFonts w:ascii="Arial Narrow" w:hAnsi="Arial Narrow"/>
          <w:sz w:val="24"/>
          <w:szCs w:val="24"/>
        </w:rPr>
        <w:t xml:space="preserve"> told more passive return stories.  Beverley,</w:t>
      </w:r>
      <w:r w:rsidR="00AB2388" w:rsidRPr="003B3924">
        <w:rPr>
          <w:rFonts w:ascii="Arial Narrow" w:hAnsi="Arial Narrow"/>
          <w:sz w:val="24"/>
          <w:szCs w:val="24"/>
        </w:rPr>
        <w:t xml:space="preserve"> </w:t>
      </w:r>
      <w:r w:rsidR="004E5044" w:rsidRPr="003B3924">
        <w:rPr>
          <w:rFonts w:ascii="Arial Narrow" w:hAnsi="Arial Narrow"/>
          <w:sz w:val="24"/>
          <w:szCs w:val="24"/>
        </w:rPr>
        <w:t xml:space="preserve">also </w:t>
      </w:r>
      <w:r w:rsidR="00AB2388" w:rsidRPr="003B3924">
        <w:rPr>
          <w:rFonts w:ascii="Arial Narrow" w:hAnsi="Arial Narrow"/>
          <w:sz w:val="24"/>
          <w:szCs w:val="24"/>
        </w:rPr>
        <w:t xml:space="preserve">from the </w:t>
      </w:r>
      <w:r w:rsidR="00016419" w:rsidRPr="003B3924">
        <w:rPr>
          <w:rFonts w:ascii="Arial Narrow" w:hAnsi="Arial Narrow"/>
          <w:sz w:val="24"/>
          <w:szCs w:val="24"/>
        </w:rPr>
        <w:t xml:space="preserve">second </w:t>
      </w:r>
      <w:r w:rsidR="00AB2388" w:rsidRPr="003B3924">
        <w:rPr>
          <w:rFonts w:ascii="Arial Narrow" w:hAnsi="Arial Narrow"/>
          <w:sz w:val="24"/>
          <w:szCs w:val="24"/>
        </w:rPr>
        <w:t>age cohort</w:t>
      </w:r>
      <w:r w:rsidR="004E5044" w:rsidRPr="003B3924">
        <w:rPr>
          <w:rFonts w:ascii="Arial Narrow" w:hAnsi="Arial Narrow"/>
          <w:sz w:val="24"/>
          <w:szCs w:val="24"/>
        </w:rPr>
        <w:t xml:space="preserve"> </w:t>
      </w:r>
      <w:r w:rsidR="00DE16EB" w:rsidRPr="003B3924">
        <w:rPr>
          <w:rFonts w:ascii="Arial Narrow" w:hAnsi="Arial Narrow"/>
          <w:sz w:val="24"/>
          <w:szCs w:val="24"/>
        </w:rPr>
        <w:t>and</w:t>
      </w:r>
      <w:r w:rsidR="00572385" w:rsidRPr="003B3924">
        <w:rPr>
          <w:rFonts w:ascii="Arial Narrow" w:hAnsi="Arial Narrow"/>
          <w:sz w:val="24"/>
          <w:szCs w:val="24"/>
        </w:rPr>
        <w:t xml:space="preserve"> born in 1964, was</w:t>
      </w:r>
      <w:r w:rsidR="00DE16EB" w:rsidRPr="003B3924">
        <w:rPr>
          <w:rFonts w:ascii="Arial Narrow" w:hAnsi="Arial Narrow"/>
          <w:sz w:val="24"/>
          <w:szCs w:val="24"/>
        </w:rPr>
        <w:t xml:space="preserve"> interviewed </w:t>
      </w:r>
      <w:r w:rsidR="005B75A0" w:rsidRPr="003B3924">
        <w:rPr>
          <w:rFonts w:ascii="Arial Narrow" w:hAnsi="Arial Narrow"/>
          <w:sz w:val="24"/>
          <w:szCs w:val="24"/>
        </w:rPr>
        <w:t>twice at age 42 and 46</w:t>
      </w:r>
      <w:r w:rsidR="00572385" w:rsidRPr="003B3924">
        <w:rPr>
          <w:rFonts w:ascii="Arial Narrow" w:hAnsi="Arial Narrow"/>
          <w:sz w:val="24"/>
          <w:szCs w:val="24"/>
        </w:rPr>
        <w:t>.  She</w:t>
      </w:r>
      <w:r w:rsidR="00DE16EB" w:rsidRPr="003B3924">
        <w:rPr>
          <w:rFonts w:ascii="Arial Narrow" w:hAnsi="Arial Narrow"/>
          <w:sz w:val="24"/>
          <w:szCs w:val="24"/>
        </w:rPr>
        <w:t xml:space="preserve"> was married with children, </w:t>
      </w:r>
      <w:r w:rsidR="00AF596A" w:rsidRPr="003B3924">
        <w:rPr>
          <w:rFonts w:ascii="Arial Narrow" w:hAnsi="Arial Narrow"/>
          <w:sz w:val="24"/>
          <w:szCs w:val="24"/>
        </w:rPr>
        <w:t xml:space="preserve">living in a multiple family household, </w:t>
      </w:r>
      <w:r w:rsidR="00DE16EB" w:rsidRPr="003B3924">
        <w:rPr>
          <w:rFonts w:ascii="Arial Narrow" w:hAnsi="Arial Narrow"/>
          <w:sz w:val="24"/>
          <w:szCs w:val="24"/>
        </w:rPr>
        <w:t xml:space="preserve">and working in the transport industry.  </w:t>
      </w:r>
      <w:r w:rsidR="00572385" w:rsidRPr="003B3924">
        <w:rPr>
          <w:rFonts w:ascii="Arial Narrow" w:hAnsi="Arial Narrow"/>
          <w:sz w:val="24"/>
          <w:szCs w:val="24"/>
        </w:rPr>
        <w:t>Beverley</w:t>
      </w:r>
      <w:r w:rsidR="00DE16EB" w:rsidRPr="003B3924">
        <w:rPr>
          <w:rFonts w:ascii="Arial Narrow" w:hAnsi="Arial Narrow"/>
          <w:sz w:val="24"/>
          <w:szCs w:val="24"/>
        </w:rPr>
        <w:t xml:space="preserve"> </w:t>
      </w:r>
      <w:r w:rsidR="005B75A0" w:rsidRPr="003B3924">
        <w:rPr>
          <w:rFonts w:ascii="Arial Narrow" w:hAnsi="Arial Narrow"/>
          <w:sz w:val="24"/>
          <w:szCs w:val="24"/>
        </w:rPr>
        <w:t xml:space="preserve">told two return stories.  One concerned </w:t>
      </w:r>
      <w:r w:rsidR="00B945CD" w:rsidRPr="003B3924">
        <w:rPr>
          <w:rFonts w:ascii="Arial Narrow" w:hAnsi="Arial Narrow"/>
          <w:sz w:val="24"/>
          <w:szCs w:val="24"/>
        </w:rPr>
        <w:t>a relatively forced move</w:t>
      </w:r>
      <w:r w:rsidR="00A845BD" w:rsidRPr="003B3924">
        <w:rPr>
          <w:rFonts w:ascii="Arial Narrow" w:hAnsi="Arial Narrow"/>
          <w:sz w:val="24"/>
          <w:szCs w:val="24"/>
        </w:rPr>
        <w:t>.  She had</w:t>
      </w:r>
      <w:r w:rsidR="005B75A0" w:rsidRPr="003B3924">
        <w:rPr>
          <w:rFonts w:ascii="Arial Narrow" w:hAnsi="Arial Narrow"/>
          <w:sz w:val="24"/>
          <w:szCs w:val="24"/>
        </w:rPr>
        <w:t xml:space="preserve"> been sent to live with family in the Caribbean as a teenager</w:t>
      </w:r>
      <w:r w:rsidR="00F2331E" w:rsidRPr="003B3924">
        <w:rPr>
          <w:rFonts w:ascii="Arial Narrow" w:hAnsi="Arial Narrow"/>
          <w:sz w:val="24"/>
          <w:szCs w:val="24"/>
        </w:rPr>
        <w:t xml:space="preserve"> (a not uncommon</w:t>
      </w:r>
      <w:r w:rsidR="00B74E50" w:rsidRPr="003B3924">
        <w:rPr>
          <w:rFonts w:ascii="Arial Narrow" w:hAnsi="Arial Narrow"/>
          <w:sz w:val="24"/>
          <w:szCs w:val="24"/>
        </w:rPr>
        <w:t xml:space="preserve"> strategy by concerned parents</w:t>
      </w:r>
      <w:r w:rsidR="00F2331E" w:rsidRPr="003B3924">
        <w:rPr>
          <w:rFonts w:ascii="Arial Narrow" w:hAnsi="Arial Narrow"/>
          <w:sz w:val="24"/>
          <w:szCs w:val="24"/>
        </w:rPr>
        <w:t>:</w:t>
      </w:r>
      <w:r w:rsidR="007E1146" w:rsidRPr="003B3924">
        <w:rPr>
          <w:rFonts w:ascii="Arial Narrow" w:hAnsi="Arial Narrow"/>
          <w:sz w:val="24"/>
          <w:szCs w:val="24"/>
        </w:rPr>
        <w:t xml:space="preserve"> </w:t>
      </w:r>
      <w:proofErr w:type="spellStart"/>
      <w:r w:rsidR="007E1146" w:rsidRPr="003B3924">
        <w:rPr>
          <w:rFonts w:ascii="Arial Narrow" w:hAnsi="Arial Narrow"/>
          <w:sz w:val="24"/>
          <w:szCs w:val="24"/>
        </w:rPr>
        <w:t>Rasekoala</w:t>
      </w:r>
      <w:proofErr w:type="spellEnd"/>
      <w:r w:rsidR="007E1146" w:rsidRPr="003B3924">
        <w:rPr>
          <w:rFonts w:ascii="Arial Narrow" w:hAnsi="Arial Narrow"/>
          <w:sz w:val="24"/>
          <w:szCs w:val="24"/>
        </w:rPr>
        <w:t>, 1997</w:t>
      </w:r>
      <w:r w:rsidR="00F2331E" w:rsidRPr="003B3924">
        <w:rPr>
          <w:rFonts w:ascii="Arial Narrow" w:hAnsi="Arial Narrow"/>
          <w:sz w:val="24"/>
          <w:szCs w:val="24"/>
        </w:rPr>
        <w:t>)</w:t>
      </w:r>
      <w:r w:rsidR="005B75A0" w:rsidRPr="003B3924">
        <w:rPr>
          <w:rFonts w:ascii="Arial Narrow" w:hAnsi="Arial Narrow"/>
          <w:sz w:val="24"/>
          <w:szCs w:val="24"/>
        </w:rPr>
        <w:t xml:space="preserve"> </w:t>
      </w:r>
      <w:r w:rsidR="00B945CD" w:rsidRPr="003B3924">
        <w:rPr>
          <w:rFonts w:ascii="Arial Narrow" w:hAnsi="Arial Narrow"/>
          <w:sz w:val="24"/>
          <w:szCs w:val="24"/>
        </w:rPr>
        <w:t xml:space="preserve">but later </w:t>
      </w:r>
      <w:r w:rsidR="00186760" w:rsidRPr="003B3924">
        <w:rPr>
          <w:rFonts w:ascii="Arial Narrow" w:hAnsi="Arial Narrow"/>
          <w:sz w:val="24"/>
          <w:szCs w:val="24"/>
        </w:rPr>
        <w:t xml:space="preserve">migrating </w:t>
      </w:r>
      <w:r w:rsidR="0084316E" w:rsidRPr="003B3924">
        <w:rPr>
          <w:rFonts w:ascii="Arial Narrow" w:hAnsi="Arial Narrow"/>
          <w:sz w:val="24"/>
          <w:szCs w:val="24"/>
        </w:rPr>
        <w:t xml:space="preserve">home </w:t>
      </w:r>
      <w:r w:rsidR="00186760" w:rsidRPr="003B3924">
        <w:rPr>
          <w:rFonts w:ascii="Arial Narrow" w:hAnsi="Arial Narrow"/>
          <w:sz w:val="24"/>
          <w:szCs w:val="24"/>
        </w:rPr>
        <w:t xml:space="preserve">to the UK to get away from difficult relations with them.  The other was </w:t>
      </w:r>
      <w:r w:rsidR="00DE16EB" w:rsidRPr="003B3924">
        <w:rPr>
          <w:rFonts w:ascii="Arial Narrow" w:hAnsi="Arial Narrow"/>
          <w:sz w:val="24"/>
          <w:szCs w:val="24"/>
        </w:rPr>
        <w:t>a</w:t>
      </w:r>
      <w:r w:rsidR="006D3EE5" w:rsidRPr="003B3924">
        <w:rPr>
          <w:rFonts w:ascii="Arial Narrow" w:hAnsi="Arial Narrow"/>
          <w:sz w:val="24"/>
          <w:szCs w:val="24"/>
        </w:rPr>
        <w:t xml:space="preserve"> </w:t>
      </w:r>
      <w:r w:rsidR="00DE16EB" w:rsidRPr="003B3924">
        <w:rPr>
          <w:rFonts w:ascii="Arial Narrow" w:hAnsi="Arial Narrow"/>
          <w:sz w:val="24"/>
          <w:szCs w:val="24"/>
        </w:rPr>
        <w:t xml:space="preserve">return story </w:t>
      </w:r>
      <w:r w:rsidR="00186760" w:rsidRPr="003B3924">
        <w:rPr>
          <w:rFonts w:ascii="Arial Narrow" w:hAnsi="Arial Narrow"/>
          <w:sz w:val="24"/>
          <w:szCs w:val="24"/>
        </w:rPr>
        <w:t xml:space="preserve">from </w:t>
      </w:r>
      <w:r w:rsidR="00DE16EB" w:rsidRPr="003B3924">
        <w:rPr>
          <w:rFonts w:ascii="Arial Narrow" w:hAnsi="Arial Narrow"/>
          <w:sz w:val="24"/>
          <w:szCs w:val="24"/>
        </w:rPr>
        <w:t>when her children were younger</w:t>
      </w:r>
      <w:r w:rsidR="005B75A0" w:rsidRPr="003B3924">
        <w:rPr>
          <w:rFonts w:ascii="Arial Narrow" w:hAnsi="Arial Narrow"/>
          <w:sz w:val="24"/>
          <w:szCs w:val="24"/>
        </w:rPr>
        <w:t xml:space="preserve">, centred around </w:t>
      </w:r>
      <w:r w:rsidR="0084316E" w:rsidRPr="003B3924">
        <w:rPr>
          <w:rFonts w:ascii="Arial Narrow" w:hAnsi="Arial Narrow"/>
          <w:sz w:val="24"/>
          <w:szCs w:val="24"/>
        </w:rPr>
        <w:t xml:space="preserve">the home of </w:t>
      </w:r>
      <w:r w:rsidR="005B75A0" w:rsidRPr="003B3924">
        <w:rPr>
          <w:rFonts w:ascii="Arial Narrow" w:hAnsi="Arial Narrow"/>
          <w:sz w:val="24"/>
          <w:szCs w:val="24"/>
        </w:rPr>
        <w:t xml:space="preserve">her </w:t>
      </w:r>
      <w:r w:rsidR="00186760" w:rsidRPr="003B3924">
        <w:rPr>
          <w:rFonts w:ascii="Arial Narrow" w:hAnsi="Arial Narrow"/>
          <w:sz w:val="24"/>
          <w:szCs w:val="24"/>
        </w:rPr>
        <w:t>UK-based siblings</w:t>
      </w:r>
      <w:r w:rsidR="006D3EE5" w:rsidRPr="003B3924">
        <w:rPr>
          <w:rFonts w:ascii="Arial Narrow" w:hAnsi="Arial Narrow"/>
          <w:sz w:val="24"/>
          <w:szCs w:val="24"/>
        </w:rPr>
        <w:t xml:space="preserve"> and </w:t>
      </w:r>
      <w:r w:rsidR="00FA188C">
        <w:rPr>
          <w:rFonts w:ascii="Arial Narrow" w:hAnsi="Arial Narrow"/>
          <w:sz w:val="24"/>
          <w:szCs w:val="24"/>
        </w:rPr>
        <w:t xml:space="preserve">reacting to </w:t>
      </w:r>
      <w:r w:rsidR="00141B69" w:rsidRPr="003B3924">
        <w:rPr>
          <w:rFonts w:ascii="Arial Narrow" w:hAnsi="Arial Narrow"/>
          <w:sz w:val="24"/>
          <w:szCs w:val="24"/>
        </w:rPr>
        <w:t>encourag</w:t>
      </w:r>
      <w:r w:rsidR="00141B69">
        <w:rPr>
          <w:rFonts w:ascii="Arial Narrow" w:hAnsi="Arial Narrow"/>
          <w:sz w:val="24"/>
          <w:szCs w:val="24"/>
        </w:rPr>
        <w:t>ement</w:t>
      </w:r>
      <w:r w:rsidR="006D3EE5" w:rsidRPr="003B3924">
        <w:rPr>
          <w:rFonts w:ascii="Arial Narrow" w:hAnsi="Arial Narrow"/>
          <w:sz w:val="24"/>
          <w:szCs w:val="24"/>
        </w:rPr>
        <w:t xml:space="preserve"> by them</w:t>
      </w:r>
      <w:r w:rsidR="005B75A0" w:rsidRPr="003B3924">
        <w:rPr>
          <w:rFonts w:ascii="Arial Narrow" w:hAnsi="Arial Narrow"/>
          <w:sz w:val="24"/>
          <w:szCs w:val="24"/>
        </w:rPr>
        <w:t xml:space="preserve">: </w:t>
      </w:r>
    </w:p>
    <w:p w14:paraId="08FB01F5" w14:textId="0260D665" w:rsidR="00024AF7" w:rsidRPr="003B3924" w:rsidRDefault="005B75A0" w:rsidP="0084316E">
      <w:pPr>
        <w:pStyle w:val="PlainText"/>
        <w:ind w:left="720"/>
        <w:rPr>
          <w:rFonts w:ascii="Arial Narrow" w:hAnsi="Arial Narrow"/>
          <w:sz w:val="24"/>
          <w:szCs w:val="24"/>
        </w:rPr>
      </w:pPr>
      <w:r w:rsidRPr="003B3924">
        <w:rPr>
          <w:rFonts w:ascii="Arial Narrow" w:hAnsi="Arial Narrow"/>
          <w:sz w:val="24"/>
          <w:szCs w:val="24"/>
        </w:rPr>
        <w:t>I worked at a rehabilitation eating disorders unit just between [one town] and [another town].  I worked there for a couple of years.  And then I moved up to [a city].  Because I was too depressed. I was constantly crying and missing my family.  And my brothers and sisters lived in [that city].  And my sister said for many a month, ‘come to [the city], come to [the city]’.  And I’d ring up my sister, crying all the time.  And then, um, came up to [the city].</w:t>
      </w:r>
    </w:p>
    <w:p w14:paraId="55C505A7" w14:textId="548A18C5" w:rsidR="00186760" w:rsidRPr="003B3924" w:rsidRDefault="00B945CD" w:rsidP="00072E7A">
      <w:pPr>
        <w:pStyle w:val="PlainText"/>
        <w:rPr>
          <w:rFonts w:ascii="Arial Narrow" w:hAnsi="Arial Narrow"/>
          <w:sz w:val="24"/>
          <w:szCs w:val="24"/>
        </w:rPr>
      </w:pPr>
      <w:r w:rsidRPr="003B3924">
        <w:rPr>
          <w:rFonts w:ascii="Arial Narrow" w:hAnsi="Arial Narrow"/>
          <w:sz w:val="24"/>
          <w:szCs w:val="24"/>
        </w:rPr>
        <w:t xml:space="preserve">Both of Beverley’s return stories are tied </w:t>
      </w:r>
      <w:r w:rsidR="00F2331E" w:rsidRPr="003B3924">
        <w:rPr>
          <w:rFonts w:ascii="Arial Narrow" w:hAnsi="Arial Narrow"/>
          <w:sz w:val="24"/>
          <w:szCs w:val="24"/>
        </w:rPr>
        <w:t xml:space="preserve">strongly </w:t>
      </w:r>
      <w:r w:rsidRPr="003B3924">
        <w:rPr>
          <w:rFonts w:ascii="Arial Narrow" w:hAnsi="Arial Narrow"/>
          <w:sz w:val="24"/>
          <w:szCs w:val="24"/>
        </w:rPr>
        <w:t>into sets of linked lives, transnationally and intra-nationally</w:t>
      </w:r>
      <w:r w:rsidR="00F2331E" w:rsidRPr="003B3924">
        <w:rPr>
          <w:rFonts w:ascii="Arial Narrow" w:hAnsi="Arial Narrow"/>
          <w:sz w:val="24"/>
          <w:szCs w:val="24"/>
        </w:rPr>
        <w:t xml:space="preserve"> where her own ideas of home are linked to the residence of some family members but not others</w:t>
      </w:r>
      <w:r w:rsidR="007E1146" w:rsidRPr="003B3924">
        <w:rPr>
          <w:rFonts w:ascii="Arial Narrow" w:hAnsi="Arial Narrow"/>
          <w:sz w:val="24"/>
          <w:szCs w:val="24"/>
        </w:rPr>
        <w:t>, and to</w:t>
      </w:r>
      <w:r w:rsidR="00E14C88" w:rsidRPr="003B3924">
        <w:rPr>
          <w:rFonts w:ascii="Arial Narrow" w:hAnsi="Arial Narrow"/>
          <w:sz w:val="24"/>
          <w:szCs w:val="24"/>
        </w:rPr>
        <w:t xml:space="preserve"> proactive</w:t>
      </w:r>
      <w:r w:rsidR="007E1146" w:rsidRPr="003B3924">
        <w:rPr>
          <w:rFonts w:ascii="Arial Narrow" w:hAnsi="Arial Narrow"/>
          <w:sz w:val="24"/>
          <w:szCs w:val="24"/>
        </w:rPr>
        <w:t xml:space="preserve"> interventions on the part of</w:t>
      </w:r>
      <w:r w:rsidR="00E14C88" w:rsidRPr="003B3924">
        <w:rPr>
          <w:rFonts w:ascii="Arial Narrow" w:hAnsi="Arial Narrow"/>
          <w:sz w:val="24"/>
          <w:szCs w:val="24"/>
        </w:rPr>
        <w:t xml:space="preserve"> others</w:t>
      </w:r>
      <w:r w:rsidR="007E1146" w:rsidRPr="003B3924">
        <w:rPr>
          <w:rFonts w:ascii="Arial Narrow" w:hAnsi="Arial Narrow"/>
          <w:sz w:val="24"/>
          <w:szCs w:val="24"/>
        </w:rPr>
        <w:t>.</w:t>
      </w:r>
    </w:p>
    <w:p w14:paraId="1046AD74" w14:textId="77777777" w:rsidR="00B945CD" w:rsidRPr="003B3924" w:rsidRDefault="00B945CD" w:rsidP="00072E7A">
      <w:pPr>
        <w:pStyle w:val="PlainText"/>
        <w:rPr>
          <w:rFonts w:ascii="Arial Narrow" w:hAnsi="Arial Narrow"/>
          <w:sz w:val="24"/>
          <w:szCs w:val="24"/>
        </w:rPr>
      </w:pPr>
    </w:p>
    <w:p w14:paraId="199AB5A6" w14:textId="50E517B4" w:rsidR="007406A3" w:rsidRPr="003B3924" w:rsidRDefault="00186760" w:rsidP="00072E7A">
      <w:pPr>
        <w:pStyle w:val="PlainText"/>
        <w:rPr>
          <w:rFonts w:ascii="Arial Narrow" w:hAnsi="Arial Narrow"/>
          <w:sz w:val="24"/>
          <w:szCs w:val="24"/>
        </w:rPr>
      </w:pPr>
      <w:r w:rsidRPr="003B3924">
        <w:rPr>
          <w:rFonts w:ascii="Arial Narrow" w:hAnsi="Arial Narrow"/>
          <w:sz w:val="24"/>
          <w:szCs w:val="24"/>
        </w:rPr>
        <w:t xml:space="preserve">From a younger cohort, </w:t>
      </w:r>
      <w:r w:rsidR="00DB79AB" w:rsidRPr="003B3924">
        <w:rPr>
          <w:rFonts w:ascii="Arial Narrow" w:hAnsi="Arial Narrow"/>
          <w:sz w:val="24"/>
          <w:szCs w:val="24"/>
        </w:rPr>
        <w:t xml:space="preserve">born </w:t>
      </w:r>
      <w:r w:rsidR="00572385" w:rsidRPr="003B3924">
        <w:rPr>
          <w:rFonts w:ascii="Arial Narrow" w:hAnsi="Arial Narrow"/>
          <w:sz w:val="24"/>
          <w:szCs w:val="24"/>
        </w:rPr>
        <w:t>in 1977</w:t>
      </w:r>
      <w:r w:rsidR="0058502D" w:rsidRPr="003B3924">
        <w:rPr>
          <w:rFonts w:ascii="Arial Narrow" w:hAnsi="Arial Narrow"/>
          <w:sz w:val="24"/>
          <w:szCs w:val="24"/>
        </w:rPr>
        <w:t xml:space="preserve">, </w:t>
      </w:r>
      <w:r w:rsidR="008E72A0" w:rsidRPr="003B3924">
        <w:rPr>
          <w:rFonts w:ascii="Arial Narrow" w:hAnsi="Arial Narrow"/>
          <w:sz w:val="24"/>
          <w:szCs w:val="24"/>
        </w:rPr>
        <w:t xml:space="preserve">and interviewed four times between the ages of 31 and 33, </w:t>
      </w:r>
      <w:r w:rsidR="00A845BD" w:rsidRPr="003B3924">
        <w:rPr>
          <w:rFonts w:ascii="Arial Narrow" w:hAnsi="Arial Narrow"/>
          <w:sz w:val="24"/>
          <w:szCs w:val="24"/>
        </w:rPr>
        <w:t xml:space="preserve">is </w:t>
      </w:r>
      <w:r w:rsidRPr="003B3924">
        <w:rPr>
          <w:rFonts w:ascii="Arial Narrow" w:hAnsi="Arial Narrow"/>
          <w:b/>
          <w:bCs/>
          <w:i/>
          <w:iCs/>
          <w:sz w:val="24"/>
          <w:szCs w:val="24"/>
        </w:rPr>
        <w:t>David</w:t>
      </w:r>
      <w:r w:rsidR="00506505" w:rsidRPr="003B3924">
        <w:rPr>
          <w:rFonts w:ascii="Arial Narrow" w:hAnsi="Arial Narrow"/>
          <w:sz w:val="24"/>
          <w:szCs w:val="24"/>
        </w:rPr>
        <w:t>,</w:t>
      </w:r>
      <w:r w:rsidR="008E72A0" w:rsidRPr="003B3924">
        <w:rPr>
          <w:rFonts w:ascii="Arial Narrow" w:hAnsi="Arial Narrow"/>
          <w:sz w:val="24"/>
          <w:szCs w:val="24"/>
        </w:rPr>
        <w:t xml:space="preserve"> </w:t>
      </w:r>
      <w:r w:rsidR="00A845BD" w:rsidRPr="003B3924">
        <w:rPr>
          <w:rFonts w:ascii="Arial Narrow" w:hAnsi="Arial Narrow"/>
          <w:sz w:val="24"/>
          <w:szCs w:val="24"/>
        </w:rPr>
        <w:t xml:space="preserve">who </w:t>
      </w:r>
      <w:r w:rsidR="008E72A0" w:rsidRPr="003B3924">
        <w:rPr>
          <w:rFonts w:ascii="Arial Narrow" w:hAnsi="Arial Narrow"/>
          <w:sz w:val="24"/>
          <w:szCs w:val="24"/>
        </w:rPr>
        <w:t>work</w:t>
      </w:r>
      <w:r w:rsidR="00A845BD" w:rsidRPr="003B3924">
        <w:rPr>
          <w:rFonts w:ascii="Arial Narrow" w:hAnsi="Arial Narrow"/>
          <w:sz w:val="24"/>
          <w:szCs w:val="24"/>
        </w:rPr>
        <w:t>ed</w:t>
      </w:r>
      <w:r w:rsidR="008E72A0" w:rsidRPr="003B3924">
        <w:rPr>
          <w:rFonts w:ascii="Arial Narrow" w:hAnsi="Arial Narrow"/>
          <w:sz w:val="24"/>
          <w:szCs w:val="24"/>
        </w:rPr>
        <w:t xml:space="preserve"> in the police force</w:t>
      </w:r>
      <w:r w:rsidR="00A845BD" w:rsidRPr="003B3924">
        <w:rPr>
          <w:rFonts w:ascii="Arial Narrow" w:hAnsi="Arial Narrow"/>
          <w:sz w:val="24"/>
          <w:szCs w:val="24"/>
        </w:rPr>
        <w:t>.  David</w:t>
      </w:r>
      <w:r w:rsidR="008E72A0" w:rsidRPr="003B3924">
        <w:rPr>
          <w:rFonts w:ascii="Arial Narrow" w:hAnsi="Arial Narrow"/>
          <w:sz w:val="24"/>
          <w:szCs w:val="24"/>
        </w:rPr>
        <w:t xml:space="preserve"> </w:t>
      </w:r>
      <w:r w:rsidR="00E14C88" w:rsidRPr="003B3924">
        <w:rPr>
          <w:rFonts w:ascii="Arial Narrow" w:hAnsi="Arial Narrow"/>
          <w:sz w:val="24"/>
          <w:szCs w:val="24"/>
        </w:rPr>
        <w:t xml:space="preserve">is an example of the </w:t>
      </w:r>
      <w:r w:rsidR="00016419" w:rsidRPr="003B3924">
        <w:rPr>
          <w:rFonts w:ascii="Arial Narrow" w:hAnsi="Arial Narrow"/>
          <w:sz w:val="24"/>
          <w:szCs w:val="24"/>
        </w:rPr>
        <w:t xml:space="preserve">1970-89 </w:t>
      </w:r>
      <w:r w:rsidR="00A845BD" w:rsidRPr="003B3924">
        <w:rPr>
          <w:rFonts w:ascii="Arial Narrow" w:hAnsi="Arial Narrow"/>
          <w:sz w:val="24"/>
          <w:szCs w:val="24"/>
        </w:rPr>
        <w:t xml:space="preserve">male </w:t>
      </w:r>
      <w:r w:rsidR="00E14C88" w:rsidRPr="003B3924">
        <w:rPr>
          <w:rFonts w:ascii="Arial Narrow" w:hAnsi="Arial Narrow"/>
          <w:sz w:val="24"/>
          <w:szCs w:val="24"/>
        </w:rPr>
        <w:t xml:space="preserve">cohort standing out in terms of being more likely to </w:t>
      </w:r>
      <w:r w:rsidR="009D093B" w:rsidRPr="003B3924">
        <w:rPr>
          <w:rFonts w:ascii="Arial Narrow" w:hAnsi="Arial Narrow"/>
          <w:sz w:val="24"/>
          <w:szCs w:val="24"/>
        </w:rPr>
        <w:t>refer</w:t>
      </w:r>
      <w:r w:rsidR="00E14C88" w:rsidRPr="003B3924">
        <w:rPr>
          <w:rFonts w:ascii="Arial Narrow" w:hAnsi="Arial Narrow"/>
          <w:sz w:val="24"/>
          <w:szCs w:val="24"/>
        </w:rPr>
        <w:t xml:space="preserve"> to home and moving than the cohorts above.  He </w:t>
      </w:r>
      <w:r w:rsidR="008E72A0" w:rsidRPr="003B3924">
        <w:rPr>
          <w:rFonts w:ascii="Arial Narrow" w:hAnsi="Arial Narrow"/>
          <w:sz w:val="24"/>
          <w:szCs w:val="24"/>
        </w:rPr>
        <w:t xml:space="preserve">spoke of </w:t>
      </w:r>
      <w:r w:rsidR="007406A3" w:rsidRPr="003B3924">
        <w:rPr>
          <w:rFonts w:ascii="Arial Narrow" w:hAnsi="Arial Narrow"/>
          <w:sz w:val="24"/>
          <w:szCs w:val="24"/>
        </w:rPr>
        <w:t xml:space="preserve">proactively </w:t>
      </w:r>
      <w:r w:rsidR="008E72A0" w:rsidRPr="003B3924">
        <w:rPr>
          <w:rFonts w:ascii="Arial Narrow" w:hAnsi="Arial Narrow"/>
          <w:sz w:val="24"/>
          <w:szCs w:val="24"/>
        </w:rPr>
        <w:t xml:space="preserve">moving ‘home’ to another region of </w:t>
      </w:r>
      <w:r w:rsidR="00506505" w:rsidRPr="003B3924">
        <w:rPr>
          <w:rFonts w:ascii="Arial Narrow" w:hAnsi="Arial Narrow"/>
          <w:sz w:val="24"/>
          <w:szCs w:val="24"/>
        </w:rPr>
        <w:t>the UK</w:t>
      </w:r>
      <w:r w:rsidR="00B945CD" w:rsidRPr="003B3924">
        <w:rPr>
          <w:rFonts w:ascii="Arial Narrow" w:hAnsi="Arial Narrow"/>
          <w:sz w:val="24"/>
          <w:szCs w:val="24"/>
        </w:rPr>
        <w:t xml:space="preserve">, prompted by </w:t>
      </w:r>
      <w:proofErr w:type="spellStart"/>
      <w:r w:rsidR="00B945CD" w:rsidRPr="003B3924">
        <w:rPr>
          <w:rFonts w:ascii="Arial Narrow" w:hAnsi="Arial Narrow"/>
          <w:sz w:val="24"/>
          <w:szCs w:val="24"/>
        </w:rPr>
        <w:t>lifecourse</w:t>
      </w:r>
      <w:proofErr w:type="spellEnd"/>
      <w:r w:rsidR="00B945CD" w:rsidRPr="003B3924">
        <w:rPr>
          <w:rFonts w:ascii="Arial Narrow" w:hAnsi="Arial Narrow"/>
          <w:sz w:val="24"/>
          <w:szCs w:val="24"/>
        </w:rPr>
        <w:t xml:space="preserve"> stage and linked lives</w:t>
      </w:r>
      <w:r w:rsidR="008E72A0" w:rsidRPr="003B3924">
        <w:rPr>
          <w:rFonts w:ascii="Arial Narrow" w:hAnsi="Arial Narrow"/>
          <w:sz w:val="24"/>
          <w:szCs w:val="24"/>
        </w:rPr>
        <w:t xml:space="preserve">: </w:t>
      </w:r>
    </w:p>
    <w:p w14:paraId="200B8850" w14:textId="72A05839" w:rsidR="00186760" w:rsidRPr="003B3924" w:rsidRDefault="007406A3" w:rsidP="007406A3">
      <w:pPr>
        <w:pStyle w:val="PlainText"/>
        <w:ind w:left="720"/>
        <w:rPr>
          <w:rFonts w:ascii="Arial Narrow" w:hAnsi="Arial Narrow"/>
          <w:sz w:val="24"/>
          <w:szCs w:val="24"/>
        </w:rPr>
      </w:pPr>
      <w:r w:rsidRPr="003B3924">
        <w:rPr>
          <w:rFonts w:ascii="Arial Narrow" w:hAnsi="Arial Narrow"/>
          <w:sz w:val="24"/>
          <w:szCs w:val="24"/>
        </w:rPr>
        <w:t xml:space="preserve">It’s always been planned to come home and have children … </w:t>
      </w:r>
      <w:r w:rsidR="008E72A0" w:rsidRPr="003B3924">
        <w:rPr>
          <w:rFonts w:ascii="Arial Narrow" w:hAnsi="Arial Narrow"/>
          <w:sz w:val="24"/>
          <w:szCs w:val="24"/>
        </w:rPr>
        <w:t>we came home to [region] to have kids, to have [my wife’s] mum and dad nearby and a bit snooty, but to have a [region] child as well.  We lived in [English county] for ten years but we didn’t like the idea of having a baby</w:t>
      </w:r>
      <w:r w:rsidRPr="003B3924">
        <w:rPr>
          <w:rFonts w:ascii="Arial Narrow" w:hAnsi="Arial Narrow"/>
          <w:sz w:val="24"/>
          <w:szCs w:val="24"/>
        </w:rPr>
        <w:t xml:space="preserve"> [there]</w:t>
      </w:r>
      <w:r w:rsidR="008E72A0" w:rsidRPr="003B3924">
        <w:rPr>
          <w:rFonts w:ascii="Arial Narrow" w:hAnsi="Arial Narrow"/>
          <w:sz w:val="24"/>
          <w:szCs w:val="24"/>
        </w:rPr>
        <w:t xml:space="preserve">.  </w:t>
      </w:r>
    </w:p>
    <w:p w14:paraId="0C657A12" w14:textId="5E24D482" w:rsidR="007406A3" w:rsidRPr="003B3924" w:rsidRDefault="00FA188C" w:rsidP="007406A3">
      <w:pPr>
        <w:pStyle w:val="PlainText"/>
        <w:rPr>
          <w:rFonts w:ascii="Arial Narrow" w:hAnsi="Arial Narrow"/>
          <w:sz w:val="24"/>
          <w:szCs w:val="24"/>
        </w:rPr>
      </w:pPr>
      <w:r w:rsidRPr="002454C4">
        <w:rPr>
          <w:rFonts w:ascii="Arial Narrow" w:hAnsi="Arial Narrow"/>
          <w:sz w:val="24"/>
          <w:szCs w:val="24"/>
        </w:rPr>
        <w:t xml:space="preserve">David’s occupation and home ownership meant the structural resources were available to him to make the move.  </w:t>
      </w:r>
      <w:r w:rsidR="007406A3" w:rsidRPr="002454C4">
        <w:rPr>
          <w:rFonts w:ascii="Arial Narrow" w:hAnsi="Arial Narrow"/>
          <w:sz w:val="24"/>
          <w:szCs w:val="24"/>
        </w:rPr>
        <w:t xml:space="preserve">Interestingly, while David spoke of the region as ‘home’ he had in fact never lived </w:t>
      </w:r>
      <w:r w:rsidR="007406A3" w:rsidRPr="003B3924">
        <w:rPr>
          <w:rFonts w:ascii="Arial Narrow" w:hAnsi="Arial Narrow"/>
          <w:sz w:val="24"/>
          <w:szCs w:val="24"/>
        </w:rPr>
        <w:t xml:space="preserve">there before.  It was his wife’s home connection to place and </w:t>
      </w:r>
      <w:r w:rsidR="00EE67A0">
        <w:rPr>
          <w:rFonts w:ascii="Arial Narrow" w:hAnsi="Arial Narrow"/>
          <w:sz w:val="24"/>
          <w:szCs w:val="24"/>
        </w:rPr>
        <w:t xml:space="preserve">people, as </w:t>
      </w:r>
      <w:r w:rsidR="007406A3" w:rsidRPr="003B3924">
        <w:rPr>
          <w:rFonts w:ascii="Arial Narrow" w:hAnsi="Arial Narrow"/>
          <w:sz w:val="24"/>
          <w:szCs w:val="24"/>
        </w:rPr>
        <w:t>family</w:t>
      </w:r>
      <w:r w:rsidR="00EE67A0">
        <w:rPr>
          <w:rFonts w:ascii="Arial Narrow" w:hAnsi="Arial Narrow"/>
          <w:sz w:val="24"/>
          <w:szCs w:val="24"/>
        </w:rPr>
        <w:t>,</w:t>
      </w:r>
      <w:r w:rsidR="007406A3" w:rsidRPr="003B3924">
        <w:rPr>
          <w:rFonts w:ascii="Arial Narrow" w:hAnsi="Arial Narrow"/>
          <w:sz w:val="24"/>
          <w:szCs w:val="24"/>
        </w:rPr>
        <w:t xml:space="preserve"> that he took on as his own.</w:t>
      </w:r>
      <w:r>
        <w:rPr>
          <w:rFonts w:ascii="Arial Narrow" w:hAnsi="Arial Narrow"/>
          <w:sz w:val="24"/>
          <w:szCs w:val="24"/>
        </w:rPr>
        <w:t xml:space="preserve">  </w:t>
      </w:r>
    </w:p>
    <w:p w14:paraId="6C4719AD" w14:textId="77777777" w:rsidR="005B75A0" w:rsidRPr="003B3924" w:rsidRDefault="005B75A0" w:rsidP="00186760">
      <w:pPr>
        <w:pStyle w:val="PlainText"/>
        <w:rPr>
          <w:rFonts w:ascii="Arial Narrow" w:hAnsi="Arial Narrow"/>
          <w:sz w:val="24"/>
          <w:szCs w:val="24"/>
        </w:rPr>
      </w:pPr>
    </w:p>
    <w:p w14:paraId="4C5E809C" w14:textId="031FC4C6" w:rsidR="00AB2388" w:rsidRPr="003B3924" w:rsidRDefault="00186760" w:rsidP="00072E7A">
      <w:pPr>
        <w:pStyle w:val="PlainText"/>
        <w:rPr>
          <w:rFonts w:ascii="Arial Narrow" w:hAnsi="Arial Narrow"/>
          <w:sz w:val="24"/>
          <w:szCs w:val="24"/>
        </w:rPr>
      </w:pPr>
      <w:r w:rsidRPr="003B3924">
        <w:rPr>
          <w:rFonts w:ascii="Arial Narrow" w:hAnsi="Arial Narrow"/>
          <w:sz w:val="24"/>
          <w:szCs w:val="24"/>
        </w:rPr>
        <w:t xml:space="preserve">As indicated in </w:t>
      </w:r>
      <w:r w:rsidR="00B945CD" w:rsidRPr="003B3924">
        <w:rPr>
          <w:rFonts w:ascii="Arial Narrow" w:hAnsi="Arial Narrow"/>
          <w:sz w:val="24"/>
          <w:szCs w:val="24"/>
        </w:rPr>
        <w:t xml:space="preserve">Ken’s and Beverley’s small stories </w:t>
      </w:r>
      <w:r w:rsidRPr="003B3924">
        <w:rPr>
          <w:rFonts w:ascii="Arial Narrow" w:hAnsi="Arial Narrow"/>
          <w:sz w:val="24"/>
          <w:szCs w:val="24"/>
        </w:rPr>
        <w:t xml:space="preserve">above, return stories may also be an element of more </w:t>
      </w:r>
      <w:r w:rsidR="00F2331E" w:rsidRPr="003B3924">
        <w:rPr>
          <w:rFonts w:ascii="Arial Narrow" w:hAnsi="Arial Narrow"/>
          <w:sz w:val="24"/>
          <w:szCs w:val="24"/>
        </w:rPr>
        <w:t xml:space="preserve">multi-faceted and </w:t>
      </w:r>
      <w:r w:rsidRPr="003B3924">
        <w:rPr>
          <w:rFonts w:ascii="Arial Narrow" w:hAnsi="Arial Narrow"/>
          <w:sz w:val="24"/>
          <w:szCs w:val="24"/>
        </w:rPr>
        <w:t>sustained pendulum stories</w:t>
      </w:r>
      <w:r w:rsidR="007406A3" w:rsidRPr="003B3924">
        <w:rPr>
          <w:rFonts w:ascii="Arial Narrow" w:hAnsi="Arial Narrow"/>
          <w:sz w:val="24"/>
          <w:szCs w:val="24"/>
        </w:rPr>
        <w:t>, moving backwards and forwards.</w:t>
      </w:r>
    </w:p>
    <w:p w14:paraId="7F3D7FC7" w14:textId="77777777" w:rsidR="00044624" w:rsidRPr="003B3924" w:rsidRDefault="00044624" w:rsidP="00072E7A">
      <w:pPr>
        <w:pStyle w:val="PlainText"/>
        <w:rPr>
          <w:rFonts w:ascii="Arial Narrow" w:hAnsi="Arial Narrow"/>
          <w:sz w:val="24"/>
          <w:szCs w:val="24"/>
        </w:rPr>
      </w:pPr>
    </w:p>
    <w:p w14:paraId="51DF29B4" w14:textId="77777777" w:rsidR="00072E7A" w:rsidRPr="003B3924" w:rsidRDefault="00072E7A" w:rsidP="00072E7A">
      <w:pPr>
        <w:pStyle w:val="PlainText"/>
        <w:rPr>
          <w:rFonts w:ascii="Arial Narrow" w:hAnsi="Arial Narrow"/>
          <w:b/>
          <w:sz w:val="24"/>
          <w:szCs w:val="24"/>
        </w:rPr>
      </w:pPr>
      <w:r w:rsidRPr="003B3924">
        <w:rPr>
          <w:rFonts w:ascii="Arial Narrow" w:hAnsi="Arial Narrow"/>
          <w:b/>
          <w:sz w:val="24"/>
          <w:szCs w:val="24"/>
        </w:rPr>
        <w:t xml:space="preserve">Pendulum stories </w:t>
      </w:r>
    </w:p>
    <w:p w14:paraId="794FC5DD" w14:textId="6EB5C9D4" w:rsidR="00072E7A" w:rsidRPr="003B3924" w:rsidRDefault="00072E7A" w:rsidP="00072E7A">
      <w:pPr>
        <w:pStyle w:val="PlainText"/>
        <w:rPr>
          <w:rFonts w:ascii="Arial Narrow" w:hAnsi="Arial Narrow"/>
          <w:sz w:val="24"/>
          <w:szCs w:val="24"/>
        </w:rPr>
      </w:pPr>
    </w:p>
    <w:p w14:paraId="309EFAE2" w14:textId="0B3E5E20" w:rsidR="0054316F" w:rsidRPr="003B3924" w:rsidRDefault="00254273" w:rsidP="00072E7A">
      <w:pPr>
        <w:pStyle w:val="PlainText"/>
        <w:rPr>
          <w:rFonts w:ascii="Arial Narrow" w:hAnsi="Arial Narrow"/>
          <w:sz w:val="24"/>
          <w:szCs w:val="24"/>
        </w:rPr>
      </w:pPr>
      <w:r w:rsidRPr="003B3924">
        <w:rPr>
          <w:rFonts w:ascii="Arial Narrow" w:hAnsi="Arial Narrow"/>
          <w:sz w:val="24"/>
          <w:szCs w:val="24"/>
        </w:rPr>
        <w:lastRenderedPageBreak/>
        <w:t xml:space="preserve">Pendulum short stories are characterised by repeated and/or rhythmic return to </w:t>
      </w:r>
      <w:r w:rsidR="00B945CD" w:rsidRPr="003B3924">
        <w:rPr>
          <w:rFonts w:ascii="Arial Narrow" w:hAnsi="Arial Narrow"/>
          <w:sz w:val="24"/>
          <w:szCs w:val="24"/>
        </w:rPr>
        <w:t xml:space="preserve">people and </w:t>
      </w:r>
      <w:r w:rsidRPr="003B3924">
        <w:rPr>
          <w:rFonts w:ascii="Arial Narrow" w:hAnsi="Arial Narrow"/>
          <w:sz w:val="24"/>
          <w:szCs w:val="24"/>
        </w:rPr>
        <w:t>place</w:t>
      </w:r>
      <w:r w:rsidR="00B945CD" w:rsidRPr="003B3924">
        <w:rPr>
          <w:rFonts w:ascii="Arial Narrow" w:hAnsi="Arial Narrow"/>
          <w:sz w:val="24"/>
          <w:szCs w:val="24"/>
        </w:rPr>
        <w:t>s</w:t>
      </w:r>
      <w:r w:rsidRPr="003B3924">
        <w:rPr>
          <w:rFonts w:ascii="Arial Narrow" w:hAnsi="Arial Narrow"/>
          <w:sz w:val="24"/>
          <w:szCs w:val="24"/>
        </w:rPr>
        <w:t xml:space="preserve"> of former residence, which may occur with high frequency over a short period or over a much longer </w:t>
      </w:r>
      <w:r w:rsidR="009D093B">
        <w:rPr>
          <w:rFonts w:ascii="Arial Narrow" w:hAnsi="Arial Narrow"/>
          <w:sz w:val="24"/>
          <w:szCs w:val="24"/>
        </w:rPr>
        <w:t>timeframe</w:t>
      </w:r>
      <w:r w:rsidRPr="003B3924">
        <w:rPr>
          <w:rFonts w:ascii="Arial Narrow" w:hAnsi="Arial Narrow"/>
          <w:sz w:val="24"/>
          <w:szCs w:val="24"/>
        </w:rPr>
        <w:t>.</w:t>
      </w:r>
      <w:r w:rsidR="007E1146" w:rsidRPr="003B3924">
        <w:rPr>
          <w:rFonts w:ascii="Arial Narrow" w:hAnsi="Arial Narrow"/>
          <w:sz w:val="24"/>
          <w:szCs w:val="24"/>
        </w:rPr>
        <w:t xml:space="preserve"> </w:t>
      </w:r>
      <w:r w:rsidR="00E14C88" w:rsidRPr="003B3924">
        <w:rPr>
          <w:rFonts w:ascii="Arial Narrow" w:hAnsi="Arial Narrow"/>
          <w:sz w:val="24"/>
          <w:szCs w:val="24"/>
        </w:rPr>
        <w:t xml:space="preserve"> They reveal</w:t>
      </w:r>
      <w:r w:rsidR="007E1146" w:rsidRPr="003B3924">
        <w:rPr>
          <w:rFonts w:ascii="Arial Narrow" w:hAnsi="Arial Narrow"/>
          <w:sz w:val="24"/>
          <w:szCs w:val="24"/>
        </w:rPr>
        <w:t xml:space="preserve"> the way that</w:t>
      </w:r>
      <w:r w:rsidR="0054316F" w:rsidRPr="003B3924">
        <w:rPr>
          <w:rFonts w:ascii="Arial Narrow" w:hAnsi="Arial Narrow"/>
          <w:sz w:val="24"/>
          <w:szCs w:val="24"/>
        </w:rPr>
        <w:t xml:space="preserve"> home and moving are embedded in negotiating </w:t>
      </w:r>
      <w:r w:rsidR="00671E2C" w:rsidRPr="003B3924">
        <w:rPr>
          <w:rFonts w:ascii="Arial Narrow" w:hAnsi="Arial Narrow"/>
          <w:sz w:val="24"/>
          <w:szCs w:val="24"/>
        </w:rPr>
        <w:t xml:space="preserve">and accommodating </w:t>
      </w:r>
      <w:r w:rsidR="0054316F" w:rsidRPr="003B3924">
        <w:rPr>
          <w:rFonts w:ascii="Arial Narrow" w:hAnsi="Arial Narrow"/>
          <w:sz w:val="24"/>
          <w:szCs w:val="24"/>
        </w:rPr>
        <w:t>shifting and sustained relationships</w:t>
      </w:r>
      <w:r w:rsidR="006A0BF1" w:rsidRPr="003B3924">
        <w:rPr>
          <w:rFonts w:ascii="Arial Narrow" w:hAnsi="Arial Narrow"/>
          <w:sz w:val="24"/>
          <w:szCs w:val="24"/>
        </w:rPr>
        <w:t xml:space="preserve"> </w:t>
      </w:r>
      <w:r w:rsidR="00671E2C" w:rsidRPr="003B3924">
        <w:rPr>
          <w:rFonts w:ascii="Arial Narrow" w:hAnsi="Arial Narrow"/>
          <w:sz w:val="24"/>
          <w:szCs w:val="24"/>
        </w:rPr>
        <w:t xml:space="preserve">that </w:t>
      </w:r>
      <w:r w:rsidR="006A0BF1" w:rsidRPr="003B3924">
        <w:rPr>
          <w:rFonts w:ascii="Arial Narrow" w:hAnsi="Arial Narrow"/>
          <w:sz w:val="24"/>
          <w:szCs w:val="24"/>
        </w:rPr>
        <w:t>unfold over time</w:t>
      </w:r>
      <w:r w:rsidR="00AF596A" w:rsidRPr="003B3924">
        <w:rPr>
          <w:rFonts w:ascii="Arial Narrow" w:hAnsi="Arial Narrow"/>
          <w:sz w:val="24"/>
          <w:szCs w:val="24"/>
        </w:rPr>
        <w:t>, often involving constraining or supportive material resources.  They also</w:t>
      </w:r>
      <w:r w:rsidR="0054316F" w:rsidRPr="003B3924">
        <w:rPr>
          <w:rFonts w:ascii="Arial Narrow" w:hAnsi="Arial Narrow"/>
          <w:sz w:val="24"/>
          <w:szCs w:val="24"/>
        </w:rPr>
        <w:t xml:space="preserve"> </w:t>
      </w:r>
      <w:r w:rsidR="007E1146" w:rsidRPr="003B3924">
        <w:rPr>
          <w:rFonts w:ascii="Arial Narrow" w:hAnsi="Arial Narrow"/>
          <w:sz w:val="24"/>
          <w:szCs w:val="24"/>
        </w:rPr>
        <w:t>demonstrat</w:t>
      </w:r>
      <w:r w:rsidR="00E14C88" w:rsidRPr="003B3924">
        <w:rPr>
          <w:rFonts w:ascii="Arial Narrow" w:hAnsi="Arial Narrow"/>
          <w:sz w:val="24"/>
          <w:szCs w:val="24"/>
        </w:rPr>
        <w:t>e</w:t>
      </w:r>
      <w:r w:rsidR="007E1146" w:rsidRPr="003B3924">
        <w:rPr>
          <w:rFonts w:ascii="Arial Narrow" w:hAnsi="Arial Narrow"/>
          <w:sz w:val="24"/>
          <w:szCs w:val="24"/>
        </w:rPr>
        <w:t xml:space="preserve"> elements of activity and passivity as part of </w:t>
      </w:r>
      <w:r w:rsidR="0054316F" w:rsidRPr="003B3924">
        <w:rPr>
          <w:rFonts w:ascii="Arial Narrow" w:hAnsi="Arial Narrow"/>
          <w:sz w:val="24"/>
          <w:szCs w:val="24"/>
        </w:rPr>
        <w:t>linked lives.</w:t>
      </w:r>
      <w:r w:rsidR="00E14C88" w:rsidRPr="003B3924">
        <w:rPr>
          <w:rFonts w:ascii="Arial Narrow" w:hAnsi="Arial Narrow"/>
          <w:sz w:val="24"/>
          <w:szCs w:val="24"/>
        </w:rPr>
        <w:t xml:space="preserve">  </w:t>
      </w:r>
      <w:r w:rsidR="00F15A55" w:rsidRPr="003B3924">
        <w:rPr>
          <w:rFonts w:ascii="Arial Narrow" w:hAnsi="Arial Narrow"/>
          <w:sz w:val="24"/>
          <w:szCs w:val="24"/>
        </w:rPr>
        <w:t>Pendulum stories</w:t>
      </w:r>
      <w:r w:rsidR="00E14C88" w:rsidRPr="003B3924">
        <w:rPr>
          <w:rFonts w:ascii="Arial Narrow" w:hAnsi="Arial Narrow"/>
          <w:sz w:val="24"/>
          <w:szCs w:val="24"/>
        </w:rPr>
        <w:t xml:space="preserve"> occur across gender and to a certain extent age cohort, where </w:t>
      </w:r>
      <w:r w:rsidR="00F15A55" w:rsidRPr="008B0FB6">
        <w:rPr>
          <w:rFonts w:ascii="Arial Narrow" w:hAnsi="Arial Narrow"/>
          <w:sz w:val="24"/>
          <w:szCs w:val="24"/>
        </w:rPr>
        <w:t xml:space="preserve">they </w:t>
      </w:r>
      <w:r w:rsidR="00E14C88" w:rsidRPr="008B0FB6">
        <w:rPr>
          <w:rFonts w:ascii="Arial Narrow" w:hAnsi="Arial Narrow"/>
          <w:sz w:val="24"/>
          <w:szCs w:val="24"/>
        </w:rPr>
        <w:t>were not a strong feature of the</w:t>
      </w:r>
      <w:r w:rsidR="00E14C88" w:rsidRPr="003B3924">
        <w:rPr>
          <w:rFonts w:ascii="Arial Narrow" w:hAnsi="Arial Narrow"/>
          <w:sz w:val="24"/>
          <w:szCs w:val="24"/>
        </w:rPr>
        <w:t xml:space="preserve"> post-1990s cohort</w:t>
      </w:r>
      <w:r w:rsidR="00F15A55" w:rsidRPr="003B3924">
        <w:rPr>
          <w:rFonts w:ascii="Arial Narrow" w:hAnsi="Arial Narrow"/>
          <w:sz w:val="24"/>
          <w:szCs w:val="24"/>
        </w:rPr>
        <w:t>.</w:t>
      </w:r>
    </w:p>
    <w:p w14:paraId="57191BD2" w14:textId="77777777" w:rsidR="007E1146" w:rsidRPr="003B3924" w:rsidRDefault="007E1146" w:rsidP="00072E7A">
      <w:pPr>
        <w:pStyle w:val="PlainText"/>
        <w:rPr>
          <w:rFonts w:ascii="Arial Narrow" w:hAnsi="Arial Narrow"/>
          <w:sz w:val="24"/>
          <w:szCs w:val="24"/>
        </w:rPr>
      </w:pPr>
    </w:p>
    <w:p w14:paraId="4F0CBD2E" w14:textId="4FAAD2B9" w:rsidR="00254273" w:rsidRPr="002454C4" w:rsidRDefault="00254273" w:rsidP="00072E7A">
      <w:pPr>
        <w:pStyle w:val="PlainText"/>
        <w:rPr>
          <w:rFonts w:ascii="Arial Narrow" w:hAnsi="Arial Narrow"/>
          <w:sz w:val="24"/>
          <w:szCs w:val="24"/>
        </w:rPr>
      </w:pPr>
      <w:r w:rsidRPr="003B3924">
        <w:rPr>
          <w:rFonts w:ascii="Arial Narrow" w:hAnsi="Arial Narrow"/>
          <w:b/>
          <w:bCs/>
          <w:i/>
          <w:iCs/>
          <w:sz w:val="24"/>
          <w:szCs w:val="24"/>
        </w:rPr>
        <w:t>Louise</w:t>
      </w:r>
      <w:r w:rsidRPr="003B3924">
        <w:rPr>
          <w:rFonts w:ascii="Arial Narrow" w:hAnsi="Arial Narrow"/>
          <w:sz w:val="24"/>
          <w:szCs w:val="24"/>
        </w:rPr>
        <w:t xml:space="preserve"> is </w:t>
      </w:r>
      <w:r w:rsidR="001B7E16" w:rsidRPr="003B3924">
        <w:rPr>
          <w:rFonts w:ascii="Arial Narrow" w:hAnsi="Arial Narrow"/>
          <w:sz w:val="24"/>
          <w:szCs w:val="24"/>
        </w:rPr>
        <w:t xml:space="preserve">a good </w:t>
      </w:r>
      <w:r w:rsidRPr="003B3924">
        <w:rPr>
          <w:rFonts w:ascii="Arial Narrow" w:hAnsi="Arial Narrow"/>
          <w:sz w:val="24"/>
          <w:szCs w:val="24"/>
        </w:rPr>
        <w:t xml:space="preserve">example of a high frequency pendulum story.  Born in 1989 she fell within the </w:t>
      </w:r>
      <w:r w:rsidR="00B945CD" w:rsidRPr="003B3924">
        <w:rPr>
          <w:rFonts w:ascii="Arial Narrow" w:hAnsi="Arial Narrow"/>
          <w:sz w:val="24"/>
          <w:szCs w:val="24"/>
        </w:rPr>
        <w:t xml:space="preserve">younger </w:t>
      </w:r>
      <w:r w:rsidRPr="003B3924">
        <w:rPr>
          <w:rFonts w:ascii="Arial Narrow" w:hAnsi="Arial Narrow"/>
          <w:sz w:val="24"/>
          <w:szCs w:val="24"/>
        </w:rPr>
        <w:t xml:space="preserve">end of </w:t>
      </w:r>
      <w:r w:rsidR="00DB79AB" w:rsidRPr="003B3924">
        <w:rPr>
          <w:rFonts w:ascii="Arial Narrow" w:hAnsi="Arial Narrow"/>
          <w:sz w:val="24"/>
          <w:szCs w:val="24"/>
        </w:rPr>
        <w:t xml:space="preserve">the 1970-89 </w:t>
      </w:r>
      <w:r w:rsidRPr="003B3924">
        <w:rPr>
          <w:rFonts w:ascii="Arial Narrow" w:hAnsi="Arial Narrow"/>
          <w:sz w:val="24"/>
          <w:szCs w:val="24"/>
        </w:rPr>
        <w:t>cohort</w:t>
      </w:r>
      <w:r w:rsidR="0058502D" w:rsidRPr="003B3924">
        <w:rPr>
          <w:rFonts w:ascii="Arial Narrow" w:hAnsi="Arial Narrow"/>
          <w:sz w:val="24"/>
          <w:szCs w:val="24"/>
        </w:rPr>
        <w:t xml:space="preserve"> </w:t>
      </w:r>
      <w:r w:rsidRPr="003B3924">
        <w:rPr>
          <w:rFonts w:ascii="Arial Narrow" w:hAnsi="Arial Narrow"/>
          <w:sz w:val="24"/>
          <w:szCs w:val="24"/>
        </w:rPr>
        <w:t xml:space="preserve">in our study.  Louise was interviewed three times aged between 14 and 19.  This period covered her leaving school to take up office work, and </w:t>
      </w:r>
      <w:r w:rsidR="00135F9A" w:rsidRPr="003B3924">
        <w:rPr>
          <w:rFonts w:ascii="Arial Narrow" w:hAnsi="Arial Narrow"/>
          <w:sz w:val="24"/>
          <w:szCs w:val="24"/>
        </w:rPr>
        <w:t>pro</w:t>
      </w:r>
      <w:r w:rsidR="00B52183" w:rsidRPr="003B3924">
        <w:rPr>
          <w:rFonts w:ascii="Arial Narrow" w:hAnsi="Arial Narrow"/>
          <w:sz w:val="24"/>
          <w:szCs w:val="24"/>
        </w:rPr>
        <w:t xml:space="preserve">actively </w:t>
      </w:r>
      <w:r w:rsidRPr="003B3924">
        <w:rPr>
          <w:rFonts w:ascii="Arial Narrow" w:hAnsi="Arial Narrow"/>
          <w:sz w:val="24"/>
          <w:szCs w:val="24"/>
        </w:rPr>
        <w:t>splitting her time between living with her parents and siblings</w:t>
      </w:r>
      <w:r w:rsidR="00B52183" w:rsidRPr="003B3924">
        <w:rPr>
          <w:rFonts w:ascii="Arial Narrow" w:hAnsi="Arial Narrow"/>
          <w:sz w:val="24"/>
          <w:szCs w:val="24"/>
        </w:rPr>
        <w:t xml:space="preserve"> in the home she had </w:t>
      </w:r>
      <w:r w:rsidR="009D093B">
        <w:rPr>
          <w:rFonts w:ascii="Arial Narrow" w:hAnsi="Arial Narrow"/>
          <w:sz w:val="24"/>
          <w:szCs w:val="24"/>
        </w:rPr>
        <w:t>inhabited since she was</w:t>
      </w:r>
      <w:r w:rsidR="00B52183" w:rsidRPr="003B3924">
        <w:rPr>
          <w:rFonts w:ascii="Arial Narrow" w:hAnsi="Arial Narrow"/>
          <w:sz w:val="24"/>
          <w:szCs w:val="24"/>
        </w:rPr>
        <w:t xml:space="preserve"> a toddler</w:t>
      </w:r>
      <w:r w:rsidRPr="003B3924">
        <w:rPr>
          <w:rFonts w:ascii="Arial Narrow" w:hAnsi="Arial Narrow"/>
          <w:sz w:val="24"/>
          <w:szCs w:val="24"/>
        </w:rPr>
        <w:t xml:space="preserve"> </w:t>
      </w:r>
      <w:r w:rsidR="00B52183" w:rsidRPr="003B3924">
        <w:rPr>
          <w:rFonts w:ascii="Arial Narrow" w:hAnsi="Arial Narrow"/>
          <w:sz w:val="24"/>
          <w:szCs w:val="24"/>
        </w:rPr>
        <w:t xml:space="preserve">and </w:t>
      </w:r>
      <w:r w:rsidR="00DD1C01" w:rsidRPr="003B3924">
        <w:rPr>
          <w:rFonts w:ascii="Arial Narrow" w:hAnsi="Arial Narrow"/>
          <w:sz w:val="24"/>
          <w:szCs w:val="24"/>
        </w:rPr>
        <w:t xml:space="preserve">living </w:t>
      </w:r>
      <w:r w:rsidR="00B52183" w:rsidRPr="003B3924">
        <w:rPr>
          <w:rFonts w:ascii="Arial Narrow" w:hAnsi="Arial Narrow"/>
          <w:sz w:val="24"/>
          <w:szCs w:val="24"/>
        </w:rPr>
        <w:t xml:space="preserve">with her boyfriend’s family: ‘I like to have my own space.  </w:t>
      </w:r>
      <w:r w:rsidR="00A1776A" w:rsidRPr="003B3924">
        <w:rPr>
          <w:rFonts w:ascii="Arial Narrow" w:hAnsi="Arial Narrow"/>
          <w:sz w:val="24"/>
          <w:szCs w:val="24"/>
        </w:rPr>
        <w:t>T</w:t>
      </w:r>
      <w:r w:rsidR="00B52183" w:rsidRPr="003B3924">
        <w:rPr>
          <w:rFonts w:ascii="Arial Narrow" w:hAnsi="Arial Narrow"/>
          <w:sz w:val="24"/>
          <w:szCs w:val="24"/>
        </w:rPr>
        <w:t xml:space="preserve">hat’s why even though I spend all my time at my boyfriend’s home when I come back here it’s like, “oh at least I have a home”’.  </w:t>
      </w:r>
      <w:r w:rsidR="00B945CD" w:rsidRPr="003B3924">
        <w:rPr>
          <w:rFonts w:ascii="Arial Narrow" w:hAnsi="Arial Narrow"/>
          <w:sz w:val="24"/>
          <w:szCs w:val="24"/>
        </w:rPr>
        <w:t>Louise was navigating the expansion of her linked</w:t>
      </w:r>
      <w:r w:rsidR="00DC6C8D" w:rsidRPr="003B3924">
        <w:rPr>
          <w:rFonts w:ascii="Arial Narrow" w:hAnsi="Arial Narrow"/>
          <w:sz w:val="24"/>
          <w:szCs w:val="24"/>
        </w:rPr>
        <w:t>-</w:t>
      </w:r>
      <w:r w:rsidR="00B945CD" w:rsidRPr="003B3924">
        <w:rPr>
          <w:rFonts w:ascii="Arial Narrow" w:hAnsi="Arial Narrow"/>
          <w:sz w:val="24"/>
          <w:szCs w:val="24"/>
        </w:rPr>
        <w:t>lives relationships through pendulum home moves</w:t>
      </w:r>
      <w:r w:rsidR="00CE39F1" w:rsidRPr="003B3924">
        <w:rPr>
          <w:rFonts w:ascii="Arial Narrow" w:hAnsi="Arial Narrow"/>
          <w:sz w:val="24"/>
          <w:szCs w:val="24"/>
        </w:rPr>
        <w:t xml:space="preserve"> in terms of residence, but </w:t>
      </w:r>
      <w:r w:rsidR="000331AE" w:rsidRPr="003B3924">
        <w:rPr>
          <w:rFonts w:ascii="Arial Narrow" w:hAnsi="Arial Narrow"/>
          <w:sz w:val="24"/>
          <w:szCs w:val="24"/>
        </w:rPr>
        <w:t xml:space="preserve">with </w:t>
      </w:r>
      <w:r w:rsidR="00CE39F1" w:rsidRPr="003B3924">
        <w:rPr>
          <w:rFonts w:ascii="Arial Narrow" w:hAnsi="Arial Narrow"/>
          <w:sz w:val="24"/>
          <w:szCs w:val="24"/>
        </w:rPr>
        <w:t xml:space="preserve">‘home’ as a particular sort of place that provided her </w:t>
      </w:r>
      <w:r w:rsidR="00CE39F1" w:rsidRPr="002454C4">
        <w:rPr>
          <w:rFonts w:ascii="Arial Narrow" w:hAnsi="Arial Narrow"/>
          <w:sz w:val="24"/>
          <w:szCs w:val="24"/>
        </w:rPr>
        <w:t>‘own space’</w:t>
      </w:r>
      <w:r w:rsidR="00D20353" w:rsidRPr="002454C4">
        <w:rPr>
          <w:rFonts w:ascii="Arial Narrow" w:hAnsi="Arial Narrow"/>
          <w:sz w:val="24"/>
          <w:szCs w:val="24"/>
        </w:rPr>
        <w:t>, and with parental structural home-owning resources that facilitated that</w:t>
      </w:r>
      <w:r w:rsidR="00CE39F1" w:rsidRPr="002454C4">
        <w:rPr>
          <w:rFonts w:ascii="Arial Narrow" w:hAnsi="Arial Narrow"/>
          <w:sz w:val="24"/>
          <w:szCs w:val="24"/>
        </w:rPr>
        <w:t>.</w:t>
      </w:r>
    </w:p>
    <w:p w14:paraId="3D68F7EF" w14:textId="7EFC5C38" w:rsidR="001B7E16" w:rsidRPr="003B3924" w:rsidRDefault="001B7E16" w:rsidP="00072E7A">
      <w:pPr>
        <w:pStyle w:val="PlainText"/>
        <w:rPr>
          <w:rFonts w:ascii="Arial Narrow" w:hAnsi="Arial Narrow"/>
          <w:sz w:val="24"/>
          <w:szCs w:val="24"/>
        </w:rPr>
      </w:pPr>
    </w:p>
    <w:p w14:paraId="6B08E79E" w14:textId="4C1F0F60" w:rsidR="001B7E16" w:rsidRPr="003B3924" w:rsidRDefault="001B7E16" w:rsidP="00072E7A">
      <w:pPr>
        <w:pStyle w:val="PlainText"/>
        <w:rPr>
          <w:rFonts w:ascii="Arial Narrow" w:hAnsi="Arial Narrow"/>
          <w:sz w:val="24"/>
          <w:szCs w:val="24"/>
        </w:rPr>
      </w:pPr>
      <w:r w:rsidRPr="003B3924">
        <w:rPr>
          <w:rFonts w:ascii="Arial Narrow" w:hAnsi="Arial Narrow"/>
          <w:sz w:val="24"/>
          <w:szCs w:val="24"/>
        </w:rPr>
        <w:t xml:space="preserve">While Louise’s pendulum story was a way of adapting to changing linked lives that enabled her to feel she was managing </w:t>
      </w:r>
      <w:r w:rsidR="00BD5E3B" w:rsidRPr="003B3924">
        <w:rPr>
          <w:rFonts w:ascii="Arial Narrow" w:hAnsi="Arial Narrow"/>
          <w:sz w:val="24"/>
          <w:szCs w:val="24"/>
        </w:rPr>
        <w:t xml:space="preserve">relational </w:t>
      </w:r>
      <w:r w:rsidRPr="003B3924">
        <w:rPr>
          <w:rFonts w:ascii="Arial Narrow" w:hAnsi="Arial Narrow"/>
          <w:sz w:val="24"/>
          <w:szCs w:val="24"/>
        </w:rPr>
        <w:t>shifts, others’ pendulum accounts present</w:t>
      </w:r>
      <w:r w:rsidR="006F5E58">
        <w:rPr>
          <w:rFonts w:ascii="Arial Narrow" w:hAnsi="Arial Narrow"/>
          <w:sz w:val="24"/>
          <w:szCs w:val="24"/>
        </w:rPr>
        <w:t>ed</w:t>
      </w:r>
      <w:r w:rsidRPr="003B3924">
        <w:rPr>
          <w:rFonts w:ascii="Arial Narrow" w:hAnsi="Arial Narrow"/>
          <w:sz w:val="24"/>
          <w:szCs w:val="24"/>
        </w:rPr>
        <w:t xml:space="preserve"> as far less agentic.  </w:t>
      </w:r>
      <w:r w:rsidRPr="003B3924">
        <w:rPr>
          <w:rFonts w:ascii="Arial Narrow" w:hAnsi="Arial Narrow"/>
          <w:b/>
          <w:bCs/>
          <w:i/>
          <w:iCs/>
          <w:sz w:val="24"/>
          <w:szCs w:val="24"/>
        </w:rPr>
        <w:t>Charlotte</w:t>
      </w:r>
      <w:r w:rsidR="00DB79AB" w:rsidRPr="003B3924">
        <w:rPr>
          <w:rFonts w:ascii="Arial Narrow" w:hAnsi="Arial Narrow"/>
          <w:sz w:val="24"/>
          <w:szCs w:val="24"/>
        </w:rPr>
        <w:t xml:space="preserve">, from the youngest cohort, </w:t>
      </w:r>
      <w:r w:rsidR="00533974" w:rsidRPr="003B3924">
        <w:rPr>
          <w:rFonts w:ascii="Arial Narrow" w:hAnsi="Arial Narrow"/>
          <w:sz w:val="24"/>
          <w:szCs w:val="24"/>
        </w:rPr>
        <w:t>born in 1998</w:t>
      </w:r>
      <w:r w:rsidR="00DB79AB" w:rsidRPr="003B3924">
        <w:rPr>
          <w:rFonts w:ascii="Arial Narrow" w:hAnsi="Arial Narrow"/>
          <w:sz w:val="24"/>
          <w:szCs w:val="24"/>
        </w:rPr>
        <w:t xml:space="preserve">, </w:t>
      </w:r>
      <w:r w:rsidR="006F5E58">
        <w:rPr>
          <w:rFonts w:ascii="Arial Narrow" w:hAnsi="Arial Narrow"/>
          <w:sz w:val="24"/>
          <w:szCs w:val="24"/>
        </w:rPr>
        <w:t xml:space="preserve">is </w:t>
      </w:r>
      <w:r w:rsidR="00544BAD" w:rsidRPr="003B3924">
        <w:rPr>
          <w:rFonts w:ascii="Arial Narrow" w:hAnsi="Arial Narrow"/>
          <w:sz w:val="24"/>
          <w:szCs w:val="24"/>
        </w:rPr>
        <w:t>an example of multi-local everyday family life post-separation (</w:t>
      </w:r>
      <w:proofErr w:type="spellStart"/>
      <w:r w:rsidR="00544BAD" w:rsidRPr="003B3924">
        <w:rPr>
          <w:rFonts w:ascii="Arial Narrow" w:hAnsi="Arial Narrow"/>
          <w:sz w:val="24"/>
          <w:szCs w:val="24"/>
        </w:rPr>
        <w:t>Schier</w:t>
      </w:r>
      <w:proofErr w:type="spellEnd"/>
      <w:r w:rsidR="00C05A3A" w:rsidRPr="003B3924">
        <w:rPr>
          <w:rFonts w:ascii="Arial Narrow" w:hAnsi="Arial Narrow"/>
          <w:sz w:val="24"/>
          <w:szCs w:val="24"/>
        </w:rPr>
        <w:t>,</w:t>
      </w:r>
      <w:r w:rsidR="00544BAD" w:rsidRPr="003B3924">
        <w:rPr>
          <w:rFonts w:ascii="Arial Narrow" w:hAnsi="Arial Narrow"/>
          <w:sz w:val="24"/>
          <w:szCs w:val="24"/>
        </w:rPr>
        <w:t xml:space="preserve"> 2015).  </w:t>
      </w:r>
      <w:r w:rsidR="006F5E58">
        <w:rPr>
          <w:rFonts w:ascii="Arial Narrow" w:hAnsi="Arial Narrow"/>
          <w:sz w:val="24"/>
          <w:szCs w:val="24"/>
        </w:rPr>
        <w:t>I</w:t>
      </w:r>
      <w:r w:rsidR="00DB79AB" w:rsidRPr="003B3924">
        <w:rPr>
          <w:rFonts w:ascii="Arial Narrow" w:hAnsi="Arial Narrow"/>
          <w:sz w:val="24"/>
          <w:szCs w:val="24"/>
        </w:rPr>
        <w:t>nterviewed at ages 10 and 12</w:t>
      </w:r>
      <w:r w:rsidR="00130252">
        <w:rPr>
          <w:rFonts w:ascii="Arial Narrow" w:hAnsi="Arial Narrow"/>
          <w:sz w:val="24"/>
          <w:szCs w:val="24"/>
        </w:rPr>
        <w:t>,</w:t>
      </w:r>
      <w:r w:rsidRPr="003B3924">
        <w:rPr>
          <w:rFonts w:ascii="Arial Narrow" w:hAnsi="Arial Narrow"/>
          <w:sz w:val="24"/>
          <w:szCs w:val="24"/>
        </w:rPr>
        <w:t xml:space="preserve"> both </w:t>
      </w:r>
      <w:r w:rsidR="006F5E58">
        <w:rPr>
          <w:rFonts w:ascii="Arial Narrow" w:hAnsi="Arial Narrow"/>
          <w:sz w:val="24"/>
          <w:szCs w:val="24"/>
        </w:rPr>
        <w:t xml:space="preserve">parents were </w:t>
      </w:r>
      <w:r w:rsidRPr="003B3924">
        <w:rPr>
          <w:rFonts w:ascii="Arial Narrow" w:hAnsi="Arial Narrow"/>
          <w:sz w:val="24"/>
          <w:szCs w:val="24"/>
        </w:rPr>
        <w:t>professionals, divorced and had their own homes</w:t>
      </w:r>
      <w:r w:rsidR="00A52665" w:rsidRPr="003B3924">
        <w:rPr>
          <w:rFonts w:ascii="Arial Narrow" w:hAnsi="Arial Narrow"/>
          <w:sz w:val="24"/>
          <w:szCs w:val="24"/>
        </w:rPr>
        <w:t xml:space="preserve"> – material resources that shaped her pendulum small story and relational accommodation in her linked life</w:t>
      </w:r>
      <w:r w:rsidRPr="003B3924">
        <w:rPr>
          <w:rFonts w:ascii="Arial Narrow" w:hAnsi="Arial Narrow"/>
          <w:sz w:val="24"/>
          <w:szCs w:val="24"/>
        </w:rPr>
        <w:t xml:space="preserve">.  Charlotte spoke of regularly moving between nearby parental households as ‘quite annoying’, saying of her father’s latest home at one point: ‘I’ve not quite got used to the feeling of that’s our house’.  Charlotte took for granted that she would move between homes to be with </w:t>
      </w:r>
      <w:r w:rsidR="00DB79AB" w:rsidRPr="003B3924">
        <w:rPr>
          <w:rFonts w:ascii="Arial Narrow" w:hAnsi="Arial Narrow"/>
          <w:sz w:val="24"/>
          <w:szCs w:val="24"/>
        </w:rPr>
        <w:t xml:space="preserve">each </w:t>
      </w:r>
      <w:r w:rsidRPr="003B3924">
        <w:rPr>
          <w:rFonts w:ascii="Arial Narrow" w:hAnsi="Arial Narrow"/>
          <w:sz w:val="24"/>
          <w:szCs w:val="24"/>
        </w:rPr>
        <w:t xml:space="preserve">parent, but she experienced a lack of agency in this process.  The pendulum story she recounts stands out against other members of </w:t>
      </w:r>
      <w:r w:rsidR="00DD1C01" w:rsidRPr="003B3924">
        <w:rPr>
          <w:rFonts w:ascii="Arial Narrow" w:hAnsi="Arial Narrow"/>
          <w:sz w:val="24"/>
          <w:szCs w:val="24"/>
        </w:rPr>
        <w:t xml:space="preserve">the youngest </w:t>
      </w:r>
      <w:r w:rsidRPr="003B3924">
        <w:rPr>
          <w:rFonts w:ascii="Arial Narrow" w:hAnsi="Arial Narrow"/>
          <w:sz w:val="24"/>
          <w:szCs w:val="24"/>
        </w:rPr>
        <w:t xml:space="preserve">age cohort.  </w:t>
      </w:r>
    </w:p>
    <w:p w14:paraId="16FCA7CB" w14:textId="77777777" w:rsidR="00BD5E3B" w:rsidRPr="003B3924" w:rsidRDefault="00BD5E3B" w:rsidP="00072E7A">
      <w:pPr>
        <w:pStyle w:val="PlainText"/>
        <w:rPr>
          <w:rFonts w:ascii="Arial Narrow" w:hAnsi="Arial Narrow"/>
          <w:sz w:val="24"/>
          <w:szCs w:val="24"/>
        </w:rPr>
      </w:pPr>
    </w:p>
    <w:p w14:paraId="1FE5A27F" w14:textId="3101D798" w:rsidR="00A1776A" w:rsidRPr="003B3924" w:rsidRDefault="001B7E16" w:rsidP="00072E7A">
      <w:pPr>
        <w:pStyle w:val="PlainText"/>
        <w:rPr>
          <w:rFonts w:ascii="Arial Narrow" w:hAnsi="Arial Narrow"/>
          <w:sz w:val="24"/>
          <w:szCs w:val="24"/>
        </w:rPr>
      </w:pPr>
      <w:r w:rsidRPr="003B3924">
        <w:rPr>
          <w:rFonts w:ascii="Arial Narrow" w:hAnsi="Arial Narrow"/>
          <w:sz w:val="24"/>
          <w:szCs w:val="24"/>
        </w:rPr>
        <w:t>Similarly</w:t>
      </w:r>
      <w:r w:rsidR="00156E07">
        <w:rPr>
          <w:rFonts w:ascii="Arial Narrow" w:hAnsi="Arial Narrow"/>
          <w:sz w:val="24"/>
          <w:szCs w:val="24"/>
        </w:rPr>
        <w:t>,</w:t>
      </w:r>
      <w:r w:rsidRPr="003B3924">
        <w:rPr>
          <w:rFonts w:ascii="Arial Narrow" w:hAnsi="Arial Narrow"/>
          <w:sz w:val="24"/>
          <w:szCs w:val="24"/>
        </w:rPr>
        <w:t xml:space="preserve"> </w:t>
      </w:r>
      <w:r w:rsidR="00A1776A" w:rsidRPr="003B3924">
        <w:rPr>
          <w:rFonts w:ascii="Arial Narrow" w:hAnsi="Arial Narrow"/>
          <w:b/>
          <w:bCs/>
          <w:i/>
          <w:iCs/>
          <w:sz w:val="24"/>
          <w:szCs w:val="24"/>
        </w:rPr>
        <w:t>Nadia</w:t>
      </w:r>
      <w:r w:rsidR="00A1776A" w:rsidRPr="003B3924">
        <w:rPr>
          <w:rFonts w:ascii="Arial Narrow" w:hAnsi="Arial Narrow"/>
          <w:sz w:val="24"/>
          <w:szCs w:val="24"/>
        </w:rPr>
        <w:t xml:space="preserve"> provides a </w:t>
      </w:r>
      <w:r w:rsidR="00BD5E3B" w:rsidRPr="003B3924">
        <w:rPr>
          <w:rFonts w:ascii="Arial Narrow" w:hAnsi="Arial Narrow"/>
          <w:sz w:val="24"/>
          <w:szCs w:val="24"/>
        </w:rPr>
        <w:t xml:space="preserve">sustained reactive </w:t>
      </w:r>
      <w:r w:rsidR="00A1776A" w:rsidRPr="003B3924">
        <w:rPr>
          <w:rFonts w:ascii="Arial Narrow" w:hAnsi="Arial Narrow"/>
          <w:sz w:val="24"/>
          <w:szCs w:val="24"/>
        </w:rPr>
        <w:t>pendulum small story, centred around her relationship with her partner.  Nadia</w:t>
      </w:r>
      <w:r w:rsidR="001B3B60" w:rsidRPr="003B3924">
        <w:rPr>
          <w:rFonts w:ascii="Arial Narrow" w:hAnsi="Arial Narrow"/>
          <w:sz w:val="24"/>
          <w:szCs w:val="24"/>
        </w:rPr>
        <w:t>,</w:t>
      </w:r>
      <w:r w:rsidR="0058502D" w:rsidRPr="003B3924">
        <w:rPr>
          <w:rFonts w:ascii="Arial Narrow" w:hAnsi="Arial Narrow"/>
          <w:sz w:val="24"/>
          <w:szCs w:val="24"/>
        </w:rPr>
        <w:t xml:space="preserve"> </w:t>
      </w:r>
      <w:r w:rsidR="00DD1C01" w:rsidRPr="003B3924">
        <w:rPr>
          <w:rFonts w:ascii="Arial Narrow" w:hAnsi="Arial Narrow"/>
          <w:sz w:val="24"/>
          <w:szCs w:val="24"/>
        </w:rPr>
        <w:t xml:space="preserve">born in 1969 </w:t>
      </w:r>
      <w:r w:rsidR="0058502D" w:rsidRPr="003B3924">
        <w:rPr>
          <w:rFonts w:ascii="Arial Narrow" w:hAnsi="Arial Narrow"/>
          <w:sz w:val="24"/>
          <w:szCs w:val="24"/>
        </w:rPr>
        <w:t xml:space="preserve">at the tail end of </w:t>
      </w:r>
      <w:r w:rsidR="00016419" w:rsidRPr="003B3924">
        <w:rPr>
          <w:rFonts w:ascii="Arial Narrow" w:hAnsi="Arial Narrow"/>
          <w:sz w:val="24"/>
          <w:szCs w:val="24"/>
        </w:rPr>
        <w:t xml:space="preserve">the second </w:t>
      </w:r>
      <w:r w:rsidR="0058502D" w:rsidRPr="003B3924">
        <w:rPr>
          <w:rFonts w:ascii="Arial Narrow" w:hAnsi="Arial Narrow"/>
          <w:sz w:val="24"/>
          <w:szCs w:val="24"/>
        </w:rPr>
        <w:t>age cohort</w:t>
      </w:r>
      <w:r w:rsidR="001B3B60" w:rsidRPr="003B3924">
        <w:rPr>
          <w:rFonts w:ascii="Arial Narrow" w:hAnsi="Arial Narrow"/>
          <w:sz w:val="24"/>
          <w:szCs w:val="24"/>
        </w:rPr>
        <w:t>,</w:t>
      </w:r>
      <w:r w:rsidR="00630D16" w:rsidRPr="003B3924">
        <w:rPr>
          <w:rFonts w:ascii="Arial Narrow" w:hAnsi="Arial Narrow"/>
          <w:sz w:val="24"/>
          <w:szCs w:val="24"/>
        </w:rPr>
        <w:t xml:space="preserve"> </w:t>
      </w:r>
      <w:r w:rsidR="0058502D" w:rsidRPr="003B3924">
        <w:rPr>
          <w:rFonts w:ascii="Arial Narrow" w:hAnsi="Arial Narrow"/>
          <w:sz w:val="24"/>
          <w:szCs w:val="24"/>
        </w:rPr>
        <w:t xml:space="preserve">was </w:t>
      </w:r>
      <w:r w:rsidR="00630D16" w:rsidRPr="003B3924">
        <w:rPr>
          <w:rFonts w:ascii="Arial Narrow" w:hAnsi="Arial Narrow"/>
          <w:sz w:val="24"/>
          <w:szCs w:val="24"/>
        </w:rPr>
        <w:t xml:space="preserve">interviewed on four occasions between the ages of 36 and 40.  During that period she </w:t>
      </w:r>
      <w:r w:rsidR="00DD1C01" w:rsidRPr="003B3924">
        <w:rPr>
          <w:rFonts w:ascii="Arial Narrow" w:hAnsi="Arial Narrow"/>
          <w:sz w:val="24"/>
          <w:szCs w:val="24"/>
        </w:rPr>
        <w:t>shift</w:t>
      </w:r>
      <w:r w:rsidR="00630D16" w:rsidRPr="003B3924">
        <w:rPr>
          <w:rFonts w:ascii="Arial Narrow" w:hAnsi="Arial Narrow"/>
          <w:sz w:val="24"/>
          <w:szCs w:val="24"/>
        </w:rPr>
        <w:t xml:space="preserve">ed from </w:t>
      </w:r>
      <w:r w:rsidR="00A1776A" w:rsidRPr="003B3924">
        <w:rPr>
          <w:rFonts w:ascii="Arial Narrow" w:hAnsi="Arial Narrow"/>
          <w:sz w:val="24"/>
          <w:szCs w:val="24"/>
        </w:rPr>
        <w:t>self-employ</w:t>
      </w:r>
      <w:r w:rsidR="00630D16" w:rsidRPr="003B3924">
        <w:rPr>
          <w:rFonts w:ascii="Arial Narrow" w:hAnsi="Arial Narrow"/>
          <w:sz w:val="24"/>
          <w:szCs w:val="24"/>
        </w:rPr>
        <w:t>ment</w:t>
      </w:r>
      <w:r w:rsidR="00A1776A" w:rsidRPr="003B3924">
        <w:rPr>
          <w:rFonts w:ascii="Arial Narrow" w:hAnsi="Arial Narrow"/>
          <w:sz w:val="24"/>
          <w:szCs w:val="24"/>
        </w:rPr>
        <w:t xml:space="preserve"> in health services</w:t>
      </w:r>
      <w:r w:rsidR="00630D16" w:rsidRPr="003B3924">
        <w:rPr>
          <w:rFonts w:ascii="Arial Narrow" w:hAnsi="Arial Narrow"/>
          <w:sz w:val="24"/>
          <w:szCs w:val="24"/>
        </w:rPr>
        <w:t>, to unemployment, to being a student</w:t>
      </w:r>
      <w:r w:rsidR="00DD1C01" w:rsidRPr="003B3924">
        <w:rPr>
          <w:rFonts w:ascii="Arial Narrow" w:hAnsi="Arial Narrow"/>
          <w:sz w:val="24"/>
          <w:szCs w:val="24"/>
        </w:rPr>
        <w:t>.  These shifts formed</w:t>
      </w:r>
      <w:r w:rsidR="00A65A5D" w:rsidRPr="003B3924">
        <w:rPr>
          <w:rFonts w:ascii="Arial Narrow" w:hAnsi="Arial Narrow"/>
          <w:sz w:val="24"/>
          <w:szCs w:val="24"/>
        </w:rPr>
        <w:t xml:space="preserve"> structural features that shaped her relational linked life</w:t>
      </w:r>
      <w:r w:rsidR="00DD1C01" w:rsidRPr="003B3924">
        <w:rPr>
          <w:rFonts w:ascii="Arial Narrow" w:hAnsi="Arial Narrow"/>
          <w:sz w:val="24"/>
          <w:szCs w:val="24"/>
        </w:rPr>
        <w:t>,</w:t>
      </w:r>
      <w:r w:rsidR="001B3B60" w:rsidRPr="003B3924">
        <w:rPr>
          <w:rFonts w:ascii="Arial Narrow" w:hAnsi="Arial Narrow"/>
          <w:sz w:val="24"/>
          <w:szCs w:val="24"/>
        </w:rPr>
        <w:t xml:space="preserve"> and which she navigated through pendulum home moves</w:t>
      </w:r>
      <w:r w:rsidR="00630D16" w:rsidRPr="003B3924">
        <w:rPr>
          <w:rFonts w:ascii="Arial Narrow" w:hAnsi="Arial Narrow"/>
          <w:sz w:val="24"/>
          <w:szCs w:val="24"/>
        </w:rPr>
        <w:t xml:space="preserve">.  Nadia’s small story concerned </w:t>
      </w:r>
      <w:r w:rsidR="00DD1C01" w:rsidRPr="003B3924">
        <w:rPr>
          <w:rFonts w:ascii="Arial Narrow" w:hAnsi="Arial Narrow"/>
          <w:sz w:val="24"/>
          <w:szCs w:val="24"/>
        </w:rPr>
        <w:t xml:space="preserve">passive acceptance of </w:t>
      </w:r>
      <w:r w:rsidR="00630D16" w:rsidRPr="003B3924">
        <w:rPr>
          <w:rFonts w:ascii="Arial Narrow" w:hAnsi="Arial Narrow"/>
          <w:sz w:val="24"/>
          <w:szCs w:val="24"/>
        </w:rPr>
        <w:t>moving back and forth between homes to accommodate employment and her relationship with her partner and child</w:t>
      </w:r>
      <w:r w:rsidR="00135F9A" w:rsidRPr="003B3924">
        <w:rPr>
          <w:rFonts w:ascii="Arial Narrow" w:hAnsi="Arial Narrow"/>
          <w:sz w:val="24"/>
          <w:szCs w:val="24"/>
        </w:rPr>
        <w:t>,</w:t>
      </w:r>
      <w:r w:rsidR="00CF013E" w:rsidRPr="003B3924">
        <w:rPr>
          <w:rFonts w:ascii="Arial Narrow" w:hAnsi="Arial Narrow"/>
          <w:sz w:val="24"/>
          <w:szCs w:val="24"/>
        </w:rPr>
        <w:t xml:space="preserve"> before making a </w:t>
      </w:r>
      <w:r w:rsidR="00135F9A" w:rsidRPr="003B3924">
        <w:rPr>
          <w:rFonts w:ascii="Arial Narrow" w:hAnsi="Arial Narrow"/>
          <w:sz w:val="24"/>
          <w:szCs w:val="24"/>
        </w:rPr>
        <w:t xml:space="preserve">proactive </w:t>
      </w:r>
      <w:r w:rsidR="00CF013E" w:rsidRPr="003B3924">
        <w:rPr>
          <w:rFonts w:ascii="Arial Narrow" w:hAnsi="Arial Narrow"/>
          <w:sz w:val="24"/>
          <w:szCs w:val="24"/>
        </w:rPr>
        <w:t>conclusive home move</w:t>
      </w:r>
      <w:r w:rsidR="00630D16" w:rsidRPr="003B3924">
        <w:rPr>
          <w:rFonts w:ascii="Arial Narrow" w:hAnsi="Arial Narrow"/>
          <w:sz w:val="24"/>
          <w:szCs w:val="24"/>
        </w:rPr>
        <w:t>:</w:t>
      </w:r>
    </w:p>
    <w:p w14:paraId="212FBC1A" w14:textId="340C4E58" w:rsidR="00630D16" w:rsidRPr="003B3924" w:rsidRDefault="00630D16" w:rsidP="00630D16">
      <w:pPr>
        <w:pStyle w:val="PlainText"/>
        <w:ind w:left="720"/>
        <w:rPr>
          <w:rFonts w:ascii="Arial Narrow" w:hAnsi="Arial Narrow"/>
          <w:sz w:val="24"/>
          <w:szCs w:val="24"/>
        </w:rPr>
      </w:pPr>
      <w:r w:rsidRPr="003B3924">
        <w:rPr>
          <w:rFonts w:ascii="Arial Narrow" w:hAnsi="Arial Narrow"/>
          <w:sz w:val="24"/>
          <w:szCs w:val="24"/>
        </w:rPr>
        <w:t>I suppose we were sort of living pretty much together [for about eight years] in [a city].  She got a job in [a</w:t>
      </w:r>
      <w:r w:rsidR="00CF013E" w:rsidRPr="003B3924">
        <w:rPr>
          <w:rFonts w:ascii="Arial Narrow" w:hAnsi="Arial Narrow"/>
          <w:sz w:val="24"/>
          <w:szCs w:val="24"/>
        </w:rPr>
        <w:t>nother</w:t>
      </w:r>
      <w:r w:rsidRPr="003B3924">
        <w:rPr>
          <w:rFonts w:ascii="Arial Narrow" w:hAnsi="Arial Narrow"/>
          <w:sz w:val="24"/>
          <w:szCs w:val="24"/>
        </w:rPr>
        <w:t xml:space="preserve"> city</w:t>
      </w:r>
      <w:r w:rsidR="00CF013E" w:rsidRPr="003B3924">
        <w:rPr>
          <w:rFonts w:ascii="Arial Narrow" w:hAnsi="Arial Narrow"/>
          <w:sz w:val="24"/>
          <w:szCs w:val="24"/>
        </w:rPr>
        <w:t>]</w:t>
      </w:r>
      <w:r w:rsidRPr="003B3924">
        <w:rPr>
          <w:rFonts w:ascii="Arial Narrow" w:hAnsi="Arial Narrow"/>
          <w:sz w:val="24"/>
          <w:szCs w:val="24"/>
        </w:rPr>
        <w:t xml:space="preserve"> and moved there and I still had a job in [</w:t>
      </w:r>
      <w:r w:rsidR="00CF013E" w:rsidRPr="003B3924">
        <w:rPr>
          <w:rFonts w:ascii="Arial Narrow" w:hAnsi="Arial Narrow"/>
          <w:sz w:val="24"/>
          <w:szCs w:val="24"/>
        </w:rPr>
        <w:t xml:space="preserve">first </w:t>
      </w:r>
      <w:r w:rsidRPr="003B3924">
        <w:rPr>
          <w:rFonts w:ascii="Arial Narrow" w:hAnsi="Arial Narrow"/>
          <w:sz w:val="24"/>
          <w:szCs w:val="24"/>
        </w:rPr>
        <w:t xml:space="preserve">city].  </w:t>
      </w:r>
      <w:proofErr w:type="gramStart"/>
      <w:r w:rsidRPr="003B3924">
        <w:rPr>
          <w:rFonts w:ascii="Arial Narrow" w:hAnsi="Arial Narrow"/>
          <w:sz w:val="24"/>
          <w:szCs w:val="24"/>
        </w:rPr>
        <w:t>So</w:t>
      </w:r>
      <w:proofErr w:type="gramEnd"/>
      <w:r w:rsidRPr="003B3924">
        <w:rPr>
          <w:rFonts w:ascii="Arial Narrow" w:hAnsi="Arial Narrow"/>
          <w:sz w:val="24"/>
          <w:szCs w:val="24"/>
        </w:rPr>
        <w:t xml:space="preserve"> then I stayed in </w:t>
      </w:r>
      <w:r w:rsidR="00CF013E" w:rsidRPr="003B3924">
        <w:rPr>
          <w:rFonts w:ascii="Arial Narrow" w:hAnsi="Arial Narrow"/>
          <w:sz w:val="24"/>
          <w:szCs w:val="24"/>
        </w:rPr>
        <w:t>[</w:t>
      </w:r>
      <w:r w:rsidRPr="003B3924">
        <w:rPr>
          <w:rFonts w:ascii="Arial Narrow" w:hAnsi="Arial Narrow"/>
          <w:sz w:val="24"/>
          <w:szCs w:val="24"/>
        </w:rPr>
        <w:t>that city</w:t>
      </w:r>
      <w:r w:rsidR="00CF013E" w:rsidRPr="003B3924">
        <w:rPr>
          <w:rFonts w:ascii="Arial Narrow" w:hAnsi="Arial Narrow"/>
          <w:sz w:val="24"/>
          <w:szCs w:val="24"/>
        </w:rPr>
        <w:t>]</w:t>
      </w:r>
      <w:r w:rsidRPr="003B3924">
        <w:rPr>
          <w:rFonts w:ascii="Arial Narrow" w:hAnsi="Arial Narrow"/>
          <w:sz w:val="24"/>
          <w:szCs w:val="24"/>
        </w:rPr>
        <w:t xml:space="preserve"> for a further year, [moving backwards and forwards] at weekends.  Yeah, um, so that was a bit tiresome … [then after two years] we bought this house and moved then.  </w:t>
      </w:r>
      <w:proofErr w:type="gramStart"/>
      <w:r w:rsidRPr="003B3924">
        <w:rPr>
          <w:rFonts w:ascii="Arial Narrow" w:hAnsi="Arial Narrow"/>
          <w:sz w:val="24"/>
          <w:szCs w:val="24"/>
        </w:rPr>
        <w:t>So</w:t>
      </w:r>
      <w:proofErr w:type="gramEnd"/>
      <w:r w:rsidRPr="003B3924">
        <w:rPr>
          <w:rFonts w:ascii="Arial Narrow" w:hAnsi="Arial Narrow"/>
          <w:sz w:val="24"/>
          <w:szCs w:val="24"/>
        </w:rPr>
        <w:t xml:space="preserve"> we’ve been in [this city] since.</w:t>
      </w:r>
    </w:p>
    <w:p w14:paraId="68AB1420" w14:textId="39BE1F9C" w:rsidR="005B75A0" w:rsidRPr="003B3924" w:rsidRDefault="005B75A0" w:rsidP="00072E7A">
      <w:pPr>
        <w:pStyle w:val="PlainText"/>
        <w:rPr>
          <w:rFonts w:ascii="Arial Narrow" w:hAnsi="Arial Narrow"/>
          <w:sz w:val="24"/>
          <w:szCs w:val="24"/>
        </w:rPr>
      </w:pPr>
    </w:p>
    <w:p w14:paraId="0142C459" w14:textId="61F55B08" w:rsidR="0012150A" w:rsidRPr="003B3924" w:rsidRDefault="003442E3" w:rsidP="00072E7A">
      <w:pPr>
        <w:pStyle w:val="PlainText"/>
        <w:rPr>
          <w:rFonts w:ascii="Arial Narrow" w:hAnsi="Arial Narrow"/>
          <w:sz w:val="24"/>
          <w:szCs w:val="24"/>
        </w:rPr>
      </w:pPr>
      <w:r w:rsidRPr="003B3924">
        <w:rPr>
          <w:rFonts w:ascii="Arial Narrow" w:hAnsi="Arial Narrow"/>
          <w:sz w:val="24"/>
          <w:szCs w:val="24"/>
        </w:rPr>
        <w:t xml:space="preserve">A longer, slow burn, pendulum small story is provided by </w:t>
      </w:r>
      <w:r w:rsidRPr="003B3924">
        <w:rPr>
          <w:rFonts w:ascii="Arial Narrow" w:hAnsi="Arial Narrow"/>
          <w:b/>
          <w:bCs/>
          <w:i/>
          <w:iCs/>
          <w:sz w:val="24"/>
          <w:szCs w:val="24"/>
        </w:rPr>
        <w:t>Joe</w:t>
      </w:r>
      <w:r w:rsidR="008A27E8" w:rsidRPr="003B3924">
        <w:rPr>
          <w:rFonts w:ascii="Arial Narrow" w:hAnsi="Arial Narrow"/>
          <w:sz w:val="24"/>
          <w:szCs w:val="24"/>
        </w:rPr>
        <w:t xml:space="preserve">, </w:t>
      </w:r>
      <w:r w:rsidRPr="003B3924">
        <w:rPr>
          <w:rFonts w:ascii="Arial Narrow" w:hAnsi="Arial Narrow"/>
          <w:sz w:val="24"/>
          <w:szCs w:val="24"/>
        </w:rPr>
        <w:t xml:space="preserve">a member of </w:t>
      </w:r>
      <w:r w:rsidR="00016419" w:rsidRPr="003B3924">
        <w:rPr>
          <w:rFonts w:ascii="Arial Narrow" w:hAnsi="Arial Narrow"/>
          <w:sz w:val="24"/>
          <w:szCs w:val="24"/>
        </w:rPr>
        <w:t xml:space="preserve">the 1970-89 </w:t>
      </w:r>
      <w:r w:rsidRPr="003B3924">
        <w:rPr>
          <w:rFonts w:ascii="Arial Narrow" w:hAnsi="Arial Narrow"/>
          <w:sz w:val="24"/>
          <w:szCs w:val="24"/>
        </w:rPr>
        <w:t>cohort</w:t>
      </w:r>
      <w:r w:rsidR="008A27E8" w:rsidRPr="003B3924">
        <w:rPr>
          <w:rFonts w:ascii="Arial Narrow" w:hAnsi="Arial Narrow"/>
          <w:sz w:val="24"/>
          <w:szCs w:val="24"/>
        </w:rPr>
        <w:t>,</w:t>
      </w:r>
      <w:r w:rsidR="00DB79AB" w:rsidRPr="003B3924">
        <w:rPr>
          <w:rFonts w:ascii="Arial Narrow" w:hAnsi="Arial Narrow"/>
          <w:sz w:val="24"/>
          <w:szCs w:val="24"/>
        </w:rPr>
        <w:t xml:space="preserve"> born </w:t>
      </w:r>
      <w:r w:rsidR="00533974" w:rsidRPr="003B3924">
        <w:rPr>
          <w:rFonts w:ascii="Arial Narrow" w:hAnsi="Arial Narrow"/>
          <w:sz w:val="24"/>
          <w:szCs w:val="24"/>
        </w:rPr>
        <w:t xml:space="preserve">in </w:t>
      </w:r>
      <w:r w:rsidR="00DB79AB" w:rsidRPr="003B3924">
        <w:rPr>
          <w:rFonts w:ascii="Arial Narrow" w:hAnsi="Arial Narrow"/>
          <w:sz w:val="24"/>
          <w:szCs w:val="24"/>
        </w:rPr>
        <w:t>197</w:t>
      </w:r>
      <w:r w:rsidR="00533974" w:rsidRPr="003B3924">
        <w:rPr>
          <w:rFonts w:ascii="Arial Narrow" w:hAnsi="Arial Narrow"/>
          <w:sz w:val="24"/>
          <w:szCs w:val="24"/>
        </w:rPr>
        <w:t>8</w:t>
      </w:r>
      <w:r w:rsidR="008A27E8" w:rsidRPr="003B3924">
        <w:rPr>
          <w:rFonts w:ascii="Arial Narrow" w:hAnsi="Arial Narrow"/>
          <w:sz w:val="24"/>
          <w:szCs w:val="24"/>
        </w:rPr>
        <w:t>.  He provides</w:t>
      </w:r>
      <w:r w:rsidR="000331AE" w:rsidRPr="003B3924">
        <w:rPr>
          <w:rFonts w:ascii="Arial Narrow" w:hAnsi="Arial Narrow"/>
          <w:sz w:val="24"/>
          <w:szCs w:val="24"/>
        </w:rPr>
        <w:t xml:space="preserve"> another example of the issue of fathering and home moves for this cohort</w:t>
      </w:r>
      <w:r w:rsidR="00533974" w:rsidRPr="003B3924">
        <w:rPr>
          <w:rFonts w:ascii="Arial Narrow" w:hAnsi="Arial Narrow"/>
          <w:sz w:val="24"/>
          <w:szCs w:val="24"/>
        </w:rPr>
        <w:t>.</w:t>
      </w:r>
      <w:r w:rsidRPr="003B3924">
        <w:rPr>
          <w:rFonts w:ascii="Arial Narrow" w:hAnsi="Arial Narrow"/>
          <w:sz w:val="24"/>
          <w:szCs w:val="24"/>
        </w:rPr>
        <w:t xml:space="preserve">  </w:t>
      </w:r>
      <w:r w:rsidR="008A27E8" w:rsidRPr="003B3924">
        <w:rPr>
          <w:rFonts w:ascii="Arial Narrow" w:hAnsi="Arial Narrow"/>
          <w:sz w:val="24"/>
          <w:szCs w:val="24"/>
        </w:rPr>
        <w:t>Joe worked</w:t>
      </w:r>
      <w:r w:rsidRPr="003B3924">
        <w:rPr>
          <w:rFonts w:ascii="Arial Narrow" w:hAnsi="Arial Narrow"/>
          <w:sz w:val="24"/>
          <w:szCs w:val="24"/>
        </w:rPr>
        <w:t xml:space="preserve"> as a manager in the business </w:t>
      </w:r>
      <w:proofErr w:type="gramStart"/>
      <w:r w:rsidRPr="003B3924">
        <w:rPr>
          <w:rFonts w:ascii="Arial Narrow" w:hAnsi="Arial Narrow"/>
          <w:sz w:val="24"/>
          <w:szCs w:val="24"/>
        </w:rPr>
        <w:t xml:space="preserve">sector, </w:t>
      </w:r>
      <w:r w:rsidR="008A27E8" w:rsidRPr="003B3924">
        <w:rPr>
          <w:rFonts w:ascii="Arial Narrow" w:hAnsi="Arial Narrow"/>
          <w:sz w:val="24"/>
          <w:szCs w:val="24"/>
        </w:rPr>
        <w:t>and</w:t>
      </w:r>
      <w:proofErr w:type="gramEnd"/>
      <w:r w:rsidR="008A27E8" w:rsidRPr="003B3924">
        <w:rPr>
          <w:rFonts w:ascii="Arial Narrow" w:hAnsi="Arial Narrow"/>
          <w:sz w:val="24"/>
          <w:szCs w:val="24"/>
        </w:rPr>
        <w:t xml:space="preserve"> lived in his owner-occupied home with </w:t>
      </w:r>
      <w:r w:rsidRPr="003B3924">
        <w:rPr>
          <w:rFonts w:ascii="Arial Narrow" w:hAnsi="Arial Narrow"/>
          <w:sz w:val="24"/>
          <w:szCs w:val="24"/>
        </w:rPr>
        <w:t xml:space="preserve">his wife and child.  He was interviewed </w:t>
      </w:r>
      <w:r w:rsidR="009C4CFF" w:rsidRPr="003B3924">
        <w:rPr>
          <w:rFonts w:ascii="Arial Narrow" w:hAnsi="Arial Narrow"/>
          <w:sz w:val="24"/>
          <w:szCs w:val="24"/>
        </w:rPr>
        <w:t xml:space="preserve">three times in a two year period, aged between 30 and 31.  Joe </w:t>
      </w:r>
      <w:r w:rsidR="008A27E8" w:rsidRPr="003B3924">
        <w:rPr>
          <w:rFonts w:ascii="Arial Narrow" w:hAnsi="Arial Narrow"/>
          <w:sz w:val="24"/>
          <w:szCs w:val="24"/>
        </w:rPr>
        <w:t xml:space="preserve">conveyed </w:t>
      </w:r>
      <w:r w:rsidR="009C4CFF" w:rsidRPr="003B3924">
        <w:rPr>
          <w:rFonts w:ascii="Arial Narrow" w:hAnsi="Arial Narrow"/>
          <w:sz w:val="24"/>
          <w:szCs w:val="24"/>
        </w:rPr>
        <w:t>a series of small stories in which he portrays a planned approach to moving home that centres on feeling ready for different</w:t>
      </w:r>
      <w:r w:rsidR="00156E07">
        <w:rPr>
          <w:rFonts w:ascii="Arial Narrow" w:hAnsi="Arial Narrow"/>
          <w:sz w:val="24"/>
          <w:szCs w:val="24"/>
        </w:rPr>
        <w:t xml:space="preserve"> </w:t>
      </w:r>
      <w:proofErr w:type="spellStart"/>
      <w:r w:rsidR="008B0FB6">
        <w:rPr>
          <w:rFonts w:ascii="Arial Narrow" w:hAnsi="Arial Narrow"/>
          <w:sz w:val="24"/>
          <w:szCs w:val="24"/>
        </w:rPr>
        <w:t>lifecourse</w:t>
      </w:r>
      <w:proofErr w:type="spellEnd"/>
      <w:r w:rsidR="009C4CFF" w:rsidRPr="003B3924">
        <w:rPr>
          <w:rFonts w:ascii="Arial Narrow" w:hAnsi="Arial Narrow"/>
          <w:sz w:val="24"/>
          <w:szCs w:val="24"/>
        </w:rPr>
        <w:t xml:space="preserve"> phases of his life course and family formation</w:t>
      </w:r>
      <w:r w:rsidR="008A27E8" w:rsidRPr="003B3924">
        <w:rPr>
          <w:rFonts w:ascii="Arial Narrow" w:hAnsi="Arial Narrow"/>
          <w:sz w:val="24"/>
          <w:szCs w:val="24"/>
        </w:rPr>
        <w:t xml:space="preserve">.  This </w:t>
      </w:r>
      <w:r w:rsidR="000331AE" w:rsidRPr="003B3924">
        <w:rPr>
          <w:rFonts w:ascii="Arial Narrow" w:hAnsi="Arial Narrow"/>
          <w:sz w:val="24"/>
          <w:szCs w:val="24"/>
        </w:rPr>
        <w:t>proactive</w:t>
      </w:r>
      <w:r w:rsidR="00C06077" w:rsidRPr="003B3924">
        <w:rPr>
          <w:rFonts w:ascii="Arial Narrow" w:hAnsi="Arial Narrow"/>
          <w:sz w:val="24"/>
          <w:szCs w:val="24"/>
        </w:rPr>
        <w:t xml:space="preserve"> </w:t>
      </w:r>
      <w:r w:rsidR="00E339D4" w:rsidRPr="003B3924">
        <w:rPr>
          <w:rFonts w:ascii="Arial Narrow" w:hAnsi="Arial Narrow"/>
          <w:sz w:val="24"/>
          <w:szCs w:val="24"/>
        </w:rPr>
        <w:t xml:space="preserve">presentation is </w:t>
      </w:r>
      <w:r w:rsidR="00C06077" w:rsidRPr="003B3924">
        <w:rPr>
          <w:rFonts w:ascii="Arial Narrow" w:hAnsi="Arial Narrow"/>
          <w:sz w:val="24"/>
          <w:szCs w:val="24"/>
        </w:rPr>
        <w:t>gendered</w:t>
      </w:r>
      <w:r w:rsidR="00E339D4" w:rsidRPr="003B3924">
        <w:rPr>
          <w:rFonts w:ascii="Arial Narrow" w:hAnsi="Arial Narrow"/>
          <w:sz w:val="24"/>
          <w:szCs w:val="24"/>
        </w:rPr>
        <w:t>,</w:t>
      </w:r>
      <w:r w:rsidR="00C06077" w:rsidRPr="003B3924">
        <w:rPr>
          <w:rFonts w:ascii="Arial Narrow" w:hAnsi="Arial Narrow"/>
          <w:sz w:val="24"/>
          <w:szCs w:val="24"/>
        </w:rPr>
        <w:t xml:space="preserve"> showing more strongly in men’s accounts </w:t>
      </w:r>
      <w:r w:rsidR="00156E07">
        <w:rPr>
          <w:rFonts w:ascii="Arial Narrow" w:hAnsi="Arial Narrow"/>
          <w:sz w:val="24"/>
          <w:szCs w:val="24"/>
        </w:rPr>
        <w:t>across the</w:t>
      </w:r>
      <w:r w:rsidR="00C06077" w:rsidRPr="003B3924">
        <w:rPr>
          <w:rFonts w:ascii="Arial Narrow" w:hAnsi="Arial Narrow"/>
          <w:sz w:val="24"/>
          <w:szCs w:val="24"/>
        </w:rPr>
        <w:t xml:space="preserve"> sample</w:t>
      </w:r>
      <w:r w:rsidR="009C4CFF" w:rsidRPr="003B3924">
        <w:rPr>
          <w:rFonts w:ascii="Arial Narrow" w:hAnsi="Arial Narrow"/>
          <w:sz w:val="24"/>
          <w:szCs w:val="24"/>
        </w:rPr>
        <w:t>.</w:t>
      </w:r>
      <w:r w:rsidR="00C06077" w:rsidRPr="003B3924">
        <w:rPr>
          <w:rFonts w:ascii="Arial Narrow" w:hAnsi="Arial Narrow"/>
          <w:sz w:val="24"/>
          <w:szCs w:val="24"/>
        </w:rPr>
        <w:t xml:space="preserve">  Joe’s</w:t>
      </w:r>
      <w:r w:rsidR="009C4CFF" w:rsidRPr="003B3924">
        <w:rPr>
          <w:rFonts w:ascii="Arial Narrow" w:hAnsi="Arial Narrow"/>
          <w:sz w:val="24"/>
          <w:szCs w:val="24"/>
        </w:rPr>
        <w:t xml:space="preserve"> return </w:t>
      </w:r>
      <w:r w:rsidR="009C4CFF" w:rsidRPr="003B3924">
        <w:rPr>
          <w:rFonts w:ascii="Arial Narrow" w:hAnsi="Arial Narrow"/>
          <w:sz w:val="24"/>
          <w:szCs w:val="24"/>
        </w:rPr>
        <w:lastRenderedPageBreak/>
        <w:t xml:space="preserve">story relates to moving away in his early twenties: ‘I lived a few hours away from home in a different environment on my own and I’ve learned a lot from that as a person … That’s a big thing in my life to have said I’m going to leave home, go off on my own, and try and do something’.  After meeting </w:t>
      </w:r>
      <w:r w:rsidR="008602AA" w:rsidRPr="003B3924">
        <w:rPr>
          <w:rFonts w:ascii="Arial Narrow" w:hAnsi="Arial Narrow"/>
          <w:sz w:val="24"/>
          <w:szCs w:val="24"/>
        </w:rPr>
        <w:t xml:space="preserve">and marrying </w:t>
      </w:r>
      <w:r w:rsidR="009C4CFF" w:rsidRPr="003B3924">
        <w:rPr>
          <w:rFonts w:ascii="Arial Narrow" w:hAnsi="Arial Narrow"/>
          <w:sz w:val="24"/>
          <w:szCs w:val="24"/>
        </w:rPr>
        <w:t xml:space="preserve">his wife, who came from the same home area that Joe had left, </w:t>
      </w:r>
      <w:r w:rsidR="008602AA" w:rsidRPr="003B3924">
        <w:rPr>
          <w:rFonts w:ascii="Arial Narrow" w:hAnsi="Arial Narrow"/>
          <w:sz w:val="24"/>
          <w:szCs w:val="24"/>
        </w:rPr>
        <w:t xml:space="preserve">there </w:t>
      </w:r>
      <w:r w:rsidR="009C4CFF" w:rsidRPr="003B3924">
        <w:rPr>
          <w:rFonts w:ascii="Arial Narrow" w:hAnsi="Arial Narrow"/>
          <w:sz w:val="24"/>
          <w:szCs w:val="24"/>
        </w:rPr>
        <w:t xml:space="preserve">followed a proactive return in response to having a child nine years later: </w:t>
      </w:r>
    </w:p>
    <w:p w14:paraId="3D423307" w14:textId="2FAC7972" w:rsidR="0012150A" w:rsidRPr="003B3924" w:rsidRDefault="008602AA" w:rsidP="0012150A">
      <w:pPr>
        <w:pStyle w:val="PlainText"/>
        <w:ind w:left="720"/>
        <w:rPr>
          <w:rFonts w:ascii="Arial Narrow" w:hAnsi="Arial Narrow"/>
          <w:sz w:val="24"/>
          <w:szCs w:val="24"/>
        </w:rPr>
      </w:pPr>
      <w:r w:rsidRPr="003B3924">
        <w:rPr>
          <w:rFonts w:ascii="Arial Narrow" w:hAnsi="Arial Narrow"/>
          <w:sz w:val="24"/>
          <w:szCs w:val="24"/>
        </w:rPr>
        <w:t xml:space="preserve">The idea is that we’ll be closer to [family] so that they can be involved with our children, our child, and have a relationship with them. And we can obviously continue, have a better relationship with them being closer … </w:t>
      </w:r>
      <w:proofErr w:type="gramStart"/>
      <w:r w:rsidR="009C4CFF" w:rsidRPr="003B3924">
        <w:rPr>
          <w:rFonts w:ascii="Arial Narrow" w:hAnsi="Arial Narrow"/>
          <w:sz w:val="24"/>
          <w:szCs w:val="24"/>
        </w:rPr>
        <w:t>So</w:t>
      </w:r>
      <w:proofErr w:type="gramEnd"/>
      <w:r w:rsidR="009C4CFF" w:rsidRPr="003B3924">
        <w:rPr>
          <w:rFonts w:ascii="Arial Narrow" w:hAnsi="Arial Narrow"/>
          <w:sz w:val="24"/>
          <w:szCs w:val="24"/>
        </w:rPr>
        <w:t xml:space="preserve"> the driving factor behind </w:t>
      </w:r>
      <w:r w:rsidRPr="003B3924">
        <w:rPr>
          <w:rFonts w:ascii="Arial Narrow" w:hAnsi="Arial Narrow"/>
          <w:sz w:val="24"/>
          <w:szCs w:val="24"/>
        </w:rPr>
        <w:t>[the return move]</w:t>
      </w:r>
      <w:r w:rsidR="009C4CFF" w:rsidRPr="003B3924">
        <w:rPr>
          <w:rFonts w:ascii="Arial Narrow" w:hAnsi="Arial Narrow"/>
          <w:sz w:val="24"/>
          <w:szCs w:val="24"/>
        </w:rPr>
        <w:t xml:space="preserve"> was being closer to family and making it easier for work and getting a house so my daughter can have a garden.</w:t>
      </w:r>
      <w:r w:rsidRPr="003B3924">
        <w:rPr>
          <w:rFonts w:ascii="Arial Narrow" w:hAnsi="Arial Narrow"/>
          <w:sz w:val="24"/>
          <w:szCs w:val="24"/>
        </w:rPr>
        <w:t xml:space="preserve">  </w:t>
      </w:r>
    </w:p>
    <w:p w14:paraId="715E6137" w14:textId="77777777" w:rsidR="0012150A" w:rsidRPr="003B3924" w:rsidRDefault="008602AA" w:rsidP="00072E7A">
      <w:pPr>
        <w:pStyle w:val="PlainText"/>
        <w:rPr>
          <w:rFonts w:ascii="Arial Narrow" w:hAnsi="Arial Narrow"/>
          <w:sz w:val="24"/>
          <w:szCs w:val="24"/>
        </w:rPr>
      </w:pPr>
      <w:r w:rsidRPr="003B3924">
        <w:rPr>
          <w:rFonts w:ascii="Arial Narrow" w:hAnsi="Arial Narrow"/>
          <w:sz w:val="24"/>
          <w:szCs w:val="24"/>
        </w:rPr>
        <w:t xml:space="preserve">Nonetheless, seeing himself as the family breadwinner, Joe did express some anxiety as part of his pendulum small story of moving home: </w:t>
      </w:r>
    </w:p>
    <w:p w14:paraId="63402489" w14:textId="2EC69993" w:rsidR="0012150A" w:rsidRPr="003B3924" w:rsidRDefault="008602AA" w:rsidP="0012150A">
      <w:pPr>
        <w:pStyle w:val="PlainText"/>
        <w:ind w:left="720"/>
        <w:rPr>
          <w:rFonts w:ascii="Arial Narrow" w:hAnsi="Arial Narrow"/>
          <w:sz w:val="24"/>
          <w:szCs w:val="24"/>
        </w:rPr>
      </w:pPr>
      <w:r w:rsidRPr="003B3924">
        <w:rPr>
          <w:rFonts w:ascii="Arial Narrow" w:hAnsi="Arial Narrow"/>
          <w:sz w:val="24"/>
          <w:szCs w:val="24"/>
        </w:rPr>
        <w:t xml:space="preserve">I worry about not making the right decisions for us as a family in terms of moving house and what jobs to take, the financial risk … whatever decisions we make it affects our daughter’s life, where she’ll grow up, what accent she’ll have, silly things like that, what opportunities she’ll have.  </w:t>
      </w:r>
    </w:p>
    <w:p w14:paraId="4DCF7040" w14:textId="2D2B5EBF" w:rsidR="003442E3" w:rsidRPr="003B3924" w:rsidRDefault="008602AA" w:rsidP="00072E7A">
      <w:pPr>
        <w:pStyle w:val="PlainText"/>
        <w:rPr>
          <w:rFonts w:ascii="Arial Narrow" w:hAnsi="Arial Narrow"/>
          <w:sz w:val="24"/>
          <w:szCs w:val="24"/>
        </w:rPr>
      </w:pPr>
      <w:r w:rsidRPr="003B3924">
        <w:rPr>
          <w:rFonts w:ascii="Arial Narrow" w:hAnsi="Arial Narrow"/>
          <w:sz w:val="24"/>
          <w:szCs w:val="24"/>
        </w:rPr>
        <w:t>The</w:t>
      </w:r>
      <w:r w:rsidR="00B24F08" w:rsidRPr="003B3924">
        <w:rPr>
          <w:rFonts w:ascii="Arial Narrow" w:hAnsi="Arial Narrow"/>
          <w:sz w:val="24"/>
          <w:szCs w:val="24"/>
        </w:rPr>
        <w:t xml:space="preserve"> connection between relational</w:t>
      </w:r>
      <w:r w:rsidRPr="003B3924">
        <w:rPr>
          <w:rFonts w:ascii="Arial Narrow" w:hAnsi="Arial Narrow"/>
          <w:sz w:val="24"/>
          <w:szCs w:val="24"/>
        </w:rPr>
        <w:t xml:space="preserve"> linked lives </w:t>
      </w:r>
      <w:r w:rsidR="00B24F08" w:rsidRPr="003B3924">
        <w:rPr>
          <w:rFonts w:ascii="Arial Narrow" w:hAnsi="Arial Narrow"/>
          <w:sz w:val="24"/>
          <w:szCs w:val="24"/>
        </w:rPr>
        <w:t xml:space="preserve">and more structural issues associated with </w:t>
      </w:r>
      <w:r w:rsidRPr="003B3924">
        <w:rPr>
          <w:rFonts w:ascii="Arial Narrow" w:hAnsi="Arial Narrow"/>
          <w:sz w:val="24"/>
          <w:szCs w:val="24"/>
        </w:rPr>
        <w:t xml:space="preserve">moving home are conjured up in Joe’s </w:t>
      </w:r>
      <w:r w:rsidR="00BD5E3B" w:rsidRPr="003B3924">
        <w:rPr>
          <w:rFonts w:ascii="Arial Narrow" w:hAnsi="Arial Narrow"/>
          <w:sz w:val="24"/>
          <w:szCs w:val="24"/>
        </w:rPr>
        <w:t xml:space="preserve">gendered </w:t>
      </w:r>
      <w:r w:rsidR="001B3B60" w:rsidRPr="003B3924">
        <w:rPr>
          <w:rFonts w:ascii="Arial Narrow" w:hAnsi="Arial Narrow"/>
          <w:sz w:val="24"/>
          <w:szCs w:val="24"/>
        </w:rPr>
        <w:t>concern</w:t>
      </w:r>
      <w:r w:rsidRPr="003B3924">
        <w:rPr>
          <w:rFonts w:ascii="Arial Narrow" w:hAnsi="Arial Narrow"/>
          <w:sz w:val="24"/>
          <w:szCs w:val="24"/>
        </w:rPr>
        <w:t>s</w:t>
      </w:r>
      <w:r w:rsidR="00BD5E3B" w:rsidRPr="003B3924">
        <w:rPr>
          <w:rFonts w:ascii="Arial Narrow" w:hAnsi="Arial Narrow"/>
          <w:sz w:val="24"/>
          <w:szCs w:val="24"/>
        </w:rPr>
        <w:t xml:space="preserve"> about decision</w:t>
      </w:r>
      <w:r w:rsidR="00C06077" w:rsidRPr="003B3924">
        <w:rPr>
          <w:rFonts w:ascii="Arial Narrow" w:hAnsi="Arial Narrow"/>
          <w:sz w:val="24"/>
          <w:szCs w:val="24"/>
        </w:rPr>
        <w:t>-</w:t>
      </w:r>
      <w:r w:rsidR="00BD5E3B" w:rsidRPr="003B3924">
        <w:rPr>
          <w:rFonts w:ascii="Arial Narrow" w:hAnsi="Arial Narrow"/>
          <w:sz w:val="24"/>
          <w:szCs w:val="24"/>
        </w:rPr>
        <w:t>making as husband and father</w:t>
      </w:r>
      <w:r w:rsidRPr="003B3924">
        <w:rPr>
          <w:rFonts w:ascii="Arial Narrow" w:hAnsi="Arial Narrow"/>
          <w:sz w:val="24"/>
          <w:szCs w:val="24"/>
        </w:rPr>
        <w:t>.</w:t>
      </w:r>
    </w:p>
    <w:p w14:paraId="6B17AB9C" w14:textId="77777777" w:rsidR="00044624" w:rsidRPr="003B3924" w:rsidRDefault="00044624" w:rsidP="00072E7A">
      <w:pPr>
        <w:pStyle w:val="PlainText"/>
        <w:rPr>
          <w:rFonts w:ascii="Arial Narrow" w:hAnsi="Arial Narrow"/>
          <w:sz w:val="24"/>
          <w:szCs w:val="24"/>
        </w:rPr>
      </w:pPr>
    </w:p>
    <w:p w14:paraId="4341CA27" w14:textId="5441BB4A" w:rsidR="003220CF" w:rsidRPr="003B3924" w:rsidRDefault="003817B6" w:rsidP="00716D3C">
      <w:pPr>
        <w:pStyle w:val="PlainText"/>
        <w:rPr>
          <w:rFonts w:ascii="Arial Narrow" w:hAnsi="Arial Narrow"/>
          <w:sz w:val="24"/>
          <w:szCs w:val="24"/>
        </w:rPr>
      </w:pPr>
      <w:r w:rsidRPr="003B3924">
        <w:rPr>
          <w:rFonts w:ascii="Arial Narrow" w:hAnsi="Arial Narrow"/>
          <w:b/>
          <w:bCs/>
          <w:i/>
          <w:iCs/>
          <w:sz w:val="24"/>
          <w:szCs w:val="24"/>
        </w:rPr>
        <w:t>Tina</w:t>
      </w:r>
      <w:r w:rsidR="00DB79AB" w:rsidRPr="003B3924">
        <w:rPr>
          <w:rFonts w:ascii="Arial Narrow" w:hAnsi="Arial Narrow"/>
          <w:sz w:val="24"/>
          <w:szCs w:val="24"/>
        </w:rPr>
        <w:t xml:space="preserve">, </w:t>
      </w:r>
      <w:r w:rsidR="00533974" w:rsidRPr="003B3924">
        <w:rPr>
          <w:rFonts w:ascii="Arial Narrow" w:hAnsi="Arial Narrow"/>
          <w:sz w:val="24"/>
          <w:szCs w:val="24"/>
        </w:rPr>
        <w:t xml:space="preserve">born in 1969 </w:t>
      </w:r>
      <w:r w:rsidR="00DB79AB" w:rsidRPr="003B3924">
        <w:rPr>
          <w:rFonts w:ascii="Arial Narrow" w:hAnsi="Arial Narrow"/>
          <w:sz w:val="24"/>
          <w:szCs w:val="24"/>
        </w:rPr>
        <w:t xml:space="preserve">in the </w:t>
      </w:r>
      <w:r w:rsidR="00533974" w:rsidRPr="003B3924">
        <w:rPr>
          <w:rFonts w:ascii="Arial Narrow" w:hAnsi="Arial Narrow"/>
          <w:sz w:val="24"/>
          <w:szCs w:val="24"/>
        </w:rPr>
        <w:t xml:space="preserve">second age </w:t>
      </w:r>
      <w:r w:rsidR="00DB79AB" w:rsidRPr="003B3924">
        <w:rPr>
          <w:rFonts w:ascii="Arial Narrow" w:hAnsi="Arial Narrow"/>
          <w:sz w:val="24"/>
          <w:szCs w:val="24"/>
        </w:rPr>
        <w:t xml:space="preserve">cohort, </w:t>
      </w:r>
      <w:r w:rsidRPr="003B3924">
        <w:rPr>
          <w:rFonts w:ascii="Arial Narrow" w:hAnsi="Arial Narrow"/>
          <w:sz w:val="24"/>
          <w:szCs w:val="24"/>
        </w:rPr>
        <w:t xml:space="preserve">was living with her partner in their owner-occupied home in a new city.  She worked as an accountant and the household income was well above average.  </w:t>
      </w:r>
      <w:r w:rsidR="00F17832" w:rsidRPr="003B3924">
        <w:rPr>
          <w:rFonts w:ascii="Arial Narrow" w:hAnsi="Arial Narrow"/>
          <w:sz w:val="24"/>
          <w:szCs w:val="24"/>
        </w:rPr>
        <w:t>Interviewed three times over a four</w:t>
      </w:r>
      <w:r w:rsidR="00BB66FB" w:rsidRPr="003B3924">
        <w:rPr>
          <w:rFonts w:ascii="Arial Narrow" w:hAnsi="Arial Narrow"/>
          <w:sz w:val="24"/>
          <w:szCs w:val="24"/>
        </w:rPr>
        <w:t>-</w:t>
      </w:r>
      <w:r w:rsidR="00F17832" w:rsidRPr="003B3924">
        <w:rPr>
          <w:rFonts w:ascii="Arial Narrow" w:hAnsi="Arial Narrow"/>
          <w:sz w:val="24"/>
          <w:szCs w:val="24"/>
        </w:rPr>
        <w:t xml:space="preserve">year period, aged between 36 and 40, </w:t>
      </w:r>
      <w:r w:rsidRPr="003B3924">
        <w:rPr>
          <w:rFonts w:ascii="Arial Narrow" w:hAnsi="Arial Narrow"/>
          <w:sz w:val="24"/>
          <w:szCs w:val="24"/>
        </w:rPr>
        <w:t>Tina told a series of pendulum stories</w:t>
      </w:r>
      <w:r w:rsidR="00EB0AED" w:rsidRPr="003B3924">
        <w:rPr>
          <w:rFonts w:ascii="Arial Narrow" w:hAnsi="Arial Narrow"/>
          <w:sz w:val="24"/>
          <w:szCs w:val="24"/>
        </w:rPr>
        <w:t>.  T</w:t>
      </w:r>
      <w:r w:rsidR="00F17832" w:rsidRPr="003B3924">
        <w:rPr>
          <w:rFonts w:ascii="Arial Narrow" w:hAnsi="Arial Narrow"/>
          <w:sz w:val="24"/>
          <w:szCs w:val="24"/>
        </w:rPr>
        <w:t xml:space="preserve">he motif of </w:t>
      </w:r>
      <w:r w:rsidR="003220CF" w:rsidRPr="003B3924">
        <w:rPr>
          <w:rFonts w:ascii="Arial Narrow" w:hAnsi="Arial Narrow"/>
          <w:sz w:val="24"/>
          <w:szCs w:val="24"/>
        </w:rPr>
        <w:t>house moves shap</w:t>
      </w:r>
      <w:r w:rsidR="00EB0AED" w:rsidRPr="003B3924">
        <w:rPr>
          <w:rFonts w:ascii="Arial Narrow" w:hAnsi="Arial Narrow"/>
          <w:sz w:val="24"/>
          <w:szCs w:val="24"/>
        </w:rPr>
        <w:t>ed</w:t>
      </w:r>
      <w:r w:rsidR="003220CF" w:rsidRPr="003B3924">
        <w:rPr>
          <w:rFonts w:ascii="Arial Narrow" w:hAnsi="Arial Narrow"/>
          <w:sz w:val="24"/>
          <w:szCs w:val="24"/>
        </w:rPr>
        <w:t xml:space="preserve"> the way she conveyed family formation and reformation.  </w:t>
      </w:r>
      <w:r w:rsidR="00DB37BD" w:rsidRPr="003B3924">
        <w:rPr>
          <w:rFonts w:ascii="Arial Narrow" w:hAnsi="Arial Narrow"/>
          <w:sz w:val="24"/>
          <w:szCs w:val="24"/>
        </w:rPr>
        <w:t>Across the interviews s</w:t>
      </w:r>
      <w:r w:rsidR="003220CF" w:rsidRPr="003B3924">
        <w:rPr>
          <w:rFonts w:ascii="Arial Narrow" w:hAnsi="Arial Narrow"/>
          <w:sz w:val="24"/>
          <w:szCs w:val="24"/>
        </w:rPr>
        <w:t xml:space="preserve">he </w:t>
      </w:r>
      <w:r w:rsidR="00DB37BD" w:rsidRPr="003B3924">
        <w:rPr>
          <w:rFonts w:ascii="Arial Narrow" w:hAnsi="Arial Narrow"/>
          <w:sz w:val="24"/>
          <w:szCs w:val="24"/>
        </w:rPr>
        <w:t>relayed</w:t>
      </w:r>
      <w:r w:rsidR="003220CF" w:rsidRPr="003B3924">
        <w:rPr>
          <w:rFonts w:ascii="Arial Narrow" w:hAnsi="Arial Narrow"/>
          <w:sz w:val="24"/>
          <w:szCs w:val="24"/>
        </w:rPr>
        <w:t xml:space="preserve"> </w:t>
      </w:r>
      <w:r w:rsidR="00DB37BD" w:rsidRPr="003B3924">
        <w:rPr>
          <w:rFonts w:ascii="Arial Narrow" w:hAnsi="Arial Narrow"/>
          <w:sz w:val="24"/>
          <w:szCs w:val="24"/>
        </w:rPr>
        <w:t xml:space="preserve">staying put and moving </w:t>
      </w:r>
      <w:r w:rsidR="003220CF" w:rsidRPr="003B3924">
        <w:rPr>
          <w:rFonts w:ascii="Arial Narrow" w:hAnsi="Arial Narrow"/>
          <w:sz w:val="24"/>
          <w:szCs w:val="24"/>
        </w:rPr>
        <w:t>in relational terms</w:t>
      </w:r>
      <w:r w:rsidR="00DB37BD" w:rsidRPr="003B3924">
        <w:rPr>
          <w:rFonts w:ascii="Arial Narrow" w:hAnsi="Arial Narrow"/>
          <w:sz w:val="24"/>
          <w:szCs w:val="24"/>
        </w:rPr>
        <w:t xml:space="preserve">, with home moves always implicating </w:t>
      </w:r>
      <w:r w:rsidR="001B3B60" w:rsidRPr="003B3924">
        <w:rPr>
          <w:rFonts w:ascii="Arial Narrow" w:hAnsi="Arial Narrow"/>
          <w:sz w:val="24"/>
          <w:szCs w:val="24"/>
        </w:rPr>
        <w:t xml:space="preserve">the interdependent </w:t>
      </w:r>
      <w:proofErr w:type="spellStart"/>
      <w:r w:rsidR="001B3B60" w:rsidRPr="003B3924">
        <w:rPr>
          <w:rFonts w:ascii="Arial Narrow" w:hAnsi="Arial Narrow"/>
          <w:sz w:val="24"/>
          <w:szCs w:val="24"/>
        </w:rPr>
        <w:t>lifecourses</w:t>
      </w:r>
      <w:proofErr w:type="spellEnd"/>
      <w:r w:rsidR="001B3B60" w:rsidRPr="003B3924">
        <w:rPr>
          <w:rFonts w:ascii="Arial Narrow" w:hAnsi="Arial Narrow"/>
          <w:sz w:val="24"/>
          <w:szCs w:val="24"/>
        </w:rPr>
        <w:t xml:space="preserve"> of herself and</w:t>
      </w:r>
      <w:r w:rsidR="00DB37BD" w:rsidRPr="003B3924">
        <w:rPr>
          <w:rFonts w:ascii="Arial Narrow" w:hAnsi="Arial Narrow"/>
          <w:sz w:val="24"/>
          <w:szCs w:val="24"/>
        </w:rPr>
        <w:t xml:space="preserve"> family members, and </w:t>
      </w:r>
      <w:r w:rsidR="003220CF" w:rsidRPr="003B3924">
        <w:rPr>
          <w:rFonts w:ascii="Arial Narrow" w:hAnsi="Arial Narrow"/>
          <w:sz w:val="24"/>
          <w:szCs w:val="24"/>
        </w:rPr>
        <w:t xml:space="preserve">all of which took place in a relatively small geographical area.  </w:t>
      </w:r>
    </w:p>
    <w:p w14:paraId="7E0EB813" w14:textId="1D67EDC6" w:rsidR="003220CF" w:rsidRPr="003B3924" w:rsidRDefault="003220CF" w:rsidP="003220CF">
      <w:pPr>
        <w:pStyle w:val="PlainText"/>
        <w:ind w:left="720"/>
        <w:rPr>
          <w:rFonts w:ascii="Arial Narrow" w:hAnsi="Arial Narrow"/>
          <w:sz w:val="24"/>
          <w:szCs w:val="24"/>
        </w:rPr>
      </w:pPr>
      <w:r w:rsidRPr="003B3924">
        <w:rPr>
          <w:rFonts w:ascii="Arial Narrow" w:hAnsi="Arial Narrow"/>
          <w:sz w:val="24"/>
          <w:szCs w:val="24"/>
        </w:rPr>
        <w:t xml:space="preserve">My Mum moved to [a village] and then she moved in with her partner in [a nearby town], and my Dad stayed in the house.  And then she </w:t>
      </w:r>
      <w:r w:rsidR="0090604C" w:rsidRPr="003B3924">
        <w:rPr>
          <w:rFonts w:ascii="Arial Narrow" w:hAnsi="Arial Narrow"/>
          <w:sz w:val="24"/>
          <w:szCs w:val="24"/>
        </w:rPr>
        <w:t>m</w:t>
      </w:r>
      <w:r w:rsidRPr="003B3924">
        <w:rPr>
          <w:rFonts w:ascii="Arial Narrow" w:hAnsi="Arial Narrow"/>
          <w:sz w:val="24"/>
          <w:szCs w:val="24"/>
        </w:rPr>
        <w:t xml:space="preserve">oved back to the house with her partner, and my Dad bought his own house.  She bought my Dad out and my </w:t>
      </w:r>
      <w:r w:rsidR="001B3B60" w:rsidRPr="003B3924">
        <w:rPr>
          <w:rFonts w:ascii="Arial Narrow" w:hAnsi="Arial Narrow"/>
          <w:sz w:val="24"/>
          <w:szCs w:val="24"/>
        </w:rPr>
        <w:t xml:space="preserve">Dad </w:t>
      </w:r>
      <w:r w:rsidRPr="003B3924">
        <w:rPr>
          <w:rFonts w:ascii="Arial Narrow" w:hAnsi="Arial Narrow"/>
          <w:sz w:val="24"/>
          <w:szCs w:val="24"/>
        </w:rPr>
        <w:t>bought his own house in [a nearby town].  And we did have him living with us for three months, which was an interesting experience.  Yeah, and then [my mother’s partner] and Mum sold the house in [in a nearby town] and they’ve moved up the road here … [My sister]</w:t>
      </w:r>
      <w:r w:rsidR="00DB37BD" w:rsidRPr="003B3924">
        <w:rPr>
          <w:rFonts w:ascii="Arial Narrow" w:hAnsi="Arial Narrow"/>
          <w:sz w:val="24"/>
          <w:szCs w:val="24"/>
        </w:rPr>
        <w:t xml:space="preserve"> was also having her house sort of extended so she’d been living at my Mum’s for a while, so she’s now moved back … </w:t>
      </w:r>
      <w:r w:rsidR="001B3B60" w:rsidRPr="003B3924">
        <w:rPr>
          <w:rFonts w:ascii="Arial Narrow" w:hAnsi="Arial Narrow"/>
          <w:sz w:val="24"/>
          <w:szCs w:val="24"/>
        </w:rPr>
        <w:t>M</w:t>
      </w:r>
      <w:r w:rsidR="00DB37BD" w:rsidRPr="003B3924">
        <w:rPr>
          <w:rFonts w:ascii="Arial Narrow" w:hAnsi="Arial Narrow"/>
          <w:sz w:val="24"/>
          <w:szCs w:val="24"/>
        </w:rPr>
        <w:t>y Nan always said she wasn’t going to move … [but] she decided that she would then do it now rather than leave it later, so we’ve had quite a trauma finding a flat for her but luckily this place is in [a nearby town]</w:t>
      </w:r>
      <w:r w:rsidR="001B3B60" w:rsidRPr="003B3924">
        <w:rPr>
          <w:rFonts w:ascii="Arial Narrow" w:hAnsi="Arial Narrow"/>
          <w:sz w:val="24"/>
          <w:szCs w:val="24"/>
        </w:rPr>
        <w:t>.</w:t>
      </w:r>
    </w:p>
    <w:p w14:paraId="2164F251" w14:textId="77777777" w:rsidR="0049647C" w:rsidRPr="003B3924" w:rsidRDefault="0090604C" w:rsidP="00716D3C">
      <w:pPr>
        <w:pStyle w:val="PlainText"/>
        <w:rPr>
          <w:rFonts w:ascii="Arial Narrow" w:hAnsi="Arial Narrow"/>
          <w:sz w:val="24"/>
          <w:szCs w:val="24"/>
        </w:rPr>
      </w:pPr>
      <w:r w:rsidRPr="003B3924">
        <w:rPr>
          <w:rFonts w:ascii="Arial Narrow" w:hAnsi="Arial Narrow"/>
          <w:sz w:val="24"/>
          <w:szCs w:val="24"/>
        </w:rPr>
        <w:t xml:space="preserve">Tina also recounted her own home move during the interview period, in readiness for starting her own family – a move made possible with </w:t>
      </w:r>
      <w:r w:rsidR="000331AE" w:rsidRPr="003B3924">
        <w:rPr>
          <w:rFonts w:ascii="Arial Narrow" w:hAnsi="Arial Narrow"/>
          <w:sz w:val="24"/>
          <w:szCs w:val="24"/>
        </w:rPr>
        <w:t xml:space="preserve">financial </w:t>
      </w:r>
      <w:r w:rsidRPr="003B3924">
        <w:rPr>
          <w:rFonts w:ascii="Arial Narrow" w:hAnsi="Arial Narrow"/>
          <w:sz w:val="24"/>
          <w:szCs w:val="24"/>
        </w:rPr>
        <w:t>resources provided by her mother.</w:t>
      </w:r>
      <w:r w:rsidR="001C1EB9" w:rsidRPr="003B3924">
        <w:rPr>
          <w:rFonts w:ascii="Arial Narrow" w:hAnsi="Arial Narrow"/>
          <w:sz w:val="24"/>
          <w:szCs w:val="24"/>
        </w:rPr>
        <w:t xml:space="preserve">  </w:t>
      </w:r>
    </w:p>
    <w:p w14:paraId="72B3CF41" w14:textId="77777777" w:rsidR="0049647C" w:rsidRPr="003B3924" w:rsidRDefault="0049647C" w:rsidP="00716D3C">
      <w:pPr>
        <w:pStyle w:val="PlainText"/>
        <w:rPr>
          <w:rFonts w:ascii="Arial Narrow" w:hAnsi="Arial Narrow"/>
          <w:sz w:val="24"/>
          <w:szCs w:val="24"/>
        </w:rPr>
      </w:pPr>
    </w:p>
    <w:p w14:paraId="68C9C36A" w14:textId="507D2223" w:rsidR="003817B6" w:rsidRPr="003B3924" w:rsidRDefault="003220CF" w:rsidP="00716D3C">
      <w:pPr>
        <w:pStyle w:val="PlainText"/>
        <w:rPr>
          <w:rFonts w:ascii="Arial Narrow" w:hAnsi="Arial Narrow"/>
          <w:sz w:val="24"/>
          <w:szCs w:val="24"/>
        </w:rPr>
      </w:pPr>
      <w:r w:rsidRPr="003B3924">
        <w:rPr>
          <w:rFonts w:ascii="Arial Narrow" w:hAnsi="Arial Narrow"/>
          <w:sz w:val="24"/>
          <w:szCs w:val="24"/>
        </w:rPr>
        <w:t xml:space="preserve">Tina’s </w:t>
      </w:r>
      <w:r w:rsidR="0090604C" w:rsidRPr="003B3924">
        <w:rPr>
          <w:rFonts w:ascii="Arial Narrow" w:hAnsi="Arial Narrow"/>
          <w:sz w:val="24"/>
          <w:szCs w:val="24"/>
        </w:rPr>
        <w:t xml:space="preserve">series of </w:t>
      </w:r>
      <w:r w:rsidRPr="003B3924">
        <w:rPr>
          <w:rFonts w:ascii="Arial Narrow" w:hAnsi="Arial Narrow"/>
          <w:sz w:val="24"/>
          <w:szCs w:val="24"/>
        </w:rPr>
        <w:t xml:space="preserve">pendulum </w:t>
      </w:r>
      <w:r w:rsidR="0090604C" w:rsidRPr="003B3924">
        <w:rPr>
          <w:rFonts w:ascii="Arial Narrow" w:hAnsi="Arial Narrow"/>
          <w:sz w:val="24"/>
          <w:szCs w:val="24"/>
        </w:rPr>
        <w:t xml:space="preserve">short </w:t>
      </w:r>
      <w:r w:rsidRPr="003B3924">
        <w:rPr>
          <w:rFonts w:ascii="Arial Narrow" w:hAnsi="Arial Narrow"/>
          <w:sz w:val="24"/>
          <w:szCs w:val="24"/>
        </w:rPr>
        <w:t xml:space="preserve">stories contain taken-for-granted assumptions about </w:t>
      </w:r>
      <w:r w:rsidR="00DB37BD" w:rsidRPr="003B3924">
        <w:rPr>
          <w:rFonts w:ascii="Arial Narrow" w:hAnsi="Arial Narrow"/>
          <w:sz w:val="24"/>
          <w:szCs w:val="24"/>
        </w:rPr>
        <w:t xml:space="preserve">home moves; about </w:t>
      </w:r>
      <w:r w:rsidRPr="003B3924">
        <w:rPr>
          <w:rFonts w:ascii="Arial Narrow" w:hAnsi="Arial Narrow"/>
          <w:sz w:val="24"/>
          <w:szCs w:val="24"/>
        </w:rPr>
        <w:t xml:space="preserve">staying relatively close to family members, moving </w:t>
      </w:r>
      <w:r w:rsidR="00DB37BD" w:rsidRPr="003B3924">
        <w:rPr>
          <w:rFonts w:ascii="Arial Narrow" w:hAnsi="Arial Narrow"/>
          <w:sz w:val="24"/>
          <w:szCs w:val="24"/>
        </w:rPr>
        <w:t>in with ea</w:t>
      </w:r>
      <w:r w:rsidR="0090604C" w:rsidRPr="003B3924">
        <w:rPr>
          <w:rFonts w:ascii="Arial Narrow" w:hAnsi="Arial Narrow"/>
          <w:sz w:val="24"/>
          <w:szCs w:val="24"/>
        </w:rPr>
        <w:t>ch other when required, and helping each other with home moves</w:t>
      </w:r>
      <w:r w:rsidR="00EB0AED" w:rsidRPr="003B3924">
        <w:rPr>
          <w:rFonts w:ascii="Arial Narrow" w:hAnsi="Arial Narrow"/>
          <w:sz w:val="24"/>
          <w:szCs w:val="24"/>
        </w:rPr>
        <w:t xml:space="preserve">.  In some ways this </w:t>
      </w:r>
      <w:r w:rsidR="003019EB" w:rsidRPr="003B3924">
        <w:rPr>
          <w:rFonts w:ascii="Arial Narrow" w:hAnsi="Arial Narrow"/>
          <w:sz w:val="24"/>
          <w:szCs w:val="24"/>
        </w:rPr>
        <w:t>echo</w:t>
      </w:r>
      <w:r w:rsidR="00EB0AED" w:rsidRPr="003B3924">
        <w:rPr>
          <w:rFonts w:ascii="Arial Narrow" w:hAnsi="Arial Narrow"/>
          <w:sz w:val="24"/>
          <w:szCs w:val="24"/>
        </w:rPr>
        <w:t>es</w:t>
      </w:r>
      <w:r w:rsidR="003019EB" w:rsidRPr="003B3924">
        <w:rPr>
          <w:rFonts w:ascii="Arial Narrow" w:hAnsi="Arial Narrow"/>
          <w:sz w:val="24"/>
          <w:szCs w:val="24"/>
        </w:rPr>
        <w:t xml:space="preserve"> Shir</w:t>
      </w:r>
      <w:r w:rsidR="008139A4" w:rsidRPr="003B3924">
        <w:rPr>
          <w:rFonts w:ascii="Arial Narrow" w:hAnsi="Arial Narrow"/>
          <w:sz w:val="24"/>
          <w:szCs w:val="24"/>
        </w:rPr>
        <w:t>le</w:t>
      </w:r>
      <w:r w:rsidR="003019EB" w:rsidRPr="003B3924">
        <w:rPr>
          <w:rFonts w:ascii="Arial Narrow" w:hAnsi="Arial Narrow"/>
          <w:sz w:val="24"/>
          <w:szCs w:val="24"/>
        </w:rPr>
        <w:t>y’s</w:t>
      </w:r>
      <w:r w:rsidR="008139A4" w:rsidRPr="003B3924">
        <w:rPr>
          <w:rFonts w:ascii="Arial Narrow" w:hAnsi="Arial Narrow"/>
          <w:sz w:val="24"/>
          <w:szCs w:val="24"/>
        </w:rPr>
        <w:t xml:space="preserve"> moral stance</w:t>
      </w:r>
      <w:r w:rsidR="00C06077" w:rsidRPr="003B3924">
        <w:rPr>
          <w:rFonts w:ascii="Arial Narrow" w:hAnsi="Arial Narrow"/>
          <w:sz w:val="24"/>
          <w:szCs w:val="24"/>
        </w:rPr>
        <w:t xml:space="preserve"> in her staying put small story</w:t>
      </w:r>
      <w:r w:rsidR="00DB37BD" w:rsidRPr="003B3924">
        <w:rPr>
          <w:rFonts w:ascii="Arial Narrow" w:hAnsi="Arial Narrow"/>
          <w:sz w:val="24"/>
          <w:szCs w:val="24"/>
        </w:rPr>
        <w:t xml:space="preserve">.  </w:t>
      </w:r>
      <w:r w:rsidR="00EB0AED" w:rsidRPr="003B3924">
        <w:rPr>
          <w:rFonts w:ascii="Arial Narrow" w:hAnsi="Arial Narrow"/>
          <w:sz w:val="24"/>
          <w:szCs w:val="24"/>
        </w:rPr>
        <w:t>But Tina’s stories</w:t>
      </w:r>
      <w:r w:rsidR="00DB37BD" w:rsidRPr="003B3924">
        <w:rPr>
          <w:rFonts w:ascii="Arial Narrow" w:hAnsi="Arial Narrow"/>
          <w:sz w:val="24"/>
          <w:szCs w:val="24"/>
        </w:rPr>
        <w:t xml:space="preserve"> are of </w:t>
      </w:r>
      <w:r w:rsidRPr="003B3924">
        <w:rPr>
          <w:rFonts w:ascii="Arial Narrow" w:hAnsi="Arial Narrow"/>
          <w:sz w:val="24"/>
          <w:szCs w:val="24"/>
        </w:rPr>
        <w:t>proactive decision-making underpinned by access to resources</w:t>
      </w:r>
      <w:r w:rsidR="00B24F08" w:rsidRPr="003B3924">
        <w:rPr>
          <w:rFonts w:ascii="Arial Narrow" w:hAnsi="Arial Narrow"/>
          <w:sz w:val="24"/>
          <w:szCs w:val="24"/>
        </w:rPr>
        <w:t xml:space="preserve"> as her </w:t>
      </w:r>
      <w:proofErr w:type="gramStart"/>
      <w:r w:rsidR="00B24F08" w:rsidRPr="003B3924">
        <w:rPr>
          <w:rFonts w:ascii="Arial Narrow" w:hAnsi="Arial Narrow"/>
          <w:sz w:val="24"/>
          <w:szCs w:val="24"/>
        </w:rPr>
        <w:t>particular linked</w:t>
      </w:r>
      <w:proofErr w:type="gramEnd"/>
      <w:r w:rsidR="00B24F08" w:rsidRPr="003B3924">
        <w:rPr>
          <w:rFonts w:ascii="Arial Narrow" w:hAnsi="Arial Narrow"/>
          <w:sz w:val="24"/>
          <w:szCs w:val="24"/>
        </w:rPr>
        <w:t xml:space="preserve"> life enables her to navigate more structural issue</w:t>
      </w:r>
      <w:r w:rsidR="00C06077" w:rsidRPr="003B3924">
        <w:rPr>
          <w:rFonts w:ascii="Arial Narrow" w:hAnsi="Arial Narrow"/>
          <w:sz w:val="24"/>
          <w:szCs w:val="24"/>
        </w:rPr>
        <w:t xml:space="preserve">s.  This forms some </w:t>
      </w:r>
      <w:r w:rsidR="008B0486" w:rsidRPr="003B3924">
        <w:rPr>
          <w:rFonts w:ascii="Arial Narrow" w:hAnsi="Arial Narrow"/>
          <w:sz w:val="24"/>
          <w:szCs w:val="24"/>
        </w:rPr>
        <w:t>contrast with Sh</w:t>
      </w:r>
      <w:r w:rsidR="008139A4" w:rsidRPr="003B3924">
        <w:rPr>
          <w:rFonts w:ascii="Arial Narrow" w:hAnsi="Arial Narrow"/>
          <w:sz w:val="24"/>
          <w:szCs w:val="24"/>
        </w:rPr>
        <w:t>irley</w:t>
      </w:r>
      <w:r w:rsidR="008B0486" w:rsidRPr="003B3924">
        <w:rPr>
          <w:rFonts w:ascii="Arial Narrow" w:hAnsi="Arial Narrow"/>
          <w:sz w:val="24"/>
          <w:szCs w:val="24"/>
        </w:rPr>
        <w:t>’s staying put in the face of others’ pendulum moves, resonating with anxiety and shaped by constrained resources</w:t>
      </w:r>
      <w:r w:rsidR="00EB0AED" w:rsidRPr="003B3924">
        <w:rPr>
          <w:rFonts w:ascii="Arial Narrow" w:hAnsi="Arial Narrow"/>
          <w:sz w:val="24"/>
          <w:szCs w:val="24"/>
        </w:rPr>
        <w:t>.  Tina’s stories</w:t>
      </w:r>
      <w:r w:rsidR="00C06077" w:rsidRPr="003B3924">
        <w:rPr>
          <w:rFonts w:ascii="Arial Narrow" w:hAnsi="Arial Narrow"/>
          <w:sz w:val="24"/>
          <w:szCs w:val="24"/>
        </w:rPr>
        <w:t xml:space="preserve"> also </w:t>
      </w:r>
      <w:r w:rsidR="00EB0AED" w:rsidRPr="003B3924">
        <w:rPr>
          <w:rFonts w:ascii="Arial Narrow" w:hAnsi="Arial Narrow"/>
          <w:sz w:val="24"/>
          <w:szCs w:val="24"/>
        </w:rPr>
        <w:t xml:space="preserve">contrast </w:t>
      </w:r>
      <w:r w:rsidR="00C06077" w:rsidRPr="003B3924">
        <w:rPr>
          <w:rFonts w:ascii="Arial Narrow" w:hAnsi="Arial Narrow"/>
          <w:sz w:val="24"/>
          <w:szCs w:val="24"/>
        </w:rPr>
        <w:t>with Charlotte’s obligatory pendulum moves framed by her parents’ housing resources</w:t>
      </w:r>
      <w:r w:rsidR="008B0486" w:rsidRPr="003B3924">
        <w:rPr>
          <w:rFonts w:ascii="Arial Narrow" w:hAnsi="Arial Narrow"/>
          <w:sz w:val="24"/>
          <w:szCs w:val="24"/>
        </w:rPr>
        <w:t>.</w:t>
      </w:r>
      <w:r w:rsidR="0049647C" w:rsidRPr="003B3924">
        <w:rPr>
          <w:rFonts w:ascii="Arial Narrow" w:hAnsi="Arial Narrow"/>
          <w:sz w:val="24"/>
          <w:szCs w:val="24"/>
        </w:rPr>
        <w:t xml:space="preserve">  We pick up on these and other comparative insights gleaned from our breadth-and-depth approach and small stories analysis in our concluding discussion.</w:t>
      </w:r>
    </w:p>
    <w:p w14:paraId="5EABECEE" w14:textId="66E73B0E" w:rsidR="00CE793D" w:rsidRPr="003B3924" w:rsidRDefault="00CE793D" w:rsidP="00716D3C">
      <w:pPr>
        <w:pStyle w:val="PlainText"/>
        <w:rPr>
          <w:rFonts w:ascii="Arial Narrow" w:hAnsi="Arial Narrow"/>
          <w:sz w:val="24"/>
          <w:szCs w:val="24"/>
        </w:rPr>
      </w:pPr>
    </w:p>
    <w:p w14:paraId="0466A992" w14:textId="77777777" w:rsidR="00072E7A" w:rsidRPr="003B3924" w:rsidRDefault="00072E7A" w:rsidP="00072E7A">
      <w:pPr>
        <w:pStyle w:val="PlainText"/>
        <w:rPr>
          <w:rFonts w:ascii="Arial Narrow" w:hAnsi="Arial Narrow"/>
          <w:b/>
          <w:sz w:val="24"/>
          <w:szCs w:val="24"/>
        </w:rPr>
      </w:pPr>
      <w:r w:rsidRPr="003B3924">
        <w:rPr>
          <w:rFonts w:ascii="Arial Narrow" w:hAnsi="Arial Narrow"/>
          <w:b/>
          <w:sz w:val="24"/>
          <w:szCs w:val="24"/>
        </w:rPr>
        <w:lastRenderedPageBreak/>
        <w:t xml:space="preserve">Conclusion </w:t>
      </w:r>
    </w:p>
    <w:p w14:paraId="792FA161" w14:textId="7436B3A1" w:rsidR="00C16C4B" w:rsidRPr="003B3924" w:rsidRDefault="00C16C4B"/>
    <w:p w14:paraId="5B834E94" w14:textId="63BA2EA2" w:rsidR="00BA5A52" w:rsidRPr="003B3924" w:rsidRDefault="00BA5A52" w:rsidP="00BA5A52">
      <w:r w:rsidRPr="002454C4">
        <w:t>This paper has considered the ways that people from different age cohorts and genders</w:t>
      </w:r>
      <w:r w:rsidR="00D20353" w:rsidRPr="002454C4">
        <w:t>, with different sets of resources available to them,</w:t>
      </w:r>
      <w:r w:rsidRPr="002454C4">
        <w:t xml:space="preserve"> </w:t>
      </w:r>
      <w:r w:rsidR="005D0B53" w:rsidRPr="002454C4">
        <w:t xml:space="preserve">convey their </w:t>
      </w:r>
      <w:r w:rsidRPr="002454C4">
        <w:t>experience</w:t>
      </w:r>
      <w:r w:rsidR="005D0B53" w:rsidRPr="002454C4">
        <w:t>s of</w:t>
      </w:r>
      <w:r w:rsidRPr="002454C4">
        <w:t xml:space="preserve"> home moves.  In contrast to much scholarship on residential mobility</w:t>
      </w:r>
      <w:r w:rsidR="00D20353" w:rsidRPr="002454C4">
        <w:t>, and indeed migration research,</w:t>
      </w:r>
      <w:r w:rsidRPr="002454C4">
        <w:t xml:space="preserve"> our discussion</w:t>
      </w:r>
      <w:r w:rsidR="00D20353" w:rsidRPr="002454C4">
        <w:t xml:space="preserve"> has </w:t>
      </w:r>
      <w:r w:rsidR="00A66FD4" w:rsidRPr="002454C4">
        <w:t>contributed</w:t>
      </w:r>
      <w:r w:rsidR="00D20353" w:rsidRPr="002454C4">
        <w:t xml:space="preserve"> beyond the ‘mobility bias’.  We have</w:t>
      </w:r>
      <w:r w:rsidRPr="002454C4">
        <w:t xml:space="preserve"> focused on staying put as well as moving home as active and interdependent practices that unfold over time.  </w:t>
      </w:r>
      <w:r w:rsidR="00ED4DE2" w:rsidRPr="002454C4">
        <w:t xml:space="preserve">Reinforcing </w:t>
      </w:r>
      <w:r w:rsidR="00D20353" w:rsidRPr="002454C4">
        <w:t xml:space="preserve">the new mobilities emphasis on moving residence as fluid and temporal </w:t>
      </w:r>
      <w:r w:rsidR="00ED4DE2" w:rsidRPr="002454C4">
        <w:t>process, we have</w:t>
      </w:r>
      <w:r w:rsidR="00D20353" w:rsidRPr="002454C4">
        <w:t xml:space="preserve"> present</w:t>
      </w:r>
      <w:r w:rsidR="00ED4DE2" w:rsidRPr="002454C4">
        <w:t>ed</w:t>
      </w:r>
      <w:r w:rsidR="00D20353" w:rsidRPr="002454C4">
        <w:t xml:space="preserve"> an</w:t>
      </w:r>
      <w:r w:rsidRPr="002454C4">
        <w:t xml:space="preserve"> analysis that goes beyond an understanding of moving as a discrete event involving a fixed residential location</w:t>
      </w:r>
      <w:r w:rsidR="00D20353" w:rsidRPr="002454C4">
        <w:t xml:space="preserve">.  </w:t>
      </w:r>
      <w:proofErr w:type="gramStart"/>
      <w:r w:rsidR="00ED4DE2" w:rsidRPr="002454C4">
        <w:t>In particular, our</w:t>
      </w:r>
      <w:proofErr w:type="gramEnd"/>
      <w:r w:rsidRPr="002454C4">
        <w:t xml:space="preserve"> ‘linked lives’ perspective reveals the complexities of what staying put and moving home mean in relation to home as residence, people and/or place.  </w:t>
      </w:r>
      <w:r w:rsidR="00ED4DE2" w:rsidRPr="002454C4">
        <w:t>T</w:t>
      </w:r>
      <w:r w:rsidRPr="002454C4">
        <w:t xml:space="preserve">he small stories analysis </w:t>
      </w:r>
      <w:r w:rsidR="00ED4DE2" w:rsidRPr="002454C4">
        <w:t>that we brought to new mobilities scholarship</w:t>
      </w:r>
      <w:r w:rsidRPr="002454C4">
        <w:t xml:space="preserve"> enabled recognition of the nuances of co-existing discrete </w:t>
      </w:r>
      <w:r w:rsidRPr="003B3924">
        <w:t xml:space="preserve">and serial narratives of staying put while being moved away from and back to by others, and which might also involve the teller’s own return or pendulum home moves.  Notably then, an important </w:t>
      </w:r>
      <w:r w:rsidR="00ED4DE2">
        <w:t xml:space="preserve">contribution </w:t>
      </w:r>
      <w:r w:rsidRPr="003B3924">
        <w:t>emerging from our analysis is that the moving away from, returning to and pendulum small stories we identified are integrally linked relationally to others’ staying put mini-narratives</w:t>
      </w:r>
      <w:r w:rsidR="005D0B53" w:rsidRPr="003B3924">
        <w:t>, and that</w:t>
      </w:r>
      <w:r w:rsidRPr="003B3924">
        <w:t xml:space="preserve"> staying put small stories</w:t>
      </w:r>
      <w:r w:rsidR="005D0B53" w:rsidRPr="003B3924">
        <w:t xml:space="preserve"> are linked</w:t>
      </w:r>
      <w:r w:rsidRPr="003B3924">
        <w:t xml:space="preserve"> to others’ home move narratives, </w:t>
      </w:r>
      <w:r w:rsidR="005D0B53" w:rsidRPr="003B3924">
        <w:t xml:space="preserve">all </w:t>
      </w:r>
      <w:r w:rsidRPr="003B3924">
        <w:t xml:space="preserve">as part of interdependent </w:t>
      </w:r>
      <w:proofErr w:type="spellStart"/>
      <w:r w:rsidR="008B0FB6">
        <w:t>lifecourse</w:t>
      </w:r>
      <w:r w:rsidRPr="003B3924">
        <w:t>s</w:t>
      </w:r>
      <w:proofErr w:type="spellEnd"/>
      <w:r w:rsidRPr="003B3924">
        <w:t xml:space="preserve"> at local, intra- and trans- national levels.  A focus on discrete instances of moves of residence</w:t>
      </w:r>
      <w:r w:rsidR="004E04D1" w:rsidRPr="003B3924">
        <w:t xml:space="preserve"> may</w:t>
      </w:r>
      <w:r w:rsidRPr="003B3924">
        <w:t xml:space="preserve"> obscure these linked lives.</w:t>
      </w:r>
    </w:p>
    <w:p w14:paraId="576A71AF" w14:textId="77777777" w:rsidR="00BA5A52" w:rsidRPr="003B3924" w:rsidRDefault="00BA5A52" w:rsidP="00BA5A52"/>
    <w:p w14:paraId="29983253" w14:textId="42B02B94" w:rsidR="00BA5A52" w:rsidRPr="002454C4" w:rsidRDefault="00BA5A52" w:rsidP="00BA5A52">
      <w:r w:rsidRPr="002454C4">
        <w:t xml:space="preserve">Understanding of the micro linked lives complexity of the forms of small stories about home moves that we identified is deepened further when brought into engagement with the more structural features of linked lives shaped by gender and </w:t>
      </w:r>
      <w:r w:rsidR="00EE67A0" w:rsidRPr="002454C4">
        <w:t xml:space="preserve">social and familial </w:t>
      </w:r>
      <w:r w:rsidRPr="002454C4">
        <w:t xml:space="preserve">generation.  </w:t>
      </w:r>
      <w:r w:rsidR="009B49B6" w:rsidRPr="002454C4">
        <w:t>Our breadth-and-depth corpus keyword, thematic analysis and small story narrative analyses revealed a</w:t>
      </w:r>
      <w:r w:rsidRPr="002454C4">
        <w:t xml:space="preserve"> comparative element to staying put as being moved away from or closer to, and </w:t>
      </w:r>
      <w:r w:rsidR="009B49B6" w:rsidRPr="002454C4">
        <w:t xml:space="preserve">to </w:t>
      </w:r>
      <w:r w:rsidRPr="002454C4">
        <w:t>moving home as return or involving short or longer term pendulum moves away from and back to. This</w:t>
      </w:r>
      <w:r w:rsidR="00ED4DE2" w:rsidRPr="002454C4">
        <w:t xml:space="preserve"> contribution to our thinking about home moves</w:t>
      </w:r>
      <w:r w:rsidRPr="002454C4">
        <w:t xml:space="preserve"> highlighted gendered and generational articulations of interdependencies and adaptation to social and economic conditions </w:t>
      </w:r>
      <w:r w:rsidR="009B49B6" w:rsidRPr="002454C4">
        <w:t xml:space="preserve">that </w:t>
      </w:r>
      <w:r w:rsidRPr="002454C4">
        <w:t>unfold</w:t>
      </w:r>
      <w:r w:rsidR="009B49B6" w:rsidRPr="002454C4">
        <w:t>ed</w:t>
      </w:r>
      <w:r w:rsidRPr="002454C4">
        <w:t xml:space="preserve"> over </w:t>
      </w:r>
      <w:proofErr w:type="gramStart"/>
      <w:r w:rsidRPr="002454C4">
        <w:t>time,</w:t>
      </w:r>
      <w:r w:rsidR="009B49B6" w:rsidRPr="002454C4">
        <w:t xml:space="preserve"> and</w:t>
      </w:r>
      <w:proofErr w:type="gramEnd"/>
      <w:r w:rsidR="009B49B6" w:rsidRPr="002454C4">
        <w:t xml:space="preserve"> were</w:t>
      </w:r>
      <w:r w:rsidRPr="002454C4">
        <w:t xml:space="preserve"> enabled and constrained by material resources.  Our analy</w:t>
      </w:r>
      <w:r w:rsidR="009B49B6" w:rsidRPr="002454C4">
        <w:t>tic approach</w:t>
      </w:r>
      <w:r w:rsidRPr="002454C4">
        <w:t xml:space="preserve"> highlights not only the nuances of family and personal relational interdependencies in home moves revealed in our cases, but also how linked lives are shaped structurally by gender and </w:t>
      </w:r>
      <w:r w:rsidR="00EE67A0" w:rsidRPr="002454C4">
        <w:t>age cohort</w:t>
      </w:r>
      <w:r w:rsidRPr="002454C4">
        <w:t>.</w:t>
      </w:r>
    </w:p>
    <w:p w14:paraId="4ECF5545" w14:textId="77777777" w:rsidR="00BA5A52" w:rsidRPr="003B3924" w:rsidRDefault="00BA5A52" w:rsidP="00BA5A52"/>
    <w:p w14:paraId="03071DF9" w14:textId="7B84A88D" w:rsidR="00BA5A52" w:rsidRPr="003B3924" w:rsidRDefault="00BA5A52" w:rsidP="00BA5A52">
      <w:r w:rsidRPr="003B3924">
        <w:t xml:space="preserve">Navigating home moves in linked lives at a micro level could raise moral tones of the right thing to do that were gendered.  We saw this in concerns about adapting to family needs by staying put or returning, as mothers such as Shirley, daughters such as Tina, fathers such as David, and partners such as Nadia.  Ken was an exception to this, a father moving away from his children.  We also saw that home and moving are more salient for women’s accounts.  For the most part, this </w:t>
      </w:r>
      <w:r w:rsidR="00803756" w:rsidRPr="003B3924">
        <w:t xml:space="preserve">saliency </w:t>
      </w:r>
      <w:r w:rsidRPr="002454C4">
        <w:t xml:space="preserve">increased across the </w:t>
      </w:r>
      <w:proofErr w:type="spellStart"/>
      <w:r w:rsidRPr="002454C4">
        <w:t>lifecourse</w:t>
      </w:r>
      <w:proofErr w:type="spellEnd"/>
      <w:r w:rsidRPr="002454C4">
        <w:t xml:space="preserve">, articulating with </w:t>
      </w:r>
      <w:r w:rsidR="00EE67A0" w:rsidRPr="002454C4">
        <w:t xml:space="preserve">familial </w:t>
      </w:r>
      <w:r w:rsidRPr="002454C4">
        <w:t xml:space="preserve">generation as </w:t>
      </w:r>
      <w:r w:rsidR="00803756" w:rsidRPr="002454C4">
        <w:t xml:space="preserve">women’s </w:t>
      </w:r>
      <w:r w:rsidRPr="002454C4">
        <w:t xml:space="preserve">own and others’ </w:t>
      </w:r>
      <w:r w:rsidRPr="003B3924">
        <w:t xml:space="preserve">comings and goings accumulate over their lifetime, as evident in Marie’s description.  The passive or proactive nature of recurrent themes in accounts and the small stories they shaped was also gendered, as was any anxiety or ambivalence that were part of them.  Shirley’s passive account of her worries about her children moving away, Joe’s concerns as family breadwinner making decisions about home moves were proactive, and Beverley’s final return move told as reaction to family anxieties about her misery, provide good examples.  The gendered experience and telling of home moves </w:t>
      </w:r>
      <w:proofErr w:type="gramStart"/>
      <w:r w:rsidRPr="003B3924">
        <w:t>is</w:t>
      </w:r>
      <w:proofErr w:type="gramEnd"/>
      <w:r w:rsidRPr="003B3924">
        <w:t xml:space="preserve"> a significant feature made apparent through our breadth-and-depth approach, which allows us to identify and compare themes across a large amount of qualitative data and then pursue them in-depth through case analysis.</w:t>
      </w:r>
    </w:p>
    <w:p w14:paraId="43158E22" w14:textId="77777777" w:rsidR="00BA5A52" w:rsidRPr="003B3924" w:rsidRDefault="00BA5A52" w:rsidP="00BA5A52"/>
    <w:p w14:paraId="2CFA7C6E" w14:textId="3D2543CE" w:rsidR="00BA5A52" w:rsidRPr="003B3924" w:rsidRDefault="00BA5A52" w:rsidP="00BA5A52">
      <w:r w:rsidRPr="003B3924">
        <w:t xml:space="preserve">This approach also revealed the undergirding structural issues of linked lives, with material and social resources enabling and constraining home moves.  </w:t>
      </w:r>
      <w:proofErr w:type="gramStart"/>
      <w:r w:rsidRPr="003B3924">
        <w:t>In particular, employment</w:t>
      </w:r>
      <w:proofErr w:type="gramEnd"/>
      <w:r w:rsidRPr="003B3924">
        <w:t xml:space="preserve">, finances, and </w:t>
      </w:r>
      <w:r w:rsidRPr="003B3924">
        <w:lastRenderedPageBreak/>
        <w:t>residential tenure all provided conditions in navigating linked lives, shaping the ability to do the right thing, sense</w:t>
      </w:r>
      <w:r w:rsidR="00803756" w:rsidRPr="003B3924">
        <w:t>s</w:t>
      </w:r>
      <w:r w:rsidRPr="003B3924">
        <w:t xml:space="preserve"> of passivity and proactivity, and feelings of anxiety.  This was evident in the considerations around breadwinning and home moves by fathers, with the 1970-89 cohort standing out in the co-occurrence of ‘home’ and ‘moving’ in the corpus of accounts</w:t>
      </w:r>
      <w:r w:rsidR="00803756" w:rsidRPr="003B3924">
        <w:t>,</w:t>
      </w:r>
      <w:r w:rsidRPr="003B3924">
        <w:t xml:space="preserve"> and </w:t>
      </w:r>
      <w:r w:rsidR="00803756" w:rsidRPr="003B3924">
        <w:t xml:space="preserve">it was </w:t>
      </w:r>
      <w:r w:rsidRPr="003B3924">
        <w:t xml:space="preserve">illustrated in the gendered themes in David’s and Joe’s proactive but somewhat nervous small stories.  </w:t>
      </w:r>
      <w:r w:rsidR="00803756" w:rsidRPr="003B3924">
        <w:t xml:space="preserve">Nadia’s </w:t>
      </w:r>
      <w:r w:rsidRPr="003B3924">
        <w:t>self- and un</w:t>
      </w:r>
      <w:r w:rsidR="00803756" w:rsidRPr="003B3924">
        <w:t xml:space="preserve">- </w:t>
      </w:r>
      <w:r w:rsidRPr="003B3924">
        <w:t xml:space="preserve">employment, and her partner’s employment, played a role in </w:t>
      </w:r>
      <w:r w:rsidR="00803756" w:rsidRPr="003B3924">
        <w:t>her</w:t>
      </w:r>
      <w:r w:rsidRPr="003B3924">
        <w:t xml:space="preserve"> pendulum home moves.  Financial and home tenure resources implicitly constrained the navigation of interdependent ties that are part of Shirley’s and Nadia’s accounts, but are clear in supporting the means to manage shifting relationships through shifting homes for those with more material resources available to them, such as Louise, Charlotte, and Tina.</w:t>
      </w:r>
    </w:p>
    <w:p w14:paraId="20845CC8" w14:textId="77777777" w:rsidR="00BA5A52" w:rsidRPr="003B3924" w:rsidRDefault="00BA5A52" w:rsidP="00BA5A52"/>
    <w:p w14:paraId="10E82FD0" w14:textId="15C7C167" w:rsidR="00BA5A52" w:rsidRPr="003B3924" w:rsidRDefault="00BA5A52" w:rsidP="00BA5A52">
      <w:r w:rsidRPr="002454C4">
        <w:t xml:space="preserve">There may well be gendered and </w:t>
      </w:r>
      <w:r w:rsidR="00EE67A0" w:rsidRPr="002454C4">
        <w:t xml:space="preserve">social and familial </w:t>
      </w:r>
      <w:r w:rsidRPr="002454C4">
        <w:t xml:space="preserve">generational features of home moves that our </w:t>
      </w:r>
      <w:r w:rsidRPr="003B3924">
        <w:t>keyword and thematic analyses did not pick up, and other forms of home move small stories beyond the limitations of our analysis.  These may take us further in relation to the interlocking of women, care and moving home, the centring of others and self in home move considerations, and generational issues around residence tenure and the implications for linked lives.  The</w:t>
      </w:r>
      <w:r w:rsidR="00EE67A0">
        <w:t>s</w:t>
      </w:r>
      <w:r w:rsidRPr="003B3924">
        <w:t xml:space="preserve">e are </w:t>
      </w:r>
      <w:r w:rsidRPr="002454C4">
        <w:t xml:space="preserve">drawbacks to working with secondary data as against a bespoke primary data set.  </w:t>
      </w:r>
      <w:r w:rsidR="007F315C" w:rsidRPr="002454C4">
        <w:t xml:space="preserve">The secondary researchers’ ability to shape the size and characteristics of their sample, and the exploration of the substantive topic, is limited.  Secondary researchers </w:t>
      </w:r>
      <w:proofErr w:type="gramStart"/>
      <w:r w:rsidR="007F315C" w:rsidRPr="002454C4">
        <w:t>have to</w:t>
      </w:r>
      <w:proofErr w:type="gramEnd"/>
      <w:r w:rsidR="007F315C" w:rsidRPr="002454C4">
        <w:t xml:space="preserve"> work with what the original researchers generated for their study</w:t>
      </w:r>
      <w:r w:rsidR="00761A70" w:rsidRPr="002454C4">
        <w:t xml:space="preserve"> and the background information they supply</w:t>
      </w:r>
      <w:r w:rsidR="007F315C" w:rsidRPr="002454C4">
        <w:t xml:space="preserve">.  </w:t>
      </w:r>
      <w:r w:rsidRPr="002454C4">
        <w:t xml:space="preserve">But there are also strengths. </w:t>
      </w:r>
      <w:r w:rsidRPr="003B3924">
        <w:t>Working with multiple merged data sets meant that we could conduct secondary data analysis across disparate qualitative studies, making use of possibilities of strategic comparisons that cannot be addressed a in discrete small</w:t>
      </w:r>
      <w:r w:rsidR="00BB1426">
        <w:t>-</w:t>
      </w:r>
      <w:r w:rsidRPr="003B3924">
        <w:t xml:space="preserve">scale study.  </w:t>
      </w:r>
      <w:r w:rsidR="00761A70">
        <w:t>Importantly, w</w:t>
      </w:r>
      <w:r w:rsidRPr="003B3924">
        <w:t>e have</w:t>
      </w:r>
      <w:r w:rsidR="004E04D1" w:rsidRPr="003B3924">
        <w:t xml:space="preserve"> </w:t>
      </w:r>
      <w:r w:rsidRPr="003B3924">
        <w:t>contribute</w:t>
      </w:r>
      <w:r w:rsidR="00BD352A">
        <w:t>d</w:t>
      </w:r>
      <w:r w:rsidRPr="003B3924">
        <w:t xml:space="preserve"> to knowledge</w:t>
      </w:r>
      <w:r w:rsidR="00803756" w:rsidRPr="003B3924">
        <w:t xml:space="preserve"> about residential </w:t>
      </w:r>
      <w:proofErr w:type="spellStart"/>
      <w:r w:rsidR="00803756" w:rsidRPr="003B3924">
        <w:t>im</w:t>
      </w:r>
      <w:proofErr w:type="spellEnd"/>
      <w:r w:rsidR="00803756" w:rsidRPr="003B3924">
        <w:t>/mobility in the UK</w:t>
      </w:r>
      <w:r w:rsidR="004E04D1" w:rsidRPr="003B3924">
        <w:t>,</w:t>
      </w:r>
      <w:r w:rsidRPr="003B3924">
        <w:t xml:space="preserve"> through the insertion of meaning making </w:t>
      </w:r>
      <w:r w:rsidR="004E04D1" w:rsidRPr="003B3924">
        <w:t xml:space="preserve">and </w:t>
      </w:r>
      <w:r w:rsidRPr="003B3924">
        <w:t>emphasis</w:t>
      </w:r>
      <w:r w:rsidR="00803756" w:rsidRPr="003B3924">
        <w:t xml:space="preserve"> on</w:t>
      </w:r>
      <w:r w:rsidRPr="003B3924">
        <w:t xml:space="preserve"> the importance of linked lives and interdependencies.  </w:t>
      </w:r>
      <w:r w:rsidR="004E04D1" w:rsidRPr="003B3924">
        <w:t>O</w:t>
      </w:r>
      <w:r w:rsidRPr="003B3924">
        <w:t xml:space="preserve">ur gendered and generational breadth-and-depth approach has </w:t>
      </w:r>
      <w:r w:rsidR="004E04D1" w:rsidRPr="003B3924">
        <w:t xml:space="preserve">supported </w:t>
      </w:r>
      <w:r w:rsidRPr="003B3924">
        <w:t xml:space="preserve">a nuanced and rounded understanding of home moves, identifying trends in the salience of moving home and pinpointing recurrent themes from a large corpus of qualitative data.  In turn the detailed processes of these larger comparative analyses have been explored in depth through a small </w:t>
      </w:r>
      <w:proofErr w:type="gramStart"/>
      <w:r w:rsidRPr="003B3924">
        <w:t>stories</w:t>
      </w:r>
      <w:proofErr w:type="gramEnd"/>
      <w:r w:rsidRPr="003B3924">
        <w:t xml:space="preserve"> analysis of cases.  </w:t>
      </w:r>
      <w:proofErr w:type="gramStart"/>
      <w:r w:rsidRPr="003B3924">
        <w:t>As a whole, these</w:t>
      </w:r>
      <w:proofErr w:type="gramEnd"/>
      <w:r w:rsidRPr="003B3924">
        <w:t xml:space="preserve"> analyses reveal the intricacies of the articulation of structured and micro interdependent relational issues of linked lives and home moves.</w:t>
      </w:r>
    </w:p>
    <w:p w14:paraId="2C6AD9C5" w14:textId="77777777" w:rsidR="00024AF7" w:rsidRPr="003B3924" w:rsidRDefault="00024AF7"/>
    <w:p w14:paraId="7690588B" w14:textId="1AA1D3D2" w:rsidR="00CF6B9F" w:rsidRPr="003B3924" w:rsidRDefault="00CF6B9F"/>
    <w:p w14:paraId="4D47D490" w14:textId="3C46B7D5" w:rsidR="00CF6B9F" w:rsidRPr="003B3924" w:rsidRDefault="00CF6B9F">
      <w:pPr>
        <w:rPr>
          <w:b/>
        </w:rPr>
      </w:pPr>
      <w:r w:rsidRPr="003B3924">
        <w:rPr>
          <w:b/>
        </w:rPr>
        <w:t>References</w:t>
      </w:r>
    </w:p>
    <w:p w14:paraId="00074C6F" w14:textId="00376DA7" w:rsidR="00CF6B9F" w:rsidRDefault="00CF6B9F"/>
    <w:p w14:paraId="2313197E" w14:textId="67028AF1" w:rsidR="0039142D" w:rsidRDefault="0039142D">
      <w:r>
        <w:t>Ahmed, S. (1999)</w:t>
      </w:r>
      <w:r w:rsidR="00101E05">
        <w:t>.</w:t>
      </w:r>
      <w:r>
        <w:t xml:space="preserve"> </w:t>
      </w:r>
      <w:r w:rsidR="00A258C5">
        <w:t>Home and away: narratives of migration and estrangement</w:t>
      </w:r>
      <w:r w:rsidR="00101E05">
        <w:t>.</w:t>
      </w:r>
      <w:r w:rsidR="00A258C5">
        <w:t xml:space="preserve"> </w:t>
      </w:r>
      <w:r w:rsidR="00A258C5" w:rsidRPr="00A258C5">
        <w:rPr>
          <w:i/>
        </w:rPr>
        <w:t>International Journal of Cultural Studies</w:t>
      </w:r>
      <w:r w:rsidR="00A258C5">
        <w:t xml:space="preserve">, </w:t>
      </w:r>
      <w:r w:rsidR="00A258C5" w:rsidRPr="00101E05">
        <w:rPr>
          <w:i/>
          <w:iCs/>
        </w:rPr>
        <w:t>2</w:t>
      </w:r>
      <w:r w:rsidR="00101E05">
        <w:t>,</w:t>
      </w:r>
      <w:r w:rsidR="00A258C5">
        <w:t xml:space="preserve"> 329-347.</w:t>
      </w:r>
    </w:p>
    <w:p w14:paraId="45BF3409" w14:textId="1CB518DD" w:rsidR="00682809" w:rsidRPr="00101E05" w:rsidRDefault="00682809">
      <w:pPr>
        <w:rPr>
          <w:rFonts w:cs="Arial"/>
          <w:shd w:val="clear" w:color="auto" w:fill="FFFFFF"/>
        </w:rPr>
      </w:pPr>
      <w:r w:rsidRPr="00101E05">
        <w:t xml:space="preserve">Bamberg, M. </w:t>
      </w:r>
      <w:r w:rsidR="00101E05" w:rsidRPr="00101E05">
        <w:t>&amp;</w:t>
      </w:r>
      <w:r w:rsidRPr="00101E05">
        <w:t xml:space="preserve"> </w:t>
      </w:r>
      <w:proofErr w:type="spellStart"/>
      <w:r w:rsidRPr="00101E05">
        <w:t>Georgakopoulou</w:t>
      </w:r>
      <w:proofErr w:type="spellEnd"/>
      <w:r w:rsidRPr="00101E05">
        <w:t>, A. (2008)</w:t>
      </w:r>
      <w:r w:rsidR="00101E05" w:rsidRPr="00101E05">
        <w:t>.</w:t>
      </w:r>
      <w:r w:rsidRPr="00101E05">
        <w:t xml:space="preserve"> Small stories as a new perspective in narrative and identity analysis</w:t>
      </w:r>
      <w:r w:rsidR="00101E05" w:rsidRPr="00101E05">
        <w:t>.</w:t>
      </w:r>
      <w:r w:rsidRPr="00101E05">
        <w:t xml:space="preserve"> </w:t>
      </w:r>
      <w:r w:rsidRPr="00101E05">
        <w:rPr>
          <w:i/>
        </w:rPr>
        <w:t>Text and Talk</w:t>
      </w:r>
      <w:r w:rsidRPr="00101E05">
        <w:t xml:space="preserve">, </w:t>
      </w:r>
      <w:r w:rsidRPr="00101E05">
        <w:rPr>
          <w:rFonts w:cs="Arial"/>
          <w:i/>
          <w:iCs/>
          <w:shd w:val="clear" w:color="auto" w:fill="FFFFFF"/>
        </w:rPr>
        <w:t>28</w:t>
      </w:r>
      <w:r w:rsidR="00101E05" w:rsidRPr="00101E05">
        <w:rPr>
          <w:rFonts w:cs="Arial"/>
          <w:shd w:val="clear" w:color="auto" w:fill="FFFFFF"/>
        </w:rPr>
        <w:t>,</w:t>
      </w:r>
      <w:r w:rsidRPr="00101E05">
        <w:rPr>
          <w:rFonts w:cs="Arial"/>
          <w:shd w:val="clear" w:color="auto" w:fill="FFFFFF"/>
        </w:rPr>
        <w:t xml:space="preserve"> 377-396.</w:t>
      </w:r>
    </w:p>
    <w:p w14:paraId="6C04199E" w14:textId="5A618098" w:rsidR="00B92B99" w:rsidRPr="00BB75A9" w:rsidRDefault="00B92B99" w:rsidP="00B92B99">
      <w:pPr>
        <w:shd w:val="clear" w:color="auto" w:fill="FFFFFF"/>
      </w:pPr>
      <w:r w:rsidRPr="00BB75A9">
        <w:t>Buckle, C. (2017)</w:t>
      </w:r>
      <w:r w:rsidR="00BB75A9" w:rsidRPr="00BB75A9">
        <w:t>.</w:t>
      </w:r>
      <w:r w:rsidRPr="00BB75A9">
        <w:t xml:space="preserve"> Residential mobility and moving home</w:t>
      </w:r>
      <w:r w:rsidR="00BB75A9" w:rsidRPr="00BB75A9">
        <w:t>.</w:t>
      </w:r>
      <w:r w:rsidRPr="00BB75A9">
        <w:t xml:space="preserve"> </w:t>
      </w:r>
      <w:r w:rsidRPr="00BB75A9">
        <w:rPr>
          <w:i/>
        </w:rPr>
        <w:t>Geography Compass</w:t>
      </w:r>
      <w:r w:rsidRPr="00BB75A9">
        <w:t xml:space="preserve">, 1-11: </w:t>
      </w:r>
      <w:hyperlink r:id="rId10" w:history="1">
        <w:r w:rsidRPr="00BB75A9">
          <w:rPr>
            <w:rFonts w:cs="Arial"/>
            <w:bCs/>
          </w:rPr>
          <w:t>https://doi.org/10.1111/gec3.12314</w:t>
        </w:r>
      </w:hyperlink>
      <w:r w:rsidRPr="00BB75A9">
        <w:rPr>
          <w:rFonts w:cs="Arial"/>
          <w:b/>
        </w:rPr>
        <w:t xml:space="preserve"> </w:t>
      </w:r>
      <w:r w:rsidRPr="00BB75A9">
        <w:rPr>
          <w:rFonts w:cs="Arial"/>
        </w:rPr>
        <w:t>[accessed 6.8.18].</w:t>
      </w:r>
      <w:r w:rsidRPr="00BB75A9">
        <w:rPr>
          <w:rFonts w:cs="Arial"/>
          <w:shd w:val="clear" w:color="auto" w:fill="FFFFFF"/>
        </w:rPr>
        <w:t> </w:t>
      </w:r>
    </w:p>
    <w:p w14:paraId="10CD8545" w14:textId="5D278719" w:rsidR="005D5AA2" w:rsidRPr="00BB75A9" w:rsidRDefault="005D5AA2" w:rsidP="005D5AA2">
      <w:pPr>
        <w:autoSpaceDE w:val="0"/>
        <w:autoSpaceDN w:val="0"/>
        <w:adjustRightInd w:val="0"/>
      </w:pPr>
      <w:r w:rsidRPr="00BB75A9">
        <w:rPr>
          <w:rFonts w:cs="StoneSerif"/>
          <w:color w:val="231F20"/>
        </w:rPr>
        <w:t xml:space="preserve">Bonnet, C., </w:t>
      </w:r>
      <w:proofErr w:type="spellStart"/>
      <w:r w:rsidRPr="00BB75A9">
        <w:rPr>
          <w:rFonts w:cs="StoneSerif"/>
          <w:color w:val="231F20"/>
        </w:rPr>
        <w:t>Gobillon</w:t>
      </w:r>
      <w:proofErr w:type="spellEnd"/>
      <w:r w:rsidRPr="00BB75A9">
        <w:rPr>
          <w:rFonts w:cs="StoneSerif"/>
          <w:color w:val="231F20"/>
        </w:rPr>
        <w:t xml:space="preserve">, L. </w:t>
      </w:r>
      <w:r w:rsidR="00BB75A9">
        <w:rPr>
          <w:rFonts w:cs="StoneSerif"/>
          <w:color w:val="231F20"/>
        </w:rPr>
        <w:t>&amp;</w:t>
      </w:r>
      <w:r w:rsidRPr="00BB75A9">
        <w:rPr>
          <w:rFonts w:cs="StoneSerif"/>
          <w:color w:val="231F20"/>
        </w:rPr>
        <w:t xml:space="preserve"> </w:t>
      </w:r>
      <w:proofErr w:type="spellStart"/>
      <w:r w:rsidRPr="00BB75A9">
        <w:rPr>
          <w:rFonts w:cs="StoneSerif"/>
          <w:color w:val="231F20"/>
        </w:rPr>
        <w:t>Laferrère</w:t>
      </w:r>
      <w:proofErr w:type="spellEnd"/>
      <w:r w:rsidRPr="00BB75A9">
        <w:rPr>
          <w:rFonts w:cs="StoneSerif"/>
          <w:color w:val="231F20"/>
        </w:rPr>
        <w:t>, A. (2010)</w:t>
      </w:r>
      <w:r w:rsidR="00BB75A9" w:rsidRPr="00BB75A9">
        <w:rPr>
          <w:rFonts w:cs="StoneSerif"/>
          <w:color w:val="231F20"/>
        </w:rPr>
        <w:t>.</w:t>
      </w:r>
      <w:r w:rsidRPr="00BB75A9">
        <w:rPr>
          <w:rFonts w:cs="StoneSerif"/>
          <w:color w:val="231F20"/>
        </w:rPr>
        <w:t xml:space="preserve"> The effect of widowhood on housing and location choices</w:t>
      </w:r>
      <w:r w:rsidR="00BB75A9" w:rsidRPr="00BB75A9">
        <w:rPr>
          <w:rFonts w:cs="StoneSerif"/>
          <w:color w:val="231F20"/>
        </w:rPr>
        <w:t>.</w:t>
      </w:r>
      <w:r w:rsidRPr="00BB75A9">
        <w:rPr>
          <w:rFonts w:cs="StoneSerif"/>
          <w:color w:val="231F20"/>
        </w:rPr>
        <w:t xml:space="preserve"> </w:t>
      </w:r>
      <w:r w:rsidRPr="00BB75A9">
        <w:rPr>
          <w:rFonts w:cs="StoneSerif-Italic"/>
          <w:i/>
          <w:iCs/>
          <w:color w:val="231F20"/>
        </w:rPr>
        <w:t>Journal of Housing Economics</w:t>
      </w:r>
      <w:r w:rsidRPr="00BB75A9">
        <w:rPr>
          <w:rFonts w:cs="StoneSerif"/>
          <w:color w:val="231F20"/>
        </w:rPr>
        <w:t xml:space="preserve">, </w:t>
      </w:r>
      <w:r w:rsidRPr="00BB75A9">
        <w:rPr>
          <w:rFonts w:cs="StoneSerif"/>
          <w:i/>
          <w:iCs/>
          <w:color w:val="231F20"/>
        </w:rPr>
        <w:t>19</w:t>
      </w:r>
      <w:r w:rsidRPr="00BB75A9">
        <w:rPr>
          <w:rFonts w:cs="StoneSerif"/>
          <w:color w:val="231F20"/>
        </w:rPr>
        <w:t>, 94–108.</w:t>
      </w:r>
    </w:p>
    <w:p w14:paraId="377E5493" w14:textId="60B36DFE" w:rsidR="005D5AA2" w:rsidRPr="00BB75A9" w:rsidRDefault="005D5AA2" w:rsidP="005D5AA2">
      <w:r w:rsidRPr="00BB75A9">
        <w:t xml:space="preserve">Boyle, P., </w:t>
      </w:r>
      <w:proofErr w:type="spellStart"/>
      <w:r w:rsidRPr="00BB75A9">
        <w:t>Kulu</w:t>
      </w:r>
      <w:proofErr w:type="spellEnd"/>
      <w:r w:rsidRPr="00BB75A9">
        <w:t>, H., Cooke, T., Gayle, V.  Mulder, C.H. (2008)</w:t>
      </w:r>
      <w:r w:rsidR="00BB75A9" w:rsidRPr="00BB75A9">
        <w:t>.</w:t>
      </w:r>
      <w:r w:rsidRPr="00BB75A9">
        <w:t xml:space="preserve"> Moving and union dissolution</w:t>
      </w:r>
      <w:r w:rsidR="00BB75A9" w:rsidRPr="00BB75A9">
        <w:t>.</w:t>
      </w:r>
      <w:r w:rsidRPr="00BB75A9">
        <w:t xml:space="preserve"> </w:t>
      </w:r>
      <w:r w:rsidRPr="00BB75A9">
        <w:rPr>
          <w:i/>
        </w:rPr>
        <w:t>Demography</w:t>
      </w:r>
      <w:r w:rsidR="00BB75A9" w:rsidRPr="00BB75A9">
        <w:rPr>
          <w:i/>
        </w:rPr>
        <w:t>,</w:t>
      </w:r>
      <w:r w:rsidRPr="00BB75A9">
        <w:rPr>
          <w:i/>
        </w:rPr>
        <w:t xml:space="preserve"> </w:t>
      </w:r>
      <w:r w:rsidRPr="00BB75A9">
        <w:rPr>
          <w:i/>
          <w:iCs/>
        </w:rPr>
        <w:t>45</w:t>
      </w:r>
      <w:r w:rsidR="00BB75A9" w:rsidRPr="00BB75A9">
        <w:t>,</w:t>
      </w:r>
      <w:r w:rsidRPr="00BB75A9">
        <w:t xml:space="preserve"> 209-222.</w:t>
      </w:r>
    </w:p>
    <w:p w14:paraId="459CCFE0" w14:textId="1420AEB3" w:rsidR="004B407F" w:rsidRDefault="004B407F" w:rsidP="005D5AA2">
      <w:r w:rsidRPr="00BB75A9">
        <w:t xml:space="preserve">Coulter, R., van Ham, M. </w:t>
      </w:r>
      <w:r w:rsidR="00BB75A9" w:rsidRPr="00BB75A9">
        <w:t>&amp;</w:t>
      </w:r>
      <w:r w:rsidRPr="00BB75A9">
        <w:t xml:space="preserve"> Findlay, A.M. (2016)</w:t>
      </w:r>
      <w:r w:rsidR="00BB75A9" w:rsidRPr="00BB75A9">
        <w:t>.</w:t>
      </w:r>
      <w:r w:rsidRPr="00BB75A9">
        <w:t xml:space="preserve"> Re-thinking residential mobility: linking lives through time and space</w:t>
      </w:r>
      <w:r w:rsidR="00BB75A9" w:rsidRPr="00BB75A9">
        <w:t>.</w:t>
      </w:r>
      <w:r w:rsidRPr="00BB75A9">
        <w:t xml:space="preserve"> </w:t>
      </w:r>
      <w:r w:rsidRPr="00BB75A9">
        <w:rPr>
          <w:i/>
        </w:rPr>
        <w:t>Progress in Human Geography</w:t>
      </w:r>
      <w:r w:rsidRPr="00BB75A9">
        <w:t xml:space="preserve">, </w:t>
      </w:r>
      <w:r w:rsidRPr="00BB75A9">
        <w:rPr>
          <w:i/>
          <w:iCs/>
        </w:rPr>
        <w:t>40</w:t>
      </w:r>
      <w:r w:rsidR="00BB75A9" w:rsidRPr="00BB75A9">
        <w:t>,</w:t>
      </w:r>
      <w:r w:rsidRPr="00BB75A9">
        <w:t xml:space="preserve"> 352-374.</w:t>
      </w:r>
    </w:p>
    <w:p w14:paraId="44DAB922" w14:textId="464612E9" w:rsidR="002454C4" w:rsidRDefault="002454C4" w:rsidP="005D5AA2">
      <w:r w:rsidRPr="002454C4">
        <w:rPr>
          <w:szCs w:val="20"/>
          <w:lang w:eastAsia="en-US"/>
        </w:rPr>
        <w:t xml:space="preserve">Davidson, E., Edwards, R., Jamieson, L. and Weller, S. </w:t>
      </w:r>
      <w:r>
        <w:rPr>
          <w:szCs w:val="20"/>
          <w:lang w:eastAsia="en-US"/>
        </w:rPr>
        <w:t xml:space="preserve">(2019). </w:t>
      </w:r>
      <w:r w:rsidRPr="002454C4">
        <w:rPr>
          <w:szCs w:val="20"/>
          <w:lang w:val="en-US" w:eastAsia="en-US"/>
        </w:rPr>
        <w:t>Big data, qualitative style: a breadth-and-depth method for working with large amounts of secondary qualitative data</w:t>
      </w:r>
      <w:r>
        <w:rPr>
          <w:szCs w:val="20"/>
          <w:lang w:val="en-US" w:eastAsia="en-US"/>
        </w:rPr>
        <w:t>.</w:t>
      </w:r>
      <w:r w:rsidRPr="002454C4">
        <w:rPr>
          <w:szCs w:val="20"/>
          <w:lang w:val="en-US" w:eastAsia="en-US"/>
        </w:rPr>
        <w:t xml:space="preserve"> </w:t>
      </w:r>
      <w:r w:rsidRPr="002454C4">
        <w:rPr>
          <w:i/>
          <w:szCs w:val="20"/>
          <w:lang w:val="en-US" w:eastAsia="en-US"/>
        </w:rPr>
        <w:t>Quality and Quantity</w:t>
      </w:r>
      <w:r w:rsidRPr="002454C4">
        <w:rPr>
          <w:iCs/>
          <w:szCs w:val="20"/>
          <w:lang w:val="en-US" w:eastAsia="en-US"/>
        </w:rPr>
        <w:t xml:space="preserve">, </w:t>
      </w:r>
      <w:r w:rsidRPr="002454C4">
        <w:rPr>
          <w:i/>
          <w:szCs w:val="20"/>
          <w:lang w:val="en-US" w:eastAsia="en-US"/>
        </w:rPr>
        <w:t>53</w:t>
      </w:r>
      <w:r>
        <w:rPr>
          <w:i/>
          <w:szCs w:val="20"/>
          <w:lang w:val="en-US" w:eastAsia="en-US"/>
        </w:rPr>
        <w:t>,</w:t>
      </w:r>
      <w:r w:rsidRPr="002454C4">
        <w:rPr>
          <w:szCs w:val="20"/>
          <w:lang w:val="en-US" w:eastAsia="en-US"/>
        </w:rPr>
        <w:t xml:space="preserve"> 363-376</w:t>
      </w:r>
      <w:r>
        <w:rPr>
          <w:szCs w:val="20"/>
          <w:lang w:val="en-US" w:eastAsia="en-US"/>
        </w:rPr>
        <w:t>.</w:t>
      </w:r>
    </w:p>
    <w:p w14:paraId="6EA82B05" w14:textId="032A4C3D" w:rsidR="002454C4" w:rsidRDefault="002454C4" w:rsidP="005D5AA2">
      <w:bookmarkStart w:id="7" w:name="_Hlk531261236"/>
      <w:r>
        <w:rPr>
          <w:spacing w:val="-3"/>
        </w:rPr>
        <w:lastRenderedPageBreak/>
        <w:t xml:space="preserve">Edwards, R., Weller, S., Jamieson, L. and Davidson, E. </w:t>
      </w:r>
      <w:r>
        <w:rPr>
          <w:spacing w:val="-3"/>
        </w:rPr>
        <w:t xml:space="preserve">(2019). </w:t>
      </w:r>
      <w:r>
        <w:rPr>
          <w:spacing w:val="-3"/>
        </w:rPr>
        <w:t>Search strategies: analytic searching across multiple data sets and within combined sources</w:t>
      </w:r>
      <w:r>
        <w:rPr>
          <w:spacing w:val="-3"/>
        </w:rPr>
        <w:t>. I</w:t>
      </w:r>
      <w:r>
        <w:rPr>
          <w:spacing w:val="-3"/>
        </w:rPr>
        <w:t xml:space="preserve">n K. Hughes and A. Tarrant (eds) </w:t>
      </w:r>
      <w:r w:rsidRPr="00822C5B">
        <w:rPr>
          <w:i/>
          <w:spacing w:val="-3"/>
        </w:rPr>
        <w:t xml:space="preserve">Qualitative </w:t>
      </w:r>
      <w:r>
        <w:rPr>
          <w:i/>
          <w:spacing w:val="-3"/>
        </w:rPr>
        <w:t>s</w:t>
      </w:r>
      <w:r w:rsidRPr="00822C5B">
        <w:rPr>
          <w:i/>
          <w:spacing w:val="-3"/>
        </w:rPr>
        <w:t xml:space="preserve">econdary </w:t>
      </w:r>
      <w:r>
        <w:rPr>
          <w:i/>
          <w:spacing w:val="-3"/>
        </w:rPr>
        <w:t>a</w:t>
      </w:r>
      <w:r w:rsidRPr="00822C5B">
        <w:rPr>
          <w:i/>
          <w:spacing w:val="-3"/>
        </w:rPr>
        <w:t>nalysis</w:t>
      </w:r>
      <w:r>
        <w:rPr>
          <w:i/>
          <w:spacing w:val="-3"/>
        </w:rPr>
        <w:t xml:space="preserve"> </w:t>
      </w:r>
      <w:r>
        <w:rPr>
          <w:iCs/>
          <w:spacing w:val="-3"/>
        </w:rPr>
        <w:t>(pp. 79-100).</w:t>
      </w:r>
      <w:r>
        <w:rPr>
          <w:spacing w:val="-3"/>
        </w:rPr>
        <w:t xml:space="preserve"> London: Sage.</w:t>
      </w:r>
      <w:bookmarkEnd w:id="7"/>
    </w:p>
    <w:p w14:paraId="3A07F0C1" w14:textId="512C36A3" w:rsidR="005D5AA2" w:rsidRPr="00BB75A9" w:rsidRDefault="00702F80" w:rsidP="005D5AA2">
      <w:pPr>
        <w:pStyle w:val="PlainText"/>
        <w:rPr>
          <w:rFonts w:ascii="Arial Narrow" w:hAnsi="Arial Narrow"/>
          <w:sz w:val="24"/>
          <w:szCs w:val="24"/>
        </w:rPr>
      </w:pPr>
      <w:r w:rsidRPr="00BB75A9">
        <w:rPr>
          <w:rFonts w:ascii="Arial Narrow" w:hAnsi="Arial Narrow"/>
          <w:sz w:val="24"/>
          <w:szCs w:val="24"/>
        </w:rPr>
        <w:t xml:space="preserve">Falkingham, J., Sage, J., Stone, J. </w:t>
      </w:r>
      <w:r w:rsidR="00BB75A9" w:rsidRPr="00BB75A9">
        <w:rPr>
          <w:rFonts w:ascii="Arial Narrow" w:hAnsi="Arial Narrow"/>
          <w:sz w:val="24"/>
          <w:szCs w:val="24"/>
        </w:rPr>
        <w:t>&amp;</w:t>
      </w:r>
      <w:r w:rsidRPr="00BB75A9">
        <w:rPr>
          <w:rFonts w:ascii="Arial Narrow" w:hAnsi="Arial Narrow"/>
          <w:sz w:val="24"/>
          <w:szCs w:val="24"/>
        </w:rPr>
        <w:t xml:space="preserve"> Vlachantoni, A. (2016)</w:t>
      </w:r>
      <w:r w:rsidR="00BB75A9" w:rsidRPr="00BB75A9">
        <w:rPr>
          <w:rFonts w:ascii="Arial Narrow" w:hAnsi="Arial Narrow"/>
          <w:sz w:val="24"/>
          <w:szCs w:val="24"/>
        </w:rPr>
        <w:t>.</w:t>
      </w:r>
      <w:r w:rsidRPr="00BB75A9">
        <w:rPr>
          <w:rFonts w:ascii="Arial Narrow" w:hAnsi="Arial Narrow"/>
          <w:sz w:val="24"/>
          <w:szCs w:val="24"/>
        </w:rPr>
        <w:t xml:space="preserve"> Residential </w:t>
      </w:r>
      <w:r w:rsidR="005D5AA2" w:rsidRPr="00BB75A9">
        <w:rPr>
          <w:rFonts w:ascii="Arial Narrow" w:hAnsi="Arial Narrow"/>
          <w:sz w:val="24"/>
          <w:szCs w:val="24"/>
        </w:rPr>
        <w:t xml:space="preserve">mobility across the </w:t>
      </w:r>
      <w:proofErr w:type="spellStart"/>
      <w:r w:rsidR="005D5AA2" w:rsidRPr="00BB75A9">
        <w:rPr>
          <w:rFonts w:ascii="Arial Narrow" w:hAnsi="Arial Narrow"/>
          <w:sz w:val="24"/>
          <w:szCs w:val="24"/>
        </w:rPr>
        <w:t>lifecourse</w:t>
      </w:r>
      <w:proofErr w:type="spellEnd"/>
      <w:r w:rsidR="005D5AA2" w:rsidRPr="00BB75A9">
        <w:rPr>
          <w:rFonts w:ascii="Arial Narrow" w:hAnsi="Arial Narrow"/>
          <w:sz w:val="24"/>
          <w:szCs w:val="24"/>
        </w:rPr>
        <w:t>: continuity and change across three cohorts in Britain</w:t>
      </w:r>
      <w:r w:rsidR="00BB75A9" w:rsidRPr="00BB75A9">
        <w:rPr>
          <w:rFonts w:ascii="Arial Narrow" w:hAnsi="Arial Narrow"/>
          <w:sz w:val="24"/>
          <w:szCs w:val="24"/>
        </w:rPr>
        <w:t>.</w:t>
      </w:r>
      <w:r w:rsidR="005D5AA2" w:rsidRPr="00BB75A9">
        <w:rPr>
          <w:rFonts w:ascii="Arial Narrow" w:hAnsi="Arial Narrow"/>
          <w:sz w:val="24"/>
          <w:szCs w:val="24"/>
        </w:rPr>
        <w:t xml:space="preserve"> </w:t>
      </w:r>
      <w:r w:rsidR="005D5AA2" w:rsidRPr="00BB75A9">
        <w:rPr>
          <w:rFonts w:ascii="Arial Narrow" w:hAnsi="Arial Narrow"/>
          <w:i/>
          <w:sz w:val="24"/>
          <w:szCs w:val="24"/>
        </w:rPr>
        <w:t xml:space="preserve">Advances in </w:t>
      </w:r>
      <w:proofErr w:type="spellStart"/>
      <w:r w:rsidR="005D5AA2" w:rsidRPr="00BB75A9">
        <w:rPr>
          <w:rFonts w:ascii="Arial Narrow" w:hAnsi="Arial Narrow"/>
          <w:i/>
          <w:sz w:val="24"/>
          <w:szCs w:val="24"/>
        </w:rPr>
        <w:t>Lifecourse</w:t>
      </w:r>
      <w:proofErr w:type="spellEnd"/>
      <w:r w:rsidR="005D5AA2" w:rsidRPr="00BB75A9">
        <w:rPr>
          <w:rFonts w:ascii="Arial Narrow" w:hAnsi="Arial Narrow"/>
          <w:i/>
          <w:sz w:val="24"/>
          <w:szCs w:val="24"/>
        </w:rPr>
        <w:t xml:space="preserve"> Research</w:t>
      </w:r>
      <w:r w:rsidR="005D5AA2" w:rsidRPr="00BB75A9">
        <w:rPr>
          <w:rFonts w:ascii="Arial Narrow" w:hAnsi="Arial Narrow"/>
          <w:sz w:val="24"/>
          <w:szCs w:val="24"/>
        </w:rPr>
        <w:t xml:space="preserve">, </w:t>
      </w:r>
      <w:r w:rsidR="005D5AA2" w:rsidRPr="00BB75A9">
        <w:rPr>
          <w:rFonts w:ascii="Arial Narrow" w:hAnsi="Arial Narrow"/>
          <w:i/>
          <w:iCs/>
          <w:sz w:val="24"/>
          <w:szCs w:val="24"/>
        </w:rPr>
        <w:t>30</w:t>
      </w:r>
      <w:r w:rsidR="00BB75A9" w:rsidRPr="00BB75A9">
        <w:rPr>
          <w:rFonts w:ascii="Arial Narrow" w:hAnsi="Arial Narrow"/>
          <w:sz w:val="24"/>
          <w:szCs w:val="24"/>
        </w:rPr>
        <w:t>,</w:t>
      </w:r>
      <w:r w:rsidR="005D5AA2" w:rsidRPr="00BB75A9">
        <w:rPr>
          <w:rFonts w:ascii="Arial Narrow" w:hAnsi="Arial Narrow"/>
          <w:sz w:val="24"/>
          <w:szCs w:val="24"/>
        </w:rPr>
        <w:t xml:space="preserve"> 111-123</w:t>
      </w:r>
      <w:r w:rsidR="00BB75A9" w:rsidRPr="00BB75A9">
        <w:rPr>
          <w:rFonts w:ascii="Arial Narrow" w:hAnsi="Arial Narrow"/>
          <w:sz w:val="24"/>
          <w:szCs w:val="24"/>
        </w:rPr>
        <w:t xml:space="preserve">.  </w:t>
      </w:r>
    </w:p>
    <w:p w14:paraId="506CDA76" w14:textId="4B4986A3" w:rsidR="003F524F" w:rsidRPr="00BB75A9" w:rsidRDefault="003F524F" w:rsidP="005D5AA2">
      <w:pPr>
        <w:pStyle w:val="PlainText"/>
        <w:rPr>
          <w:rFonts w:ascii="Arial Narrow" w:hAnsi="Arial Narrow"/>
          <w:sz w:val="24"/>
          <w:szCs w:val="24"/>
        </w:rPr>
      </w:pPr>
      <w:proofErr w:type="spellStart"/>
      <w:r w:rsidRPr="00BB75A9">
        <w:rPr>
          <w:rFonts w:ascii="Arial Narrow" w:hAnsi="Arial Narrow"/>
          <w:sz w:val="24"/>
          <w:szCs w:val="24"/>
        </w:rPr>
        <w:t>Georgakopoulou</w:t>
      </w:r>
      <w:proofErr w:type="spellEnd"/>
      <w:r w:rsidRPr="00BB75A9">
        <w:rPr>
          <w:rFonts w:ascii="Arial Narrow" w:hAnsi="Arial Narrow"/>
          <w:sz w:val="24"/>
          <w:szCs w:val="24"/>
        </w:rPr>
        <w:t>, A. (2007)</w:t>
      </w:r>
      <w:r w:rsidR="00BB75A9" w:rsidRPr="00BB75A9">
        <w:rPr>
          <w:rFonts w:ascii="Arial Narrow" w:hAnsi="Arial Narrow"/>
          <w:sz w:val="24"/>
          <w:szCs w:val="24"/>
        </w:rPr>
        <w:t>.</w:t>
      </w:r>
      <w:r w:rsidRPr="00BB75A9">
        <w:rPr>
          <w:rFonts w:ascii="Arial Narrow" w:hAnsi="Arial Narrow"/>
          <w:sz w:val="24"/>
          <w:szCs w:val="24"/>
        </w:rPr>
        <w:t xml:space="preserve"> </w:t>
      </w:r>
      <w:r w:rsidRPr="00BB75A9">
        <w:rPr>
          <w:rFonts w:ascii="Arial Narrow" w:hAnsi="Arial Narrow"/>
          <w:i/>
          <w:iCs/>
          <w:sz w:val="24"/>
          <w:szCs w:val="24"/>
        </w:rPr>
        <w:t xml:space="preserve">Small </w:t>
      </w:r>
      <w:r w:rsidR="00BB75A9">
        <w:rPr>
          <w:rFonts w:ascii="Arial Narrow" w:hAnsi="Arial Narrow"/>
          <w:i/>
          <w:iCs/>
          <w:sz w:val="24"/>
          <w:szCs w:val="24"/>
        </w:rPr>
        <w:t>s</w:t>
      </w:r>
      <w:r w:rsidRPr="00BB75A9">
        <w:rPr>
          <w:rFonts w:ascii="Arial Narrow" w:hAnsi="Arial Narrow"/>
          <w:i/>
          <w:iCs/>
          <w:sz w:val="24"/>
          <w:szCs w:val="24"/>
        </w:rPr>
        <w:t xml:space="preserve">tories: Interactions and </w:t>
      </w:r>
      <w:r w:rsidR="00BB75A9">
        <w:rPr>
          <w:rFonts w:ascii="Arial Narrow" w:hAnsi="Arial Narrow"/>
          <w:i/>
          <w:iCs/>
          <w:sz w:val="24"/>
          <w:szCs w:val="24"/>
        </w:rPr>
        <w:t>i</w:t>
      </w:r>
      <w:r w:rsidRPr="00BB75A9">
        <w:rPr>
          <w:rFonts w:ascii="Arial Narrow" w:hAnsi="Arial Narrow"/>
          <w:i/>
          <w:iCs/>
          <w:sz w:val="24"/>
          <w:szCs w:val="24"/>
        </w:rPr>
        <w:t>dentities</w:t>
      </w:r>
      <w:r w:rsidR="00BB75A9" w:rsidRPr="00BB75A9">
        <w:rPr>
          <w:rFonts w:ascii="Arial Narrow" w:hAnsi="Arial Narrow"/>
          <w:i/>
          <w:iCs/>
          <w:sz w:val="24"/>
          <w:szCs w:val="24"/>
        </w:rPr>
        <w:t>.</w:t>
      </w:r>
      <w:r w:rsidRPr="00BB75A9">
        <w:rPr>
          <w:rFonts w:ascii="Arial Narrow" w:hAnsi="Arial Narrow"/>
          <w:sz w:val="24"/>
          <w:szCs w:val="24"/>
        </w:rPr>
        <w:t xml:space="preserve"> Amsterdam</w:t>
      </w:r>
      <w:r w:rsidR="00BB75A9" w:rsidRPr="00BB75A9">
        <w:rPr>
          <w:rFonts w:ascii="Arial Narrow" w:hAnsi="Arial Narrow"/>
          <w:sz w:val="24"/>
          <w:szCs w:val="24"/>
        </w:rPr>
        <w:t>, NL</w:t>
      </w:r>
      <w:r w:rsidRPr="00BB75A9">
        <w:rPr>
          <w:rFonts w:ascii="Arial Narrow" w:hAnsi="Arial Narrow"/>
          <w:sz w:val="24"/>
          <w:szCs w:val="24"/>
        </w:rPr>
        <w:t xml:space="preserve">: John </w:t>
      </w:r>
      <w:proofErr w:type="spellStart"/>
      <w:r w:rsidRPr="00BB75A9">
        <w:rPr>
          <w:rFonts w:ascii="Arial Narrow" w:hAnsi="Arial Narrow"/>
          <w:sz w:val="24"/>
          <w:szCs w:val="24"/>
        </w:rPr>
        <w:t>Benjamins</w:t>
      </w:r>
      <w:proofErr w:type="spellEnd"/>
      <w:r w:rsidRPr="00BB75A9">
        <w:rPr>
          <w:rFonts w:ascii="Arial Narrow" w:hAnsi="Arial Narrow"/>
          <w:sz w:val="24"/>
          <w:szCs w:val="24"/>
        </w:rPr>
        <w:t>.</w:t>
      </w:r>
    </w:p>
    <w:p w14:paraId="11236A9A" w14:textId="29DC226B" w:rsidR="003F524F" w:rsidRPr="00BB75A9" w:rsidRDefault="003F524F" w:rsidP="005D5AA2">
      <w:pPr>
        <w:pStyle w:val="PlainText"/>
        <w:rPr>
          <w:rFonts w:ascii="Arial Narrow" w:hAnsi="Arial Narrow"/>
          <w:sz w:val="24"/>
          <w:szCs w:val="24"/>
        </w:rPr>
      </w:pPr>
      <w:proofErr w:type="spellStart"/>
      <w:r w:rsidRPr="00BB75A9">
        <w:rPr>
          <w:rFonts w:ascii="Arial Narrow" w:hAnsi="Arial Narrow"/>
          <w:sz w:val="24"/>
          <w:szCs w:val="24"/>
        </w:rPr>
        <w:t>Georgakopoulou</w:t>
      </w:r>
      <w:proofErr w:type="spellEnd"/>
      <w:r w:rsidRPr="00BB75A9">
        <w:rPr>
          <w:rFonts w:ascii="Arial Narrow" w:hAnsi="Arial Narrow"/>
          <w:sz w:val="24"/>
          <w:szCs w:val="24"/>
        </w:rPr>
        <w:t>, A. (2015)</w:t>
      </w:r>
      <w:r w:rsidR="00BB75A9" w:rsidRPr="00BB75A9">
        <w:rPr>
          <w:rFonts w:ascii="Arial Narrow" w:hAnsi="Arial Narrow"/>
          <w:sz w:val="24"/>
          <w:szCs w:val="24"/>
        </w:rPr>
        <w:t>.</w:t>
      </w:r>
      <w:r w:rsidRPr="00BB75A9">
        <w:rPr>
          <w:rFonts w:ascii="Arial Narrow" w:hAnsi="Arial Narrow"/>
          <w:sz w:val="24"/>
          <w:szCs w:val="24"/>
        </w:rPr>
        <w:t xml:space="preserve"> Small stories research</w:t>
      </w:r>
      <w:r w:rsidR="00BB75A9" w:rsidRPr="00BB75A9">
        <w:rPr>
          <w:rFonts w:ascii="Arial Narrow" w:hAnsi="Arial Narrow"/>
          <w:sz w:val="24"/>
          <w:szCs w:val="24"/>
        </w:rPr>
        <w:t>. I</w:t>
      </w:r>
      <w:r w:rsidRPr="00BB75A9">
        <w:rPr>
          <w:rFonts w:ascii="Arial Narrow" w:hAnsi="Arial Narrow"/>
          <w:sz w:val="24"/>
          <w:szCs w:val="24"/>
        </w:rPr>
        <w:t xml:space="preserve">n </w:t>
      </w:r>
      <w:r w:rsidR="00F50484" w:rsidRPr="00BB75A9">
        <w:rPr>
          <w:rFonts w:ascii="Arial Narrow" w:hAnsi="Arial Narrow"/>
          <w:sz w:val="24"/>
          <w:szCs w:val="24"/>
        </w:rPr>
        <w:t xml:space="preserve">A. De Fina </w:t>
      </w:r>
      <w:r w:rsidR="00BB75A9" w:rsidRPr="00BB75A9">
        <w:rPr>
          <w:rFonts w:ascii="Arial Narrow" w:hAnsi="Arial Narrow"/>
          <w:sz w:val="24"/>
          <w:szCs w:val="24"/>
        </w:rPr>
        <w:t>&amp;</w:t>
      </w:r>
      <w:r w:rsidR="00F50484" w:rsidRPr="00BB75A9">
        <w:rPr>
          <w:rFonts w:ascii="Arial Narrow" w:hAnsi="Arial Narrow"/>
          <w:sz w:val="24"/>
          <w:szCs w:val="24"/>
        </w:rPr>
        <w:t xml:space="preserve"> A. </w:t>
      </w:r>
      <w:proofErr w:type="spellStart"/>
      <w:r w:rsidR="00F50484" w:rsidRPr="00BB75A9">
        <w:rPr>
          <w:rFonts w:ascii="Arial Narrow" w:hAnsi="Arial Narrow"/>
          <w:sz w:val="24"/>
          <w:szCs w:val="24"/>
        </w:rPr>
        <w:t>Georgakopoulou</w:t>
      </w:r>
      <w:proofErr w:type="spellEnd"/>
      <w:r w:rsidR="00F50484" w:rsidRPr="00BB75A9">
        <w:rPr>
          <w:rFonts w:ascii="Arial Narrow" w:hAnsi="Arial Narrow"/>
          <w:sz w:val="24"/>
          <w:szCs w:val="24"/>
        </w:rPr>
        <w:t xml:space="preserve"> (eds) </w:t>
      </w:r>
      <w:r w:rsidR="00F50484" w:rsidRPr="00BB75A9">
        <w:rPr>
          <w:rFonts w:ascii="Arial Narrow" w:hAnsi="Arial Narrow"/>
          <w:i/>
          <w:iCs/>
          <w:sz w:val="24"/>
          <w:szCs w:val="24"/>
        </w:rPr>
        <w:t xml:space="preserve">The </w:t>
      </w:r>
      <w:r w:rsidR="00BB75A9" w:rsidRPr="00BB75A9">
        <w:rPr>
          <w:rFonts w:ascii="Arial Narrow" w:hAnsi="Arial Narrow"/>
          <w:i/>
          <w:iCs/>
          <w:sz w:val="24"/>
          <w:szCs w:val="24"/>
        </w:rPr>
        <w:t>h</w:t>
      </w:r>
      <w:r w:rsidR="00F50484" w:rsidRPr="00BB75A9">
        <w:rPr>
          <w:rFonts w:ascii="Arial Narrow" w:hAnsi="Arial Narrow"/>
          <w:i/>
          <w:iCs/>
          <w:sz w:val="24"/>
          <w:szCs w:val="24"/>
        </w:rPr>
        <w:t xml:space="preserve">andbook of </w:t>
      </w:r>
      <w:r w:rsidR="00BB75A9" w:rsidRPr="00BB75A9">
        <w:rPr>
          <w:rFonts w:ascii="Arial Narrow" w:hAnsi="Arial Narrow"/>
          <w:i/>
          <w:iCs/>
          <w:sz w:val="24"/>
          <w:szCs w:val="24"/>
        </w:rPr>
        <w:t>n</w:t>
      </w:r>
      <w:r w:rsidR="00F50484" w:rsidRPr="00BB75A9">
        <w:rPr>
          <w:rFonts w:ascii="Arial Narrow" w:hAnsi="Arial Narrow"/>
          <w:i/>
          <w:iCs/>
          <w:sz w:val="24"/>
          <w:szCs w:val="24"/>
        </w:rPr>
        <w:t xml:space="preserve">arrative </w:t>
      </w:r>
      <w:r w:rsidR="00BB75A9" w:rsidRPr="00BB75A9">
        <w:rPr>
          <w:rFonts w:ascii="Arial Narrow" w:hAnsi="Arial Narrow"/>
          <w:i/>
          <w:iCs/>
          <w:sz w:val="24"/>
          <w:szCs w:val="24"/>
        </w:rPr>
        <w:t>a</w:t>
      </w:r>
      <w:r w:rsidR="00F50484" w:rsidRPr="00BB75A9">
        <w:rPr>
          <w:rFonts w:ascii="Arial Narrow" w:hAnsi="Arial Narrow"/>
          <w:i/>
          <w:iCs/>
          <w:sz w:val="24"/>
          <w:szCs w:val="24"/>
        </w:rPr>
        <w:t xml:space="preserve">nalysis </w:t>
      </w:r>
      <w:r w:rsidR="00F50484" w:rsidRPr="00BB75A9">
        <w:rPr>
          <w:rFonts w:ascii="Arial Narrow" w:hAnsi="Arial Narrow"/>
          <w:sz w:val="24"/>
          <w:szCs w:val="24"/>
        </w:rPr>
        <w:t>(pp.</w:t>
      </w:r>
      <w:r w:rsidR="00BB75A9" w:rsidRPr="00BB75A9">
        <w:rPr>
          <w:rFonts w:ascii="Arial Narrow" w:hAnsi="Arial Narrow"/>
          <w:sz w:val="24"/>
          <w:szCs w:val="24"/>
        </w:rPr>
        <w:t xml:space="preserve"> </w:t>
      </w:r>
      <w:r w:rsidR="00F50484" w:rsidRPr="00BB75A9">
        <w:rPr>
          <w:rFonts w:ascii="Arial Narrow" w:hAnsi="Arial Narrow"/>
          <w:sz w:val="24"/>
          <w:szCs w:val="24"/>
        </w:rPr>
        <w:t>255-271)</w:t>
      </w:r>
      <w:r w:rsidR="00BB75A9" w:rsidRPr="00BB75A9">
        <w:rPr>
          <w:rFonts w:ascii="Arial Narrow" w:hAnsi="Arial Narrow"/>
          <w:sz w:val="24"/>
          <w:szCs w:val="24"/>
        </w:rPr>
        <w:t>.</w:t>
      </w:r>
      <w:r w:rsidR="00F50484" w:rsidRPr="00BB75A9">
        <w:rPr>
          <w:rFonts w:ascii="Arial Narrow" w:hAnsi="Arial Narrow"/>
          <w:sz w:val="24"/>
          <w:szCs w:val="24"/>
        </w:rPr>
        <w:t xml:space="preserve"> Chichester</w:t>
      </w:r>
      <w:r w:rsidR="00BB75A9" w:rsidRPr="00BB75A9">
        <w:rPr>
          <w:rFonts w:ascii="Arial Narrow" w:hAnsi="Arial Narrow"/>
          <w:sz w:val="24"/>
          <w:szCs w:val="24"/>
        </w:rPr>
        <w:t>, UK</w:t>
      </w:r>
      <w:r w:rsidR="00F50484" w:rsidRPr="00BB75A9">
        <w:rPr>
          <w:rFonts w:ascii="Arial Narrow" w:hAnsi="Arial Narrow"/>
          <w:sz w:val="24"/>
          <w:szCs w:val="24"/>
        </w:rPr>
        <w:t>: John Wiley &amp; Sons.</w:t>
      </w:r>
    </w:p>
    <w:p w14:paraId="32495926" w14:textId="448D7843" w:rsidR="005D5AA2" w:rsidRPr="007F5D16" w:rsidRDefault="005D5AA2" w:rsidP="005D5AA2">
      <w:r w:rsidRPr="007F5D16">
        <w:t>Gilmore, S. (2006)</w:t>
      </w:r>
      <w:r w:rsidR="00BB75A9" w:rsidRPr="007F5D16">
        <w:t>.</w:t>
      </w:r>
      <w:r w:rsidRPr="007F5D16">
        <w:t xml:space="preserve"> Contact/shared residence and child well-being: research evidence and its implications for legal decision-making</w:t>
      </w:r>
      <w:r w:rsidR="00BB75A9" w:rsidRPr="007F5D16">
        <w:t>.</w:t>
      </w:r>
      <w:r w:rsidRPr="007F5D16">
        <w:t xml:space="preserve"> </w:t>
      </w:r>
      <w:r w:rsidRPr="007F5D16">
        <w:rPr>
          <w:i/>
        </w:rPr>
        <w:t xml:space="preserve">International Journal of Law, </w:t>
      </w:r>
      <w:proofErr w:type="gramStart"/>
      <w:r w:rsidRPr="007F5D16">
        <w:rPr>
          <w:i/>
        </w:rPr>
        <w:t>Policy</w:t>
      </w:r>
      <w:proofErr w:type="gramEnd"/>
      <w:r w:rsidRPr="007F5D16">
        <w:rPr>
          <w:i/>
        </w:rPr>
        <w:t xml:space="preserve"> and the Family</w:t>
      </w:r>
      <w:r w:rsidR="00BB75A9" w:rsidRPr="007F5D16">
        <w:rPr>
          <w:i/>
        </w:rPr>
        <w:t>,</w:t>
      </w:r>
      <w:r w:rsidRPr="007F5D16">
        <w:t xml:space="preserve"> </w:t>
      </w:r>
      <w:r w:rsidRPr="007F5D16">
        <w:rPr>
          <w:i/>
          <w:iCs/>
        </w:rPr>
        <w:t>20</w:t>
      </w:r>
      <w:r w:rsidR="00BB75A9" w:rsidRPr="007F5D16">
        <w:t>,</w:t>
      </w:r>
      <w:r w:rsidRPr="007F5D16">
        <w:t xml:space="preserve"> 344-365.</w:t>
      </w:r>
    </w:p>
    <w:p w14:paraId="1AD496B9" w14:textId="6F4812FA" w:rsidR="006B7293" w:rsidRPr="007F5D16" w:rsidRDefault="006B7293">
      <w:r w:rsidRPr="007F5D16">
        <w:t xml:space="preserve">Green, A.E. </w:t>
      </w:r>
      <w:r w:rsidR="007F5D16" w:rsidRPr="007F5D16">
        <w:t>&amp;</w:t>
      </w:r>
      <w:r w:rsidRPr="007F5D16">
        <w:t xml:space="preserve"> Canny, A. (2003)</w:t>
      </w:r>
      <w:r w:rsidR="007F5D16" w:rsidRPr="007F5D16">
        <w:t>.</w:t>
      </w:r>
      <w:r w:rsidRPr="007F5D16">
        <w:t xml:space="preserve"> </w:t>
      </w:r>
      <w:r w:rsidRPr="007F5D16">
        <w:rPr>
          <w:i/>
        </w:rPr>
        <w:t xml:space="preserve">Geographical </w:t>
      </w:r>
      <w:r w:rsidR="007F5D16" w:rsidRPr="007F5D16">
        <w:rPr>
          <w:i/>
        </w:rPr>
        <w:t>m</w:t>
      </w:r>
      <w:r w:rsidRPr="007F5D16">
        <w:rPr>
          <w:i/>
        </w:rPr>
        <w:t xml:space="preserve">obility: Family </w:t>
      </w:r>
      <w:r w:rsidR="007F5D16" w:rsidRPr="007F5D16">
        <w:rPr>
          <w:i/>
        </w:rPr>
        <w:t>i</w:t>
      </w:r>
      <w:r w:rsidRPr="007F5D16">
        <w:rPr>
          <w:i/>
        </w:rPr>
        <w:t>mpacts</w:t>
      </w:r>
      <w:r w:rsidR="007F5D16" w:rsidRPr="007F5D16">
        <w:rPr>
          <w:i/>
        </w:rPr>
        <w:t>.</w:t>
      </w:r>
      <w:r w:rsidRPr="007F5D16">
        <w:t xml:space="preserve"> Bristol</w:t>
      </w:r>
      <w:r w:rsidR="007F5D16" w:rsidRPr="007F5D16">
        <w:t>, UK</w:t>
      </w:r>
      <w:r w:rsidRPr="007F5D16">
        <w:t>: Policy Press.</w:t>
      </w:r>
    </w:p>
    <w:p w14:paraId="5E360D23" w14:textId="32B63960" w:rsidR="00F13A9F" w:rsidRDefault="00F13A9F" w:rsidP="005D5AA2">
      <w:r w:rsidRPr="00BD0BE2">
        <w:t>Green, T. (2010)</w:t>
      </w:r>
      <w:r w:rsidR="00BD0BE2" w:rsidRPr="00BD0BE2">
        <w:t>.</w:t>
      </w:r>
      <w:r w:rsidRPr="00BD0BE2">
        <w:t xml:space="preserve"> </w:t>
      </w:r>
      <w:r w:rsidRPr="00BD0BE2">
        <w:rPr>
          <w:i/>
        </w:rPr>
        <w:t xml:space="preserve">Motherhood, </w:t>
      </w:r>
      <w:proofErr w:type="gramStart"/>
      <w:r w:rsidR="00BD0BE2" w:rsidRPr="00BD0BE2">
        <w:rPr>
          <w:i/>
        </w:rPr>
        <w:t>a</w:t>
      </w:r>
      <w:r w:rsidRPr="00BD0BE2">
        <w:rPr>
          <w:i/>
        </w:rPr>
        <w:t>bsence</w:t>
      </w:r>
      <w:proofErr w:type="gramEnd"/>
      <w:r w:rsidRPr="00BD0BE2">
        <w:rPr>
          <w:i/>
        </w:rPr>
        <w:t xml:space="preserve"> and </w:t>
      </w:r>
      <w:r w:rsidR="00BD0BE2" w:rsidRPr="00BD0BE2">
        <w:rPr>
          <w:i/>
        </w:rPr>
        <w:t>t</w:t>
      </w:r>
      <w:r w:rsidRPr="00BD0BE2">
        <w:rPr>
          <w:i/>
        </w:rPr>
        <w:t xml:space="preserve">ransition: When </w:t>
      </w:r>
      <w:r w:rsidR="00BD0BE2" w:rsidRPr="00BD0BE2">
        <w:rPr>
          <w:i/>
        </w:rPr>
        <w:t>a</w:t>
      </w:r>
      <w:r w:rsidRPr="00BD0BE2">
        <w:rPr>
          <w:i/>
        </w:rPr>
        <w:t xml:space="preserve">dult </w:t>
      </w:r>
      <w:r w:rsidR="00BD0BE2" w:rsidRPr="00BD0BE2">
        <w:rPr>
          <w:i/>
        </w:rPr>
        <w:t>c</w:t>
      </w:r>
      <w:r w:rsidRPr="00BD0BE2">
        <w:rPr>
          <w:i/>
        </w:rPr>
        <w:t xml:space="preserve">hildren </w:t>
      </w:r>
      <w:r w:rsidR="00BD0BE2" w:rsidRPr="00BD0BE2">
        <w:rPr>
          <w:i/>
        </w:rPr>
        <w:t>l</w:t>
      </w:r>
      <w:r w:rsidRPr="00BD0BE2">
        <w:rPr>
          <w:i/>
        </w:rPr>
        <w:t xml:space="preserve">eave </w:t>
      </w:r>
      <w:r w:rsidR="00BD0BE2" w:rsidRPr="00BD0BE2">
        <w:rPr>
          <w:i/>
        </w:rPr>
        <w:t>h</w:t>
      </w:r>
      <w:r w:rsidRPr="00BD0BE2">
        <w:rPr>
          <w:i/>
        </w:rPr>
        <w:t>ome</w:t>
      </w:r>
      <w:r w:rsidR="00BD0BE2" w:rsidRPr="00BD0BE2">
        <w:t>.</w:t>
      </w:r>
      <w:r w:rsidRPr="00BD0BE2">
        <w:t xml:space="preserve"> Farnham</w:t>
      </w:r>
      <w:r w:rsidR="00BD0BE2" w:rsidRPr="00BD0BE2">
        <w:t>, UK</w:t>
      </w:r>
      <w:r w:rsidRPr="00BD0BE2">
        <w:t>: Ashgate.</w:t>
      </w:r>
    </w:p>
    <w:p w14:paraId="13C3F038" w14:textId="6ACC4ACC" w:rsidR="00EE67A0" w:rsidRPr="002454C4" w:rsidRDefault="00EE67A0" w:rsidP="005D5AA2">
      <w:proofErr w:type="spellStart"/>
      <w:r w:rsidRPr="002454C4">
        <w:t>Hantrais</w:t>
      </w:r>
      <w:proofErr w:type="spellEnd"/>
      <w:r w:rsidRPr="002454C4">
        <w:t xml:space="preserve">, L., Brannen, J. and </w:t>
      </w:r>
      <w:proofErr w:type="spellStart"/>
      <w:r w:rsidRPr="002454C4">
        <w:t>Bnnett</w:t>
      </w:r>
      <w:proofErr w:type="spellEnd"/>
      <w:r w:rsidRPr="002454C4">
        <w:t>, F. (2020). Family change, intergener</w:t>
      </w:r>
      <w:r w:rsidR="00A16496" w:rsidRPr="002454C4">
        <w:t xml:space="preserve">ational </w:t>
      </w:r>
      <w:proofErr w:type="gramStart"/>
      <w:r w:rsidR="00A16496" w:rsidRPr="002454C4">
        <w:t>relations</w:t>
      </w:r>
      <w:proofErr w:type="gramEnd"/>
      <w:r w:rsidR="00A16496" w:rsidRPr="002454C4">
        <w:t xml:space="preserve"> and policy implications.  </w:t>
      </w:r>
      <w:r w:rsidR="00A16496" w:rsidRPr="002454C4">
        <w:rPr>
          <w:i/>
          <w:iCs/>
        </w:rPr>
        <w:t>Contemporary Social Sciences, 15</w:t>
      </w:r>
      <w:r w:rsidR="00A16496" w:rsidRPr="002454C4">
        <w:t>, 275-290.</w:t>
      </w:r>
    </w:p>
    <w:p w14:paraId="5DA625BE" w14:textId="1E5B9011" w:rsidR="0066775B" w:rsidRPr="00BD0BE2" w:rsidRDefault="0066775B" w:rsidP="005D5AA2">
      <w:r w:rsidRPr="002454C4">
        <w:t xml:space="preserve">Haux, T. </w:t>
      </w:r>
      <w:r w:rsidR="00BD0BE2" w:rsidRPr="002454C4">
        <w:t>&amp;</w:t>
      </w:r>
      <w:r w:rsidRPr="002454C4">
        <w:t xml:space="preserve"> Platt, L. (2015)</w:t>
      </w:r>
      <w:r w:rsidR="00BD0BE2" w:rsidRPr="002454C4">
        <w:t>.</w:t>
      </w:r>
      <w:r w:rsidRPr="002454C4">
        <w:t xml:space="preserve"> </w:t>
      </w:r>
      <w:r w:rsidRPr="002454C4">
        <w:rPr>
          <w:i/>
          <w:iCs/>
        </w:rPr>
        <w:t xml:space="preserve">Parenting and </w:t>
      </w:r>
      <w:r w:rsidR="00BD0BE2" w:rsidRPr="002454C4">
        <w:rPr>
          <w:i/>
          <w:iCs/>
        </w:rPr>
        <w:t>c</w:t>
      </w:r>
      <w:r w:rsidRPr="002454C4">
        <w:rPr>
          <w:i/>
          <w:iCs/>
        </w:rPr>
        <w:t xml:space="preserve">ontact </w:t>
      </w:r>
      <w:r w:rsidR="00BD0BE2" w:rsidRPr="002454C4">
        <w:rPr>
          <w:i/>
          <w:iCs/>
        </w:rPr>
        <w:t>b</w:t>
      </w:r>
      <w:r w:rsidRPr="002454C4">
        <w:rPr>
          <w:i/>
          <w:iCs/>
        </w:rPr>
        <w:t xml:space="preserve">efore and </w:t>
      </w:r>
      <w:r w:rsidR="00BD0BE2" w:rsidRPr="002454C4">
        <w:rPr>
          <w:i/>
          <w:iCs/>
        </w:rPr>
        <w:t>a</w:t>
      </w:r>
      <w:r w:rsidRPr="002454C4">
        <w:rPr>
          <w:i/>
          <w:iCs/>
        </w:rPr>
        <w:t xml:space="preserve">fter </w:t>
      </w:r>
      <w:r w:rsidR="00BD0BE2" w:rsidRPr="00BD0BE2">
        <w:rPr>
          <w:i/>
          <w:iCs/>
        </w:rPr>
        <w:t>s</w:t>
      </w:r>
      <w:r w:rsidRPr="00BD0BE2">
        <w:rPr>
          <w:i/>
          <w:iCs/>
        </w:rPr>
        <w:t>eparation</w:t>
      </w:r>
      <w:r w:rsidRPr="00BD0BE2">
        <w:t>, Nuffield Foundation</w:t>
      </w:r>
      <w:r w:rsidR="00BD0BE2" w:rsidRPr="00BD0BE2">
        <w:t>. Retrieved from</w:t>
      </w:r>
      <w:r w:rsidRPr="00BD0BE2">
        <w:t xml:space="preserve"> </w:t>
      </w:r>
      <w:hyperlink r:id="rId11" w:history="1">
        <w:r w:rsidRPr="00BD0BE2">
          <w:rPr>
            <w:color w:val="0000FF"/>
            <w:u w:val="single"/>
          </w:rPr>
          <w:t>https://www.nuffieldfoundation.org/sites/default/files/files/ParentingReport_096-DigitalDistribution.pdf</w:t>
        </w:r>
      </w:hyperlink>
      <w:r w:rsidRPr="00BD0BE2">
        <w:t xml:space="preserve"> [accessed 30.3.20].</w:t>
      </w:r>
    </w:p>
    <w:p w14:paraId="7F9C0791" w14:textId="0E144A24" w:rsidR="00F13A9F" w:rsidRPr="00BD0BE2" w:rsidRDefault="00F13A9F" w:rsidP="005D5AA2">
      <w:r w:rsidRPr="00BD0BE2">
        <w:t xml:space="preserve">Hobdy, J., </w:t>
      </w:r>
      <w:proofErr w:type="spellStart"/>
      <w:r w:rsidRPr="00BD0BE2">
        <w:t>Hayslip</w:t>
      </w:r>
      <w:proofErr w:type="spellEnd"/>
      <w:r w:rsidRPr="00BD0BE2">
        <w:t xml:space="preserve">, B. </w:t>
      </w:r>
      <w:r w:rsidR="00BD0BE2" w:rsidRPr="00BD0BE2">
        <w:t>&amp;</w:t>
      </w:r>
      <w:r w:rsidRPr="00BD0BE2">
        <w:t xml:space="preserve"> Kaminski, P.L. (2007)</w:t>
      </w:r>
      <w:r w:rsidR="00BD0BE2" w:rsidRPr="00BD0BE2">
        <w:t>.</w:t>
      </w:r>
      <w:r w:rsidRPr="00BD0BE2">
        <w:t xml:space="preserve"> The role of attachment style in coping with job loss and the empty nest in adulthood</w:t>
      </w:r>
      <w:r w:rsidR="00BD0BE2" w:rsidRPr="00BD0BE2">
        <w:t>.</w:t>
      </w:r>
      <w:r w:rsidRPr="00BD0BE2">
        <w:t xml:space="preserve"> </w:t>
      </w:r>
      <w:r w:rsidRPr="00BD0BE2">
        <w:rPr>
          <w:i/>
        </w:rPr>
        <w:t>International Journal of Aging and Human Development</w:t>
      </w:r>
      <w:r w:rsidRPr="00BD0BE2">
        <w:t xml:space="preserve">, </w:t>
      </w:r>
      <w:r w:rsidRPr="00BD0BE2">
        <w:rPr>
          <w:i/>
          <w:iCs/>
        </w:rPr>
        <w:t>65</w:t>
      </w:r>
      <w:r w:rsidR="00BD0BE2" w:rsidRPr="00BD0BE2">
        <w:t>,</w:t>
      </w:r>
      <w:r w:rsidRPr="00BD0BE2">
        <w:t xml:space="preserve"> 335-371.</w:t>
      </w:r>
    </w:p>
    <w:p w14:paraId="344905CF" w14:textId="4B876679" w:rsidR="00A258C5" w:rsidRPr="00386DF8" w:rsidRDefault="00A258C5" w:rsidP="005D5AA2">
      <w:r w:rsidRPr="00386DF8">
        <w:t>Holdsworth, C. (2013)</w:t>
      </w:r>
      <w:r w:rsidR="00386DF8" w:rsidRPr="00386DF8">
        <w:t>.</w:t>
      </w:r>
      <w:r w:rsidRPr="00386DF8">
        <w:t xml:space="preserve"> </w:t>
      </w:r>
      <w:r w:rsidRPr="00386DF8">
        <w:rPr>
          <w:i/>
        </w:rPr>
        <w:t xml:space="preserve">Family and </w:t>
      </w:r>
      <w:r w:rsidR="00386DF8" w:rsidRPr="00386DF8">
        <w:rPr>
          <w:i/>
        </w:rPr>
        <w:t>i</w:t>
      </w:r>
      <w:r w:rsidRPr="00386DF8">
        <w:rPr>
          <w:i/>
        </w:rPr>
        <w:t xml:space="preserve">ntimate </w:t>
      </w:r>
      <w:r w:rsidR="00386DF8" w:rsidRPr="00386DF8">
        <w:rPr>
          <w:i/>
        </w:rPr>
        <w:t>m</w:t>
      </w:r>
      <w:r w:rsidRPr="00386DF8">
        <w:rPr>
          <w:i/>
        </w:rPr>
        <w:t>obilities</w:t>
      </w:r>
      <w:r w:rsidR="00386DF8" w:rsidRPr="00386DF8">
        <w:rPr>
          <w:i/>
        </w:rPr>
        <w:t>.</w:t>
      </w:r>
      <w:r w:rsidRPr="00386DF8">
        <w:t xml:space="preserve"> Basingstoke</w:t>
      </w:r>
      <w:r w:rsidR="00386DF8" w:rsidRPr="00386DF8">
        <w:t>, UK</w:t>
      </w:r>
      <w:r w:rsidRPr="00386DF8">
        <w:t>: Palgrave Macmillan.</w:t>
      </w:r>
    </w:p>
    <w:p w14:paraId="2124B453" w14:textId="4A6370AF" w:rsidR="00851477" w:rsidRPr="00386DF8" w:rsidRDefault="00851477" w:rsidP="005D5AA2">
      <w:r w:rsidRPr="00386DF8">
        <w:t>IOM (International Organization for Migration) (2015)</w:t>
      </w:r>
      <w:r w:rsidR="00386DF8" w:rsidRPr="00386DF8">
        <w:t>.</w:t>
      </w:r>
      <w:r w:rsidRPr="00386DF8">
        <w:t xml:space="preserve"> </w:t>
      </w:r>
      <w:r w:rsidRPr="00386DF8">
        <w:rPr>
          <w:i/>
          <w:iCs/>
        </w:rPr>
        <w:t xml:space="preserve">Global </w:t>
      </w:r>
      <w:r w:rsidR="00386DF8" w:rsidRPr="00386DF8">
        <w:rPr>
          <w:i/>
          <w:iCs/>
        </w:rPr>
        <w:t>m</w:t>
      </w:r>
      <w:r w:rsidRPr="00386DF8">
        <w:rPr>
          <w:i/>
          <w:iCs/>
        </w:rPr>
        <w:t xml:space="preserve">igration </w:t>
      </w:r>
      <w:r w:rsidR="00386DF8" w:rsidRPr="00386DF8">
        <w:rPr>
          <w:i/>
          <w:iCs/>
        </w:rPr>
        <w:t>t</w:t>
      </w:r>
      <w:r w:rsidRPr="00386DF8">
        <w:rPr>
          <w:i/>
          <w:iCs/>
        </w:rPr>
        <w:t xml:space="preserve">rends </w:t>
      </w:r>
      <w:r w:rsidR="00386DF8" w:rsidRPr="00386DF8">
        <w:rPr>
          <w:i/>
          <w:iCs/>
        </w:rPr>
        <w:t>f</w:t>
      </w:r>
      <w:r w:rsidRPr="00386DF8">
        <w:rPr>
          <w:i/>
          <w:iCs/>
        </w:rPr>
        <w:t>actsheet 2015</w:t>
      </w:r>
      <w:r w:rsidR="00386DF8" w:rsidRPr="00386DF8">
        <w:rPr>
          <w:i/>
          <w:iCs/>
        </w:rPr>
        <w:t>.</w:t>
      </w:r>
      <w:r w:rsidRPr="00386DF8">
        <w:t xml:space="preserve"> Geneva</w:t>
      </w:r>
      <w:r w:rsidR="00386DF8" w:rsidRPr="00386DF8">
        <w:t>, CH</w:t>
      </w:r>
      <w:r w:rsidRPr="00386DF8">
        <w:t>: IOM.</w:t>
      </w:r>
    </w:p>
    <w:p w14:paraId="4BEC0875" w14:textId="19AC1280" w:rsidR="00851477" w:rsidRPr="00386DF8" w:rsidRDefault="00851477" w:rsidP="005D5AA2">
      <w:proofErr w:type="spellStart"/>
      <w:r w:rsidRPr="00386DF8">
        <w:t>Ivlevs</w:t>
      </w:r>
      <w:proofErr w:type="spellEnd"/>
      <w:r w:rsidRPr="00386DF8">
        <w:t xml:space="preserve">, A., </w:t>
      </w:r>
      <w:proofErr w:type="spellStart"/>
      <w:r w:rsidRPr="00386DF8">
        <w:t>Nikolova</w:t>
      </w:r>
      <w:proofErr w:type="spellEnd"/>
      <w:r w:rsidRPr="00386DF8">
        <w:t xml:space="preserve">, M. </w:t>
      </w:r>
      <w:r w:rsidR="00386DF8" w:rsidRPr="00386DF8">
        <w:t>&amp;</w:t>
      </w:r>
      <w:r w:rsidRPr="00386DF8">
        <w:t xml:space="preserve"> Graham, C. (2019)</w:t>
      </w:r>
      <w:r w:rsidR="00386DF8" w:rsidRPr="00386DF8">
        <w:t>.</w:t>
      </w:r>
      <w:r w:rsidRPr="00386DF8">
        <w:t xml:space="preserve"> Emigration remittances, and the subjective wellbeing of those staying behind</w:t>
      </w:r>
      <w:r w:rsidR="00386DF8" w:rsidRPr="00386DF8">
        <w:t>.</w:t>
      </w:r>
      <w:r w:rsidRPr="00386DF8">
        <w:t xml:space="preserve"> </w:t>
      </w:r>
      <w:r w:rsidRPr="00386DF8">
        <w:rPr>
          <w:i/>
          <w:iCs/>
        </w:rPr>
        <w:t>Journal of Population Economics</w:t>
      </w:r>
      <w:r w:rsidRPr="00386DF8">
        <w:t xml:space="preserve">, </w:t>
      </w:r>
      <w:r w:rsidRPr="00386DF8">
        <w:rPr>
          <w:i/>
          <w:iCs/>
        </w:rPr>
        <w:t>32</w:t>
      </w:r>
      <w:r w:rsidR="00386DF8" w:rsidRPr="00386DF8">
        <w:rPr>
          <w:i/>
          <w:iCs/>
        </w:rPr>
        <w:t>,</w:t>
      </w:r>
      <w:r w:rsidRPr="00386DF8">
        <w:t xml:space="preserve"> 113-151.</w:t>
      </w:r>
    </w:p>
    <w:p w14:paraId="312DE8AF" w14:textId="77777777" w:rsidR="002454C4" w:rsidRPr="007F5D16" w:rsidRDefault="002454C4" w:rsidP="002454C4">
      <w:r w:rsidRPr="002454C4">
        <w:t xml:space="preserve">Jamieson, L. &amp; Simpson, R. (2013). </w:t>
      </w:r>
      <w:r w:rsidRPr="002454C4">
        <w:rPr>
          <w:i/>
        </w:rPr>
        <w:t>Living alone: Globalisation, identity and belonging</w:t>
      </w:r>
      <w:r w:rsidRPr="002454C4">
        <w:t>. Basingstoke, UK: Palgrave Macmillan.</w:t>
      </w:r>
    </w:p>
    <w:p w14:paraId="6D78926F" w14:textId="396B06A1" w:rsidR="00386DF8" w:rsidRDefault="005D5AA2" w:rsidP="005D5AA2">
      <w:r w:rsidRPr="00386DF8">
        <w:t>Kan, K. (2003)</w:t>
      </w:r>
      <w:r w:rsidR="00386DF8" w:rsidRPr="00386DF8">
        <w:t>.</w:t>
      </w:r>
      <w:r w:rsidRPr="00386DF8">
        <w:t xml:space="preserve"> Residential mobility and job changes under uncertainty</w:t>
      </w:r>
      <w:r w:rsidR="00386DF8" w:rsidRPr="00386DF8">
        <w:t>.</w:t>
      </w:r>
      <w:r w:rsidRPr="00386DF8">
        <w:t xml:space="preserve"> </w:t>
      </w:r>
      <w:r w:rsidRPr="00386DF8">
        <w:rPr>
          <w:i/>
        </w:rPr>
        <w:t>Journal of Urban Economics</w:t>
      </w:r>
      <w:r w:rsidRPr="00386DF8">
        <w:t xml:space="preserve">, </w:t>
      </w:r>
      <w:r w:rsidRPr="00386DF8">
        <w:rPr>
          <w:i/>
          <w:iCs/>
        </w:rPr>
        <w:t>54</w:t>
      </w:r>
      <w:r w:rsidR="00386DF8" w:rsidRPr="00386DF8">
        <w:t>,</w:t>
      </w:r>
      <w:r w:rsidRPr="00386DF8">
        <w:t xml:space="preserve"> 566-586.</w:t>
      </w:r>
    </w:p>
    <w:p w14:paraId="59EA2E8C" w14:textId="11430BC4" w:rsidR="00EB5C80" w:rsidRPr="002454C4" w:rsidRDefault="00EB5C80" w:rsidP="005D5AA2">
      <w:r w:rsidRPr="002454C4">
        <w:t xml:space="preserve">Kaufman, V., </w:t>
      </w:r>
      <w:proofErr w:type="spellStart"/>
      <w:r w:rsidRPr="002454C4">
        <w:t>Viry</w:t>
      </w:r>
      <w:proofErr w:type="spellEnd"/>
      <w:r w:rsidRPr="002454C4">
        <w:t xml:space="preserve">, G. &amp; Widmer, E.D. (2010).  Motility.  In N. Schneider &amp; B. Collet (Eds), </w:t>
      </w:r>
      <w:r w:rsidRPr="002454C4">
        <w:rPr>
          <w:i/>
          <w:iCs/>
        </w:rPr>
        <w:t>Mobile Living Across Europe II: Causes and consequences of job-related spatial mobility in cross-national comparison</w:t>
      </w:r>
      <w:r w:rsidRPr="002454C4">
        <w:t xml:space="preserve"> (pp. 95-111. Leverkusen </w:t>
      </w:r>
      <w:proofErr w:type="spellStart"/>
      <w:r w:rsidRPr="002454C4">
        <w:t>Opladen</w:t>
      </w:r>
      <w:proofErr w:type="spellEnd"/>
      <w:r w:rsidRPr="002454C4">
        <w:t xml:space="preserve">: Barbara </w:t>
      </w:r>
      <w:proofErr w:type="spellStart"/>
      <w:r w:rsidRPr="002454C4">
        <w:t>Budrich</w:t>
      </w:r>
      <w:proofErr w:type="spellEnd"/>
      <w:r w:rsidRPr="002454C4">
        <w:t>.</w:t>
      </w:r>
    </w:p>
    <w:p w14:paraId="60CADE46" w14:textId="66246517" w:rsidR="005D5AA2" w:rsidRPr="00386DF8" w:rsidRDefault="00260E75" w:rsidP="005D5AA2">
      <w:r w:rsidRPr="002454C4">
        <w:t>Mallett, S. (2014)</w:t>
      </w:r>
      <w:r w:rsidR="00386DF8" w:rsidRPr="002454C4">
        <w:t>.</w:t>
      </w:r>
      <w:r w:rsidRPr="002454C4">
        <w:t xml:space="preserve"> Understanding home: a critical review of the literature</w:t>
      </w:r>
      <w:r w:rsidR="00386DF8" w:rsidRPr="00386DF8">
        <w:t>.</w:t>
      </w:r>
      <w:r w:rsidRPr="00386DF8">
        <w:t xml:space="preserve"> </w:t>
      </w:r>
      <w:r w:rsidRPr="00386DF8">
        <w:rPr>
          <w:i/>
        </w:rPr>
        <w:t>The Sociological Review</w:t>
      </w:r>
      <w:r w:rsidRPr="00386DF8">
        <w:t xml:space="preserve">, </w:t>
      </w:r>
      <w:r w:rsidRPr="00386DF8">
        <w:rPr>
          <w:i/>
          <w:iCs/>
        </w:rPr>
        <w:t>52</w:t>
      </w:r>
      <w:r w:rsidR="00386DF8" w:rsidRPr="00386DF8">
        <w:t>,</w:t>
      </w:r>
      <w:r w:rsidRPr="00386DF8">
        <w:t xml:space="preserve"> </w:t>
      </w:r>
      <w:r w:rsidR="00A16C98" w:rsidRPr="00386DF8">
        <w:t>62-89.</w:t>
      </w:r>
    </w:p>
    <w:p w14:paraId="61BDFEEA" w14:textId="2C55467F" w:rsidR="005D5AA2" w:rsidRDefault="005D5AA2" w:rsidP="005D5AA2">
      <w:proofErr w:type="spellStart"/>
      <w:r w:rsidRPr="00386DF8">
        <w:t>Michielin</w:t>
      </w:r>
      <w:proofErr w:type="spellEnd"/>
      <w:r w:rsidRPr="00386DF8">
        <w:t xml:space="preserve">, F. </w:t>
      </w:r>
      <w:r w:rsidR="00386DF8" w:rsidRPr="00386DF8">
        <w:t>&amp;</w:t>
      </w:r>
      <w:r w:rsidRPr="00386DF8">
        <w:t xml:space="preserve"> Mulder, C.H. (2008)</w:t>
      </w:r>
      <w:r w:rsidR="00386DF8" w:rsidRPr="00386DF8">
        <w:t>.</w:t>
      </w:r>
      <w:r w:rsidRPr="00386DF8">
        <w:t xml:space="preserve"> Family events and the residential mobility of couples</w:t>
      </w:r>
      <w:r w:rsidR="00386DF8" w:rsidRPr="00386DF8">
        <w:t>.</w:t>
      </w:r>
      <w:r w:rsidRPr="00386DF8">
        <w:t xml:space="preserve"> </w:t>
      </w:r>
      <w:r w:rsidRPr="00386DF8">
        <w:rPr>
          <w:i/>
        </w:rPr>
        <w:t>Environment and Planning A</w:t>
      </w:r>
      <w:r w:rsidRPr="00386DF8">
        <w:t xml:space="preserve">, </w:t>
      </w:r>
      <w:r w:rsidRPr="00386DF8">
        <w:rPr>
          <w:i/>
          <w:iCs/>
        </w:rPr>
        <w:t>40</w:t>
      </w:r>
      <w:r w:rsidR="00386DF8" w:rsidRPr="00386DF8">
        <w:t xml:space="preserve">, </w:t>
      </w:r>
      <w:r w:rsidRPr="00386DF8">
        <w:t>2770-2790.</w:t>
      </w:r>
    </w:p>
    <w:p w14:paraId="5E7E4A21" w14:textId="788F7631" w:rsidR="00EE67A0" w:rsidRPr="002454C4" w:rsidRDefault="00EE67A0" w:rsidP="005D5AA2">
      <w:r w:rsidRPr="002454C4">
        <w:t xml:space="preserve">Morris, T. (2017). Examining the influence of major life events as drivers of residential mobility and neighbourhood transitions.  </w:t>
      </w:r>
      <w:r w:rsidRPr="002454C4">
        <w:rPr>
          <w:i/>
          <w:iCs/>
        </w:rPr>
        <w:t>Demographic Research, 36</w:t>
      </w:r>
      <w:r w:rsidRPr="002454C4">
        <w:t>, 1015-1038.</w:t>
      </w:r>
    </w:p>
    <w:p w14:paraId="655B4D5E" w14:textId="6E3909E8" w:rsidR="00B74E50" w:rsidRPr="00386DF8" w:rsidRDefault="00CF6B9F" w:rsidP="00C81081">
      <w:r w:rsidRPr="00386DF8">
        <w:t>ONS (Office for National Statistics) (2016)</w:t>
      </w:r>
      <w:r w:rsidR="00386DF8" w:rsidRPr="00386DF8">
        <w:t>.</w:t>
      </w:r>
      <w:r w:rsidRPr="00386DF8">
        <w:t xml:space="preserve"> </w:t>
      </w:r>
      <w:r w:rsidRPr="00386DF8">
        <w:rPr>
          <w:i/>
        </w:rPr>
        <w:t xml:space="preserve">Statistical bulletin: Internal migration, </w:t>
      </w:r>
      <w:proofErr w:type="gramStart"/>
      <w:r w:rsidRPr="00386DF8">
        <w:rPr>
          <w:i/>
        </w:rPr>
        <w:t>England</w:t>
      </w:r>
      <w:proofErr w:type="gramEnd"/>
      <w:r w:rsidRPr="00386DF8">
        <w:rPr>
          <w:i/>
        </w:rPr>
        <w:t xml:space="preserve"> and Wales: </w:t>
      </w:r>
      <w:r w:rsidR="00386DF8" w:rsidRPr="00386DF8">
        <w:rPr>
          <w:i/>
        </w:rPr>
        <w:t>y</w:t>
      </w:r>
      <w:r w:rsidRPr="00386DF8">
        <w:rPr>
          <w:i/>
        </w:rPr>
        <w:t xml:space="preserve">ear </w:t>
      </w:r>
      <w:r w:rsidR="00386DF8" w:rsidRPr="00386DF8">
        <w:rPr>
          <w:i/>
        </w:rPr>
        <w:t>e</w:t>
      </w:r>
      <w:r w:rsidRPr="00386DF8">
        <w:rPr>
          <w:i/>
        </w:rPr>
        <w:t>nding June 2015</w:t>
      </w:r>
      <w:r w:rsidR="00386DF8" w:rsidRPr="00386DF8">
        <w:t xml:space="preserve">.  Retrieved from </w:t>
      </w:r>
      <w:hyperlink r:id="rId12" w:history="1">
        <w:r w:rsidR="0066775B" w:rsidRPr="00386DF8">
          <w:rPr>
            <w:rStyle w:val="Hyperlink"/>
          </w:rPr>
          <w:t>https://www.ons.gov.uk/peoplepopulationandcommunity/populationandmigration/migrationwithintheuk/bulletins/internalmigrationbylocalauthoritiesinenglandandwales/yearendingjune2015</w:t>
        </w:r>
      </w:hyperlink>
      <w:r w:rsidR="00C81081" w:rsidRPr="00386DF8">
        <w:t xml:space="preserve"> </w:t>
      </w:r>
      <w:r w:rsidRPr="00386DF8">
        <w:t>[accessed 5.8.19].</w:t>
      </w:r>
    </w:p>
    <w:p w14:paraId="09A26CDC" w14:textId="43F04FAA" w:rsidR="00B74E50" w:rsidRPr="00AE2B75" w:rsidRDefault="00B74E50" w:rsidP="00C81081">
      <w:proofErr w:type="spellStart"/>
      <w:r w:rsidRPr="00AE2B75">
        <w:t>Rasekoala</w:t>
      </w:r>
      <w:proofErr w:type="spellEnd"/>
      <w:r w:rsidRPr="00AE2B75">
        <w:t>, E. (1997)</w:t>
      </w:r>
      <w:r w:rsidR="00E96F9F" w:rsidRPr="00AE2B75">
        <w:t>.</w:t>
      </w:r>
      <w:r w:rsidRPr="00AE2B75">
        <w:t xml:space="preserve"> Ethnic minorities and achievement: the fog clears</w:t>
      </w:r>
      <w:r w:rsidR="00E96F9F" w:rsidRPr="00AE2B75">
        <w:t>.</w:t>
      </w:r>
      <w:r w:rsidRPr="00AE2B75">
        <w:t xml:space="preserve"> </w:t>
      </w:r>
      <w:r w:rsidRPr="00AE2B75">
        <w:rPr>
          <w:i/>
          <w:iCs/>
        </w:rPr>
        <w:t xml:space="preserve">Multicultural </w:t>
      </w:r>
      <w:r w:rsidR="00AE2B75" w:rsidRPr="00AE2B75">
        <w:rPr>
          <w:i/>
          <w:iCs/>
        </w:rPr>
        <w:t>T</w:t>
      </w:r>
      <w:r w:rsidRPr="00AE2B75">
        <w:rPr>
          <w:i/>
          <w:iCs/>
        </w:rPr>
        <w:t>eaching</w:t>
      </w:r>
      <w:r w:rsidRPr="00AE2B75">
        <w:t xml:space="preserve">, </w:t>
      </w:r>
      <w:r w:rsidRPr="00AE2B75">
        <w:rPr>
          <w:i/>
          <w:iCs/>
        </w:rPr>
        <w:t>15</w:t>
      </w:r>
      <w:r w:rsidR="00AE2B75" w:rsidRPr="00AE2B75">
        <w:rPr>
          <w:i/>
          <w:iCs/>
        </w:rPr>
        <w:t>,</w:t>
      </w:r>
      <w:r w:rsidRPr="00AE2B75">
        <w:t xml:space="preserve"> 23-29.</w:t>
      </w:r>
    </w:p>
    <w:p w14:paraId="2980EABB" w14:textId="64820EB9" w:rsidR="005D5AA2" w:rsidRPr="00AE2B75" w:rsidRDefault="005D5AA2" w:rsidP="005D5AA2">
      <w:r w:rsidRPr="00AE2B75">
        <w:lastRenderedPageBreak/>
        <w:t xml:space="preserve">Sage, J., Evandrou, M. </w:t>
      </w:r>
      <w:r w:rsidR="00AE2B75" w:rsidRPr="00AE2B75">
        <w:t>&amp;</w:t>
      </w:r>
      <w:r w:rsidRPr="00AE2B75">
        <w:t xml:space="preserve"> Falkingham, J. (2013)</w:t>
      </w:r>
      <w:r w:rsidR="00AE2B75" w:rsidRPr="00AE2B75">
        <w:t>.</w:t>
      </w:r>
      <w:r w:rsidRPr="00AE2B75">
        <w:t xml:space="preserve"> Onwards or homewards? Complex graduate migration pathways, well-being, and the ‘parental safety net’</w:t>
      </w:r>
      <w:r w:rsidR="00AE2B75" w:rsidRPr="00AE2B75">
        <w:t>.</w:t>
      </w:r>
      <w:r w:rsidRPr="00AE2B75">
        <w:t xml:space="preserve"> </w:t>
      </w:r>
      <w:r w:rsidRPr="00AE2B75">
        <w:rPr>
          <w:i/>
        </w:rPr>
        <w:t>Population, Space and Place</w:t>
      </w:r>
      <w:r w:rsidR="00AE2B75" w:rsidRPr="00AE2B75">
        <w:rPr>
          <w:i/>
        </w:rPr>
        <w:t>,</w:t>
      </w:r>
      <w:r w:rsidRPr="00AE2B75">
        <w:t xml:space="preserve"> </w:t>
      </w:r>
      <w:r w:rsidRPr="00AE2B75">
        <w:rPr>
          <w:i/>
          <w:iCs/>
        </w:rPr>
        <w:t>19</w:t>
      </w:r>
      <w:r w:rsidR="00AE2B75" w:rsidRPr="00AE2B75">
        <w:t>,</w:t>
      </w:r>
      <w:r w:rsidRPr="00AE2B75">
        <w:t xml:space="preserve"> 738-755.</w:t>
      </w:r>
    </w:p>
    <w:p w14:paraId="51B9D1D1" w14:textId="71C068B4" w:rsidR="005D5AA2" w:rsidRPr="00AE2B75" w:rsidRDefault="005D5AA2" w:rsidP="005D5AA2">
      <w:r w:rsidRPr="00AE2B75">
        <w:t xml:space="preserve">Scanlon, E. </w:t>
      </w:r>
      <w:r w:rsidR="00AE2B75" w:rsidRPr="00AE2B75">
        <w:t>&amp;</w:t>
      </w:r>
      <w:r w:rsidRPr="00AE2B75">
        <w:t xml:space="preserve"> Devine, K. (2001)</w:t>
      </w:r>
      <w:r w:rsidR="00AE2B75" w:rsidRPr="00AE2B75">
        <w:t>.</w:t>
      </w:r>
      <w:r w:rsidRPr="00AE2B75">
        <w:t xml:space="preserve"> Residential mobility and youth well-being: research, </w:t>
      </w:r>
      <w:proofErr w:type="gramStart"/>
      <w:r w:rsidRPr="00AE2B75">
        <w:t>policy</w:t>
      </w:r>
      <w:proofErr w:type="gramEnd"/>
      <w:r w:rsidRPr="00AE2B75">
        <w:t xml:space="preserve"> a</w:t>
      </w:r>
      <w:r w:rsidR="00AE2B75" w:rsidRPr="00AE2B75">
        <w:t>n</w:t>
      </w:r>
      <w:r w:rsidRPr="00AE2B75">
        <w:t>d practice issues</w:t>
      </w:r>
      <w:r w:rsidR="00AE2B75" w:rsidRPr="00AE2B75">
        <w:t>.</w:t>
      </w:r>
      <w:r w:rsidRPr="00AE2B75">
        <w:t xml:space="preserve"> </w:t>
      </w:r>
      <w:r w:rsidRPr="00AE2B75">
        <w:rPr>
          <w:i/>
        </w:rPr>
        <w:t>Journal of Sociology and Social Welfare</w:t>
      </w:r>
      <w:r w:rsidR="00AE2B75" w:rsidRPr="00AE2B75">
        <w:rPr>
          <w:i/>
        </w:rPr>
        <w:t>,</w:t>
      </w:r>
      <w:r w:rsidRPr="00AE2B75">
        <w:t xml:space="preserve"> </w:t>
      </w:r>
      <w:r w:rsidRPr="00AE2B75">
        <w:rPr>
          <w:i/>
          <w:iCs/>
        </w:rPr>
        <w:t>28</w:t>
      </w:r>
      <w:r w:rsidR="00AE2B75" w:rsidRPr="00AE2B75">
        <w:t>,</w:t>
      </w:r>
      <w:r w:rsidRPr="00AE2B75">
        <w:t xml:space="preserve"> 119-138.</w:t>
      </w:r>
    </w:p>
    <w:p w14:paraId="2E41ECFE" w14:textId="05B9B867" w:rsidR="00183380" w:rsidRPr="00AE2B75" w:rsidRDefault="00183380" w:rsidP="005D5AA2">
      <w:proofErr w:type="spellStart"/>
      <w:r w:rsidRPr="00AE2B75">
        <w:t>Schewel</w:t>
      </w:r>
      <w:proofErr w:type="spellEnd"/>
      <w:r w:rsidRPr="00AE2B75">
        <w:t>, K.</w:t>
      </w:r>
      <w:r w:rsidR="00851477" w:rsidRPr="00AE2B75">
        <w:t xml:space="preserve"> (2019)</w:t>
      </w:r>
      <w:r w:rsidR="00AE2B75" w:rsidRPr="00AE2B75">
        <w:t>.</w:t>
      </w:r>
      <w:r w:rsidR="00851477" w:rsidRPr="00AE2B75">
        <w:t xml:space="preserve"> Understanding immobility: moving beyond the mobility bias in migration studies</w:t>
      </w:r>
      <w:r w:rsidR="00AE2B75" w:rsidRPr="00AE2B75">
        <w:t>.</w:t>
      </w:r>
      <w:r w:rsidR="00851477" w:rsidRPr="00AE2B75">
        <w:t xml:space="preserve"> </w:t>
      </w:r>
      <w:r w:rsidR="00851477" w:rsidRPr="00AE2B75">
        <w:rPr>
          <w:i/>
          <w:iCs/>
        </w:rPr>
        <w:t>International Migration Review</w:t>
      </w:r>
      <w:r w:rsidR="00851477" w:rsidRPr="00AE2B75">
        <w:t>, 1-28</w:t>
      </w:r>
      <w:r w:rsidR="00AE2B75" w:rsidRPr="00AE2B75">
        <w:t xml:space="preserve">. Retrieved from </w:t>
      </w:r>
      <w:hyperlink r:id="rId13" w:history="1">
        <w:r w:rsidR="00AE2B75" w:rsidRPr="00AE2B75">
          <w:rPr>
            <w:rStyle w:val="Hyperlink"/>
          </w:rPr>
          <w:t>https://journals.sagepub.com/doi/full/10.1177/0197918319831952</w:t>
        </w:r>
      </w:hyperlink>
      <w:r w:rsidRPr="00AE2B75">
        <w:t xml:space="preserve"> [accessed 1.12.19].</w:t>
      </w:r>
    </w:p>
    <w:p w14:paraId="4602D4A0" w14:textId="4C53D9CE" w:rsidR="00EB76BF" w:rsidRPr="00A70B0A" w:rsidRDefault="00EB76BF" w:rsidP="005D5AA2">
      <w:proofErr w:type="spellStart"/>
      <w:r w:rsidRPr="00A70B0A">
        <w:t>Schier</w:t>
      </w:r>
      <w:proofErr w:type="spellEnd"/>
      <w:r w:rsidRPr="00A70B0A">
        <w:t>, M. (2015)</w:t>
      </w:r>
      <w:r w:rsidR="00A70B0A" w:rsidRPr="00A70B0A">
        <w:t>.</w:t>
      </w:r>
      <w:r w:rsidRPr="00A70B0A">
        <w:t xml:space="preserve"> Post-separation families: spatial mobilities and the need to manage multi-local everyday life</w:t>
      </w:r>
      <w:r w:rsidR="00A70B0A" w:rsidRPr="00A70B0A">
        <w:t>. I</w:t>
      </w:r>
      <w:r w:rsidRPr="00A70B0A">
        <w:t xml:space="preserve">n </w:t>
      </w:r>
      <w:r w:rsidR="00EB3932" w:rsidRPr="00A70B0A">
        <w:t xml:space="preserve">C.M. </w:t>
      </w:r>
      <w:proofErr w:type="spellStart"/>
      <w:r w:rsidR="00EB3932" w:rsidRPr="00A70B0A">
        <w:t>Aybek</w:t>
      </w:r>
      <w:proofErr w:type="spellEnd"/>
      <w:r w:rsidR="00EB3932" w:rsidRPr="00A70B0A">
        <w:t xml:space="preserve">, J. </w:t>
      </w:r>
      <w:proofErr w:type="spellStart"/>
      <w:r w:rsidR="00EB3932" w:rsidRPr="00A70B0A">
        <w:t>Huinink</w:t>
      </w:r>
      <w:proofErr w:type="spellEnd"/>
      <w:r w:rsidR="00EB3932" w:rsidRPr="00A70B0A">
        <w:t xml:space="preserve"> </w:t>
      </w:r>
      <w:r w:rsidR="00A70B0A" w:rsidRPr="00A70B0A">
        <w:t>&amp;</w:t>
      </w:r>
      <w:r w:rsidR="00EB3932" w:rsidRPr="00A70B0A">
        <w:t xml:space="preserve"> R. </w:t>
      </w:r>
      <w:proofErr w:type="spellStart"/>
      <w:r w:rsidR="00EB3932" w:rsidRPr="00A70B0A">
        <w:t>Muttarak</w:t>
      </w:r>
      <w:proofErr w:type="spellEnd"/>
      <w:r w:rsidR="00EB3932" w:rsidRPr="00A70B0A">
        <w:t xml:space="preserve"> (</w:t>
      </w:r>
      <w:r w:rsidR="00A70B0A" w:rsidRPr="00A70B0A">
        <w:t>E</w:t>
      </w:r>
      <w:r w:rsidR="00EB3932" w:rsidRPr="00A70B0A">
        <w:t>ds</w:t>
      </w:r>
      <w:r w:rsidR="00A70B0A" w:rsidRPr="00A70B0A">
        <w:t>.</w:t>
      </w:r>
      <w:r w:rsidR="00EB3932" w:rsidRPr="00A70B0A">
        <w:t xml:space="preserve">) </w:t>
      </w:r>
      <w:r w:rsidR="00EB3932" w:rsidRPr="00A70B0A">
        <w:rPr>
          <w:i/>
          <w:iCs/>
        </w:rPr>
        <w:t xml:space="preserve">Spatial </w:t>
      </w:r>
      <w:r w:rsidR="00A70B0A" w:rsidRPr="00A70B0A">
        <w:rPr>
          <w:i/>
          <w:iCs/>
        </w:rPr>
        <w:t>m</w:t>
      </w:r>
      <w:r w:rsidR="00EB3932" w:rsidRPr="00A70B0A">
        <w:rPr>
          <w:i/>
          <w:iCs/>
        </w:rPr>
        <w:t xml:space="preserve">obility, </w:t>
      </w:r>
      <w:r w:rsidR="00A70B0A" w:rsidRPr="00A70B0A">
        <w:rPr>
          <w:i/>
          <w:iCs/>
        </w:rPr>
        <w:t>m</w:t>
      </w:r>
      <w:r w:rsidR="00EB3932" w:rsidRPr="00A70B0A">
        <w:rPr>
          <w:i/>
          <w:iCs/>
        </w:rPr>
        <w:t xml:space="preserve">igration and </w:t>
      </w:r>
      <w:r w:rsidR="00A70B0A" w:rsidRPr="00A70B0A">
        <w:rPr>
          <w:i/>
          <w:iCs/>
        </w:rPr>
        <w:t>l</w:t>
      </w:r>
      <w:r w:rsidR="00EB3932" w:rsidRPr="00A70B0A">
        <w:rPr>
          <w:i/>
          <w:iCs/>
        </w:rPr>
        <w:t xml:space="preserve">iving </w:t>
      </w:r>
      <w:r w:rsidR="00A70B0A" w:rsidRPr="00A70B0A">
        <w:rPr>
          <w:i/>
          <w:iCs/>
        </w:rPr>
        <w:t>a</w:t>
      </w:r>
      <w:r w:rsidR="00EB3932" w:rsidRPr="00A70B0A">
        <w:rPr>
          <w:i/>
          <w:iCs/>
        </w:rPr>
        <w:t>rrangements</w:t>
      </w:r>
      <w:r w:rsidRPr="00A70B0A">
        <w:t xml:space="preserve"> (pp. 205-224)</w:t>
      </w:r>
      <w:r w:rsidR="00A70B0A" w:rsidRPr="00A70B0A">
        <w:t>.</w:t>
      </w:r>
      <w:r w:rsidR="00EB3932" w:rsidRPr="00A70B0A">
        <w:t xml:space="preserve"> London</w:t>
      </w:r>
      <w:r w:rsidR="00A70B0A" w:rsidRPr="00A70B0A">
        <w:t>, UK</w:t>
      </w:r>
      <w:r w:rsidR="00EB3932" w:rsidRPr="00A70B0A">
        <w:t>: Springer.</w:t>
      </w:r>
    </w:p>
    <w:p w14:paraId="3085FF84" w14:textId="039CACB7" w:rsidR="005E4AEE" w:rsidRPr="000A28FF" w:rsidRDefault="005E4AEE" w:rsidP="005E4AEE">
      <w:r w:rsidRPr="000A28FF">
        <w:t xml:space="preserve">Shuttleworth, I., Cooke, T. </w:t>
      </w:r>
      <w:r w:rsidR="000A28FF" w:rsidRPr="000A28FF">
        <w:t>&amp;</w:t>
      </w:r>
      <w:r w:rsidRPr="000A28FF">
        <w:t xml:space="preserve"> Champion, T. (2018)</w:t>
      </w:r>
      <w:r w:rsidR="000A28FF" w:rsidRPr="000A28FF">
        <w:t>.</w:t>
      </w:r>
      <w:r w:rsidRPr="000A28FF">
        <w:t xml:space="preserve"> Why did fewer people change address in England and Wales in the 2000s than in the 1970s? Evidence from an analysis of the ONS Longitudinal Study</w:t>
      </w:r>
      <w:r w:rsidR="000A28FF" w:rsidRPr="000A28FF">
        <w:t>.</w:t>
      </w:r>
      <w:r w:rsidRPr="000A28FF">
        <w:t xml:space="preserve"> </w:t>
      </w:r>
      <w:r w:rsidRPr="000A28FF">
        <w:rPr>
          <w:i/>
        </w:rPr>
        <w:t>Population, Space and Place</w:t>
      </w:r>
      <w:r w:rsidR="000A28FF" w:rsidRPr="000A28FF">
        <w:rPr>
          <w:i/>
        </w:rPr>
        <w:t xml:space="preserve">. </w:t>
      </w:r>
      <w:r w:rsidR="000A28FF" w:rsidRPr="000A28FF">
        <w:rPr>
          <w:iCs/>
        </w:rPr>
        <w:t>Retrieved from</w:t>
      </w:r>
      <w:r w:rsidRPr="000A28FF">
        <w:t xml:space="preserve"> </w:t>
      </w:r>
      <w:hyperlink r:id="rId14" w:history="1">
        <w:r w:rsidRPr="000A28FF">
          <w:rPr>
            <w:rStyle w:val="Hyperlink"/>
          </w:rPr>
          <w:t>https://onlinelibrary.wiley.com/doi/abs/10.1002/psp.2167</w:t>
        </w:r>
      </w:hyperlink>
      <w:r w:rsidRPr="000A28FF">
        <w:t xml:space="preserve"> [accessed </w:t>
      </w:r>
      <w:r w:rsidR="0098405E" w:rsidRPr="000A28FF">
        <w:t>5.8.18].</w:t>
      </w:r>
    </w:p>
    <w:p w14:paraId="368345AD" w14:textId="6ECC5CFB" w:rsidR="00073C0A" w:rsidRPr="000A28FF" w:rsidRDefault="00073C0A" w:rsidP="005E4AEE">
      <w:proofErr w:type="spellStart"/>
      <w:r w:rsidRPr="000A28FF">
        <w:t>Sironi</w:t>
      </w:r>
      <w:proofErr w:type="spellEnd"/>
      <w:r w:rsidRPr="000A28FF">
        <w:t xml:space="preserve">, M. </w:t>
      </w:r>
      <w:r w:rsidR="000A28FF" w:rsidRPr="000A28FF">
        <w:t>&amp;</w:t>
      </w:r>
      <w:r w:rsidRPr="000A28FF">
        <w:t xml:space="preserve"> </w:t>
      </w:r>
      <w:proofErr w:type="spellStart"/>
      <w:r w:rsidRPr="000A28FF">
        <w:t>Billari</w:t>
      </w:r>
      <w:proofErr w:type="spellEnd"/>
      <w:r w:rsidRPr="000A28FF">
        <w:t>, F.C. (2019)</w:t>
      </w:r>
      <w:r w:rsidR="000A28FF" w:rsidRPr="000A28FF">
        <w:t>.</w:t>
      </w:r>
      <w:r w:rsidRPr="000A28FF">
        <w:t xml:space="preserve"> Leaving home, moving to college, and returning home: economic outcomes in the United States</w:t>
      </w:r>
      <w:r w:rsidR="000A28FF" w:rsidRPr="000A28FF">
        <w:t>.</w:t>
      </w:r>
      <w:r w:rsidRPr="000A28FF">
        <w:rPr>
          <w:i/>
          <w:iCs/>
        </w:rPr>
        <w:t xml:space="preserve"> Population, Space and Place</w:t>
      </w:r>
      <w:r w:rsidR="000A28FF" w:rsidRPr="000A28FF">
        <w:rPr>
          <w:i/>
          <w:iCs/>
        </w:rPr>
        <w:t xml:space="preserve">. </w:t>
      </w:r>
      <w:r w:rsidR="000A28FF" w:rsidRPr="000A28FF">
        <w:t>Retrieved from</w:t>
      </w:r>
      <w:r w:rsidRPr="000A28FF">
        <w:t xml:space="preserve"> </w:t>
      </w:r>
      <w:hyperlink r:id="rId15" w:history="1">
        <w:r w:rsidRPr="000A28FF">
          <w:rPr>
            <w:rFonts w:cs="Arial"/>
            <w:color w:val="005274"/>
            <w:u w:val="single"/>
            <w:shd w:val="clear" w:color="auto" w:fill="FFFFFF"/>
          </w:rPr>
          <w:t>https://doi.org/10.1002/psp.2302</w:t>
        </w:r>
      </w:hyperlink>
      <w:r w:rsidRPr="000A28FF">
        <w:t xml:space="preserve"> [accessed 30.3.20].</w:t>
      </w:r>
    </w:p>
    <w:p w14:paraId="423032FC" w14:textId="0B161F4B" w:rsidR="005D5AA2" w:rsidRPr="000A28FF" w:rsidRDefault="005D5AA2" w:rsidP="005D5AA2">
      <w:r w:rsidRPr="000A28FF">
        <w:t xml:space="preserve">Smits, A., Van </w:t>
      </w:r>
      <w:proofErr w:type="spellStart"/>
      <w:r w:rsidRPr="000A28FF">
        <w:t>Gaalen</w:t>
      </w:r>
      <w:proofErr w:type="spellEnd"/>
      <w:r w:rsidRPr="000A28FF">
        <w:t xml:space="preserve">, R.I. </w:t>
      </w:r>
      <w:r w:rsidR="000A28FF" w:rsidRPr="000A28FF">
        <w:t>&amp;</w:t>
      </w:r>
      <w:r w:rsidRPr="000A28FF">
        <w:t xml:space="preserve"> Mulder, C.H. (2010)</w:t>
      </w:r>
      <w:r w:rsidR="000A28FF" w:rsidRPr="000A28FF">
        <w:t>.</w:t>
      </w:r>
      <w:r w:rsidRPr="000A28FF">
        <w:t xml:space="preserve"> Parent-child co</w:t>
      </w:r>
      <w:r w:rsidR="000A28FF" w:rsidRPr="000A28FF">
        <w:t>-</w:t>
      </w:r>
      <w:r w:rsidRPr="000A28FF">
        <w:t xml:space="preserve">residence: who moves in with whom and for whose needs? </w:t>
      </w:r>
      <w:r w:rsidRPr="000A28FF">
        <w:rPr>
          <w:i/>
        </w:rPr>
        <w:t>Journal of Marriage and Family</w:t>
      </w:r>
      <w:r w:rsidR="000A28FF" w:rsidRPr="000A28FF">
        <w:rPr>
          <w:i/>
        </w:rPr>
        <w:t>,</w:t>
      </w:r>
      <w:r w:rsidRPr="000A28FF">
        <w:t xml:space="preserve"> </w:t>
      </w:r>
      <w:r w:rsidRPr="000A28FF">
        <w:rPr>
          <w:i/>
          <w:iCs/>
        </w:rPr>
        <w:t>72</w:t>
      </w:r>
      <w:r w:rsidR="000A28FF" w:rsidRPr="000A28FF">
        <w:t>,</w:t>
      </w:r>
      <w:r w:rsidRPr="000A28FF">
        <w:t xml:space="preserve"> 1022-1033.</w:t>
      </w:r>
    </w:p>
    <w:p w14:paraId="4FB81F01" w14:textId="0F6B6D49" w:rsidR="004B407F" w:rsidRDefault="004B407F" w:rsidP="005D5AA2">
      <w:proofErr w:type="spellStart"/>
      <w:r w:rsidRPr="000A28FF">
        <w:t>Spitze</w:t>
      </w:r>
      <w:proofErr w:type="spellEnd"/>
      <w:r w:rsidRPr="000A28FF">
        <w:t xml:space="preserve">, G.D. </w:t>
      </w:r>
      <w:r w:rsidR="000A28FF" w:rsidRPr="000A28FF">
        <w:t>&amp;</w:t>
      </w:r>
      <w:r w:rsidRPr="000A28FF">
        <w:t xml:space="preserve"> Trent, K. (2016)</w:t>
      </w:r>
      <w:r w:rsidR="000A28FF" w:rsidRPr="000A28FF">
        <w:t>.</w:t>
      </w:r>
      <w:r w:rsidRPr="000A28FF">
        <w:t xml:space="preserve"> Changes to individual sibling relationships in response to life events</w:t>
      </w:r>
      <w:r w:rsidR="000A28FF" w:rsidRPr="000A28FF">
        <w:t>.</w:t>
      </w:r>
      <w:r w:rsidRPr="000A28FF">
        <w:t xml:space="preserve"> </w:t>
      </w:r>
      <w:r w:rsidRPr="000A28FF">
        <w:rPr>
          <w:i/>
        </w:rPr>
        <w:t>Journal of Family Issues</w:t>
      </w:r>
      <w:r w:rsidRPr="000A28FF">
        <w:t xml:space="preserve">, </w:t>
      </w:r>
      <w:r w:rsidRPr="000A28FF">
        <w:rPr>
          <w:i/>
          <w:iCs/>
        </w:rPr>
        <w:t>39</w:t>
      </w:r>
      <w:r w:rsidR="000A28FF" w:rsidRPr="000A28FF">
        <w:t>,</w:t>
      </w:r>
      <w:r w:rsidRPr="000A28FF">
        <w:t xml:space="preserve"> 503-526.</w:t>
      </w:r>
    </w:p>
    <w:p w14:paraId="274C465D" w14:textId="7907B4DD" w:rsidR="00A26172" w:rsidRPr="00A26172" w:rsidRDefault="00A26172" w:rsidP="005D5AA2">
      <w:proofErr w:type="spellStart"/>
      <w:r>
        <w:t>Stoilova</w:t>
      </w:r>
      <w:proofErr w:type="spellEnd"/>
      <w:r>
        <w:t xml:space="preserve">, M., </w:t>
      </w:r>
      <w:proofErr w:type="spellStart"/>
      <w:r>
        <w:t>Roseneil</w:t>
      </w:r>
      <w:proofErr w:type="spellEnd"/>
      <w:r>
        <w:t xml:space="preserve">, S., Carter, J., Duncan, S. &amp; Phillips, M. (2016). Constructions, </w:t>
      </w:r>
      <w:proofErr w:type="gramStart"/>
      <w:r>
        <w:t>reconstructions</w:t>
      </w:r>
      <w:proofErr w:type="gramEnd"/>
      <w:r>
        <w:t xml:space="preserve"> and deconstructions of ‘family’ amongst people who live apart together (LATs). </w:t>
      </w:r>
      <w:r w:rsidRPr="00A26172">
        <w:rPr>
          <w:i/>
          <w:iCs/>
        </w:rPr>
        <w:t>The British Journal of Sociology, 68</w:t>
      </w:r>
      <w:r w:rsidRPr="00A26172">
        <w:t xml:space="preserve">, </w:t>
      </w:r>
      <w:r w:rsidRPr="00A26172">
        <w:rPr>
          <w:rFonts w:cs="Arial"/>
          <w:shd w:val="clear" w:color="auto" w:fill="FFFFFF"/>
        </w:rPr>
        <w:t>78-96</w:t>
      </w:r>
    </w:p>
    <w:p w14:paraId="43CFBA74" w14:textId="3988F11C" w:rsidR="00851477" w:rsidRPr="00BD7237" w:rsidRDefault="00851477" w:rsidP="005D5AA2">
      <w:r w:rsidRPr="00BD7237">
        <w:t>Tarrant, A. (2016)</w:t>
      </w:r>
      <w:r w:rsidR="000A28FF" w:rsidRPr="00BD7237">
        <w:t>.</w:t>
      </w:r>
      <w:r w:rsidRPr="00BD7237">
        <w:t xml:space="preserve"> Getting out of the swamp? Methodological reflections on using qualitative secondary analysis to develop research design</w:t>
      </w:r>
      <w:r w:rsidR="00BD7237" w:rsidRPr="00BD7237">
        <w:t>.</w:t>
      </w:r>
      <w:r w:rsidRPr="00BD7237">
        <w:t xml:space="preserve"> </w:t>
      </w:r>
      <w:r w:rsidRPr="00BD7237">
        <w:rPr>
          <w:i/>
          <w:iCs/>
        </w:rPr>
        <w:t>International Journal of Social Research Methodology</w:t>
      </w:r>
      <w:r w:rsidRPr="00BD7237">
        <w:t xml:space="preserve">, </w:t>
      </w:r>
      <w:r w:rsidRPr="00BD7237">
        <w:rPr>
          <w:i/>
          <w:iCs/>
        </w:rPr>
        <w:t>20</w:t>
      </w:r>
      <w:r w:rsidR="00BD7237" w:rsidRPr="00BD7237">
        <w:t>,</w:t>
      </w:r>
      <w:r w:rsidRPr="00BD7237">
        <w:t xml:space="preserve"> 599-611.</w:t>
      </w:r>
    </w:p>
    <w:p w14:paraId="0AFE385F" w14:textId="6417C99B" w:rsidR="00CE1AAE" w:rsidRPr="00BD7237" w:rsidRDefault="00CE1AAE">
      <w:r w:rsidRPr="00BD7237">
        <w:t xml:space="preserve">Tarrant, A. </w:t>
      </w:r>
      <w:r w:rsidR="00BD7237" w:rsidRPr="00BD7237">
        <w:t>&amp;</w:t>
      </w:r>
      <w:r w:rsidRPr="00BD7237">
        <w:t xml:space="preserve"> Hughes, K. (2018a)</w:t>
      </w:r>
      <w:r w:rsidR="00BD7237" w:rsidRPr="00BD7237">
        <w:t>.</w:t>
      </w:r>
      <w:r w:rsidRPr="00BD7237">
        <w:t xml:space="preserve"> Qualitative secondary analysis: building longitudinal samples to understand men’s generational identities in low income contexts, </w:t>
      </w:r>
      <w:r w:rsidRPr="00BD7237">
        <w:rPr>
          <w:i/>
        </w:rPr>
        <w:t>Sociology</w:t>
      </w:r>
      <w:r w:rsidR="00BD7237" w:rsidRPr="00BD7237">
        <w:rPr>
          <w:i/>
        </w:rPr>
        <w:t xml:space="preserve">.  </w:t>
      </w:r>
      <w:r w:rsidR="00BD7237" w:rsidRPr="00BD7237">
        <w:rPr>
          <w:iCs/>
        </w:rPr>
        <w:t>Retrieved from</w:t>
      </w:r>
      <w:r w:rsidRPr="00BD7237">
        <w:t xml:space="preserve"> </w:t>
      </w:r>
      <w:hyperlink r:id="rId16" w:history="1">
        <w:r w:rsidRPr="00BD7237">
          <w:rPr>
            <w:rStyle w:val="Hyperlink"/>
          </w:rPr>
          <w:t>http://journals.sagepub.com/doi/pdf/10.1177/0038038518772743</w:t>
        </w:r>
      </w:hyperlink>
      <w:r w:rsidRPr="00BD7237">
        <w:t xml:space="preserve"> [accessed 5.8.18].</w:t>
      </w:r>
    </w:p>
    <w:p w14:paraId="49FB3712" w14:textId="2DC75583" w:rsidR="00CE1AAE" w:rsidRPr="00BD7237" w:rsidRDefault="00CE1AAE">
      <w:r w:rsidRPr="00BD7237">
        <w:t xml:space="preserve">Tarrant, A. </w:t>
      </w:r>
      <w:r w:rsidR="00BD7237" w:rsidRPr="00BD7237">
        <w:t>&amp;</w:t>
      </w:r>
      <w:r w:rsidRPr="00BD7237">
        <w:t xml:space="preserve"> Hughes, K. (2018b) Strategies for collective qualitative secondary analysis using combined datasets, presentation at the 8</w:t>
      </w:r>
      <w:r w:rsidRPr="00BD7237">
        <w:rPr>
          <w:vertAlign w:val="superscript"/>
        </w:rPr>
        <w:t>th</w:t>
      </w:r>
      <w:r w:rsidRPr="00BD7237">
        <w:t xml:space="preserve"> NCRM Research Methods Festival, University of Bath, 3-5 July: </w:t>
      </w:r>
      <w:hyperlink r:id="rId17" w:history="1">
        <w:r w:rsidRPr="00BD7237">
          <w:rPr>
            <w:rStyle w:val="Hyperlink"/>
            <w:rFonts w:cs="Arial"/>
            <w:shd w:val="clear" w:color="auto" w:fill="FFFFFF"/>
          </w:rPr>
          <w:t>https://eprints.ncrm.ac.uk/4197/1/Collective_analysis_2.pptx</w:t>
        </w:r>
      </w:hyperlink>
      <w:r w:rsidRPr="00BD7237">
        <w:rPr>
          <w:rFonts w:cs="Arial"/>
          <w:color w:val="006621"/>
          <w:shd w:val="clear" w:color="auto" w:fill="FFFFFF"/>
        </w:rPr>
        <w:t xml:space="preserve"> </w:t>
      </w:r>
      <w:r w:rsidRPr="00BD7237">
        <w:rPr>
          <w:rFonts w:cs="Arial"/>
          <w:shd w:val="clear" w:color="auto" w:fill="FFFFFF"/>
        </w:rPr>
        <w:t>[accessed 5.8.18].</w:t>
      </w:r>
    </w:p>
    <w:p w14:paraId="4A6C333C" w14:textId="7B9CF4BB" w:rsidR="005D5AA2" w:rsidRPr="00BD7237" w:rsidRDefault="005D5AA2" w:rsidP="005D5AA2">
      <w:r w:rsidRPr="00BD7237">
        <w:t xml:space="preserve">Tosi, M. </w:t>
      </w:r>
      <w:r w:rsidR="00BD7237" w:rsidRPr="00BD7237">
        <w:t>&amp;</w:t>
      </w:r>
      <w:r w:rsidRPr="00BD7237">
        <w:t xml:space="preserve"> </w:t>
      </w:r>
      <w:proofErr w:type="spellStart"/>
      <w:r w:rsidRPr="00BD7237">
        <w:t>Gähler</w:t>
      </w:r>
      <w:proofErr w:type="spellEnd"/>
      <w:r w:rsidRPr="00BD7237">
        <w:t>, M. (2016)</w:t>
      </w:r>
      <w:r w:rsidR="00BD7237" w:rsidRPr="00BD7237">
        <w:t>.</w:t>
      </w:r>
      <w:r w:rsidRPr="00BD7237">
        <w:t xml:space="preserve"> Nest-leaving, childhood family climate and later parent-child contact in Sweden</w:t>
      </w:r>
      <w:r w:rsidR="00BD7237" w:rsidRPr="00BD7237">
        <w:t>.</w:t>
      </w:r>
      <w:r w:rsidRPr="00BD7237">
        <w:t xml:space="preserve"> </w:t>
      </w:r>
      <w:r w:rsidRPr="00BD7237">
        <w:rPr>
          <w:i/>
        </w:rPr>
        <w:t xml:space="preserve">Acta </w:t>
      </w:r>
      <w:proofErr w:type="spellStart"/>
      <w:r w:rsidRPr="00BD7237">
        <w:rPr>
          <w:i/>
        </w:rPr>
        <w:t>Sociologica</w:t>
      </w:r>
      <w:proofErr w:type="spellEnd"/>
      <w:r w:rsidRPr="00BD7237">
        <w:t xml:space="preserve">, </w:t>
      </w:r>
      <w:r w:rsidRPr="00BD7237">
        <w:rPr>
          <w:i/>
          <w:iCs/>
        </w:rPr>
        <w:t>59</w:t>
      </w:r>
      <w:r w:rsidR="00BD7237" w:rsidRPr="00BD7237">
        <w:t>,</w:t>
      </w:r>
      <w:r w:rsidRPr="00BD7237">
        <w:t xml:space="preserve"> 249-268.</w:t>
      </w:r>
    </w:p>
    <w:p w14:paraId="33F65F16" w14:textId="2CCD5807" w:rsidR="005D5AA2" w:rsidRDefault="005D5AA2" w:rsidP="005D5AA2">
      <w:r w:rsidRPr="00BD7237">
        <w:t xml:space="preserve">Wu, Y-T, </w:t>
      </w:r>
      <w:proofErr w:type="spellStart"/>
      <w:r w:rsidRPr="00BD7237">
        <w:t>Prina</w:t>
      </w:r>
      <w:proofErr w:type="spellEnd"/>
      <w:r w:rsidRPr="00BD7237">
        <w:t xml:space="preserve"> A.M., Barnes, L.E., Matthews, F.E. </w:t>
      </w:r>
      <w:r w:rsidR="00BD7237" w:rsidRPr="00BD7237">
        <w:t>&amp;</w:t>
      </w:r>
      <w:r w:rsidRPr="00BD7237">
        <w:t xml:space="preserve"> </w:t>
      </w:r>
      <w:proofErr w:type="spellStart"/>
      <w:r w:rsidRPr="00BD7237">
        <w:t>Brayne</w:t>
      </w:r>
      <w:proofErr w:type="spellEnd"/>
      <w:r w:rsidRPr="00BD7237">
        <w:t>, C. (2015)</w:t>
      </w:r>
      <w:r w:rsidR="00BD7237" w:rsidRPr="00BD7237">
        <w:t>.</w:t>
      </w:r>
      <w:r w:rsidRPr="00BD7237">
        <w:t xml:space="preserve"> Relocation at older age: results from the Cognitive Function and Ageing Study</w:t>
      </w:r>
      <w:r w:rsidR="00BD7237" w:rsidRPr="00BD7237">
        <w:t>.</w:t>
      </w:r>
      <w:r w:rsidRPr="00BD7237">
        <w:t xml:space="preserve"> </w:t>
      </w:r>
      <w:r w:rsidRPr="00BD7237">
        <w:rPr>
          <w:i/>
        </w:rPr>
        <w:t>Journal of Public Health</w:t>
      </w:r>
      <w:r w:rsidR="00BD7237" w:rsidRPr="00BD7237">
        <w:rPr>
          <w:i/>
        </w:rPr>
        <w:t>,</w:t>
      </w:r>
      <w:r w:rsidRPr="00BD7237">
        <w:t xml:space="preserve"> </w:t>
      </w:r>
      <w:r w:rsidRPr="00BD7237">
        <w:rPr>
          <w:i/>
          <w:iCs/>
        </w:rPr>
        <w:t>37</w:t>
      </w:r>
      <w:r w:rsidR="00BD7237" w:rsidRPr="00BD7237">
        <w:t>,</w:t>
      </w:r>
      <w:r w:rsidRPr="00BD7237">
        <w:t xml:space="preserve"> 480-487.</w:t>
      </w:r>
    </w:p>
    <w:p w14:paraId="5CB6CD12" w14:textId="55A7A224" w:rsidR="00EB5C80" w:rsidRPr="002454C4" w:rsidRDefault="00EB5C80" w:rsidP="005D5AA2">
      <w:proofErr w:type="spellStart"/>
      <w:r w:rsidRPr="002454C4">
        <w:rPr>
          <w:rFonts w:cs="Segoe UI"/>
        </w:rPr>
        <w:t>Viry</w:t>
      </w:r>
      <w:proofErr w:type="spellEnd"/>
      <w:r w:rsidRPr="002454C4">
        <w:rPr>
          <w:rFonts w:cs="Segoe UI"/>
        </w:rPr>
        <w:t xml:space="preserve">, G. (2012). Residential mobility and the spatial dispersion of personal networks: Effects on social support. </w:t>
      </w:r>
      <w:r w:rsidRPr="002454C4">
        <w:rPr>
          <w:rFonts w:cs="Segoe UI"/>
          <w:i/>
          <w:iCs/>
        </w:rPr>
        <w:t>Social Networks, 34</w:t>
      </w:r>
      <w:r w:rsidRPr="002454C4">
        <w:rPr>
          <w:rFonts w:cs="Segoe UI"/>
        </w:rPr>
        <w:t>(1), 59-72.</w:t>
      </w:r>
    </w:p>
    <w:p w14:paraId="220C7305" w14:textId="77777777" w:rsidR="00A51671" w:rsidRPr="002454C4" w:rsidRDefault="00A51671"/>
    <w:sectPr w:rsidR="00A51671" w:rsidRPr="002454C4" w:rsidSect="008724F6">
      <w:footerReference w:type="default" r:id="rId1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1866" w14:textId="77777777" w:rsidR="008500E2" w:rsidRDefault="008500E2" w:rsidP="00C82BA0">
      <w:r>
        <w:separator/>
      </w:r>
    </w:p>
  </w:endnote>
  <w:endnote w:type="continuationSeparator" w:id="0">
    <w:p w14:paraId="00A26454" w14:textId="77777777" w:rsidR="008500E2" w:rsidRDefault="008500E2" w:rsidP="00C82BA0">
      <w:r>
        <w:continuationSeparator/>
      </w:r>
    </w:p>
  </w:endnote>
  <w:endnote w:id="1">
    <w:p w14:paraId="5A27DD10" w14:textId="140C3A63" w:rsidR="00FE400D" w:rsidRPr="00EC3AEA" w:rsidRDefault="00FE400D">
      <w:pPr>
        <w:pStyle w:val="EndnoteText"/>
        <w:rPr>
          <w:rFonts w:asciiTheme="minorHAnsi" w:hAnsiTheme="minorHAnsi" w:cstheme="minorHAnsi"/>
        </w:rPr>
      </w:pPr>
      <w:r w:rsidRPr="00EC3AEA">
        <w:rPr>
          <w:rStyle w:val="EndnoteReference"/>
        </w:rPr>
        <w:endnoteRef/>
      </w:r>
      <w:r w:rsidRPr="00EC3AEA">
        <w:t xml:space="preserve">  </w:t>
      </w:r>
      <w:r w:rsidRPr="00EC3AEA">
        <w:rPr>
          <w:rFonts w:asciiTheme="minorHAnsi" w:hAnsiTheme="minorHAnsi" w:cstheme="minorHAnsi"/>
        </w:rPr>
        <w:t xml:space="preserve">The project was part of the </w:t>
      </w:r>
      <w:r w:rsidR="00115F96">
        <w:rPr>
          <w:rFonts w:asciiTheme="minorHAnsi" w:hAnsiTheme="minorHAnsi" w:cstheme="minorHAnsi"/>
        </w:rPr>
        <w:t>ESRC National Centre for Research Methods</w:t>
      </w:r>
      <w:r w:rsidR="00EC3AEA" w:rsidRPr="00EC3AEA">
        <w:rPr>
          <w:rFonts w:asciiTheme="minorHAnsi" w:hAnsiTheme="minorHAnsi" w:cstheme="minorHAnsi"/>
        </w:rPr>
        <w:t xml:space="preserve"> </w:t>
      </w:r>
      <w:r w:rsidRPr="00EC3AEA">
        <w:rPr>
          <w:rFonts w:asciiTheme="minorHAnsi" w:hAnsiTheme="minorHAnsi" w:cstheme="minorHAnsi"/>
        </w:rPr>
        <w:t xml:space="preserve">programme of work.  All participants whose interview data is stored in the </w:t>
      </w:r>
      <w:proofErr w:type="spellStart"/>
      <w:r w:rsidRPr="00EC3AEA">
        <w:rPr>
          <w:rFonts w:asciiTheme="minorHAnsi" w:hAnsiTheme="minorHAnsi" w:cstheme="minorHAnsi"/>
        </w:rPr>
        <w:t>Timescapes</w:t>
      </w:r>
      <w:proofErr w:type="spellEnd"/>
      <w:r w:rsidRPr="00EC3AEA">
        <w:rPr>
          <w:rFonts w:asciiTheme="minorHAnsi" w:hAnsiTheme="minorHAnsi" w:cstheme="minorHAnsi"/>
        </w:rPr>
        <w:t xml:space="preserve"> Archive gave informed consent for reuse.  Ethical approval for the project was received under</w:t>
      </w:r>
      <w:r w:rsidR="00115F96">
        <w:rPr>
          <w:rFonts w:asciiTheme="minorHAnsi" w:hAnsiTheme="minorHAnsi" w:cstheme="minorHAnsi"/>
        </w:rPr>
        <w:t xml:space="preserve"> University of Southampton ethical review under ERGO ID 15216</w:t>
      </w:r>
      <w:r w:rsidRPr="00EC3AEA">
        <w:rPr>
          <w:rFonts w:asciiTheme="minorHAnsi" w:hAnsiTheme="minorHAnsi" w:cstheme="minorHAnsi"/>
        </w:rPr>
        <w:t xml:space="preserve">. </w:t>
      </w:r>
    </w:p>
  </w:endnote>
  <w:endnote w:id="2">
    <w:p w14:paraId="6A8FAE88" w14:textId="2FBAA789" w:rsidR="00FE400D" w:rsidRPr="00631D41" w:rsidRDefault="00FE400D">
      <w:pPr>
        <w:pStyle w:val="EndnoteText"/>
        <w:rPr>
          <w:rFonts w:asciiTheme="minorHAnsi" w:hAnsiTheme="minorHAnsi" w:cstheme="minorHAnsi"/>
          <w:color w:val="002060"/>
        </w:rPr>
      </w:pPr>
      <w:r w:rsidRPr="00EC3AEA">
        <w:rPr>
          <w:rStyle w:val="EndnoteReference"/>
        </w:rPr>
        <w:endnoteRef/>
      </w:r>
      <w:r w:rsidRPr="00EC3AEA">
        <w:t xml:space="preserve"> </w:t>
      </w:r>
      <w:r w:rsidRPr="00EC3AEA">
        <w:rPr>
          <w:rFonts w:cs="Arial"/>
          <w:shd w:val="clear" w:color="auto" w:fill="FFFFFF"/>
        </w:rPr>
        <w:t xml:space="preserve"> </w:t>
      </w:r>
      <w:r w:rsidRPr="00EC3AEA">
        <w:rPr>
          <w:rStyle w:val="s1"/>
          <w:rFonts w:asciiTheme="minorHAnsi" w:hAnsiTheme="minorHAnsi" w:cstheme="minorHAnsi"/>
          <w:sz w:val="20"/>
          <w:szCs w:val="20"/>
        </w:rPr>
        <w:t>The resulting anonymised age cohort/gender data set is registered at</w:t>
      </w:r>
      <w:r w:rsidR="00EC3AEA">
        <w:rPr>
          <w:rStyle w:val="s1"/>
          <w:rFonts w:asciiTheme="minorHAnsi" w:hAnsiTheme="minorHAnsi" w:cstheme="minorHAnsi"/>
          <w:sz w:val="20"/>
          <w:szCs w:val="20"/>
        </w:rPr>
        <w:t xml:space="preserve"> </w:t>
      </w:r>
      <w:hyperlink r:id="rId1" w:history="1">
        <w:r w:rsidR="002454C4" w:rsidRPr="002454C4">
          <w:rPr>
            <w:rFonts w:asciiTheme="minorHAnsi" w:hAnsiTheme="minorHAnsi" w:cstheme="minorHAnsi"/>
            <w:color w:val="0000FF"/>
            <w:u w:val="single"/>
            <w:shd w:val="clear" w:color="auto" w:fill="FFFFFF"/>
            <w:lang w:val="en-US" w:eastAsia="en-US"/>
          </w:rPr>
          <w:t>https://doi.org/10.23635/14</w:t>
        </w:r>
      </w:hyperlink>
      <w:r w:rsidR="002454C4" w:rsidRPr="002454C4">
        <w:rPr>
          <w:rStyle w:val="s1"/>
          <w:rFonts w:asciiTheme="minorHAnsi" w:hAnsiTheme="minorHAnsi" w:cstheme="minorHAnsi"/>
          <w:sz w:val="20"/>
          <w:szCs w:val="20"/>
        </w:rPr>
        <w:t xml:space="preserve"> </w:t>
      </w:r>
      <w:r w:rsidRPr="002454C4">
        <w:rPr>
          <w:rStyle w:val="s1"/>
          <w:rFonts w:asciiTheme="minorHAnsi" w:hAnsiTheme="minorHAnsi" w:cstheme="minorHAnsi"/>
          <w:sz w:val="20"/>
          <w:szCs w:val="20"/>
        </w:rPr>
        <w:t xml:space="preserve">for </w:t>
      </w:r>
      <w:r w:rsidRPr="00EC3AEA">
        <w:rPr>
          <w:rStyle w:val="s1"/>
          <w:rFonts w:asciiTheme="minorHAnsi" w:hAnsiTheme="minorHAnsi" w:cstheme="minorHAnsi"/>
          <w:sz w:val="20"/>
          <w:szCs w:val="20"/>
        </w:rPr>
        <w:t>reuse.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
    <w:panose1 w:val="00000000000000000000"/>
    <w:charset w:val="00"/>
    <w:family w:val="auto"/>
    <w:notTrueType/>
    <w:pitch w:val="default"/>
    <w:sig w:usb0="00000003" w:usb1="00000000" w:usb2="00000000" w:usb3="00000000" w:csb0="00000001" w:csb1="00000000"/>
  </w:font>
  <w:font w:name="StoneSerif-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47633"/>
      <w:docPartObj>
        <w:docPartGallery w:val="Page Numbers (Bottom of Page)"/>
        <w:docPartUnique/>
      </w:docPartObj>
    </w:sdtPr>
    <w:sdtEndPr>
      <w:rPr>
        <w:noProof/>
      </w:rPr>
    </w:sdtEndPr>
    <w:sdtContent>
      <w:p w14:paraId="51A4241A" w14:textId="38E12D06" w:rsidR="00FE400D" w:rsidRDefault="00FE400D">
        <w:pPr>
          <w:pStyle w:val="Footer"/>
          <w:jc w:val="right"/>
        </w:pPr>
        <w:r>
          <w:fldChar w:fldCharType="begin"/>
        </w:r>
        <w:r>
          <w:instrText xml:space="preserve"> PAGE   \* MERGEFORMAT </w:instrText>
        </w:r>
        <w:r>
          <w:fldChar w:fldCharType="separate"/>
        </w:r>
        <w:r w:rsidR="006F5E58">
          <w:rPr>
            <w:noProof/>
          </w:rPr>
          <w:t>11</w:t>
        </w:r>
        <w:r>
          <w:rPr>
            <w:noProof/>
          </w:rPr>
          <w:fldChar w:fldCharType="end"/>
        </w:r>
      </w:p>
    </w:sdtContent>
  </w:sdt>
  <w:p w14:paraId="6AD67602" w14:textId="2270739E" w:rsidR="00FE400D" w:rsidRDefault="00FE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20A3" w14:textId="77777777" w:rsidR="008500E2" w:rsidRDefault="008500E2" w:rsidP="00C82BA0">
      <w:r>
        <w:separator/>
      </w:r>
    </w:p>
  </w:footnote>
  <w:footnote w:type="continuationSeparator" w:id="0">
    <w:p w14:paraId="5B72546B" w14:textId="77777777" w:rsidR="008500E2" w:rsidRDefault="008500E2" w:rsidP="00C82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D77B2"/>
    <w:multiLevelType w:val="hybridMultilevel"/>
    <w:tmpl w:val="78E8E0B2"/>
    <w:lvl w:ilvl="0" w:tplc="3C5890B8">
      <w:start w:val="19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F36D0"/>
    <w:multiLevelType w:val="hybridMultilevel"/>
    <w:tmpl w:val="07CA2B8E"/>
    <w:lvl w:ilvl="0" w:tplc="D27EC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1956C5"/>
    <w:multiLevelType w:val="hybridMultilevel"/>
    <w:tmpl w:val="E2B28C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7A"/>
    <w:rsid w:val="000016D8"/>
    <w:rsid w:val="000047A5"/>
    <w:rsid w:val="00007E86"/>
    <w:rsid w:val="00011F8F"/>
    <w:rsid w:val="0001514C"/>
    <w:rsid w:val="00016419"/>
    <w:rsid w:val="00020B37"/>
    <w:rsid w:val="00024AF7"/>
    <w:rsid w:val="000331AE"/>
    <w:rsid w:val="000337DC"/>
    <w:rsid w:val="00044624"/>
    <w:rsid w:val="00053C1E"/>
    <w:rsid w:val="0006587D"/>
    <w:rsid w:val="00072E7A"/>
    <w:rsid w:val="00073C0A"/>
    <w:rsid w:val="00077F22"/>
    <w:rsid w:val="00082665"/>
    <w:rsid w:val="00087CA8"/>
    <w:rsid w:val="00087CF5"/>
    <w:rsid w:val="000A28FF"/>
    <w:rsid w:val="000B354B"/>
    <w:rsid w:val="000C4A3A"/>
    <w:rsid w:val="000C57B1"/>
    <w:rsid w:val="000D5860"/>
    <w:rsid w:val="00101E05"/>
    <w:rsid w:val="00110A38"/>
    <w:rsid w:val="00115F96"/>
    <w:rsid w:val="00116EBA"/>
    <w:rsid w:val="0012150A"/>
    <w:rsid w:val="00130252"/>
    <w:rsid w:val="0013213C"/>
    <w:rsid w:val="00135F9A"/>
    <w:rsid w:val="00136C4E"/>
    <w:rsid w:val="00141187"/>
    <w:rsid w:val="00141B69"/>
    <w:rsid w:val="00156E07"/>
    <w:rsid w:val="001718D3"/>
    <w:rsid w:val="00183380"/>
    <w:rsid w:val="00186760"/>
    <w:rsid w:val="00194CE6"/>
    <w:rsid w:val="0019578B"/>
    <w:rsid w:val="00195EC8"/>
    <w:rsid w:val="001A2A7F"/>
    <w:rsid w:val="001A790C"/>
    <w:rsid w:val="001B243D"/>
    <w:rsid w:val="001B3B60"/>
    <w:rsid w:val="001B7E16"/>
    <w:rsid w:val="001C1EB9"/>
    <w:rsid w:val="001D32A8"/>
    <w:rsid w:val="001D6624"/>
    <w:rsid w:val="001E7FF6"/>
    <w:rsid w:val="00210B76"/>
    <w:rsid w:val="00217B36"/>
    <w:rsid w:val="002268F9"/>
    <w:rsid w:val="002369DA"/>
    <w:rsid w:val="00237FAB"/>
    <w:rsid w:val="00237FD2"/>
    <w:rsid w:val="002417C1"/>
    <w:rsid w:val="002454C4"/>
    <w:rsid w:val="00254273"/>
    <w:rsid w:val="00260E75"/>
    <w:rsid w:val="00262B05"/>
    <w:rsid w:val="00263C37"/>
    <w:rsid w:val="00263EC8"/>
    <w:rsid w:val="002643E3"/>
    <w:rsid w:val="00272361"/>
    <w:rsid w:val="00291F01"/>
    <w:rsid w:val="00294DCE"/>
    <w:rsid w:val="002A32FA"/>
    <w:rsid w:val="002A4009"/>
    <w:rsid w:val="002B10B9"/>
    <w:rsid w:val="002B5860"/>
    <w:rsid w:val="002B588F"/>
    <w:rsid w:val="002C4701"/>
    <w:rsid w:val="002C7452"/>
    <w:rsid w:val="002E1293"/>
    <w:rsid w:val="002E2710"/>
    <w:rsid w:val="002F43CF"/>
    <w:rsid w:val="003019EB"/>
    <w:rsid w:val="00302B98"/>
    <w:rsid w:val="00310C5E"/>
    <w:rsid w:val="003220CF"/>
    <w:rsid w:val="0033102A"/>
    <w:rsid w:val="00341E82"/>
    <w:rsid w:val="00342293"/>
    <w:rsid w:val="003442E3"/>
    <w:rsid w:val="00344450"/>
    <w:rsid w:val="0034469D"/>
    <w:rsid w:val="00344F57"/>
    <w:rsid w:val="0034569E"/>
    <w:rsid w:val="0034687B"/>
    <w:rsid w:val="003817B6"/>
    <w:rsid w:val="00383ABA"/>
    <w:rsid w:val="00385FC4"/>
    <w:rsid w:val="00386DF8"/>
    <w:rsid w:val="0039142D"/>
    <w:rsid w:val="00393812"/>
    <w:rsid w:val="00397C3B"/>
    <w:rsid w:val="003B3924"/>
    <w:rsid w:val="003B6AF0"/>
    <w:rsid w:val="003C1499"/>
    <w:rsid w:val="003C215B"/>
    <w:rsid w:val="003D0209"/>
    <w:rsid w:val="003D03EF"/>
    <w:rsid w:val="003E1E1D"/>
    <w:rsid w:val="003F524F"/>
    <w:rsid w:val="003F5E5F"/>
    <w:rsid w:val="003F69CC"/>
    <w:rsid w:val="00421C3E"/>
    <w:rsid w:val="00425147"/>
    <w:rsid w:val="00440E2F"/>
    <w:rsid w:val="00445081"/>
    <w:rsid w:val="00450008"/>
    <w:rsid w:val="00450FBC"/>
    <w:rsid w:val="00455B00"/>
    <w:rsid w:val="0045716F"/>
    <w:rsid w:val="004649AD"/>
    <w:rsid w:val="00471A98"/>
    <w:rsid w:val="0048461B"/>
    <w:rsid w:val="004876A5"/>
    <w:rsid w:val="004920A2"/>
    <w:rsid w:val="00493565"/>
    <w:rsid w:val="00493A21"/>
    <w:rsid w:val="0049647C"/>
    <w:rsid w:val="004A4CD7"/>
    <w:rsid w:val="004A4F36"/>
    <w:rsid w:val="004B407F"/>
    <w:rsid w:val="004C4C5B"/>
    <w:rsid w:val="004C66A9"/>
    <w:rsid w:val="004C6BC5"/>
    <w:rsid w:val="004D217C"/>
    <w:rsid w:val="004E04D1"/>
    <w:rsid w:val="004E5044"/>
    <w:rsid w:val="004E5B42"/>
    <w:rsid w:val="004F0C85"/>
    <w:rsid w:val="004F72E7"/>
    <w:rsid w:val="00506505"/>
    <w:rsid w:val="0051279F"/>
    <w:rsid w:val="005134D1"/>
    <w:rsid w:val="00524F01"/>
    <w:rsid w:val="00526503"/>
    <w:rsid w:val="00533974"/>
    <w:rsid w:val="005353A7"/>
    <w:rsid w:val="00542039"/>
    <w:rsid w:val="0054316F"/>
    <w:rsid w:val="005432DE"/>
    <w:rsid w:val="00544BAD"/>
    <w:rsid w:val="00550C3D"/>
    <w:rsid w:val="00551E69"/>
    <w:rsid w:val="00556CB3"/>
    <w:rsid w:val="005622F3"/>
    <w:rsid w:val="00565473"/>
    <w:rsid w:val="005654EB"/>
    <w:rsid w:val="00572385"/>
    <w:rsid w:val="00572CF9"/>
    <w:rsid w:val="0058502D"/>
    <w:rsid w:val="0058520C"/>
    <w:rsid w:val="00596116"/>
    <w:rsid w:val="005A0D3D"/>
    <w:rsid w:val="005A1DDE"/>
    <w:rsid w:val="005A4464"/>
    <w:rsid w:val="005A4B39"/>
    <w:rsid w:val="005B0FD5"/>
    <w:rsid w:val="005B19E4"/>
    <w:rsid w:val="005B75A0"/>
    <w:rsid w:val="005C2234"/>
    <w:rsid w:val="005C6877"/>
    <w:rsid w:val="005D0A8A"/>
    <w:rsid w:val="005D0B53"/>
    <w:rsid w:val="005D2D57"/>
    <w:rsid w:val="005D5AA2"/>
    <w:rsid w:val="005E495F"/>
    <w:rsid w:val="005E4AEE"/>
    <w:rsid w:val="005F5AC6"/>
    <w:rsid w:val="005F72D3"/>
    <w:rsid w:val="00601E0F"/>
    <w:rsid w:val="0060321E"/>
    <w:rsid w:val="00611551"/>
    <w:rsid w:val="00611A2D"/>
    <w:rsid w:val="0061616F"/>
    <w:rsid w:val="00626066"/>
    <w:rsid w:val="00630D16"/>
    <w:rsid w:val="00631D41"/>
    <w:rsid w:val="00637DC1"/>
    <w:rsid w:val="0064495F"/>
    <w:rsid w:val="006460DF"/>
    <w:rsid w:val="00665123"/>
    <w:rsid w:val="0066775B"/>
    <w:rsid w:val="0067047B"/>
    <w:rsid w:val="00671E2C"/>
    <w:rsid w:val="00682809"/>
    <w:rsid w:val="00684C95"/>
    <w:rsid w:val="00690413"/>
    <w:rsid w:val="00691219"/>
    <w:rsid w:val="006A0BF1"/>
    <w:rsid w:val="006A36FD"/>
    <w:rsid w:val="006B6FF7"/>
    <w:rsid w:val="006B7293"/>
    <w:rsid w:val="006C0E6E"/>
    <w:rsid w:val="006C791F"/>
    <w:rsid w:val="006D3EE5"/>
    <w:rsid w:val="006D413A"/>
    <w:rsid w:val="006D5FD6"/>
    <w:rsid w:val="006D7DDF"/>
    <w:rsid w:val="006F2B39"/>
    <w:rsid w:val="006F5E58"/>
    <w:rsid w:val="006F6965"/>
    <w:rsid w:val="006F7CFD"/>
    <w:rsid w:val="00700C58"/>
    <w:rsid w:val="00702F80"/>
    <w:rsid w:val="0070503A"/>
    <w:rsid w:val="00711348"/>
    <w:rsid w:val="00716D3C"/>
    <w:rsid w:val="00720E44"/>
    <w:rsid w:val="00723FF1"/>
    <w:rsid w:val="00727DEC"/>
    <w:rsid w:val="007406A3"/>
    <w:rsid w:val="00742150"/>
    <w:rsid w:val="00744D8D"/>
    <w:rsid w:val="00751FA9"/>
    <w:rsid w:val="00757AD2"/>
    <w:rsid w:val="00761A70"/>
    <w:rsid w:val="007674B9"/>
    <w:rsid w:val="007805AD"/>
    <w:rsid w:val="0079035D"/>
    <w:rsid w:val="007A11C4"/>
    <w:rsid w:val="007A1806"/>
    <w:rsid w:val="007A3D89"/>
    <w:rsid w:val="007A4E2A"/>
    <w:rsid w:val="007B0FA6"/>
    <w:rsid w:val="007B1E76"/>
    <w:rsid w:val="007C63EB"/>
    <w:rsid w:val="007C6BD6"/>
    <w:rsid w:val="007D4307"/>
    <w:rsid w:val="007E1146"/>
    <w:rsid w:val="007E2703"/>
    <w:rsid w:val="007F315C"/>
    <w:rsid w:val="007F345D"/>
    <w:rsid w:val="007F54BC"/>
    <w:rsid w:val="007F5D16"/>
    <w:rsid w:val="00803756"/>
    <w:rsid w:val="0080394A"/>
    <w:rsid w:val="00806284"/>
    <w:rsid w:val="0080665C"/>
    <w:rsid w:val="008139A4"/>
    <w:rsid w:val="008151DC"/>
    <w:rsid w:val="008171A4"/>
    <w:rsid w:val="00834007"/>
    <w:rsid w:val="008425E1"/>
    <w:rsid w:val="0084316E"/>
    <w:rsid w:val="008500E2"/>
    <w:rsid w:val="00851477"/>
    <w:rsid w:val="008602AA"/>
    <w:rsid w:val="00870DE3"/>
    <w:rsid w:val="008724F6"/>
    <w:rsid w:val="008737F6"/>
    <w:rsid w:val="0087486A"/>
    <w:rsid w:val="0089412F"/>
    <w:rsid w:val="00897BFC"/>
    <w:rsid w:val="008A0F24"/>
    <w:rsid w:val="008A27E8"/>
    <w:rsid w:val="008B0486"/>
    <w:rsid w:val="008B0FB6"/>
    <w:rsid w:val="008C2036"/>
    <w:rsid w:val="008E5953"/>
    <w:rsid w:val="008E72A0"/>
    <w:rsid w:val="008F11D1"/>
    <w:rsid w:val="008F7981"/>
    <w:rsid w:val="009021DD"/>
    <w:rsid w:val="00905455"/>
    <w:rsid w:val="0090604C"/>
    <w:rsid w:val="0090622F"/>
    <w:rsid w:val="00910FD0"/>
    <w:rsid w:val="00926C38"/>
    <w:rsid w:val="00935124"/>
    <w:rsid w:val="00966B96"/>
    <w:rsid w:val="0097700D"/>
    <w:rsid w:val="0098405E"/>
    <w:rsid w:val="009B49B6"/>
    <w:rsid w:val="009C29FD"/>
    <w:rsid w:val="009C36B8"/>
    <w:rsid w:val="009C4B96"/>
    <w:rsid w:val="009C4CFF"/>
    <w:rsid w:val="009D0073"/>
    <w:rsid w:val="009D093B"/>
    <w:rsid w:val="009D6611"/>
    <w:rsid w:val="009E0322"/>
    <w:rsid w:val="009E20B7"/>
    <w:rsid w:val="009F0DA2"/>
    <w:rsid w:val="009F6A8E"/>
    <w:rsid w:val="00A078E4"/>
    <w:rsid w:val="00A16496"/>
    <w:rsid w:val="00A16C98"/>
    <w:rsid w:val="00A1776A"/>
    <w:rsid w:val="00A20613"/>
    <w:rsid w:val="00A212F6"/>
    <w:rsid w:val="00A258C5"/>
    <w:rsid w:val="00A26172"/>
    <w:rsid w:val="00A273D1"/>
    <w:rsid w:val="00A432C4"/>
    <w:rsid w:val="00A47524"/>
    <w:rsid w:val="00A51671"/>
    <w:rsid w:val="00A52665"/>
    <w:rsid w:val="00A57459"/>
    <w:rsid w:val="00A63B15"/>
    <w:rsid w:val="00A65A5D"/>
    <w:rsid w:val="00A66FD4"/>
    <w:rsid w:val="00A70B0A"/>
    <w:rsid w:val="00A728A9"/>
    <w:rsid w:val="00A770A2"/>
    <w:rsid w:val="00A777BB"/>
    <w:rsid w:val="00A77815"/>
    <w:rsid w:val="00A81C9D"/>
    <w:rsid w:val="00A82A18"/>
    <w:rsid w:val="00A845BD"/>
    <w:rsid w:val="00A86C26"/>
    <w:rsid w:val="00A9694D"/>
    <w:rsid w:val="00AA0F0B"/>
    <w:rsid w:val="00AA6AF4"/>
    <w:rsid w:val="00AB1AE4"/>
    <w:rsid w:val="00AB2388"/>
    <w:rsid w:val="00AB2E37"/>
    <w:rsid w:val="00AC0816"/>
    <w:rsid w:val="00AD3293"/>
    <w:rsid w:val="00AD665F"/>
    <w:rsid w:val="00AE1FE1"/>
    <w:rsid w:val="00AE2B75"/>
    <w:rsid w:val="00AE354A"/>
    <w:rsid w:val="00AE3F9C"/>
    <w:rsid w:val="00AE7594"/>
    <w:rsid w:val="00AF0755"/>
    <w:rsid w:val="00AF3BED"/>
    <w:rsid w:val="00AF596A"/>
    <w:rsid w:val="00B0161C"/>
    <w:rsid w:val="00B24F08"/>
    <w:rsid w:val="00B27E5C"/>
    <w:rsid w:val="00B37AC8"/>
    <w:rsid w:val="00B46B95"/>
    <w:rsid w:val="00B52183"/>
    <w:rsid w:val="00B5378E"/>
    <w:rsid w:val="00B74E50"/>
    <w:rsid w:val="00B76ED1"/>
    <w:rsid w:val="00B8165C"/>
    <w:rsid w:val="00B8391D"/>
    <w:rsid w:val="00B852A7"/>
    <w:rsid w:val="00B91DDE"/>
    <w:rsid w:val="00B92B99"/>
    <w:rsid w:val="00B945CD"/>
    <w:rsid w:val="00BA5A52"/>
    <w:rsid w:val="00BB1426"/>
    <w:rsid w:val="00BB66FB"/>
    <w:rsid w:val="00BB69F1"/>
    <w:rsid w:val="00BB75A9"/>
    <w:rsid w:val="00BC0EB6"/>
    <w:rsid w:val="00BC1048"/>
    <w:rsid w:val="00BD0BE2"/>
    <w:rsid w:val="00BD12DB"/>
    <w:rsid w:val="00BD352A"/>
    <w:rsid w:val="00BD40A2"/>
    <w:rsid w:val="00BD5E3B"/>
    <w:rsid w:val="00BD7237"/>
    <w:rsid w:val="00BE3766"/>
    <w:rsid w:val="00BE4C48"/>
    <w:rsid w:val="00BE5967"/>
    <w:rsid w:val="00BF0BCF"/>
    <w:rsid w:val="00BF2C3D"/>
    <w:rsid w:val="00BF3ED1"/>
    <w:rsid w:val="00C00209"/>
    <w:rsid w:val="00C05A3A"/>
    <w:rsid w:val="00C06077"/>
    <w:rsid w:val="00C105EB"/>
    <w:rsid w:val="00C166D1"/>
    <w:rsid w:val="00C16C4B"/>
    <w:rsid w:val="00C229A9"/>
    <w:rsid w:val="00C260BC"/>
    <w:rsid w:val="00C35019"/>
    <w:rsid w:val="00C420D6"/>
    <w:rsid w:val="00C4589E"/>
    <w:rsid w:val="00C5248D"/>
    <w:rsid w:val="00C53EBF"/>
    <w:rsid w:val="00C548C7"/>
    <w:rsid w:val="00C57EB1"/>
    <w:rsid w:val="00C60C43"/>
    <w:rsid w:val="00C70CC7"/>
    <w:rsid w:val="00C81081"/>
    <w:rsid w:val="00C82BA0"/>
    <w:rsid w:val="00C87B8E"/>
    <w:rsid w:val="00C92406"/>
    <w:rsid w:val="00CB1673"/>
    <w:rsid w:val="00CB1DE4"/>
    <w:rsid w:val="00CB3A8C"/>
    <w:rsid w:val="00CE1AAE"/>
    <w:rsid w:val="00CE39F1"/>
    <w:rsid w:val="00CE793D"/>
    <w:rsid w:val="00CF013E"/>
    <w:rsid w:val="00CF0CA0"/>
    <w:rsid w:val="00CF6B9F"/>
    <w:rsid w:val="00D054E6"/>
    <w:rsid w:val="00D07047"/>
    <w:rsid w:val="00D11B90"/>
    <w:rsid w:val="00D12282"/>
    <w:rsid w:val="00D20353"/>
    <w:rsid w:val="00D369AA"/>
    <w:rsid w:val="00D41E89"/>
    <w:rsid w:val="00D47E0C"/>
    <w:rsid w:val="00D504C0"/>
    <w:rsid w:val="00D52CE0"/>
    <w:rsid w:val="00D63B40"/>
    <w:rsid w:val="00D74AB4"/>
    <w:rsid w:val="00D76348"/>
    <w:rsid w:val="00D80245"/>
    <w:rsid w:val="00D914BD"/>
    <w:rsid w:val="00DA4703"/>
    <w:rsid w:val="00DA6D55"/>
    <w:rsid w:val="00DB240B"/>
    <w:rsid w:val="00DB37BD"/>
    <w:rsid w:val="00DB79AB"/>
    <w:rsid w:val="00DC01BE"/>
    <w:rsid w:val="00DC2704"/>
    <w:rsid w:val="00DC5D86"/>
    <w:rsid w:val="00DC6C8D"/>
    <w:rsid w:val="00DD1C01"/>
    <w:rsid w:val="00DD60E7"/>
    <w:rsid w:val="00DE16EB"/>
    <w:rsid w:val="00DE47A0"/>
    <w:rsid w:val="00DE4C39"/>
    <w:rsid w:val="00E14C88"/>
    <w:rsid w:val="00E23017"/>
    <w:rsid w:val="00E32F88"/>
    <w:rsid w:val="00E339D4"/>
    <w:rsid w:val="00E357AB"/>
    <w:rsid w:val="00E466FC"/>
    <w:rsid w:val="00E5373F"/>
    <w:rsid w:val="00E6047A"/>
    <w:rsid w:val="00E84017"/>
    <w:rsid w:val="00E917F2"/>
    <w:rsid w:val="00E93B9C"/>
    <w:rsid w:val="00E95D21"/>
    <w:rsid w:val="00E96F9F"/>
    <w:rsid w:val="00EA553F"/>
    <w:rsid w:val="00EB0AED"/>
    <w:rsid w:val="00EB3932"/>
    <w:rsid w:val="00EB5C80"/>
    <w:rsid w:val="00EB742A"/>
    <w:rsid w:val="00EB76BF"/>
    <w:rsid w:val="00EC2BC6"/>
    <w:rsid w:val="00EC3AEA"/>
    <w:rsid w:val="00ED4DE2"/>
    <w:rsid w:val="00EE0146"/>
    <w:rsid w:val="00EE1599"/>
    <w:rsid w:val="00EE67A0"/>
    <w:rsid w:val="00EF009F"/>
    <w:rsid w:val="00F0094F"/>
    <w:rsid w:val="00F012EC"/>
    <w:rsid w:val="00F03124"/>
    <w:rsid w:val="00F13A9F"/>
    <w:rsid w:val="00F15A55"/>
    <w:rsid w:val="00F165E1"/>
    <w:rsid w:val="00F17832"/>
    <w:rsid w:val="00F17A05"/>
    <w:rsid w:val="00F228BE"/>
    <w:rsid w:val="00F22A68"/>
    <w:rsid w:val="00F22DE5"/>
    <w:rsid w:val="00F2331E"/>
    <w:rsid w:val="00F27258"/>
    <w:rsid w:val="00F35CD5"/>
    <w:rsid w:val="00F36147"/>
    <w:rsid w:val="00F377EA"/>
    <w:rsid w:val="00F4254F"/>
    <w:rsid w:val="00F44EC4"/>
    <w:rsid w:val="00F50484"/>
    <w:rsid w:val="00F52EAF"/>
    <w:rsid w:val="00F56F10"/>
    <w:rsid w:val="00F77536"/>
    <w:rsid w:val="00F77549"/>
    <w:rsid w:val="00F87799"/>
    <w:rsid w:val="00F9166B"/>
    <w:rsid w:val="00F96FC6"/>
    <w:rsid w:val="00FA188C"/>
    <w:rsid w:val="00FB324C"/>
    <w:rsid w:val="00FB3633"/>
    <w:rsid w:val="00FD071B"/>
    <w:rsid w:val="00FD307F"/>
    <w:rsid w:val="00FD47B2"/>
    <w:rsid w:val="00FD4C6B"/>
    <w:rsid w:val="00FD742F"/>
    <w:rsid w:val="00FE2C18"/>
    <w:rsid w:val="00FE400D"/>
    <w:rsid w:val="00FF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EB09B"/>
  <w15:chartTrackingRefBased/>
  <w15:docId w15:val="{2CFC0DC8-557E-4201-BDE2-5DD1BD5E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CF6B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2E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72E7A"/>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CF6B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CF6B9F"/>
    <w:rPr>
      <w:color w:val="0563C1" w:themeColor="hyperlink"/>
      <w:u w:val="single"/>
    </w:rPr>
  </w:style>
  <w:style w:type="character" w:customStyle="1" w:styleId="UnresolvedMention1">
    <w:name w:val="Unresolved Mention1"/>
    <w:basedOn w:val="DefaultParagraphFont"/>
    <w:uiPriority w:val="99"/>
    <w:semiHidden/>
    <w:unhideWhenUsed/>
    <w:rsid w:val="00CF6B9F"/>
    <w:rPr>
      <w:color w:val="605E5C"/>
      <w:shd w:val="clear" w:color="auto" w:fill="E1DFDD"/>
    </w:rPr>
  </w:style>
  <w:style w:type="character" w:styleId="FollowedHyperlink">
    <w:name w:val="FollowedHyperlink"/>
    <w:basedOn w:val="DefaultParagraphFont"/>
    <w:rsid w:val="00C81081"/>
    <w:rPr>
      <w:color w:val="954F72" w:themeColor="followedHyperlink"/>
      <w:u w:val="single"/>
    </w:rPr>
  </w:style>
  <w:style w:type="paragraph" w:styleId="FootnoteText">
    <w:name w:val="footnote text"/>
    <w:basedOn w:val="Normal"/>
    <w:link w:val="FootnoteTextChar"/>
    <w:uiPriority w:val="99"/>
    <w:rsid w:val="00C82BA0"/>
    <w:rPr>
      <w:sz w:val="20"/>
      <w:szCs w:val="20"/>
    </w:rPr>
  </w:style>
  <w:style w:type="character" w:customStyle="1" w:styleId="FootnoteTextChar">
    <w:name w:val="Footnote Text Char"/>
    <w:basedOn w:val="DefaultParagraphFont"/>
    <w:link w:val="FootnoteText"/>
    <w:uiPriority w:val="99"/>
    <w:rsid w:val="00C82BA0"/>
    <w:rPr>
      <w:rFonts w:ascii="Arial Narrow" w:hAnsi="Arial Narrow"/>
    </w:rPr>
  </w:style>
  <w:style w:type="character" w:styleId="FootnoteReference">
    <w:name w:val="footnote reference"/>
    <w:basedOn w:val="DefaultParagraphFont"/>
    <w:uiPriority w:val="99"/>
    <w:rsid w:val="00C82BA0"/>
    <w:rPr>
      <w:vertAlign w:val="superscript"/>
    </w:rPr>
  </w:style>
  <w:style w:type="character" w:customStyle="1" w:styleId="s1">
    <w:name w:val="s1"/>
    <w:basedOn w:val="DefaultParagraphFont"/>
    <w:uiPriority w:val="99"/>
    <w:rsid w:val="00C82BA0"/>
    <w:rPr>
      <w:rFonts w:ascii=".SFUIText-Regular" w:hAnsi=".SFUIText-Regular" w:cs="Times New Roman"/>
      <w:sz w:val="34"/>
      <w:szCs w:val="34"/>
    </w:rPr>
  </w:style>
  <w:style w:type="table" w:styleId="TableGrid">
    <w:name w:val="Table Grid"/>
    <w:basedOn w:val="TableNormal"/>
    <w:uiPriority w:val="39"/>
    <w:rsid w:val="0062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4CE6"/>
    <w:pPr>
      <w:tabs>
        <w:tab w:val="center" w:pos="4513"/>
        <w:tab w:val="right" w:pos="9026"/>
      </w:tabs>
    </w:pPr>
  </w:style>
  <w:style w:type="character" w:customStyle="1" w:styleId="HeaderChar">
    <w:name w:val="Header Char"/>
    <w:basedOn w:val="DefaultParagraphFont"/>
    <w:link w:val="Header"/>
    <w:rsid w:val="00194CE6"/>
    <w:rPr>
      <w:rFonts w:ascii="Arial Narrow" w:hAnsi="Arial Narrow"/>
      <w:sz w:val="24"/>
      <w:szCs w:val="24"/>
    </w:rPr>
  </w:style>
  <w:style w:type="paragraph" w:styleId="Footer">
    <w:name w:val="footer"/>
    <w:basedOn w:val="Normal"/>
    <w:link w:val="FooterChar"/>
    <w:uiPriority w:val="99"/>
    <w:rsid w:val="00194CE6"/>
    <w:pPr>
      <w:tabs>
        <w:tab w:val="center" w:pos="4513"/>
        <w:tab w:val="right" w:pos="9026"/>
      </w:tabs>
    </w:pPr>
  </w:style>
  <w:style w:type="character" w:customStyle="1" w:styleId="FooterChar">
    <w:name w:val="Footer Char"/>
    <w:basedOn w:val="DefaultParagraphFont"/>
    <w:link w:val="Footer"/>
    <w:uiPriority w:val="99"/>
    <w:rsid w:val="00194CE6"/>
    <w:rPr>
      <w:rFonts w:ascii="Arial Narrow" w:hAnsi="Arial Narrow"/>
      <w:sz w:val="24"/>
      <w:szCs w:val="24"/>
    </w:rPr>
  </w:style>
  <w:style w:type="paragraph" w:styleId="BalloonText">
    <w:name w:val="Balloon Text"/>
    <w:basedOn w:val="Normal"/>
    <w:link w:val="BalloonTextChar"/>
    <w:semiHidden/>
    <w:unhideWhenUsed/>
    <w:rsid w:val="00C229A9"/>
    <w:rPr>
      <w:rFonts w:ascii="Segoe UI" w:hAnsi="Segoe UI" w:cs="Segoe UI"/>
      <w:sz w:val="18"/>
      <w:szCs w:val="18"/>
    </w:rPr>
  </w:style>
  <w:style w:type="character" w:customStyle="1" w:styleId="BalloonTextChar">
    <w:name w:val="Balloon Text Char"/>
    <w:basedOn w:val="DefaultParagraphFont"/>
    <w:link w:val="BalloonText"/>
    <w:semiHidden/>
    <w:rsid w:val="00C229A9"/>
    <w:rPr>
      <w:rFonts w:ascii="Segoe UI" w:hAnsi="Segoe UI" w:cs="Segoe UI"/>
      <w:sz w:val="18"/>
      <w:szCs w:val="18"/>
    </w:rPr>
  </w:style>
  <w:style w:type="paragraph" w:styleId="EndnoteText">
    <w:name w:val="endnote text"/>
    <w:basedOn w:val="Normal"/>
    <w:link w:val="EndnoteTextChar"/>
    <w:rsid w:val="00101E05"/>
    <w:rPr>
      <w:sz w:val="20"/>
      <w:szCs w:val="20"/>
    </w:rPr>
  </w:style>
  <w:style w:type="character" w:customStyle="1" w:styleId="EndnoteTextChar">
    <w:name w:val="Endnote Text Char"/>
    <w:basedOn w:val="DefaultParagraphFont"/>
    <w:link w:val="EndnoteText"/>
    <w:rsid w:val="00101E05"/>
    <w:rPr>
      <w:rFonts w:ascii="Arial Narrow" w:hAnsi="Arial Narrow"/>
    </w:rPr>
  </w:style>
  <w:style w:type="character" w:styleId="EndnoteReference">
    <w:name w:val="endnote reference"/>
    <w:basedOn w:val="DefaultParagraphFont"/>
    <w:rsid w:val="00101E05"/>
    <w:rPr>
      <w:vertAlign w:val="superscript"/>
    </w:rPr>
  </w:style>
  <w:style w:type="character" w:styleId="CommentReference">
    <w:name w:val="annotation reference"/>
    <w:basedOn w:val="DefaultParagraphFont"/>
    <w:rsid w:val="0080394A"/>
    <w:rPr>
      <w:sz w:val="16"/>
      <w:szCs w:val="16"/>
    </w:rPr>
  </w:style>
  <w:style w:type="paragraph" w:styleId="CommentText">
    <w:name w:val="annotation text"/>
    <w:basedOn w:val="Normal"/>
    <w:link w:val="CommentTextChar"/>
    <w:rsid w:val="0080394A"/>
    <w:rPr>
      <w:sz w:val="20"/>
      <w:szCs w:val="20"/>
    </w:rPr>
  </w:style>
  <w:style w:type="character" w:customStyle="1" w:styleId="CommentTextChar">
    <w:name w:val="Comment Text Char"/>
    <w:basedOn w:val="DefaultParagraphFont"/>
    <w:link w:val="CommentText"/>
    <w:rsid w:val="0080394A"/>
    <w:rPr>
      <w:rFonts w:ascii="Arial Narrow" w:hAnsi="Arial Narrow"/>
    </w:rPr>
  </w:style>
  <w:style w:type="paragraph" w:styleId="CommentSubject">
    <w:name w:val="annotation subject"/>
    <w:basedOn w:val="CommentText"/>
    <w:next w:val="CommentText"/>
    <w:link w:val="CommentSubjectChar"/>
    <w:rsid w:val="0080394A"/>
    <w:rPr>
      <w:b/>
      <w:bCs/>
    </w:rPr>
  </w:style>
  <w:style w:type="character" w:customStyle="1" w:styleId="CommentSubjectChar">
    <w:name w:val="Comment Subject Char"/>
    <w:basedOn w:val="CommentTextChar"/>
    <w:link w:val="CommentSubject"/>
    <w:rsid w:val="0080394A"/>
    <w:rPr>
      <w:rFonts w:ascii="Arial Narrow" w:hAnsi="Arial Narrow"/>
      <w:b/>
      <w:bCs/>
    </w:rPr>
  </w:style>
  <w:style w:type="paragraph" w:styleId="Revision">
    <w:name w:val="Revision"/>
    <w:hidden/>
    <w:uiPriority w:val="99"/>
    <w:semiHidden/>
    <w:rsid w:val="00BD12DB"/>
    <w:rPr>
      <w:rFonts w:ascii="Arial Narrow" w:hAnsi="Arial Narrow"/>
      <w:sz w:val="24"/>
      <w:szCs w:val="24"/>
    </w:rPr>
  </w:style>
  <w:style w:type="character" w:styleId="UnresolvedMention">
    <w:name w:val="Unresolved Mention"/>
    <w:basedOn w:val="DefaultParagraphFont"/>
    <w:uiPriority w:val="99"/>
    <w:semiHidden/>
    <w:unhideWhenUsed/>
    <w:rsid w:val="0089412F"/>
    <w:rPr>
      <w:color w:val="605E5C"/>
      <w:shd w:val="clear" w:color="auto" w:fill="E1DFDD"/>
    </w:rPr>
  </w:style>
  <w:style w:type="paragraph" w:styleId="ListParagraph">
    <w:name w:val="List Paragraph"/>
    <w:basedOn w:val="Normal"/>
    <w:uiPriority w:val="34"/>
    <w:qFormat/>
    <w:rsid w:val="0054203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93105">
      <w:bodyDiv w:val="1"/>
      <w:marLeft w:val="0"/>
      <w:marRight w:val="0"/>
      <w:marTop w:val="0"/>
      <w:marBottom w:val="0"/>
      <w:divBdr>
        <w:top w:val="none" w:sz="0" w:space="0" w:color="auto"/>
        <w:left w:val="none" w:sz="0" w:space="0" w:color="auto"/>
        <w:bottom w:val="none" w:sz="0" w:space="0" w:color="auto"/>
        <w:right w:val="none" w:sz="0" w:space="0" w:color="auto"/>
      </w:divBdr>
      <w:divsChild>
        <w:div w:id="2056390980">
          <w:marLeft w:val="0"/>
          <w:marRight w:val="0"/>
          <w:marTop w:val="0"/>
          <w:marBottom w:val="0"/>
          <w:divBdr>
            <w:top w:val="none" w:sz="0" w:space="0" w:color="auto"/>
            <w:left w:val="none" w:sz="0" w:space="0" w:color="auto"/>
            <w:bottom w:val="none" w:sz="0" w:space="0" w:color="auto"/>
            <w:right w:val="none" w:sz="0" w:space="0" w:color="auto"/>
          </w:divBdr>
        </w:div>
      </w:divsChild>
    </w:div>
    <w:div w:id="1037896512">
      <w:bodyDiv w:val="1"/>
      <w:marLeft w:val="0"/>
      <w:marRight w:val="0"/>
      <w:marTop w:val="0"/>
      <w:marBottom w:val="0"/>
      <w:divBdr>
        <w:top w:val="none" w:sz="0" w:space="0" w:color="auto"/>
        <w:left w:val="none" w:sz="0" w:space="0" w:color="auto"/>
        <w:bottom w:val="none" w:sz="0" w:space="0" w:color="auto"/>
        <w:right w:val="none" w:sz="0" w:space="0" w:color="auto"/>
      </w:divBdr>
    </w:div>
    <w:div w:id="1141314997">
      <w:bodyDiv w:val="1"/>
      <w:marLeft w:val="0"/>
      <w:marRight w:val="0"/>
      <w:marTop w:val="0"/>
      <w:marBottom w:val="0"/>
      <w:divBdr>
        <w:top w:val="none" w:sz="0" w:space="0" w:color="auto"/>
        <w:left w:val="none" w:sz="0" w:space="0" w:color="auto"/>
        <w:bottom w:val="none" w:sz="0" w:space="0" w:color="auto"/>
        <w:right w:val="none" w:sz="0" w:space="0" w:color="auto"/>
      </w:divBdr>
    </w:div>
    <w:div w:id="1224213361">
      <w:bodyDiv w:val="1"/>
      <w:marLeft w:val="0"/>
      <w:marRight w:val="0"/>
      <w:marTop w:val="0"/>
      <w:marBottom w:val="0"/>
      <w:divBdr>
        <w:top w:val="none" w:sz="0" w:space="0" w:color="auto"/>
        <w:left w:val="none" w:sz="0" w:space="0" w:color="auto"/>
        <w:bottom w:val="none" w:sz="0" w:space="0" w:color="auto"/>
        <w:right w:val="none" w:sz="0" w:space="0" w:color="auto"/>
      </w:divBdr>
    </w:div>
    <w:div w:id="1270040972">
      <w:bodyDiv w:val="1"/>
      <w:marLeft w:val="0"/>
      <w:marRight w:val="0"/>
      <w:marTop w:val="0"/>
      <w:marBottom w:val="0"/>
      <w:divBdr>
        <w:top w:val="none" w:sz="0" w:space="0" w:color="auto"/>
        <w:left w:val="none" w:sz="0" w:space="0" w:color="auto"/>
        <w:bottom w:val="none" w:sz="0" w:space="0" w:color="auto"/>
        <w:right w:val="none" w:sz="0" w:space="0" w:color="auto"/>
      </w:divBdr>
    </w:div>
    <w:div w:id="1659846082">
      <w:bodyDiv w:val="1"/>
      <w:marLeft w:val="0"/>
      <w:marRight w:val="0"/>
      <w:marTop w:val="0"/>
      <w:marBottom w:val="0"/>
      <w:divBdr>
        <w:top w:val="none" w:sz="0" w:space="0" w:color="auto"/>
        <w:left w:val="none" w:sz="0" w:space="0" w:color="auto"/>
        <w:bottom w:val="none" w:sz="0" w:space="0" w:color="auto"/>
        <w:right w:val="none" w:sz="0" w:space="0" w:color="auto"/>
      </w:divBdr>
    </w:div>
    <w:div w:id="1721785783">
      <w:bodyDiv w:val="1"/>
      <w:marLeft w:val="0"/>
      <w:marRight w:val="0"/>
      <w:marTop w:val="0"/>
      <w:marBottom w:val="0"/>
      <w:divBdr>
        <w:top w:val="none" w:sz="0" w:space="0" w:color="auto"/>
        <w:left w:val="none" w:sz="0" w:space="0" w:color="auto"/>
        <w:bottom w:val="none" w:sz="0" w:space="0" w:color="auto"/>
        <w:right w:val="none" w:sz="0" w:space="0" w:color="auto"/>
      </w:divBdr>
    </w:div>
    <w:div w:id="18179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apes.leeds.ac.uk" TargetMode="External"/><Relationship Id="rId13" Type="http://schemas.openxmlformats.org/officeDocument/2006/relationships/hyperlink" Target="https://journals.sagepub.com/doi/full/10.1177/019791831983195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populationandmigration/migrationwithintheuk/bulletins/internalmigrationbylocalauthoritiesinenglandandwales/yearendingjune2015" TargetMode="External"/><Relationship Id="rId17" Type="http://schemas.openxmlformats.org/officeDocument/2006/relationships/hyperlink" Target="https://eprints.ncrm.ac.uk/4197/1/Collective_analysis_2.pptx" TargetMode="External"/><Relationship Id="rId2" Type="http://schemas.openxmlformats.org/officeDocument/2006/relationships/numbering" Target="numbering.xml"/><Relationship Id="rId16" Type="http://schemas.openxmlformats.org/officeDocument/2006/relationships/hyperlink" Target="http://journals.sagepub.com/doi/pdf/10.1177/00380385187727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ffieldfoundation.org/sites/default/files/files/ParentingReport_096-DigitalDistribution.pdf" TargetMode="External"/><Relationship Id="rId5" Type="http://schemas.openxmlformats.org/officeDocument/2006/relationships/webSettings" Target="webSettings.xml"/><Relationship Id="rId15" Type="http://schemas.openxmlformats.org/officeDocument/2006/relationships/hyperlink" Target="https://doi.org/10.1002/psp.2302" TargetMode="External"/><Relationship Id="rId10" Type="http://schemas.openxmlformats.org/officeDocument/2006/relationships/hyperlink" Target="https://doi.org/10.1111/gec3.12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scapes-archive.leeds.ac.uk/timescapes/research/" TargetMode="External"/><Relationship Id="rId14" Type="http://schemas.openxmlformats.org/officeDocument/2006/relationships/hyperlink" Target="https://onlinelibrary.wiley.com/doi/abs/10.1002/psp.216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doi.org/10.2363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A2D6-893D-4998-BCF2-9CDDB0EB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8370</Words>
  <Characters>47709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 2' ;) </cp:lastModifiedBy>
  <cp:revision>2</cp:revision>
  <cp:lastPrinted>2020-03-31T14:40:00Z</cp:lastPrinted>
  <dcterms:created xsi:type="dcterms:W3CDTF">2021-07-30T09:23:00Z</dcterms:created>
  <dcterms:modified xsi:type="dcterms:W3CDTF">2021-07-30T09:23:00Z</dcterms:modified>
</cp:coreProperties>
</file>