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5E4B16" w14:textId="3DAE7238" w:rsidR="007D133D" w:rsidRPr="00750AB3" w:rsidRDefault="007D133D" w:rsidP="008B6C63">
      <w:pPr>
        <w:spacing w:after="0" w:line="240" w:lineRule="auto"/>
        <w:jc w:val="both"/>
        <w:rPr>
          <w:rFonts w:cstheme="minorHAnsi"/>
        </w:rPr>
      </w:pPr>
      <w:bookmarkStart w:id="0" w:name="_GoBack"/>
      <w:bookmarkEnd w:id="0"/>
    </w:p>
    <w:p w14:paraId="41DB62D3" w14:textId="0335B2D5" w:rsidR="00CE50E5" w:rsidRPr="00750AB3" w:rsidRDefault="00CE50E5" w:rsidP="00BA29AF">
      <w:pPr>
        <w:pStyle w:val="ListParagraph"/>
        <w:numPr>
          <w:ilvl w:val="0"/>
          <w:numId w:val="8"/>
        </w:numPr>
        <w:spacing w:after="0" w:line="240" w:lineRule="auto"/>
        <w:rPr>
          <w:rFonts w:cstheme="minorHAnsi"/>
          <w:b/>
        </w:rPr>
      </w:pPr>
      <w:r w:rsidRPr="00750AB3">
        <w:rPr>
          <w:rFonts w:cstheme="minorHAnsi"/>
          <w:b/>
        </w:rPr>
        <w:t>Introduction</w:t>
      </w:r>
    </w:p>
    <w:p w14:paraId="2025C74E" w14:textId="757FC118" w:rsidR="005A2631" w:rsidRPr="005A2631" w:rsidRDefault="005A2631" w:rsidP="00B95A93">
      <w:pPr>
        <w:spacing w:after="0" w:line="240" w:lineRule="auto"/>
        <w:jc w:val="both"/>
        <w:rPr>
          <w:rFonts w:ascii="Arial" w:hAnsi="Arial" w:cs="Arial"/>
          <w:iCs/>
          <w:color w:val="222222"/>
          <w:shd w:val="clear" w:color="auto" w:fill="FFFFFF"/>
        </w:rPr>
      </w:pPr>
      <w:r w:rsidRPr="005A2631">
        <w:rPr>
          <w:rFonts w:ascii="Arial" w:hAnsi="Arial" w:cs="Arial"/>
          <w:iCs/>
          <w:color w:val="222222"/>
          <w:shd w:val="clear" w:color="auto" w:fill="FFFFFF"/>
        </w:rPr>
        <w:t>Since inception, pain research has conceptualised pain as an ‘intra-organismic’ phenomenon, where the mechanisms responsible for pain experience and impact all reside within the body. There is increased recognition that this conceptualization lacks both explanatory and predictive power. Increasingly, research points to important contextual factors that influence the experience and impact of pain. One such factor is ‘work’. The relations between work and pain are multiple and complex, where pain influences work, work influences pain, and features of working environments (e.g.</w:t>
      </w:r>
      <w:r w:rsidR="00C566C4">
        <w:rPr>
          <w:rFonts w:ascii="Arial" w:hAnsi="Arial" w:cs="Arial"/>
          <w:iCs/>
          <w:color w:val="222222"/>
          <w:shd w:val="clear" w:color="auto" w:fill="FFFFFF"/>
        </w:rPr>
        <w:t xml:space="preserve"> </w:t>
      </w:r>
      <w:r w:rsidRPr="005A2631">
        <w:rPr>
          <w:rFonts w:ascii="Arial" w:hAnsi="Arial" w:cs="Arial"/>
          <w:iCs/>
          <w:color w:val="222222"/>
          <w:shd w:val="clear" w:color="auto" w:fill="FFFFFF"/>
        </w:rPr>
        <w:t>satisfaction, workload, control) moderate the prevalence, severity and consequences of pain.</w:t>
      </w:r>
    </w:p>
    <w:p w14:paraId="7C8BAE67" w14:textId="77777777" w:rsidR="005A2631" w:rsidRDefault="005A2631" w:rsidP="00B95A93">
      <w:pPr>
        <w:spacing w:after="0" w:line="240" w:lineRule="auto"/>
        <w:jc w:val="both"/>
        <w:rPr>
          <w:rFonts w:cstheme="minorHAnsi"/>
        </w:rPr>
      </w:pPr>
    </w:p>
    <w:p w14:paraId="7877FCF6" w14:textId="7495204B" w:rsidR="002243C8" w:rsidRPr="00750AB3" w:rsidRDefault="00FB228E" w:rsidP="00B95A93">
      <w:pPr>
        <w:spacing w:after="0" w:line="240" w:lineRule="auto"/>
        <w:jc w:val="both"/>
        <w:rPr>
          <w:rFonts w:ascii="Arial" w:hAnsi="Arial" w:cs="Arial"/>
          <w:i/>
          <w:iCs/>
          <w:shd w:val="clear" w:color="auto" w:fill="FFFFFF"/>
        </w:rPr>
      </w:pPr>
      <w:r w:rsidRPr="00750AB3">
        <w:rPr>
          <w:rFonts w:cstheme="minorHAnsi"/>
        </w:rPr>
        <w:t>Work is often constru</w:t>
      </w:r>
      <w:r w:rsidR="009D07E6" w:rsidRPr="00750AB3">
        <w:rPr>
          <w:rFonts w:cstheme="minorHAnsi"/>
        </w:rPr>
        <w:t>e</w:t>
      </w:r>
      <w:r w:rsidRPr="00750AB3">
        <w:rPr>
          <w:rFonts w:cstheme="minorHAnsi"/>
        </w:rPr>
        <w:t xml:space="preserve">d as </w:t>
      </w:r>
      <w:r w:rsidR="009D07E6" w:rsidRPr="00750AB3">
        <w:rPr>
          <w:rFonts w:cstheme="minorHAnsi"/>
        </w:rPr>
        <w:t xml:space="preserve">a source of </w:t>
      </w:r>
      <w:r w:rsidRPr="00750AB3">
        <w:rPr>
          <w:rFonts w:cstheme="minorHAnsi"/>
        </w:rPr>
        <w:t>both pleasure and pain</w:t>
      </w:r>
      <w:r w:rsidR="00B95037" w:rsidRPr="00750AB3">
        <w:rPr>
          <w:rFonts w:cstheme="minorHAnsi"/>
        </w:rPr>
        <w:t xml:space="preserve">; </w:t>
      </w:r>
      <w:r w:rsidRPr="00750AB3">
        <w:rPr>
          <w:rFonts w:cstheme="minorHAnsi"/>
        </w:rPr>
        <w:t>it can be a punishing necessity but also symbol</w:t>
      </w:r>
      <w:r w:rsidR="00B95037" w:rsidRPr="00750AB3">
        <w:rPr>
          <w:rFonts w:cstheme="minorHAnsi"/>
        </w:rPr>
        <w:t xml:space="preserve">ise </w:t>
      </w:r>
      <w:r w:rsidR="00A03080" w:rsidRPr="00750AB3">
        <w:rPr>
          <w:rFonts w:cstheme="minorHAnsi"/>
        </w:rPr>
        <w:t xml:space="preserve">personal value </w:t>
      </w:r>
      <w:r w:rsidR="00E91453" w:rsidRPr="00750AB3">
        <w:rPr>
          <w:rFonts w:cstheme="minorHAnsi"/>
        </w:rPr>
        <w:t>[</w:t>
      </w:r>
      <w:r w:rsidR="008E3403">
        <w:rPr>
          <w:rFonts w:cstheme="minorHAnsi"/>
        </w:rPr>
        <w:t>34</w:t>
      </w:r>
      <w:r w:rsidR="00E91453" w:rsidRPr="00750AB3">
        <w:rPr>
          <w:rFonts w:cstheme="minorHAnsi"/>
        </w:rPr>
        <w:t>]</w:t>
      </w:r>
      <w:r w:rsidRPr="00750AB3">
        <w:rPr>
          <w:rFonts w:cstheme="minorHAnsi"/>
        </w:rPr>
        <w:t>. Historically, there may be more hardship than reward</w:t>
      </w:r>
      <w:r w:rsidR="00B95037" w:rsidRPr="00750AB3">
        <w:rPr>
          <w:rFonts w:cstheme="minorHAnsi"/>
        </w:rPr>
        <w:t>,</w:t>
      </w:r>
      <w:r w:rsidRPr="00750AB3">
        <w:rPr>
          <w:rFonts w:cstheme="minorHAnsi"/>
        </w:rPr>
        <w:t xml:space="preserve"> but </w:t>
      </w:r>
      <w:r w:rsidR="002243C8" w:rsidRPr="00750AB3">
        <w:rPr>
          <w:rFonts w:cstheme="minorHAnsi"/>
        </w:rPr>
        <w:t>the modern concept of ‘work’ is con</w:t>
      </w:r>
      <w:r w:rsidR="00F14879" w:rsidRPr="00750AB3">
        <w:rPr>
          <w:rFonts w:cstheme="minorHAnsi"/>
        </w:rPr>
        <w:t>stantly changing</w:t>
      </w:r>
      <w:r w:rsidR="002243C8" w:rsidRPr="00750AB3">
        <w:rPr>
          <w:rFonts w:cstheme="minorHAnsi"/>
        </w:rPr>
        <w:t xml:space="preserve"> </w:t>
      </w:r>
      <w:r w:rsidR="00E91453" w:rsidRPr="00750AB3">
        <w:rPr>
          <w:rFonts w:cstheme="minorHAnsi"/>
        </w:rPr>
        <w:t>[1</w:t>
      </w:r>
      <w:r w:rsidR="008E3403">
        <w:rPr>
          <w:rFonts w:cstheme="minorHAnsi"/>
        </w:rPr>
        <w:t>2</w:t>
      </w:r>
      <w:r w:rsidR="00E91453" w:rsidRPr="00750AB3">
        <w:rPr>
          <w:rFonts w:cstheme="minorHAnsi"/>
        </w:rPr>
        <w:t>,</w:t>
      </w:r>
      <w:r w:rsidR="008E3403">
        <w:rPr>
          <w:rFonts w:cstheme="minorHAnsi"/>
        </w:rPr>
        <w:t>86</w:t>
      </w:r>
      <w:r w:rsidR="00E91453" w:rsidRPr="00750AB3">
        <w:rPr>
          <w:rFonts w:cstheme="minorHAnsi"/>
        </w:rPr>
        <w:t>]</w:t>
      </w:r>
      <w:r w:rsidR="002243C8" w:rsidRPr="00750AB3">
        <w:rPr>
          <w:rFonts w:cstheme="minorHAnsi"/>
        </w:rPr>
        <w:t>. Here</w:t>
      </w:r>
      <w:r w:rsidR="00B95037" w:rsidRPr="00750AB3">
        <w:rPr>
          <w:rFonts w:cstheme="minorHAnsi"/>
        </w:rPr>
        <w:t>,</w:t>
      </w:r>
      <w:r w:rsidR="002243C8" w:rsidRPr="00750AB3">
        <w:rPr>
          <w:rFonts w:cstheme="minorHAnsi"/>
        </w:rPr>
        <w:t xml:space="preserve"> we define work as occupation with economic value, broadly </w:t>
      </w:r>
      <w:r w:rsidR="00A7030A" w:rsidRPr="00750AB3">
        <w:rPr>
          <w:rFonts w:cstheme="minorHAnsi"/>
        </w:rPr>
        <w:t xml:space="preserve">cast </w:t>
      </w:r>
      <w:r w:rsidR="002243C8" w:rsidRPr="00750AB3">
        <w:rPr>
          <w:rFonts w:cstheme="minorHAnsi"/>
        </w:rPr>
        <w:t xml:space="preserve">to include direct </w:t>
      </w:r>
      <w:r w:rsidR="00B95037" w:rsidRPr="00750AB3">
        <w:rPr>
          <w:rFonts w:cstheme="minorHAnsi"/>
        </w:rPr>
        <w:t>labour market engagement</w:t>
      </w:r>
      <w:r w:rsidR="002243C8" w:rsidRPr="00750AB3">
        <w:rPr>
          <w:rFonts w:cstheme="minorHAnsi"/>
        </w:rPr>
        <w:t xml:space="preserve"> and activities with indirect reward such as caring. </w:t>
      </w:r>
      <w:r w:rsidR="009E5885" w:rsidRPr="00750AB3">
        <w:rPr>
          <w:rFonts w:cstheme="minorHAnsi"/>
        </w:rPr>
        <w:t xml:space="preserve">Safe and appropriate work is better for our health and wellbeing than worklessness, </w:t>
      </w:r>
      <w:r w:rsidR="00E91453" w:rsidRPr="00750AB3">
        <w:rPr>
          <w:rFonts w:cstheme="minorHAnsi"/>
        </w:rPr>
        <w:t>[</w:t>
      </w:r>
      <w:r w:rsidR="008E3403">
        <w:rPr>
          <w:rFonts w:cstheme="minorHAnsi"/>
        </w:rPr>
        <w:t>80</w:t>
      </w:r>
      <w:r w:rsidR="00E91453" w:rsidRPr="00750AB3">
        <w:rPr>
          <w:rFonts w:cstheme="minorHAnsi"/>
        </w:rPr>
        <w:t>,</w:t>
      </w:r>
      <w:r w:rsidR="008E3403">
        <w:rPr>
          <w:rFonts w:cstheme="minorHAnsi"/>
        </w:rPr>
        <w:t>84</w:t>
      </w:r>
      <w:r w:rsidR="00E91453" w:rsidRPr="00750AB3">
        <w:rPr>
          <w:rFonts w:cstheme="minorHAnsi"/>
        </w:rPr>
        <w:t>]</w:t>
      </w:r>
      <w:r w:rsidR="009E5885" w:rsidRPr="00750AB3">
        <w:rPr>
          <w:rFonts w:cstheme="minorHAnsi"/>
        </w:rPr>
        <w:t xml:space="preserve"> but people who are n</w:t>
      </w:r>
      <w:r w:rsidR="00F14879" w:rsidRPr="00750AB3">
        <w:rPr>
          <w:rFonts w:cstheme="minorHAnsi"/>
        </w:rPr>
        <w:t>ot in employment because of ill-</w:t>
      </w:r>
      <w:r w:rsidR="009E5885" w:rsidRPr="00750AB3">
        <w:rPr>
          <w:rFonts w:cstheme="minorHAnsi"/>
        </w:rPr>
        <w:t xml:space="preserve">health or disability are more likely to have chronic pain than </w:t>
      </w:r>
      <w:r w:rsidR="00B95037" w:rsidRPr="00750AB3">
        <w:rPr>
          <w:rFonts w:cstheme="minorHAnsi"/>
        </w:rPr>
        <w:t xml:space="preserve">the </w:t>
      </w:r>
      <w:r w:rsidR="009E5885" w:rsidRPr="00750AB3">
        <w:rPr>
          <w:rFonts w:cstheme="minorHAnsi"/>
        </w:rPr>
        <w:t xml:space="preserve">employed </w:t>
      </w:r>
      <w:r w:rsidR="00E91453" w:rsidRPr="00750AB3">
        <w:rPr>
          <w:rFonts w:cstheme="minorHAnsi"/>
        </w:rPr>
        <w:t>[</w:t>
      </w:r>
      <w:r w:rsidR="008E3403">
        <w:rPr>
          <w:rFonts w:cstheme="minorHAnsi"/>
        </w:rPr>
        <w:t>50</w:t>
      </w:r>
      <w:r w:rsidR="00E91453" w:rsidRPr="00750AB3">
        <w:rPr>
          <w:rFonts w:cstheme="minorHAnsi"/>
        </w:rPr>
        <w:t>]</w:t>
      </w:r>
      <w:r w:rsidR="009E5885" w:rsidRPr="00750AB3">
        <w:rPr>
          <w:rFonts w:cstheme="minorHAnsi"/>
        </w:rPr>
        <w:t xml:space="preserve">. It is important that people living with </w:t>
      </w:r>
      <w:r w:rsidR="00DE45FA">
        <w:rPr>
          <w:rFonts w:cstheme="minorHAnsi"/>
        </w:rPr>
        <w:t>chronic</w:t>
      </w:r>
      <w:r w:rsidR="009E5885" w:rsidRPr="00750AB3">
        <w:rPr>
          <w:rFonts w:cstheme="minorHAnsi"/>
        </w:rPr>
        <w:t xml:space="preserve"> pain are not left behind in the drive to enable sustainable employment.</w:t>
      </w:r>
      <w:r w:rsidR="00B95037" w:rsidRPr="00750AB3">
        <w:rPr>
          <w:rFonts w:cstheme="minorHAnsi"/>
        </w:rPr>
        <w:t xml:space="preserve"> </w:t>
      </w:r>
      <w:r w:rsidR="002243C8" w:rsidRPr="00750AB3">
        <w:rPr>
          <w:rFonts w:cstheme="minorHAnsi"/>
        </w:rPr>
        <w:t xml:space="preserve">In the last </w:t>
      </w:r>
      <w:r w:rsidR="00E91453" w:rsidRPr="00750AB3">
        <w:rPr>
          <w:rFonts w:cstheme="minorHAnsi"/>
        </w:rPr>
        <w:t>seventy-five</w:t>
      </w:r>
      <w:r w:rsidR="002243C8" w:rsidRPr="00750AB3">
        <w:rPr>
          <w:rFonts w:cstheme="minorHAnsi"/>
        </w:rPr>
        <w:t xml:space="preserve"> years, in the wealthy economies at least, it has become not only possible but desirable to talk about work as having benefits other than access to resources for survival, as a positive force for personal growth and social development. </w:t>
      </w:r>
      <w:r w:rsidR="00275BEF" w:rsidRPr="00750AB3">
        <w:rPr>
          <w:rFonts w:cstheme="minorHAnsi"/>
        </w:rPr>
        <w:t>Just</w:t>
      </w:r>
      <w:r w:rsidR="002243C8" w:rsidRPr="00750AB3">
        <w:rPr>
          <w:rFonts w:cstheme="minorHAnsi"/>
        </w:rPr>
        <w:t xml:space="preserve"> as the concept of work is changing, so the relationship between work and pain has also changed</w:t>
      </w:r>
      <w:r w:rsidR="00275BEF" w:rsidRPr="00750AB3">
        <w:rPr>
          <w:rFonts w:cstheme="minorHAnsi"/>
        </w:rPr>
        <w:t>.</w:t>
      </w:r>
    </w:p>
    <w:p w14:paraId="75E16EFD" w14:textId="77777777" w:rsidR="00BF1CB4" w:rsidRPr="00750AB3" w:rsidRDefault="00BF1CB4" w:rsidP="00B95A93">
      <w:pPr>
        <w:spacing w:after="0" w:line="240" w:lineRule="auto"/>
        <w:jc w:val="both"/>
        <w:rPr>
          <w:rFonts w:cstheme="minorHAnsi"/>
        </w:rPr>
      </w:pPr>
    </w:p>
    <w:p w14:paraId="5EDF3B60" w14:textId="26947638" w:rsidR="00C53A3E" w:rsidRPr="00750AB3" w:rsidRDefault="007D133D" w:rsidP="00B95A93">
      <w:pPr>
        <w:spacing w:after="0" w:line="240" w:lineRule="auto"/>
        <w:jc w:val="both"/>
        <w:rPr>
          <w:rFonts w:cstheme="minorHAnsi"/>
        </w:rPr>
      </w:pPr>
      <w:r w:rsidRPr="00750AB3">
        <w:rPr>
          <w:rFonts w:cstheme="minorHAnsi"/>
        </w:rPr>
        <w:t xml:space="preserve">In this topical review we outline the emerging modern field of work and pain studies. </w:t>
      </w:r>
      <w:r w:rsidR="00A36F73" w:rsidRPr="00750AB3">
        <w:rPr>
          <w:rFonts w:cstheme="minorHAnsi"/>
        </w:rPr>
        <w:t xml:space="preserve"> </w:t>
      </w:r>
      <w:r w:rsidRPr="00750AB3">
        <w:rPr>
          <w:rFonts w:cstheme="minorHAnsi"/>
        </w:rPr>
        <w:t xml:space="preserve">First, we introduce a public health perspective with a population focus on ageing, chronic pain, and pain as a </w:t>
      </w:r>
      <w:r w:rsidR="00F14879" w:rsidRPr="00750AB3">
        <w:rPr>
          <w:rFonts w:cstheme="minorHAnsi"/>
        </w:rPr>
        <w:t xml:space="preserve">reason for exiting work. Second, we </w:t>
      </w:r>
      <w:r w:rsidR="00C83558">
        <w:rPr>
          <w:rFonts w:cstheme="minorHAnsi"/>
        </w:rPr>
        <w:t>focus on</w:t>
      </w:r>
      <w:r w:rsidRPr="00750AB3">
        <w:rPr>
          <w:rFonts w:cstheme="minorHAnsi"/>
        </w:rPr>
        <w:t xml:space="preserve"> the workplace as provider of occupational intervention.</w:t>
      </w:r>
      <w:r w:rsidR="007308E8" w:rsidRPr="00750AB3">
        <w:rPr>
          <w:rFonts w:cstheme="minorHAnsi"/>
        </w:rPr>
        <w:t xml:space="preserve"> Third, we consider how </w:t>
      </w:r>
      <w:r w:rsidR="0022669E">
        <w:rPr>
          <w:rFonts w:cstheme="minorHAnsi"/>
        </w:rPr>
        <w:t xml:space="preserve">pain-related psychological variables </w:t>
      </w:r>
      <w:r w:rsidR="00C83558">
        <w:rPr>
          <w:rFonts w:cstheme="minorHAnsi"/>
        </w:rPr>
        <w:t>may affect work disability</w:t>
      </w:r>
      <w:r w:rsidR="007308E8" w:rsidRPr="00750AB3">
        <w:rPr>
          <w:rFonts w:cstheme="minorHAnsi"/>
        </w:rPr>
        <w:t xml:space="preserve"> and how this impacts and could </w:t>
      </w:r>
      <w:r w:rsidR="00FC4B15" w:rsidRPr="00750AB3">
        <w:rPr>
          <w:rFonts w:cstheme="minorHAnsi"/>
        </w:rPr>
        <w:t>affect</w:t>
      </w:r>
      <w:r w:rsidR="007308E8" w:rsidRPr="00750AB3">
        <w:rPr>
          <w:rFonts w:cstheme="minorHAnsi"/>
        </w:rPr>
        <w:t xml:space="preserve"> intervention design. </w:t>
      </w:r>
      <w:r w:rsidR="00DE2CFC" w:rsidRPr="00750AB3">
        <w:rPr>
          <w:rFonts w:cstheme="minorHAnsi"/>
        </w:rPr>
        <w:t>F</w:t>
      </w:r>
      <w:r w:rsidRPr="00750AB3">
        <w:rPr>
          <w:rFonts w:cstheme="minorHAnsi"/>
        </w:rPr>
        <w:t>ourth</w:t>
      </w:r>
      <w:r w:rsidR="00BF1CB4" w:rsidRPr="00750AB3">
        <w:rPr>
          <w:rFonts w:cstheme="minorHAnsi"/>
        </w:rPr>
        <w:t>,</w:t>
      </w:r>
      <w:r w:rsidR="00F14879" w:rsidRPr="00750AB3">
        <w:rPr>
          <w:rFonts w:cstheme="minorHAnsi"/>
        </w:rPr>
        <w:t xml:space="preserve"> we consider</w:t>
      </w:r>
      <w:r w:rsidRPr="00750AB3">
        <w:rPr>
          <w:rFonts w:cstheme="minorHAnsi"/>
        </w:rPr>
        <w:t xml:space="preserve"> policy initiatives </w:t>
      </w:r>
      <w:r w:rsidR="00BF1CB4" w:rsidRPr="00750AB3">
        <w:rPr>
          <w:rFonts w:cstheme="minorHAnsi"/>
        </w:rPr>
        <w:t xml:space="preserve">aimed at altering systems to reflect the changing relationship of work and pain. </w:t>
      </w:r>
      <w:r w:rsidR="000B5A59" w:rsidRPr="00750AB3">
        <w:rPr>
          <w:rFonts w:cstheme="minorHAnsi"/>
        </w:rPr>
        <w:t>Finally</w:t>
      </w:r>
      <w:r w:rsidR="000B50DE" w:rsidRPr="00750AB3">
        <w:rPr>
          <w:rFonts w:cstheme="minorHAnsi"/>
        </w:rPr>
        <w:t xml:space="preserve">, we discuss how all </w:t>
      </w:r>
      <w:r w:rsidR="00BF1CB4" w:rsidRPr="00750AB3">
        <w:rPr>
          <w:rFonts w:cstheme="minorHAnsi"/>
        </w:rPr>
        <w:t>these perspectives inter</w:t>
      </w:r>
      <w:r w:rsidR="00DE2CFC" w:rsidRPr="00750AB3">
        <w:rPr>
          <w:rFonts w:cstheme="minorHAnsi"/>
        </w:rPr>
        <w:t>-</w:t>
      </w:r>
      <w:r w:rsidR="00BF1CB4" w:rsidRPr="00750AB3">
        <w:rPr>
          <w:rFonts w:cstheme="minorHAnsi"/>
        </w:rPr>
        <w:t xml:space="preserve">relate, and introduce a lifespan development model of work and pain to guide development and intervention </w:t>
      </w:r>
      <w:r w:rsidR="005B7E5D" w:rsidRPr="00750AB3">
        <w:rPr>
          <w:rFonts w:cstheme="minorHAnsi"/>
        </w:rPr>
        <w:t>in different domains</w:t>
      </w:r>
      <w:r w:rsidR="00BF1CB4" w:rsidRPr="00750AB3">
        <w:rPr>
          <w:rFonts w:cstheme="minorHAnsi"/>
        </w:rPr>
        <w:t xml:space="preserve">, from individual to societal. </w:t>
      </w:r>
    </w:p>
    <w:p w14:paraId="50E161A1" w14:textId="77777777" w:rsidR="0006380D" w:rsidRPr="00750AB3" w:rsidRDefault="0006380D" w:rsidP="00B95A93">
      <w:pPr>
        <w:spacing w:after="0" w:line="240" w:lineRule="auto"/>
        <w:rPr>
          <w:rFonts w:cstheme="minorHAnsi"/>
          <w:b/>
        </w:rPr>
      </w:pPr>
    </w:p>
    <w:p w14:paraId="23ED62C7" w14:textId="77777777" w:rsidR="00BA29AF" w:rsidRPr="00750AB3" w:rsidRDefault="00BA29AF" w:rsidP="00B95A93">
      <w:pPr>
        <w:pStyle w:val="ListParagraph"/>
        <w:numPr>
          <w:ilvl w:val="0"/>
          <w:numId w:val="8"/>
        </w:numPr>
        <w:spacing w:after="0" w:line="240" w:lineRule="auto"/>
        <w:textAlignment w:val="baseline"/>
        <w:rPr>
          <w:rFonts w:cstheme="minorHAnsi"/>
          <w:b/>
        </w:rPr>
      </w:pPr>
      <w:r w:rsidRPr="00750AB3">
        <w:rPr>
          <w:rFonts w:cstheme="minorHAnsi"/>
          <w:b/>
        </w:rPr>
        <w:t>A public health perspective</w:t>
      </w:r>
    </w:p>
    <w:p w14:paraId="4210392C" w14:textId="44AFD2C7" w:rsidR="004D0484" w:rsidRPr="00750AB3" w:rsidRDefault="00BA29AF" w:rsidP="00B95A93">
      <w:pPr>
        <w:spacing w:after="0" w:line="240" w:lineRule="auto"/>
        <w:jc w:val="both"/>
        <w:textAlignment w:val="baseline"/>
        <w:rPr>
          <w:rStyle w:val="normaltextrun"/>
          <w:rFonts w:cstheme="minorHAnsi"/>
        </w:rPr>
      </w:pPr>
      <w:r w:rsidRPr="00750AB3">
        <w:rPr>
          <w:rFonts w:cstheme="minorHAnsi"/>
        </w:rPr>
        <w:t>Pain is a common feature of life</w:t>
      </w:r>
      <w:r w:rsidR="00F43BB8">
        <w:rPr>
          <w:rFonts w:cstheme="minorHAnsi"/>
        </w:rPr>
        <w:t xml:space="preserve">; </w:t>
      </w:r>
      <w:r w:rsidRPr="00750AB3">
        <w:rPr>
          <w:rFonts w:cstheme="minorHAnsi"/>
        </w:rPr>
        <w:t xml:space="preserve">working life is no exception. </w:t>
      </w:r>
      <w:r w:rsidR="00B252F9" w:rsidRPr="00750AB3">
        <w:rPr>
          <w:rFonts w:cstheme="minorHAnsi"/>
        </w:rPr>
        <w:t>The percentage of the population with pain increases</w:t>
      </w:r>
      <w:r w:rsidR="006E00AC" w:rsidRPr="00750AB3">
        <w:rPr>
          <w:rFonts w:cstheme="minorHAnsi"/>
        </w:rPr>
        <w:t xml:space="preserve"> with</w:t>
      </w:r>
      <w:r w:rsidR="00B252F9" w:rsidRPr="00750AB3">
        <w:rPr>
          <w:rFonts w:cstheme="minorHAnsi"/>
        </w:rPr>
        <w:t xml:space="preserve"> age and by birth cohort; </w:t>
      </w:r>
      <w:r w:rsidR="00526CE5" w:rsidRPr="00750AB3">
        <w:rPr>
          <w:rFonts w:cstheme="minorHAnsi"/>
        </w:rPr>
        <w:t>a higher pain burden th</w:t>
      </w:r>
      <w:r w:rsidR="006E00AC" w:rsidRPr="00750AB3">
        <w:rPr>
          <w:rFonts w:cstheme="minorHAnsi"/>
        </w:rPr>
        <w:t>a</w:t>
      </w:r>
      <w:r w:rsidR="00526CE5" w:rsidRPr="00750AB3">
        <w:rPr>
          <w:rFonts w:cstheme="minorHAnsi"/>
        </w:rPr>
        <w:t xml:space="preserve">n previously is reported by </w:t>
      </w:r>
      <w:r w:rsidR="00B252F9" w:rsidRPr="00750AB3">
        <w:rPr>
          <w:rFonts w:cstheme="minorHAnsi"/>
        </w:rPr>
        <w:t xml:space="preserve">today’s populations </w:t>
      </w:r>
      <w:r w:rsidR="00E91453" w:rsidRPr="00750AB3">
        <w:rPr>
          <w:rFonts w:cstheme="minorHAnsi"/>
        </w:rPr>
        <w:t>[1</w:t>
      </w:r>
      <w:r w:rsidR="008E3403">
        <w:rPr>
          <w:rFonts w:cstheme="minorHAnsi"/>
        </w:rPr>
        <w:t>6</w:t>
      </w:r>
      <w:r w:rsidR="00E91453" w:rsidRPr="00750AB3">
        <w:rPr>
          <w:rFonts w:cstheme="minorHAnsi"/>
        </w:rPr>
        <w:t xml:space="preserve">] </w:t>
      </w:r>
      <w:r w:rsidR="00B252F9" w:rsidRPr="00750AB3">
        <w:rPr>
          <w:rFonts w:cstheme="minorHAnsi"/>
        </w:rPr>
        <w:t xml:space="preserve">related in part to the context of work </w:t>
      </w:r>
      <w:r w:rsidR="00E91453" w:rsidRPr="00750AB3">
        <w:rPr>
          <w:rStyle w:val="normaltextrun"/>
          <w:rFonts w:cstheme="minorHAnsi"/>
        </w:rPr>
        <w:t>[</w:t>
      </w:r>
      <w:r w:rsidR="008E3403">
        <w:rPr>
          <w:rStyle w:val="normaltextrun"/>
          <w:rFonts w:cstheme="minorHAnsi"/>
        </w:rPr>
        <w:t>8</w:t>
      </w:r>
      <w:r w:rsidR="00E91453" w:rsidRPr="00750AB3">
        <w:rPr>
          <w:rStyle w:val="normaltextrun"/>
          <w:rFonts w:cstheme="minorHAnsi"/>
        </w:rPr>
        <w:t>,</w:t>
      </w:r>
      <w:r w:rsidR="008E3403">
        <w:rPr>
          <w:rStyle w:val="normaltextrun"/>
          <w:rFonts w:cstheme="minorHAnsi"/>
        </w:rPr>
        <w:t>40</w:t>
      </w:r>
      <w:r w:rsidR="004D0484" w:rsidRPr="00750AB3">
        <w:rPr>
          <w:rStyle w:val="normaltextrun"/>
          <w:rFonts w:cstheme="minorHAnsi"/>
        </w:rPr>
        <w:t>]. Socioeconomic factors have both time-critical and cumulative effects on pain onset and experience</w:t>
      </w:r>
      <w:r w:rsidR="00BD2D76" w:rsidRPr="00750AB3">
        <w:rPr>
          <w:rStyle w:val="normaltextrun"/>
          <w:rFonts w:cstheme="minorHAnsi"/>
        </w:rPr>
        <w:t xml:space="preserve"> </w:t>
      </w:r>
      <w:r w:rsidR="00E91453" w:rsidRPr="00750AB3">
        <w:rPr>
          <w:rStyle w:val="normaltextrun"/>
          <w:rFonts w:cstheme="minorHAnsi"/>
        </w:rPr>
        <w:t>[</w:t>
      </w:r>
      <w:r w:rsidR="008E3403">
        <w:rPr>
          <w:rStyle w:val="normaltextrun"/>
          <w:rFonts w:cstheme="minorHAnsi"/>
        </w:rPr>
        <w:t>10</w:t>
      </w:r>
      <w:r w:rsidR="00E91453" w:rsidRPr="00750AB3">
        <w:rPr>
          <w:rStyle w:val="normaltextrun"/>
          <w:rFonts w:cstheme="minorHAnsi"/>
        </w:rPr>
        <w:t>,</w:t>
      </w:r>
      <w:r w:rsidR="008E3403">
        <w:rPr>
          <w:rStyle w:val="normaltextrun"/>
          <w:rFonts w:cstheme="minorHAnsi"/>
        </w:rPr>
        <w:t>57</w:t>
      </w:r>
      <w:r w:rsidR="008F134B" w:rsidRPr="00750AB3">
        <w:rPr>
          <w:rStyle w:val="normaltextrun"/>
          <w:rFonts w:cstheme="minorHAnsi"/>
        </w:rPr>
        <w:t>]. T</w:t>
      </w:r>
      <w:r w:rsidR="004D0484" w:rsidRPr="00750AB3">
        <w:rPr>
          <w:rStyle w:val="normaltextrun"/>
          <w:rFonts w:cstheme="minorHAnsi"/>
        </w:rPr>
        <w:t>hose cumulatively exposed to adverse socioeconomic circumstances are more likely to have increased level</w:t>
      </w:r>
      <w:r w:rsidR="00FC4B15" w:rsidRPr="00750AB3">
        <w:rPr>
          <w:rStyle w:val="normaltextrun"/>
          <w:rFonts w:cstheme="minorHAnsi"/>
        </w:rPr>
        <w:t>s</w:t>
      </w:r>
      <w:r w:rsidR="004D0484" w:rsidRPr="00750AB3">
        <w:rPr>
          <w:rStyle w:val="normaltextrun"/>
          <w:rFonts w:cstheme="minorHAnsi"/>
        </w:rPr>
        <w:t xml:space="preserve"> of stress, anxiety, and depression</w:t>
      </w:r>
      <w:r w:rsidR="00DE02CC" w:rsidRPr="00750AB3">
        <w:rPr>
          <w:rStyle w:val="normaltextrun"/>
          <w:rFonts w:cstheme="minorHAnsi"/>
        </w:rPr>
        <w:t>,</w:t>
      </w:r>
      <w:r w:rsidR="004D0484" w:rsidRPr="00750AB3">
        <w:rPr>
          <w:rStyle w:val="normaltextrun"/>
          <w:rFonts w:cstheme="minorHAnsi"/>
        </w:rPr>
        <w:t xml:space="preserve"> and to</w:t>
      </w:r>
      <w:r w:rsidR="006E00AC" w:rsidRPr="00750AB3">
        <w:rPr>
          <w:rStyle w:val="normaltextrun"/>
          <w:rFonts w:cstheme="minorHAnsi"/>
        </w:rPr>
        <w:t xml:space="preserve"> engage in</w:t>
      </w:r>
      <w:r w:rsidR="004D0484" w:rsidRPr="00750AB3">
        <w:rPr>
          <w:rStyle w:val="normaltextrun"/>
          <w:rFonts w:cstheme="minorHAnsi"/>
        </w:rPr>
        <w:t xml:space="preserve"> unhealthy behaviours such as smoking and physical inactivity leading to obesity which are associated with pain prevalence, and the likelihood of developing pain-related disability</w:t>
      </w:r>
      <w:r w:rsidR="001A13BA" w:rsidRPr="00750AB3">
        <w:rPr>
          <w:rStyle w:val="normaltextrun"/>
          <w:rFonts w:cstheme="minorHAnsi"/>
        </w:rPr>
        <w:t xml:space="preserve"> </w:t>
      </w:r>
      <w:r w:rsidR="00E91453" w:rsidRPr="00750AB3">
        <w:rPr>
          <w:rStyle w:val="normaltextrun"/>
          <w:rFonts w:cstheme="minorHAnsi"/>
        </w:rPr>
        <w:t>[</w:t>
      </w:r>
      <w:r w:rsidR="008E3403">
        <w:rPr>
          <w:rStyle w:val="normaltextrun"/>
          <w:rFonts w:cstheme="minorHAnsi"/>
        </w:rPr>
        <w:t>57</w:t>
      </w:r>
      <w:r w:rsidR="004D0484" w:rsidRPr="00750AB3">
        <w:rPr>
          <w:rStyle w:val="normaltextrun"/>
          <w:rFonts w:cstheme="minorHAnsi"/>
        </w:rPr>
        <w:t>]. Socioeconomic factors also separately influence the work options of people and the resulting occupational exposures that are known to increase the risk of adverse pain outcomes</w:t>
      </w:r>
      <w:r w:rsidR="00BD2D76" w:rsidRPr="00750AB3">
        <w:rPr>
          <w:rStyle w:val="normaltextrun"/>
          <w:rFonts w:cstheme="minorHAnsi"/>
        </w:rPr>
        <w:t xml:space="preserve"> </w:t>
      </w:r>
      <w:r w:rsidR="00E91453" w:rsidRPr="00750AB3">
        <w:rPr>
          <w:rStyle w:val="normaltextrun"/>
          <w:rFonts w:cstheme="minorHAnsi"/>
        </w:rPr>
        <w:t>[</w:t>
      </w:r>
      <w:r w:rsidR="008E3403">
        <w:rPr>
          <w:rStyle w:val="normaltextrun"/>
          <w:rFonts w:cstheme="minorHAnsi"/>
        </w:rPr>
        <w:t>31</w:t>
      </w:r>
      <w:r w:rsidR="00E91453" w:rsidRPr="00750AB3">
        <w:rPr>
          <w:rStyle w:val="normaltextrun"/>
          <w:rFonts w:cstheme="minorHAnsi"/>
        </w:rPr>
        <w:t>,</w:t>
      </w:r>
      <w:r w:rsidR="008E3403">
        <w:rPr>
          <w:rStyle w:val="normaltextrun"/>
          <w:rFonts w:cstheme="minorHAnsi"/>
        </w:rPr>
        <w:t>69</w:t>
      </w:r>
      <w:r w:rsidR="004D0484" w:rsidRPr="00750AB3">
        <w:rPr>
          <w:rStyle w:val="normaltextrun"/>
          <w:rFonts w:cstheme="minorHAnsi"/>
        </w:rPr>
        <w:t>].</w:t>
      </w:r>
      <w:r w:rsidR="004B309C">
        <w:rPr>
          <w:rStyle w:val="eop"/>
          <w:rFonts w:cstheme="minorHAnsi"/>
        </w:rPr>
        <w:t>A</w:t>
      </w:r>
      <w:r w:rsidR="004D0484" w:rsidRPr="00750AB3">
        <w:rPr>
          <w:rStyle w:val="eop"/>
          <w:rFonts w:cstheme="minorHAnsi"/>
        </w:rPr>
        <w:t>ddition</w:t>
      </w:r>
      <w:r w:rsidR="004B309C">
        <w:rPr>
          <w:rStyle w:val="eop"/>
          <w:rFonts w:cstheme="minorHAnsi"/>
        </w:rPr>
        <w:t>ally</w:t>
      </w:r>
      <w:r w:rsidR="004D0484" w:rsidRPr="00750AB3">
        <w:rPr>
          <w:rStyle w:val="eop"/>
          <w:rFonts w:cstheme="minorHAnsi"/>
        </w:rPr>
        <w:t xml:space="preserve">, there is evidence that </w:t>
      </w:r>
      <w:r w:rsidR="004D0484" w:rsidRPr="00750AB3">
        <w:rPr>
          <w:rStyle w:val="normaltextrun"/>
          <w:rFonts w:cstheme="minorHAnsi"/>
        </w:rPr>
        <w:t>system-level socioeconomic circumstances can moderate the effect of individual-level socioe</w:t>
      </w:r>
      <w:r w:rsidR="00D17CAA" w:rsidRPr="00750AB3">
        <w:rPr>
          <w:rStyle w:val="normaltextrun"/>
          <w:rFonts w:cstheme="minorHAnsi"/>
        </w:rPr>
        <w:t>conomic circumstances on adults’</w:t>
      </w:r>
      <w:r w:rsidR="004D0484" w:rsidRPr="00750AB3">
        <w:rPr>
          <w:rStyle w:val="normaltextrun"/>
          <w:rFonts w:cstheme="minorHAnsi"/>
        </w:rPr>
        <w:t xml:space="preserve"> risk of developing disabling pain</w:t>
      </w:r>
      <w:r w:rsidR="00BD2D76" w:rsidRPr="00750AB3">
        <w:rPr>
          <w:rStyle w:val="normaltextrun"/>
          <w:rFonts w:cstheme="minorHAnsi"/>
        </w:rPr>
        <w:t xml:space="preserve"> </w:t>
      </w:r>
      <w:r w:rsidR="00E91453" w:rsidRPr="00750AB3">
        <w:rPr>
          <w:rStyle w:val="normaltextrun"/>
          <w:rFonts w:cstheme="minorHAnsi"/>
        </w:rPr>
        <w:t>[2</w:t>
      </w:r>
      <w:r w:rsidR="008E3403">
        <w:rPr>
          <w:rStyle w:val="normaltextrun"/>
          <w:rFonts w:cstheme="minorHAnsi"/>
        </w:rPr>
        <w:t>9</w:t>
      </w:r>
      <w:r w:rsidR="00E91453" w:rsidRPr="00750AB3">
        <w:rPr>
          <w:rStyle w:val="normaltextrun"/>
          <w:rFonts w:cstheme="minorHAnsi"/>
        </w:rPr>
        <w:t>,</w:t>
      </w:r>
      <w:r w:rsidR="008E3403">
        <w:rPr>
          <w:rStyle w:val="normaltextrun"/>
          <w:rFonts w:cstheme="minorHAnsi"/>
        </w:rPr>
        <w:t>40</w:t>
      </w:r>
      <w:r w:rsidR="004D0484" w:rsidRPr="00750AB3">
        <w:rPr>
          <w:rStyle w:val="normaltextrun"/>
          <w:rFonts w:cstheme="minorHAnsi"/>
        </w:rPr>
        <w:t>]</w:t>
      </w:r>
      <w:r w:rsidR="002579B7" w:rsidRPr="00750AB3">
        <w:rPr>
          <w:rStyle w:val="normaltextrun"/>
          <w:rFonts w:cstheme="minorHAnsi"/>
        </w:rPr>
        <w:t>.</w:t>
      </w:r>
      <w:r w:rsidR="004B309C">
        <w:rPr>
          <w:rStyle w:val="normaltextrun"/>
          <w:rFonts w:cstheme="minorHAnsi"/>
        </w:rPr>
        <w:t xml:space="preserve"> Explanations for this may include independent psychological and biological effects of environmental causes of disabling pain onset and prevalence in areas of higher or lower deprivation, including occupational distribution in the community, and access to social, educational</w:t>
      </w:r>
      <w:r w:rsidR="00F5293D">
        <w:rPr>
          <w:rStyle w:val="normaltextrun"/>
          <w:rFonts w:cstheme="minorHAnsi"/>
        </w:rPr>
        <w:t>,</w:t>
      </w:r>
      <w:r w:rsidR="008E3403">
        <w:rPr>
          <w:rStyle w:val="normaltextrun"/>
          <w:rFonts w:cstheme="minorHAnsi"/>
        </w:rPr>
        <w:t xml:space="preserve"> and medical services [40</w:t>
      </w:r>
      <w:r w:rsidR="004B309C">
        <w:rPr>
          <w:rStyle w:val="normaltextrun"/>
          <w:rFonts w:cstheme="minorHAnsi"/>
        </w:rPr>
        <w:t>].</w:t>
      </w:r>
    </w:p>
    <w:p w14:paraId="615C85FD" w14:textId="77777777" w:rsidR="002579B7" w:rsidRPr="00750AB3" w:rsidRDefault="002579B7" w:rsidP="00B95A93">
      <w:pPr>
        <w:pStyle w:val="paragraph"/>
        <w:spacing w:before="0" w:beforeAutospacing="0" w:after="0" w:afterAutospacing="0"/>
        <w:jc w:val="both"/>
        <w:textAlignment w:val="baseline"/>
        <w:rPr>
          <w:rFonts w:asciiTheme="minorHAnsi" w:hAnsiTheme="minorHAnsi" w:cstheme="minorHAnsi"/>
          <w:sz w:val="22"/>
          <w:szCs w:val="22"/>
        </w:rPr>
      </w:pPr>
    </w:p>
    <w:p w14:paraId="036E2242" w14:textId="1C0666C7" w:rsidR="004D0484" w:rsidRPr="00750AB3" w:rsidRDefault="004D0484" w:rsidP="00B95A93">
      <w:pPr>
        <w:spacing w:after="0" w:line="240" w:lineRule="auto"/>
        <w:jc w:val="both"/>
        <w:rPr>
          <w:rStyle w:val="normaltextrun"/>
          <w:rFonts w:cstheme="minorHAnsi"/>
          <w:lang w:bidi="en-US"/>
        </w:rPr>
      </w:pPr>
      <w:r w:rsidRPr="00750AB3">
        <w:rPr>
          <w:rStyle w:val="normaltextrun"/>
          <w:rFonts w:cstheme="minorHAnsi"/>
        </w:rPr>
        <w:t>Globally, there is</w:t>
      </w:r>
      <w:r w:rsidR="00E91453" w:rsidRPr="00750AB3">
        <w:rPr>
          <w:rStyle w:val="normaltextrun"/>
          <w:rFonts w:cstheme="minorHAnsi"/>
        </w:rPr>
        <w:t xml:space="preserve"> widespread population ageing [</w:t>
      </w:r>
      <w:r w:rsidR="008E3403">
        <w:rPr>
          <w:rStyle w:val="normaltextrun"/>
          <w:rFonts w:cstheme="minorHAnsi"/>
        </w:rPr>
        <w:t>55</w:t>
      </w:r>
      <w:r w:rsidR="00E91453" w:rsidRPr="00750AB3">
        <w:rPr>
          <w:rStyle w:val="normaltextrun"/>
          <w:rFonts w:cstheme="minorHAnsi"/>
        </w:rPr>
        <w:t xml:space="preserve">]. </w:t>
      </w:r>
      <w:r w:rsidRPr="00750AB3">
        <w:rPr>
          <w:rStyle w:val="normaltextrun"/>
          <w:rFonts w:cstheme="minorHAnsi"/>
        </w:rPr>
        <w:t xml:space="preserve">As </w:t>
      </w:r>
      <w:r w:rsidR="009F3F96" w:rsidRPr="00750AB3">
        <w:rPr>
          <w:rStyle w:val="normaltextrun"/>
          <w:rFonts w:cstheme="minorHAnsi"/>
        </w:rPr>
        <w:t>this</w:t>
      </w:r>
      <w:r w:rsidRPr="00750AB3">
        <w:rPr>
          <w:rStyle w:val="normaltextrun"/>
          <w:rFonts w:cstheme="minorHAnsi"/>
        </w:rPr>
        <w:t xml:space="preserve"> challenges the ability of governments to fund income support for retirees, there is increased societal pressure for workers to stay </w:t>
      </w:r>
      <w:r w:rsidR="003F31ED">
        <w:rPr>
          <w:rStyle w:val="normaltextrun"/>
          <w:rFonts w:cstheme="minorHAnsi"/>
        </w:rPr>
        <w:t>at work</w:t>
      </w:r>
      <w:r w:rsidRPr="00750AB3">
        <w:rPr>
          <w:rStyle w:val="normaltextrun"/>
          <w:rFonts w:cstheme="minorHAnsi"/>
        </w:rPr>
        <w:t xml:space="preserve"> and build retirement savings</w:t>
      </w:r>
      <w:r w:rsidR="00D17CAA" w:rsidRPr="00750AB3">
        <w:rPr>
          <w:rStyle w:val="normaltextrun"/>
          <w:rFonts w:cstheme="minorHAnsi"/>
        </w:rPr>
        <w:t xml:space="preserve"> </w:t>
      </w:r>
      <w:r w:rsidR="00E91453" w:rsidRPr="00750AB3">
        <w:rPr>
          <w:rStyle w:val="normaltextrun"/>
          <w:rFonts w:cstheme="minorHAnsi"/>
        </w:rPr>
        <w:t>[</w:t>
      </w:r>
      <w:r w:rsidR="008E3403">
        <w:rPr>
          <w:rStyle w:val="normaltextrun"/>
          <w:rFonts w:cstheme="minorHAnsi"/>
        </w:rPr>
        <w:t>4</w:t>
      </w:r>
      <w:r w:rsidRPr="00750AB3">
        <w:rPr>
          <w:rStyle w:val="normaltextrun"/>
          <w:rFonts w:cstheme="minorHAnsi"/>
        </w:rPr>
        <w:t xml:space="preserve">]. </w:t>
      </w:r>
      <w:r w:rsidR="00DF00A9" w:rsidRPr="00750AB3">
        <w:rPr>
          <w:rStyle w:val="normaltextrun"/>
          <w:rFonts w:cstheme="minorHAnsi"/>
        </w:rPr>
        <w:t xml:space="preserve">Conversely, for the first time in recent </w:t>
      </w:r>
      <w:r w:rsidR="00DF00A9" w:rsidRPr="00750AB3">
        <w:rPr>
          <w:rStyle w:val="normaltextrun"/>
          <w:rFonts w:cstheme="minorHAnsi"/>
        </w:rPr>
        <w:lastRenderedPageBreak/>
        <w:t xml:space="preserve">history in many countries, retirement can be a choice as there is no legal compulsion to retire at a set age. </w:t>
      </w:r>
      <w:r w:rsidRPr="00750AB3">
        <w:rPr>
          <w:rStyle w:val="normaltextrun"/>
          <w:rFonts w:cstheme="minorHAnsi"/>
        </w:rPr>
        <w:t>Older workers are more likely to have multiple chronic health conditions, notably musculoskeletal conditions, which are strongly age-related</w:t>
      </w:r>
      <w:r w:rsidR="00D17CAA" w:rsidRPr="00750AB3">
        <w:rPr>
          <w:rStyle w:val="normaltextrun"/>
          <w:rFonts w:cstheme="minorHAnsi"/>
        </w:rPr>
        <w:t xml:space="preserve"> </w:t>
      </w:r>
      <w:r w:rsidR="005E3157" w:rsidRPr="00750AB3">
        <w:rPr>
          <w:rStyle w:val="normaltextrun"/>
          <w:rFonts w:cstheme="minorHAnsi"/>
        </w:rPr>
        <w:t>[</w:t>
      </w:r>
      <w:r w:rsidR="008E3403">
        <w:rPr>
          <w:rStyle w:val="normaltextrun"/>
          <w:rFonts w:cstheme="minorHAnsi"/>
        </w:rPr>
        <w:t>50</w:t>
      </w:r>
      <w:r w:rsidRPr="00750AB3">
        <w:rPr>
          <w:rStyle w:val="normaltextrun"/>
          <w:rFonts w:cstheme="minorHAnsi"/>
        </w:rPr>
        <w:t xml:space="preserve">]. </w:t>
      </w:r>
      <w:r w:rsidR="009F3F96" w:rsidRPr="00750AB3">
        <w:rPr>
          <w:rStyle w:val="normaltextrun"/>
          <w:rFonts w:cstheme="minorHAnsi"/>
        </w:rPr>
        <w:t>There is a strong association between musculoskeletal conditions and pain: most musculoskeletal conditions are chronic and painful and their prevalence increases with age, so they feature prominently in considerations of disability prevention due to pain</w:t>
      </w:r>
      <w:r w:rsidR="005E3157" w:rsidRPr="00750AB3">
        <w:rPr>
          <w:rStyle w:val="normaltextrun"/>
          <w:rFonts w:cstheme="minorHAnsi"/>
        </w:rPr>
        <w:t xml:space="preserve"> [</w:t>
      </w:r>
      <w:r w:rsidR="00F43BB8">
        <w:rPr>
          <w:rStyle w:val="normaltextrun"/>
          <w:rFonts w:cstheme="minorHAnsi"/>
        </w:rPr>
        <w:t>37</w:t>
      </w:r>
      <w:r w:rsidR="00E91453" w:rsidRPr="00750AB3">
        <w:rPr>
          <w:rStyle w:val="normaltextrun"/>
          <w:rFonts w:cstheme="minorHAnsi"/>
        </w:rPr>
        <w:t>,3</w:t>
      </w:r>
      <w:r w:rsidR="008E3403">
        <w:rPr>
          <w:rStyle w:val="normaltextrun"/>
          <w:rFonts w:cstheme="minorHAnsi"/>
        </w:rPr>
        <w:t>8</w:t>
      </w:r>
      <w:r w:rsidR="00E91453" w:rsidRPr="00750AB3">
        <w:rPr>
          <w:rStyle w:val="normaltextrun"/>
          <w:rFonts w:cstheme="minorHAnsi"/>
        </w:rPr>
        <w:t>]</w:t>
      </w:r>
      <w:r w:rsidR="009F3F96" w:rsidRPr="00750AB3">
        <w:rPr>
          <w:rStyle w:val="normaltextrun"/>
          <w:rFonts w:cstheme="minorHAnsi"/>
        </w:rPr>
        <w:t xml:space="preserve">. </w:t>
      </w:r>
      <w:r w:rsidRPr="00750AB3">
        <w:rPr>
          <w:rStyle w:val="normaltextrun"/>
          <w:rFonts w:cstheme="minorHAnsi"/>
        </w:rPr>
        <w:t>Schofield et al (2008) found that back problems (10.4%) and arthritis (8.6%) were the most common conditions for which Australian workers aged</w:t>
      </w:r>
      <w:r w:rsidR="00E91453" w:rsidRPr="00750AB3">
        <w:rPr>
          <w:rStyle w:val="normaltextrun"/>
          <w:rFonts w:cstheme="minorHAnsi"/>
        </w:rPr>
        <w:t xml:space="preserve"> 45-64 took early retirement [</w:t>
      </w:r>
      <w:r w:rsidR="008E3403">
        <w:rPr>
          <w:rStyle w:val="normaltextrun"/>
          <w:rFonts w:cstheme="minorHAnsi"/>
        </w:rPr>
        <w:t>66</w:t>
      </w:r>
      <w:r w:rsidRPr="00750AB3">
        <w:rPr>
          <w:rStyle w:val="normaltextrun"/>
          <w:rFonts w:cstheme="minorHAnsi"/>
        </w:rPr>
        <w:t xml:space="preserve">]. In a related microsimulation study, early retirement due to back problems significantly limited individuals’ financial capacity by reducing immediate income as well as longer-term wealth accumulation, increasing the cumulative socioeconomic disadvantage associated with </w:t>
      </w:r>
      <w:r w:rsidR="00770020" w:rsidRPr="00750AB3">
        <w:rPr>
          <w:rStyle w:val="normaltextrun"/>
          <w:rFonts w:cstheme="minorHAnsi"/>
        </w:rPr>
        <w:t>back problems</w:t>
      </w:r>
      <w:r w:rsidR="00D17CAA" w:rsidRPr="00750AB3">
        <w:rPr>
          <w:rStyle w:val="normaltextrun"/>
          <w:rFonts w:cstheme="minorHAnsi"/>
        </w:rPr>
        <w:t xml:space="preserve"> </w:t>
      </w:r>
      <w:r w:rsidR="00E91453" w:rsidRPr="00750AB3">
        <w:rPr>
          <w:rStyle w:val="normaltextrun"/>
          <w:rFonts w:cstheme="minorHAnsi"/>
        </w:rPr>
        <w:t>[</w:t>
      </w:r>
      <w:r w:rsidR="008E3403">
        <w:rPr>
          <w:rStyle w:val="normaltextrun"/>
          <w:rFonts w:cstheme="minorHAnsi"/>
        </w:rPr>
        <w:t>65</w:t>
      </w:r>
      <w:r w:rsidRPr="00750AB3">
        <w:rPr>
          <w:rStyle w:val="normaltextrun"/>
          <w:rFonts w:cstheme="minorHAnsi"/>
        </w:rPr>
        <w:t xml:space="preserve">]. </w:t>
      </w:r>
    </w:p>
    <w:p w14:paraId="232CE3FC" w14:textId="47D92629" w:rsidR="00EC782D" w:rsidRPr="00750AB3" w:rsidRDefault="00EC782D" w:rsidP="00B95A93">
      <w:pPr>
        <w:pStyle w:val="paragraph"/>
        <w:spacing w:before="0" w:beforeAutospacing="0" w:after="0" w:afterAutospacing="0"/>
        <w:jc w:val="both"/>
        <w:textAlignment w:val="baseline"/>
        <w:rPr>
          <w:rStyle w:val="normaltextrun"/>
          <w:rFonts w:asciiTheme="minorHAnsi" w:eastAsiaTheme="minorHAnsi" w:hAnsiTheme="minorHAnsi" w:cstheme="minorHAnsi"/>
          <w:sz w:val="22"/>
          <w:szCs w:val="22"/>
          <w:lang w:val="en-GB" w:eastAsia="en-US"/>
        </w:rPr>
      </w:pPr>
    </w:p>
    <w:p w14:paraId="7118906D" w14:textId="19D830D4" w:rsidR="0006380D" w:rsidRPr="00750AB3" w:rsidRDefault="00EC782D" w:rsidP="00B95A93">
      <w:pPr>
        <w:pStyle w:val="CommentText"/>
        <w:spacing w:after="0"/>
        <w:jc w:val="both"/>
        <w:rPr>
          <w:rFonts w:cstheme="minorHAnsi"/>
          <w:sz w:val="22"/>
          <w:szCs w:val="22"/>
        </w:rPr>
      </w:pPr>
      <w:r w:rsidRPr="00750AB3">
        <w:rPr>
          <w:rStyle w:val="normaltextrun"/>
          <w:rFonts w:cstheme="minorHAnsi"/>
          <w:sz w:val="22"/>
          <w:szCs w:val="22"/>
        </w:rPr>
        <w:t xml:space="preserve">From a public health perspective, it is important to understand the multiple functions of work, not </w:t>
      </w:r>
      <w:r w:rsidR="00E65961" w:rsidRPr="00750AB3">
        <w:rPr>
          <w:rStyle w:val="normaltextrun"/>
          <w:rFonts w:cstheme="minorHAnsi"/>
          <w:sz w:val="22"/>
          <w:szCs w:val="22"/>
        </w:rPr>
        <w:t xml:space="preserve">only personally but societally. Extending working life is associated with a greater number of </w:t>
      </w:r>
      <w:r w:rsidRPr="00750AB3">
        <w:rPr>
          <w:rStyle w:val="normaltextrun"/>
          <w:rFonts w:cstheme="minorHAnsi"/>
          <w:sz w:val="22"/>
          <w:szCs w:val="22"/>
        </w:rPr>
        <w:t>multiple health complaints</w:t>
      </w:r>
      <w:r w:rsidR="005E4874" w:rsidRPr="00750AB3">
        <w:rPr>
          <w:rStyle w:val="normaltextrun"/>
          <w:rFonts w:cstheme="minorHAnsi"/>
          <w:sz w:val="22"/>
          <w:szCs w:val="22"/>
        </w:rPr>
        <w:t>; with trends towards working at older ages than in previous decades, there is the potential for the effects of pain on individuals and society to be more significant</w:t>
      </w:r>
      <w:r w:rsidR="002E5265" w:rsidRPr="00750AB3">
        <w:rPr>
          <w:rStyle w:val="normaltextrun"/>
          <w:rFonts w:cstheme="minorHAnsi"/>
          <w:sz w:val="22"/>
          <w:szCs w:val="22"/>
        </w:rPr>
        <w:t>.</w:t>
      </w:r>
    </w:p>
    <w:p w14:paraId="2DC85E1F" w14:textId="77777777" w:rsidR="0006380D" w:rsidRPr="00750AB3" w:rsidRDefault="0006380D" w:rsidP="00B95A93">
      <w:pPr>
        <w:spacing w:after="0" w:line="240" w:lineRule="auto"/>
        <w:rPr>
          <w:rFonts w:cstheme="minorHAnsi"/>
        </w:rPr>
      </w:pPr>
    </w:p>
    <w:p w14:paraId="366D9474" w14:textId="5D65955E" w:rsidR="00D34FEB" w:rsidRPr="00750AB3" w:rsidRDefault="0006380D" w:rsidP="00B95A93">
      <w:pPr>
        <w:pStyle w:val="ListParagraph"/>
        <w:numPr>
          <w:ilvl w:val="0"/>
          <w:numId w:val="8"/>
        </w:numPr>
        <w:spacing w:after="0" w:line="240" w:lineRule="auto"/>
        <w:rPr>
          <w:rFonts w:cstheme="minorHAnsi"/>
          <w:b/>
        </w:rPr>
      </w:pPr>
      <w:r w:rsidRPr="00750AB3">
        <w:rPr>
          <w:rFonts w:cstheme="minorHAnsi"/>
          <w:b/>
        </w:rPr>
        <w:t>Occupational</w:t>
      </w:r>
      <w:r w:rsidR="00D34FEB" w:rsidRPr="00750AB3">
        <w:rPr>
          <w:rFonts w:cstheme="minorHAnsi"/>
          <w:b/>
        </w:rPr>
        <w:t xml:space="preserve"> health perspective</w:t>
      </w:r>
      <w:r w:rsidR="00976700" w:rsidRPr="00750AB3">
        <w:rPr>
          <w:rFonts w:cstheme="minorHAnsi"/>
          <w:b/>
        </w:rPr>
        <w:t xml:space="preserve"> </w:t>
      </w:r>
    </w:p>
    <w:p w14:paraId="5E0EEDA9" w14:textId="472F5D37" w:rsidR="0098401A" w:rsidRPr="00750AB3" w:rsidRDefault="0098401A" w:rsidP="00B95A93">
      <w:pPr>
        <w:spacing w:after="0" w:line="240" w:lineRule="auto"/>
        <w:jc w:val="both"/>
        <w:rPr>
          <w:rFonts w:ascii="Arial" w:eastAsia="Arial" w:hAnsi="Arial" w:cs="Arial"/>
        </w:rPr>
      </w:pPr>
      <w:r w:rsidRPr="00750AB3">
        <w:rPr>
          <w:rFonts w:ascii="Arial" w:eastAsia="Arial" w:hAnsi="Arial" w:cs="Arial"/>
        </w:rPr>
        <w:t>Work does not inoculate one from pain. Pain is as likely to be experienced when working as at any other time, in any other activity. From an occupational health perspective, there are organisations and agents with responsibility to provide a working environment, incl</w:t>
      </w:r>
      <w:r w:rsidR="0064762D" w:rsidRPr="00750AB3">
        <w:rPr>
          <w:rFonts w:ascii="Arial" w:eastAsia="Arial" w:hAnsi="Arial" w:cs="Arial"/>
        </w:rPr>
        <w:t>uding place, time and task, which</w:t>
      </w:r>
      <w:r w:rsidRPr="00750AB3">
        <w:rPr>
          <w:rFonts w:ascii="Arial" w:eastAsia="Arial" w:hAnsi="Arial" w:cs="Arial"/>
        </w:rPr>
        <w:t xml:space="preserve"> is as safe as possible</w:t>
      </w:r>
      <w:r w:rsidRPr="00750AB3">
        <w:rPr>
          <w:rFonts w:ascii="Arial" w:eastAsia="Arial" w:hAnsi="Arial" w:cs="Arial"/>
          <w:lang w:val="en-AU"/>
        </w:rPr>
        <w:t xml:space="preserve"> </w:t>
      </w:r>
      <w:r w:rsidRPr="00750AB3">
        <w:rPr>
          <w:rFonts w:ascii="Arial" w:eastAsia="Arial" w:hAnsi="Arial" w:cs="Arial"/>
        </w:rPr>
        <w:t xml:space="preserve">from undue exposure to the risk of hurt and harm. For example, the discipline of ergonomics evolved to maximise control of exposures such as heavy </w:t>
      </w:r>
      <w:r w:rsidRPr="00750AB3">
        <w:rPr>
          <w:rFonts w:ascii="Arial" w:hAnsi="Arial" w:cs="Arial"/>
        </w:rPr>
        <w:t>lifting, bending, awkward postures, and tasks considered physically demanding and whole body vibration</w:t>
      </w:r>
      <w:r w:rsidRPr="00750AB3">
        <w:rPr>
          <w:rFonts w:ascii="Arial" w:eastAsia="Arial" w:hAnsi="Arial" w:cs="Arial"/>
        </w:rPr>
        <w:t>, which we know increase the risk of low back</w:t>
      </w:r>
      <w:r w:rsidR="005D14D8" w:rsidRPr="00750AB3">
        <w:rPr>
          <w:rFonts w:ascii="Arial" w:eastAsia="Arial" w:hAnsi="Arial" w:cs="Arial"/>
        </w:rPr>
        <w:t xml:space="preserve"> pain</w:t>
      </w:r>
      <w:r w:rsidR="0064762D" w:rsidRPr="00750AB3">
        <w:rPr>
          <w:rFonts w:ascii="Arial" w:eastAsia="Arial" w:hAnsi="Arial" w:cs="Arial"/>
        </w:rPr>
        <w:t xml:space="preserve"> </w:t>
      </w:r>
      <w:r w:rsidR="005D14D8" w:rsidRPr="00750AB3">
        <w:rPr>
          <w:rFonts w:ascii="Arial" w:eastAsia="Arial" w:hAnsi="Arial" w:cs="Arial"/>
        </w:rPr>
        <w:t>[</w:t>
      </w:r>
      <w:r w:rsidR="00490227">
        <w:rPr>
          <w:rFonts w:ascii="Arial" w:eastAsia="Arial" w:hAnsi="Arial" w:cs="Arial"/>
        </w:rPr>
        <w:t>5</w:t>
      </w:r>
      <w:r w:rsidR="005D14D8" w:rsidRPr="00750AB3">
        <w:rPr>
          <w:rFonts w:ascii="Arial" w:eastAsia="Arial" w:hAnsi="Arial" w:cs="Arial"/>
        </w:rPr>
        <w:t>,</w:t>
      </w:r>
      <w:r w:rsidR="00490227">
        <w:rPr>
          <w:rFonts w:ascii="Arial" w:eastAsia="Arial" w:hAnsi="Arial" w:cs="Arial"/>
        </w:rPr>
        <w:t>35</w:t>
      </w:r>
      <w:r w:rsidR="005D14D8" w:rsidRPr="00750AB3">
        <w:rPr>
          <w:rFonts w:ascii="Arial" w:eastAsia="Arial" w:hAnsi="Arial" w:cs="Arial"/>
        </w:rPr>
        <w:t>]</w:t>
      </w:r>
      <w:r w:rsidRPr="00750AB3">
        <w:rPr>
          <w:rFonts w:ascii="Arial" w:eastAsia="Arial" w:hAnsi="Arial" w:cs="Arial"/>
        </w:rPr>
        <w:t xml:space="preserve">. Interestingly, although we have mechanised many industries and minimised many of the physical stressors in workplaces, these measures have repeatedly failed to eradicate pain in workforces. The reasons for this are complex. For example, provision of lifting equipment (with appropriate training) in hospitals failed to reduce the risk of low back pain in nurses </w:t>
      </w:r>
      <w:r w:rsidR="005D14D8" w:rsidRPr="00750AB3">
        <w:rPr>
          <w:rFonts w:ascii="Arial" w:eastAsia="Arial" w:hAnsi="Arial" w:cs="Arial"/>
        </w:rPr>
        <w:t>[</w:t>
      </w:r>
      <w:r w:rsidR="00490227">
        <w:rPr>
          <w:rFonts w:ascii="Arial" w:eastAsia="Arial" w:hAnsi="Arial" w:cs="Arial"/>
        </w:rPr>
        <w:t>71</w:t>
      </w:r>
      <w:r w:rsidR="005D14D8" w:rsidRPr="00750AB3">
        <w:rPr>
          <w:rFonts w:ascii="Arial" w:eastAsia="Arial" w:hAnsi="Arial" w:cs="Arial"/>
        </w:rPr>
        <w:t xml:space="preserve">] </w:t>
      </w:r>
      <w:r w:rsidRPr="00750AB3">
        <w:rPr>
          <w:rFonts w:ascii="Arial" w:eastAsia="Arial" w:hAnsi="Arial" w:cs="Arial"/>
        </w:rPr>
        <w:t xml:space="preserve">and at least one of the explanations is that the lifting aids are not always used or are not used as intended </w:t>
      </w:r>
      <w:r w:rsidR="005D14D8" w:rsidRPr="00750AB3">
        <w:rPr>
          <w:rFonts w:ascii="Arial" w:eastAsia="Arial" w:hAnsi="Arial" w:cs="Arial"/>
        </w:rPr>
        <w:t>[</w:t>
      </w:r>
      <w:r w:rsidR="00490227">
        <w:rPr>
          <w:rFonts w:ascii="Arial" w:eastAsia="Arial" w:hAnsi="Arial" w:cs="Arial"/>
        </w:rPr>
        <w:t>44</w:t>
      </w:r>
      <w:r w:rsidR="005D14D8" w:rsidRPr="00750AB3">
        <w:rPr>
          <w:rFonts w:ascii="Arial" w:eastAsia="Arial" w:hAnsi="Arial" w:cs="Arial"/>
        </w:rPr>
        <w:t>].</w:t>
      </w:r>
      <w:r w:rsidRPr="00750AB3">
        <w:rPr>
          <w:rFonts w:ascii="Arial" w:eastAsia="Arial" w:hAnsi="Arial" w:cs="Arial"/>
        </w:rPr>
        <w:t xml:space="preserve"> </w:t>
      </w:r>
    </w:p>
    <w:p w14:paraId="7B756C40" w14:textId="77777777" w:rsidR="0098401A" w:rsidRPr="00750AB3" w:rsidRDefault="0098401A" w:rsidP="00B95A93">
      <w:pPr>
        <w:spacing w:after="0" w:line="240" w:lineRule="auto"/>
        <w:jc w:val="both"/>
        <w:rPr>
          <w:rFonts w:ascii="Arial" w:hAnsi="Arial" w:cs="Arial"/>
        </w:rPr>
      </w:pPr>
    </w:p>
    <w:p w14:paraId="30D784E1" w14:textId="7F17D14E" w:rsidR="002E437E" w:rsidRDefault="0098401A" w:rsidP="00B95A93">
      <w:pPr>
        <w:spacing w:after="0" w:line="240" w:lineRule="auto"/>
        <w:jc w:val="both"/>
        <w:rPr>
          <w:rFonts w:ascii="Arial" w:eastAsia="Arial" w:hAnsi="Arial" w:cs="Arial"/>
        </w:rPr>
      </w:pPr>
      <w:r w:rsidRPr="00750AB3">
        <w:rPr>
          <w:rFonts w:ascii="Arial" w:hAnsi="Arial" w:cs="Arial"/>
        </w:rPr>
        <w:t>Numerous studies report that workplace factors explain just a small proportion of the risk of disabling pain (typically 10-20%</w:t>
      </w:r>
      <w:r w:rsidR="005D14D8" w:rsidRPr="00750AB3">
        <w:rPr>
          <w:rFonts w:ascii="Arial" w:hAnsi="Arial" w:cs="Arial"/>
        </w:rPr>
        <w:t>) [1</w:t>
      </w:r>
      <w:r w:rsidR="00490227">
        <w:rPr>
          <w:rFonts w:ascii="Arial" w:hAnsi="Arial" w:cs="Arial"/>
        </w:rPr>
        <w:t>8</w:t>
      </w:r>
      <w:r w:rsidR="005D14D8" w:rsidRPr="00750AB3">
        <w:rPr>
          <w:rFonts w:ascii="Arial" w:hAnsi="Arial" w:cs="Arial"/>
        </w:rPr>
        <w:t>]</w:t>
      </w:r>
      <w:r w:rsidRPr="00750AB3">
        <w:rPr>
          <w:rFonts w:ascii="Arial" w:hAnsi="Arial" w:cs="Arial"/>
        </w:rPr>
        <w:t>.</w:t>
      </w:r>
      <w:r w:rsidR="005D14D8" w:rsidRPr="00750AB3">
        <w:rPr>
          <w:rFonts w:ascii="Arial" w:hAnsi="Arial" w:cs="Arial"/>
        </w:rPr>
        <w:t xml:space="preserve"> </w:t>
      </w:r>
      <w:r w:rsidRPr="00750AB3">
        <w:rPr>
          <w:rFonts w:ascii="Arial" w:eastAsia="Arial" w:hAnsi="Arial" w:cs="Arial"/>
        </w:rPr>
        <w:t>Whilst some of the remainder of the risk of pain remains unexplained, another important element of the risk is attributable to personal factors. For example, employee perception of work, its safety, value, and the extent to which it is flexible, and fair, has emerged as important</w:t>
      </w:r>
      <w:r w:rsidR="00490227">
        <w:rPr>
          <w:rFonts w:ascii="Arial" w:eastAsia="Arial" w:hAnsi="Arial" w:cs="Arial"/>
        </w:rPr>
        <w:t xml:space="preserve"> [32]</w:t>
      </w:r>
      <w:r w:rsidRPr="00750AB3">
        <w:rPr>
          <w:rFonts w:ascii="Arial" w:eastAsia="Arial" w:hAnsi="Arial" w:cs="Arial"/>
        </w:rPr>
        <w:t>. Work environments perceived as positive are associated with less pain and sickness absence, whilst productivity is also improved</w:t>
      </w:r>
      <w:r w:rsidR="00490227">
        <w:rPr>
          <w:rFonts w:ascii="Arial" w:eastAsia="Arial" w:hAnsi="Arial" w:cs="Arial"/>
        </w:rPr>
        <w:t xml:space="preserve"> [1,45,46]</w:t>
      </w:r>
      <w:r w:rsidRPr="00750AB3">
        <w:rPr>
          <w:rFonts w:ascii="Arial" w:eastAsia="Arial" w:hAnsi="Arial" w:cs="Arial"/>
        </w:rPr>
        <w:t xml:space="preserve">. </w:t>
      </w:r>
      <w:r w:rsidR="00DE6234" w:rsidRPr="00DE6234">
        <w:rPr>
          <w:rFonts w:ascii="Arial" w:hAnsi="Arial" w:cs="Arial"/>
        </w:rPr>
        <w:t xml:space="preserve">Workplaces must be on board with interventions otherwise these may fail; Main and Shaw propose a sustained model of managing pain-related limitations at work in which the levels of worker, workforce, supervisor and organisation are all included in designs </w:t>
      </w:r>
      <w:r w:rsidR="00DF4890">
        <w:rPr>
          <w:rFonts w:ascii="Arial" w:hAnsi="Arial" w:cs="Arial"/>
        </w:rPr>
        <w:t>to improve working lives</w:t>
      </w:r>
      <w:r w:rsidR="00DE6234" w:rsidRPr="00DE6234">
        <w:rPr>
          <w:rFonts w:ascii="Arial" w:hAnsi="Arial" w:cs="Arial"/>
        </w:rPr>
        <w:t xml:space="preserve"> [</w:t>
      </w:r>
      <w:r w:rsidR="00DF4890">
        <w:rPr>
          <w:rFonts w:ascii="Arial" w:hAnsi="Arial" w:cs="Arial"/>
        </w:rPr>
        <w:t>48].</w:t>
      </w:r>
      <w:r w:rsidR="00DE6234" w:rsidRPr="00DE6234">
        <w:rPr>
          <w:rFonts w:ascii="Arial" w:hAnsi="Arial" w:cs="Arial"/>
        </w:rPr>
        <w:t xml:space="preserve"> The model includes a managerial focus on including disability prevention as part of wider health and wellness policies, and supervisory training for improved supportive communication.</w:t>
      </w:r>
    </w:p>
    <w:p w14:paraId="6CEA3D8F" w14:textId="77777777" w:rsidR="00B95A93" w:rsidRDefault="00B95A93" w:rsidP="00B95A93">
      <w:pPr>
        <w:spacing w:after="0" w:line="240" w:lineRule="auto"/>
        <w:jc w:val="both"/>
        <w:rPr>
          <w:rFonts w:ascii="Arial" w:hAnsi="Arial" w:cs="Arial"/>
        </w:rPr>
      </w:pPr>
    </w:p>
    <w:p w14:paraId="56D440A1" w14:textId="6C4D7C76" w:rsidR="0098401A" w:rsidRPr="003B4AA9" w:rsidRDefault="003B4AA9" w:rsidP="003B4AA9">
      <w:pPr>
        <w:spacing w:after="0" w:line="240" w:lineRule="auto"/>
        <w:jc w:val="both"/>
      </w:pPr>
      <w:r w:rsidRPr="005A399C">
        <w:rPr>
          <w:rFonts w:ascii="Arial" w:hAnsi="Arial" w:cs="Arial"/>
        </w:rPr>
        <w:t xml:space="preserve">Many different interventions have been tried to improve work outcomes amongst people with painful musculoskeletal disorders </w:t>
      </w:r>
      <w:r>
        <w:rPr>
          <w:rFonts w:ascii="Arial" w:hAnsi="Arial" w:cs="Arial"/>
        </w:rPr>
        <w:t>[56]</w:t>
      </w:r>
      <w:r w:rsidRPr="005A399C">
        <w:rPr>
          <w:rFonts w:ascii="Arial" w:hAnsi="Arial" w:cs="Arial"/>
        </w:rPr>
        <w:t xml:space="preserve">. Generally, cheaper and easier interventions are indicated: there is little evidence of improved cost-effectiveness with more expensive strategies </w:t>
      </w:r>
      <w:r>
        <w:rPr>
          <w:rFonts w:ascii="Arial" w:hAnsi="Arial" w:cs="Arial"/>
        </w:rPr>
        <w:t>[56]</w:t>
      </w:r>
      <w:r w:rsidRPr="005A399C">
        <w:rPr>
          <w:rFonts w:ascii="Arial" w:hAnsi="Arial" w:cs="Arial"/>
        </w:rPr>
        <w:t xml:space="preserve">. Two models with a clear role are personalised case management and Individual Placement and Support (IPS). Case management by an </w:t>
      </w:r>
      <w:r>
        <w:rPr>
          <w:rFonts w:ascii="Arial" w:hAnsi="Arial" w:cs="Arial"/>
        </w:rPr>
        <w:t>occupational health p</w:t>
      </w:r>
      <w:r w:rsidRPr="005A399C">
        <w:rPr>
          <w:rFonts w:ascii="Arial" w:hAnsi="Arial" w:cs="Arial"/>
        </w:rPr>
        <w:t>ractitioner reduces sickness absence and improves workability by enabling constructive dialogue between employee, healthcare practitioners</w:t>
      </w:r>
      <w:r>
        <w:rPr>
          <w:rFonts w:ascii="Arial" w:hAnsi="Arial" w:cs="Arial"/>
        </w:rPr>
        <w:t>,</w:t>
      </w:r>
      <w:r w:rsidRPr="005A399C">
        <w:rPr>
          <w:rFonts w:ascii="Arial" w:hAnsi="Arial" w:cs="Arial"/>
        </w:rPr>
        <w:t xml:space="preserve"> and employer </w:t>
      </w:r>
      <w:r>
        <w:rPr>
          <w:rFonts w:ascii="Arial" w:hAnsi="Arial" w:cs="Arial"/>
        </w:rPr>
        <w:t>[52,63,70]</w:t>
      </w:r>
      <w:r w:rsidRPr="005A399C">
        <w:rPr>
          <w:rFonts w:ascii="Arial" w:hAnsi="Arial" w:cs="Arial"/>
        </w:rPr>
        <w:t xml:space="preserve">. IPS is a model of vocational rehabilitation which has a very strong evidence base for improving return to work rates for people with severe psychiatric conditions </w:t>
      </w:r>
      <w:r>
        <w:rPr>
          <w:rFonts w:ascii="Arial" w:hAnsi="Arial" w:cs="Arial"/>
        </w:rPr>
        <w:t>[11,19,26,27]</w:t>
      </w:r>
      <w:r w:rsidRPr="005A399C">
        <w:rPr>
          <w:rFonts w:ascii="Arial" w:hAnsi="Arial" w:cs="Arial"/>
        </w:rPr>
        <w:t xml:space="preserve">. Based upon a “place then train” model, prioritising a supported work placement, unemployment rates amongst people </w:t>
      </w:r>
      <w:r w:rsidRPr="005A399C">
        <w:rPr>
          <w:rFonts w:ascii="Arial" w:hAnsi="Arial" w:cs="Arial"/>
        </w:rPr>
        <w:lastRenderedPageBreak/>
        <w:t xml:space="preserve">with psychiatric illness reduced 90% to 60% </w:t>
      </w:r>
      <w:r>
        <w:rPr>
          <w:rFonts w:ascii="Arial" w:hAnsi="Arial" w:cs="Arial"/>
        </w:rPr>
        <w:t>[11]</w:t>
      </w:r>
      <w:r w:rsidRPr="005A399C">
        <w:rPr>
          <w:rFonts w:ascii="Arial" w:hAnsi="Arial" w:cs="Arial"/>
        </w:rPr>
        <w:t xml:space="preserve">. There is growing interest in using the same approach for people with other log-term conditions, notably chronic pain </w:t>
      </w:r>
      <w:r>
        <w:rPr>
          <w:rFonts w:ascii="Arial" w:hAnsi="Arial" w:cs="Arial"/>
        </w:rPr>
        <w:t>[36,47,58]</w:t>
      </w:r>
      <w:r w:rsidRPr="005A399C">
        <w:rPr>
          <w:rFonts w:ascii="Arial" w:hAnsi="Arial" w:cs="Arial"/>
        </w:rPr>
        <w:t>. Large UK pilots have been recently funded by the Department for Work and Pensions and Public Health England and their evaluation is due for publication soon.</w:t>
      </w:r>
      <w:r>
        <w:t xml:space="preserve"> </w:t>
      </w:r>
      <w:r w:rsidR="0098401A" w:rsidRPr="00750AB3">
        <w:rPr>
          <w:rFonts w:ascii="Arial" w:eastAsia="Arial" w:hAnsi="Arial" w:cs="Arial"/>
        </w:rPr>
        <w:t xml:space="preserve">Musculoskeletal pain is ubiquitous in the workplace. </w:t>
      </w:r>
      <w:r w:rsidR="00EA3A8C">
        <w:rPr>
          <w:rFonts w:ascii="Arial" w:eastAsia="Arial" w:hAnsi="Arial" w:cs="Arial"/>
        </w:rPr>
        <w:t>W</w:t>
      </w:r>
      <w:r w:rsidR="0098401A" w:rsidRPr="00750AB3">
        <w:rPr>
          <w:rFonts w:ascii="Arial" w:eastAsia="Arial" w:hAnsi="Arial" w:cs="Arial"/>
        </w:rPr>
        <w:t xml:space="preserve">hatever the cause, pain increases the psychological and physical burdens of work. Working </w:t>
      </w:r>
      <w:r w:rsidR="0098401A" w:rsidRPr="00750AB3">
        <w:rPr>
          <w:rFonts w:ascii="Arial" w:hAnsi="Arial" w:cs="Arial"/>
        </w:rPr>
        <w:t>with pain will be more challenging than working without pain.</w:t>
      </w:r>
    </w:p>
    <w:p w14:paraId="3F762BE6" w14:textId="42E2C301" w:rsidR="000420CC" w:rsidRPr="00750AB3" w:rsidRDefault="000420CC" w:rsidP="003B4AA9">
      <w:pPr>
        <w:spacing w:after="0" w:line="240" w:lineRule="auto"/>
        <w:rPr>
          <w:rFonts w:cstheme="minorHAnsi"/>
          <w:b/>
        </w:rPr>
      </w:pPr>
    </w:p>
    <w:p w14:paraId="54CEC857" w14:textId="77777777" w:rsidR="0009223F" w:rsidRPr="00750AB3" w:rsidRDefault="0009223F" w:rsidP="00B95A93">
      <w:pPr>
        <w:pStyle w:val="paragraph"/>
        <w:numPr>
          <w:ilvl w:val="0"/>
          <w:numId w:val="8"/>
        </w:numPr>
        <w:spacing w:before="0" w:beforeAutospacing="0" w:after="0" w:afterAutospacing="0"/>
        <w:jc w:val="both"/>
        <w:textAlignment w:val="baseline"/>
        <w:rPr>
          <w:rFonts w:ascii="Arial" w:hAnsi="Arial" w:cs="Arial"/>
          <w:b/>
          <w:sz w:val="22"/>
          <w:szCs w:val="22"/>
        </w:rPr>
      </w:pPr>
      <w:r w:rsidRPr="00750AB3">
        <w:rPr>
          <w:rFonts w:ascii="Arial" w:hAnsi="Arial" w:cs="Arial"/>
          <w:b/>
          <w:sz w:val="22"/>
          <w:szCs w:val="22"/>
        </w:rPr>
        <w:t xml:space="preserve">Disability prevention and early workplace intervention </w:t>
      </w:r>
    </w:p>
    <w:p w14:paraId="4A9507A2" w14:textId="28EF45CE" w:rsidR="00B3649B" w:rsidRPr="00750AB3" w:rsidRDefault="00B3649B" w:rsidP="00B95A93">
      <w:pPr>
        <w:spacing w:after="0" w:line="240" w:lineRule="auto"/>
        <w:jc w:val="both"/>
        <w:rPr>
          <w:rFonts w:ascii="Arial" w:hAnsi="Arial" w:cs="Arial"/>
          <w:lang w:val="en-US" w:bidi="en-US"/>
        </w:rPr>
      </w:pPr>
      <w:r w:rsidRPr="00750AB3">
        <w:rPr>
          <w:rFonts w:ascii="Arial" w:hAnsi="Arial" w:cs="Arial"/>
          <w:lang w:val="en-CA" w:bidi="en-US"/>
        </w:rPr>
        <w:t>Once symptoms of pain and disability become chronic, available methods of managing pain have only modest impac</w:t>
      </w:r>
      <w:r w:rsidR="002E075F" w:rsidRPr="00750AB3">
        <w:rPr>
          <w:rFonts w:ascii="Arial" w:hAnsi="Arial" w:cs="Arial"/>
          <w:lang w:val="en-CA" w:bidi="en-US"/>
        </w:rPr>
        <w:t>t on suffering and function [</w:t>
      </w:r>
      <w:r w:rsidR="00A312CC">
        <w:rPr>
          <w:rFonts w:ascii="Arial" w:hAnsi="Arial" w:cs="Arial"/>
          <w:lang w:val="en-CA" w:bidi="en-US"/>
        </w:rPr>
        <w:t>67</w:t>
      </w:r>
      <w:r w:rsidR="002E075F" w:rsidRPr="00750AB3">
        <w:rPr>
          <w:rFonts w:ascii="Arial" w:hAnsi="Arial" w:cs="Arial"/>
          <w:lang w:val="en-CA" w:bidi="en-US"/>
        </w:rPr>
        <w:t>]</w:t>
      </w:r>
      <w:r w:rsidRPr="00750AB3">
        <w:rPr>
          <w:rFonts w:ascii="Arial" w:hAnsi="Arial" w:cs="Arial"/>
          <w:lang w:val="en-CA" w:bidi="en-US"/>
        </w:rPr>
        <w:t xml:space="preserve">. Prominent clinical researchers have commented that current treatments for whiplash and traumatic musculoskeletal injury have not reduced the proportion of individuals who transition from acute to chronic pain </w:t>
      </w:r>
      <w:r w:rsidR="00644452">
        <w:rPr>
          <w:rFonts w:ascii="Arial" w:hAnsi="Arial" w:cs="Arial"/>
          <w:lang w:val="en-CA" w:bidi="en-US"/>
        </w:rPr>
        <w:t>[41, 42, 59, 60, 75]</w:t>
      </w:r>
      <w:r w:rsidRPr="00750AB3">
        <w:rPr>
          <w:rFonts w:ascii="Arial" w:hAnsi="Arial" w:cs="Arial"/>
          <w:lang w:val="en-CA" w:bidi="en-US"/>
        </w:rPr>
        <w:t>. As well, research shows that symptomatic treatment of pain does not necessarily yield reductions in work-disability</w:t>
      </w:r>
      <w:r w:rsidR="006216A6">
        <w:rPr>
          <w:rFonts w:ascii="Arial" w:hAnsi="Arial" w:cs="Arial"/>
          <w:lang w:val="en-CA" w:bidi="en-US"/>
        </w:rPr>
        <w:t xml:space="preserve"> [25</w:t>
      </w:r>
      <w:r w:rsidR="00644452">
        <w:rPr>
          <w:rFonts w:ascii="Arial" w:hAnsi="Arial" w:cs="Arial"/>
          <w:lang w:val="en-CA" w:bidi="en-US"/>
        </w:rPr>
        <w:t>]</w:t>
      </w:r>
      <w:r w:rsidRPr="00750AB3">
        <w:rPr>
          <w:rFonts w:ascii="Arial" w:hAnsi="Arial" w:cs="Arial"/>
          <w:lang w:val="en-CA" w:bidi="en-US"/>
        </w:rPr>
        <w:t>. There are indications that some symptomatic approaches to the treatment of pain, such as the prescription of opioids or cannabinoids, are more likely to extend rather than shorten the period of work-disability</w:t>
      </w:r>
      <w:r w:rsidR="00644452">
        <w:rPr>
          <w:rFonts w:ascii="Arial" w:hAnsi="Arial" w:cs="Arial"/>
          <w:lang w:val="en-CA" w:bidi="en-US"/>
        </w:rPr>
        <w:t xml:space="preserve"> [64,85]</w:t>
      </w:r>
      <w:r w:rsidRPr="00750AB3">
        <w:rPr>
          <w:rFonts w:ascii="Arial" w:hAnsi="Arial" w:cs="Arial"/>
          <w:lang w:val="en-CA" w:bidi="en-US"/>
        </w:rPr>
        <w:t>.</w:t>
      </w:r>
    </w:p>
    <w:p w14:paraId="5F9F0E22" w14:textId="342056BF" w:rsidR="0009223F" w:rsidRPr="00750AB3" w:rsidRDefault="0009223F" w:rsidP="00B95A93">
      <w:pPr>
        <w:spacing w:after="0" w:line="240" w:lineRule="auto"/>
        <w:jc w:val="both"/>
        <w:rPr>
          <w:rFonts w:ascii="Arial" w:hAnsi="Arial" w:cs="Arial"/>
          <w:lang w:bidi="en-US"/>
        </w:rPr>
      </w:pPr>
    </w:p>
    <w:p w14:paraId="73EE0E8F" w14:textId="6F0D55F8" w:rsidR="0009223F" w:rsidRPr="00750AB3" w:rsidRDefault="0009223F" w:rsidP="00B95A93">
      <w:pPr>
        <w:spacing w:after="0" w:line="240" w:lineRule="auto"/>
        <w:jc w:val="both"/>
        <w:rPr>
          <w:rFonts w:ascii="Arial" w:hAnsi="Arial" w:cs="Arial"/>
          <w:lang w:val="en-CA" w:bidi="en-US"/>
        </w:rPr>
      </w:pPr>
      <w:r w:rsidRPr="00750AB3">
        <w:rPr>
          <w:rFonts w:ascii="Arial" w:hAnsi="Arial" w:cs="Arial"/>
          <w:lang w:bidi="en-US"/>
        </w:rPr>
        <w:t>There is accumulating evidence that pain-related psychological variables such as recovery expectancies</w:t>
      </w:r>
      <w:r w:rsidR="0048420E" w:rsidRPr="00750AB3">
        <w:rPr>
          <w:rFonts w:ascii="Arial" w:hAnsi="Arial" w:cs="Arial"/>
          <w:lang w:bidi="en-US"/>
        </w:rPr>
        <w:t xml:space="preserve"> [</w:t>
      </w:r>
      <w:r w:rsidR="00FD205A" w:rsidRPr="00750AB3">
        <w:rPr>
          <w:rFonts w:ascii="Arial" w:hAnsi="Arial" w:cs="Arial"/>
          <w:lang w:bidi="en-US"/>
        </w:rPr>
        <w:t>1</w:t>
      </w:r>
      <w:r w:rsidR="00644452">
        <w:rPr>
          <w:rFonts w:ascii="Arial" w:hAnsi="Arial" w:cs="Arial"/>
          <w:lang w:bidi="en-US"/>
        </w:rPr>
        <w:t>3</w:t>
      </w:r>
      <w:r w:rsidR="00FD205A" w:rsidRPr="00750AB3">
        <w:rPr>
          <w:rFonts w:ascii="Arial" w:hAnsi="Arial" w:cs="Arial"/>
          <w:lang w:bidi="en-US"/>
        </w:rPr>
        <w:t>,1</w:t>
      </w:r>
      <w:r w:rsidR="00644452">
        <w:rPr>
          <w:rFonts w:ascii="Arial" w:hAnsi="Arial" w:cs="Arial"/>
          <w:lang w:bidi="en-US"/>
        </w:rPr>
        <w:t>5</w:t>
      </w:r>
      <w:r w:rsidR="00FD205A" w:rsidRPr="00750AB3">
        <w:rPr>
          <w:rFonts w:ascii="Arial" w:hAnsi="Arial" w:cs="Arial"/>
          <w:lang w:bidi="en-US"/>
        </w:rPr>
        <w:t>], self-efficacy [2</w:t>
      </w:r>
      <w:r w:rsidR="00644452">
        <w:rPr>
          <w:rFonts w:ascii="Arial" w:hAnsi="Arial" w:cs="Arial"/>
          <w:lang w:bidi="en-US"/>
        </w:rPr>
        <w:t>8</w:t>
      </w:r>
      <w:r w:rsidR="00FD205A" w:rsidRPr="00750AB3">
        <w:rPr>
          <w:rFonts w:ascii="Arial" w:hAnsi="Arial" w:cs="Arial"/>
          <w:lang w:bidi="en-US"/>
        </w:rPr>
        <w:t>,</w:t>
      </w:r>
      <w:r w:rsidR="00644452">
        <w:rPr>
          <w:rFonts w:ascii="Arial" w:hAnsi="Arial" w:cs="Arial"/>
          <w:lang w:bidi="en-US"/>
        </w:rPr>
        <w:t>82</w:t>
      </w:r>
      <w:r w:rsidR="00FD205A" w:rsidRPr="00750AB3">
        <w:rPr>
          <w:rFonts w:ascii="Arial" w:hAnsi="Arial" w:cs="Arial"/>
          <w:lang w:bidi="en-US"/>
        </w:rPr>
        <w:t>], pain catastrophizing [1</w:t>
      </w:r>
      <w:r w:rsidR="00644452">
        <w:rPr>
          <w:rFonts w:ascii="Arial" w:hAnsi="Arial" w:cs="Arial"/>
          <w:lang w:bidi="en-US"/>
        </w:rPr>
        <w:t>5</w:t>
      </w:r>
      <w:r w:rsidR="00FD205A" w:rsidRPr="00750AB3">
        <w:rPr>
          <w:rFonts w:ascii="Arial" w:hAnsi="Arial" w:cs="Arial"/>
          <w:lang w:bidi="en-US"/>
        </w:rPr>
        <w:t>,</w:t>
      </w:r>
      <w:r w:rsidR="00644452">
        <w:rPr>
          <w:rFonts w:ascii="Arial" w:hAnsi="Arial" w:cs="Arial"/>
          <w:lang w:bidi="en-US"/>
        </w:rPr>
        <w:t>79</w:t>
      </w:r>
      <w:r w:rsidR="00FD205A" w:rsidRPr="00750AB3">
        <w:rPr>
          <w:rFonts w:ascii="Arial" w:hAnsi="Arial" w:cs="Arial"/>
          <w:lang w:bidi="en-US"/>
        </w:rPr>
        <w:t>], perceived injustice</w:t>
      </w:r>
      <w:r w:rsidR="00674B25" w:rsidRPr="00750AB3">
        <w:rPr>
          <w:rFonts w:ascii="Arial" w:hAnsi="Arial" w:cs="Arial"/>
          <w:lang w:bidi="en-US"/>
        </w:rPr>
        <w:t xml:space="preserve">, </w:t>
      </w:r>
      <w:r w:rsidR="00FD205A" w:rsidRPr="00750AB3">
        <w:rPr>
          <w:rFonts w:ascii="Arial" w:hAnsi="Arial" w:cs="Arial"/>
          <w:lang w:bidi="en-US"/>
        </w:rPr>
        <w:t>[1</w:t>
      </w:r>
      <w:r w:rsidR="00644452">
        <w:rPr>
          <w:rFonts w:ascii="Arial" w:hAnsi="Arial" w:cs="Arial"/>
          <w:lang w:bidi="en-US"/>
        </w:rPr>
        <w:t>4</w:t>
      </w:r>
      <w:r w:rsidR="00FD205A" w:rsidRPr="00750AB3">
        <w:rPr>
          <w:rFonts w:ascii="Arial" w:hAnsi="Arial" w:cs="Arial"/>
          <w:lang w:bidi="en-US"/>
        </w:rPr>
        <w:t>,</w:t>
      </w:r>
      <w:r w:rsidR="00644452">
        <w:rPr>
          <w:rFonts w:ascii="Arial" w:hAnsi="Arial" w:cs="Arial"/>
          <w:lang w:bidi="en-US"/>
        </w:rPr>
        <w:t>77</w:t>
      </w:r>
      <w:r w:rsidR="00FD205A" w:rsidRPr="00750AB3">
        <w:rPr>
          <w:rFonts w:ascii="Arial" w:hAnsi="Arial" w:cs="Arial"/>
          <w:lang w:bidi="en-US"/>
        </w:rPr>
        <w:t>] and fear-avoidance beliefs [</w:t>
      </w:r>
      <w:r w:rsidR="00B6339F">
        <w:rPr>
          <w:rFonts w:ascii="Arial" w:hAnsi="Arial" w:cs="Arial"/>
          <w:lang w:bidi="en-US"/>
        </w:rPr>
        <w:t>81</w:t>
      </w:r>
      <w:r w:rsidR="00FD205A" w:rsidRPr="00750AB3">
        <w:rPr>
          <w:rFonts w:ascii="Arial" w:hAnsi="Arial" w:cs="Arial"/>
          <w:lang w:bidi="en-US"/>
        </w:rPr>
        <w:t xml:space="preserve">] </w:t>
      </w:r>
      <w:r w:rsidRPr="00750AB3">
        <w:rPr>
          <w:rFonts w:ascii="Arial" w:hAnsi="Arial" w:cs="Arial"/>
          <w:lang w:bidi="en-US"/>
        </w:rPr>
        <w:t xml:space="preserve">play a significant role as determinants of work-disability in individuals with musculoskeletal </w:t>
      </w:r>
      <w:r w:rsidR="000B4AB4" w:rsidRPr="00750AB3">
        <w:rPr>
          <w:rFonts w:ascii="Arial" w:hAnsi="Arial" w:cs="Arial"/>
          <w:lang w:bidi="en-US"/>
        </w:rPr>
        <w:t>pain</w:t>
      </w:r>
      <w:r w:rsidRPr="00750AB3">
        <w:rPr>
          <w:rFonts w:ascii="Arial" w:hAnsi="Arial" w:cs="Arial"/>
          <w:lang w:bidi="en-US"/>
        </w:rPr>
        <w:t>. Mental health problems such as depression</w:t>
      </w:r>
      <w:r w:rsidR="00FD205A" w:rsidRPr="00750AB3">
        <w:rPr>
          <w:rFonts w:ascii="Arial" w:hAnsi="Arial" w:cs="Arial"/>
          <w:lang w:bidi="en-US"/>
        </w:rPr>
        <w:t xml:space="preserve"> [</w:t>
      </w:r>
      <w:r w:rsidR="00644452">
        <w:rPr>
          <w:rFonts w:ascii="Arial" w:hAnsi="Arial" w:cs="Arial"/>
          <w:lang w:bidi="en-US"/>
        </w:rPr>
        <w:t>43</w:t>
      </w:r>
      <w:r w:rsidR="00FD205A" w:rsidRPr="00750AB3">
        <w:rPr>
          <w:rFonts w:ascii="Arial" w:hAnsi="Arial" w:cs="Arial"/>
          <w:lang w:bidi="en-US"/>
        </w:rPr>
        <w:t>,</w:t>
      </w:r>
      <w:r w:rsidR="00644452">
        <w:rPr>
          <w:rFonts w:ascii="Arial" w:hAnsi="Arial" w:cs="Arial"/>
          <w:lang w:bidi="en-US"/>
        </w:rPr>
        <w:t>78</w:t>
      </w:r>
      <w:r w:rsidR="00FD205A" w:rsidRPr="00750AB3">
        <w:rPr>
          <w:rFonts w:ascii="Arial" w:hAnsi="Arial" w:cs="Arial"/>
          <w:lang w:bidi="en-US"/>
        </w:rPr>
        <w:t>] and PTSD [</w:t>
      </w:r>
      <w:r w:rsidR="003C29E7">
        <w:rPr>
          <w:rFonts w:ascii="Arial" w:hAnsi="Arial" w:cs="Arial"/>
          <w:lang w:bidi="en-US"/>
        </w:rPr>
        <w:t>76</w:t>
      </w:r>
      <w:r w:rsidR="00FD205A" w:rsidRPr="00750AB3">
        <w:rPr>
          <w:rFonts w:ascii="Arial" w:hAnsi="Arial" w:cs="Arial"/>
          <w:lang w:bidi="en-US"/>
        </w:rPr>
        <w:t xml:space="preserve">] </w:t>
      </w:r>
      <w:r w:rsidRPr="00750AB3">
        <w:rPr>
          <w:rFonts w:ascii="Arial" w:hAnsi="Arial" w:cs="Arial"/>
          <w:lang w:bidi="en-US"/>
        </w:rPr>
        <w:t xml:space="preserve">have also been shown to contribute to prolonged work disability in individuals with musculoskeletal </w:t>
      </w:r>
      <w:r w:rsidR="000B4AB4" w:rsidRPr="00750AB3">
        <w:rPr>
          <w:rFonts w:ascii="Arial" w:hAnsi="Arial" w:cs="Arial"/>
          <w:lang w:bidi="en-US"/>
        </w:rPr>
        <w:t>pain</w:t>
      </w:r>
      <w:r w:rsidRPr="00750AB3">
        <w:rPr>
          <w:rFonts w:ascii="Arial" w:hAnsi="Arial" w:cs="Arial"/>
          <w:lang w:bidi="en-US"/>
        </w:rPr>
        <w:t xml:space="preserve">. The robustness of these findings makes a strong case for recommending assessment of pain-related psychological variables, depression and PTSD when planning treatment for individuals with musculoskeletal </w:t>
      </w:r>
      <w:r w:rsidR="00383952" w:rsidRPr="00750AB3">
        <w:rPr>
          <w:rFonts w:ascii="Arial" w:hAnsi="Arial" w:cs="Arial"/>
          <w:lang w:bidi="en-US"/>
        </w:rPr>
        <w:t>pain</w:t>
      </w:r>
      <w:r w:rsidRPr="00750AB3">
        <w:rPr>
          <w:rFonts w:ascii="Arial" w:hAnsi="Arial" w:cs="Arial"/>
          <w:lang w:bidi="en-US"/>
        </w:rPr>
        <w:t xml:space="preserve">. Indeed, </w:t>
      </w:r>
      <w:r w:rsidRPr="00750AB3">
        <w:rPr>
          <w:rFonts w:ascii="Arial" w:hAnsi="Arial" w:cs="Arial"/>
          <w:lang w:val="en-CA" w:bidi="en-US"/>
        </w:rPr>
        <w:t>the results of several investigations have revealed that treatment-related reductions in pain-related psychological variables are prospectively associated with reductions in pain severity, emotional distress</w:t>
      </w:r>
      <w:r w:rsidR="00674B25" w:rsidRPr="00750AB3">
        <w:rPr>
          <w:rFonts w:ascii="Arial" w:hAnsi="Arial" w:cs="Arial"/>
          <w:lang w:val="en-CA" w:bidi="en-US"/>
        </w:rPr>
        <w:t>,</w:t>
      </w:r>
      <w:r w:rsidRPr="00750AB3">
        <w:rPr>
          <w:rFonts w:ascii="Arial" w:hAnsi="Arial" w:cs="Arial"/>
          <w:lang w:val="en-CA" w:bidi="en-US"/>
        </w:rPr>
        <w:t xml:space="preserve"> and work-disability</w:t>
      </w:r>
      <w:r w:rsidR="00FD205A" w:rsidRPr="00750AB3">
        <w:rPr>
          <w:rFonts w:ascii="Arial" w:hAnsi="Arial" w:cs="Arial"/>
          <w:lang w:val="en-CA" w:bidi="en-US"/>
        </w:rPr>
        <w:t xml:space="preserve"> </w:t>
      </w:r>
      <w:r w:rsidR="00644452">
        <w:rPr>
          <w:rFonts w:ascii="Arial" w:hAnsi="Arial" w:cs="Arial"/>
          <w:lang w:val="en-CA" w:bidi="en-US"/>
        </w:rPr>
        <w:t>[39,51,61,68,72,73,83]</w:t>
      </w:r>
      <w:r w:rsidRPr="00750AB3">
        <w:rPr>
          <w:rFonts w:ascii="Arial" w:hAnsi="Arial" w:cs="Arial"/>
          <w:lang w:val="en-CA" w:bidi="en-US"/>
        </w:rPr>
        <w:t>. The results of these and other studies have provided evidence that reductions in pain-related psychological factors are stronger predictors of</w:t>
      </w:r>
      <w:r w:rsidRPr="00750AB3">
        <w:rPr>
          <w:rFonts w:ascii="Arial" w:hAnsi="Arial" w:cs="Arial"/>
          <w:lang w:bidi="en-US"/>
        </w:rPr>
        <w:t xml:space="preserve"> successful return to work than reductions in pain severity. Additionally, the role of workplace system factors is important. There is strong evidence that duration away from work for musculoskeletal or pain-related conditions can be significantly reduced by multi-domain workplace-based return-to-work and disability management interventions that include at least two out of the three domains of healthcare provision, service co-ordination</w:t>
      </w:r>
      <w:r w:rsidR="00674B25" w:rsidRPr="00750AB3">
        <w:rPr>
          <w:rFonts w:ascii="Arial" w:hAnsi="Arial" w:cs="Arial"/>
          <w:lang w:bidi="en-US"/>
        </w:rPr>
        <w:t>,</w:t>
      </w:r>
      <w:r w:rsidRPr="00750AB3">
        <w:rPr>
          <w:rFonts w:ascii="Arial" w:hAnsi="Arial" w:cs="Arial"/>
          <w:lang w:bidi="en-US"/>
        </w:rPr>
        <w:t xml:space="preserve"> and work accommodation</w:t>
      </w:r>
      <w:r w:rsidR="008725BF" w:rsidRPr="00750AB3">
        <w:rPr>
          <w:rFonts w:ascii="Arial" w:hAnsi="Arial" w:cs="Arial"/>
          <w:lang w:bidi="en-US"/>
        </w:rPr>
        <w:t xml:space="preserve"> [</w:t>
      </w:r>
      <w:r w:rsidR="00644452">
        <w:rPr>
          <w:rFonts w:ascii="Arial" w:hAnsi="Arial" w:cs="Arial"/>
          <w:lang w:bidi="en-US"/>
        </w:rPr>
        <w:t>20</w:t>
      </w:r>
      <w:r w:rsidR="008725BF" w:rsidRPr="00750AB3">
        <w:rPr>
          <w:rFonts w:ascii="Arial" w:hAnsi="Arial" w:cs="Arial"/>
          <w:lang w:bidi="en-US"/>
        </w:rPr>
        <w:t>].</w:t>
      </w:r>
    </w:p>
    <w:p w14:paraId="0EB1667C" w14:textId="77777777" w:rsidR="0009223F" w:rsidRPr="00750AB3" w:rsidRDefault="0009223F" w:rsidP="00B95A93">
      <w:pPr>
        <w:spacing w:after="0" w:line="240" w:lineRule="auto"/>
        <w:jc w:val="both"/>
        <w:rPr>
          <w:rFonts w:ascii="Arial" w:hAnsi="Arial" w:cs="Arial"/>
          <w:lang w:bidi="en-US"/>
        </w:rPr>
      </w:pPr>
    </w:p>
    <w:p w14:paraId="46B55121" w14:textId="278BEC63" w:rsidR="0009223F" w:rsidRPr="00750AB3" w:rsidRDefault="0009223F" w:rsidP="00B95A93">
      <w:pPr>
        <w:spacing w:after="0" w:line="240" w:lineRule="auto"/>
        <w:jc w:val="both"/>
        <w:rPr>
          <w:rFonts w:ascii="Arial" w:hAnsi="Arial" w:cs="Arial"/>
          <w:lang w:bidi="en-US"/>
        </w:rPr>
      </w:pPr>
      <w:r w:rsidRPr="00750AB3">
        <w:rPr>
          <w:rFonts w:ascii="Arial" w:hAnsi="Arial" w:cs="Arial"/>
          <w:lang w:bidi="en-US"/>
        </w:rPr>
        <w:t>There are still important knowledge gaps that need to be addressed. First, it is not clear that all pain-related psychological variables contribute ‘unique’ variance to the prediction of work-disability. Available research suggests significant variance overlap among these variables. Identification of the key psychological variables</w:t>
      </w:r>
      <w:r w:rsidR="00F70992" w:rsidRPr="00750AB3">
        <w:rPr>
          <w:rFonts w:ascii="Arial" w:hAnsi="Arial" w:cs="Arial"/>
          <w:lang w:bidi="en-US"/>
        </w:rPr>
        <w:t xml:space="preserve">, and combinations of them, </w:t>
      </w:r>
      <w:r w:rsidRPr="00750AB3">
        <w:rPr>
          <w:rFonts w:ascii="Arial" w:hAnsi="Arial" w:cs="Arial"/>
          <w:lang w:bidi="en-US"/>
        </w:rPr>
        <w:t xml:space="preserve">impacting on </w:t>
      </w:r>
      <w:r w:rsidR="00674B25" w:rsidRPr="00750AB3">
        <w:rPr>
          <w:rFonts w:ascii="Arial" w:hAnsi="Arial" w:cs="Arial"/>
          <w:lang w:bidi="en-US"/>
        </w:rPr>
        <w:t>return-to-</w:t>
      </w:r>
      <w:r w:rsidRPr="00750AB3">
        <w:rPr>
          <w:rFonts w:ascii="Arial" w:hAnsi="Arial" w:cs="Arial"/>
          <w:lang w:bidi="en-US"/>
        </w:rPr>
        <w:t>work outcomes would permit stre</w:t>
      </w:r>
      <w:r w:rsidR="009D2675" w:rsidRPr="00750AB3">
        <w:rPr>
          <w:rFonts w:ascii="Arial" w:hAnsi="Arial" w:cs="Arial"/>
          <w:lang w:bidi="en-US"/>
        </w:rPr>
        <w:t>amlining assessment protocols which</w:t>
      </w:r>
      <w:r w:rsidRPr="00750AB3">
        <w:rPr>
          <w:rFonts w:ascii="Arial" w:hAnsi="Arial" w:cs="Arial"/>
          <w:lang w:bidi="en-US"/>
        </w:rPr>
        <w:t xml:space="preserve"> focus on variables with th</w:t>
      </w:r>
      <w:r w:rsidR="00A622D7">
        <w:rPr>
          <w:rFonts w:ascii="Arial" w:hAnsi="Arial" w:cs="Arial"/>
          <w:lang w:bidi="en-US"/>
        </w:rPr>
        <w:t>e highest predictive values. A</w:t>
      </w:r>
      <w:r w:rsidRPr="00750AB3">
        <w:rPr>
          <w:rFonts w:ascii="Arial" w:hAnsi="Arial" w:cs="Arial"/>
          <w:lang w:bidi="en-US"/>
        </w:rPr>
        <w:t>ddition</w:t>
      </w:r>
      <w:r w:rsidR="00A622D7">
        <w:rPr>
          <w:rFonts w:ascii="Arial" w:hAnsi="Arial" w:cs="Arial"/>
          <w:lang w:bidi="en-US"/>
        </w:rPr>
        <w:t>ally</w:t>
      </w:r>
      <w:r w:rsidRPr="00750AB3">
        <w:rPr>
          <w:rFonts w:ascii="Arial" w:hAnsi="Arial" w:cs="Arial"/>
          <w:lang w:bidi="en-US"/>
        </w:rPr>
        <w:t>, research examining the relative importance of different pain-related ps</w:t>
      </w:r>
      <w:r w:rsidR="00A622D7">
        <w:rPr>
          <w:rFonts w:ascii="Arial" w:hAnsi="Arial" w:cs="Arial"/>
          <w:lang w:bidi="en-US"/>
        </w:rPr>
        <w:t>ychological variables might</w:t>
      </w:r>
      <w:r w:rsidRPr="00750AB3">
        <w:rPr>
          <w:rFonts w:ascii="Arial" w:hAnsi="Arial" w:cs="Arial"/>
          <w:lang w:bidi="en-US"/>
        </w:rPr>
        <w:t xml:space="preserve"> help identify key targets for psychosocial interventions. </w:t>
      </w:r>
    </w:p>
    <w:p w14:paraId="4245F5AD" w14:textId="77777777" w:rsidR="00D17CAA" w:rsidRPr="00750AB3" w:rsidRDefault="00D17CAA" w:rsidP="00B95A93">
      <w:pPr>
        <w:spacing w:after="0" w:line="240" w:lineRule="auto"/>
        <w:rPr>
          <w:rFonts w:cstheme="minorHAnsi"/>
          <w:b/>
          <w:bCs/>
        </w:rPr>
      </w:pPr>
    </w:p>
    <w:p w14:paraId="1FB3DB44" w14:textId="472FFDB8" w:rsidR="005F1BBB" w:rsidRPr="00750AB3" w:rsidRDefault="005F1BBB" w:rsidP="00B95A93">
      <w:pPr>
        <w:pStyle w:val="NoSpacing"/>
        <w:numPr>
          <w:ilvl w:val="0"/>
          <w:numId w:val="8"/>
        </w:numPr>
        <w:jc w:val="both"/>
        <w:rPr>
          <w:rFonts w:cstheme="minorHAnsi"/>
          <w:b/>
        </w:rPr>
      </w:pPr>
      <w:r w:rsidRPr="00750AB3">
        <w:rPr>
          <w:rFonts w:cstheme="minorHAnsi"/>
          <w:b/>
        </w:rPr>
        <w:t>Policy Perspectives</w:t>
      </w:r>
    </w:p>
    <w:p w14:paraId="07765492" w14:textId="62CC79FE" w:rsidR="006403FF" w:rsidRPr="00750AB3" w:rsidRDefault="00370C9D" w:rsidP="00B95A93">
      <w:pPr>
        <w:pStyle w:val="NoSpacing"/>
        <w:jc w:val="both"/>
        <w:rPr>
          <w:rFonts w:cstheme="minorHAnsi"/>
        </w:rPr>
      </w:pPr>
      <w:r w:rsidRPr="00750AB3">
        <w:rPr>
          <w:rFonts w:cstheme="minorHAnsi"/>
        </w:rPr>
        <w:t>In many countries those responsible for policy initiative</w:t>
      </w:r>
      <w:r w:rsidR="00B668CA" w:rsidRPr="00750AB3">
        <w:rPr>
          <w:rFonts w:cstheme="minorHAnsi"/>
        </w:rPr>
        <w:t>s</w:t>
      </w:r>
      <w:r w:rsidRPr="00750AB3">
        <w:rPr>
          <w:rFonts w:cstheme="minorHAnsi"/>
        </w:rPr>
        <w:t>, development and deployment are at a remove from the individual, the occupational health setting, or even from the public health perspective</w:t>
      </w:r>
      <w:r w:rsidR="00B668CA" w:rsidRPr="00750AB3">
        <w:rPr>
          <w:rFonts w:cstheme="minorHAnsi"/>
        </w:rPr>
        <w:t>;</w:t>
      </w:r>
      <w:r w:rsidR="00435E71" w:rsidRPr="00750AB3">
        <w:rPr>
          <w:rFonts w:cstheme="minorHAnsi"/>
        </w:rPr>
        <w:t xml:space="preserve"> their role is to influence macro-economic changes</w:t>
      </w:r>
      <w:r w:rsidRPr="00750AB3">
        <w:rPr>
          <w:rFonts w:cstheme="minorHAnsi"/>
        </w:rPr>
        <w:t xml:space="preserve">. Policy for workplace health sits often uncomfortably between traditional responsibilities: health, economic development, and social security (where available). </w:t>
      </w:r>
      <w:r w:rsidR="00B668CA" w:rsidRPr="00750AB3">
        <w:rPr>
          <w:rFonts w:cstheme="minorHAnsi"/>
        </w:rPr>
        <w:t>In t</w:t>
      </w:r>
      <w:r w:rsidR="00B85A95" w:rsidRPr="00750AB3">
        <w:rPr>
          <w:rFonts w:cstheme="minorHAnsi"/>
        </w:rPr>
        <w:t xml:space="preserve">he UK, </w:t>
      </w:r>
      <w:r w:rsidRPr="00750AB3">
        <w:rPr>
          <w:rFonts w:cstheme="minorHAnsi"/>
        </w:rPr>
        <w:t xml:space="preserve">policy on workplace health, including pain, is </w:t>
      </w:r>
      <w:r w:rsidR="00435E71" w:rsidRPr="00750AB3">
        <w:rPr>
          <w:rFonts w:cstheme="minorHAnsi"/>
        </w:rPr>
        <w:t xml:space="preserve">made at the </w:t>
      </w:r>
      <w:r w:rsidR="007D391E" w:rsidRPr="00750AB3">
        <w:rPr>
          <w:rFonts w:cstheme="minorHAnsi"/>
        </w:rPr>
        <w:t>G</w:t>
      </w:r>
      <w:r w:rsidR="00B85A95" w:rsidRPr="00750AB3">
        <w:rPr>
          <w:rFonts w:cstheme="minorHAnsi"/>
        </w:rPr>
        <w:t>overnment D</w:t>
      </w:r>
      <w:r w:rsidR="00435E71" w:rsidRPr="00750AB3">
        <w:rPr>
          <w:rFonts w:cstheme="minorHAnsi"/>
        </w:rPr>
        <w:t xml:space="preserve">epartment for </w:t>
      </w:r>
      <w:r w:rsidR="007D391E" w:rsidRPr="00750AB3">
        <w:rPr>
          <w:rFonts w:cstheme="minorHAnsi"/>
        </w:rPr>
        <w:t>W</w:t>
      </w:r>
      <w:r w:rsidR="00435E71" w:rsidRPr="00750AB3">
        <w:rPr>
          <w:rFonts w:cstheme="minorHAnsi"/>
        </w:rPr>
        <w:t xml:space="preserve">ork and </w:t>
      </w:r>
      <w:r w:rsidR="007D391E" w:rsidRPr="00750AB3">
        <w:rPr>
          <w:rFonts w:cstheme="minorHAnsi"/>
        </w:rPr>
        <w:t>P</w:t>
      </w:r>
      <w:r w:rsidR="00435E71" w:rsidRPr="00750AB3">
        <w:rPr>
          <w:rFonts w:cstheme="minorHAnsi"/>
        </w:rPr>
        <w:t xml:space="preserve">ensions but in consultation with the </w:t>
      </w:r>
      <w:r w:rsidR="007D391E" w:rsidRPr="00750AB3">
        <w:rPr>
          <w:rFonts w:cstheme="minorHAnsi"/>
        </w:rPr>
        <w:t>D</w:t>
      </w:r>
      <w:r w:rsidR="00435E71" w:rsidRPr="00750AB3">
        <w:rPr>
          <w:rFonts w:cstheme="minorHAnsi"/>
        </w:rPr>
        <w:t xml:space="preserve">epartment for </w:t>
      </w:r>
      <w:r w:rsidR="007D391E" w:rsidRPr="00750AB3">
        <w:rPr>
          <w:rFonts w:cstheme="minorHAnsi"/>
        </w:rPr>
        <w:t>H</w:t>
      </w:r>
      <w:r w:rsidR="00435E71" w:rsidRPr="00750AB3">
        <w:rPr>
          <w:rFonts w:cstheme="minorHAnsi"/>
        </w:rPr>
        <w:t xml:space="preserve">ealth and </w:t>
      </w:r>
      <w:r w:rsidR="007D391E" w:rsidRPr="00750AB3">
        <w:rPr>
          <w:rFonts w:cstheme="minorHAnsi"/>
        </w:rPr>
        <w:t>S</w:t>
      </w:r>
      <w:r w:rsidR="00435E71" w:rsidRPr="00750AB3">
        <w:rPr>
          <w:rFonts w:cstheme="minorHAnsi"/>
        </w:rPr>
        <w:t xml:space="preserve">ocial </w:t>
      </w:r>
      <w:r w:rsidR="007D391E" w:rsidRPr="00750AB3">
        <w:rPr>
          <w:rFonts w:cstheme="minorHAnsi"/>
        </w:rPr>
        <w:t>C</w:t>
      </w:r>
      <w:r w:rsidR="00435E71" w:rsidRPr="00750AB3">
        <w:rPr>
          <w:rFonts w:cstheme="minorHAnsi"/>
        </w:rPr>
        <w:t>are</w:t>
      </w:r>
      <w:r w:rsidR="00660FA8" w:rsidRPr="00750AB3">
        <w:rPr>
          <w:rFonts w:cstheme="minorHAnsi"/>
        </w:rPr>
        <w:t xml:space="preserve"> </w:t>
      </w:r>
      <w:r w:rsidR="001679B6" w:rsidRPr="00750AB3">
        <w:rPr>
          <w:rFonts w:cstheme="minorHAnsi"/>
        </w:rPr>
        <w:t>[</w:t>
      </w:r>
      <w:r w:rsidR="00BA7C1A">
        <w:rPr>
          <w:rFonts w:cstheme="minorHAnsi"/>
        </w:rPr>
        <w:t>22</w:t>
      </w:r>
      <w:r w:rsidR="001679B6" w:rsidRPr="00750AB3">
        <w:rPr>
          <w:rFonts w:cstheme="minorHAnsi"/>
        </w:rPr>
        <w:t>,2</w:t>
      </w:r>
      <w:r w:rsidR="00BA7C1A">
        <w:rPr>
          <w:rFonts w:cstheme="minorHAnsi"/>
        </w:rPr>
        <w:t>3</w:t>
      </w:r>
      <w:r w:rsidR="001679B6" w:rsidRPr="00750AB3">
        <w:rPr>
          <w:rFonts w:cstheme="minorHAnsi"/>
        </w:rPr>
        <w:t>,</w:t>
      </w:r>
      <w:r w:rsidR="00644452">
        <w:rPr>
          <w:rFonts w:cstheme="minorHAnsi"/>
        </w:rPr>
        <w:t>87</w:t>
      </w:r>
      <w:r w:rsidR="001679B6" w:rsidRPr="00750AB3">
        <w:rPr>
          <w:rFonts w:cstheme="minorHAnsi"/>
        </w:rPr>
        <w:t>].</w:t>
      </w:r>
      <w:r w:rsidR="00435E71" w:rsidRPr="00750AB3">
        <w:rPr>
          <w:rFonts w:cstheme="minorHAnsi"/>
        </w:rPr>
        <w:t xml:space="preserve"> </w:t>
      </w:r>
      <w:r w:rsidR="00B85A95" w:rsidRPr="00750AB3">
        <w:rPr>
          <w:rFonts w:cstheme="minorHAnsi"/>
        </w:rPr>
        <w:t>C</w:t>
      </w:r>
      <w:r w:rsidR="00196FD8" w:rsidRPr="00750AB3">
        <w:rPr>
          <w:rFonts w:cstheme="minorHAnsi"/>
        </w:rPr>
        <w:t>hanging</w:t>
      </w:r>
      <w:r w:rsidR="00435E71" w:rsidRPr="00750AB3">
        <w:rPr>
          <w:rFonts w:cstheme="minorHAnsi"/>
        </w:rPr>
        <w:t xml:space="preserve"> ill-health certification procedures </w:t>
      </w:r>
      <w:r w:rsidR="00196FD8" w:rsidRPr="00750AB3">
        <w:rPr>
          <w:rFonts w:cstheme="minorHAnsi"/>
        </w:rPr>
        <w:t>involving</w:t>
      </w:r>
      <w:r w:rsidR="00435E71" w:rsidRPr="00750AB3">
        <w:rPr>
          <w:rFonts w:cstheme="minorHAnsi"/>
        </w:rPr>
        <w:t xml:space="preserve"> primary care physicians </w:t>
      </w:r>
      <w:r w:rsidR="005A3271" w:rsidRPr="00750AB3">
        <w:rPr>
          <w:rFonts w:cstheme="minorHAnsi"/>
        </w:rPr>
        <w:t xml:space="preserve">affects </w:t>
      </w:r>
      <w:r w:rsidR="00A622D7">
        <w:rPr>
          <w:rFonts w:cstheme="minorHAnsi"/>
        </w:rPr>
        <w:t>more than the</w:t>
      </w:r>
      <w:r w:rsidR="00435E71" w:rsidRPr="00750AB3">
        <w:rPr>
          <w:rFonts w:cstheme="minorHAnsi"/>
        </w:rPr>
        <w:t xml:space="preserve"> nation</w:t>
      </w:r>
      <w:r w:rsidR="00A622D7">
        <w:rPr>
          <w:rFonts w:cstheme="minorHAnsi"/>
        </w:rPr>
        <w:t>’s health</w:t>
      </w:r>
      <w:r w:rsidR="001679B6" w:rsidRPr="00750AB3">
        <w:rPr>
          <w:rFonts w:cstheme="minorHAnsi"/>
        </w:rPr>
        <w:t xml:space="preserve"> [2</w:t>
      </w:r>
      <w:r w:rsidR="00BA7C1A">
        <w:rPr>
          <w:rFonts w:cstheme="minorHAnsi"/>
        </w:rPr>
        <w:t>4</w:t>
      </w:r>
      <w:r w:rsidR="001679B6" w:rsidRPr="00750AB3">
        <w:rPr>
          <w:rFonts w:cstheme="minorHAnsi"/>
        </w:rPr>
        <w:t>].</w:t>
      </w:r>
      <w:r w:rsidR="002A4146" w:rsidRPr="00750AB3">
        <w:rPr>
          <w:rFonts w:cstheme="minorHAnsi"/>
        </w:rPr>
        <w:t xml:space="preserve"> </w:t>
      </w:r>
      <w:r w:rsidR="00435E71" w:rsidRPr="00750AB3">
        <w:rPr>
          <w:rFonts w:cstheme="minorHAnsi"/>
        </w:rPr>
        <w:t>Similarly, when wage replacement measures for non-work due to disability change</w:t>
      </w:r>
      <w:r w:rsidR="00196FD8" w:rsidRPr="00750AB3">
        <w:rPr>
          <w:rFonts w:cstheme="minorHAnsi"/>
        </w:rPr>
        <w:t>,</w:t>
      </w:r>
      <w:r w:rsidR="00435E71" w:rsidRPr="00750AB3">
        <w:rPr>
          <w:rFonts w:cstheme="minorHAnsi"/>
        </w:rPr>
        <w:t xml:space="preserve"> </w:t>
      </w:r>
      <w:r w:rsidR="005A3271" w:rsidRPr="00750AB3">
        <w:rPr>
          <w:rFonts w:cstheme="minorHAnsi"/>
        </w:rPr>
        <w:t>the effect reaches f</w:t>
      </w:r>
      <w:r w:rsidR="00196FD8" w:rsidRPr="00750AB3">
        <w:rPr>
          <w:rFonts w:cstheme="minorHAnsi"/>
        </w:rPr>
        <w:t>urther</w:t>
      </w:r>
      <w:r w:rsidR="00A622D7">
        <w:rPr>
          <w:rFonts w:cstheme="minorHAnsi"/>
        </w:rPr>
        <w:t xml:space="preserve"> than</w:t>
      </w:r>
      <w:r w:rsidR="00B668CA" w:rsidRPr="00750AB3">
        <w:rPr>
          <w:rFonts w:cstheme="minorHAnsi"/>
        </w:rPr>
        <w:t xml:space="preserve"> </w:t>
      </w:r>
      <w:r w:rsidR="00435E71" w:rsidRPr="00750AB3">
        <w:rPr>
          <w:rFonts w:cstheme="minorHAnsi"/>
        </w:rPr>
        <w:t>annual budget</w:t>
      </w:r>
      <w:r w:rsidR="00A622D7">
        <w:rPr>
          <w:rFonts w:cstheme="minorHAnsi"/>
        </w:rPr>
        <w:t>s</w:t>
      </w:r>
      <w:r w:rsidR="001679B6" w:rsidRPr="00750AB3">
        <w:rPr>
          <w:rFonts w:cstheme="minorHAnsi"/>
        </w:rPr>
        <w:t xml:space="preserve"> [</w:t>
      </w:r>
      <w:r w:rsidR="00644452">
        <w:rPr>
          <w:rFonts w:cstheme="minorHAnsi"/>
        </w:rPr>
        <w:t>2</w:t>
      </w:r>
      <w:r w:rsidR="001679B6" w:rsidRPr="00750AB3">
        <w:rPr>
          <w:rFonts w:cstheme="minorHAnsi"/>
        </w:rPr>
        <w:t>,</w:t>
      </w:r>
      <w:r w:rsidR="00644452">
        <w:rPr>
          <w:rFonts w:cstheme="minorHAnsi"/>
        </w:rPr>
        <w:t>62</w:t>
      </w:r>
      <w:r w:rsidR="001679B6" w:rsidRPr="00750AB3">
        <w:rPr>
          <w:rFonts w:cstheme="minorHAnsi"/>
        </w:rPr>
        <w:t>].</w:t>
      </w:r>
    </w:p>
    <w:p w14:paraId="61AE3142" w14:textId="77777777" w:rsidR="006403FF" w:rsidRPr="00750AB3" w:rsidRDefault="006403FF" w:rsidP="00B95A93">
      <w:pPr>
        <w:pStyle w:val="NoSpacing"/>
        <w:jc w:val="both"/>
        <w:rPr>
          <w:rFonts w:cstheme="minorHAnsi"/>
        </w:rPr>
      </w:pPr>
    </w:p>
    <w:p w14:paraId="6F33AC1F" w14:textId="3D92911A" w:rsidR="005F1BBB" w:rsidRPr="00750AB3" w:rsidRDefault="006403FF" w:rsidP="00B95A93">
      <w:pPr>
        <w:pStyle w:val="NoSpacing"/>
        <w:jc w:val="both"/>
        <w:rPr>
          <w:rFonts w:cstheme="minorHAnsi"/>
        </w:rPr>
      </w:pPr>
      <w:r w:rsidRPr="00750AB3">
        <w:rPr>
          <w:rFonts w:cstheme="minorHAnsi"/>
        </w:rPr>
        <w:t>With increasing pr</w:t>
      </w:r>
      <w:r w:rsidR="00B85A95" w:rsidRPr="00750AB3">
        <w:rPr>
          <w:rFonts w:cstheme="minorHAnsi"/>
        </w:rPr>
        <w:t>evalence of pain in the working-</w:t>
      </w:r>
      <w:r w:rsidRPr="00750AB3">
        <w:rPr>
          <w:rFonts w:cstheme="minorHAnsi"/>
        </w:rPr>
        <w:t xml:space="preserve">age population, </w:t>
      </w:r>
      <w:r w:rsidR="00A36F73" w:rsidRPr="00750AB3">
        <w:rPr>
          <w:rFonts w:cstheme="minorHAnsi"/>
        </w:rPr>
        <w:t>and the number of workers – 16% of men and 13% of women – who leave the labour market prematurely because of pain and pain-related conditions</w:t>
      </w:r>
      <w:r w:rsidR="001679B6" w:rsidRPr="00750AB3">
        <w:rPr>
          <w:rFonts w:cstheme="minorHAnsi"/>
        </w:rPr>
        <w:t xml:space="preserve"> [</w:t>
      </w:r>
      <w:r w:rsidR="00644452">
        <w:rPr>
          <w:rFonts w:cstheme="minorHAnsi"/>
        </w:rPr>
        <w:t>54</w:t>
      </w:r>
      <w:r w:rsidR="001679B6" w:rsidRPr="00750AB3">
        <w:rPr>
          <w:rFonts w:cstheme="minorHAnsi"/>
        </w:rPr>
        <w:t xml:space="preserve">], </w:t>
      </w:r>
      <w:r w:rsidRPr="00750AB3">
        <w:rPr>
          <w:rFonts w:cstheme="minorHAnsi"/>
        </w:rPr>
        <w:t>policy-makers should have a keen interest in trying to redu</w:t>
      </w:r>
      <w:r w:rsidR="00A36F73" w:rsidRPr="00750AB3">
        <w:rPr>
          <w:rFonts w:cstheme="minorHAnsi"/>
        </w:rPr>
        <w:t xml:space="preserve">ce its impact on the workforce. </w:t>
      </w:r>
      <w:r w:rsidR="005F1BBB" w:rsidRPr="00750AB3">
        <w:rPr>
          <w:rFonts w:cstheme="minorHAnsi"/>
        </w:rPr>
        <w:t>Employment policy might prioritise support for job retention, workplace adjustments</w:t>
      </w:r>
      <w:r w:rsidR="00C61AB8">
        <w:rPr>
          <w:rFonts w:cstheme="minorHAnsi"/>
        </w:rPr>
        <w:t>,</w:t>
      </w:r>
      <w:r w:rsidR="005F1BBB" w:rsidRPr="00750AB3">
        <w:rPr>
          <w:rFonts w:cstheme="minorHAnsi"/>
        </w:rPr>
        <w:t xml:space="preserve"> and vocational </w:t>
      </w:r>
      <w:r w:rsidR="00C31808" w:rsidRPr="00750AB3">
        <w:rPr>
          <w:rFonts w:cstheme="minorHAnsi"/>
        </w:rPr>
        <w:t>rehabilitation</w:t>
      </w:r>
      <w:r w:rsidR="005F1BBB" w:rsidRPr="00750AB3">
        <w:rPr>
          <w:rFonts w:cstheme="minorHAnsi"/>
        </w:rPr>
        <w:t xml:space="preserve">. Welfare policy might incentivise </w:t>
      </w:r>
      <w:r w:rsidR="002C6933" w:rsidRPr="00750AB3">
        <w:t>phased return to work alongside part-time sick leave</w:t>
      </w:r>
      <w:r w:rsidR="002C6933" w:rsidRPr="00750AB3">
        <w:rPr>
          <w:rFonts w:cstheme="minorHAnsi"/>
        </w:rPr>
        <w:t xml:space="preserve">. </w:t>
      </w:r>
      <w:r w:rsidR="005F1BBB" w:rsidRPr="00750AB3">
        <w:rPr>
          <w:rFonts w:cstheme="minorHAnsi"/>
        </w:rPr>
        <w:t>Health policy might prioritise work as a clinical outcome of care, referral and commissioning, recognising that being in good quality work can deliver therapeuti</w:t>
      </w:r>
      <w:r w:rsidR="005A3271" w:rsidRPr="00750AB3">
        <w:rPr>
          <w:rFonts w:cstheme="minorHAnsi"/>
        </w:rPr>
        <w:t>c benefits</w:t>
      </w:r>
      <w:r w:rsidR="00B85A95" w:rsidRPr="00750AB3">
        <w:rPr>
          <w:rFonts w:cstheme="minorHAnsi"/>
        </w:rPr>
        <w:t>. S</w:t>
      </w:r>
      <w:r w:rsidR="005F1BBB" w:rsidRPr="00750AB3">
        <w:rPr>
          <w:rFonts w:cstheme="minorHAnsi"/>
        </w:rPr>
        <w:t xml:space="preserve">uch ‘joined-up’ thinking remains </w:t>
      </w:r>
      <w:r w:rsidR="001679B6" w:rsidRPr="00750AB3">
        <w:rPr>
          <w:rFonts w:cstheme="minorHAnsi"/>
        </w:rPr>
        <w:t>rare [</w:t>
      </w:r>
      <w:r w:rsidR="00644452">
        <w:rPr>
          <w:rFonts w:cstheme="minorHAnsi"/>
        </w:rPr>
        <w:t>6</w:t>
      </w:r>
      <w:r w:rsidR="001679B6" w:rsidRPr="00750AB3">
        <w:rPr>
          <w:rFonts w:cstheme="minorHAnsi"/>
        </w:rPr>
        <w:t>].</w:t>
      </w:r>
      <w:r w:rsidR="005F1BBB" w:rsidRPr="00750AB3">
        <w:rPr>
          <w:rFonts w:cstheme="minorHAnsi"/>
        </w:rPr>
        <w:t xml:space="preserve"> As the workforce ages and as the prevalence of chronic pain grows, this p</w:t>
      </w:r>
      <w:r w:rsidR="001A3F65" w:rsidRPr="00750AB3">
        <w:rPr>
          <w:rFonts w:cstheme="minorHAnsi"/>
        </w:rPr>
        <w:t xml:space="preserve">olicy vacuum risks an avoidably increased </w:t>
      </w:r>
      <w:r w:rsidR="005F1BBB" w:rsidRPr="00750AB3">
        <w:rPr>
          <w:rFonts w:cstheme="minorHAnsi"/>
        </w:rPr>
        <w:t>burden on both individuals and the wider economy.</w:t>
      </w:r>
    </w:p>
    <w:p w14:paraId="10F2B92E" w14:textId="246FB4D6" w:rsidR="00435E71" w:rsidRPr="00750AB3" w:rsidRDefault="00435E71" w:rsidP="00B95A93">
      <w:pPr>
        <w:pStyle w:val="NoSpacing"/>
        <w:jc w:val="both"/>
        <w:rPr>
          <w:rFonts w:cstheme="minorHAnsi"/>
        </w:rPr>
      </w:pPr>
    </w:p>
    <w:p w14:paraId="106D5B8B" w14:textId="6D5F780B" w:rsidR="000311A6" w:rsidRPr="00750AB3" w:rsidRDefault="00435E71" w:rsidP="00B95A93">
      <w:pPr>
        <w:spacing w:after="0" w:line="240" w:lineRule="auto"/>
        <w:jc w:val="both"/>
        <w:rPr>
          <w:rFonts w:cstheme="minorHAnsi"/>
        </w:rPr>
      </w:pPr>
      <w:r w:rsidRPr="00750AB3">
        <w:rPr>
          <w:rFonts w:cstheme="minorHAnsi"/>
        </w:rPr>
        <w:t>The policy challenge in the changing relationship between work and pain is t</w:t>
      </w:r>
      <w:r w:rsidR="00A622D7">
        <w:rPr>
          <w:rFonts w:cstheme="minorHAnsi"/>
        </w:rPr>
        <w:t>o capture current trends, and</w:t>
      </w:r>
      <w:r w:rsidRPr="00750AB3">
        <w:rPr>
          <w:rFonts w:cstheme="minorHAnsi"/>
        </w:rPr>
        <w:t xml:space="preserve"> predict major changes. </w:t>
      </w:r>
      <w:r w:rsidR="00196FD8" w:rsidRPr="00750AB3">
        <w:rPr>
          <w:rFonts w:cstheme="minorHAnsi"/>
        </w:rPr>
        <w:t>T</w:t>
      </w:r>
      <w:r w:rsidRPr="00750AB3">
        <w:rPr>
          <w:rFonts w:cstheme="minorHAnsi"/>
        </w:rPr>
        <w:t>he C</w:t>
      </w:r>
      <w:r w:rsidR="00161939" w:rsidRPr="00750AB3">
        <w:rPr>
          <w:rFonts w:cstheme="minorHAnsi"/>
        </w:rPr>
        <w:t>OVID</w:t>
      </w:r>
      <w:r w:rsidRPr="00750AB3">
        <w:rPr>
          <w:rFonts w:cstheme="minorHAnsi"/>
        </w:rPr>
        <w:t xml:space="preserve">-19 pandemic has </w:t>
      </w:r>
      <w:r w:rsidR="000311A6" w:rsidRPr="00750AB3">
        <w:rPr>
          <w:rFonts w:cstheme="minorHAnsi"/>
        </w:rPr>
        <w:t>question</w:t>
      </w:r>
      <w:r w:rsidR="003D629B" w:rsidRPr="00750AB3">
        <w:rPr>
          <w:rFonts w:cstheme="minorHAnsi"/>
        </w:rPr>
        <w:t>ed</w:t>
      </w:r>
      <w:r w:rsidR="000311A6" w:rsidRPr="00750AB3">
        <w:rPr>
          <w:rFonts w:cstheme="minorHAnsi"/>
        </w:rPr>
        <w:t xml:space="preserve"> the value and relevance of common work practices. </w:t>
      </w:r>
      <w:r w:rsidR="00FD3733" w:rsidRPr="00750AB3">
        <w:rPr>
          <w:rFonts w:cstheme="minorHAnsi"/>
        </w:rPr>
        <w:t>There is potential for an increase in ch</w:t>
      </w:r>
      <w:r w:rsidR="00B85A95" w:rsidRPr="00750AB3">
        <w:rPr>
          <w:rFonts w:cstheme="minorHAnsi"/>
        </w:rPr>
        <w:t>ronic pain</w:t>
      </w:r>
      <w:r w:rsidR="00FD3733" w:rsidRPr="00750AB3">
        <w:rPr>
          <w:rFonts w:cstheme="minorHAnsi"/>
        </w:rPr>
        <w:t xml:space="preserve">, as a consequence of contracting COVID-19, or exacerbated by pandemic conditions in the absence of infection, including stress </w:t>
      </w:r>
      <w:r w:rsidR="00383952" w:rsidRPr="00750AB3">
        <w:rPr>
          <w:rFonts w:cstheme="minorHAnsi"/>
        </w:rPr>
        <w:t>caused by</w:t>
      </w:r>
      <w:r w:rsidR="00FD3733" w:rsidRPr="00750AB3">
        <w:rPr>
          <w:rFonts w:cstheme="minorHAnsi"/>
        </w:rPr>
        <w:t xml:space="preserve"> </w:t>
      </w:r>
      <w:r w:rsidR="00D26310" w:rsidRPr="00750AB3">
        <w:rPr>
          <w:rFonts w:cstheme="minorHAnsi"/>
        </w:rPr>
        <w:t>job insecurity</w:t>
      </w:r>
      <w:r w:rsidR="00FD3733" w:rsidRPr="00750AB3">
        <w:rPr>
          <w:rFonts w:cstheme="minorHAnsi"/>
        </w:rPr>
        <w:t xml:space="preserve"> </w:t>
      </w:r>
      <w:r w:rsidR="00A97055" w:rsidRPr="00750AB3">
        <w:rPr>
          <w:rFonts w:cstheme="minorHAnsi"/>
        </w:rPr>
        <w:t>[1</w:t>
      </w:r>
      <w:r w:rsidR="00644452">
        <w:rPr>
          <w:rFonts w:cstheme="minorHAnsi"/>
        </w:rPr>
        <w:t>7</w:t>
      </w:r>
      <w:r w:rsidR="00A97055" w:rsidRPr="00750AB3">
        <w:rPr>
          <w:rFonts w:cstheme="minorHAnsi"/>
        </w:rPr>
        <w:t>]</w:t>
      </w:r>
      <w:r w:rsidR="00FD3733" w:rsidRPr="00750AB3">
        <w:rPr>
          <w:rFonts w:cstheme="minorHAnsi"/>
        </w:rPr>
        <w:t xml:space="preserve">. </w:t>
      </w:r>
      <w:r w:rsidR="005E6E66" w:rsidRPr="00750AB3">
        <w:rPr>
          <w:rFonts w:cstheme="minorHAnsi"/>
        </w:rPr>
        <w:t>The impact of COVID-19 on how we experience pain at work</w:t>
      </w:r>
      <w:r w:rsidR="005E6E66">
        <w:rPr>
          <w:rFonts w:cstheme="minorHAnsi"/>
        </w:rPr>
        <w:t xml:space="preserve"> </w:t>
      </w:r>
      <w:r w:rsidR="005E6E66" w:rsidRPr="00750AB3">
        <w:rPr>
          <w:rFonts w:cstheme="minorHAnsi"/>
        </w:rPr>
        <w:t xml:space="preserve">has not </w:t>
      </w:r>
      <w:r w:rsidR="005E6E66">
        <w:rPr>
          <w:rFonts w:cstheme="minorHAnsi"/>
        </w:rPr>
        <w:t xml:space="preserve">yet </w:t>
      </w:r>
      <w:r w:rsidR="005E6E66" w:rsidRPr="00750AB3">
        <w:rPr>
          <w:rFonts w:cstheme="minorHAnsi"/>
        </w:rPr>
        <w:t xml:space="preserve">been </w:t>
      </w:r>
      <w:r w:rsidR="005E6E66">
        <w:rPr>
          <w:rFonts w:cstheme="minorHAnsi"/>
        </w:rPr>
        <w:t xml:space="preserve">well </w:t>
      </w:r>
      <w:r w:rsidR="005E6E66" w:rsidRPr="00750AB3">
        <w:rPr>
          <w:rFonts w:cstheme="minorHAnsi"/>
        </w:rPr>
        <w:t>assessed</w:t>
      </w:r>
      <w:r w:rsidR="005E6E66">
        <w:rPr>
          <w:rFonts w:cstheme="minorHAnsi"/>
        </w:rPr>
        <w:t xml:space="preserve"> although there is some evidence of an increase in musculoskeletal pain linked to</w:t>
      </w:r>
      <w:r w:rsidR="00644452">
        <w:rPr>
          <w:rFonts w:cstheme="minorHAnsi"/>
        </w:rPr>
        <w:t xml:space="preserve"> home-working [3,7</w:t>
      </w:r>
      <w:r w:rsidR="005E6E66">
        <w:rPr>
          <w:rFonts w:cstheme="minorHAnsi"/>
        </w:rPr>
        <w:t>] and of changes to employment status making life more difficult</w:t>
      </w:r>
      <w:r w:rsidR="00644452">
        <w:rPr>
          <w:rFonts w:cstheme="minorHAnsi"/>
        </w:rPr>
        <w:t xml:space="preserve"> for people living with pain [53</w:t>
      </w:r>
      <w:r w:rsidR="005E6E66">
        <w:rPr>
          <w:rFonts w:cstheme="minorHAnsi"/>
        </w:rPr>
        <w:t xml:space="preserve">]. </w:t>
      </w:r>
      <w:r w:rsidR="00D720BC" w:rsidRPr="00750AB3">
        <w:rPr>
          <w:rFonts w:cstheme="minorHAnsi"/>
        </w:rPr>
        <w:t>There is also the emerging issue of Long C</w:t>
      </w:r>
      <w:r w:rsidR="00161939" w:rsidRPr="00750AB3">
        <w:rPr>
          <w:rFonts w:cstheme="minorHAnsi"/>
        </w:rPr>
        <w:t>OVID</w:t>
      </w:r>
      <w:r w:rsidR="00502262" w:rsidRPr="00750AB3">
        <w:rPr>
          <w:rFonts w:cstheme="minorHAnsi"/>
        </w:rPr>
        <w:t xml:space="preserve"> or post-C</w:t>
      </w:r>
      <w:r w:rsidR="00161939" w:rsidRPr="00750AB3">
        <w:rPr>
          <w:rFonts w:cstheme="minorHAnsi"/>
        </w:rPr>
        <w:t>OVID</w:t>
      </w:r>
      <w:r w:rsidR="00502262" w:rsidRPr="00750AB3">
        <w:rPr>
          <w:rFonts w:cstheme="minorHAnsi"/>
        </w:rPr>
        <w:t>-19 syndrome,</w:t>
      </w:r>
      <w:r w:rsidR="00D720BC" w:rsidRPr="00750AB3">
        <w:rPr>
          <w:rFonts w:cstheme="minorHAnsi"/>
        </w:rPr>
        <w:t xml:space="preserve"> of which ongoing pain is a key symptom</w:t>
      </w:r>
      <w:r w:rsidR="00D26310" w:rsidRPr="00750AB3">
        <w:rPr>
          <w:rFonts w:cstheme="minorHAnsi"/>
        </w:rPr>
        <w:t xml:space="preserve">. </w:t>
      </w:r>
      <w:r w:rsidR="00D720BC" w:rsidRPr="00750AB3">
        <w:rPr>
          <w:rFonts w:ascii="Arial" w:hAnsi="Arial" w:cs="Arial"/>
          <w:shd w:val="clear" w:color="auto" w:fill="FFFFFF"/>
        </w:rPr>
        <w:t>A</w:t>
      </w:r>
      <w:r w:rsidR="00BC0536" w:rsidRPr="00750AB3">
        <w:rPr>
          <w:rFonts w:ascii="Arial" w:hAnsi="Arial" w:cs="Arial"/>
          <w:shd w:val="clear" w:color="auto" w:fill="FFFFFF"/>
        </w:rPr>
        <w:t xml:space="preserve"> survey of people identifying </w:t>
      </w:r>
      <w:r w:rsidR="00D720BC" w:rsidRPr="00750AB3">
        <w:rPr>
          <w:rFonts w:ascii="Arial" w:hAnsi="Arial" w:cs="Arial"/>
          <w:shd w:val="clear" w:color="auto" w:fill="FFFFFF"/>
        </w:rPr>
        <w:t>as living with Long C</w:t>
      </w:r>
      <w:r w:rsidR="00161939" w:rsidRPr="00750AB3">
        <w:rPr>
          <w:rFonts w:ascii="Arial" w:hAnsi="Arial" w:cs="Arial"/>
          <w:shd w:val="clear" w:color="auto" w:fill="FFFFFF"/>
        </w:rPr>
        <w:t>OVID</w:t>
      </w:r>
      <w:r w:rsidR="00D720BC" w:rsidRPr="00750AB3">
        <w:rPr>
          <w:rFonts w:ascii="Arial" w:hAnsi="Arial" w:cs="Arial"/>
          <w:shd w:val="clear" w:color="auto" w:fill="FFFFFF"/>
        </w:rPr>
        <w:t xml:space="preserve"> reported</w:t>
      </w:r>
      <w:r w:rsidR="00BC0536" w:rsidRPr="00750AB3">
        <w:rPr>
          <w:rFonts w:ascii="Arial" w:hAnsi="Arial" w:cs="Arial"/>
          <w:shd w:val="clear" w:color="auto" w:fill="FFFFFF"/>
        </w:rPr>
        <w:t xml:space="preserve"> almost half </w:t>
      </w:r>
      <w:r w:rsidR="00D720BC" w:rsidRPr="00750AB3">
        <w:rPr>
          <w:rFonts w:ascii="Arial" w:hAnsi="Arial" w:cs="Arial"/>
          <w:shd w:val="clear" w:color="auto" w:fill="FFFFFF"/>
        </w:rPr>
        <w:t>need</w:t>
      </w:r>
      <w:r w:rsidR="00BC0536" w:rsidRPr="00750AB3">
        <w:rPr>
          <w:rFonts w:ascii="Arial" w:hAnsi="Arial" w:cs="Arial"/>
          <w:shd w:val="clear" w:color="auto" w:fill="FFFFFF"/>
        </w:rPr>
        <w:t xml:space="preserve">ed </w:t>
      </w:r>
      <w:r w:rsidR="00D720BC" w:rsidRPr="00750AB3">
        <w:rPr>
          <w:rFonts w:ascii="Arial" w:hAnsi="Arial" w:cs="Arial"/>
          <w:shd w:val="clear" w:color="auto" w:fill="FFFFFF"/>
        </w:rPr>
        <w:t xml:space="preserve">a reduced work schedule compared with pre-illness; almost </w:t>
      </w:r>
      <w:r w:rsidR="00DD4091" w:rsidRPr="00750AB3">
        <w:rPr>
          <w:rFonts w:ascii="Arial" w:hAnsi="Arial" w:cs="Arial"/>
          <w:shd w:val="clear" w:color="auto" w:fill="FFFFFF"/>
        </w:rPr>
        <w:t>a quarter were now un</w:t>
      </w:r>
      <w:r w:rsidR="00D720BC" w:rsidRPr="00750AB3">
        <w:rPr>
          <w:rFonts w:ascii="Arial" w:hAnsi="Arial" w:cs="Arial"/>
          <w:shd w:val="clear" w:color="auto" w:fill="FFFFFF"/>
        </w:rPr>
        <w:t xml:space="preserve">able to work </w:t>
      </w:r>
      <w:r w:rsidR="00A97055" w:rsidRPr="00750AB3">
        <w:rPr>
          <w:rFonts w:ascii="Arial" w:hAnsi="Arial" w:cs="Arial"/>
          <w:shd w:val="clear" w:color="auto" w:fill="FFFFFF"/>
        </w:rPr>
        <w:t>[</w:t>
      </w:r>
      <w:r w:rsidR="00644452">
        <w:rPr>
          <w:rFonts w:ascii="Arial" w:hAnsi="Arial" w:cs="Arial"/>
          <w:shd w:val="clear" w:color="auto" w:fill="FFFFFF"/>
        </w:rPr>
        <w:t>49</w:t>
      </w:r>
      <w:r w:rsidR="00A97055" w:rsidRPr="00750AB3">
        <w:rPr>
          <w:rFonts w:ascii="Arial" w:hAnsi="Arial" w:cs="Arial"/>
          <w:shd w:val="clear" w:color="auto" w:fill="FFFFFF"/>
        </w:rPr>
        <w:t>]</w:t>
      </w:r>
      <w:r w:rsidR="00D720BC" w:rsidRPr="00750AB3">
        <w:rPr>
          <w:rFonts w:ascii="Arial" w:hAnsi="Arial" w:cs="Arial"/>
          <w:shd w:val="clear" w:color="auto" w:fill="FFFFFF"/>
        </w:rPr>
        <w:t>.</w:t>
      </w:r>
      <w:r w:rsidR="00B85A95" w:rsidRPr="00750AB3">
        <w:rPr>
          <w:rFonts w:ascii="Arial" w:hAnsi="Arial" w:cs="Arial"/>
          <w:shd w:val="clear" w:color="auto" w:fill="FFFFFF"/>
        </w:rPr>
        <w:t xml:space="preserve"> </w:t>
      </w:r>
      <w:r w:rsidR="00A04AEB" w:rsidRPr="00750AB3">
        <w:rPr>
          <w:rFonts w:cstheme="minorHAnsi"/>
        </w:rPr>
        <w:t>Global</w:t>
      </w:r>
      <w:r w:rsidR="000311A6" w:rsidRPr="00750AB3">
        <w:rPr>
          <w:rFonts w:cstheme="minorHAnsi"/>
        </w:rPr>
        <w:t xml:space="preserve"> health emergencies aside, it is clear that lives lived longer means lives working for longer, that caring </w:t>
      </w:r>
      <w:r w:rsidR="00196FD8" w:rsidRPr="00750AB3">
        <w:rPr>
          <w:rFonts w:cstheme="minorHAnsi"/>
        </w:rPr>
        <w:t xml:space="preserve">responsibilities </w:t>
      </w:r>
      <w:r w:rsidR="000311A6" w:rsidRPr="00750AB3">
        <w:rPr>
          <w:rFonts w:cstheme="minorHAnsi"/>
        </w:rPr>
        <w:t>can extend long into later life</w:t>
      </w:r>
      <w:r w:rsidR="004D395E" w:rsidRPr="00750AB3">
        <w:rPr>
          <w:rFonts w:cstheme="minorHAnsi"/>
        </w:rPr>
        <w:t xml:space="preserve"> [</w:t>
      </w:r>
      <w:r w:rsidR="00644452">
        <w:rPr>
          <w:rFonts w:cstheme="minorHAnsi"/>
        </w:rPr>
        <w:t>74</w:t>
      </w:r>
      <w:r w:rsidR="004D395E" w:rsidRPr="00750AB3">
        <w:rPr>
          <w:rFonts w:cstheme="minorHAnsi"/>
        </w:rPr>
        <w:t>]</w:t>
      </w:r>
      <w:r w:rsidR="00B85A95" w:rsidRPr="00750AB3">
        <w:rPr>
          <w:rFonts w:cstheme="minorHAnsi"/>
        </w:rPr>
        <w:t xml:space="preserve"> and that the idea of a three-</w:t>
      </w:r>
      <w:r w:rsidR="000311A6" w:rsidRPr="00750AB3">
        <w:rPr>
          <w:rFonts w:cstheme="minorHAnsi"/>
        </w:rPr>
        <w:t>stage working life – of education, work, and retirement, is likely to be replaced by portfolio working in which people enter and re-enter the labour market at diffe</w:t>
      </w:r>
      <w:r w:rsidR="00B85A95" w:rsidRPr="00750AB3">
        <w:rPr>
          <w:rFonts w:cstheme="minorHAnsi"/>
        </w:rPr>
        <w:t>rent times, often changing</w:t>
      </w:r>
      <w:r w:rsidR="000311A6" w:rsidRPr="00750AB3">
        <w:rPr>
          <w:rFonts w:cstheme="minorHAnsi"/>
        </w:rPr>
        <w:t xml:space="preserve"> role</w:t>
      </w:r>
      <w:r w:rsidR="00B85A95" w:rsidRPr="00750AB3">
        <w:rPr>
          <w:rFonts w:cstheme="minorHAnsi"/>
        </w:rPr>
        <w:t>s</w:t>
      </w:r>
      <w:r w:rsidR="00B63763" w:rsidRPr="00750AB3">
        <w:rPr>
          <w:rFonts w:cstheme="minorHAnsi"/>
        </w:rPr>
        <w:t xml:space="preserve"> </w:t>
      </w:r>
      <w:r w:rsidR="00A97055" w:rsidRPr="00750AB3">
        <w:rPr>
          <w:rFonts w:cstheme="minorHAnsi"/>
        </w:rPr>
        <w:t>[</w:t>
      </w:r>
      <w:r w:rsidR="00644452">
        <w:rPr>
          <w:rFonts w:cstheme="minorHAnsi"/>
        </w:rPr>
        <w:t>33</w:t>
      </w:r>
      <w:r w:rsidR="00A97055" w:rsidRPr="00750AB3">
        <w:rPr>
          <w:rFonts w:cstheme="minorHAnsi"/>
        </w:rPr>
        <w:t>]</w:t>
      </w:r>
      <w:r w:rsidR="00B63763" w:rsidRPr="00750AB3">
        <w:rPr>
          <w:rFonts w:cstheme="minorHAnsi"/>
        </w:rPr>
        <w:t>.</w:t>
      </w:r>
      <w:r w:rsidR="000311A6" w:rsidRPr="00750AB3">
        <w:rPr>
          <w:rFonts w:cstheme="minorHAnsi"/>
        </w:rPr>
        <w:t xml:space="preserve"> Creating policy that can promote the </w:t>
      </w:r>
      <w:r w:rsidR="009D07E6" w:rsidRPr="00750AB3">
        <w:rPr>
          <w:rFonts w:cstheme="minorHAnsi"/>
        </w:rPr>
        <w:t xml:space="preserve">prevention </w:t>
      </w:r>
      <w:r w:rsidR="000311A6" w:rsidRPr="00750AB3">
        <w:rPr>
          <w:rFonts w:cstheme="minorHAnsi"/>
        </w:rPr>
        <w:t>of pain where possible, and the engag</w:t>
      </w:r>
      <w:r w:rsidR="00C916D7" w:rsidRPr="00750AB3">
        <w:rPr>
          <w:rFonts w:cstheme="minorHAnsi"/>
        </w:rPr>
        <w:t>ement with work despite pain, should be</w:t>
      </w:r>
      <w:r w:rsidR="000311A6" w:rsidRPr="00750AB3">
        <w:rPr>
          <w:rFonts w:cstheme="minorHAnsi"/>
        </w:rPr>
        <w:t xml:space="preserve"> </w:t>
      </w:r>
      <w:r w:rsidR="00B85A95" w:rsidRPr="00750AB3">
        <w:rPr>
          <w:rFonts w:cstheme="minorHAnsi"/>
        </w:rPr>
        <w:t>a</w:t>
      </w:r>
      <w:r w:rsidR="000311A6" w:rsidRPr="00750AB3">
        <w:rPr>
          <w:rFonts w:cstheme="minorHAnsi"/>
        </w:rPr>
        <w:t xml:space="preserve"> major </w:t>
      </w:r>
      <w:r w:rsidR="003A4C0F" w:rsidRPr="00750AB3">
        <w:rPr>
          <w:rFonts w:cstheme="minorHAnsi"/>
        </w:rPr>
        <w:t>ta</w:t>
      </w:r>
      <w:r w:rsidR="00B85A95" w:rsidRPr="00750AB3">
        <w:rPr>
          <w:rFonts w:cstheme="minorHAnsi"/>
        </w:rPr>
        <w:t>rget</w:t>
      </w:r>
      <w:r w:rsidR="00C916D7" w:rsidRPr="00750AB3">
        <w:rPr>
          <w:rFonts w:cstheme="minorHAnsi"/>
        </w:rPr>
        <w:t xml:space="preserve">. </w:t>
      </w:r>
    </w:p>
    <w:p w14:paraId="34714D68" w14:textId="77777777" w:rsidR="000311A6" w:rsidRPr="00750AB3" w:rsidRDefault="000311A6" w:rsidP="00B95A93">
      <w:pPr>
        <w:pStyle w:val="NoSpacing"/>
        <w:jc w:val="both"/>
        <w:rPr>
          <w:rFonts w:cstheme="minorHAnsi"/>
        </w:rPr>
      </w:pPr>
    </w:p>
    <w:p w14:paraId="787833CB" w14:textId="028D2327" w:rsidR="000311A6" w:rsidRPr="00750AB3" w:rsidRDefault="000311A6" w:rsidP="00B95A93">
      <w:pPr>
        <w:pStyle w:val="NoSpacing"/>
        <w:numPr>
          <w:ilvl w:val="0"/>
          <w:numId w:val="8"/>
        </w:numPr>
        <w:rPr>
          <w:rFonts w:cstheme="minorHAnsi"/>
          <w:b/>
        </w:rPr>
      </w:pPr>
      <w:r w:rsidRPr="00750AB3">
        <w:rPr>
          <w:rFonts w:cstheme="minorHAnsi"/>
          <w:b/>
        </w:rPr>
        <w:t>A lifespan development model</w:t>
      </w:r>
    </w:p>
    <w:p w14:paraId="1822B038" w14:textId="3B6F436E" w:rsidR="004D0612" w:rsidRPr="00750AB3" w:rsidRDefault="00D01535" w:rsidP="00B95A93">
      <w:pPr>
        <w:pStyle w:val="NoSpacing"/>
        <w:jc w:val="both"/>
        <w:rPr>
          <w:rFonts w:cstheme="minorHAnsi"/>
        </w:rPr>
      </w:pPr>
      <w:r w:rsidRPr="00750AB3">
        <w:rPr>
          <w:rFonts w:cstheme="minorHAnsi"/>
        </w:rPr>
        <w:t>W</w:t>
      </w:r>
      <w:r w:rsidR="00806FA4" w:rsidRPr="00750AB3">
        <w:rPr>
          <w:rFonts w:cstheme="minorHAnsi"/>
        </w:rPr>
        <w:t xml:space="preserve">hen not sleeping, we spend </w:t>
      </w:r>
      <w:r w:rsidR="00411AE0" w:rsidRPr="00750AB3">
        <w:rPr>
          <w:rFonts w:cstheme="minorHAnsi"/>
        </w:rPr>
        <w:t>much of our lives</w:t>
      </w:r>
      <w:r w:rsidR="00806FA4" w:rsidRPr="00750AB3">
        <w:rPr>
          <w:rFonts w:cstheme="minorHAnsi"/>
        </w:rPr>
        <w:t xml:space="preserve"> work</w:t>
      </w:r>
      <w:r w:rsidR="0020571A">
        <w:rPr>
          <w:rFonts w:cstheme="minorHAnsi"/>
        </w:rPr>
        <w:t>ing</w:t>
      </w:r>
      <w:r w:rsidR="00806FA4" w:rsidRPr="00750AB3">
        <w:rPr>
          <w:rFonts w:cstheme="minorHAnsi"/>
        </w:rPr>
        <w:t xml:space="preserve">, labouring to produce value for ourselves, others, or wider society. </w:t>
      </w:r>
      <w:r w:rsidRPr="00750AB3">
        <w:rPr>
          <w:rFonts w:cstheme="minorHAnsi"/>
        </w:rPr>
        <w:t>In considering relationship</w:t>
      </w:r>
      <w:r w:rsidR="0020571A">
        <w:rPr>
          <w:rFonts w:cstheme="minorHAnsi"/>
        </w:rPr>
        <w:t>s</w:t>
      </w:r>
      <w:r w:rsidRPr="00750AB3">
        <w:rPr>
          <w:rFonts w:cstheme="minorHAnsi"/>
        </w:rPr>
        <w:t xml:space="preserve"> betw</w:t>
      </w:r>
      <w:r w:rsidR="004C5EC2" w:rsidRPr="00750AB3">
        <w:rPr>
          <w:rFonts w:cstheme="minorHAnsi"/>
        </w:rPr>
        <w:t>een work and pain we should</w:t>
      </w:r>
      <w:r w:rsidRPr="00750AB3">
        <w:rPr>
          <w:rFonts w:cstheme="minorHAnsi"/>
        </w:rPr>
        <w:t xml:space="preserve"> broaden the scope and lengthen the duration of what we include. </w:t>
      </w:r>
      <w:r w:rsidR="004C5EC2" w:rsidRPr="00750AB3">
        <w:rPr>
          <w:rFonts w:cstheme="minorHAnsi"/>
        </w:rPr>
        <w:t xml:space="preserve">If </w:t>
      </w:r>
      <w:r w:rsidR="00910BCE" w:rsidRPr="00750AB3">
        <w:rPr>
          <w:rFonts w:cstheme="minorHAnsi"/>
        </w:rPr>
        <w:t>projections of life expectancy remain, suc</w:t>
      </w:r>
      <w:r w:rsidR="004C5EC2" w:rsidRPr="00750AB3">
        <w:rPr>
          <w:rFonts w:cstheme="minorHAnsi"/>
        </w:rPr>
        <w:t>h that those born in 2010 have</w:t>
      </w:r>
      <w:r w:rsidR="00910BCE" w:rsidRPr="00750AB3">
        <w:rPr>
          <w:rFonts w:cstheme="minorHAnsi"/>
        </w:rPr>
        <w:t xml:space="preserve"> realistic prospect</w:t>
      </w:r>
      <w:r w:rsidR="004C5EC2" w:rsidRPr="00750AB3">
        <w:rPr>
          <w:rFonts w:cstheme="minorHAnsi"/>
        </w:rPr>
        <w:t>s</w:t>
      </w:r>
      <w:r w:rsidR="00910BCE" w:rsidRPr="00750AB3">
        <w:rPr>
          <w:rFonts w:cstheme="minorHAnsi"/>
        </w:rPr>
        <w:t xml:space="preserve"> of living until 100</w:t>
      </w:r>
      <w:r w:rsidR="001D41D1" w:rsidRPr="00750AB3">
        <w:rPr>
          <w:rFonts w:cstheme="minorHAnsi"/>
        </w:rPr>
        <w:t xml:space="preserve"> [</w:t>
      </w:r>
      <w:r w:rsidR="00644452">
        <w:rPr>
          <w:rFonts w:cstheme="minorHAnsi"/>
        </w:rPr>
        <w:t>33</w:t>
      </w:r>
      <w:r w:rsidR="00A97055" w:rsidRPr="00750AB3">
        <w:rPr>
          <w:rFonts w:cstheme="minorHAnsi"/>
        </w:rPr>
        <w:t>]</w:t>
      </w:r>
      <w:r w:rsidR="00910BCE" w:rsidRPr="00750AB3">
        <w:rPr>
          <w:rFonts w:cstheme="minorHAnsi"/>
        </w:rPr>
        <w:t xml:space="preserve"> then the concept of later life is in flux. </w:t>
      </w:r>
      <w:r w:rsidRPr="00750AB3">
        <w:rPr>
          <w:rFonts w:cstheme="minorHAnsi"/>
        </w:rPr>
        <w:t>How to think about work is changing rapidly: how long we spend at work, where</w:t>
      </w:r>
      <w:r w:rsidR="004C5EC2" w:rsidRPr="00750AB3">
        <w:rPr>
          <w:rFonts w:cstheme="minorHAnsi"/>
        </w:rPr>
        <w:t xml:space="preserve"> work happens</w:t>
      </w:r>
      <w:r w:rsidR="004D0612" w:rsidRPr="00750AB3">
        <w:rPr>
          <w:rFonts w:cstheme="minorHAnsi"/>
        </w:rPr>
        <w:t xml:space="preserve">, how to undertake work when in pain, </w:t>
      </w:r>
      <w:r w:rsidR="00910BCE" w:rsidRPr="00750AB3">
        <w:rPr>
          <w:rFonts w:cstheme="minorHAnsi"/>
        </w:rPr>
        <w:t xml:space="preserve">how to </w:t>
      </w:r>
      <w:r w:rsidR="004D0612" w:rsidRPr="00750AB3">
        <w:rPr>
          <w:rFonts w:cstheme="minorHAnsi"/>
        </w:rPr>
        <w:t>construct work (</w:t>
      </w:r>
      <w:r w:rsidR="00910BCE" w:rsidRPr="00750AB3">
        <w:rPr>
          <w:rFonts w:cstheme="minorHAnsi"/>
        </w:rPr>
        <w:t xml:space="preserve">its </w:t>
      </w:r>
      <w:r w:rsidR="004D0612" w:rsidRPr="00750AB3">
        <w:rPr>
          <w:rFonts w:cstheme="minorHAnsi"/>
        </w:rPr>
        <w:t xml:space="preserve">flexibility, control, communication) </w:t>
      </w:r>
      <w:r w:rsidR="00910BCE" w:rsidRPr="00750AB3">
        <w:rPr>
          <w:rFonts w:cstheme="minorHAnsi"/>
        </w:rPr>
        <w:t xml:space="preserve">and what meaningful occupational engagement is, </w:t>
      </w:r>
      <w:r w:rsidR="004D0612" w:rsidRPr="00750AB3">
        <w:rPr>
          <w:rFonts w:cstheme="minorHAnsi"/>
        </w:rPr>
        <w:t>are all changing</w:t>
      </w:r>
      <w:r w:rsidR="004E2247" w:rsidRPr="00750AB3">
        <w:rPr>
          <w:rFonts w:cstheme="minorHAnsi"/>
        </w:rPr>
        <w:t>.</w:t>
      </w:r>
      <w:r w:rsidR="00910BCE" w:rsidRPr="00750AB3">
        <w:rPr>
          <w:rFonts w:cstheme="minorHAnsi"/>
        </w:rPr>
        <w:t xml:space="preserve"> </w:t>
      </w:r>
      <w:r w:rsidR="004D0612" w:rsidRPr="00750AB3">
        <w:rPr>
          <w:rFonts w:cstheme="minorHAnsi"/>
        </w:rPr>
        <w:t>Emerging is a new field of study in work and pain, one that builds on adv</w:t>
      </w:r>
      <w:r w:rsidR="009F13AF" w:rsidRPr="00750AB3">
        <w:rPr>
          <w:rFonts w:cstheme="minorHAnsi"/>
        </w:rPr>
        <w:t xml:space="preserve">ances in occupational medicine and </w:t>
      </w:r>
      <w:r w:rsidR="004D0612" w:rsidRPr="00750AB3">
        <w:rPr>
          <w:rFonts w:cstheme="minorHAnsi"/>
        </w:rPr>
        <w:t>workplace rehabilitation</w:t>
      </w:r>
      <w:r w:rsidR="009F13AF" w:rsidRPr="00750AB3">
        <w:rPr>
          <w:rFonts w:cstheme="minorHAnsi"/>
        </w:rPr>
        <w:t xml:space="preserve"> </w:t>
      </w:r>
      <w:r w:rsidR="00A97055" w:rsidRPr="00750AB3">
        <w:rPr>
          <w:rFonts w:cstheme="minorHAnsi"/>
        </w:rPr>
        <w:t>[</w:t>
      </w:r>
      <w:r w:rsidR="00644452">
        <w:rPr>
          <w:rFonts w:cstheme="minorHAnsi"/>
        </w:rPr>
        <w:t>21</w:t>
      </w:r>
      <w:r w:rsidR="00A97055" w:rsidRPr="00750AB3">
        <w:rPr>
          <w:rFonts w:cstheme="minorHAnsi"/>
        </w:rPr>
        <w:t>,</w:t>
      </w:r>
      <w:r w:rsidR="00D2582C">
        <w:rPr>
          <w:rFonts w:cstheme="minorHAnsi"/>
        </w:rPr>
        <w:t>30</w:t>
      </w:r>
      <w:r w:rsidR="00A97055" w:rsidRPr="00750AB3">
        <w:rPr>
          <w:rFonts w:cstheme="minorHAnsi"/>
        </w:rPr>
        <w:t>]</w:t>
      </w:r>
      <w:r w:rsidR="004D0612" w:rsidRPr="00750AB3">
        <w:rPr>
          <w:rFonts w:cstheme="minorHAnsi"/>
        </w:rPr>
        <w:t>, and in public health and policy science</w:t>
      </w:r>
      <w:r w:rsidR="00A97055" w:rsidRPr="00750AB3">
        <w:rPr>
          <w:rFonts w:cstheme="minorHAnsi"/>
        </w:rPr>
        <w:t xml:space="preserve"> [</w:t>
      </w:r>
      <w:r w:rsidR="00644452">
        <w:rPr>
          <w:rFonts w:cstheme="minorHAnsi"/>
        </w:rPr>
        <w:t>6</w:t>
      </w:r>
      <w:r w:rsidR="00A97055" w:rsidRPr="00750AB3">
        <w:rPr>
          <w:rFonts w:cstheme="minorHAnsi"/>
        </w:rPr>
        <w:t>,</w:t>
      </w:r>
      <w:r w:rsidR="00644452">
        <w:rPr>
          <w:rFonts w:cstheme="minorHAnsi"/>
        </w:rPr>
        <w:t>9</w:t>
      </w:r>
      <w:r w:rsidR="00A97055" w:rsidRPr="00750AB3">
        <w:rPr>
          <w:rFonts w:cstheme="minorHAnsi"/>
        </w:rPr>
        <w:t>]</w:t>
      </w:r>
      <w:r w:rsidR="004D0612" w:rsidRPr="00750AB3">
        <w:rPr>
          <w:rFonts w:cstheme="minorHAnsi"/>
        </w:rPr>
        <w:t>. This new area of study has at its centre the person developing across their lifetime,</w:t>
      </w:r>
      <w:r w:rsidR="005E77C2" w:rsidRPr="00750AB3">
        <w:rPr>
          <w:rFonts w:cstheme="minorHAnsi"/>
        </w:rPr>
        <w:t xml:space="preserve"> from adolescent to later life</w:t>
      </w:r>
      <w:r w:rsidR="00622ED2">
        <w:rPr>
          <w:rFonts w:cstheme="minorHAnsi"/>
        </w:rPr>
        <w:t xml:space="preserve"> production</w:t>
      </w:r>
      <w:r w:rsidR="005E77C2" w:rsidRPr="00750AB3">
        <w:rPr>
          <w:rFonts w:cstheme="minorHAnsi"/>
        </w:rPr>
        <w:t xml:space="preserve">, </w:t>
      </w:r>
      <w:r w:rsidR="004D0612" w:rsidRPr="00750AB3">
        <w:rPr>
          <w:rFonts w:cstheme="minorHAnsi"/>
        </w:rPr>
        <w:t xml:space="preserve">attempting to work, make sense of work, and avoid or manage pain </w:t>
      </w:r>
      <w:r w:rsidR="00910BCE" w:rsidRPr="00750AB3">
        <w:rPr>
          <w:rFonts w:cstheme="minorHAnsi"/>
        </w:rPr>
        <w:t xml:space="preserve">in </w:t>
      </w:r>
      <w:r w:rsidR="002C1234" w:rsidRPr="00750AB3">
        <w:rPr>
          <w:rFonts w:cstheme="minorHAnsi"/>
        </w:rPr>
        <w:t xml:space="preserve">the workplace. Figure 1 </w:t>
      </w:r>
      <w:r w:rsidR="004D0612" w:rsidRPr="00750AB3">
        <w:rPr>
          <w:rFonts w:cstheme="minorHAnsi"/>
        </w:rPr>
        <w:t>outline</w:t>
      </w:r>
      <w:r w:rsidR="00834925">
        <w:rPr>
          <w:rFonts w:cstheme="minorHAnsi"/>
        </w:rPr>
        <w:t>s</w:t>
      </w:r>
      <w:r w:rsidR="004D0612" w:rsidRPr="00750AB3">
        <w:rPr>
          <w:rFonts w:cstheme="minorHAnsi"/>
        </w:rPr>
        <w:t xml:space="preserve"> the major stages of this lifespan development.</w:t>
      </w:r>
    </w:p>
    <w:p w14:paraId="5A66AF36" w14:textId="77777777" w:rsidR="004D0612" w:rsidRPr="00750AB3" w:rsidRDefault="004D0612" w:rsidP="00B95A93">
      <w:pPr>
        <w:pStyle w:val="NoSpacing"/>
        <w:rPr>
          <w:rFonts w:cstheme="minorHAnsi"/>
        </w:rPr>
      </w:pPr>
    </w:p>
    <w:p w14:paraId="17E36CB2" w14:textId="26D6DA9A" w:rsidR="004D0612" w:rsidRPr="00750AB3" w:rsidRDefault="0092080C" w:rsidP="00B95A93">
      <w:pPr>
        <w:pStyle w:val="NoSpacing"/>
        <w:jc w:val="center"/>
        <w:rPr>
          <w:rFonts w:cstheme="minorHAnsi"/>
        </w:rPr>
      </w:pPr>
      <w:r w:rsidRPr="00750AB3">
        <w:rPr>
          <w:rFonts w:cstheme="minorHAnsi"/>
        </w:rPr>
        <w:t>[</w:t>
      </w:r>
      <w:r w:rsidR="004D0612" w:rsidRPr="00750AB3">
        <w:rPr>
          <w:rFonts w:cstheme="minorHAnsi"/>
        </w:rPr>
        <w:t>Figure 1 about here</w:t>
      </w:r>
      <w:r w:rsidRPr="00750AB3">
        <w:rPr>
          <w:rFonts w:cstheme="minorHAnsi"/>
        </w:rPr>
        <w:t>]</w:t>
      </w:r>
    </w:p>
    <w:p w14:paraId="4DB88326" w14:textId="3AEEB77F" w:rsidR="004D0612" w:rsidRPr="00750AB3" w:rsidRDefault="004D0612" w:rsidP="00B95A93">
      <w:pPr>
        <w:pStyle w:val="NoSpacing"/>
        <w:rPr>
          <w:rFonts w:cstheme="minorHAnsi"/>
        </w:rPr>
      </w:pPr>
    </w:p>
    <w:p w14:paraId="73025B40" w14:textId="7B237C66" w:rsidR="004D0612" w:rsidRPr="00750AB3" w:rsidRDefault="004D0612" w:rsidP="00B95A93">
      <w:pPr>
        <w:pStyle w:val="NoSpacing"/>
        <w:jc w:val="both"/>
        <w:rPr>
          <w:rFonts w:cstheme="minorHAnsi"/>
        </w:rPr>
      </w:pPr>
      <w:r w:rsidRPr="00750AB3">
        <w:rPr>
          <w:rFonts w:cstheme="minorHAnsi"/>
        </w:rPr>
        <w:t>As the field develops</w:t>
      </w:r>
      <w:r w:rsidR="00261569" w:rsidRPr="00750AB3">
        <w:rPr>
          <w:rFonts w:cstheme="minorHAnsi"/>
        </w:rPr>
        <w:t>,</w:t>
      </w:r>
      <w:r w:rsidRPr="00750AB3">
        <w:rPr>
          <w:rFonts w:cstheme="minorHAnsi"/>
        </w:rPr>
        <w:t xml:space="preserve"> questions arise regarding the major influences on pain and work </w:t>
      </w:r>
      <w:r w:rsidR="003A009E" w:rsidRPr="00750AB3">
        <w:rPr>
          <w:rFonts w:cstheme="minorHAnsi"/>
        </w:rPr>
        <w:t>in each domain</w:t>
      </w:r>
      <w:r w:rsidR="00A97055" w:rsidRPr="00750AB3">
        <w:rPr>
          <w:rFonts w:cstheme="minorHAnsi"/>
        </w:rPr>
        <w:t xml:space="preserve"> above.</w:t>
      </w:r>
      <w:r w:rsidR="0092080C" w:rsidRPr="00750AB3">
        <w:rPr>
          <w:rFonts w:cstheme="minorHAnsi"/>
        </w:rPr>
        <w:t xml:space="preserve"> </w:t>
      </w:r>
      <w:r w:rsidR="002C1234" w:rsidRPr="00750AB3">
        <w:rPr>
          <w:rFonts w:cstheme="minorHAnsi"/>
        </w:rPr>
        <w:t>T</w:t>
      </w:r>
      <w:r w:rsidR="00A97055" w:rsidRPr="00750AB3">
        <w:rPr>
          <w:rFonts w:cstheme="minorHAnsi"/>
        </w:rPr>
        <w:t xml:space="preserve">able 1 </w:t>
      </w:r>
      <w:r w:rsidR="00411AE0" w:rsidRPr="00750AB3">
        <w:rPr>
          <w:rFonts w:cstheme="minorHAnsi"/>
        </w:rPr>
        <w:t>summarise</w:t>
      </w:r>
      <w:r w:rsidR="0092080C" w:rsidRPr="00750AB3">
        <w:rPr>
          <w:rFonts w:cstheme="minorHAnsi"/>
        </w:rPr>
        <w:t>s</w:t>
      </w:r>
      <w:r w:rsidRPr="00750AB3">
        <w:rPr>
          <w:rFonts w:cstheme="minorHAnsi"/>
        </w:rPr>
        <w:t xml:space="preserve"> core research questions</w:t>
      </w:r>
      <w:r w:rsidR="004D5B8C" w:rsidRPr="00750AB3">
        <w:rPr>
          <w:rFonts w:cstheme="minorHAnsi"/>
        </w:rPr>
        <w:t xml:space="preserve"> </w:t>
      </w:r>
      <w:r w:rsidR="003A009E" w:rsidRPr="00750AB3">
        <w:rPr>
          <w:rFonts w:cstheme="minorHAnsi"/>
        </w:rPr>
        <w:t>in the</w:t>
      </w:r>
      <w:r w:rsidR="004D5B8C" w:rsidRPr="00750AB3">
        <w:rPr>
          <w:rFonts w:cstheme="minorHAnsi"/>
        </w:rPr>
        <w:t xml:space="preserve"> domain</w:t>
      </w:r>
      <w:r w:rsidR="003A009E" w:rsidRPr="00750AB3">
        <w:rPr>
          <w:rFonts w:cstheme="minorHAnsi"/>
        </w:rPr>
        <w:t>s</w:t>
      </w:r>
      <w:r w:rsidRPr="00750AB3">
        <w:rPr>
          <w:rFonts w:cstheme="minorHAnsi"/>
        </w:rPr>
        <w:t>, and</w:t>
      </w:r>
      <w:r w:rsidR="003A009E" w:rsidRPr="00750AB3">
        <w:rPr>
          <w:rFonts w:cstheme="minorHAnsi"/>
        </w:rPr>
        <w:t xml:space="preserve"> intervention possibilities</w:t>
      </w:r>
      <w:r w:rsidRPr="00750AB3">
        <w:rPr>
          <w:rFonts w:cstheme="minorHAnsi"/>
        </w:rPr>
        <w:t xml:space="preserve"> where relevant.</w:t>
      </w:r>
      <w:r w:rsidR="004D5B8C" w:rsidRPr="00750AB3">
        <w:rPr>
          <w:rFonts w:cstheme="minorHAnsi"/>
        </w:rPr>
        <w:t xml:space="preserve"> </w:t>
      </w:r>
      <w:r w:rsidR="00F70992" w:rsidRPr="00750AB3">
        <w:rPr>
          <w:rFonts w:cstheme="minorHAnsi"/>
        </w:rPr>
        <w:t xml:space="preserve">We </w:t>
      </w:r>
      <w:r w:rsidR="004D5B8C" w:rsidRPr="00750AB3">
        <w:rPr>
          <w:rFonts w:cstheme="minorHAnsi"/>
        </w:rPr>
        <w:t>have also considered ‘the individual’ since they are at the centre of why we might wish to think about pain and work from a lifespan development perspective.</w:t>
      </w:r>
    </w:p>
    <w:p w14:paraId="5AB00965" w14:textId="11853FE3" w:rsidR="004D0612" w:rsidRPr="00750AB3" w:rsidRDefault="004D0612" w:rsidP="000311A6">
      <w:pPr>
        <w:pStyle w:val="NoSpacing"/>
        <w:rPr>
          <w:rFonts w:cstheme="minorHAnsi"/>
        </w:rPr>
      </w:pPr>
    </w:p>
    <w:p w14:paraId="3FF09F5D" w14:textId="25121619" w:rsidR="004D0612" w:rsidRPr="00750AB3" w:rsidRDefault="0092080C" w:rsidP="004D0612">
      <w:pPr>
        <w:pStyle w:val="NoSpacing"/>
        <w:jc w:val="center"/>
        <w:rPr>
          <w:rFonts w:cstheme="minorHAnsi"/>
        </w:rPr>
      </w:pPr>
      <w:r w:rsidRPr="00750AB3">
        <w:rPr>
          <w:rFonts w:cstheme="minorHAnsi"/>
        </w:rPr>
        <w:t>[Table 1 about here]</w:t>
      </w:r>
    </w:p>
    <w:p w14:paraId="2F7C8634" w14:textId="1AFF4BBD" w:rsidR="005B7E5D" w:rsidRPr="00750AB3" w:rsidRDefault="005B7E5D" w:rsidP="004D0612">
      <w:pPr>
        <w:pStyle w:val="NoSpacing"/>
        <w:jc w:val="center"/>
        <w:rPr>
          <w:rFonts w:cstheme="minorHAnsi"/>
        </w:rPr>
      </w:pPr>
    </w:p>
    <w:p w14:paraId="4F094B21" w14:textId="0ED51241" w:rsidR="005B7E5D" w:rsidRPr="00750AB3" w:rsidRDefault="005B7E5D" w:rsidP="004D0612">
      <w:pPr>
        <w:pStyle w:val="NoSpacing"/>
        <w:jc w:val="center"/>
        <w:rPr>
          <w:rFonts w:cstheme="minorHAnsi"/>
          <w:b/>
        </w:rPr>
      </w:pPr>
      <w:r w:rsidRPr="00750AB3">
        <w:rPr>
          <w:rFonts w:cstheme="minorHAnsi"/>
          <w:b/>
        </w:rPr>
        <w:t>Table 1: Core research questions and possibilities of intervention</w:t>
      </w:r>
    </w:p>
    <w:p w14:paraId="0179E7FB" w14:textId="385C27FE" w:rsidR="004D0612" w:rsidRPr="00750AB3" w:rsidRDefault="004D0612" w:rsidP="000311A6">
      <w:pPr>
        <w:pStyle w:val="NoSpacing"/>
        <w:rPr>
          <w:rFonts w:cstheme="minorHAnsi"/>
        </w:rPr>
      </w:pPr>
    </w:p>
    <w:tbl>
      <w:tblPr>
        <w:tblStyle w:val="TableGrid"/>
        <w:tblW w:w="0" w:type="auto"/>
        <w:tblLook w:val="04A0" w:firstRow="1" w:lastRow="0" w:firstColumn="1" w:lastColumn="0" w:noHBand="0" w:noVBand="1"/>
      </w:tblPr>
      <w:tblGrid>
        <w:gridCol w:w="3005"/>
        <w:gridCol w:w="3005"/>
        <w:gridCol w:w="3006"/>
      </w:tblGrid>
      <w:tr w:rsidR="00750AB3" w:rsidRPr="00750AB3" w14:paraId="540EC77A" w14:textId="77777777" w:rsidTr="0057527C">
        <w:tc>
          <w:tcPr>
            <w:tcW w:w="3005" w:type="dxa"/>
          </w:tcPr>
          <w:p w14:paraId="1E507070" w14:textId="7CFE4D07" w:rsidR="0057527C" w:rsidRPr="00750AB3" w:rsidRDefault="003F10B2" w:rsidP="000311A6">
            <w:pPr>
              <w:pStyle w:val="NoSpacing"/>
              <w:rPr>
                <w:rFonts w:cstheme="minorHAnsi"/>
                <w:b/>
              </w:rPr>
            </w:pPr>
            <w:r w:rsidRPr="00750AB3">
              <w:rPr>
                <w:rFonts w:cstheme="minorHAnsi"/>
                <w:b/>
              </w:rPr>
              <w:t>Domain</w:t>
            </w:r>
          </w:p>
        </w:tc>
        <w:tc>
          <w:tcPr>
            <w:tcW w:w="3005" w:type="dxa"/>
          </w:tcPr>
          <w:p w14:paraId="0EF62F2A" w14:textId="48E1D4D7" w:rsidR="0057527C" w:rsidRPr="00750AB3" w:rsidRDefault="0057527C" w:rsidP="000311A6">
            <w:pPr>
              <w:pStyle w:val="NoSpacing"/>
              <w:rPr>
                <w:rFonts w:cstheme="minorHAnsi"/>
                <w:b/>
              </w:rPr>
            </w:pPr>
            <w:r w:rsidRPr="00750AB3">
              <w:rPr>
                <w:rFonts w:cstheme="minorHAnsi"/>
                <w:b/>
              </w:rPr>
              <w:t>Research questions</w:t>
            </w:r>
          </w:p>
        </w:tc>
        <w:tc>
          <w:tcPr>
            <w:tcW w:w="3006" w:type="dxa"/>
          </w:tcPr>
          <w:p w14:paraId="157C13C2" w14:textId="7A3D8293" w:rsidR="0057527C" w:rsidRPr="00750AB3" w:rsidRDefault="0057527C" w:rsidP="000311A6">
            <w:pPr>
              <w:pStyle w:val="NoSpacing"/>
              <w:rPr>
                <w:rFonts w:cstheme="minorHAnsi"/>
                <w:b/>
              </w:rPr>
            </w:pPr>
            <w:r w:rsidRPr="00750AB3">
              <w:rPr>
                <w:rFonts w:cstheme="minorHAnsi"/>
                <w:b/>
              </w:rPr>
              <w:t>Intervention possibilities</w:t>
            </w:r>
          </w:p>
        </w:tc>
      </w:tr>
      <w:tr w:rsidR="00750AB3" w:rsidRPr="00750AB3" w14:paraId="4ACF7EAD" w14:textId="77777777" w:rsidTr="0057527C">
        <w:tc>
          <w:tcPr>
            <w:tcW w:w="3005" w:type="dxa"/>
          </w:tcPr>
          <w:p w14:paraId="56077088" w14:textId="613FB101" w:rsidR="0057527C" w:rsidRPr="00E76BD2" w:rsidRDefault="0057527C" w:rsidP="000311A6">
            <w:pPr>
              <w:pStyle w:val="NoSpacing"/>
              <w:rPr>
                <w:rFonts w:cstheme="minorHAnsi"/>
              </w:rPr>
            </w:pPr>
            <w:r w:rsidRPr="00E76BD2">
              <w:rPr>
                <w:rFonts w:cstheme="minorHAnsi"/>
              </w:rPr>
              <w:t>Individual</w:t>
            </w:r>
            <w:r w:rsidR="00337CF6" w:rsidRPr="00E76BD2">
              <w:rPr>
                <w:rFonts w:cstheme="minorHAnsi"/>
              </w:rPr>
              <w:t xml:space="preserve"> </w:t>
            </w:r>
          </w:p>
        </w:tc>
        <w:tc>
          <w:tcPr>
            <w:tcW w:w="3005" w:type="dxa"/>
          </w:tcPr>
          <w:p w14:paraId="7674E9BE" w14:textId="59384007" w:rsidR="0057527C" w:rsidRPr="00E76BD2" w:rsidRDefault="00717A99" w:rsidP="005F54B7">
            <w:pPr>
              <w:pStyle w:val="NoSpacing"/>
              <w:rPr>
                <w:rFonts w:cstheme="minorHAnsi"/>
              </w:rPr>
            </w:pPr>
            <w:r w:rsidRPr="00E76BD2">
              <w:rPr>
                <w:rFonts w:cstheme="minorHAnsi"/>
              </w:rPr>
              <w:t xml:space="preserve">How do individuals experience the cognitive and affective </w:t>
            </w:r>
            <w:r w:rsidR="005F54B7" w:rsidRPr="00E76BD2">
              <w:rPr>
                <w:rFonts w:cstheme="minorHAnsi"/>
              </w:rPr>
              <w:t>effects of pain</w:t>
            </w:r>
            <w:r w:rsidR="00B657EC" w:rsidRPr="00E76BD2">
              <w:rPr>
                <w:rFonts w:cstheme="minorHAnsi"/>
              </w:rPr>
              <w:t>,</w:t>
            </w:r>
            <w:r w:rsidR="003818EF" w:rsidRPr="00E76BD2">
              <w:rPr>
                <w:rFonts w:cstheme="minorHAnsi"/>
              </w:rPr>
              <w:t xml:space="preserve"> in the modern workplace?</w:t>
            </w:r>
          </w:p>
        </w:tc>
        <w:tc>
          <w:tcPr>
            <w:tcW w:w="3006" w:type="dxa"/>
          </w:tcPr>
          <w:p w14:paraId="7E382424" w14:textId="223AA879" w:rsidR="0057527C" w:rsidRPr="00E76BD2" w:rsidRDefault="003B4BA1" w:rsidP="0044778C">
            <w:pPr>
              <w:pStyle w:val="NoSpacing"/>
              <w:rPr>
                <w:rFonts w:cstheme="minorHAnsi"/>
              </w:rPr>
            </w:pPr>
            <w:r w:rsidRPr="00E76BD2">
              <w:rPr>
                <w:rFonts w:cstheme="minorHAnsi"/>
              </w:rPr>
              <w:t>I</w:t>
            </w:r>
            <w:r w:rsidR="00B657EC" w:rsidRPr="00E76BD2">
              <w:rPr>
                <w:rFonts w:cstheme="minorHAnsi"/>
              </w:rPr>
              <w:t xml:space="preserve">nterventions </w:t>
            </w:r>
            <w:r w:rsidRPr="00E76BD2">
              <w:rPr>
                <w:rFonts w:cstheme="minorHAnsi"/>
              </w:rPr>
              <w:t>designed for individuals to</w:t>
            </w:r>
            <w:r w:rsidR="00D204D9" w:rsidRPr="00E76BD2">
              <w:rPr>
                <w:rFonts w:cstheme="minorHAnsi"/>
              </w:rPr>
              <w:t xml:space="preserve"> </w:t>
            </w:r>
            <w:r w:rsidR="003818EF" w:rsidRPr="00E76BD2">
              <w:rPr>
                <w:rFonts w:cstheme="minorHAnsi"/>
              </w:rPr>
              <w:t>isolate and</w:t>
            </w:r>
            <w:r w:rsidR="00D204D9" w:rsidRPr="00E76BD2">
              <w:rPr>
                <w:rFonts w:cstheme="minorHAnsi"/>
              </w:rPr>
              <w:t xml:space="preserve"> </w:t>
            </w:r>
            <w:r w:rsidR="00B657EC" w:rsidRPr="00E76BD2">
              <w:rPr>
                <w:rFonts w:cstheme="minorHAnsi"/>
              </w:rPr>
              <w:t>reduce real time cognitive and affective interruptions at work</w:t>
            </w:r>
            <w:r w:rsidRPr="00E76BD2">
              <w:rPr>
                <w:rFonts w:cstheme="minorHAnsi"/>
              </w:rPr>
              <w:t>.</w:t>
            </w:r>
            <w:r w:rsidR="00D204D9" w:rsidRPr="00E76BD2">
              <w:rPr>
                <w:rFonts w:cstheme="minorHAnsi"/>
              </w:rPr>
              <w:t xml:space="preserve"> </w:t>
            </w:r>
            <w:r w:rsidR="005F54B7" w:rsidRPr="00E76BD2">
              <w:rPr>
                <w:rFonts w:cstheme="minorHAnsi"/>
              </w:rPr>
              <w:t>Interventions might comprise</w:t>
            </w:r>
            <w:r w:rsidR="00B657EC" w:rsidRPr="00E76BD2">
              <w:rPr>
                <w:rFonts w:cstheme="minorHAnsi"/>
              </w:rPr>
              <w:t xml:space="preserve"> </w:t>
            </w:r>
            <w:r w:rsidR="00D204D9" w:rsidRPr="00E76BD2">
              <w:rPr>
                <w:rFonts w:cstheme="minorHAnsi"/>
              </w:rPr>
              <w:t xml:space="preserve">dynamic data collection </w:t>
            </w:r>
            <w:r w:rsidR="005F54B7" w:rsidRPr="00E76BD2">
              <w:rPr>
                <w:rFonts w:cstheme="minorHAnsi"/>
              </w:rPr>
              <w:t xml:space="preserve">methods </w:t>
            </w:r>
            <w:r w:rsidR="00D204D9" w:rsidRPr="00E76BD2">
              <w:rPr>
                <w:rFonts w:cstheme="minorHAnsi"/>
              </w:rPr>
              <w:t xml:space="preserve">and instant </w:t>
            </w:r>
            <w:r w:rsidR="00F57FE2" w:rsidRPr="00E76BD2">
              <w:rPr>
                <w:rFonts w:cstheme="minorHAnsi"/>
              </w:rPr>
              <w:t xml:space="preserve">online feedback mechanisms </w:t>
            </w:r>
            <w:r w:rsidR="005F54B7" w:rsidRPr="00E76BD2">
              <w:rPr>
                <w:rFonts w:cstheme="minorHAnsi"/>
              </w:rPr>
              <w:t>using contextual</w:t>
            </w:r>
            <w:r w:rsidR="0044778C" w:rsidRPr="00E76BD2">
              <w:rPr>
                <w:rFonts w:cstheme="minorHAnsi"/>
              </w:rPr>
              <w:t xml:space="preserve"> cognitive behavioural therapy </w:t>
            </w:r>
            <w:r w:rsidR="00D204D9" w:rsidRPr="00E76BD2">
              <w:rPr>
                <w:rFonts w:cstheme="minorHAnsi"/>
              </w:rPr>
              <w:t>principles</w:t>
            </w:r>
            <w:r w:rsidR="00356CEC" w:rsidRPr="00E76BD2">
              <w:rPr>
                <w:rFonts w:cstheme="minorHAnsi"/>
              </w:rPr>
              <w:t>.</w:t>
            </w:r>
          </w:p>
        </w:tc>
      </w:tr>
      <w:tr w:rsidR="00750AB3" w:rsidRPr="00750AB3" w14:paraId="753644F1" w14:textId="77777777" w:rsidTr="0057527C">
        <w:tc>
          <w:tcPr>
            <w:tcW w:w="3005" w:type="dxa"/>
          </w:tcPr>
          <w:p w14:paraId="074BC857" w14:textId="439B163E" w:rsidR="00C61030" w:rsidRPr="00750AB3" w:rsidRDefault="00C61030" w:rsidP="000311A6">
            <w:pPr>
              <w:pStyle w:val="NoSpacing"/>
              <w:rPr>
                <w:rFonts w:cstheme="minorHAnsi"/>
              </w:rPr>
            </w:pPr>
            <w:r w:rsidRPr="00750AB3">
              <w:rPr>
                <w:rFonts w:cstheme="minorHAnsi"/>
              </w:rPr>
              <w:t>-Individual lifespan approach</w:t>
            </w:r>
          </w:p>
        </w:tc>
        <w:tc>
          <w:tcPr>
            <w:tcW w:w="3005" w:type="dxa"/>
          </w:tcPr>
          <w:p w14:paraId="01516ADB" w14:textId="74B06021" w:rsidR="00C61030" w:rsidRPr="00750AB3" w:rsidRDefault="004E5145" w:rsidP="000311A6">
            <w:pPr>
              <w:pStyle w:val="NoSpacing"/>
              <w:rPr>
                <w:rFonts w:cstheme="minorHAnsi"/>
              </w:rPr>
            </w:pPr>
            <w:r w:rsidRPr="00750AB3">
              <w:rPr>
                <w:rFonts w:cstheme="minorHAnsi"/>
              </w:rPr>
              <w:t>How can we recover developmental impairments associated with pain, such as feeling socially delayed</w:t>
            </w:r>
            <w:r w:rsidR="00D821B3" w:rsidRPr="00750AB3">
              <w:rPr>
                <w:rFonts w:cstheme="minorHAnsi"/>
              </w:rPr>
              <w:t>, to support our working lives</w:t>
            </w:r>
            <w:r w:rsidRPr="00750AB3">
              <w:rPr>
                <w:rFonts w:cstheme="minorHAnsi"/>
              </w:rPr>
              <w:t xml:space="preserve">?  </w:t>
            </w:r>
          </w:p>
        </w:tc>
        <w:tc>
          <w:tcPr>
            <w:tcW w:w="3006" w:type="dxa"/>
          </w:tcPr>
          <w:p w14:paraId="2B7CFE58" w14:textId="413FD4E5" w:rsidR="00C61030" w:rsidRPr="00750AB3" w:rsidRDefault="009B18FA" w:rsidP="008E3C39">
            <w:pPr>
              <w:pStyle w:val="NoSpacing"/>
              <w:rPr>
                <w:rFonts w:cstheme="minorHAnsi"/>
              </w:rPr>
            </w:pPr>
            <w:r>
              <w:t xml:space="preserve">Individualised support which recognises that, for example, the key to </w:t>
            </w:r>
            <w:r w:rsidR="008E3C39">
              <w:t xml:space="preserve">occupational </w:t>
            </w:r>
            <w:r>
              <w:t xml:space="preserve">success for one person might be treating anxiety </w:t>
            </w:r>
            <w:r w:rsidR="008E3C39">
              <w:t>about</w:t>
            </w:r>
            <w:r>
              <w:t xml:space="preserve"> social elements of working practices and the workplace setting, whereas </w:t>
            </w:r>
            <w:r w:rsidRPr="00147609">
              <w:t>for another it ma</w:t>
            </w:r>
            <w:r w:rsidR="008E3C39">
              <w:t xml:space="preserve">y be most important to help </w:t>
            </w:r>
            <w:r>
              <w:t xml:space="preserve">colleagues and managers </w:t>
            </w:r>
            <w:r w:rsidRPr="00147609">
              <w:t xml:space="preserve">understand the pain issues and respond to the </w:t>
            </w:r>
            <w:r>
              <w:t>worker</w:t>
            </w:r>
            <w:r w:rsidRPr="00147609">
              <w:t xml:space="preserve"> supportively</w:t>
            </w:r>
            <w:r>
              <w:t>.</w:t>
            </w:r>
            <w:r w:rsidR="008E3C39">
              <w:t xml:space="preserve"> </w:t>
            </w:r>
          </w:p>
        </w:tc>
      </w:tr>
      <w:tr w:rsidR="00750AB3" w:rsidRPr="00750AB3" w14:paraId="38B0F09F" w14:textId="77777777" w:rsidTr="0057527C">
        <w:tc>
          <w:tcPr>
            <w:tcW w:w="3005" w:type="dxa"/>
          </w:tcPr>
          <w:p w14:paraId="3E90ACB4" w14:textId="6B849431" w:rsidR="00D26024" w:rsidRPr="00750AB3" w:rsidRDefault="0020698B" w:rsidP="000311A6">
            <w:pPr>
              <w:pStyle w:val="NoSpacing"/>
              <w:rPr>
                <w:rFonts w:cstheme="minorHAnsi"/>
              </w:rPr>
            </w:pPr>
            <w:r w:rsidRPr="00750AB3">
              <w:rPr>
                <w:rFonts w:cstheme="minorHAnsi"/>
              </w:rPr>
              <w:t>-Individual lifespan approach</w:t>
            </w:r>
          </w:p>
        </w:tc>
        <w:tc>
          <w:tcPr>
            <w:tcW w:w="3005" w:type="dxa"/>
          </w:tcPr>
          <w:p w14:paraId="4F3E4E41" w14:textId="729F8698" w:rsidR="00D26024" w:rsidRPr="00750AB3" w:rsidRDefault="00D26024" w:rsidP="003818EF">
            <w:pPr>
              <w:pStyle w:val="NoSpacing"/>
              <w:rPr>
                <w:rFonts w:cstheme="minorHAnsi"/>
              </w:rPr>
            </w:pPr>
            <w:r w:rsidRPr="00750AB3">
              <w:rPr>
                <w:rFonts w:cstheme="minorHAnsi"/>
              </w:rPr>
              <w:t>How can we respond to the</w:t>
            </w:r>
            <w:r w:rsidR="00D821B3" w:rsidRPr="00750AB3">
              <w:rPr>
                <w:rFonts w:cstheme="minorHAnsi"/>
              </w:rPr>
              <w:t xml:space="preserve"> psychological and physical</w:t>
            </w:r>
            <w:r w:rsidRPr="00750AB3">
              <w:rPr>
                <w:rFonts w:cstheme="minorHAnsi"/>
              </w:rPr>
              <w:t xml:space="preserve"> challenge</w:t>
            </w:r>
            <w:r w:rsidR="00D821B3" w:rsidRPr="00750AB3">
              <w:rPr>
                <w:rFonts w:cstheme="minorHAnsi"/>
              </w:rPr>
              <w:t>s</w:t>
            </w:r>
            <w:r w:rsidRPr="00750AB3">
              <w:rPr>
                <w:rFonts w:cstheme="minorHAnsi"/>
              </w:rPr>
              <w:t xml:space="preserve"> of pain </w:t>
            </w:r>
            <w:r w:rsidR="00561CE3" w:rsidRPr="00750AB3">
              <w:rPr>
                <w:rFonts w:cstheme="minorHAnsi"/>
              </w:rPr>
              <w:t xml:space="preserve">regarding our identity as a producer, </w:t>
            </w:r>
            <w:r w:rsidR="003818EF" w:rsidRPr="00750AB3">
              <w:rPr>
                <w:rFonts w:cstheme="minorHAnsi"/>
              </w:rPr>
              <w:t>as we change and age</w:t>
            </w:r>
            <w:r w:rsidR="00561CE3" w:rsidRPr="00750AB3">
              <w:rPr>
                <w:rFonts w:cstheme="minorHAnsi"/>
              </w:rPr>
              <w:t xml:space="preserve">? </w:t>
            </w:r>
          </w:p>
        </w:tc>
        <w:tc>
          <w:tcPr>
            <w:tcW w:w="3006" w:type="dxa"/>
          </w:tcPr>
          <w:p w14:paraId="244CFDCA" w14:textId="5DE4DC92" w:rsidR="00D26024" w:rsidRPr="00750AB3" w:rsidRDefault="004E5145" w:rsidP="000311A6">
            <w:pPr>
              <w:pStyle w:val="NoSpacing"/>
              <w:rPr>
                <w:rFonts w:cstheme="minorHAnsi"/>
              </w:rPr>
            </w:pPr>
            <w:r w:rsidRPr="00750AB3">
              <w:rPr>
                <w:rFonts w:cstheme="minorHAnsi"/>
              </w:rPr>
              <w:t>Interventions using psychological, vocational</w:t>
            </w:r>
            <w:r w:rsidR="000C0365" w:rsidRPr="00750AB3">
              <w:rPr>
                <w:rFonts w:cstheme="minorHAnsi"/>
              </w:rPr>
              <w:t>,</w:t>
            </w:r>
            <w:r w:rsidRPr="00750AB3">
              <w:rPr>
                <w:rFonts w:cstheme="minorHAnsi"/>
              </w:rPr>
              <w:t xml:space="preserve"> and physiotherapy support, to enable meaningful occupation across the lifespan</w:t>
            </w:r>
            <w:r w:rsidR="00356CEC" w:rsidRPr="00750AB3">
              <w:rPr>
                <w:rFonts w:cstheme="minorHAnsi"/>
              </w:rPr>
              <w:t>.</w:t>
            </w:r>
          </w:p>
        </w:tc>
      </w:tr>
      <w:tr w:rsidR="00750AB3" w:rsidRPr="00750AB3" w14:paraId="54DE2525" w14:textId="77777777" w:rsidTr="00EA45E0">
        <w:tc>
          <w:tcPr>
            <w:tcW w:w="3005" w:type="dxa"/>
          </w:tcPr>
          <w:p w14:paraId="143D4060" w14:textId="14956CAB" w:rsidR="00C12192" w:rsidRPr="00750AB3" w:rsidRDefault="00C12192" w:rsidP="00EA45E0">
            <w:pPr>
              <w:pStyle w:val="NoSpacing"/>
              <w:rPr>
                <w:rFonts w:cstheme="minorHAnsi"/>
              </w:rPr>
            </w:pPr>
            <w:r w:rsidRPr="00750AB3">
              <w:rPr>
                <w:rFonts w:cstheme="minorHAnsi"/>
              </w:rPr>
              <w:t>Public Health</w:t>
            </w:r>
          </w:p>
        </w:tc>
        <w:tc>
          <w:tcPr>
            <w:tcW w:w="3005" w:type="dxa"/>
          </w:tcPr>
          <w:p w14:paraId="3B025667" w14:textId="7EDA605C" w:rsidR="00C12192" w:rsidRPr="00750AB3" w:rsidRDefault="00C12192" w:rsidP="00C12192">
            <w:pPr>
              <w:pStyle w:val="NoSpacing"/>
              <w:rPr>
                <w:rFonts w:cstheme="minorHAnsi"/>
              </w:rPr>
            </w:pPr>
            <w:r w:rsidRPr="00750AB3">
              <w:rPr>
                <w:rFonts w:cstheme="minorHAnsi"/>
              </w:rPr>
              <w:t>How do systematic socioeconomic factors interact with individual psychological factors to maintain negative effects of pain at work? What can we do to reduce negative interactions (e.g.</w:t>
            </w:r>
            <w:r w:rsidR="000C0365" w:rsidRPr="00750AB3">
              <w:rPr>
                <w:rFonts w:cstheme="minorHAnsi"/>
              </w:rPr>
              <w:t>,</w:t>
            </w:r>
            <w:r w:rsidRPr="00750AB3">
              <w:rPr>
                <w:rFonts w:cstheme="minorHAnsi"/>
              </w:rPr>
              <w:t xml:space="preserve"> stigma from poverty combining with poor recovery expectancies?) </w:t>
            </w:r>
          </w:p>
          <w:p w14:paraId="0CDB53E2" w14:textId="77777777" w:rsidR="00C12192" w:rsidRPr="00750AB3" w:rsidDel="00FA2F79" w:rsidRDefault="00C12192" w:rsidP="00EA45E0">
            <w:pPr>
              <w:pStyle w:val="NoSpacing"/>
              <w:rPr>
                <w:rFonts w:cstheme="minorHAnsi"/>
              </w:rPr>
            </w:pPr>
          </w:p>
        </w:tc>
        <w:tc>
          <w:tcPr>
            <w:tcW w:w="3006" w:type="dxa"/>
          </w:tcPr>
          <w:p w14:paraId="552DB0A2" w14:textId="6317DFD7" w:rsidR="00867229" w:rsidRPr="00750AB3" w:rsidRDefault="00867229" w:rsidP="00C12192">
            <w:pPr>
              <w:pStyle w:val="NoSpacing"/>
              <w:rPr>
                <w:rFonts w:ascii="Arial" w:hAnsi="Arial" w:cs="Arial"/>
              </w:rPr>
            </w:pPr>
            <w:r w:rsidRPr="00750AB3">
              <w:rPr>
                <w:rFonts w:ascii="Arial" w:hAnsi="Arial" w:cs="Arial"/>
              </w:rPr>
              <w:t xml:space="preserve"> Multi-level interventions (population and individual levels) </w:t>
            </w:r>
            <w:r w:rsidRPr="00750AB3">
              <w:rPr>
                <w:rFonts w:ascii="Arial" w:hAnsi="Arial" w:cs="Arial"/>
                <w:shd w:val="clear" w:color="auto" w:fill="FFFFFF"/>
              </w:rPr>
              <w:t>which promote community and individual resilience,</w:t>
            </w:r>
            <w:r w:rsidRPr="00750AB3">
              <w:rPr>
                <w:rFonts w:ascii="Arial" w:hAnsi="Arial" w:cs="Arial"/>
              </w:rPr>
              <w:t xml:space="preserve"> including public and individual education and social marketing to promote “the process of effectively adapting to or managing significant source of stress or trauma”, including stress and trauma from poverty. Additional population-level interventions include reduction of social inequalities and provision of health-promoting work environments that reduce risk factors for work-related pain conditions.</w:t>
            </w:r>
          </w:p>
        </w:tc>
      </w:tr>
      <w:tr w:rsidR="00750AB3" w:rsidRPr="00750AB3" w14:paraId="54E4A507" w14:textId="77777777" w:rsidTr="00EA45E0">
        <w:tc>
          <w:tcPr>
            <w:tcW w:w="3005" w:type="dxa"/>
          </w:tcPr>
          <w:p w14:paraId="72CE886C" w14:textId="25F32B34" w:rsidR="00C12192" w:rsidRPr="00750AB3" w:rsidRDefault="00C12192" w:rsidP="00EA45E0">
            <w:pPr>
              <w:pStyle w:val="NoSpacing"/>
              <w:rPr>
                <w:rFonts w:cstheme="minorHAnsi"/>
              </w:rPr>
            </w:pPr>
            <w:r w:rsidRPr="00750AB3">
              <w:rPr>
                <w:rFonts w:cstheme="minorHAnsi"/>
              </w:rPr>
              <w:t>-Public health lifespan approach</w:t>
            </w:r>
          </w:p>
        </w:tc>
        <w:tc>
          <w:tcPr>
            <w:tcW w:w="3005" w:type="dxa"/>
          </w:tcPr>
          <w:p w14:paraId="1D7F0B9A" w14:textId="77777777" w:rsidR="00C12192" w:rsidRPr="00750AB3" w:rsidRDefault="00C12192" w:rsidP="00C12192">
            <w:pPr>
              <w:pStyle w:val="NoSpacing"/>
              <w:rPr>
                <w:rFonts w:cstheme="minorHAnsi"/>
              </w:rPr>
            </w:pPr>
            <w:r w:rsidRPr="00750AB3">
              <w:rPr>
                <w:rFonts w:cstheme="minorHAnsi"/>
              </w:rPr>
              <w:t xml:space="preserve">How can we support early academic attainment achieved despite deprivation, such that there is a positive relationship between this and later work outcomes?  </w:t>
            </w:r>
          </w:p>
          <w:p w14:paraId="78549D81" w14:textId="77777777" w:rsidR="00C12192" w:rsidRPr="00750AB3" w:rsidDel="00FA2F79" w:rsidRDefault="00C12192" w:rsidP="00EA45E0">
            <w:pPr>
              <w:pStyle w:val="NoSpacing"/>
              <w:rPr>
                <w:rFonts w:cstheme="minorHAnsi"/>
              </w:rPr>
            </w:pPr>
          </w:p>
        </w:tc>
        <w:tc>
          <w:tcPr>
            <w:tcW w:w="3006" w:type="dxa"/>
          </w:tcPr>
          <w:p w14:paraId="612B4AE2" w14:textId="59AE71C1" w:rsidR="00C12192" w:rsidRPr="00750AB3" w:rsidRDefault="00867229" w:rsidP="00EA45E0">
            <w:pPr>
              <w:pStyle w:val="NoSpacing"/>
              <w:rPr>
                <w:rFonts w:ascii="Arial" w:hAnsi="Arial" w:cs="Arial"/>
              </w:rPr>
            </w:pPr>
            <w:r w:rsidRPr="00750AB3">
              <w:rPr>
                <w:rFonts w:ascii="Arial" w:hAnsi="Arial" w:cs="Arial"/>
              </w:rPr>
              <w:t xml:space="preserve">Multi-level interventions focus on sensitive period during the life course (e.g., childhood, early adolescence), preparing young adults for healthier later life and passing health to the next generation. These interventions need to focus on developing academic skills and assets such as self-efficacy for health-promoting behaviours while also addressing the social and environmental influences to enable educational attainment and behaviours change. Population-level interventions (school-based and area-focused interventions) include enhancing parental involvement in children’s education and improving access to further and higher education. </w:t>
            </w:r>
          </w:p>
        </w:tc>
      </w:tr>
      <w:tr w:rsidR="00750AB3" w:rsidRPr="00750AB3" w14:paraId="16A6711C" w14:textId="77777777" w:rsidTr="00EA45E0">
        <w:tc>
          <w:tcPr>
            <w:tcW w:w="3005" w:type="dxa"/>
          </w:tcPr>
          <w:p w14:paraId="70361AD7" w14:textId="587FA693" w:rsidR="00335738" w:rsidRPr="00750AB3" w:rsidRDefault="00335738" w:rsidP="00335738">
            <w:pPr>
              <w:pStyle w:val="NoSpacing"/>
              <w:rPr>
                <w:rFonts w:cstheme="minorHAnsi"/>
              </w:rPr>
            </w:pPr>
            <w:r w:rsidRPr="00750AB3">
              <w:rPr>
                <w:rFonts w:cstheme="minorHAnsi"/>
              </w:rPr>
              <w:t>Occupational health</w:t>
            </w:r>
          </w:p>
          <w:p w14:paraId="257F2BE5" w14:textId="77777777" w:rsidR="0039721A" w:rsidRPr="00750AB3" w:rsidRDefault="0039721A" w:rsidP="00EA45E0">
            <w:pPr>
              <w:pStyle w:val="NoSpacing"/>
              <w:rPr>
                <w:rFonts w:cstheme="minorHAnsi"/>
              </w:rPr>
            </w:pPr>
          </w:p>
        </w:tc>
        <w:tc>
          <w:tcPr>
            <w:tcW w:w="3005" w:type="dxa"/>
          </w:tcPr>
          <w:p w14:paraId="1633904C" w14:textId="77777777" w:rsidR="00335738" w:rsidRPr="00750AB3" w:rsidRDefault="00335738" w:rsidP="00335738">
            <w:pPr>
              <w:pStyle w:val="NoSpacing"/>
              <w:rPr>
                <w:rFonts w:cstheme="minorHAnsi"/>
              </w:rPr>
            </w:pPr>
            <w:r w:rsidRPr="00750AB3">
              <w:rPr>
                <w:rFonts w:cstheme="minorHAnsi"/>
              </w:rPr>
              <w:t>How can we best provide occupational health for all?</w:t>
            </w:r>
          </w:p>
          <w:p w14:paraId="1AC3C337" w14:textId="77777777" w:rsidR="0039721A" w:rsidRPr="00750AB3" w:rsidDel="00FA2F79" w:rsidRDefault="0039721A" w:rsidP="00EA45E0">
            <w:pPr>
              <w:pStyle w:val="NoSpacing"/>
              <w:rPr>
                <w:rFonts w:cstheme="minorHAnsi"/>
              </w:rPr>
            </w:pPr>
          </w:p>
        </w:tc>
        <w:tc>
          <w:tcPr>
            <w:tcW w:w="3006" w:type="dxa"/>
          </w:tcPr>
          <w:p w14:paraId="6324D258" w14:textId="367AB292" w:rsidR="0039721A" w:rsidRPr="00750AB3" w:rsidRDefault="00335738" w:rsidP="00DF03AF">
            <w:pPr>
              <w:pStyle w:val="NoSpacing"/>
              <w:rPr>
                <w:rFonts w:cstheme="minorHAnsi"/>
              </w:rPr>
            </w:pPr>
            <w:r w:rsidRPr="00750AB3">
              <w:rPr>
                <w:rFonts w:cstheme="minorHAnsi"/>
              </w:rPr>
              <w:t xml:space="preserve">Early individualised interventions by non-medical but vocationally trained advisors, alongside occupational health professionals, </w:t>
            </w:r>
            <w:r w:rsidR="007C2BE9" w:rsidRPr="006A6D5A">
              <w:rPr>
                <w:rFonts w:ascii="Arial" w:hAnsi="Arial" w:cs="Arial"/>
              </w:rPr>
              <w:t>Individual Placement and Support</w:t>
            </w:r>
            <w:r w:rsidR="00D13D80">
              <w:rPr>
                <w:rFonts w:cstheme="minorHAnsi"/>
              </w:rPr>
              <w:t xml:space="preserve"> and case management, all </w:t>
            </w:r>
            <w:r w:rsidRPr="00750AB3">
              <w:rPr>
                <w:rFonts w:cstheme="minorHAnsi"/>
              </w:rPr>
              <w:t>show promise.</w:t>
            </w:r>
          </w:p>
        </w:tc>
      </w:tr>
      <w:tr w:rsidR="00750AB3" w:rsidRPr="00750AB3" w14:paraId="564BCE29" w14:textId="77777777" w:rsidTr="00EA45E0">
        <w:tc>
          <w:tcPr>
            <w:tcW w:w="3005" w:type="dxa"/>
          </w:tcPr>
          <w:p w14:paraId="266EF7B3" w14:textId="3AB63D5D" w:rsidR="0039721A" w:rsidRPr="00750AB3" w:rsidRDefault="00335738" w:rsidP="00EA45E0">
            <w:pPr>
              <w:pStyle w:val="NoSpacing"/>
              <w:rPr>
                <w:rFonts w:cstheme="minorHAnsi"/>
              </w:rPr>
            </w:pPr>
            <w:r w:rsidRPr="00750AB3">
              <w:rPr>
                <w:rFonts w:cstheme="minorHAnsi"/>
              </w:rPr>
              <w:t>-Occupational health lifespan approach</w:t>
            </w:r>
          </w:p>
        </w:tc>
        <w:tc>
          <w:tcPr>
            <w:tcW w:w="3005" w:type="dxa"/>
          </w:tcPr>
          <w:p w14:paraId="1A167D20" w14:textId="77777777" w:rsidR="00335738" w:rsidRPr="00750AB3" w:rsidRDefault="00335738" w:rsidP="00335738">
            <w:pPr>
              <w:pStyle w:val="NoSpacing"/>
              <w:rPr>
                <w:rFonts w:cstheme="minorHAnsi"/>
              </w:rPr>
            </w:pPr>
            <w:r w:rsidRPr="00750AB3">
              <w:rPr>
                <w:rFonts w:cstheme="minorHAnsi"/>
              </w:rPr>
              <w:t xml:space="preserve">How can we embed the principle that good work, and more broadly occupation, is linked to positive health outcomes, throughout our productive lives? </w:t>
            </w:r>
          </w:p>
          <w:p w14:paraId="6AC6A5E2" w14:textId="2DE9BB97" w:rsidR="00335738" w:rsidRPr="00750AB3" w:rsidRDefault="00335738" w:rsidP="00335738">
            <w:pPr>
              <w:pStyle w:val="NoSpacing"/>
              <w:rPr>
                <w:rFonts w:cstheme="minorHAnsi"/>
              </w:rPr>
            </w:pPr>
          </w:p>
          <w:p w14:paraId="0A216266" w14:textId="61D6AFC2" w:rsidR="0039721A" w:rsidRPr="00750AB3" w:rsidDel="00FA2F79" w:rsidRDefault="00335738" w:rsidP="00335738">
            <w:pPr>
              <w:pStyle w:val="NoSpacing"/>
              <w:rPr>
                <w:rFonts w:cstheme="minorHAnsi"/>
              </w:rPr>
            </w:pPr>
            <w:r w:rsidRPr="00750AB3">
              <w:rPr>
                <w:rFonts w:cstheme="minorHAnsi"/>
              </w:rPr>
              <w:t>Who could be the agents of behaviour change to promote good work for health? How can we involve ourselves as individuals, our teachers, families, healthcare professionals (not only in primary care but in other settings including secondary care, allied health professionals and first contact practitioners), employers and organisations?</w:t>
            </w:r>
          </w:p>
        </w:tc>
        <w:tc>
          <w:tcPr>
            <w:tcW w:w="3006" w:type="dxa"/>
          </w:tcPr>
          <w:p w14:paraId="52712903" w14:textId="76B91051" w:rsidR="008B7763" w:rsidRPr="00750AB3" w:rsidRDefault="008B7763" w:rsidP="00C85131">
            <w:pPr>
              <w:pStyle w:val="NoSpacing"/>
              <w:rPr>
                <w:rFonts w:cstheme="minorHAnsi"/>
              </w:rPr>
            </w:pPr>
          </w:p>
          <w:p w14:paraId="34B3DBE0" w14:textId="4F8E2203" w:rsidR="008B7763" w:rsidRPr="00750AB3" w:rsidRDefault="008B7763" w:rsidP="00C85131">
            <w:pPr>
              <w:pStyle w:val="NoSpacing"/>
              <w:rPr>
                <w:rFonts w:cstheme="minorHAnsi"/>
              </w:rPr>
            </w:pPr>
          </w:p>
          <w:p w14:paraId="34B680CA" w14:textId="2387C3E0" w:rsidR="002A0A01" w:rsidRDefault="002A0A01" w:rsidP="00C85131">
            <w:pPr>
              <w:pStyle w:val="NoSpacing"/>
              <w:rPr>
                <w:rFonts w:cstheme="minorHAnsi"/>
              </w:rPr>
            </w:pPr>
          </w:p>
          <w:p w14:paraId="2A723015" w14:textId="22657560" w:rsidR="002A0A01" w:rsidRDefault="002A0A01" w:rsidP="00C85131">
            <w:pPr>
              <w:pStyle w:val="NoSpacing"/>
              <w:rPr>
                <w:rFonts w:cstheme="minorHAnsi"/>
              </w:rPr>
            </w:pPr>
          </w:p>
          <w:p w14:paraId="2954B7B9" w14:textId="1A730DAB" w:rsidR="002A0A01" w:rsidRDefault="002A0A01" w:rsidP="00C85131">
            <w:pPr>
              <w:pStyle w:val="NoSpacing"/>
              <w:rPr>
                <w:rFonts w:cstheme="minorHAnsi"/>
              </w:rPr>
            </w:pPr>
          </w:p>
          <w:p w14:paraId="4AE022DA" w14:textId="4FB9B431" w:rsidR="002A0A01" w:rsidRDefault="002A0A01" w:rsidP="00C85131">
            <w:pPr>
              <w:pStyle w:val="NoSpacing"/>
              <w:rPr>
                <w:rFonts w:cstheme="minorHAnsi"/>
              </w:rPr>
            </w:pPr>
          </w:p>
          <w:p w14:paraId="2242A082" w14:textId="4E610B21" w:rsidR="002A0A01" w:rsidRDefault="002A0A01" w:rsidP="00C85131">
            <w:pPr>
              <w:pStyle w:val="NoSpacing"/>
              <w:rPr>
                <w:rFonts w:cstheme="minorHAnsi"/>
              </w:rPr>
            </w:pPr>
          </w:p>
          <w:p w14:paraId="7BF4C6B4" w14:textId="77777777" w:rsidR="002A0A01" w:rsidRPr="00750AB3" w:rsidRDefault="002A0A01" w:rsidP="00C85131">
            <w:pPr>
              <w:pStyle w:val="NoSpacing"/>
              <w:rPr>
                <w:rFonts w:cstheme="minorHAnsi"/>
              </w:rPr>
            </w:pPr>
          </w:p>
          <w:p w14:paraId="583F1331" w14:textId="75E71697" w:rsidR="008B7763" w:rsidRPr="00750AB3" w:rsidRDefault="008B7763" w:rsidP="008B7763">
            <w:pPr>
              <w:pStyle w:val="NoSpacing"/>
              <w:rPr>
                <w:rFonts w:cstheme="minorHAnsi"/>
              </w:rPr>
            </w:pPr>
            <w:r w:rsidRPr="00750AB3">
              <w:rPr>
                <w:rFonts w:cstheme="minorHAnsi"/>
              </w:rPr>
              <w:t>Interventions in which pharmacists’ medicine use reviews include a question about the effect of pain on work or other meaningful occupational activity that their patients are doing.</w:t>
            </w:r>
          </w:p>
          <w:p w14:paraId="7ECFC47B" w14:textId="77777777" w:rsidR="008B7763" w:rsidRPr="00750AB3" w:rsidRDefault="008B7763" w:rsidP="00C85131">
            <w:pPr>
              <w:pStyle w:val="NoSpacing"/>
              <w:rPr>
                <w:rFonts w:cstheme="minorHAnsi"/>
              </w:rPr>
            </w:pPr>
          </w:p>
          <w:p w14:paraId="3DC8AAC3" w14:textId="77777777" w:rsidR="0039721A" w:rsidRPr="00750AB3" w:rsidRDefault="0039721A" w:rsidP="00EA45E0">
            <w:pPr>
              <w:pStyle w:val="NoSpacing"/>
              <w:rPr>
                <w:rFonts w:cstheme="minorHAnsi"/>
              </w:rPr>
            </w:pPr>
          </w:p>
        </w:tc>
      </w:tr>
      <w:tr w:rsidR="00750AB3" w:rsidRPr="00750AB3" w14:paraId="6AF4FC24" w14:textId="77777777" w:rsidTr="00EA45E0">
        <w:tc>
          <w:tcPr>
            <w:tcW w:w="3005" w:type="dxa"/>
          </w:tcPr>
          <w:p w14:paraId="047D2C35" w14:textId="77777777" w:rsidR="00274F98" w:rsidRPr="00750AB3" w:rsidRDefault="00274F98" w:rsidP="00EA45E0">
            <w:pPr>
              <w:pStyle w:val="NoSpacing"/>
              <w:rPr>
                <w:rFonts w:cstheme="minorHAnsi"/>
              </w:rPr>
            </w:pPr>
            <w:r w:rsidRPr="00750AB3">
              <w:rPr>
                <w:rFonts w:cstheme="minorHAnsi"/>
              </w:rPr>
              <w:t>Disability prevention</w:t>
            </w:r>
          </w:p>
        </w:tc>
        <w:tc>
          <w:tcPr>
            <w:tcW w:w="3005" w:type="dxa"/>
          </w:tcPr>
          <w:p w14:paraId="51158DEC" w14:textId="37F5E136" w:rsidR="00274F98" w:rsidRPr="00750AB3" w:rsidRDefault="00FA2F79" w:rsidP="00EA45E0">
            <w:pPr>
              <w:pStyle w:val="NoSpacing"/>
              <w:rPr>
                <w:rFonts w:cstheme="minorHAnsi"/>
              </w:rPr>
            </w:pPr>
            <w:r w:rsidRPr="00750AB3">
              <w:rPr>
                <w:rFonts w:cstheme="minorHAnsi"/>
              </w:rPr>
              <w:t>W</w:t>
            </w:r>
            <w:r w:rsidR="009B5037" w:rsidRPr="00750AB3">
              <w:rPr>
                <w:rFonts w:cstheme="minorHAnsi"/>
              </w:rPr>
              <w:t>e know pain and disability do not correlate well</w:t>
            </w:r>
            <w:r w:rsidR="00356CEC" w:rsidRPr="00750AB3">
              <w:rPr>
                <w:rFonts w:cstheme="minorHAnsi"/>
              </w:rPr>
              <w:t>.</w:t>
            </w:r>
            <w:r w:rsidRPr="00750AB3">
              <w:rPr>
                <w:rFonts w:cstheme="minorHAnsi"/>
              </w:rPr>
              <w:t xml:space="preserve"> Which pain-related psychological variables contribute unique variance to disability predictions?</w:t>
            </w:r>
            <w:r w:rsidR="00B16E81" w:rsidRPr="00750AB3">
              <w:t xml:space="preserve"> Which are the best combinations of variables/therapeutic targets given the well-known inter-relationships between them?</w:t>
            </w:r>
          </w:p>
        </w:tc>
        <w:tc>
          <w:tcPr>
            <w:tcW w:w="3006" w:type="dxa"/>
          </w:tcPr>
          <w:p w14:paraId="78285754" w14:textId="77777777" w:rsidR="007D60A5" w:rsidRPr="00750AB3" w:rsidRDefault="00274F98" w:rsidP="00EA45E0">
            <w:pPr>
              <w:pStyle w:val="NoSpacing"/>
              <w:rPr>
                <w:rFonts w:cstheme="minorHAnsi"/>
              </w:rPr>
            </w:pPr>
            <w:r w:rsidRPr="00750AB3">
              <w:rPr>
                <w:rFonts w:cstheme="minorHAnsi"/>
              </w:rPr>
              <w:t>Interventions</w:t>
            </w:r>
            <w:r w:rsidR="007D60A5" w:rsidRPr="00750AB3">
              <w:rPr>
                <w:rFonts w:cstheme="minorHAnsi"/>
              </w:rPr>
              <w:t xml:space="preserve"> with assessment protocols</w:t>
            </w:r>
            <w:r w:rsidRPr="00750AB3">
              <w:rPr>
                <w:rFonts w:cstheme="minorHAnsi"/>
              </w:rPr>
              <w:t xml:space="preserve"> </w:t>
            </w:r>
            <w:r w:rsidR="007D60A5" w:rsidRPr="00750AB3">
              <w:rPr>
                <w:rFonts w:cstheme="minorHAnsi"/>
              </w:rPr>
              <w:t>increasingly streamlined to focus on variables with the highest predictive values</w:t>
            </w:r>
          </w:p>
          <w:p w14:paraId="42F27811" w14:textId="00565337" w:rsidR="00925137" w:rsidRPr="00750AB3" w:rsidRDefault="00925137" w:rsidP="00EA45E0">
            <w:pPr>
              <w:pStyle w:val="NoSpacing"/>
              <w:rPr>
                <w:rFonts w:cstheme="minorHAnsi"/>
              </w:rPr>
            </w:pPr>
          </w:p>
        </w:tc>
      </w:tr>
      <w:tr w:rsidR="00B4261E" w:rsidRPr="00750AB3" w14:paraId="2FD60338" w14:textId="77777777" w:rsidTr="00231087">
        <w:tc>
          <w:tcPr>
            <w:tcW w:w="3005" w:type="dxa"/>
          </w:tcPr>
          <w:p w14:paraId="7BC6C85A" w14:textId="1349ED62" w:rsidR="00B4261E" w:rsidRPr="001251AB" w:rsidRDefault="00C9561E" w:rsidP="00231087">
            <w:pPr>
              <w:pStyle w:val="NoSpacing"/>
              <w:rPr>
                <w:rFonts w:cstheme="minorHAnsi"/>
              </w:rPr>
            </w:pPr>
            <w:r>
              <w:rPr>
                <w:rFonts w:cstheme="minorHAnsi"/>
              </w:rPr>
              <w:t>-</w:t>
            </w:r>
            <w:r w:rsidR="004E10CD" w:rsidRPr="001251AB">
              <w:rPr>
                <w:rFonts w:cstheme="minorHAnsi"/>
              </w:rPr>
              <w:t>Disability prevention lifespan approach</w:t>
            </w:r>
            <w:r w:rsidR="004E10CD" w:rsidRPr="001251AB" w:rsidDel="00467664">
              <w:rPr>
                <w:rFonts w:cstheme="minorHAnsi"/>
              </w:rPr>
              <w:t xml:space="preserve"> </w:t>
            </w:r>
          </w:p>
        </w:tc>
        <w:tc>
          <w:tcPr>
            <w:tcW w:w="3005" w:type="dxa"/>
          </w:tcPr>
          <w:p w14:paraId="140115FD" w14:textId="6F9EE6CF" w:rsidR="00B4261E" w:rsidRPr="001251AB" w:rsidRDefault="004E10CD" w:rsidP="00231087">
            <w:pPr>
              <w:pStyle w:val="NoSpacing"/>
              <w:rPr>
                <w:rFonts w:cstheme="minorHAnsi"/>
              </w:rPr>
            </w:pPr>
            <w:r w:rsidRPr="001251AB">
              <w:rPr>
                <w:rFonts w:cstheme="minorHAnsi"/>
              </w:rPr>
              <w:t>Do which pain-related psychological variables contribute unique variance to disability predictions change as we move along the working age continuum?  For example, are the</w:t>
            </w:r>
            <w:r w:rsidR="00615EC6">
              <w:rPr>
                <w:rFonts w:cstheme="minorHAnsi"/>
              </w:rPr>
              <w:t>re</w:t>
            </w:r>
            <w:r w:rsidRPr="001251AB">
              <w:rPr>
                <w:rFonts w:cstheme="minorHAnsi"/>
              </w:rPr>
              <w:t xml:space="preserve"> differences in this respect</w:t>
            </w:r>
            <w:r w:rsidR="006F6738">
              <w:rPr>
                <w:rFonts w:cstheme="minorHAnsi"/>
              </w:rPr>
              <w:t xml:space="preserve"> </w:t>
            </w:r>
            <w:r w:rsidR="00F06E1A">
              <w:rPr>
                <w:rFonts w:cstheme="minorHAnsi"/>
              </w:rPr>
              <w:t>between</w:t>
            </w:r>
            <w:r w:rsidRPr="001251AB">
              <w:rPr>
                <w:rFonts w:cstheme="minorHAnsi"/>
              </w:rPr>
              <w:t xml:space="preserve"> those entering the labour market for the first time and those extending their working life as a response to Government pension policy changes? </w:t>
            </w:r>
          </w:p>
        </w:tc>
        <w:tc>
          <w:tcPr>
            <w:tcW w:w="3006" w:type="dxa"/>
          </w:tcPr>
          <w:p w14:paraId="08B556F7" w14:textId="3E09871D" w:rsidR="00B4261E" w:rsidRPr="00CD7113" w:rsidRDefault="003E2274">
            <w:pPr>
              <w:pStyle w:val="NoSpacing"/>
              <w:rPr>
                <w:rFonts w:cstheme="minorHAnsi"/>
                <w:highlight w:val="yellow"/>
              </w:rPr>
            </w:pPr>
            <w:r w:rsidRPr="001251AB">
              <w:rPr>
                <w:rFonts w:cstheme="minorHAnsi"/>
              </w:rPr>
              <w:t>Interventions with assessment protocols increasingly streamlined to focus on variables with the highest predictive values</w:t>
            </w:r>
            <w:r w:rsidR="001D5156" w:rsidRPr="001251AB">
              <w:rPr>
                <w:rFonts w:cstheme="minorHAnsi"/>
              </w:rPr>
              <w:t xml:space="preserve">. These protocols may also be </w:t>
            </w:r>
            <w:r w:rsidR="002543F5" w:rsidRPr="001251AB">
              <w:rPr>
                <w:rFonts w:cstheme="minorHAnsi"/>
              </w:rPr>
              <w:t>tailored to different</w:t>
            </w:r>
            <w:r w:rsidRPr="001251AB">
              <w:rPr>
                <w:rFonts w:cstheme="minorHAnsi"/>
              </w:rPr>
              <w:t xml:space="preserve"> life stages, if</w:t>
            </w:r>
            <w:r w:rsidR="001D5156" w:rsidRPr="001251AB">
              <w:rPr>
                <w:rFonts w:cstheme="minorHAnsi"/>
              </w:rPr>
              <w:t xml:space="preserve"> there are differences </w:t>
            </w:r>
            <w:r w:rsidRPr="001251AB">
              <w:rPr>
                <w:rFonts w:cstheme="minorHAnsi"/>
              </w:rPr>
              <w:t xml:space="preserve">between </w:t>
            </w:r>
            <w:r w:rsidR="001D5156" w:rsidRPr="001251AB">
              <w:rPr>
                <w:rFonts w:cstheme="minorHAnsi"/>
              </w:rPr>
              <w:t xml:space="preserve">which variables work best when. </w:t>
            </w:r>
          </w:p>
        </w:tc>
      </w:tr>
      <w:tr w:rsidR="00750AB3" w:rsidRPr="00750AB3" w14:paraId="70D86270" w14:textId="77777777" w:rsidTr="00EA45E0">
        <w:tc>
          <w:tcPr>
            <w:tcW w:w="3005" w:type="dxa"/>
          </w:tcPr>
          <w:p w14:paraId="6E4EF6C2" w14:textId="77777777" w:rsidR="00D26024" w:rsidRPr="00750AB3" w:rsidRDefault="00D26024" w:rsidP="00EA45E0">
            <w:pPr>
              <w:pStyle w:val="NoSpacing"/>
              <w:rPr>
                <w:rFonts w:cstheme="minorHAnsi"/>
              </w:rPr>
            </w:pPr>
            <w:r w:rsidRPr="00750AB3">
              <w:rPr>
                <w:rFonts w:cstheme="minorHAnsi"/>
              </w:rPr>
              <w:t>Policy</w:t>
            </w:r>
          </w:p>
        </w:tc>
        <w:tc>
          <w:tcPr>
            <w:tcW w:w="3005" w:type="dxa"/>
          </w:tcPr>
          <w:p w14:paraId="665D5328" w14:textId="53F07509" w:rsidR="00D26024" w:rsidRPr="00750AB3" w:rsidRDefault="00D26024" w:rsidP="00EA45E0">
            <w:pPr>
              <w:pStyle w:val="NoSpacing"/>
              <w:rPr>
                <w:rFonts w:cstheme="minorHAnsi"/>
              </w:rPr>
            </w:pPr>
            <w:r w:rsidRPr="00750AB3">
              <w:rPr>
                <w:rFonts w:cstheme="minorHAnsi"/>
              </w:rPr>
              <w:t xml:space="preserve">How can we encourage joined-up policy that goes beyond </w:t>
            </w:r>
            <w:r w:rsidR="00482E63" w:rsidRPr="00750AB3">
              <w:rPr>
                <w:rFonts w:cstheme="minorHAnsi"/>
              </w:rPr>
              <w:t>one electoral term</w:t>
            </w:r>
            <w:r w:rsidRPr="00750AB3">
              <w:rPr>
                <w:rFonts w:cstheme="minorHAnsi"/>
              </w:rPr>
              <w:t>?</w:t>
            </w:r>
          </w:p>
        </w:tc>
        <w:tc>
          <w:tcPr>
            <w:tcW w:w="3006" w:type="dxa"/>
          </w:tcPr>
          <w:p w14:paraId="254C07EA" w14:textId="3D544D59" w:rsidR="00D26024" w:rsidRPr="00750AB3" w:rsidRDefault="00482E63" w:rsidP="00EA45E0">
            <w:pPr>
              <w:pStyle w:val="NoSpacing"/>
              <w:rPr>
                <w:rFonts w:cstheme="minorHAnsi"/>
              </w:rPr>
            </w:pPr>
            <w:r w:rsidRPr="00750AB3">
              <w:rPr>
                <w:rFonts w:cstheme="minorHAnsi"/>
              </w:rPr>
              <w:t>Interventions sponsored by cross-party committees</w:t>
            </w:r>
            <w:r w:rsidR="006D2617" w:rsidRPr="00750AB3">
              <w:rPr>
                <w:rFonts w:cstheme="minorHAnsi"/>
              </w:rPr>
              <w:t>, which</w:t>
            </w:r>
            <w:r w:rsidRPr="00750AB3">
              <w:rPr>
                <w:rFonts w:cstheme="minorHAnsi"/>
              </w:rPr>
              <w:t xml:space="preserve"> may be delivered via collaboration between local agencies and governmental departments.</w:t>
            </w:r>
          </w:p>
        </w:tc>
      </w:tr>
      <w:tr w:rsidR="00D26024" w:rsidRPr="00750AB3" w14:paraId="3B6A113A" w14:textId="77777777" w:rsidTr="00EA45E0">
        <w:tc>
          <w:tcPr>
            <w:tcW w:w="3005" w:type="dxa"/>
          </w:tcPr>
          <w:p w14:paraId="4F868F9D" w14:textId="199235E6" w:rsidR="00D26024" w:rsidRPr="00750AB3" w:rsidRDefault="00270E42" w:rsidP="0009438E">
            <w:pPr>
              <w:pStyle w:val="NoSpacing"/>
              <w:rPr>
                <w:rFonts w:cstheme="minorHAnsi"/>
              </w:rPr>
            </w:pPr>
            <w:r w:rsidRPr="00750AB3">
              <w:rPr>
                <w:rFonts w:cstheme="minorHAnsi"/>
              </w:rPr>
              <w:t>-</w:t>
            </w:r>
            <w:r w:rsidR="00D26024" w:rsidRPr="00750AB3">
              <w:rPr>
                <w:rFonts w:cstheme="minorHAnsi"/>
              </w:rPr>
              <w:t>Policy lifespan approach</w:t>
            </w:r>
          </w:p>
        </w:tc>
        <w:tc>
          <w:tcPr>
            <w:tcW w:w="3005" w:type="dxa"/>
          </w:tcPr>
          <w:p w14:paraId="78405A9D" w14:textId="77777777" w:rsidR="00D26024" w:rsidRPr="00750AB3" w:rsidRDefault="00D26024" w:rsidP="00EA45E0">
            <w:pPr>
              <w:pStyle w:val="NoSpacing"/>
              <w:rPr>
                <w:rFonts w:cstheme="minorHAnsi"/>
              </w:rPr>
            </w:pPr>
            <w:r w:rsidRPr="00750AB3">
              <w:rPr>
                <w:rFonts w:cstheme="minorHAnsi"/>
              </w:rPr>
              <w:t xml:space="preserve">How can policy support good work for health, from first transition into the labour market, until later life production, in an epoch where many people transition in and out of different working structures over longer working lives? </w:t>
            </w:r>
          </w:p>
          <w:p w14:paraId="57E13E68" w14:textId="77777777" w:rsidR="00D26024" w:rsidRPr="00750AB3" w:rsidRDefault="00D26024" w:rsidP="00EA45E0">
            <w:pPr>
              <w:pStyle w:val="NoSpacing"/>
              <w:rPr>
                <w:rFonts w:cstheme="minorHAnsi"/>
              </w:rPr>
            </w:pPr>
          </w:p>
        </w:tc>
        <w:tc>
          <w:tcPr>
            <w:tcW w:w="3006" w:type="dxa"/>
          </w:tcPr>
          <w:p w14:paraId="2DD09092" w14:textId="6925FFE4" w:rsidR="008A2481" w:rsidRPr="00750AB3" w:rsidRDefault="008A2481" w:rsidP="00D26024">
            <w:pPr>
              <w:pStyle w:val="NoSpacing"/>
              <w:rPr>
                <w:rFonts w:cstheme="minorHAnsi"/>
              </w:rPr>
            </w:pPr>
            <w:r w:rsidRPr="00750AB3">
              <w:rPr>
                <w:rFonts w:cstheme="minorHAnsi"/>
              </w:rPr>
              <w:t>Interventions focused on transitions, such as from school to active labour market, from mainstream to later working life</w:t>
            </w:r>
            <w:r w:rsidR="00356CEC" w:rsidRPr="00750AB3">
              <w:rPr>
                <w:rFonts w:cstheme="minorHAnsi"/>
              </w:rPr>
              <w:t>.</w:t>
            </w:r>
          </w:p>
          <w:p w14:paraId="707AB57D" w14:textId="77777777" w:rsidR="008A2481" w:rsidRPr="00750AB3" w:rsidRDefault="008A2481" w:rsidP="00D26024">
            <w:pPr>
              <w:pStyle w:val="NoSpacing"/>
              <w:rPr>
                <w:rFonts w:cstheme="minorHAnsi"/>
              </w:rPr>
            </w:pPr>
          </w:p>
          <w:p w14:paraId="74E143AD" w14:textId="77777777" w:rsidR="008A2481" w:rsidRPr="00750AB3" w:rsidRDefault="008A2481" w:rsidP="00D26024">
            <w:pPr>
              <w:pStyle w:val="NoSpacing"/>
              <w:rPr>
                <w:rFonts w:cstheme="minorHAnsi"/>
              </w:rPr>
            </w:pPr>
          </w:p>
          <w:p w14:paraId="3F55F9CD" w14:textId="77777777" w:rsidR="008A2481" w:rsidRPr="00750AB3" w:rsidRDefault="008A2481" w:rsidP="00D26024">
            <w:pPr>
              <w:pStyle w:val="NoSpacing"/>
              <w:rPr>
                <w:rFonts w:cstheme="minorHAnsi"/>
              </w:rPr>
            </w:pPr>
          </w:p>
          <w:p w14:paraId="3B3A15C1" w14:textId="77777777" w:rsidR="00356CEC" w:rsidRPr="00750AB3" w:rsidRDefault="00356CEC" w:rsidP="00D26024">
            <w:pPr>
              <w:pStyle w:val="NoSpacing"/>
              <w:rPr>
                <w:rFonts w:cstheme="minorHAnsi"/>
              </w:rPr>
            </w:pPr>
          </w:p>
          <w:p w14:paraId="772401E8" w14:textId="6F4EC074" w:rsidR="00D26024" w:rsidRPr="00750AB3" w:rsidRDefault="00D26024" w:rsidP="00D26024">
            <w:pPr>
              <w:pStyle w:val="NoSpacing"/>
              <w:rPr>
                <w:rFonts w:cstheme="minorHAnsi"/>
              </w:rPr>
            </w:pPr>
            <w:r w:rsidRPr="00750AB3">
              <w:rPr>
                <w:rFonts w:cstheme="minorHAnsi"/>
              </w:rPr>
              <w:t>Translation of policy interventions, nudges and legislation designed to promote good work in traditional working patterns, into newer working lives which include precarious, portfolio and self-employed work</w:t>
            </w:r>
            <w:r w:rsidR="00356CEC" w:rsidRPr="00750AB3">
              <w:rPr>
                <w:rFonts w:cstheme="minorHAnsi"/>
              </w:rPr>
              <w:t>.</w:t>
            </w:r>
          </w:p>
        </w:tc>
      </w:tr>
    </w:tbl>
    <w:p w14:paraId="56ABBCBD" w14:textId="77777777" w:rsidR="0057527C" w:rsidRPr="00750AB3" w:rsidRDefault="0057527C" w:rsidP="000311A6">
      <w:pPr>
        <w:pStyle w:val="NoSpacing"/>
        <w:rPr>
          <w:rFonts w:cstheme="minorHAnsi"/>
        </w:rPr>
      </w:pPr>
    </w:p>
    <w:p w14:paraId="749B644A" w14:textId="77777777" w:rsidR="00174A4C" w:rsidRPr="00750AB3" w:rsidRDefault="004D0612" w:rsidP="00174A4C">
      <w:pPr>
        <w:pStyle w:val="ListParagraph"/>
        <w:numPr>
          <w:ilvl w:val="0"/>
          <w:numId w:val="8"/>
        </w:numPr>
        <w:rPr>
          <w:rFonts w:eastAsia="Times New Roman" w:cstheme="minorHAnsi"/>
          <w:b/>
          <w:lang w:val="en-AU" w:eastAsia="en-AU"/>
        </w:rPr>
      </w:pPr>
      <w:r w:rsidRPr="00750AB3">
        <w:rPr>
          <w:rFonts w:eastAsia="Times New Roman" w:cstheme="minorHAnsi"/>
          <w:b/>
          <w:lang w:val="en-AU" w:eastAsia="en-AU"/>
        </w:rPr>
        <w:t>Conclusion</w:t>
      </w:r>
    </w:p>
    <w:p w14:paraId="381F8D67" w14:textId="0E913D61" w:rsidR="00C01FB1" w:rsidRPr="00750AB3" w:rsidRDefault="00C01FB1" w:rsidP="000070CA">
      <w:pPr>
        <w:pStyle w:val="ListParagraph"/>
        <w:spacing w:line="240" w:lineRule="auto"/>
        <w:ind w:left="0"/>
        <w:jc w:val="both"/>
        <w:rPr>
          <w:rFonts w:eastAsia="Times New Roman" w:cstheme="minorHAnsi"/>
          <w:b/>
          <w:lang w:val="en-AU" w:eastAsia="en-AU"/>
        </w:rPr>
      </w:pPr>
      <w:r w:rsidRPr="00750AB3">
        <w:rPr>
          <w:rFonts w:cstheme="minorHAnsi"/>
        </w:rPr>
        <w:t>Safe and appropriate work is good for our health and wellbeing</w:t>
      </w:r>
      <w:r w:rsidR="009E4F80" w:rsidRPr="00750AB3">
        <w:rPr>
          <w:rFonts w:cstheme="minorHAnsi"/>
        </w:rPr>
        <w:t>, including that of people living with chronic pain</w:t>
      </w:r>
      <w:r w:rsidRPr="00750AB3">
        <w:rPr>
          <w:rFonts w:cstheme="minorHAnsi"/>
        </w:rPr>
        <w:t xml:space="preserve">. </w:t>
      </w:r>
      <w:r w:rsidR="009E4F80" w:rsidRPr="00750AB3">
        <w:rPr>
          <w:rFonts w:cstheme="minorHAnsi"/>
        </w:rPr>
        <w:t>Modern</w:t>
      </w:r>
      <w:r w:rsidR="00634AFA" w:rsidRPr="00750AB3">
        <w:rPr>
          <w:rFonts w:cstheme="minorHAnsi"/>
        </w:rPr>
        <w:t xml:space="preserve"> work and pain research illuminates how we can support people with chronic pain to have sustainable working lives. </w:t>
      </w:r>
      <w:r w:rsidR="00B665B7" w:rsidRPr="00750AB3">
        <w:rPr>
          <w:rFonts w:cstheme="minorHAnsi"/>
        </w:rPr>
        <w:t>We</w:t>
      </w:r>
      <w:r w:rsidR="00634AFA" w:rsidRPr="00750AB3">
        <w:rPr>
          <w:rFonts w:cstheme="minorHAnsi"/>
        </w:rPr>
        <w:t xml:space="preserve"> have discussed contributions from public health, occupational health, disability prev</w:t>
      </w:r>
      <w:r w:rsidR="0032439B" w:rsidRPr="00750AB3">
        <w:rPr>
          <w:rFonts w:cstheme="minorHAnsi"/>
        </w:rPr>
        <w:t>ention</w:t>
      </w:r>
      <w:r w:rsidR="0053097C" w:rsidRPr="00750AB3">
        <w:rPr>
          <w:rFonts w:cstheme="minorHAnsi"/>
        </w:rPr>
        <w:t>,</w:t>
      </w:r>
      <w:r w:rsidR="0032439B" w:rsidRPr="00750AB3">
        <w:rPr>
          <w:rFonts w:cstheme="minorHAnsi"/>
        </w:rPr>
        <w:t xml:space="preserve"> and policy</w:t>
      </w:r>
      <w:r w:rsidR="00955451" w:rsidRPr="00750AB3">
        <w:rPr>
          <w:rFonts w:cstheme="minorHAnsi"/>
        </w:rPr>
        <w:t>,</w:t>
      </w:r>
      <w:r w:rsidR="009E4F80" w:rsidRPr="00750AB3">
        <w:rPr>
          <w:rFonts w:cstheme="minorHAnsi"/>
        </w:rPr>
        <w:t xml:space="preserve"> and shown how these perspectives may be interrelated, using a</w:t>
      </w:r>
      <w:r w:rsidR="00634AFA" w:rsidRPr="00750AB3">
        <w:rPr>
          <w:rFonts w:cstheme="minorHAnsi"/>
        </w:rPr>
        <w:t xml:space="preserve"> lifespan develo</w:t>
      </w:r>
      <w:r w:rsidR="00955451" w:rsidRPr="00750AB3">
        <w:rPr>
          <w:rFonts w:cstheme="minorHAnsi"/>
        </w:rPr>
        <w:t xml:space="preserve">pment approach </w:t>
      </w:r>
      <w:r w:rsidR="009E4F80" w:rsidRPr="00750AB3">
        <w:rPr>
          <w:rFonts w:cstheme="minorHAnsi"/>
        </w:rPr>
        <w:t>to</w:t>
      </w:r>
      <w:r w:rsidR="00634AFA" w:rsidRPr="00750AB3">
        <w:rPr>
          <w:rFonts w:cstheme="minorHAnsi"/>
        </w:rPr>
        <w:t xml:space="preserve"> guide </w:t>
      </w:r>
      <w:r w:rsidR="00955451" w:rsidRPr="00750AB3">
        <w:rPr>
          <w:rFonts w:cstheme="minorHAnsi"/>
        </w:rPr>
        <w:t xml:space="preserve">questions for </w:t>
      </w:r>
      <w:r w:rsidR="00634AFA" w:rsidRPr="00750AB3">
        <w:rPr>
          <w:rFonts w:cstheme="minorHAnsi"/>
        </w:rPr>
        <w:t>development and i</w:t>
      </w:r>
      <w:r w:rsidR="0032439B" w:rsidRPr="00750AB3">
        <w:rPr>
          <w:rFonts w:cstheme="minorHAnsi"/>
        </w:rPr>
        <w:t>ntervention</w:t>
      </w:r>
      <w:r w:rsidR="00261569" w:rsidRPr="00750AB3">
        <w:rPr>
          <w:rFonts w:cstheme="minorHAnsi"/>
        </w:rPr>
        <w:t xml:space="preserve"> in </w:t>
      </w:r>
      <w:r w:rsidR="0053097C" w:rsidRPr="00750AB3">
        <w:rPr>
          <w:rFonts w:cstheme="minorHAnsi"/>
        </w:rPr>
        <w:t>different</w:t>
      </w:r>
      <w:r w:rsidR="00356CEC" w:rsidRPr="00750AB3">
        <w:rPr>
          <w:rFonts w:cstheme="minorHAnsi"/>
        </w:rPr>
        <w:t xml:space="preserve"> domains</w:t>
      </w:r>
      <w:r w:rsidR="0032439B" w:rsidRPr="00750AB3">
        <w:rPr>
          <w:rFonts w:cstheme="minorHAnsi"/>
        </w:rPr>
        <w:t xml:space="preserve">. </w:t>
      </w:r>
      <w:r w:rsidR="0053097C" w:rsidRPr="00750AB3">
        <w:rPr>
          <w:rFonts w:cstheme="minorHAnsi"/>
        </w:rPr>
        <w:t>This</w:t>
      </w:r>
      <w:r w:rsidR="009E4F80" w:rsidRPr="00750AB3">
        <w:rPr>
          <w:rFonts w:cstheme="minorHAnsi"/>
        </w:rPr>
        <w:t xml:space="preserve"> approach enables us to focus on understanding more about how early developmental pain-related disruption can be repaired as we age. It enables us to consider how </w:t>
      </w:r>
      <w:r w:rsidR="00124457" w:rsidRPr="00750AB3">
        <w:rPr>
          <w:rFonts w:cstheme="minorHAnsi"/>
        </w:rPr>
        <w:t xml:space="preserve">work and </w:t>
      </w:r>
      <w:r w:rsidR="009E4F80" w:rsidRPr="00750AB3">
        <w:rPr>
          <w:rFonts w:cstheme="minorHAnsi"/>
        </w:rPr>
        <w:t xml:space="preserve">occupation </w:t>
      </w:r>
      <w:r w:rsidR="00124457" w:rsidRPr="00750AB3">
        <w:rPr>
          <w:rFonts w:cstheme="minorHAnsi"/>
        </w:rPr>
        <w:t>across the lifespan</w:t>
      </w:r>
      <w:r w:rsidR="009E4F80" w:rsidRPr="00750AB3">
        <w:rPr>
          <w:rFonts w:cstheme="minorHAnsi"/>
        </w:rPr>
        <w:t>, is affected by and affects pain, and how such interaction may be shaped by different life</w:t>
      </w:r>
      <w:r w:rsidR="00124457" w:rsidRPr="00750AB3">
        <w:rPr>
          <w:rFonts w:cstheme="minorHAnsi"/>
        </w:rPr>
        <w:t xml:space="preserve"> stages</w:t>
      </w:r>
      <w:r w:rsidR="009E4F80" w:rsidRPr="00750AB3">
        <w:rPr>
          <w:rFonts w:cstheme="minorHAnsi"/>
        </w:rPr>
        <w:t xml:space="preserve">. </w:t>
      </w:r>
      <w:r w:rsidR="00356CEC" w:rsidRPr="00750AB3">
        <w:rPr>
          <w:rFonts w:cstheme="minorHAnsi"/>
        </w:rPr>
        <w:t>By</w:t>
      </w:r>
      <w:r w:rsidR="00955451" w:rsidRPr="00750AB3">
        <w:rPr>
          <w:rFonts w:cstheme="minorHAnsi"/>
        </w:rPr>
        <w:t xml:space="preserve"> </w:t>
      </w:r>
      <w:r w:rsidR="00356CEC" w:rsidRPr="00750AB3">
        <w:rPr>
          <w:rFonts w:cstheme="minorHAnsi"/>
        </w:rPr>
        <w:t>considering</w:t>
      </w:r>
      <w:r w:rsidR="00955451" w:rsidRPr="00750AB3">
        <w:rPr>
          <w:rFonts w:cstheme="minorHAnsi"/>
        </w:rPr>
        <w:t xml:space="preserve"> how the different perspectives included here interrelate with each other and across the lifespan, </w:t>
      </w:r>
      <w:r w:rsidR="00B665B7" w:rsidRPr="00750AB3">
        <w:rPr>
          <w:rFonts w:cstheme="minorHAnsi"/>
        </w:rPr>
        <w:t xml:space="preserve">we have </w:t>
      </w:r>
      <w:r w:rsidR="00124457" w:rsidRPr="00750AB3">
        <w:rPr>
          <w:rFonts w:cstheme="minorHAnsi"/>
        </w:rPr>
        <w:t>opportunity to</w:t>
      </w:r>
      <w:r w:rsidR="00955451" w:rsidRPr="00750AB3">
        <w:rPr>
          <w:rFonts w:cstheme="minorHAnsi"/>
        </w:rPr>
        <w:t xml:space="preserve"> </w:t>
      </w:r>
      <w:r w:rsidR="00124457" w:rsidRPr="00750AB3">
        <w:rPr>
          <w:rFonts w:cstheme="minorHAnsi"/>
        </w:rPr>
        <w:t>think</w:t>
      </w:r>
      <w:r w:rsidR="00356CEC" w:rsidRPr="00750AB3">
        <w:rPr>
          <w:rFonts w:cstheme="minorHAnsi"/>
        </w:rPr>
        <w:t xml:space="preserve"> differently about </w:t>
      </w:r>
      <w:r w:rsidR="002E3719" w:rsidRPr="00750AB3">
        <w:rPr>
          <w:rFonts w:cstheme="minorHAnsi"/>
        </w:rPr>
        <w:t>enabling</w:t>
      </w:r>
      <w:r w:rsidR="00356CEC" w:rsidRPr="00750AB3">
        <w:rPr>
          <w:rFonts w:cstheme="minorHAnsi"/>
        </w:rPr>
        <w:t xml:space="preserve"> occupation and work to reduce negativ</w:t>
      </w:r>
      <w:r w:rsidR="002E3719" w:rsidRPr="00750AB3">
        <w:rPr>
          <w:rFonts w:cstheme="minorHAnsi"/>
        </w:rPr>
        <w:t>e impacts of living with</w:t>
      </w:r>
      <w:r w:rsidR="00356CEC" w:rsidRPr="00750AB3">
        <w:rPr>
          <w:rFonts w:cstheme="minorHAnsi"/>
        </w:rPr>
        <w:t xml:space="preserve"> pain</w:t>
      </w:r>
      <w:r w:rsidR="00955451" w:rsidRPr="00750AB3">
        <w:rPr>
          <w:rFonts w:cstheme="minorHAnsi"/>
        </w:rPr>
        <w:t xml:space="preserve">. </w:t>
      </w:r>
    </w:p>
    <w:p w14:paraId="7DDD7069" w14:textId="2A5AFED6" w:rsidR="00017DAB" w:rsidRPr="00750AB3" w:rsidRDefault="00017DAB" w:rsidP="000070CA">
      <w:pPr>
        <w:spacing w:after="0" w:line="240" w:lineRule="auto"/>
        <w:jc w:val="both"/>
        <w:rPr>
          <w:rFonts w:cstheme="minorHAnsi"/>
        </w:rPr>
      </w:pPr>
    </w:p>
    <w:p w14:paraId="7FEF116F" w14:textId="31656E79" w:rsidR="00A97055" w:rsidRPr="00750AB3" w:rsidRDefault="00A97055" w:rsidP="000070CA">
      <w:pPr>
        <w:spacing w:after="0" w:line="240" w:lineRule="auto"/>
        <w:jc w:val="both"/>
        <w:rPr>
          <w:rFonts w:cstheme="minorHAnsi"/>
          <w:b/>
        </w:rPr>
      </w:pPr>
      <w:r w:rsidRPr="00750AB3">
        <w:rPr>
          <w:rFonts w:cstheme="minorHAnsi"/>
          <w:b/>
        </w:rPr>
        <w:t>Conflicts of interest</w:t>
      </w:r>
    </w:p>
    <w:p w14:paraId="667210DA" w14:textId="287509D7" w:rsidR="00017DAB" w:rsidRPr="00750AB3" w:rsidRDefault="00A97055" w:rsidP="000070CA">
      <w:pPr>
        <w:spacing w:after="0" w:line="240" w:lineRule="auto"/>
        <w:jc w:val="both"/>
        <w:rPr>
          <w:rFonts w:cstheme="minorHAnsi"/>
        </w:rPr>
      </w:pPr>
      <w:r w:rsidRPr="00750AB3">
        <w:rPr>
          <w:rFonts w:cstheme="minorHAnsi"/>
        </w:rPr>
        <w:t>There are no conflicts of interest for any author.</w:t>
      </w:r>
      <w:r w:rsidR="00136E0F">
        <w:rPr>
          <w:rFonts w:cstheme="minorHAnsi"/>
        </w:rPr>
        <w:t xml:space="preserve"> </w:t>
      </w:r>
      <w:r w:rsidR="00136E0F">
        <w:rPr>
          <w:rFonts w:ascii="Arial" w:hAnsi="Arial" w:cs="Arial"/>
          <w:color w:val="222222"/>
          <w:shd w:val="clear" w:color="auto" w:fill="FFFFFF"/>
        </w:rPr>
        <w:t>We acknowledge support</w:t>
      </w:r>
      <w:r w:rsidR="00D52FEF">
        <w:rPr>
          <w:rFonts w:ascii="Arial" w:hAnsi="Arial" w:cs="Arial"/>
          <w:color w:val="222222"/>
          <w:shd w:val="clear" w:color="auto" w:fill="FFFFFF"/>
        </w:rPr>
        <w:t xml:space="preserve"> for Dr [name removed for anonymity] </w:t>
      </w:r>
      <w:r w:rsidR="00136E0F">
        <w:rPr>
          <w:rFonts w:ascii="Arial" w:hAnsi="Arial" w:cs="Arial"/>
          <w:color w:val="222222"/>
          <w:shd w:val="clear" w:color="auto" w:fill="FFFFFF"/>
        </w:rPr>
        <w:t>from</w:t>
      </w:r>
      <w:r w:rsidR="00136E0F">
        <w:rPr>
          <w:color w:val="222222"/>
          <w:shd w:val="clear" w:color="auto" w:fill="FFFFFF"/>
        </w:rPr>
        <w:t> </w:t>
      </w:r>
      <w:r w:rsidR="00136E0F">
        <w:rPr>
          <w:rFonts w:ascii="Arial" w:hAnsi="Arial" w:cs="Arial"/>
          <w:color w:val="222222"/>
          <w:shd w:val="clear" w:color="auto" w:fill="FFFFFF"/>
        </w:rPr>
        <w:t xml:space="preserve">the Australian Research Council Centre of Excellence in Population Aging Research (Project number CE170100005). </w:t>
      </w:r>
      <w:r w:rsidR="00EB0B45">
        <w:rPr>
          <w:rFonts w:ascii="Arial" w:hAnsi="Arial" w:cs="Arial"/>
          <w:color w:val="222222"/>
          <w:shd w:val="clear" w:color="auto" w:fill="FFFFFF"/>
        </w:rPr>
        <w:t>The funders had no role in</w:t>
      </w:r>
      <w:r w:rsidR="00136E0F">
        <w:rPr>
          <w:rFonts w:ascii="Arial" w:hAnsi="Arial" w:cs="Arial"/>
          <w:color w:val="222222"/>
          <w:shd w:val="clear" w:color="auto" w:fill="FFFFFF"/>
        </w:rPr>
        <w:t xml:space="preserve"> </w:t>
      </w:r>
      <w:r w:rsidR="00FB2B0A">
        <w:rPr>
          <w:rFonts w:ascii="Arial" w:hAnsi="Arial" w:cs="Arial"/>
          <w:color w:val="222222"/>
          <w:shd w:val="clear" w:color="auto" w:fill="FFFFFF"/>
        </w:rPr>
        <w:t xml:space="preserve">the </w:t>
      </w:r>
      <w:r w:rsidR="00136E0F">
        <w:rPr>
          <w:rFonts w:ascii="Arial" w:hAnsi="Arial" w:cs="Arial"/>
          <w:color w:val="222222"/>
          <w:shd w:val="clear" w:color="auto" w:fill="FFFFFF"/>
        </w:rPr>
        <w:t>decision to publish, or preparation of the manuscript</w:t>
      </w:r>
      <w:r w:rsidR="00EB0B45">
        <w:rPr>
          <w:rFonts w:ascii="Arial" w:hAnsi="Arial" w:cs="Arial"/>
          <w:color w:val="222222"/>
          <w:shd w:val="clear" w:color="auto" w:fill="FFFFFF"/>
        </w:rPr>
        <w:t>.</w:t>
      </w:r>
    </w:p>
    <w:p w14:paraId="5302C0BE" w14:textId="62E87C60" w:rsidR="0009695F" w:rsidRPr="003D168A" w:rsidRDefault="0009695F">
      <w:pPr>
        <w:pStyle w:val="paragraph"/>
        <w:spacing w:before="0" w:beforeAutospacing="0" w:after="0" w:afterAutospacing="0"/>
        <w:jc w:val="both"/>
        <w:textAlignment w:val="baseline"/>
        <w:rPr>
          <w:rFonts w:asciiTheme="minorHAnsi" w:hAnsiTheme="minorHAnsi" w:cstheme="minorHAnsi"/>
          <w:b/>
          <w:sz w:val="22"/>
          <w:szCs w:val="22"/>
        </w:rPr>
      </w:pPr>
    </w:p>
    <w:p w14:paraId="00A29310" w14:textId="6DE7ADAC" w:rsidR="00E77001" w:rsidRPr="003D168A" w:rsidRDefault="00734C43">
      <w:pPr>
        <w:pStyle w:val="paragraph"/>
        <w:spacing w:before="0" w:beforeAutospacing="0" w:after="0" w:afterAutospacing="0"/>
        <w:jc w:val="both"/>
        <w:textAlignment w:val="baseline"/>
        <w:rPr>
          <w:rFonts w:asciiTheme="minorHAnsi" w:hAnsiTheme="minorHAnsi" w:cstheme="minorHAnsi"/>
          <w:b/>
          <w:sz w:val="22"/>
          <w:szCs w:val="22"/>
        </w:rPr>
      </w:pPr>
      <w:r w:rsidRPr="003D168A">
        <w:rPr>
          <w:rFonts w:asciiTheme="minorHAnsi" w:hAnsiTheme="minorHAnsi" w:cstheme="minorHAnsi"/>
          <w:b/>
          <w:sz w:val="22"/>
          <w:szCs w:val="22"/>
        </w:rPr>
        <w:t xml:space="preserve">References </w:t>
      </w:r>
    </w:p>
    <w:p w14:paraId="2FCD92D9" w14:textId="4800A3EA" w:rsidR="00E806CA" w:rsidRPr="00E85358" w:rsidRDefault="00AE0B88" w:rsidP="00E806CA">
      <w:pPr>
        <w:pStyle w:val="CommentText"/>
        <w:spacing w:after="0"/>
        <w:jc w:val="both"/>
        <w:rPr>
          <w:rFonts w:cstheme="minorHAnsi"/>
          <w:sz w:val="22"/>
          <w:szCs w:val="22"/>
        </w:rPr>
      </w:pPr>
      <w:r>
        <w:rPr>
          <w:rFonts w:cstheme="minorHAnsi"/>
          <w:sz w:val="22"/>
          <w:szCs w:val="22"/>
        </w:rPr>
        <w:t xml:space="preserve">[1] </w:t>
      </w:r>
      <w:r w:rsidR="00E806CA" w:rsidRPr="00E85358">
        <w:rPr>
          <w:rFonts w:cstheme="minorHAnsi"/>
          <w:sz w:val="22"/>
          <w:szCs w:val="22"/>
        </w:rPr>
        <w:t xml:space="preserve">Anjum A, Ming X, Siddiqi AF, Rasool SF. An empirical study analyzing job productivity in toxic workplace environments. Int J Environ Res Public Health. 2018; 15(5): 1035. </w:t>
      </w:r>
    </w:p>
    <w:p w14:paraId="7C875377" w14:textId="77777777" w:rsidR="00E806CA" w:rsidRPr="0070644B" w:rsidRDefault="00E806CA" w:rsidP="00E806CA">
      <w:pPr>
        <w:pStyle w:val="paragraph"/>
        <w:spacing w:before="0" w:beforeAutospacing="0" w:after="0" w:afterAutospacing="0"/>
        <w:jc w:val="both"/>
        <w:textAlignment w:val="baseline"/>
        <w:rPr>
          <w:rFonts w:asciiTheme="minorHAnsi" w:hAnsiTheme="minorHAnsi" w:cstheme="minorHAnsi"/>
          <w:sz w:val="22"/>
          <w:szCs w:val="22"/>
        </w:rPr>
      </w:pPr>
    </w:p>
    <w:p w14:paraId="0DD0D1E6" w14:textId="74EC5D8B" w:rsidR="00734C43" w:rsidRPr="00750AB3" w:rsidRDefault="00AE0B88" w:rsidP="00E806CA">
      <w:pPr>
        <w:pStyle w:val="paragraph"/>
        <w:spacing w:before="0" w:beforeAutospacing="0" w:after="0" w:afterAutospacing="0"/>
        <w:jc w:val="both"/>
        <w:textAlignment w:val="baseline"/>
        <w:rPr>
          <w:rFonts w:asciiTheme="minorHAnsi" w:hAnsiTheme="minorHAnsi" w:cstheme="minorHAnsi"/>
          <w:sz w:val="22"/>
          <w:szCs w:val="22"/>
          <w:shd w:val="clear" w:color="auto" w:fill="FFFFFF"/>
        </w:rPr>
      </w:pPr>
      <w:r>
        <w:rPr>
          <w:rFonts w:asciiTheme="minorHAnsi" w:hAnsiTheme="minorHAnsi" w:cstheme="minorHAnsi"/>
          <w:sz w:val="22"/>
          <w:szCs w:val="22"/>
        </w:rPr>
        <w:t xml:space="preserve">[2] </w:t>
      </w:r>
      <w:r w:rsidR="00734C43" w:rsidRPr="00750AB3">
        <w:rPr>
          <w:rFonts w:asciiTheme="minorHAnsi" w:hAnsiTheme="minorHAnsi" w:cstheme="minorHAnsi"/>
          <w:sz w:val="22"/>
          <w:szCs w:val="22"/>
          <w:shd w:val="clear" w:color="auto" w:fill="FFFFFF"/>
        </w:rPr>
        <w:t>Arranz JM, García-Serrano C. Does unemployment benefit duration affect inflows into unemployment? The impact of a law change for older workers. </w:t>
      </w:r>
      <w:r w:rsidR="00734C43" w:rsidRPr="00750AB3">
        <w:rPr>
          <w:rFonts w:asciiTheme="minorHAnsi" w:hAnsiTheme="minorHAnsi" w:cstheme="minorHAnsi"/>
          <w:iCs/>
          <w:sz w:val="22"/>
          <w:szCs w:val="22"/>
          <w:shd w:val="clear" w:color="auto" w:fill="FFFFFF"/>
        </w:rPr>
        <w:t>J Econ Age</w:t>
      </w:r>
      <w:r w:rsidR="00734C43" w:rsidRPr="00750AB3">
        <w:rPr>
          <w:rFonts w:asciiTheme="minorHAnsi" w:hAnsiTheme="minorHAnsi" w:cstheme="minorHAnsi"/>
          <w:sz w:val="22"/>
          <w:szCs w:val="22"/>
          <w:shd w:val="clear" w:color="auto" w:fill="FFFFFF"/>
        </w:rPr>
        <w:t> </w:t>
      </w:r>
      <w:r w:rsidR="00734C43" w:rsidRPr="00750AB3">
        <w:rPr>
          <w:rFonts w:asciiTheme="minorHAnsi" w:hAnsiTheme="minorHAnsi" w:cstheme="minorHAnsi"/>
          <w:iCs/>
          <w:sz w:val="22"/>
          <w:szCs w:val="22"/>
          <w:shd w:val="clear" w:color="auto" w:fill="FFFFFF"/>
        </w:rPr>
        <w:t>17 2020</w:t>
      </w:r>
      <w:r w:rsidR="00734C43" w:rsidRPr="00750AB3">
        <w:rPr>
          <w:rFonts w:asciiTheme="minorHAnsi" w:hAnsiTheme="minorHAnsi" w:cstheme="minorHAnsi"/>
          <w:sz w:val="22"/>
          <w:szCs w:val="22"/>
          <w:shd w:val="clear" w:color="auto" w:fill="FFFFFF"/>
        </w:rPr>
        <w:t>; 100278.</w:t>
      </w:r>
    </w:p>
    <w:p w14:paraId="461F80F2" w14:textId="4F526B10" w:rsidR="00734C43" w:rsidRPr="00750AB3" w:rsidRDefault="00734C43" w:rsidP="0091360E">
      <w:pPr>
        <w:pStyle w:val="paragraph"/>
        <w:spacing w:before="0" w:beforeAutospacing="0" w:after="0" w:afterAutospacing="0"/>
        <w:jc w:val="both"/>
        <w:textAlignment w:val="baseline"/>
        <w:rPr>
          <w:rFonts w:asciiTheme="minorHAnsi" w:hAnsiTheme="minorHAnsi" w:cstheme="minorHAnsi"/>
          <w:sz w:val="22"/>
          <w:szCs w:val="22"/>
          <w:shd w:val="clear" w:color="auto" w:fill="FFFFFF"/>
        </w:rPr>
      </w:pPr>
    </w:p>
    <w:p w14:paraId="27E23728" w14:textId="2ACD9D40" w:rsidR="00734C43" w:rsidRPr="00750AB3" w:rsidRDefault="00AE0B88" w:rsidP="0091360E">
      <w:pPr>
        <w:pStyle w:val="paragraph"/>
        <w:spacing w:before="0" w:beforeAutospacing="0" w:after="0" w:afterAutospacing="0"/>
        <w:jc w:val="both"/>
        <w:textAlignment w:val="baseline"/>
        <w:rPr>
          <w:rFonts w:asciiTheme="minorHAnsi" w:hAnsiTheme="minorHAnsi" w:cstheme="minorHAnsi"/>
          <w:sz w:val="22"/>
          <w:szCs w:val="22"/>
        </w:rPr>
      </w:pPr>
      <w:r>
        <w:rPr>
          <w:rFonts w:asciiTheme="minorHAnsi" w:hAnsiTheme="minorHAnsi" w:cstheme="minorHAnsi"/>
          <w:sz w:val="22"/>
          <w:szCs w:val="22"/>
        </w:rPr>
        <w:t xml:space="preserve">[3] </w:t>
      </w:r>
      <w:r w:rsidR="00734C43" w:rsidRPr="00750AB3">
        <w:rPr>
          <w:rFonts w:asciiTheme="minorHAnsi" w:hAnsiTheme="minorHAnsi" w:cstheme="minorHAnsi"/>
          <w:sz w:val="22"/>
          <w:szCs w:val="22"/>
        </w:rPr>
        <w:t>Bajorek Z, Mason B, Bevan S. Wellbeing under lockdown: Results of a survey of British homeworkers. Occupational Health at Work. 2020; 17(2) 29-34.</w:t>
      </w:r>
    </w:p>
    <w:p w14:paraId="01F129BC" w14:textId="3422B313" w:rsidR="00734B68" w:rsidRPr="00750AB3" w:rsidRDefault="00734B68" w:rsidP="0091360E">
      <w:pPr>
        <w:pStyle w:val="paragraph"/>
        <w:spacing w:before="0" w:beforeAutospacing="0" w:after="0" w:afterAutospacing="0"/>
        <w:jc w:val="both"/>
        <w:textAlignment w:val="baseline"/>
        <w:rPr>
          <w:rFonts w:asciiTheme="minorHAnsi" w:hAnsiTheme="minorHAnsi" w:cstheme="minorHAnsi"/>
          <w:sz w:val="22"/>
          <w:szCs w:val="22"/>
        </w:rPr>
      </w:pPr>
    </w:p>
    <w:p w14:paraId="323CB433" w14:textId="2D166E8D" w:rsidR="00734B68" w:rsidRPr="00750AB3" w:rsidRDefault="009B4D11" w:rsidP="0091360E">
      <w:pPr>
        <w:pStyle w:val="paragraph"/>
        <w:spacing w:before="0" w:beforeAutospacing="0" w:after="0" w:afterAutospacing="0"/>
        <w:jc w:val="both"/>
        <w:textAlignment w:val="baseline"/>
        <w:rPr>
          <w:rStyle w:val="normaltextrun"/>
          <w:rFonts w:asciiTheme="minorHAnsi" w:hAnsiTheme="minorHAnsi" w:cstheme="minorHAnsi"/>
          <w:sz w:val="22"/>
          <w:szCs w:val="22"/>
          <w:lang w:val="en-US"/>
        </w:rPr>
      </w:pPr>
      <w:r>
        <w:rPr>
          <w:rFonts w:asciiTheme="minorHAnsi" w:hAnsiTheme="minorHAnsi" w:cstheme="minorHAnsi"/>
          <w:sz w:val="22"/>
          <w:szCs w:val="22"/>
        </w:rPr>
        <w:t>[4]</w:t>
      </w:r>
      <w:r w:rsidR="00734B68" w:rsidRPr="00750AB3">
        <w:rPr>
          <w:rFonts w:asciiTheme="minorHAnsi" w:hAnsiTheme="minorHAnsi" w:cstheme="minorHAnsi"/>
          <w:sz w:val="22"/>
          <w:szCs w:val="22"/>
        </w:rPr>
        <w:t xml:space="preserve"> </w:t>
      </w:r>
      <w:r w:rsidR="00734B68" w:rsidRPr="00750AB3">
        <w:rPr>
          <w:rStyle w:val="normaltextrun"/>
          <w:rFonts w:asciiTheme="minorHAnsi" w:hAnsiTheme="minorHAnsi" w:cstheme="minorHAnsi"/>
          <w:sz w:val="22"/>
          <w:szCs w:val="22"/>
          <w:lang w:val="en-US"/>
        </w:rPr>
        <w:t>Beard JR, Bloom DE. Towards a comprehensive public health response to population ageing. Lancet 2015;385:658–661. doi:https://doi.org/10.1016/S0140-6736(14)61461-6.</w:t>
      </w:r>
    </w:p>
    <w:p w14:paraId="2A3EE75B" w14:textId="48DE27C6" w:rsidR="00EC5186" w:rsidRPr="00750AB3" w:rsidRDefault="00EC5186" w:rsidP="0091360E">
      <w:pPr>
        <w:pStyle w:val="paragraph"/>
        <w:spacing w:before="0" w:beforeAutospacing="0" w:after="0" w:afterAutospacing="0"/>
        <w:jc w:val="both"/>
        <w:textAlignment w:val="baseline"/>
        <w:rPr>
          <w:rStyle w:val="normaltextrun"/>
          <w:rFonts w:asciiTheme="minorHAnsi" w:hAnsiTheme="minorHAnsi" w:cstheme="minorHAnsi"/>
          <w:sz w:val="22"/>
          <w:szCs w:val="22"/>
          <w:lang w:val="en-US"/>
        </w:rPr>
      </w:pPr>
    </w:p>
    <w:p w14:paraId="0DA8AFCC" w14:textId="509BE9F1" w:rsidR="00EC5186" w:rsidRPr="00750AB3" w:rsidRDefault="009B4D11" w:rsidP="0091360E">
      <w:pPr>
        <w:pStyle w:val="paragraph"/>
        <w:spacing w:before="0" w:beforeAutospacing="0" w:after="0" w:afterAutospacing="0"/>
        <w:jc w:val="both"/>
        <w:textAlignment w:val="baseline"/>
        <w:rPr>
          <w:rFonts w:asciiTheme="minorHAnsi" w:hAnsiTheme="minorHAnsi" w:cstheme="minorHAnsi"/>
          <w:sz w:val="22"/>
          <w:szCs w:val="22"/>
          <w:shd w:val="clear" w:color="auto" w:fill="FFFFFF"/>
        </w:rPr>
      </w:pPr>
      <w:r>
        <w:rPr>
          <w:rStyle w:val="normaltextrun"/>
          <w:rFonts w:asciiTheme="minorHAnsi" w:hAnsiTheme="minorHAnsi" w:cstheme="minorHAnsi"/>
          <w:sz w:val="22"/>
          <w:szCs w:val="22"/>
          <w:lang w:val="en-US"/>
        </w:rPr>
        <w:t>[5]</w:t>
      </w:r>
      <w:r w:rsidR="00EC5186" w:rsidRPr="00750AB3">
        <w:rPr>
          <w:rStyle w:val="normaltextrun"/>
          <w:rFonts w:asciiTheme="minorHAnsi" w:hAnsiTheme="minorHAnsi" w:cstheme="minorHAnsi"/>
          <w:sz w:val="22"/>
          <w:szCs w:val="22"/>
          <w:lang w:val="en-US"/>
        </w:rPr>
        <w:t xml:space="preserve"> Bernard BP (ed). Musculoskeletal disorders (MSDs) and workplace factors. Cincinnati (OH): US Department of Health and Human Sciences, 1997.</w:t>
      </w:r>
    </w:p>
    <w:p w14:paraId="79B18E32" w14:textId="375D416D" w:rsidR="00734C43" w:rsidRPr="00750AB3" w:rsidRDefault="00734C43" w:rsidP="0091360E">
      <w:pPr>
        <w:pStyle w:val="paragraph"/>
        <w:spacing w:before="0" w:beforeAutospacing="0" w:after="0" w:afterAutospacing="0"/>
        <w:jc w:val="both"/>
        <w:textAlignment w:val="baseline"/>
        <w:rPr>
          <w:rFonts w:asciiTheme="minorHAnsi" w:hAnsiTheme="minorHAnsi" w:cstheme="minorHAnsi"/>
          <w:sz w:val="22"/>
          <w:szCs w:val="22"/>
          <w:shd w:val="clear" w:color="auto" w:fill="FFFFFF"/>
        </w:rPr>
      </w:pPr>
    </w:p>
    <w:p w14:paraId="6A19F581" w14:textId="086AB0C6" w:rsidR="00AD0CBD" w:rsidRPr="00750AB3" w:rsidRDefault="00AE0B88" w:rsidP="0091360E">
      <w:pPr>
        <w:spacing w:after="0" w:line="240" w:lineRule="auto"/>
        <w:jc w:val="both"/>
        <w:rPr>
          <w:rFonts w:cstheme="minorHAnsi"/>
        </w:rPr>
      </w:pPr>
      <w:r>
        <w:rPr>
          <w:rFonts w:cstheme="minorHAnsi"/>
          <w:shd w:val="clear" w:color="auto" w:fill="FFFFFF"/>
        </w:rPr>
        <w:t xml:space="preserve">[6] </w:t>
      </w:r>
      <w:r w:rsidR="00AD0CBD" w:rsidRPr="00750AB3">
        <w:rPr>
          <w:rFonts w:cstheme="minorHAnsi"/>
        </w:rPr>
        <w:t>Bevan S. Pain, employment and policy. In: Wainwright E, Eccleston, C. (eds) Pain and Work: A Lifespan Development Approach. Oxford UK: OUP; 2019. 160-177.</w:t>
      </w:r>
    </w:p>
    <w:p w14:paraId="0FA3CDDD" w14:textId="2BBDF55F" w:rsidR="00EC5186" w:rsidRPr="00750AB3" w:rsidRDefault="00EC5186" w:rsidP="0091360E">
      <w:pPr>
        <w:pStyle w:val="paragraph"/>
        <w:spacing w:before="0" w:beforeAutospacing="0" w:after="0" w:afterAutospacing="0"/>
        <w:jc w:val="both"/>
        <w:textAlignment w:val="baseline"/>
        <w:rPr>
          <w:rFonts w:asciiTheme="minorHAnsi" w:hAnsiTheme="minorHAnsi" w:cstheme="minorHAnsi"/>
          <w:sz w:val="22"/>
          <w:szCs w:val="22"/>
          <w:shd w:val="clear" w:color="auto" w:fill="FFFFFF"/>
        </w:rPr>
      </w:pPr>
    </w:p>
    <w:p w14:paraId="0EEDB354" w14:textId="000C56D4" w:rsidR="00A10388" w:rsidRPr="00750AB3" w:rsidRDefault="00AE0B88" w:rsidP="0091360E">
      <w:pPr>
        <w:pStyle w:val="CommentText"/>
        <w:jc w:val="both"/>
        <w:rPr>
          <w:rFonts w:cstheme="minorHAnsi"/>
          <w:sz w:val="22"/>
          <w:szCs w:val="22"/>
        </w:rPr>
      </w:pPr>
      <w:r>
        <w:rPr>
          <w:rFonts w:cstheme="minorHAnsi"/>
          <w:sz w:val="22"/>
          <w:szCs w:val="22"/>
          <w:shd w:val="clear" w:color="auto" w:fill="FFFFFF"/>
        </w:rPr>
        <w:t xml:space="preserve">[7] </w:t>
      </w:r>
      <w:r w:rsidR="00A10388" w:rsidRPr="00750AB3">
        <w:rPr>
          <w:rFonts w:cstheme="minorHAnsi"/>
          <w:sz w:val="22"/>
          <w:szCs w:val="22"/>
          <w:shd w:val="clear" w:color="auto" w:fill="FFFFFF"/>
        </w:rPr>
        <w:t xml:space="preserve"> </w:t>
      </w:r>
      <w:r w:rsidR="00A10388" w:rsidRPr="00750AB3">
        <w:rPr>
          <w:rFonts w:cstheme="minorHAnsi"/>
          <w:sz w:val="22"/>
          <w:szCs w:val="22"/>
        </w:rPr>
        <w:t xml:space="preserve">Bevan S, Mason B, Bajorek Z. Homeworker Wellbeing Survey: Interim Findings. Institute for Employment Studies. 2020. </w:t>
      </w:r>
      <w:hyperlink r:id="rId8" w:history="1">
        <w:r w:rsidR="00A10388" w:rsidRPr="00750AB3">
          <w:rPr>
            <w:rStyle w:val="Hyperlink"/>
            <w:rFonts w:cstheme="minorHAnsi"/>
            <w:color w:val="auto"/>
            <w:sz w:val="22"/>
            <w:szCs w:val="22"/>
          </w:rPr>
          <w:t>https://www.employment-studies.co.uk/sites/default/files/resources/summarypdfs/IES%20Homeworker%20Wellbeing%20Survey%20Headlines%20-%20Interim%20Findings.pdf</w:t>
        </w:r>
      </w:hyperlink>
      <w:r w:rsidR="00A10388" w:rsidRPr="00750AB3">
        <w:rPr>
          <w:rFonts w:cstheme="minorHAnsi"/>
          <w:sz w:val="22"/>
          <w:szCs w:val="22"/>
        </w:rPr>
        <w:t xml:space="preserve"> (accessed 28 Mar 2021)</w:t>
      </w:r>
    </w:p>
    <w:p w14:paraId="317B12C8" w14:textId="746BADA6" w:rsidR="00A10388" w:rsidRPr="00750AB3" w:rsidRDefault="009B4D11" w:rsidP="0091360E">
      <w:pPr>
        <w:pStyle w:val="paragraph"/>
        <w:spacing w:before="0" w:beforeAutospacing="0" w:after="0" w:afterAutospacing="0"/>
        <w:jc w:val="both"/>
        <w:textAlignment w:val="baseline"/>
        <w:rPr>
          <w:rStyle w:val="normaltextrun"/>
          <w:rFonts w:asciiTheme="minorHAnsi" w:hAnsiTheme="minorHAnsi" w:cstheme="minorHAnsi"/>
          <w:sz w:val="22"/>
          <w:szCs w:val="22"/>
          <w:lang w:val="da-DK"/>
        </w:rPr>
      </w:pPr>
      <w:r>
        <w:rPr>
          <w:rFonts w:asciiTheme="minorHAnsi" w:hAnsiTheme="minorHAnsi" w:cstheme="minorHAnsi"/>
          <w:sz w:val="22"/>
          <w:szCs w:val="22"/>
          <w:shd w:val="clear" w:color="auto" w:fill="FFFFFF"/>
        </w:rPr>
        <w:t>[8]</w:t>
      </w:r>
      <w:r w:rsidR="00976D41" w:rsidRPr="00750AB3">
        <w:rPr>
          <w:rFonts w:asciiTheme="minorHAnsi" w:hAnsiTheme="minorHAnsi" w:cstheme="minorHAnsi"/>
          <w:sz w:val="22"/>
          <w:szCs w:val="22"/>
          <w:shd w:val="clear" w:color="auto" w:fill="FFFFFF"/>
        </w:rPr>
        <w:t xml:space="preserve"> </w:t>
      </w:r>
      <w:r w:rsidR="00BF3A90" w:rsidRPr="00750AB3">
        <w:rPr>
          <w:rStyle w:val="normaltextrun"/>
          <w:rFonts w:asciiTheme="minorHAnsi" w:hAnsiTheme="minorHAnsi" w:cstheme="minorHAnsi"/>
          <w:sz w:val="22"/>
          <w:szCs w:val="22"/>
          <w:lang w:val="en-US"/>
        </w:rPr>
        <w:t>Blyth FM. Chronic pain-</w:t>
      </w:r>
      <w:r w:rsidR="00976D41" w:rsidRPr="00750AB3">
        <w:rPr>
          <w:rStyle w:val="normaltextrun"/>
          <w:rFonts w:asciiTheme="minorHAnsi" w:hAnsiTheme="minorHAnsi" w:cstheme="minorHAnsi"/>
          <w:sz w:val="22"/>
          <w:szCs w:val="22"/>
          <w:lang w:val="en-US"/>
        </w:rPr>
        <w:t xml:space="preserve">is it a public health problem? </w:t>
      </w:r>
      <w:r w:rsidR="00976D41" w:rsidRPr="00750AB3">
        <w:rPr>
          <w:rStyle w:val="normaltextrun"/>
          <w:rFonts w:asciiTheme="minorHAnsi" w:hAnsiTheme="minorHAnsi" w:cstheme="minorHAnsi"/>
          <w:sz w:val="22"/>
          <w:szCs w:val="22"/>
          <w:lang w:val="da-DK"/>
        </w:rPr>
        <w:t>PAIN 2008;137:465–466</w:t>
      </w:r>
    </w:p>
    <w:p w14:paraId="4C5DB19E" w14:textId="29FE1FD2" w:rsidR="00976D41" w:rsidRPr="00750AB3" w:rsidRDefault="00976D41" w:rsidP="0091360E">
      <w:pPr>
        <w:pStyle w:val="paragraph"/>
        <w:spacing w:before="0" w:beforeAutospacing="0" w:after="0" w:afterAutospacing="0"/>
        <w:jc w:val="both"/>
        <w:textAlignment w:val="baseline"/>
        <w:rPr>
          <w:rStyle w:val="normaltextrun"/>
          <w:rFonts w:asciiTheme="minorHAnsi" w:hAnsiTheme="minorHAnsi" w:cstheme="minorHAnsi"/>
          <w:sz w:val="22"/>
          <w:szCs w:val="22"/>
          <w:lang w:val="da-DK"/>
        </w:rPr>
      </w:pPr>
    </w:p>
    <w:p w14:paraId="15179475" w14:textId="61F1A0B5" w:rsidR="00976D41" w:rsidRPr="00750AB3" w:rsidRDefault="009B4D11" w:rsidP="0091360E">
      <w:pPr>
        <w:pStyle w:val="paragraph"/>
        <w:spacing w:before="0" w:beforeAutospacing="0" w:after="0" w:afterAutospacing="0"/>
        <w:jc w:val="both"/>
        <w:textAlignment w:val="baseline"/>
        <w:rPr>
          <w:rFonts w:asciiTheme="minorHAnsi" w:hAnsiTheme="minorHAnsi" w:cstheme="minorHAnsi"/>
          <w:sz w:val="22"/>
          <w:szCs w:val="22"/>
          <w:shd w:val="clear" w:color="auto" w:fill="FFFFFF"/>
        </w:rPr>
      </w:pPr>
      <w:r>
        <w:rPr>
          <w:rStyle w:val="normaltextrun"/>
          <w:rFonts w:asciiTheme="minorHAnsi" w:hAnsiTheme="minorHAnsi" w:cstheme="minorHAnsi"/>
          <w:sz w:val="22"/>
          <w:szCs w:val="22"/>
          <w:lang w:val="da-DK"/>
        </w:rPr>
        <w:t xml:space="preserve">[9] </w:t>
      </w:r>
      <w:r w:rsidR="00976D41" w:rsidRPr="00750AB3">
        <w:rPr>
          <w:rFonts w:asciiTheme="minorHAnsi" w:hAnsiTheme="minorHAnsi" w:cstheme="minorHAnsi"/>
          <w:sz w:val="22"/>
          <w:szCs w:val="22"/>
          <w:shd w:val="clear" w:color="auto" w:fill="FFFFFF"/>
        </w:rPr>
        <w:t>Blyth FM, Briggs AM, Schneider CH, Hoy DG, March, LM. The global burden of musculoskeletal pain—where to from here?. </w:t>
      </w:r>
      <w:r w:rsidR="00976D41" w:rsidRPr="00750AB3">
        <w:rPr>
          <w:rFonts w:asciiTheme="minorHAnsi" w:hAnsiTheme="minorHAnsi" w:cstheme="minorHAnsi"/>
          <w:iCs/>
          <w:sz w:val="22"/>
          <w:szCs w:val="22"/>
          <w:shd w:val="clear" w:color="auto" w:fill="FFFFFF"/>
        </w:rPr>
        <w:t>Am J Public Health 2019: 109</w:t>
      </w:r>
      <w:r w:rsidR="00976D41" w:rsidRPr="00750AB3">
        <w:rPr>
          <w:rFonts w:asciiTheme="minorHAnsi" w:hAnsiTheme="minorHAnsi" w:cstheme="minorHAnsi"/>
          <w:sz w:val="22"/>
          <w:szCs w:val="22"/>
          <w:shd w:val="clear" w:color="auto" w:fill="FFFFFF"/>
        </w:rPr>
        <w:t>(1), 35-40</w:t>
      </w:r>
    </w:p>
    <w:p w14:paraId="0B88A8AE" w14:textId="6241D59B" w:rsidR="002E36E0" w:rsidRPr="00750AB3" w:rsidRDefault="002E36E0" w:rsidP="0091360E">
      <w:pPr>
        <w:pStyle w:val="paragraph"/>
        <w:spacing w:before="0" w:beforeAutospacing="0" w:after="0" w:afterAutospacing="0"/>
        <w:jc w:val="both"/>
        <w:textAlignment w:val="baseline"/>
        <w:rPr>
          <w:rFonts w:asciiTheme="minorHAnsi" w:hAnsiTheme="minorHAnsi" w:cstheme="minorHAnsi"/>
          <w:sz w:val="22"/>
          <w:szCs w:val="22"/>
          <w:shd w:val="clear" w:color="auto" w:fill="FFFFFF"/>
        </w:rPr>
      </w:pPr>
    </w:p>
    <w:p w14:paraId="12AC90E0" w14:textId="0DAF1A7F" w:rsidR="002E36E0" w:rsidRPr="00750AB3" w:rsidRDefault="009B4D11" w:rsidP="0091360E">
      <w:pPr>
        <w:pStyle w:val="paragraph"/>
        <w:spacing w:before="0" w:beforeAutospacing="0" w:after="0" w:afterAutospacing="0"/>
        <w:jc w:val="both"/>
        <w:textAlignment w:val="baseline"/>
        <w:rPr>
          <w:rStyle w:val="normaltextrun"/>
          <w:rFonts w:asciiTheme="minorHAnsi" w:hAnsiTheme="minorHAnsi" w:cstheme="minorHAnsi"/>
          <w:sz w:val="22"/>
          <w:szCs w:val="22"/>
          <w:lang w:val="en-US"/>
        </w:rPr>
      </w:pPr>
      <w:r>
        <w:rPr>
          <w:rFonts w:asciiTheme="minorHAnsi" w:hAnsiTheme="minorHAnsi" w:cstheme="minorHAnsi"/>
          <w:sz w:val="22"/>
          <w:szCs w:val="22"/>
          <w:shd w:val="clear" w:color="auto" w:fill="FFFFFF"/>
        </w:rPr>
        <w:t>[10]</w:t>
      </w:r>
      <w:r w:rsidR="002E36E0" w:rsidRPr="00750AB3">
        <w:rPr>
          <w:rFonts w:asciiTheme="minorHAnsi" w:hAnsiTheme="minorHAnsi" w:cstheme="minorHAnsi"/>
          <w:sz w:val="22"/>
          <w:szCs w:val="22"/>
          <w:shd w:val="clear" w:color="auto" w:fill="FFFFFF"/>
        </w:rPr>
        <w:t xml:space="preserve"> </w:t>
      </w:r>
      <w:r w:rsidR="002E36E0" w:rsidRPr="00750AB3">
        <w:rPr>
          <w:rStyle w:val="normaltextrun"/>
          <w:rFonts w:asciiTheme="minorHAnsi" w:hAnsiTheme="minorHAnsi" w:cstheme="minorHAnsi"/>
          <w:sz w:val="22"/>
          <w:szCs w:val="22"/>
          <w:lang w:val="da-DK"/>
        </w:rPr>
        <w:t xml:space="preserve">Blyth FM, Van Der Windt DA, Croft PR. </w:t>
      </w:r>
      <w:r w:rsidR="002E36E0" w:rsidRPr="00750AB3">
        <w:rPr>
          <w:rStyle w:val="normaltextrun"/>
          <w:rFonts w:asciiTheme="minorHAnsi" w:hAnsiTheme="minorHAnsi" w:cstheme="minorHAnsi"/>
          <w:sz w:val="22"/>
          <w:szCs w:val="22"/>
          <w:lang w:val="en-US"/>
        </w:rPr>
        <w:t>Chronic Disabling Pain: A Significant Public Health Problem. Am J Prev Med 2015;49:98–101</w:t>
      </w:r>
    </w:p>
    <w:p w14:paraId="1B28628B" w14:textId="68776499" w:rsidR="00A97F06" w:rsidRDefault="00A97F06" w:rsidP="0091360E">
      <w:pPr>
        <w:pStyle w:val="paragraph"/>
        <w:spacing w:before="0" w:beforeAutospacing="0" w:after="0" w:afterAutospacing="0"/>
        <w:jc w:val="both"/>
        <w:textAlignment w:val="baseline"/>
        <w:rPr>
          <w:rStyle w:val="normaltextrun"/>
          <w:rFonts w:asciiTheme="minorHAnsi" w:hAnsiTheme="minorHAnsi" w:cstheme="minorHAnsi"/>
          <w:sz w:val="22"/>
          <w:szCs w:val="22"/>
          <w:lang w:val="en-US"/>
        </w:rPr>
      </w:pPr>
    </w:p>
    <w:p w14:paraId="27BB6C2D" w14:textId="0F595E68" w:rsidR="00EB32AD" w:rsidRPr="0070644B" w:rsidRDefault="009B4D11" w:rsidP="00EB32AD">
      <w:pPr>
        <w:spacing w:after="0" w:line="240" w:lineRule="auto"/>
        <w:jc w:val="both"/>
        <w:rPr>
          <w:rFonts w:cstheme="minorHAnsi"/>
        </w:rPr>
      </w:pPr>
      <w:r>
        <w:rPr>
          <w:rFonts w:cstheme="minorHAnsi"/>
        </w:rPr>
        <w:t xml:space="preserve">[11] </w:t>
      </w:r>
      <w:r w:rsidR="00EB32AD" w:rsidRPr="0070644B">
        <w:rPr>
          <w:rFonts w:cstheme="minorHAnsi"/>
        </w:rPr>
        <w:t>Bond GR, Drake RE, Becker DR. Generaliseability of the individual placement and support (IPS) model of supported employment outside the US. World Psychiatry 2012;11:32-9.</w:t>
      </w:r>
    </w:p>
    <w:p w14:paraId="475B34BF" w14:textId="77777777" w:rsidR="00EB32AD" w:rsidRPr="00750AB3" w:rsidRDefault="00EB32AD" w:rsidP="0091360E">
      <w:pPr>
        <w:pStyle w:val="paragraph"/>
        <w:spacing w:before="0" w:beforeAutospacing="0" w:after="0" w:afterAutospacing="0"/>
        <w:jc w:val="both"/>
        <w:textAlignment w:val="baseline"/>
        <w:rPr>
          <w:rStyle w:val="normaltextrun"/>
          <w:rFonts w:asciiTheme="minorHAnsi" w:hAnsiTheme="minorHAnsi" w:cstheme="minorHAnsi"/>
          <w:sz w:val="22"/>
          <w:szCs w:val="22"/>
          <w:lang w:val="en-US"/>
        </w:rPr>
      </w:pPr>
    </w:p>
    <w:p w14:paraId="361C961A" w14:textId="11982C58" w:rsidR="00A97F06" w:rsidRPr="00750AB3" w:rsidRDefault="009B4D11" w:rsidP="0091360E">
      <w:pPr>
        <w:spacing w:after="0" w:line="240" w:lineRule="auto"/>
        <w:jc w:val="both"/>
        <w:rPr>
          <w:rFonts w:cstheme="minorHAnsi"/>
        </w:rPr>
      </w:pPr>
      <w:r>
        <w:rPr>
          <w:rStyle w:val="normaltextrun"/>
          <w:rFonts w:cstheme="minorHAnsi"/>
          <w:lang w:val="en-US"/>
        </w:rPr>
        <w:t>[12]</w:t>
      </w:r>
      <w:r w:rsidR="00A97F06" w:rsidRPr="00750AB3">
        <w:rPr>
          <w:rStyle w:val="normaltextrun"/>
          <w:rFonts w:cstheme="minorHAnsi"/>
          <w:lang w:val="en-US"/>
        </w:rPr>
        <w:t xml:space="preserve"> </w:t>
      </w:r>
      <w:r w:rsidR="00A97F06" w:rsidRPr="00750AB3">
        <w:rPr>
          <w:rFonts w:cstheme="minorHAnsi"/>
          <w:lang w:val="en-US"/>
        </w:rPr>
        <w:t xml:space="preserve">Calnan M and Douglass T. A socio-historical account of work: Change, continuity and the consequences. </w:t>
      </w:r>
      <w:r w:rsidR="00A97F06" w:rsidRPr="00750AB3">
        <w:rPr>
          <w:rFonts w:cstheme="minorHAnsi"/>
        </w:rPr>
        <w:t>In: Wainwright E, Eccleston, C. (eds) Pain and Work: A Lifespan Development Approach. Oxford UK: OUP; 2019. 8-18.</w:t>
      </w:r>
    </w:p>
    <w:p w14:paraId="0CB04A1B" w14:textId="77777777" w:rsidR="004A2BC0" w:rsidRPr="00750AB3" w:rsidRDefault="004A2BC0" w:rsidP="0091360E">
      <w:pPr>
        <w:spacing w:after="0" w:line="240" w:lineRule="auto"/>
        <w:jc w:val="both"/>
        <w:rPr>
          <w:rFonts w:cstheme="minorHAnsi"/>
        </w:rPr>
      </w:pPr>
    </w:p>
    <w:p w14:paraId="2309F62F" w14:textId="46733E01" w:rsidR="00174F6E" w:rsidRPr="00750AB3" w:rsidRDefault="009B4D11" w:rsidP="0091360E">
      <w:pPr>
        <w:pStyle w:val="CommentText"/>
        <w:jc w:val="both"/>
        <w:rPr>
          <w:rFonts w:cstheme="minorHAnsi"/>
          <w:sz w:val="22"/>
          <w:szCs w:val="22"/>
        </w:rPr>
      </w:pPr>
      <w:r>
        <w:rPr>
          <w:rFonts w:cstheme="minorHAnsi"/>
          <w:sz w:val="22"/>
          <w:szCs w:val="22"/>
          <w:shd w:val="clear" w:color="auto" w:fill="FFFFFF"/>
        </w:rPr>
        <w:t>[13]</w:t>
      </w:r>
      <w:r w:rsidR="00174F6E" w:rsidRPr="00750AB3">
        <w:rPr>
          <w:rFonts w:cstheme="minorHAnsi"/>
          <w:sz w:val="22"/>
          <w:szCs w:val="22"/>
          <w:shd w:val="clear" w:color="auto" w:fill="FFFFFF"/>
        </w:rPr>
        <w:t xml:space="preserve"> Carriere</w:t>
      </w:r>
      <w:r w:rsidR="00B260A5" w:rsidRPr="00750AB3">
        <w:rPr>
          <w:rFonts w:cstheme="minorHAnsi"/>
          <w:sz w:val="22"/>
          <w:szCs w:val="22"/>
          <w:shd w:val="clear" w:color="auto" w:fill="FFFFFF"/>
        </w:rPr>
        <w:t xml:space="preserve"> JS, Thibault P, Adams H, Milioto M, Ditto B &amp; Sullivan MJL</w:t>
      </w:r>
      <w:r w:rsidR="00174F6E" w:rsidRPr="00750AB3">
        <w:rPr>
          <w:rFonts w:cstheme="minorHAnsi"/>
          <w:sz w:val="22"/>
          <w:szCs w:val="22"/>
          <w:shd w:val="clear" w:color="auto" w:fill="FFFFFF"/>
        </w:rPr>
        <w:t>. Expectancies mediate the relationship between perceived injustice and return to work following whiplash injury: A 1</w:t>
      </w:r>
      <w:r w:rsidR="00174F6E" w:rsidRPr="00750AB3">
        <w:rPr>
          <w:rFonts w:ascii="Cambria Math" w:hAnsi="Cambria Math" w:cs="Cambria Math"/>
          <w:sz w:val="22"/>
          <w:szCs w:val="22"/>
          <w:shd w:val="clear" w:color="auto" w:fill="FFFFFF"/>
        </w:rPr>
        <w:t>‐</w:t>
      </w:r>
      <w:r w:rsidR="00174F6E" w:rsidRPr="00750AB3">
        <w:rPr>
          <w:rFonts w:cstheme="minorHAnsi"/>
          <w:sz w:val="22"/>
          <w:szCs w:val="22"/>
          <w:shd w:val="clear" w:color="auto" w:fill="FFFFFF"/>
        </w:rPr>
        <w:t>year prospective study. </w:t>
      </w:r>
      <w:r w:rsidR="00B260A5" w:rsidRPr="00750AB3">
        <w:rPr>
          <w:rFonts w:cstheme="minorHAnsi"/>
          <w:iCs/>
          <w:sz w:val="22"/>
          <w:szCs w:val="22"/>
          <w:shd w:val="clear" w:color="auto" w:fill="FFFFFF"/>
        </w:rPr>
        <w:t xml:space="preserve">Eur J Pain 2017; </w:t>
      </w:r>
      <w:r w:rsidR="00174F6E" w:rsidRPr="00750AB3">
        <w:rPr>
          <w:rFonts w:cstheme="minorHAnsi"/>
          <w:iCs/>
          <w:sz w:val="22"/>
          <w:szCs w:val="22"/>
          <w:shd w:val="clear" w:color="auto" w:fill="FFFFFF"/>
        </w:rPr>
        <w:t>21</w:t>
      </w:r>
      <w:r w:rsidR="00D82CFA" w:rsidRPr="00750AB3">
        <w:rPr>
          <w:rFonts w:cstheme="minorHAnsi"/>
          <w:sz w:val="22"/>
          <w:szCs w:val="22"/>
          <w:shd w:val="clear" w:color="auto" w:fill="FFFFFF"/>
        </w:rPr>
        <w:t xml:space="preserve">(7): </w:t>
      </w:r>
      <w:r w:rsidR="00174F6E" w:rsidRPr="00750AB3">
        <w:rPr>
          <w:rFonts w:cstheme="minorHAnsi"/>
          <w:sz w:val="22"/>
          <w:szCs w:val="22"/>
          <w:shd w:val="clear" w:color="auto" w:fill="FFFFFF"/>
        </w:rPr>
        <w:t>1234-1242.</w:t>
      </w:r>
    </w:p>
    <w:p w14:paraId="144D2CD2" w14:textId="4E1E7438" w:rsidR="00725C5A" w:rsidRPr="00750AB3" w:rsidRDefault="009B4D11" w:rsidP="0091360E">
      <w:pPr>
        <w:pStyle w:val="CommentText"/>
        <w:jc w:val="both"/>
        <w:rPr>
          <w:rFonts w:cstheme="minorHAnsi"/>
          <w:sz w:val="22"/>
          <w:szCs w:val="22"/>
          <w:shd w:val="clear" w:color="auto" w:fill="FFFFFF"/>
        </w:rPr>
      </w:pPr>
      <w:r>
        <w:rPr>
          <w:rFonts w:cstheme="minorHAnsi"/>
          <w:sz w:val="22"/>
          <w:szCs w:val="22"/>
          <w:shd w:val="clear" w:color="auto" w:fill="FFFFFF"/>
        </w:rPr>
        <w:t>[14]</w:t>
      </w:r>
      <w:r w:rsidR="00EE6B67" w:rsidRPr="00750AB3">
        <w:rPr>
          <w:rFonts w:cstheme="minorHAnsi"/>
          <w:sz w:val="22"/>
          <w:szCs w:val="22"/>
          <w:shd w:val="clear" w:color="auto" w:fill="FFFFFF"/>
        </w:rPr>
        <w:t xml:space="preserve"> </w:t>
      </w:r>
      <w:r w:rsidR="00D82CFA" w:rsidRPr="00750AB3">
        <w:rPr>
          <w:rFonts w:cstheme="minorHAnsi"/>
          <w:sz w:val="22"/>
          <w:szCs w:val="22"/>
          <w:shd w:val="clear" w:color="auto" w:fill="FFFFFF"/>
        </w:rPr>
        <w:t>Carriere JS, Donayre Pimentel S, Yakobov E &amp; Edwards RR</w:t>
      </w:r>
      <w:r w:rsidR="00EE6B67" w:rsidRPr="00750AB3">
        <w:rPr>
          <w:rFonts w:cstheme="minorHAnsi"/>
          <w:sz w:val="22"/>
          <w:szCs w:val="22"/>
          <w:shd w:val="clear" w:color="auto" w:fill="FFFFFF"/>
        </w:rPr>
        <w:t>. A systematic review of the association between perceived injustice and pain-related outcomes in individuals with musculoskeletal pain. </w:t>
      </w:r>
      <w:r w:rsidR="00725C5A" w:rsidRPr="00750AB3">
        <w:rPr>
          <w:rFonts w:cstheme="minorHAnsi"/>
          <w:iCs/>
          <w:sz w:val="22"/>
          <w:szCs w:val="22"/>
          <w:shd w:val="clear" w:color="auto" w:fill="FFFFFF"/>
        </w:rPr>
        <w:t>Pain Med</w:t>
      </w:r>
      <w:r w:rsidR="00D82CFA" w:rsidRPr="00750AB3">
        <w:rPr>
          <w:rFonts w:cstheme="minorHAnsi"/>
          <w:iCs/>
          <w:sz w:val="22"/>
          <w:szCs w:val="22"/>
          <w:shd w:val="clear" w:color="auto" w:fill="FFFFFF"/>
        </w:rPr>
        <w:t xml:space="preserve"> 2020</w:t>
      </w:r>
      <w:r w:rsidR="00D82CFA" w:rsidRPr="00750AB3">
        <w:rPr>
          <w:rFonts w:cstheme="minorHAnsi"/>
          <w:sz w:val="22"/>
          <w:szCs w:val="22"/>
          <w:shd w:val="clear" w:color="auto" w:fill="FFFFFF"/>
        </w:rPr>
        <w:t xml:space="preserve">; </w:t>
      </w:r>
      <w:r w:rsidR="00EE6B67" w:rsidRPr="00750AB3">
        <w:rPr>
          <w:rFonts w:cstheme="minorHAnsi"/>
          <w:iCs/>
          <w:sz w:val="22"/>
          <w:szCs w:val="22"/>
          <w:shd w:val="clear" w:color="auto" w:fill="FFFFFF"/>
        </w:rPr>
        <w:t>21</w:t>
      </w:r>
      <w:r w:rsidR="00D82CFA" w:rsidRPr="00750AB3">
        <w:rPr>
          <w:rFonts w:cstheme="minorHAnsi"/>
          <w:sz w:val="22"/>
          <w:szCs w:val="22"/>
          <w:shd w:val="clear" w:color="auto" w:fill="FFFFFF"/>
        </w:rPr>
        <w:t>(7):</w:t>
      </w:r>
      <w:r w:rsidR="00EE6B67" w:rsidRPr="00750AB3">
        <w:rPr>
          <w:rFonts w:cstheme="minorHAnsi"/>
          <w:sz w:val="22"/>
          <w:szCs w:val="22"/>
          <w:shd w:val="clear" w:color="auto" w:fill="FFFFFF"/>
        </w:rPr>
        <w:t>1449-1463.</w:t>
      </w:r>
    </w:p>
    <w:p w14:paraId="49C0458D" w14:textId="015D699B" w:rsidR="00143A79" w:rsidRPr="00750AB3" w:rsidRDefault="009B4D11" w:rsidP="0091360E">
      <w:pPr>
        <w:pStyle w:val="CommentText"/>
        <w:jc w:val="both"/>
        <w:rPr>
          <w:rFonts w:cstheme="minorHAnsi"/>
          <w:noProof/>
          <w:sz w:val="22"/>
          <w:szCs w:val="22"/>
          <w:lang w:val="nl-NL"/>
        </w:rPr>
      </w:pPr>
      <w:r>
        <w:rPr>
          <w:rFonts w:cstheme="minorHAnsi"/>
          <w:sz w:val="22"/>
          <w:szCs w:val="22"/>
          <w:shd w:val="clear" w:color="auto" w:fill="FFFFFF"/>
        </w:rPr>
        <w:t>[15]</w:t>
      </w:r>
      <w:r w:rsidR="00725C5A" w:rsidRPr="00750AB3">
        <w:rPr>
          <w:rFonts w:cstheme="minorHAnsi"/>
          <w:sz w:val="22"/>
          <w:szCs w:val="22"/>
          <w:shd w:val="clear" w:color="auto" w:fill="FFFFFF"/>
        </w:rPr>
        <w:t xml:space="preserve"> </w:t>
      </w:r>
      <w:r w:rsidR="00725C5A" w:rsidRPr="00750AB3">
        <w:rPr>
          <w:rFonts w:cstheme="minorHAnsi"/>
          <w:noProof/>
          <w:sz w:val="22"/>
          <w:szCs w:val="22"/>
        </w:rPr>
        <w:t xml:space="preserve">Carriere JS, Thibault P, Milioto M, Sullivan MJL. Expectancies mediate the relations among pain catastrophizing, fear of movement, and return to work after whiplash injury. </w:t>
      </w:r>
      <w:r w:rsidR="00725C5A" w:rsidRPr="00750AB3">
        <w:rPr>
          <w:rFonts w:cstheme="minorHAnsi"/>
          <w:noProof/>
          <w:sz w:val="22"/>
          <w:szCs w:val="22"/>
          <w:lang w:val="nl-NL"/>
        </w:rPr>
        <w:t>J Pain 2015;16:1280-7</w:t>
      </w:r>
      <w:r w:rsidR="00143A79" w:rsidRPr="00750AB3">
        <w:rPr>
          <w:rFonts w:cstheme="minorHAnsi"/>
          <w:noProof/>
          <w:sz w:val="22"/>
          <w:szCs w:val="22"/>
          <w:lang w:val="nl-NL"/>
        </w:rPr>
        <w:t>.</w:t>
      </w:r>
    </w:p>
    <w:p w14:paraId="65437FA0" w14:textId="77A909F1" w:rsidR="004D3412" w:rsidRPr="00750AB3" w:rsidRDefault="00AE0B88" w:rsidP="0091360E">
      <w:pPr>
        <w:pStyle w:val="CommentText"/>
        <w:jc w:val="both"/>
        <w:rPr>
          <w:rFonts w:cstheme="minorHAnsi"/>
          <w:sz w:val="22"/>
          <w:szCs w:val="22"/>
          <w:shd w:val="clear" w:color="auto" w:fill="FFFFFF"/>
        </w:rPr>
      </w:pPr>
      <w:r>
        <w:rPr>
          <w:rFonts w:cstheme="minorHAnsi"/>
          <w:noProof/>
          <w:sz w:val="22"/>
          <w:szCs w:val="22"/>
          <w:lang w:val="nl-NL"/>
        </w:rPr>
        <w:t xml:space="preserve">[16] </w:t>
      </w:r>
      <w:r w:rsidR="00143A79" w:rsidRPr="00750AB3">
        <w:rPr>
          <w:rFonts w:cstheme="minorHAnsi"/>
          <w:sz w:val="22"/>
          <w:szCs w:val="22"/>
          <w:shd w:val="clear" w:color="auto" w:fill="FFFFFF"/>
        </w:rPr>
        <w:t>Case A,  Deaton A, Stone AA. Decoding the mystery of American pain reveals a warning for the future. </w:t>
      </w:r>
      <w:r w:rsidR="00143A79" w:rsidRPr="00750AB3">
        <w:rPr>
          <w:rFonts w:cstheme="minorHAnsi"/>
          <w:iCs/>
          <w:sz w:val="22"/>
          <w:szCs w:val="22"/>
          <w:shd w:val="clear" w:color="auto" w:fill="FFFFFF"/>
        </w:rPr>
        <w:t>P</w:t>
      </w:r>
      <w:r w:rsidR="00FC6812" w:rsidRPr="00750AB3">
        <w:rPr>
          <w:rFonts w:cstheme="minorHAnsi"/>
          <w:iCs/>
          <w:sz w:val="22"/>
          <w:szCs w:val="22"/>
          <w:shd w:val="clear" w:color="auto" w:fill="FFFFFF"/>
        </w:rPr>
        <w:t xml:space="preserve"> Natl Acad Sci</w:t>
      </w:r>
      <w:r w:rsidR="00143A79" w:rsidRPr="00750AB3">
        <w:rPr>
          <w:rFonts w:cstheme="minorHAnsi"/>
          <w:sz w:val="22"/>
          <w:szCs w:val="22"/>
          <w:shd w:val="clear" w:color="auto" w:fill="FFFFFF"/>
        </w:rPr>
        <w:t xml:space="preserve"> 2020; </w:t>
      </w:r>
      <w:r w:rsidR="00143A79" w:rsidRPr="00750AB3">
        <w:rPr>
          <w:rFonts w:cstheme="minorHAnsi"/>
          <w:iCs/>
          <w:sz w:val="22"/>
          <w:szCs w:val="22"/>
          <w:shd w:val="clear" w:color="auto" w:fill="FFFFFF"/>
        </w:rPr>
        <w:t>117</w:t>
      </w:r>
      <w:r w:rsidR="00143A79" w:rsidRPr="00750AB3">
        <w:rPr>
          <w:rFonts w:cstheme="minorHAnsi"/>
          <w:sz w:val="22"/>
          <w:szCs w:val="22"/>
          <w:shd w:val="clear" w:color="auto" w:fill="FFFFFF"/>
        </w:rPr>
        <w:t>(40): 24785-24789.</w:t>
      </w:r>
    </w:p>
    <w:p w14:paraId="0796EED0" w14:textId="276055AF" w:rsidR="002E2C44" w:rsidRPr="00750AB3" w:rsidRDefault="009B4D11" w:rsidP="0091360E">
      <w:pPr>
        <w:pStyle w:val="CommentText"/>
        <w:jc w:val="both"/>
        <w:rPr>
          <w:rFonts w:cstheme="minorHAnsi"/>
          <w:sz w:val="22"/>
          <w:szCs w:val="22"/>
          <w:shd w:val="clear" w:color="auto" w:fill="FFFFFF"/>
        </w:rPr>
      </w:pPr>
      <w:r>
        <w:rPr>
          <w:rFonts w:cstheme="minorHAnsi"/>
          <w:sz w:val="22"/>
          <w:szCs w:val="22"/>
          <w:shd w:val="clear" w:color="auto" w:fill="FFFFFF"/>
        </w:rPr>
        <w:t>[17]</w:t>
      </w:r>
      <w:r w:rsidR="004D3412" w:rsidRPr="00750AB3">
        <w:rPr>
          <w:rFonts w:cstheme="minorHAnsi"/>
          <w:sz w:val="22"/>
          <w:szCs w:val="22"/>
          <w:shd w:val="clear" w:color="auto" w:fill="FFFFFF"/>
        </w:rPr>
        <w:t xml:space="preserve"> </w:t>
      </w:r>
      <w:r w:rsidR="00D73963" w:rsidRPr="00750AB3">
        <w:rPr>
          <w:rFonts w:cstheme="minorHAnsi"/>
          <w:sz w:val="22"/>
          <w:szCs w:val="22"/>
          <w:shd w:val="clear" w:color="auto" w:fill="FFFFFF"/>
        </w:rPr>
        <w:t>Clauw DJ, Häuser W, Cohen SP, Fitzcharles MA. Considering the potential for an increase in chronic pain after the COVID-19 pandemic. </w:t>
      </w:r>
      <w:r w:rsidR="00BF6A1C">
        <w:rPr>
          <w:rStyle w:val="normaltextrun"/>
          <w:rFonts w:cstheme="minorHAnsi"/>
          <w:sz w:val="22"/>
          <w:szCs w:val="22"/>
          <w:lang w:val="da-DK"/>
        </w:rPr>
        <w:t>PAIN</w:t>
      </w:r>
      <w:r w:rsidR="00D73963" w:rsidRPr="00750AB3">
        <w:rPr>
          <w:rFonts w:cstheme="minorHAnsi"/>
          <w:iCs/>
          <w:sz w:val="22"/>
          <w:szCs w:val="22"/>
          <w:shd w:val="clear" w:color="auto" w:fill="FFFFFF"/>
        </w:rPr>
        <w:t xml:space="preserve"> 2020; 161</w:t>
      </w:r>
      <w:r w:rsidR="00D73963" w:rsidRPr="00750AB3">
        <w:rPr>
          <w:rFonts w:cstheme="minorHAnsi"/>
          <w:sz w:val="22"/>
          <w:szCs w:val="22"/>
          <w:shd w:val="clear" w:color="auto" w:fill="FFFFFF"/>
        </w:rPr>
        <w:t>(8), 1694.</w:t>
      </w:r>
    </w:p>
    <w:p w14:paraId="3B1BFC29" w14:textId="35C3F16B" w:rsidR="005D2D0C" w:rsidRDefault="009B4D11" w:rsidP="0091360E">
      <w:pPr>
        <w:pStyle w:val="CommentText"/>
        <w:jc w:val="both"/>
        <w:rPr>
          <w:rFonts w:cstheme="minorHAnsi"/>
          <w:sz w:val="22"/>
          <w:szCs w:val="22"/>
          <w:shd w:val="clear" w:color="auto" w:fill="FFFFFF"/>
        </w:rPr>
      </w:pPr>
      <w:r>
        <w:rPr>
          <w:rFonts w:cstheme="minorHAnsi"/>
          <w:sz w:val="22"/>
          <w:szCs w:val="22"/>
          <w:shd w:val="clear" w:color="auto" w:fill="FFFFFF"/>
        </w:rPr>
        <w:t>[18]</w:t>
      </w:r>
      <w:r w:rsidR="0086503F" w:rsidRPr="00750AB3">
        <w:rPr>
          <w:rFonts w:cstheme="minorHAnsi"/>
          <w:sz w:val="22"/>
          <w:szCs w:val="22"/>
          <w:shd w:val="clear" w:color="auto" w:fill="FFFFFF"/>
        </w:rPr>
        <w:t xml:space="preserve"> Coggon D, Ntani G, Palmer KT, Felli VE, Harari F, Quintana LA, Felknor SA, Rojas M, Cattrell A, Vargas</w:t>
      </w:r>
      <w:r w:rsidR="0086503F" w:rsidRPr="00750AB3">
        <w:rPr>
          <w:rFonts w:ascii="Cambria Math" w:hAnsi="Cambria Math" w:cs="Cambria Math"/>
          <w:sz w:val="22"/>
          <w:szCs w:val="22"/>
          <w:shd w:val="clear" w:color="auto" w:fill="FFFFFF"/>
        </w:rPr>
        <w:t>‐</w:t>
      </w:r>
      <w:r w:rsidR="0086503F" w:rsidRPr="00750AB3">
        <w:rPr>
          <w:rFonts w:cstheme="minorHAnsi"/>
          <w:sz w:val="22"/>
          <w:szCs w:val="22"/>
          <w:shd w:val="clear" w:color="auto" w:fill="FFFFFF"/>
        </w:rPr>
        <w:t xml:space="preserve">Prada S, Bonzini M. Drivers of international variation in prevalence of disabling low back pain: findings from the cultural and psychosocial influences on disability study. </w:t>
      </w:r>
      <w:r w:rsidR="0086503F" w:rsidRPr="00750AB3">
        <w:rPr>
          <w:rFonts w:cstheme="minorHAnsi"/>
          <w:iCs/>
          <w:sz w:val="22"/>
          <w:szCs w:val="22"/>
          <w:shd w:val="clear" w:color="auto" w:fill="FFFFFF"/>
        </w:rPr>
        <w:t>Eur J Pain</w:t>
      </w:r>
      <w:r w:rsidR="008363F5" w:rsidRPr="00750AB3">
        <w:rPr>
          <w:rFonts w:cstheme="minorHAnsi"/>
          <w:sz w:val="22"/>
          <w:szCs w:val="22"/>
          <w:shd w:val="clear" w:color="auto" w:fill="FFFFFF"/>
        </w:rPr>
        <w:t xml:space="preserve"> </w:t>
      </w:r>
      <w:r w:rsidR="0086503F" w:rsidRPr="00750AB3">
        <w:rPr>
          <w:rFonts w:cstheme="minorHAnsi"/>
          <w:sz w:val="22"/>
          <w:szCs w:val="22"/>
          <w:shd w:val="clear" w:color="auto" w:fill="FFFFFF"/>
        </w:rPr>
        <w:t>2019;23(1):35-45. doi:10.1002/ejp.1255</w:t>
      </w:r>
    </w:p>
    <w:p w14:paraId="0C519BDA" w14:textId="577DD94E" w:rsidR="00EB32AD" w:rsidRPr="0070644B" w:rsidRDefault="00AE0B88" w:rsidP="00EB32AD">
      <w:pPr>
        <w:pStyle w:val="CommentText"/>
        <w:spacing w:after="0"/>
        <w:jc w:val="both"/>
        <w:rPr>
          <w:rFonts w:cstheme="minorHAnsi"/>
          <w:sz w:val="22"/>
          <w:szCs w:val="22"/>
        </w:rPr>
      </w:pPr>
      <w:r>
        <w:rPr>
          <w:rFonts w:cstheme="minorHAnsi"/>
          <w:sz w:val="22"/>
          <w:szCs w:val="22"/>
        </w:rPr>
        <w:t xml:space="preserve">[19] </w:t>
      </w:r>
      <w:r w:rsidR="00EB32AD" w:rsidRPr="0070644B">
        <w:rPr>
          <w:rFonts w:cstheme="minorHAnsi"/>
          <w:sz w:val="22"/>
          <w:szCs w:val="22"/>
        </w:rPr>
        <w:t>Crowther RE, Marshall M, Bond GR, Huxley P. Helping people with severe mental illness to obtain work: systematic review. BMJ 2001; 322:204-8.</w:t>
      </w:r>
    </w:p>
    <w:p w14:paraId="6AF442A1" w14:textId="77777777" w:rsidR="00EB32AD" w:rsidRPr="00750AB3" w:rsidRDefault="00EB32AD" w:rsidP="0091360E">
      <w:pPr>
        <w:pStyle w:val="CommentText"/>
        <w:jc w:val="both"/>
        <w:rPr>
          <w:rFonts w:cstheme="minorHAnsi"/>
          <w:sz w:val="22"/>
          <w:szCs w:val="22"/>
          <w:shd w:val="clear" w:color="auto" w:fill="FFFFFF"/>
        </w:rPr>
      </w:pPr>
    </w:p>
    <w:p w14:paraId="2114AD6A" w14:textId="39115D5A" w:rsidR="00DF083A" w:rsidRPr="00750AB3" w:rsidRDefault="00AE0B88" w:rsidP="0091360E">
      <w:pPr>
        <w:pStyle w:val="CommentText"/>
        <w:jc w:val="both"/>
        <w:rPr>
          <w:rFonts w:cstheme="minorHAnsi"/>
          <w:sz w:val="22"/>
          <w:szCs w:val="22"/>
          <w:shd w:val="clear" w:color="auto" w:fill="FFFFFF"/>
        </w:rPr>
      </w:pPr>
      <w:r>
        <w:rPr>
          <w:rFonts w:cstheme="minorHAnsi"/>
          <w:sz w:val="22"/>
          <w:szCs w:val="22"/>
          <w:shd w:val="clear" w:color="auto" w:fill="FFFFFF"/>
        </w:rPr>
        <w:t xml:space="preserve">[20] </w:t>
      </w:r>
      <w:r w:rsidR="005D2D0C" w:rsidRPr="00750AB3">
        <w:rPr>
          <w:rFonts w:cstheme="minorHAnsi"/>
          <w:sz w:val="22"/>
          <w:szCs w:val="22"/>
          <w:shd w:val="clear" w:color="auto" w:fill="FFFFFF"/>
        </w:rPr>
        <w:t xml:space="preserve"> Cullen KL, Irvin E, Collie A, Clay F, Gensby U, Jennings PA, Hogg-Johnson S, Kristman V, Laberge M, McKenzie D, Newnam S. Effectiveness of workplace interventions in return-to-work for musculoskeletal, pain-related and mental health conditions: an update of the evidence and messages for practitioners. </w:t>
      </w:r>
      <w:r w:rsidR="005D2D0C" w:rsidRPr="00750AB3">
        <w:rPr>
          <w:rStyle w:val="normaltextrun"/>
          <w:rFonts w:cstheme="minorHAnsi"/>
          <w:sz w:val="22"/>
          <w:szCs w:val="22"/>
          <w:lang w:val="en-US"/>
        </w:rPr>
        <w:t>J Occup Rehabil</w:t>
      </w:r>
      <w:r w:rsidR="005D2D0C" w:rsidRPr="00750AB3">
        <w:rPr>
          <w:rFonts w:cstheme="minorHAnsi"/>
          <w:sz w:val="22"/>
          <w:szCs w:val="22"/>
          <w:shd w:val="clear" w:color="auto" w:fill="FFFFFF"/>
        </w:rPr>
        <w:t xml:space="preserve"> 2018 Mar 1;28(1):1-5.</w:t>
      </w:r>
    </w:p>
    <w:p w14:paraId="316CB101" w14:textId="6A372A79" w:rsidR="00E76690" w:rsidRPr="00750AB3" w:rsidRDefault="009B4D11" w:rsidP="0091360E">
      <w:pPr>
        <w:pStyle w:val="CommentText"/>
        <w:jc w:val="both"/>
        <w:rPr>
          <w:rFonts w:cstheme="minorHAnsi"/>
          <w:sz w:val="22"/>
          <w:szCs w:val="22"/>
        </w:rPr>
      </w:pPr>
      <w:r>
        <w:rPr>
          <w:rFonts w:cstheme="minorHAnsi"/>
          <w:sz w:val="22"/>
          <w:szCs w:val="22"/>
          <w:shd w:val="clear" w:color="auto" w:fill="FFFFFF"/>
        </w:rPr>
        <w:t>[21]</w:t>
      </w:r>
      <w:r w:rsidR="00DF083A" w:rsidRPr="00750AB3">
        <w:rPr>
          <w:rFonts w:cstheme="minorHAnsi"/>
          <w:sz w:val="22"/>
          <w:szCs w:val="22"/>
          <w:shd w:val="clear" w:color="auto" w:fill="FFFFFF"/>
        </w:rPr>
        <w:t xml:space="preserve"> </w:t>
      </w:r>
      <w:r w:rsidR="00DF083A" w:rsidRPr="00750AB3">
        <w:rPr>
          <w:rFonts w:cstheme="minorHAnsi"/>
          <w:sz w:val="22"/>
          <w:szCs w:val="22"/>
        </w:rPr>
        <w:t xml:space="preserve">Daniels K, Delany K, Napier J, Hogg M, Rushworth M. </w:t>
      </w:r>
      <w:r w:rsidR="00DF083A" w:rsidRPr="00750AB3">
        <w:rPr>
          <w:rFonts w:cstheme="minorHAnsi"/>
          <w:sz w:val="22"/>
          <w:szCs w:val="22"/>
          <w:shd w:val="clear" w:color="auto" w:fill="FFFFFF"/>
        </w:rPr>
        <w:t>Society of Occupational Medicine and Cohort.</w:t>
      </w:r>
      <w:r w:rsidR="00DF083A" w:rsidRPr="00750AB3">
        <w:rPr>
          <w:rFonts w:cstheme="minorHAnsi"/>
          <w:sz w:val="22"/>
          <w:szCs w:val="22"/>
        </w:rPr>
        <w:t xml:space="preserve"> The value of occupational health to workplace wellbeing.</w:t>
      </w:r>
      <w:r w:rsidR="00DF083A" w:rsidRPr="00750AB3">
        <w:rPr>
          <w:rFonts w:cstheme="minorHAnsi"/>
          <w:sz w:val="22"/>
          <w:szCs w:val="22"/>
          <w:shd w:val="clear" w:color="auto" w:fill="FFFFFF"/>
        </w:rPr>
        <w:t xml:space="preserve"> 2019. </w:t>
      </w:r>
      <w:r w:rsidR="001355D3" w:rsidRPr="00750AB3">
        <w:rPr>
          <w:rFonts w:cstheme="minorHAnsi"/>
          <w:sz w:val="22"/>
          <w:szCs w:val="22"/>
          <w:shd w:val="clear" w:color="auto" w:fill="FFFFFF"/>
        </w:rPr>
        <w:t xml:space="preserve">Retrieved March 28, 2021, from </w:t>
      </w:r>
      <w:hyperlink r:id="rId9" w:history="1">
        <w:r w:rsidR="00DF083A" w:rsidRPr="00750AB3">
          <w:rPr>
            <w:rStyle w:val="Hyperlink"/>
            <w:rFonts w:cstheme="minorHAnsi"/>
            <w:color w:val="auto"/>
            <w:sz w:val="22"/>
            <w:szCs w:val="22"/>
          </w:rPr>
          <w:t>https://madworldsummit.com/assets/files/TheValueofOccupationalHealthtoWorkplaceWellbeing.pdf</w:t>
        </w:r>
      </w:hyperlink>
    </w:p>
    <w:p w14:paraId="48E552CF" w14:textId="6165498F" w:rsidR="00E76690" w:rsidRPr="00750AB3" w:rsidRDefault="00705EFB" w:rsidP="0091360E">
      <w:pPr>
        <w:pStyle w:val="CommentText"/>
        <w:jc w:val="both"/>
        <w:rPr>
          <w:rFonts w:cstheme="minorHAnsi"/>
          <w:sz w:val="22"/>
          <w:szCs w:val="22"/>
        </w:rPr>
      </w:pPr>
      <w:r>
        <w:rPr>
          <w:rFonts w:cstheme="minorHAnsi"/>
          <w:sz w:val="22"/>
          <w:szCs w:val="22"/>
        </w:rPr>
        <w:t>[22]</w:t>
      </w:r>
      <w:r w:rsidR="00E76690" w:rsidRPr="00750AB3">
        <w:rPr>
          <w:rFonts w:cstheme="minorHAnsi"/>
          <w:sz w:val="22"/>
          <w:szCs w:val="22"/>
        </w:rPr>
        <w:t xml:space="preserve"> Department of Health and Social Care.</w:t>
      </w:r>
      <w:r w:rsidR="00E76690" w:rsidRPr="00750AB3">
        <w:rPr>
          <w:rFonts w:cstheme="minorHAnsi"/>
          <w:i/>
          <w:sz w:val="22"/>
          <w:szCs w:val="22"/>
        </w:rPr>
        <w:t xml:space="preserve"> </w:t>
      </w:r>
      <w:r w:rsidR="00E76690" w:rsidRPr="00750AB3">
        <w:rPr>
          <w:rFonts w:cstheme="minorHAnsi"/>
          <w:sz w:val="22"/>
          <w:szCs w:val="22"/>
        </w:rPr>
        <w:t xml:space="preserve">Gov.uk. Retrieved March 26, 2021, from </w:t>
      </w:r>
      <w:hyperlink r:id="rId10" w:history="1">
        <w:r w:rsidR="00E76690" w:rsidRPr="00750AB3">
          <w:rPr>
            <w:rStyle w:val="Hyperlink"/>
            <w:rFonts w:cstheme="minorHAnsi"/>
            <w:color w:val="auto"/>
            <w:sz w:val="22"/>
            <w:szCs w:val="22"/>
          </w:rPr>
          <w:t>https://www.gov.uk/government/organisations/department-of-health-and-social-care</w:t>
        </w:r>
      </w:hyperlink>
    </w:p>
    <w:p w14:paraId="3EF99214" w14:textId="05C3D87B" w:rsidR="00734C43" w:rsidRPr="00750AB3" w:rsidRDefault="00705EFB" w:rsidP="0091360E">
      <w:pPr>
        <w:pStyle w:val="CommentText"/>
        <w:tabs>
          <w:tab w:val="left" w:pos="960"/>
        </w:tabs>
        <w:jc w:val="both"/>
        <w:rPr>
          <w:rFonts w:cstheme="minorHAnsi"/>
          <w:sz w:val="22"/>
          <w:szCs w:val="22"/>
          <w:u w:val="single"/>
        </w:rPr>
      </w:pPr>
      <w:r>
        <w:rPr>
          <w:rFonts w:cstheme="minorHAnsi"/>
          <w:sz w:val="22"/>
          <w:szCs w:val="22"/>
          <w:shd w:val="clear" w:color="auto" w:fill="FFFFFF"/>
        </w:rPr>
        <w:t>[23]</w:t>
      </w:r>
      <w:r w:rsidR="001C36E5" w:rsidRPr="00750AB3">
        <w:rPr>
          <w:rFonts w:cstheme="minorHAnsi"/>
          <w:sz w:val="22"/>
          <w:szCs w:val="22"/>
          <w:shd w:val="clear" w:color="auto" w:fill="FFFFFF"/>
        </w:rPr>
        <w:t xml:space="preserve"> </w:t>
      </w:r>
      <w:r w:rsidR="001C36E5" w:rsidRPr="003D4A04">
        <w:rPr>
          <w:rFonts w:cstheme="minorHAnsi"/>
          <w:sz w:val="22"/>
          <w:szCs w:val="22"/>
        </w:rPr>
        <w:t>Department of Work and Pensions.</w:t>
      </w:r>
      <w:r w:rsidR="001C36E5" w:rsidRPr="00750AB3">
        <w:rPr>
          <w:rFonts w:cstheme="minorHAnsi"/>
          <w:i/>
          <w:sz w:val="22"/>
          <w:szCs w:val="22"/>
        </w:rPr>
        <w:t xml:space="preserve"> </w:t>
      </w:r>
      <w:r w:rsidR="001C36E5" w:rsidRPr="00750AB3">
        <w:rPr>
          <w:rFonts w:cstheme="minorHAnsi"/>
          <w:sz w:val="22"/>
          <w:szCs w:val="22"/>
        </w:rPr>
        <w:t xml:space="preserve">Gov.uk. Retrieved March 26, 2021, from </w:t>
      </w:r>
      <w:hyperlink r:id="rId11" w:history="1">
        <w:r w:rsidR="001C36E5" w:rsidRPr="00750AB3">
          <w:rPr>
            <w:rStyle w:val="Hyperlink"/>
            <w:rFonts w:cstheme="minorHAnsi"/>
            <w:color w:val="auto"/>
            <w:sz w:val="22"/>
            <w:szCs w:val="22"/>
          </w:rPr>
          <w:t>https://www.gov.uk/government/organisations/department-for-work-pensions/about</w:t>
        </w:r>
      </w:hyperlink>
    </w:p>
    <w:p w14:paraId="2D63A736" w14:textId="5A60006B" w:rsidR="00624025" w:rsidRPr="00750AB3" w:rsidRDefault="00705EFB" w:rsidP="0091360E">
      <w:pPr>
        <w:pStyle w:val="CommentText"/>
        <w:jc w:val="both"/>
        <w:rPr>
          <w:rFonts w:cstheme="minorHAnsi"/>
          <w:sz w:val="22"/>
          <w:szCs w:val="22"/>
        </w:rPr>
      </w:pPr>
      <w:r>
        <w:rPr>
          <w:rFonts w:cstheme="minorHAnsi"/>
          <w:sz w:val="22"/>
          <w:szCs w:val="22"/>
          <w:shd w:val="clear" w:color="auto" w:fill="FFFFFF"/>
        </w:rPr>
        <w:t xml:space="preserve">[24] </w:t>
      </w:r>
      <w:r w:rsidR="00624025" w:rsidRPr="00750AB3">
        <w:rPr>
          <w:rFonts w:cstheme="minorHAnsi"/>
          <w:sz w:val="22"/>
          <w:szCs w:val="22"/>
        </w:rPr>
        <w:t>Department for Work and Pensions and Department of Health. 2017. Improving Lives: The Future of Work, Health and Disability. Retrieved March 26, 2021, from https://assets.publishing.service.gov.uk/government/uploads/system/uploads/attachment_data/file/663399/improving-lives-the-future-of-work-health-and-disability.PDF</w:t>
      </w:r>
    </w:p>
    <w:p w14:paraId="70C376FF" w14:textId="24BA7802" w:rsidR="00F81F93" w:rsidRPr="00624BD4" w:rsidRDefault="00F81F93" w:rsidP="00F81F93">
      <w:pPr>
        <w:pStyle w:val="m-1486370488443011814p1"/>
        <w:shd w:val="clear" w:color="auto" w:fill="FFFFFF"/>
        <w:jc w:val="both"/>
        <w:rPr>
          <w:rFonts w:ascii="Arial" w:hAnsi="Arial" w:cs="Arial"/>
          <w:sz w:val="22"/>
          <w:szCs w:val="22"/>
        </w:rPr>
      </w:pPr>
      <w:r w:rsidRPr="00624BD4">
        <w:rPr>
          <w:rFonts w:ascii="Arial" w:hAnsi="Arial" w:cs="Arial"/>
          <w:sz w:val="22"/>
          <w:szCs w:val="22"/>
        </w:rPr>
        <w:t xml:space="preserve">[25] Deyo R A, Von Korff M, Duhrkoop D. Opioids for low back pain </w:t>
      </w:r>
      <w:r w:rsidRPr="00624BD4">
        <w:rPr>
          <w:rFonts w:ascii="Arial" w:hAnsi="Arial" w:cs="Arial"/>
          <w:i/>
          <w:iCs/>
          <w:sz w:val="22"/>
          <w:szCs w:val="22"/>
        </w:rPr>
        <w:t xml:space="preserve">BMJ </w:t>
      </w:r>
      <w:r w:rsidRPr="00624BD4">
        <w:rPr>
          <w:rFonts w:ascii="Arial" w:hAnsi="Arial" w:cs="Arial"/>
          <w:sz w:val="22"/>
          <w:szCs w:val="22"/>
        </w:rPr>
        <w:t>2015; 350:g6380 doi:10.1136/bmj.g6380</w:t>
      </w:r>
    </w:p>
    <w:p w14:paraId="15B9063B" w14:textId="77777777" w:rsidR="00F81F93" w:rsidRPr="00624BD4" w:rsidRDefault="00F81F93" w:rsidP="00F81F93">
      <w:pPr>
        <w:pStyle w:val="CommentText"/>
        <w:spacing w:after="0"/>
        <w:jc w:val="both"/>
        <w:rPr>
          <w:rFonts w:ascii="Arial" w:hAnsi="Arial" w:cs="Arial"/>
          <w:sz w:val="22"/>
          <w:szCs w:val="22"/>
        </w:rPr>
      </w:pPr>
      <w:r w:rsidRPr="00624BD4">
        <w:rPr>
          <w:rFonts w:ascii="Arial" w:hAnsi="Arial" w:cs="Arial"/>
          <w:sz w:val="22"/>
          <w:szCs w:val="22"/>
        </w:rPr>
        <w:t>[26] Drake RE. Special Issue on the IPS model. Psychiatr Rehabil J 1998; 22 (1).</w:t>
      </w:r>
    </w:p>
    <w:p w14:paraId="7630C6FE" w14:textId="77777777" w:rsidR="00F81F93" w:rsidRPr="00624BD4" w:rsidRDefault="00F81F93" w:rsidP="00F81F93">
      <w:pPr>
        <w:pStyle w:val="CommentText"/>
        <w:spacing w:after="0"/>
        <w:jc w:val="both"/>
        <w:rPr>
          <w:rFonts w:ascii="Arial" w:hAnsi="Arial" w:cs="Arial"/>
          <w:sz w:val="22"/>
          <w:szCs w:val="22"/>
        </w:rPr>
      </w:pPr>
    </w:p>
    <w:p w14:paraId="484EFC01" w14:textId="77777777" w:rsidR="00F81F93" w:rsidRPr="00624BD4" w:rsidRDefault="00F81F93" w:rsidP="00F81F93">
      <w:pPr>
        <w:pStyle w:val="CommentText"/>
        <w:jc w:val="both"/>
        <w:rPr>
          <w:rFonts w:ascii="Arial" w:hAnsi="Arial" w:cs="Arial"/>
          <w:sz w:val="22"/>
          <w:szCs w:val="22"/>
        </w:rPr>
      </w:pPr>
      <w:r w:rsidRPr="00624BD4">
        <w:rPr>
          <w:rFonts w:ascii="Arial" w:hAnsi="Arial" w:cs="Arial"/>
          <w:sz w:val="22"/>
          <w:szCs w:val="22"/>
        </w:rPr>
        <w:t>[27] Drake RE, Becker DR. The Individual Placement and Support model of supported employment. Psychiatric Services 1996; 47:473-5.</w:t>
      </w:r>
    </w:p>
    <w:p w14:paraId="560A43CD" w14:textId="2FFCEB2E" w:rsidR="003B1B5F" w:rsidRPr="00750AB3" w:rsidRDefault="0023730A" w:rsidP="00F81F93">
      <w:pPr>
        <w:pStyle w:val="CommentText"/>
        <w:jc w:val="both"/>
        <w:rPr>
          <w:rFonts w:cstheme="minorHAnsi"/>
          <w:sz w:val="22"/>
          <w:szCs w:val="22"/>
          <w:shd w:val="clear" w:color="auto" w:fill="FFFFFF"/>
        </w:rPr>
      </w:pPr>
      <w:r>
        <w:rPr>
          <w:rFonts w:cstheme="minorHAnsi"/>
          <w:sz w:val="22"/>
          <w:szCs w:val="22"/>
          <w:shd w:val="clear" w:color="auto" w:fill="FFFFFF"/>
        </w:rPr>
        <w:t xml:space="preserve">[28] </w:t>
      </w:r>
      <w:r w:rsidR="008363F5" w:rsidRPr="00750AB3">
        <w:rPr>
          <w:rFonts w:cstheme="minorHAnsi"/>
          <w:sz w:val="22"/>
          <w:szCs w:val="22"/>
          <w:shd w:val="clear" w:color="auto" w:fill="FFFFFF"/>
        </w:rPr>
        <w:t xml:space="preserve">Etuknwa A, Daniels K, Eib C. Sustainable return to work: a systematic review focusing on personal and social factors. </w:t>
      </w:r>
      <w:r w:rsidR="008363F5" w:rsidRPr="00750AB3">
        <w:rPr>
          <w:rStyle w:val="normaltextrun"/>
          <w:rFonts w:cstheme="minorHAnsi"/>
          <w:sz w:val="22"/>
          <w:szCs w:val="22"/>
          <w:lang w:val="en-US"/>
        </w:rPr>
        <w:t>J Occup Rehabil</w:t>
      </w:r>
      <w:r w:rsidR="0093203F" w:rsidRPr="00750AB3">
        <w:rPr>
          <w:rFonts w:cstheme="minorHAnsi"/>
          <w:sz w:val="22"/>
          <w:szCs w:val="22"/>
          <w:shd w:val="clear" w:color="auto" w:fill="FFFFFF"/>
        </w:rPr>
        <w:t xml:space="preserve"> 2019</w:t>
      </w:r>
      <w:r w:rsidR="008363F5" w:rsidRPr="00750AB3">
        <w:rPr>
          <w:rFonts w:cstheme="minorHAnsi"/>
          <w:sz w:val="22"/>
          <w:szCs w:val="22"/>
          <w:shd w:val="clear" w:color="auto" w:fill="FFFFFF"/>
        </w:rPr>
        <w:t xml:space="preserve"> 1-22.</w:t>
      </w:r>
    </w:p>
    <w:p w14:paraId="7B6F17E8" w14:textId="14D7032E" w:rsidR="003B1B5F" w:rsidRPr="00750AB3" w:rsidRDefault="00705EFB" w:rsidP="0091360E">
      <w:pPr>
        <w:pStyle w:val="CommentText"/>
        <w:jc w:val="both"/>
        <w:rPr>
          <w:rFonts w:cstheme="minorHAnsi"/>
          <w:sz w:val="22"/>
          <w:szCs w:val="22"/>
        </w:rPr>
      </w:pPr>
      <w:r>
        <w:rPr>
          <w:rFonts w:cstheme="minorHAnsi"/>
          <w:sz w:val="22"/>
          <w:szCs w:val="22"/>
          <w:shd w:val="clear" w:color="auto" w:fill="FFFFFF"/>
        </w:rPr>
        <w:t>[29]</w:t>
      </w:r>
      <w:r w:rsidR="003B1B5F" w:rsidRPr="00750AB3">
        <w:rPr>
          <w:rFonts w:cstheme="minorHAnsi"/>
          <w:sz w:val="22"/>
          <w:szCs w:val="22"/>
          <w:shd w:val="clear" w:color="auto" w:fill="FFFFFF"/>
        </w:rPr>
        <w:t xml:space="preserve"> </w:t>
      </w:r>
      <w:r w:rsidR="00D73A80" w:rsidRPr="00750AB3">
        <w:rPr>
          <w:rStyle w:val="normaltextrun"/>
          <w:rFonts w:cstheme="minorHAnsi"/>
          <w:sz w:val="22"/>
          <w:szCs w:val="22"/>
          <w:lang w:val="en-US"/>
        </w:rPr>
        <w:t>Fuentes M, Hart-Johnson T, Green CR. The association among neighborhood socioeconomic status, race and chronic pain in black and white older adults. J Natl Med Assoc 2007;99:1160–1169. Available: https://pubmed.ncbi.nlm.nih.gov/17987920</w:t>
      </w:r>
    </w:p>
    <w:p w14:paraId="4EF1478E" w14:textId="17A1A96C" w:rsidR="00627386" w:rsidRPr="00750AB3" w:rsidRDefault="00705EFB" w:rsidP="0091360E">
      <w:pPr>
        <w:pStyle w:val="CommentText"/>
        <w:jc w:val="both"/>
        <w:rPr>
          <w:rFonts w:cstheme="minorHAnsi"/>
          <w:sz w:val="22"/>
          <w:szCs w:val="22"/>
          <w:shd w:val="clear" w:color="auto" w:fill="FFFFFF"/>
        </w:rPr>
      </w:pPr>
      <w:r>
        <w:rPr>
          <w:rFonts w:cstheme="minorHAnsi"/>
          <w:sz w:val="22"/>
          <w:szCs w:val="22"/>
          <w:shd w:val="clear" w:color="auto" w:fill="FFFFFF"/>
        </w:rPr>
        <w:t>[30]</w:t>
      </w:r>
      <w:r w:rsidR="00D73A80" w:rsidRPr="00750AB3">
        <w:rPr>
          <w:rFonts w:cstheme="minorHAnsi"/>
          <w:sz w:val="22"/>
          <w:szCs w:val="22"/>
          <w:shd w:val="clear" w:color="auto" w:fill="FFFFFF"/>
        </w:rPr>
        <w:t xml:space="preserve"> </w:t>
      </w:r>
      <w:r w:rsidR="00627386" w:rsidRPr="00750AB3">
        <w:rPr>
          <w:rFonts w:cstheme="minorHAnsi"/>
          <w:sz w:val="22"/>
          <w:szCs w:val="22"/>
          <w:shd w:val="clear" w:color="auto" w:fill="FFFFFF"/>
        </w:rPr>
        <w:t>Foster NE, Anema JR, Cherkin D, Chou R, Cohen SP, Gross DP, Ferreira PH, Fritz JM, Koes BW, Puel W, Turner JA, Maher, CG. Prevention and treatment of low back pain: evidence, challenges, and promising directions.</w:t>
      </w:r>
      <w:r w:rsidR="00627386" w:rsidRPr="00750AB3">
        <w:rPr>
          <w:rFonts w:cstheme="minorHAnsi"/>
          <w:i/>
          <w:iCs/>
          <w:sz w:val="22"/>
          <w:szCs w:val="22"/>
          <w:shd w:val="clear" w:color="auto" w:fill="FFFFFF"/>
        </w:rPr>
        <w:t xml:space="preserve"> </w:t>
      </w:r>
      <w:r w:rsidR="00627386" w:rsidRPr="00750AB3">
        <w:rPr>
          <w:rFonts w:cstheme="minorHAnsi"/>
          <w:iCs/>
          <w:sz w:val="22"/>
          <w:szCs w:val="22"/>
          <w:shd w:val="clear" w:color="auto" w:fill="FFFFFF"/>
        </w:rPr>
        <w:t>Lancet</w:t>
      </w:r>
      <w:r w:rsidR="00627386" w:rsidRPr="00750AB3">
        <w:rPr>
          <w:rFonts w:cstheme="minorHAnsi"/>
          <w:sz w:val="22"/>
          <w:szCs w:val="22"/>
          <w:shd w:val="clear" w:color="auto" w:fill="FFFFFF"/>
        </w:rPr>
        <w:t xml:space="preserve"> 2018: </w:t>
      </w:r>
      <w:r w:rsidR="00627386" w:rsidRPr="00750AB3">
        <w:rPr>
          <w:rFonts w:cstheme="minorHAnsi"/>
          <w:iCs/>
          <w:sz w:val="22"/>
          <w:szCs w:val="22"/>
          <w:shd w:val="clear" w:color="auto" w:fill="FFFFFF"/>
        </w:rPr>
        <w:t>391</w:t>
      </w:r>
      <w:r w:rsidR="00627386" w:rsidRPr="00750AB3">
        <w:rPr>
          <w:rFonts w:cstheme="minorHAnsi"/>
          <w:sz w:val="22"/>
          <w:szCs w:val="22"/>
          <w:shd w:val="clear" w:color="auto" w:fill="FFFFFF"/>
        </w:rPr>
        <w:t>(10137), 2368-2383.</w:t>
      </w:r>
    </w:p>
    <w:p w14:paraId="2B4A0E23" w14:textId="3BBFAFFB" w:rsidR="00624025" w:rsidRDefault="00705EFB" w:rsidP="0091360E">
      <w:pPr>
        <w:pStyle w:val="paragraph"/>
        <w:spacing w:before="0" w:beforeAutospacing="0" w:after="0" w:afterAutospacing="0"/>
        <w:jc w:val="both"/>
        <w:textAlignment w:val="baseline"/>
        <w:rPr>
          <w:rStyle w:val="eop"/>
          <w:rFonts w:asciiTheme="minorHAnsi" w:hAnsiTheme="minorHAnsi" w:cstheme="minorHAnsi"/>
          <w:sz w:val="22"/>
          <w:szCs w:val="22"/>
        </w:rPr>
      </w:pPr>
      <w:r>
        <w:rPr>
          <w:rFonts w:asciiTheme="minorHAnsi" w:hAnsiTheme="minorHAnsi" w:cstheme="minorHAnsi"/>
          <w:sz w:val="22"/>
          <w:szCs w:val="22"/>
          <w:shd w:val="clear" w:color="auto" w:fill="FFFFFF"/>
        </w:rPr>
        <w:t>[31]</w:t>
      </w:r>
      <w:r w:rsidR="00627386" w:rsidRPr="00750AB3">
        <w:rPr>
          <w:rFonts w:asciiTheme="minorHAnsi" w:hAnsiTheme="minorHAnsi" w:cstheme="minorHAnsi"/>
          <w:sz w:val="22"/>
          <w:szCs w:val="22"/>
          <w:shd w:val="clear" w:color="auto" w:fill="FFFFFF"/>
        </w:rPr>
        <w:t xml:space="preserve"> </w:t>
      </w:r>
      <w:r w:rsidR="00627386" w:rsidRPr="00750AB3">
        <w:rPr>
          <w:rStyle w:val="normaltextrun"/>
          <w:rFonts w:asciiTheme="minorHAnsi" w:hAnsiTheme="minorHAnsi" w:cstheme="minorHAnsi"/>
          <w:sz w:val="22"/>
          <w:szCs w:val="22"/>
          <w:lang w:val="en-US"/>
        </w:rPr>
        <w:t>Galobardes</w:t>
      </w:r>
      <w:r w:rsidR="00627386" w:rsidRPr="00750AB3">
        <w:rPr>
          <w:rStyle w:val="normaltextrun"/>
          <w:rFonts w:asciiTheme="minorHAnsi" w:hAnsiTheme="minorHAnsi" w:cstheme="minorHAnsi"/>
          <w:b/>
          <w:sz w:val="22"/>
          <w:szCs w:val="22"/>
          <w:lang w:val="en-US"/>
        </w:rPr>
        <w:t xml:space="preserve"> </w:t>
      </w:r>
      <w:r w:rsidR="00627386" w:rsidRPr="00750AB3">
        <w:rPr>
          <w:rStyle w:val="normaltextrun"/>
          <w:rFonts w:asciiTheme="minorHAnsi" w:hAnsiTheme="minorHAnsi" w:cstheme="minorHAnsi"/>
          <w:sz w:val="22"/>
          <w:szCs w:val="22"/>
          <w:lang w:val="en-US"/>
        </w:rPr>
        <w:t>B, Shaw M, Lawlor DA, Lynch JW, Davey Smith G. Indicators of socioeconomic position (part 1). J Epidemiol Community Health 2006;60:7–12. doi:10.1136/jech.2004.023531.</w:t>
      </w:r>
      <w:r w:rsidR="00627386" w:rsidRPr="00750AB3">
        <w:rPr>
          <w:rStyle w:val="eop"/>
          <w:rFonts w:asciiTheme="minorHAnsi" w:hAnsiTheme="minorHAnsi" w:cstheme="minorHAnsi"/>
          <w:sz w:val="22"/>
          <w:szCs w:val="22"/>
        </w:rPr>
        <w:t> </w:t>
      </w:r>
    </w:p>
    <w:p w14:paraId="357E1E95" w14:textId="1025A38F" w:rsidR="00EB32AD" w:rsidRPr="00E85358" w:rsidRDefault="00EB32AD" w:rsidP="00EB32AD">
      <w:pPr>
        <w:pStyle w:val="CommentText"/>
        <w:spacing w:after="0"/>
        <w:jc w:val="both"/>
        <w:rPr>
          <w:rFonts w:cstheme="minorHAnsi"/>
          <w:sz w:val="22"/>
          <w:szCs w:val="22"/>
        </w:rPr>
      </w:pPr>
    </w:p>
    <w:p w14:paraId="4268159E" w14:textId="3C2EE3FF" w:rsidR="00EB32AD" w:rsidRPr="00E85358" w:rsidRDefault="00705EFB" w:rsidP="00EB32AD">
      <w:pPr>
        <w:pStyle w:val="paragraph"/>
        <w:spacing w:before="0" w:beforeAutospacing="0" w:after="0" w:afterAutospacing="0"/>
        <w:jc w:val="both"/>
        <w:textAlignment w:val="baseline"/>
        <w:rPr>
          <w:rFonts w:asciiTheme="minorHAnsi" w:hAnsiTheme="minorHAnsi" w:cstheme="minorHAnsi"/>
          <w:sz w:val="22"/>
          <w:szCs w:val="22"/>
          <w:shd w:val="clear" w:color="auto" w:fill="FFFFFF"/>
        </w:rPr>
      </w:pPr>
      <w:r>
        <w:rPr>
          <w:rFonts w:asciiTheme="minorHAnsi" w:hAnsiTheme="minorHAnsi" w:cstheme="minorHAnsi"/>
          <w:sz w:val="22"/>
          <w:szCs w:val="22"/>
        </w:rPr>
        <w:t>[32]</w:t>
      </w:r>
      <w:r w:rsidR="00EF410D">
        <w:rPr>
          <w:rFonts w:asciiTheme="minorHAnsi" w:hAnsiTheme="minorHAnsi" w:cstheme="minorHAnsi"/>
          <w:sz w:val="22"/>
          <w:szCs w:val="22"/>
        </w:rPr>
        <w:t xml:space="preserve"> </w:t>
      </w:r>
      <w:r w:rsidR="00EB32AD" w:rsidRPr="00E85358">
        <w:rPr>
          <w:rFonts w:asciiTheme="minorHAnsi" w:hAnsiTheme="minorHAnsi" w:cstheme="minorHAnsi"/>
          <w:sz w:val="22"/>
          <w:szCs w:val="22"/>
          <w:shd w:val="clear" w:color="auto" w:fill="FFFFFF"/>
        </w:rPr>
        <w:t>Ge J, He J, Liu Y, Zhang J, Pan J, Zhang, X, Lui, D. Effects of effort-reward imbalance, job satisfaction, and work engagement on self-rated health among healthcare workers. </w:t>
      </w:r>
      <w:r w:rsidR="00EB32AD" w:rsidRPr="00E85358">
        <w:rPr>
          <w:rFonts w:asciiTheme="minorHAnsi" w:hAnsiTheme="minorHAnsi" w:cstheme="minorHAnsi"/>
          <w:iCs/>
          <w:sz w:val="22"/>
          <w:szCs w:val="22"/>
          <w:shd w:val="clear" w:color="auto" w:fill="FFFFFF"/>
        </w:rPr>
        <w:t>BMC Public Health 2021</w:t>
      </w:r>
      <w:r w:rsidR="00EB32AD" w:rsidRPr="00E85358">
        <w:rPr>
          <w:rFonts w:asciiTheme="minorHAnsi" w:hAnsiTheme="minorHAnsi" w:cstheme="minorHAnsi"/>
          <w:sz w:val="22"/>
          <w:szCs w:val="22"/>
          <w:shd w:val="clear" w:color="auto" w:fill="FFFFFF"/>
        </w:rPr>
        <w:t xml:space="preserve">; </w:t>
      </w:r>
      <w:r w:rsidR="00EB32AD" w:rsidRPr="00E85358">
        <w:rPr>
          <w:rFonts w:asciiTheme="minorHAnsi" w:hAnsiTheme="minorHAnsi" w:cstheme="minorHAnsi"/>
          <w:iCs/>
          <w:sz w:val="22"/>
          <w:szCs w:val="22"/>
          <w:shd w:val="clear" w:color="auto" w:fill="FFFFFF"/>
        </w:rPr>
        <w:t>21</w:t>
      </w:r>
      <w:r w:rsidR="00EB32AD" w:rsidRPr="00E85358">
        <w:rPr>
          <w:rFonts w:asciiTheme="minorHAnsi" w:hAnsiTheme="minorHAnsi" w:cstheme="minorHAnsi"/>
          <w:sz w:val="22"/>
          <w:szCs w:val="22"/>
          <w:shd w:val="clear" w:color="auto" w:fill="FFFFFF"/>
        </w:rPr>
        <w:t>(1): 1-10.</w:t>
      </w:r>
    </w:p>
    <w:p w14:paraId="18A04BAD" w14:textId="3BF5E043" w:rsidR="00627386" w:rsidRPr="00750AB3" w:rsidRDefault="00627386" w:rsidP="0091360E">
      <w:pPr>
        <w:pStyle w:val="paragraph"/>
        <w:spacing w:before="0" w:beforeAutospacing="0" w:after="0" w:afterAutospacing="0"/>
        <w:jc w:val="both"/>
        <w:textAlignment w:val="baseline"/>
        <w:rPr>
          <w:rStyle w:val="eop"/>
          <w:rFonts w:asciiTheme="minorHAnsi" w:hAnsiTheme="minorHAnsi" w:cstheme="minorHAnsi"/>
          <w:sz w:val="22"/>
          <w:szCs w:val="22"/>
        </w:rPr>
      </w:pPr>
    </w:p>
    <w:p w14:paraId="6FB465DB" w14:textId="43CF07ED" w:rsidR="00627386" w:rsidRPr="00750AB3" w:rsidRDefault="00705EFB" w:rsidP="0091360E">
      <w:pPr>
        <w:autoSpaceDE w:val="0"/>
        <w:autoSpaceDN w:val="0"/>
        <w:adjustRightInd w:val="0"/>
        <w:spacing w:after="0" w:line="240" w:lineRule="auto"/>
        <w:jc w:val="both"/>
        <w:rPr>
          <w:rFonts w:cstheme="minorHAnsi"/>
        </w:rPr>
      </w:pPr>
      <w:r>
        <w:rPr>
          <w:rStyle w:val="eop"/>
          <w:rFonts w:cstheme="minorHAnsi"/>
        </w:rPr>
        <w:t>[33]</w:t>
      </w:r>
      <w:r w:rsidR="00627386" w:rsidRPr="00750AB3">
        <w:rPr>
          <w:rStyle w:val="eop"/>
          <w:rFonts w:cstheme="minorHAnsi"/>
        </w:rPr>
        <w:t xml:space="preserve"> </w:t>
      </w:r>
      <w:r w:rsidR="00627386" w:rsidRPr="00750AB3">
        <w:rPr>
          <w:rFonts w:cstheme="minorHAnsi"/>
        </w:rPr>
        <w:t>Gratton L, Scott A. The 100-year life. Living and Working in an Age of Longevity, London UK:Bloomsbury; 2016.</w:t>
      </w:r>
    </w:p>
    <w:p w14:paraId="62A94DFE" w14:textId="455E2EE4" w:rsidR="00627386" w:rsidRPr="00750AB3" w:rsidRDefault="00627386" w:rsidP="0091360E">
      <w:pPr>
        <w:pStyle w:val="paragraph"/>
        <w:spacing w:before="0" w:beforeAutospacing="0" w:after="0" w:afterAutospacing="0"/>
        <w:jc w:val="both"/>
        <w:textAlignment w:val="baseline"/>
        <w:rPr>
          <w:rFonts w:asciiTheme="minorHAnsi" w:hAnsiTheme="minorHAnsi" w:cstheme="minorHAnsi"/>
          <w:sz w:val="22"/>
          <w:szCs w:val="22"/>
          <w:shd w:val="clear" w:color="auto" w:fill="FFFFFF"/>
        </w:rPr>
      </w:pPr>
    </w:p>
    <w:p w14:paraId="6033FC50" w14:textId="786FDD78" w:rsidR="00627386" w:rsidRPr="00750AB3" w:rsidRDefault="00705EFB" w:rsidP="0091360E">
      <w:pPr>
        <w:autoSpaceDE w:val="0"/>
        <w:autoSpaceDN w:val="0"/>
        <w:adjustRightInd w:val="0"/>
        <w:spacing w:after="0" w:line="240" w:lineRule="auto"/>
        <w:jc w:val="both"/>
        <w:rPr>
          <w:rFonts w:cstheme="minorHAnsi"/>
        </w:rPr>
      </w:pPr>
      <w:r>
        <w:rPr>
          <w:rFonts w:cstheme="minorHAnsi"/>
          <w:shd w:val="clear" w:color="auto" w:fill="FFFFFF"/>
        </w:rPr>
        <w:t>[34]</w:t>
      </w:r>
      <w:r w:rsidR="00627386" w:rsidRPr="00750AB3">
        <w:rPr>
          <w:rFonts w:cstheme="minorHAnsi"/>
          <w:shd w:val="clear" w:color="auto" w:fill="FFFFFF"/>
        </w:rPr>
        <w:t xml:space="preserve"> </w:t>
      </w:r>
      <w:r w:rsidR="00627386" w:rsidRPr="00750AB3">
        <w:rPr>
          <w:rFonts w:cstheme="minorHAnsi"/>
        </w:rPr>
        <w:t>Grint K. Nixon D. The Sociology of Work, 4</w:t>
      </w:r>
      <w:r w:rsidR="00627386" w:rsidRPr="00750AB3">
        <w:rPr>
          <w:rFonts w:cstheme="minorHAnsi"/>
          <w:vertAlign w:val="superscript"/>
        </w:rPr>
        <w:t>th</w:t>
      </w:r>
      <w:r w:rsidR="00627386" w:rsidRPr="00750AB3">
        <w:rPr>
          <w:rFonts w:cstheme="minorHAnsi"/>
        </w:rPr>
        <w:t xml:space="preserve"> Edn, Cambridge UK: Polity; 2015.</w:t>
      </w:r>
    </w:p>
    <w:p w14:paraId="702610BA" w14:textId="1B31AF3D" w:rsidR="00627386" w:rsidRPr="00750AB3" w:rsidRDefault="00627386" w:rsidP="0091360E">
      <w:pPr>
        <w:autoSpaceDE w:val="0"/>
        <w:autoSpaceDN w:val="0"/>
        <w:adjustRightInd w:val="0"/>
        <w:spacing w:after="0" w:line="240" w:lineRule="auto"/>
        <w:jc w:val="both"/>
        <w:rPr>
          <w:rFonts w:cstheme="minorHAnsi"/>
        </w:rPr>
      </w:pPr>
    </w:p>
    <w:p w14:paraId="5C1C77F9" w14:textId="287523BD" w:rsidR="00627386" w:rsidRPr="00750AB3" w:rsidRDefault="00705EFB" w:rsidP="0091360E">
      <w:pPr>
        <w:autoSpaceDE w:val="0"/>
        <w:autoSpaceDN w:val="0"/>
        <w:adjustRightInd w:val="0"/>
        <w:spacing w:after="0" w:line="240" w:lineRule="auto"/>
        <w:jc w:val="both"/>
        <w:rPr>
          <w:rFonts w:cstheme="minorHAnsi"/>
        </w:rPr>
      </w:pPr>
      <w:r>
        <w:rPr>
          <w:rFonts w:cstheme="minorHAnsi"/>
        </w:rPr>
        <w:t>[35]</w:t>
      </w:r>
      <w:r w:rsidR="00627386" w:rsidRPr="00750AB3">
        <w:rPr>
          <w:rFonts w:cstheme="minorHAnsi"/>
        </w:rPr>
        <w:t xml:space="preserve"> </w:t>
      </w:r>
      <w:r w:rsidR="00A94159" w:rsidRPr="00750AB3">
        <w:rPr>
          <w:rFonts w:cstheme="minorHAnsi"/>
          <w:snapToGrid w:val="0"/>
        </w:rPr>
        <w:t>Hartvigsen</w:t>
      </w:r>
      <w:r w:rsidR="00B9603D">
        <w:rPr>
          <w:rFonts w:cstheme="minorHAnsi"/>
          <w:snapToGrid w:val="0"/>
        </w:rPr>
        <w:t xml:space="preserve"> J</w:t>
      </w:r>
      <w:r w:rsidR="00A94159" w:rsidRPr="00750AB3">
        <w:rPr>
          <w:rFonts w:cstheme="minorHAnsi"/>
          <w:snapToGrid w:val="0"/>
        </w:rPr>
        <w:t xml:space="preserve">, </w:t>
      </w:r>
      <w:r w:rsidR="00BE3A7B" w:rsidRPr="00750AB3">
        <w:rPr>
          <w:rFonts w:cstheme="minorHAnsi"/>
          <w:snapToGrid w:val="0"/>
        </w:rPr>
        <w:t>Hancock</w:t>
      </w:r>
      <w:r w:rsidR="00B9603D">
        <w:rPr>
          <w:rFonts w:cstheme="minorHAnsi"/>
          <w:snapToGrid w:val="0"/>
        </w:rPr>
        <w:t xml:space="preserve"> MJ</w:t>
      </w:r>
      <w:r w:rsidR="00A94159" w:rsidRPr="00750AB3">
        <w:rPr>
          <w:rFonts w:cstheme="minorHAnsi"/>
          <w:snapToGrid w:val="0"/>
        </w:rPr>
        <w:t>, Kongsted</w:t>
      </w:r>
      <w:r w:rsidR="00B9603D">
        <w:rPr>
          <w:rFonts w:cstheme="minorHAnsi"/>
          <w:snapToGrid w:val="0"/>
        </w:rPr>
        <w:t xml:space="preserve"> A</w:t>
      </w:r>
      <w:r w:rsidR="00A94159" w:rsidRPr="00750AB3">
        <w:rPr>
          <w:rFonts w:cstheme="minorHAnsi"/>
          <w:snapToGrid w:val="0"/>
        </w:rPr>
        <w:t>, Louw</w:t>
      </w:r>
      <w:r w:rsidR="00B9603D">
        <w:rPr>
          <w:rFonts w:cstheme="minorHAnsi"/>
          <w:snapToGrid w:val="0"/>
        </w:rPr>
        <w:t xml:space="preserve"> Q</w:t>
      </w:r>
      <w:r w:rsidR="00A94159" w:rsidRPr="00750AB3">
        <w:rPr>
          <w:rFonts w:cstheme="minorHAnsi"/>
          <w:snapToGrid w:val="0"/>
        </w:rPr>
        <w:t>, Ferreira</w:t>
      </w:r>
      <w:r w:rsidR="00B9603D">
        <w:rPr>
          <w:rFonts w:cstheme="minorHAnsi"/>
          <w:snapToGrid w:val="0"/>
        </w:rPr>
        <w:t xml:space="preserve"> ML</w:t>
      </w:r>
      <w:r w:rsidR="00A94159" w:rsidRPr="00750AB3">
        <w:rPr>
          <w:rFonts w:cstheme="minorHAnsi"/>
          <w:snapToGrid w:val="0"/>
        </w:rPr>
        <w:t>, Genevay</w:t>
      </w:r>
      <w:r w:rsidR="00B9603D">
        <w:rPr>
          <w:rFonts w:cstheme="minorHAnsi"/>
          <w:snapToGrid w:val="0"/>
        </w:rPr>
        <w:t xml:space="preserve"> S</w:t>
      </w:r>
      <w:r w:rsidR="00A94159" w:rsidRPr="00750AB3">
        <w:rPr>
          <w:rFonts w:cstheme="minorHAnsi"/>
          <w:snapToGrid w:val="0"/>
        </w:rPr>
        <w:t>, Hoy</w:t>
      </w:r>
      <w:r w:rsidR="00B9603D">
        <w:rPr>
          <w:rFonts w:cstheme="minorHAnsi"/>
          <w:snapToGrid w:val="0"/>
        </w:rPr>
        <w:t xml:space="preserve"> D</w:t>
      </w:r>
      <w:r w:rsidR="00A94159" w:rsidRPr="00750AB3">
        <w:rPr>
          <w:rFonts w:cstheme="minorHAnsi"/>
          <w:snapToGrid w:val="0"/>
        </w:rPr>
        <w:t>, Karppinen</w:t>
      </w:r>
      <w:r w:rsidR="00B9603D">
        <w:rPr>
          <w:rFonts w:cstheme="minorHAnsi"/>
          <w:snapToGrid w:val="0"/>
        </w:rPr>
        <w:t xml:space="preserve"> J</w:t>
      </w:r>
      <w:r w:rsidR="00A94159" w:rsidRPr="00750AB3">
        <w:rPr>
          <w:rFonts w:cstheme="minorHAnsi"/>
          <w:snapToGrid w:val="0"/>
        </w:rPr>
        <w:t>, Pransky</w:t>
      </w:r>
      <w:r w:rsidR="00B9603D">
        <w:rPr>
          <w:rFonts w:cstheme="minorHAnsi"/>
          <w:snapToGrid w:val="0"/>
        </w:rPr>
        <w:t xml:space="preserve"> G</w:t>
      </w:r>
      <w:r w:rsidR="00A94159" w:rsidRPr="00750AB3">
        <w:rPr>
          <w:rFonts w:cstheme="minorHAnsi"/>
          <w:snapToGrid w:val="0"/>
        </w:rPr>
        <w:t>, Sieper</w:t>
      </w:r>
      <w:r w:rsidR="00B9603D">
        <w:rPr>
          <w:rFonts w:cstheme="minorHAnsi"/>
          <w:snapToGrid w:val="0"/>
        </w:rPr>
        <w:t xml:space="preserve"> J</w:t>
      </w:r>
      <w:r w:rsidR="00A94159" w:rsidRPr="00750AB3">
        <w:rPr>
          <w:rFonts w:cstheme="minorHAnsi"/>
          <w:snapToGrid w:val="0"/>
        </w:rPr>
        <w:t>, Smeets</w:t>
      </w:r>
      <w:r w:rsidR="00B9603D">
        <w:rPr>
          <w:rFonts w:cstheme="minorHAnsi"/>
          <w:snapToGrid w:val="0"/>
        </w:rPr>
        <w:t xml:space="preserve"> RJ</w:t>
      </w:r>
      <w:r w:rsidR="00A94159" w:rsidRPr="00750AB3">
        <w:rPr>
          <w:rFonts w:cstheme="minorHAnsi"/>
          <w:snapToGrid w:val="0"/>
        </w:rPr>
        <w:t>, Underwood</w:t>
      </w:r>
      <w:r w:rsidR="00B9603D">
        <w:rPr>
          <w:rFonts w:cstheme="minorHAnsi"/>
          <w:snapToGrid w:val="0"/>
        </w:rPr>
        <w:t xml:space="preserve"> M</w:t>
      </w:r>
      <w:r w:rsidR="00A94159" w:rsidRPr="00750AB3">
        <w:rPr>
          <w:rFonts w:cstheme="minorHAnsi"/>
          <w:snapToGrid w:val="0"/>
        </w:rPr>
        <w:t>, on behalf of the Lancet Low</w:t>
      </w:r>
      <w:r w:rsidR="00BE3A7B" w:rsidRPr="00750AB3">
        <w:rPr>
          <w:rFonts w:cstheme="minorHAnsi"/>
          <w:snapToGrid w:val="0"/>
        </w:rPr>
        <w:t xml:space="preserve"> Back Pain Series Working Group</w:t>
      </w:r>
      <w:r w:rsidR="0079182E" w:rsidRPr="00750AB3">
        <w:rPr>
          <w:rFonts w:cstheme="minorHAnsi"/>
          <w:snapToGrid w:val="0"/>
        </w:rPr>
        <w:t xml:space="preserve">. What low back pain is and why we need to pay attention. </w:t>
      </w:r>
      <w:r w:rsidR="00A94159" w:rsidRPr="00750AB3">
        <w:rPr>
          <w:rFonts w:cstheme="minorHAnsi"/>
        </w:rPr>
        <w:t xml:space="preserve"> </w:t>
      </w:r>
      <w:r w:rsidR="00A94159" w:rsidRPr="00750AB3">
        <w:rPr>
          <w:rFonts w:cstheme="minorHAnsi"/>
          <w:snapToGrid w:val="0"/>
        </w:rPr>
        <w:t>Lancet 2018; 391: 2356–67</w:t>
      </w:r>
    </w:p>
    <w:p w14:paraId="12F3F480" w14:textId="5CC35D0F" w:rsidR="00EF410D" w:rsidRPr="00E85358" w:rsidRDefault="00EF410D" w:rsidP="00EF410D">
      <w:pPr>
        <w:pStyle w:val="paragraph"/>
        <w:spacing w:before="0" w:beforeAutospacing="0" w:after="0" w:afterAutospacing="0"/>
        <w:jc w:val="both"/>
        <w:textAlignment w:val="baseline"/>
        <w:rPr>
          <w:rFonts w:asciiTheme="minorHAnsi" w:hAnsiTheme="minorHAnsi" w:cstheme="minorHAnsi"/>
          <w:sz w:val="22"/>
          <w:szCs w:val="22"/>
          <w:shd w:val="clear" w:color="auto" w:fill="FFFFFF"/>
        </w:rPr>
      </w:pPr>
    </w:p>
    <w:p w14:paraId="33F793FD" w14:textId="04456ADE" w:rsidR="00EF410D" w:rsidRPr="0070644B" w:rsidRDefault="00705EFB" w:rsidP="00EF410D">
      <w:pPr>
        <w:pStyle w:val="CommentText"/>
        <w:spacing w:after="0"/>
        <w:jc w:val="both"/>
        <w:rPr>
          <w:rFonts w:cstheme="minorHAnsi"/>
          <w:sz w:val="22"/>
          <w:szCs w:val="22"/>
        </w:rPr>
      </w:pPr>
      <w:r>
        <w:rPr>
          <w:rFonts w:cstheme="minorHAnsi"/>
          <w:sz w:val="22"/>
          <w:szCs w:val="22"/>
        </w:rPr>
        <w:t>[36]</w:t>
      </w:r>
      <w:r w:rsidR="00EF410D" w:rsidRPr="0070644B">
        <w:rPr>
          <w:rFonts w:cstheme="minorHAnsi"/>
          <w:sz w:val="22"/>
          <w:szCs w:val="22"/>
        </w:rPr>
        <w:t xml:space="preserve"> Holmes M, Stanescu S, Linaker C, Price C, Maguire N, Fraser S, Walker-Bone K. Individual placement support as an employment intervention for individuals with chronic pain: a qualitative exploration of stakeholder views. BJGP Open 2020; 4(3</w:t>
      </w:r>
      <w:r w:rsidR="00EF410D" w:rsidRPr="00E85358">
        <w:rPr>
          <w:rFonts w:cstheme="minorHAnsi"/>
          <w:sz w:val="22"/>
          <w:szCs w:val="22"/>
        </w:rPr>
        <w:t xml:space="preserve"> DOI:10.3399/bjgpopen20X101036</w:t>
      </w:r>
      <w:r w:rsidR="00EF410D" w:rsidRPr="0070644B">
        <w:rPr>
          <w:rFonts w:cstheme="minorHAnsi"/>
          <w:sz w:val="22"/>
          <w:szCs w:val="22"/>
        </w:rPr>
        <w:t xml:space="preserve">). </w:t>
      </w:r>
    </w:p>
    <w:p w14:paraId="02E171FB" w14:textId="77777777" w:rsidR="00EF410D" w:rsidRPr="00750AB3" w:rsidRDefault="00EF410D" w:rsidP="0091360E">
      <w:pPr>
        <w:pStyle w:val="paragraph"/>
        <w:spacing w:before="0" w:beforeAutospacing="0" w:after="0" w:afterAutospacing="0"/>
        <w:jc w:val="both"/>
        <w:textAlignment w:val="baseline"/>
        <w:rPr>
          <w:rFonts w:asciiTheme="minorHAnsi" w:hAnsiTheme="minorHAnsi" w:cstheme="minorHAnsi"/>
          <w:sz w:val="22"/>
          <w:szCs w:val="22"/>
          <w:shd w:val="clear" w:color="auto" w:fill="FFFFFF"/>
        </w:rPr>
      </w:pPr>
    </w:p>
    <w:p w14:paraId="62593646" w14:textId="30E8D1E4" w:rsidR="0079182E" w:rsidRPr="00750AB3" w:rsidRDefault="00705EFB" w:rsidP="0091360E">
      <w:pPr>
        <w:spacing w:after="0" w:line="240" w:lineRule="auto"/>
        <w:jc w:val="both"/>
        <w:rPr>
          <w:rFonts w:eastAsia="Times New Roman" w:cstheme="minorHAnsi"/>
          <w:lang w:val="en-AU" w:eastAsia="en-AU"/>
        </w:rPr>
      </w:pPr>
      <w:r>
        <w:rPr>
          <w:rFonts w:eastAsia="Times New Roman" w:cstheme="minorHAnsi"/>
          <w:lang w:val="en-AU" w:eastAsia="en-AU"/>
        </w:rPr>
        <w:t>[37]</w:t>
      </w:r>
      <w:r w:rsidR="0015141E" w:rsidRPr="00750AB3">
        <w:rPr>
          <w:rFonts w:eastAsia="Times New Roman" w:cstheme="minorHAnsi"/>
          <w:lang w:val="en-AU" w:eastAsia="en-AU"/>
        </w:rPr>
        <w:t xml:space="preserve"> </w:t>
      </w:r>
      <w:r w:rsidR="0015141E" w:rsidRPr="00750AB3">
        <w:rPr>
          <w:rFonts w:cstheme="minorHAnsi"/>
          <w:shd w:val="clear" w:color="auto" w:fill="FFFFFF"/>
        </w:rPr>
        <w:t>Hoy D, Brooks P, Blyth F, Buchbinder R. The epidemiology of low back pain. Best practice &amp; research. Clin Rheumatol 2010 Dec 1;24(6):769-81.</w:t>
      </w:r>
    </w:p>
    <w:p w14:paraId="344BBEF0" w14:textId="04FB64B3" w:rsidR="0015141E" w:rsidRPr="00750AB3" w:rsidRDefault="0015141E" w:rsidP="0091360E">
      <w:pPr>
        <w:spacing w:after="0" w:line="240" w:lineRule="auto"/>
        <w:jc w:val="both"/>
        <w:rPr>
          <w:rFonts w:eastAsia="Times New Roman" w:cstheme="minorHAnsi"/>
          <w:lang w:val="en-AU" w:eastAsia="en-AU"/>
        </w:rPr>
      </w:pPr>
    </w:p>
    <w:p w14:paraId="1A04E38C" w14:textId="6EC8F590" w:rsidR="006D0C1A" w:rsidRPr="00750AB3" w:rsidRDefault="00705EFB" w:rsidP="0091360E">
      <w:pPr>
        <w:spacing w:after="0" w:line="240" w:lineRule="auto"/>
        <w:jc w:val="both"/>
        <w:rPr>
          <w:rFonts w:cstheme="minorHAnsi"/>
          <w:shd w:val="clear" w:color="auto" w:fill="FFFFFF"/>
        </w:rPr>
      </w:pPr>
      <w:r>
        <w:rPr>
          <w:rFonts w:cstheme="minorHAnsi"/>
          <w:shd w:val="clear" w:color="auto" w:fill="FFFFFF"/>
        </w:rPr>
        <w:t>[38]</w:t>
      </w:r>
      <w:r w:rsidR="006D0C1A" w:rsidRPr="00750AB3">
        <w:rPr>
          <w:rFonts w:cstheme="minorHAnsi"/>
          <w:shd w:val="clear" w:color="auto" w:fill="FFFFFF"/>
        </w:rPr>
        <w:t xml:space="preserve"> Hoy DG, Smith E, Cross M, Sanchez-Riera L, Blyth FM, Buchbinder R, Woolf AD, Driscoll T, Brooks P, March LM. Reflecting on the global burden of musculoskeletal conditions: lessons learnt from the global burden of disease 2010 study and the next steps forward. Ann Rheum Diss. 2015 Jan 1;74(1):4-7.</w:t>
      </w:r>
    </w:p>
    <w:p w14:paraId="6836F4D5" w14:textId="28F39D25" w:rsidR="002708CC" w:rsidRPr="00750AB3" w:rsidRDefault="002708CC" w:rsidP="0091360E">
      <w:pPr>
        <w:spacing w:after="0" w:line="240" w:lineRule="auto"/>
        <w:jc w:val="both"/>
        <w:rPr>
          <w:rFonts w:cstheme="minorHAnsi"/>
          <w:shd w:val="clear" w:color="auto" w:fill="FFFFFF"/>
        </w:rPr>
      </w:pPr>
    </w:p>
    <w:p w14:paraId="7AB7C487" w14:textId="2E817812" w:rsidR="002708CC" w:rsidRPr="00750AB3" w:rsidRDefault="00705EFB" w:rsidP="0091360E">
      <w:pPr>
        <w:pStyle w:val="EndNoteBibliography"/>
        <w:jc w:val="both"/>
        <w:rPr>
          <w:rFonts w:asciiTheme="minorHAnsi" w:hAnsiTheme="minorHAnsi" w:cstheme="minorHAnsi"/>
          <w:noProof/>
          <w:sz w:val="22"/>
          <w:szCs w:val="22"/>
        </w:rPr>
      </w:pPr>
      <w:r>
        <w:rPr>
          <w:rFonts w:asciiTheme="minorHAnsi" w:hAnsiTheme="minorHAnsi" w:cstheme="minorHAnsi"/>
          <w:sz w:val="22"/>
          <w:szCs w:val="22"/>
          <w:shd w:val="clear" w:color="auto" w:fill="FFFFFF"/>
        </w:rPr>
        <w:t>[39]</w:t>
      </w:r>
      <w:r w:rsidR="002708CC" w:rsidRPr="00750AB3">
        <w:rPr>
          <w:rFonts w:asciiTheme="minorHAnsi" w:hAnsiTheme="minorHAnsi" w:cstheme="minorHAnsi"/>
          <w:sz w:val="22"/>
          <w:szCs w:val="22"/>
          <w:shd w:val="clear" w:color="auto" w:fill="FFFFFF"/>
        </w:rPr>
        <w:t xml:space="preserve"> </w:t>
      </w:r>
      <w:r w:rsidR="002708CC" w:rsidRPr="00750AB3">
        <w:rPr>
          <w:rFonts w:asciiTheme="minorHAnsi" w:hAnsiTheme="minorHAnsi" w:cstheme="minorHAnsi"/>
          <w:noProof/>
          <w:sz w:val="22"/>
          <w:szCs w:val="22"/>
        </w:rPr>
        <w:t>Jensen MP, Turner JA, Romano JM. Changes in beliefs, catastrophizing, and coping are associated with improvement in multidisciplinary pain treatment. J Consult Clin Psychol 2001;69:655 62.</w:t>
      </w:r>
    </w:p>
    <w:p w14:paraId="24E05734" w14:textId="2B7884C6" w:rsidR="002708CC" w:rsidRPr="00750AB3" w:rsidRDefault="002708CC" w:rsidP="0091360E">
      <w:pPr>
        <w:spacing w:after="0" w:line="240" w:lineRule="auto"/>
        <w:jc w:val="both"/>
        <w:rPr>
          <w:rFonts w:eastAsia="Times New Roman" w:cstheme="minorHAnsi"/>
          <w:lang w:val="en-AU" w:eastAsia="en-AU"/>
        </w:rPr>
      </w:pPr>
    </w:p>
    <w:p w14:paraId="498A5953" w14:textId="37E80D9A" w:rsidR="002708CC" w:rsidRPr="00750AB3" w:rsidRDefault="00705EFB" w:rsidP="0091360E">
      <w:pPr>
        <w:spacing w:after="0" w:line="240" w:lineRule="auto"/>
        <w:jc w:val="both"/>
        <w:rPr>
          <w:rStyle w:val="eop"/>
          <w:rFonts w:cstheme="minorHAnsi"/>
        </w:rPr>
      </w:pPr>
      <w:r>
        <w:rPr>
          <w:rFonts w:eastAsia="Times New Roman" w:cstheme="minorHAnsi"/>
          <w:lang w:val="en-AU" w:eastAsia="en-AU"/>
        </w:rPr>
        <w:t>[40]</w:t>
      </w:r>
      <w:r w:rsidR="002708CC" w:rsidRPr="00750AB3">
        <w:rPr>
          <w:rFonts w:eastAsia="Times New Roman" w:cstheme="minorHAnsi"/>
          <w:lang w:val="en-AU" w:eastAsia="en-AU"/>
        </w:rPr>
        <w:t xml:space="preserve"> </w:t>
      </w:r>
      <w:r w:rsidR="002708CC" w:rsidRPr="00750AB3">
        <w:rPr>
          <w:rStyle w:val="normaltextrun"/>
          <w:rFonts w:cstheme="minorHAnsi"/>
          <w:lang w:val="en-US"/>
        </w:rPr>
        <w:t>Jordan KP, Thomas E, Peat G, Wilkie R, Croft P. Social risks for disabling pain in older people: a prospective study of individual and area characteristics. PAIN 2008;137:652–661.</w:t>
      </w:r>
      <w:r w:rsidR="002708CC" w:rsidRPr="00750AB3">
        <w:rPr>
          <w:rStyle w:val="eop"/>
          <w:rFonts w:cstheme="minorHAnsi"/>
        </w:rPr>
        <w:t> </w:t>
      </w:r>
    </w:p>
    <w:p w14:paraId="6E917B34" w14:textId="65310EEE" w:rsidR="003B05FE" w:rsidRPr="00750AB3" w:rsidRDefault="003B05FE" w:rsidP="0091360E">
      <w:pPr>
        <w:spacing w:after="0" w:line="240" w:lineRule="auto"/>
        <w:jc w:val="both"/>
        <w:rPr>
          <w:rStyle w:val="eop"/>
          <w:rFonts w:cstheme="minorHAnsi"/>
        </w:rPr>
      </w:pPr>
    </w:p>
    <w:p w14:paraId="478CBF9C" w14:textId="5C5E9639" w:rsidR="003B05FE" w:rsidRPr="00750AB3" w:rsidRDefault="00705EFB" w:rsidP="0091360E">
      <w:pPr>
        <w:spacing w:line="240" w:lineRule="auto"/>
        <w:jc w:val="both"/>
        <w:rPr>
          <w:rFonts w:cstheme="minorHAnsi"/>
          <w:shd w:val="clear" w:color="auto" w:fill="FFFFFF"/>
        </w:rPr>
      </w:pPr>
      <w:r>
        <w:rPr>
          <w:rStyle w:val="eop"/>
          <w:rFonts w:cstheme="minorHAnsi"/>
        </w:rPr>
        <w:t>[41]</w:t>
      </w:r>
      <w:r w:rsidR="003B05FE" w:rsidRPr="00750AB3">
        <w:rPr>
          <w:rStyle w:val="eop"/>
          <w:rFonts w:cstheme="minorHAnsi"/>
        </w:rPr>
        <w:t xml:space="preserve"> </w:t>
      </w:r>
      <w:r w:rsidR="003B05FE" w:rsidRPr="00750AB3">
        <w:rPr>
          <w:rFonts w:cstheme="minorHAnsi"/>
          <w:shd w:val="clear" w:color="auto" w:fill="FFFFFF"/>
        </w:rPr>
        <w:t>Jull GA, Söderlund A, Stemper BD, Kenardy J, Gross AR, Côté P, Treleaven J, Bogduk N, Sterling M, Curatolo M. Toward optimal early management after whiplash injury to lessen the rate of transition to chronicity: discussion paper 5. Spine. 2011;36:S335-42.</w:t>
      </w:r>
    </w:p>
    <w:p w14:paraId="41DECECB" w14:textId="33B5FB46" w:rsidR="003B05FE" w:rsidRPr="00750AB3" w:rsidRDefault="00705EFB" w:rsidP="0091360E">
      <w:pPr>
        <w:spacing w:line="240" w:lineRule="auto"/>
        <w:jc w:val="both"/>
        <w:rPr>
          <w:rFonts w:cstheme="minorHAnsi"/>
          <w:shd w:val="clear" w:color="auto" w:fill="FFFFFF"/>
        </w:rPr>
      </w:pPr>
      <w:r>
        <w:rPr>
          <w:rFonts w:cstheme="minorHAnsi"/>
          <w:shd w:val="clear" w:color="auto" w:fill="FFFFFF"/>
        </w:rPr>
        <w:t>[42]</w:t>
      </w:r>
      <w:r w:rsidR="003B05FE" w:rsidRPr="00750AB3">
        <w:rPr>
          <w:rFonts w:cstheme="minorHAnsi"/>
          <w:shd w:val="clear" w:color="auto" w:fill="FFFFFF"/>
        </w:rPr>
        <w:t xml:space="preserve"> </w:t>
      </w:r>
      <w:r w:rsidR="0029694B" w:rsidRPr="00750AB3">
        <w:rPr>
          <w:rFonts w:cstheme="minorHAnsi"/>
          <w:shd w:val="clear" w:color="auto" w:fill="FFFFFF"/>
        </w:rPr>
        <w:t>Jull GA, Sterling M, Curatolo M, Carroll L, Hodges P. Toward lessening the rate of transition of acute whiplash to a chronic disorder. Spine 2011; S173-S174.</w:t>
      </w:r>
    </w:p>
    <w:p w14:paraId="1664BC13" w14:textId="211D48B7" w:rsidR="00921811" w:rsidRPr="00750AB3" w:rsidRDefault="00705EFB" w:rsidP="0091360E">
      <w:pPr>
        <w:spacing w:line="240" w:lineRule="auto"/>
        <w:jc w:val="both"/>
        <w:rPr>
          <w:rFonts w:cstheme="minorHAnsi"/>
          <w:shd w:val="clear" w:color="auto" w:fill="FFFFFF"/>
        </w:rPr>
      </w:pPr>
      <w:r>
        <w:rPr>
          <w:rFonts w:cstheme="minorHAnsi"/>
          <w:shd w:val="clear" w:color="auto" w:fill="FFFFFF"/>
        </w:rPr>
        <w:t>[43]</w:t>
      </w:r>
      <w:r w:rsidR="00752DD0" w:rsidRPr="00750AB3">
        <w:rPr>
          <w:rFonts w:cstheme="minorHAnsi"/>
          <w:shd w:val="clear" w:color="auto" w:fill="FFFFFF"/>
        </w:rPr>
        <w:t xml:space="preserve"> </w:t>
      </w:r>
      <w:r w:rsidR="00F72193" w:rsidRPr="00750AB3">
        <w:rPr>
          <w:rFonts w:cstheme="minorHAnsi"/>
          <w:shd w:val="clear" w:color="auto" w:fill="FFFFFF"/>
        </w:rPr>
        <w:t>Kawai K, Kawai AT, Wollan P, Yawn BP. Adverse impacts of chronic pain on health-related quality of life, work productivity, depression and anxiety in a community-based study. </w:t>
      </w:r>
      <w:r w:rsidR="00921811" w:rsidRPr="00750AB3">
        <w:rPr>
          <w:rFonts w:cstheme="minorHAnsi"/>
          <w:iCs/>
          <w:shd w:val="clear" w:color="auto" w:fill="FFFFFF"/>
        </w:rPr>
        <w:t xml:space="preserve">Fam Pract </w:t>
      </w:r>
      <w:r w:rsidR="00F72193" w:rsidRPr="00750AB3">
        <w:rPr>
          <w:rFonts w:cstheme="minorHAnsi"/>
          <w:iCs/>
          <w:shd w:val="clear" w:color="auto" w:fill="FFFFFF"/>
        </w:rPr>
        <w:t>2017;</w:t>
      </w:r>
      <w:r w:rsidR="00F72193" w:rsidRPr="00750AB3">
        <w:rPr>
          <w:rFonts w:cstheme="minorHAnsi"/>
          <w:i/>
          <w:iCs/>
          <w:shd w:val="clear" w:color="auto" w:fill="FFFFFF"/>
        </w:rPr>
        <w:t xml:space="preserve"> 34</w:t>
      </w:r>
      <w:r w:rsidR="00F72193" w:rsidRPr="00750AB3">
        <w:rPr>
          <w:rFonts w:cstheme="minorHAnsi"/>
          <w:shd w:val="clear" w:color="auto" w:fill="FFFFFF"/>
        </w:rPr>
        <w:t>(6), 656-661.</w:t>
      </w:r>
    </w:p>
    <w:p w14:paraId="0B676479" w14:textId="7B7B6B3E" w:rsidR="00921811" w:rsidRDefault="0023730A" w:rsidP="0091360E">
      <w:pPr>
        <w:spacing w:line="240" w:lineRule="auto"/>
        <w:jc w:val="both"/>
        <w:rPr>
          <w:rFonts w:cstheme="minorHAnsi"/>
          <w:shd w:val="clear" w:color="auto" w:fill="FFFFFF"/>
        </w:rPr>
      </w:pPr>
      <w:r>
        <w:rPr>
          <w:rFonts w:cstheme="minorHAnsi"/>
          <w:shd w:val="clear" w:color="auto" w:fill="FFFFFF"/>
        </w:rPr>
        <w:t xml:space="preserve">[44] </w:t>
      </w:r>
      <w:r w:rsidR="00921811" w:rsidRPr="00750AB3">
        <w:rPr>
          <w:rFonts w:cstheme="minorHAnsi"/>
          <w:shd w:val="clear" w:color="auto" w:fill="FFFFFF"/>
          <w:lang w:val="pl-PL"/>
        </w:rPr>
        <w:t>Kołcz A, Główka N, Kowal M, Paprocka</w:t>
      </w:r>
      <w:r w:rsidR="00921811" w:rsidRPr="00750AB3">
        <w:rPr>
          <w:rFonts w:ascii="Cambria Math" w:hAnsi="Cambria Math" w:cs="Cambria Math"/>
          <w:shd w:val="clear" w:color="auto" w:fill="FFFFFF"/>
          <w:lang w:val="pl-PL"/>
        </w:rPr>
        <w:t>‐</w:t>
      </w:r>
      <w:r w:rsidR="00921811" w:rsidRPr="00750AB3">
        <w:rPr>
          <w:rFonts w:cstheme="minorHAnsi"/>
          <w:shd w:val="clear" w:color="auto" w:fill="FFFFFF"/>
          <w:lang w:val="pl-PL"/>
        </w:rPr>
        <w:t>Borowicz M. </w:t>
      </w:r>
      <w:r w:rsidR="00921811" w:rsidRPr="00750AB3">
        <w:rPr>
          <w:rStyle w:val="ref-title"/>
          <w:rFonts w:cstheme="minorHAnsi"/>
          <w:shd w:val="clear" w:color="auto" w:fill="FFFFFF"/>
        </w:rPr>
        <w:t>Baropodometric evaluation of foot load distribution during gait in the group of professionally active nurses</w:t>
      </w:r>
      <w:r w:rsidR="00921811" w:rsidRPr="00750AB3">
        <w:rPr>
          <w:rFonts w:cstheme="minorHAnsi"/>
          <w:shd w:val="clear" w:color="auto" w:fill="FFFFFF"/>
        </w:rPr>
        <w:t>. </w:t>
      </w:r>
      <w:r w:rsidR="00921811" w:rsidRPr="00750AB3">
        <w:rPr>
          <w:rStyle w:val="ref-journal"/>
          <w:rFonts w:cstheme="minorHAnsi"/>
          <w:shd w:val="clear" w:color="auto" w:fill="FFFFFF"/>
        </w:rPr>
        <w:t>J</w:t>
      </w:r>
      <w:r w:rsidR="004D0253" w:rsidRPr="00750AB3">
        <w:rPr>
          <w:rStyle w:val="ref-journal"/>
          <w:rFonts w:cstheme="minorHAnsi"/>
          <w:shd w:val="clear" w:color="auto" w:fill="FFFFFF"/>
        </w:rPr>
        <w:t xml:space="preserve"> Occup Health</w:t>
      </w:r>
      <w:r w:rsidR="00921811" w:rsidRPr="00750AB3">
        <w:rPr>
          <w:rStyle w:val="ref-journal"/>
          <w:rFonts w:cstheme="minorHAnsi"/>
          <w:shd w:val="clear" w:color="auto" w:fill="FFFFFF"/>
        </w:rPr>
        <w:t xml:space="preserve"> 2019;</w:t>
      </w:r>
      <w:r w:rsidR="00921811" w:rsidRPr="00750AB3">
        <w:rPr>
          <w:rFonts w:cstheme="minorHAnsi"/>
          <w:shd w:val="clear" w:color="auto" w:fill="FFFFFF"/>
        </w:rPr>
        <w:t> </w:t>
      </w:r>
      <w:r w:rsidR="00921811" w:rsidRPr="00750AB3">
        <w:rPr>
          <w:rStyle w:val="ref-vol"/>
          <w:rFonts w:cstheme="minorHAnsi"/>
          <w:shd w:val="clear" w:color="auto" w:fill="FFFFFF"/>
        </w:rPr>
        <w:t>62</w:t>
      </w:r>
      <w:r w:rsidR="00921811" w:rsidRPr="00750AB3">
        <w:rPr>
          <w:rFonts w:cstheme="minorHAnsi"/>
          <w:shd w:val="clear" w:color="auto" w:fill="FFFFFF"/>
        </w:rPr>
        <w:t>, e12102</w:t>
      </w:r>
    </w:p>
    <w:p w14:paraId="757EF0F3" w14:textId="77777777" w:rsidR="00EF410D" w:rsidRPr="00E85358" w:rsidRDefault="00EF410D" w:rsidP="00EF410D">
      <w:pPr>
        <w:pStyle w:val="paragraph"/>
        <w:spacing w:before="0" w:beforeAutospacing="0" w:after="0" w:afterAutospacing="0"/>
        <w:jc w:val="both"/>
        <w:textAlignment w:val="baseline"/>
        <w:rPr>
          <w:rFonts w:asciiTheme="minorHAnsi" w:hAnsiTheme="minorHAnsi" w:cstheme="minorHAnsi"/>
          <w:sz w:val="22"/>
          <w:szCs w:val="22"/>
          <w:shd w:val="clear" w:color="auto" w:fill="FFFFFF"/>
        </w:rPr>
      </w:pPr>
    </w:p>
    <w:p w14:paraId="59643588" w14:textId="1B1EB9A3" w:rsidR="00EF410D" w:rsidRPr="00E85358" w:rsidRDefault="00705EFB" w:rsidP="00EF410D">
      <w:pPr>
        <w:pStyle w:val="CommentText"/>
        <w:spacing w:after="0"/>
        <w:jc w:val="both"/>
        <w:rPr>
          <w:rFonts w:cstheme="minorHAnsi"/>
          <w:sz w:val="22"/>
          <w:szCs w:val="22"/>
          <w:shd w:val="clear" w:color="auto" w:fill="FFFFFF"/>
        </w:rPr>
      </w:pPr>
      <w:r>
        <w:rPr>
          <w:rFonts w:cstheme="minorHAnsi"/>
          <w:sz w:val="22"/>
          <w:szCs w:val="22"/>
          <w:shd w:val="clear" w:color="auto" w:fill="FFFFFF"/>
        </w:rPr>
        <w:t>[45]</w:t>
      </w:r>
      <w:r w:rsidR="00EF410D" w:rsidRPr="00E85358">
        <w:rPr>
          <w:rFonts w:cstheme="minorHAnsi"/>
          <w:sz w:val="22"/>
          <w:szCs w:val="22"/>
          <w:shd w:val="clear" w:color="auto" w:fill="FFFFFF"/>
        </w:rPr>
        <w:t xml:space="preserve"> Kristman VL, Shaw WS, Boot CR, Delclos GL, Sullivan MJ, Ehrhart MG. Researching complex and multi-level workplace factors affecting disability and prolonged sickness absence. </w:t>
      </w:r>
      <w:r w:rsidR="00EF410D" w:rsidRPr="00E85358">
        <w:rPr>
          <w:rFonts w:cstheme="minorHAnsi"/>
          <w:iCs/>
          <w:sz w:val="22"/>
          <w:szCs w:val="22"/>
          <w:shd w:val="clear" w:color="auto" w:fill="FFFFFF"/>
        </w:rPr>
        <w:t>J Occup Rehabil</w:t>
      </w:r>
      <w:r w:rsidR="00EF410D" w:rsidRPr="00E85358">
        <w:rPr>
          <w:rFonts w:cstheme="minorHAnsi"/>
          <w:sz w:val="22"/>
          <w:szCs w:val="22"/>
          <w:shd w:val="clear" w:color="auto" w:fill="FFFFFF"/>
        </w:rPr>
        <w:t xml:space="preserve"> 2016; 26(4): 399-416. </w:t>
      </w:r>
    </w:p>
    <w:p w14:paraId="139D65C9" w14:textId="64D7A8FA" w:rsidR="00EF410D" w:rsidRPr="00E85358" w:rsidRDefault="00EF410D" w:rsidP="00EF410D">
      <w:pPr>
        <w:pStyle w:val="CommentText"/>
        <w:spacing w:after="0"/>
        <w:jc w:val="both"/>
        <w:rPr>
          <w:rFonts w:cstheme="minorHAnsi"/>
          <w:sz w:val="22"/>
          <w:szCs w:val="22"/>
          <w:shd w:val="clear" w:color="auto" w:fill="FFFFFF"/>
        </w:rPr>
      </w:pPr>
    </w:p>
    <w:p w14:paraId="185687D8" w14:textId="6FB4DC6E" w:rsidR="00EF410D" w:rsidRPr="00E85358" w:rsidRDefault="00705EFB" w:rsidP="00EF410D">
      <w:pPr>
        <w:pStyle w:val="CommentText"/>
        <w:spacing w:after="0"/>
        <w:jc w:val="both"/>
        <w:rPr>
          <w:rFonts w:cstheme="minorHAnsi"/>
          <w:sz w:val="22"/>
          <w:szCs w:val="22"/>
          <w:shd w:val="clear" w:color="auto" w:fill="FFFFFF"/>
        </w:rPr>
      </w:pPr>
      <w:r>
        <w:rPr>
          <w:rFonts w:cstheme="minorHAnsi"/>
          <w:sz w:val="22"/>
          <w:szCs w:val="22"/>
          <w:shd w:val="clear" w:color="auto" w:fill="FFFFFF"/>
        </w:rPr>
        <w:t>[46]</w:t>
      </w:r>
      <w:r w:rsidR="00EF410D" w:rsidRPr="00E85358">
        <w:rPr>
          <w:rFonts w:cstheme="minorHAnsi"/>
          <w:sz w:val="22"/>
          <w:szCs w:val="22"/>
          <w:shd w:val="clear" w:color="auto" w:fill="FFFFFF"/>
        </w:rPr>
        <w:t xml:space="preserve"> Lang J, Ochsmann E, Kraus T, Lang, JW. Psychosocial work stressors as antecedents of musculoskeletal problems: A systematic review and meta</w:t>
      </w:r>
      <w:r w:rsidR="00EF410D" w:rsidRPr="00E85358">
        <w:rPr>
          <w:rFonts w:ascii="Cambria Math" w:hAnsi="Cambria Math" w:cs="Cambria Math"/>
          <w:sz w:val="22"/>
          <w:szCs w:val="22"/>
          <w:shd w:val="clear" w:color="auto" w:fill="FFFFFF"/>
        </w:rPr>
        <w:t>‐</w:t>
      </w:r>
      <w:r w:rsidR="00EF410D" w:rsidRPr="00E85358">
        <w:rPr>
          <w:rFonts w:cstheme="minorHAnsi"/>
          <w:sz w:val="22"/>
          <w:szCs w:val="22"/>
          <w:shd w:val="clear" w:color="auto" w:fill="FFFFFF"/>
        </w:rPr>
        <w:t>analysis of stability</w:t>
      </w:r>
      <w:r w:rsidR="00EF410D" w:rsidRPr="00E85358">
        <w:rPr>
          <w:rFonts w:ascii="Cambria Math" w:hAnsi="Cambria Math" w:cs="Cambria Math"/>
          <w:sz w:val="22"/>
          <w:szCs w:val="22"/>
          <w:shd w:val="clear" w:color="auto" w:fill="FFFFFF"/>
        </w:rPr>
        <w:t>‐</w:t>
      </w:r>
      <w:r w:rsidR="00EF410D" w:rsidRPr="00E85358">
        <w:rPr>
          <w:rFonts w:cstheme="minorHAnsi"/>
          <w:sz w:val="22"/>
          <w:szCs w:val="22"/>
          <w:shd w:val="clear" w:color="auto" w:fill="FFFFFF"/>
        </w:rPr>
        <w:t>adjusted longitudinal studies. Soc Sci Med 2012; 75: 1163–1174.</w:t>
      </w:r>
    </w:p>
    <w:p w14:paraId="4AA6294F" w14:textId="77777777" w:rsidR="00EF410D" w:rsidRPr="00E85358" w:rsidRDefault="00EF410D" w:rsidP="00EF410D">
      <w:pPr>
        <w:pStyle w:val="CommentText"/>
        <w:spacing w:after="0"/>
        <w:jc w:val="both"/>
        <w:rPr>
          <w:rFonts w:cstheme="minorHAnsi"/>
          <w:sz w:val="22"/>
          <w:szCs w:val="22"/>
          <w:shd w:val="clear" w:color="auto" w:fill="FFFFFF"/>
        </w:rPr>
      </w:pPr>
    </w:p>
    <w:p w14:paraId="4CDAD1E7" w14:textId="7F480A15" w:rsidR="00EF410D" w:rsidRPr="0070644B" w:rsidRDefault="0023730A" w:rsidP="00EF410D">
      <w:pPr>
        <w:pStyle w:val="CommentText"/>
        <w:spacing w:after="0"/>
        <w:jc w:val="both"/>
        <w:rPr>
          <w:rFonts w:cstheme="minorHAnsi"/>
          <w:sz w:val="22"/>
          <w:szCs w:val="22"/>
        </w:rPr>
      </w:pPr>
      <w:r>
        <w:rPr>
          <w:rFonts w:cstheme="minorHAnsi"/>
          <w:sz w:val="22"/>
          <w:szCs w:val="22"/>
        </w:rPr>
        <w:t xml:space="preserve">[47] </w:t>
      </w:r>
      <w:r w:rsidR="00EF410D" w:rsidRPr="0070644B">
        <w:rPr>
          <w:rFonts w:cstheme="minorHAnsi"/>
          <w:sz w:val="22"/>
          <w:szCs w:val="22"/>
        </w:rPr>
        <w:t xml:space="preserve">[ ] Linnemorken L, Sveinsdottir V, Knutzen T, Rodevand L, Hernaes K, Reme S. Protocol for the Individual Placement and Support (IPS) in pain trial: A randomised controlled trial investigating the effectiveness of IPS for patients with chronic pain. BMC Musculoskelet Disord. 2018; 19:47. </w:t>
      </w:r>
    </w:p>
    <w:p w14:paraId="4692DA94" w14:textId="2E72AF2F" w:rsidR="00EF410D" w:rsidRDefault="00EF410D" w:rsidP="0091360E">
      <w:pPr>
        <w:spacing w:line="240" w:lineRule="auto"/>
        <w:jc w:val="both"/>
        <w:rPr>
          <w:rFonts w:cstheme="minorHAnsi"/>
          <w:shd w:val="clear" w:color="auto" w:fill="FFFFFF"/>
        </w:rPr>
      </w:pPr>
    </w:p>
    <w:p w14:paraId="02AAC67E" w14:textId="5490F57D" w:rsidR="00BE6900" w:rsidRPr="00E85358" w:rsidRDefault="00705EFB" w:rsidP="00BE6900">
      <w:pPr>
        <w:pStyle w:val="CommentText"/>
        <w:spacing w:after="0"/>
        <w:jc w:val="both"/>
        <w:rPr>
          <w:rFonts w:cstheme="minorHAnsi"/>
          <w:sz w:val="22"/>
          <w:szCs w:val="22"/>
        </w:rPr>
      </w:pPr>
      <w:r>
        <w:rPr>
          <w:rFonts w:cstheme="minorHAnsi"/>
          <w:sz w:val="22"/>
          <w:szCs w:val="22"/>
        </w:rPr>
        <w:t>[48]</w:t>
      </w:r>
      <w:r w:rsidR="00BE6900" w:rsidRPr="00E85358">
        <w:rPr>
          <w:rFonts w:cstheme="minorHAnsi"/>
          <w:sz w:val="22"/>
          <w:szCs w:val="22"/>
        </w:rPr>
        <w:t xml:space="preserve"> Main C and Shaw W. Managing pain-related limitations in the workplace; the role of the employer. In: Wainwright E, Eccleston, C. (eds) Pain and Work: A Lifespan Development Approach. Oxford UK: OUP; 2019. 143-159.</w:t>
      </w:r>
    </w:p>
    <w:p w14:paraId="00B75CF1" w14:textId="66CCED6E" w:rsidR="00BE6900" w:rsidRPr="00750AB3" w:rsidRDefault="00BE6900" w:rsidP="0091360E">
      <w:pPr>
        <w:spacing w:line="240" w:lineRule="auto"/>
        <w:jc w:val="both"/>
        <w:rPr>
          <w:rFonts w:cstheme="minorHAnsi"/>
          <w:shd w:val="clear" w:color="auto" w:fill="FFFFFF"/>
        </w:rPr>
      </w:pPr>
    </w:p>
    <w:p w14:paraId="309BD767" w14:textId="2A17BFD1" w:rsidR="007828E7" w:rsidRPr="00750AB3" w:rsidRDefault="00705EFB" w:rsidP="0091360E">
      <w:pPr>
        <w:pStyle w:val="CommentText"/>
        <w:jc w:val="both"/>
        <w:rPr>
          <w:rFonts w:cstheme="minorHAnsi"/>
          <w:sz w:val="22"/>
          <w:szCs w:val="22"/>
          <w:shd w:val="clear" w:color="auto" w:fill="FFFFFF"/>
        </w:rPr>
      </w:pPr>
      <w:r>
        <w:rPr>
          <w:rFonts w:eastAsia="Times New Roman" w:cstheme="minorHAnsi"/>
          <w:sz w:val="22"/>
          <w:szCs w:val="22"/>
          <w:lang w:val="en-US" w:eastAsia="en-GB"/>
        </w:rPr>
        <w:t>[49]</w:t>
      </w:r>
      <w:r w:rsidR="004D0253" w:rsidRPr="00750AB3">
        <w:rPr>
          <w:rFonts w:eastAsia="Times New Roman" w:cstheme="minorHAnsi"/>
          <w:sz w:val="22"/>
          <w:szCs w:val="22"/>
          <w:lang w:val="en-US" w:eastAsia="en-GB"/>
        </w:rPr>
        <w:t xml:space="preserve"> </w:t>
      </w:r>
      <w:r w:rsidR="007828E7" w:rsidRPr="00750AB3">
        <w:rPr>
          <w:rFonts w:cstheme="minorHAnsi"/>
          <w:sz w:val="22"/>
          <w:szCs w:val="22"/>
          <w:shd w:val="clear" w:color="auto" w:fill="FFFFFF"/>
        </w:rPr>
        <w:t>McCorkell L, Assaf GS, Davis HE, Wei H, Akrami A. Patient-Led Research Collaborative: embedding patients in the Long COVID narrative. </w:t>
      </w:r>
      <w:r w:rsidR="005A7F4A" w:rsidRPr="00750AB3">
        <w:rPr>
          <w:rFonts w:cstheme="minorHAnsi"/>
          <w:iCs/>
          <w:sz w:val="22"/>
          <w:szCs w:val="22"/>
          <w:shd w:val="clear" w:color="auto" w:fill="FFFFFF"/>
        </w:rPr>
        <w:t>P</w:t>
      </w:r>
      <w:r w:rsidR="00BF6A1C">
        <w:rPr>
          <w:rFonts w:cstheme="minorHAnsi"/>
          <w:iCs/>
          <w:sz w:val="22"/>
          <w:szCs w:val="22"/>
          <w:shd w:val="clear" w:color="auto" w:fill="FFFFFF"/>
        </w:rPr>
        <w:t>ain</w:t>
      </w:r>
      <w:r w:rsidR="005A7F4A" w:rsidRPr="00750AB3">
        <w:rPr>
          <w:rFonts w:cstheme="minorHAnsi"/>
          <w:iCs/>
          <w:sz w:val="22"/>
          <w:szCs w:val="22"/>
          <w:shd w:val="clear" w:color="auto" w:fill="FFFFFF"/>
        </w:rPr>
        <w:t xml:space="preserve"> Rep</w:t>
      </w:r>
      <w:r w:rsidR="007828E7" w:rsidRPr="00750AB3">
        <w:rPr>
          <w:rFonts w:cstheme="minorHAnsi"/>
          <w:iCs/>
          <w:sz w:val="22"/>
          <w:szCs w:val="22"/>
          <w:shd w:val="clear" w:color="auto" w:fill="FFFFFF"/>
        </w:rPr>
        <w:t>; 2021:6</w:t>
      </w:r>
      <w:r w:rsidR="007828E7" w:rsidRPr="00750AB3">
        <w:rPr>
          <w:rFonts w:cstheme="minorHAnsi"/>
          <w:sz w:val="22"/>
          <w:szCs w:val="22"/>
          <w:shd w:val="clear" w:color="auto" w:fill="FFFFFF"/>
        </w:rPr>
        <w:t>(1), e913.</w:t>
      </w:r>
    </w:p>
    <w:p w14:paraId="5CFAB185" w14:textId="6C267AC2" w:rsidR="0029694B" w:rsidRPr="00750AB3" w:rsidRDefault="00705EFB" w:rsidP="0091360E">
      <w:pPr>
        <w:spacing w:line="240" w:lineRule="auto"/>
        <w:jc w:val="both"/>
        <w:rPr>
          <w:rStyle w:val="eop"/>
          <w:rFonts w:cstheme="minorHAnsi"/>
        </w:rPr>
      </w:pPr>
      <w:r>
        <w:rPr>
          <w:rFonts w:eastAsia="Times New Roman" w:cstheme="minorHAnsi"/>
          <w:lang w:val="en-US" w:eastAsia="en-GB"/>
        </w:rPr>
        <w:t>[50]</w:t>
      </w:r>
      <w:r w:rsidR="005A3039" w:rsidRPr="00750AB3">
        <w:rPr>
          <w:rFonts w:eastAsia="Times New Roman" w:cstheme="minorHAnsi"/>
          <w:lang w:val="en-US" w:eastAsia="en-GB"/>
        </w:rPr>
        <w:t xml:space="preserve"> </w:t>
      </w:r>
      <w:r w:rsidR="005A3039" w:rsidRPr="00750AB3">
        <w:rPr>
          <w:rStyle w:val="normaltextrun"/>
          <w:rFonts w:cstheme="minorHAnsi"/>
          <w:lang w:val="en-US"/>
        </w:rPr>
        <w:t>Mills SEE, Nicolson KP, Smith BH. Chronic pain: a review of its epidemiology and associated factors in population-based studies. Br J Anaesth 2019;123:e273–e283. doi:10.1016/j.bja.2019.03.023.</w:t>
      </w:r>
      <w:r w:rsidR="005A3039" w:rsidRPr="00750AB3">
        <w:rPr>
          <w:rStyle w:val="eop"/>
          <w:rFonts w:cstheme="minorHAnsi"/>
        </w:rPr>
        <w:t> </w:t>
      </w:r>
    </w:p>
    <w:p w14:paraId="0B49BA18" w14:textId="1B404968" w:rsidR="005A3039" w:rsidRDefault="00705EFB" w:rsidP="0091360E">
      <w:pPr>
        <w:spacing w:line="240" w:lineRule="auto"/>
        <w:jc w:val="both"/>
        <w:rPr>
          <w:rFonts w:cstheme="minorHAnsi"/>
          <w:noProof/>
        </w:rPr>
      </w:pPr>
      <w:r>
        <w:rPr>
          <w:rStyle w:val="eop"/>
          <w:rFonts w:cstheme="minorHAnsi"/>
        </w:rPr>
        <w:t>[51]</w:t>
      </w:r>
      <w:r w:rsidR="005A3039" w:rsidRPr="00750AB3">
        <w:rPr>
          <w:rStyle w:val="eop"/>
          <w:rFonts w:cstheme="minorHAnsi"/>
        </w:rPr>
        <w:t xml:space="preserve"> </w:t>
      </w:r>
      <w:r w:rsidR="005A3039" w:rsidRPr="00750AB3">
        <w:rPr>
          <w:rFonts w:cstheme="minorHAnsi"/>
          <w:noProof/>
        </w:rPr>
        <w:t>Moore E, Adams H, Ellis T, Thibault P, Sullivan MJL. Assessing catastrophic thinking associated with debilitating health conditions. Disabil Rehabil. 2016; 40(3): 317-22.</w:t>
      </w:r>
    </w:p>
    <w:p w14:paraId="1D1D3254" w14:textId="77777777" w:rsidR="00BE6900" w:rsidRPr="00E85358" w:rsidRDefault="00BE6900" w:rsidP="00BE6900">
      <w:pPr>
        <w:pStyle w:val="CommentText"/>
        <w:spacing w:after="0"/>
        <w:jc w:val="both"/>
        <w:rPr>
          <w:rFonts w:cstheme="minorHAnsi"/>
          <w:sz w:val="22"/>
          <w:szCs w:val="22"/>
        </w:rPr>
      </w:pPr>
    </w:p>
    <w:p w14:paraId="04209078" w14:textId="25EB5D62" w:rsidR="00BE6900" w:rsidRPr="00E85358" w:rsidRDefault="00705EFB" w:rsidP="00BE6900">
      <w:pPr>
        <w:pStyle w:val="paragraph"/>
        <w:spacing w:before="0" w:beforeAutospacing="0" w:after="0" w:afterAutospacing="0"/>
        <w:jc w:val="both"/>
        <w:textAlignment w:val="baseline"/>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[52]</w:t>
      </w:r>
      <w:r w:rsidR="00BE6900" w:rsidRPr="00E85358">
        <w:rPr>
          <w:rFonts w:asciiTheme="minorHAnsi" w:hAnsiTheme="minorHAnsi" w:cstheme="minorHAnsi"/>
          <w:sz w:val="22"/>
          <w:szCs w:val="22"/>
          <w:shd w:val="clear" w:color="auto" w:fill="FFFFFF"/>
        </w:rPr>
        <w:t xml:space="preserve"> NHS Lanarkshire and JobCentre Plus. Helping you get back to work. Annual report April 2007-March 2008. Condition Management Programme, 2008. Retrieved July 6, 2021, from</w:t>
      </w:r>
    </w:p>
    <w:p w14:paraId="443D4143" w14:textId="73D964C3" w:rsidR="00BE6900" w:rsidRPr="00750AB3" w:rsidRDefault="00BE6900" w:rsidP="0091360E">
      <w:pPr>
        <w:spacing w:line="240" w:lineRule="auto"/>
        <w:jc w:val="both"/>
        <w:rPr>
          <w:rFonts w:cstheme="minorHAnsi"/>
          <w:noProof/>
        </w:rPr>
      </w:pPr>
    </w:p>
    <w:p w14:paraId="31D9C7EF" w14:textId="0C4CE809" w:rsidR="000614DB" w:rsidRPr="00750AB3" w:rsidRDefault="00705EFB" w:rsidP="0091360E">
      <w:pPr>
        <w:spacing w:line="240" w:lineRule="auto"/>
        <w:jc w:val="both"/>
        <w:rPr>
          <w:rFonts w:cstheme="minorHAnsi"/>
        </w:rPr>
      </w:pPr>
      <w:r>
        <w:rPr>
          <w:rFonts w:cstheme="minorHAnsi"/>
          <w:noProof/>
        </w:rPr>
        <w:t>[53]</w:t>
      </w:r>
      <w:r w:rsidR="000614DB" w:rsidRPr="00750AB3">
        <w:rPr>
          <w:rFonts w:cstheme="minorHAnsi"/>
          <w:noProof/>
        </w:rPr>
        <w:t xml:space="preserve"> </w:t>
      </w:r>
      <w:r w:rsidR="000614DB" w:rsidRPr="00750AB3">
        <w:rPr>
          <w:rFonts w:cstheme="minorHAnsi"/>
        </w:rPr>
        <w:t>Nicholson MJ, Van Griensven J, Branco M. How are Europe’s Chronic Pain Patients Affected by the Covid-19 pandemic? Pain Alliance Europe</w:t>
      </w:r>
      <w:r w:rsidR="00D93C4C" w:rsidRPr="00750AB3">
        <w:rPr>
          <w:rFonts w:cstheme="minorHAnsi"/>
        </w:rPr>
        <w:t xml:space="preserve">. Retrieved 28 April, 2021 from </w:t>
      </w:r>
      <w:hyperlink r:id="rId12" w:history="1">
        <w:r w:rsidR="000614DB" w:rsidRPr="00750AB3">
          <w:rPr>
            <w:rStyle w:val="Hyperlink"/>
            <w:rFonts w:cstheme="minorHAnsi"/>
            <w:color w:val="auto"/>
          </w:rPr>
          <w:t>https://pae-eu.eu/wp-content/uploads/2021/03/Full_report_PAE-in-depth-COVID-19-Survey-Final.pdf</w:t>
        </w:r>
      </w:hyperlink>
      <w:r w:rsidR="00D93C4C" w:rsidRPr="00750AB3">
        <w:rPr>
          <w:rFonts w:cstheme="minorHAnsi"/>
        </w:rPr>
        <w:t xml:space="preserve"> </w:t>
      </w:r>
    </w:p>
    <w:p w14:paraId="7AAC4200" w14:textId="7D6E5F28" w:rsidR="003B5BF6" w:rsidRPr="00750AB3" w:rsidRDefault="00705EFB" w:rsidP="0091360E">
      <w:pPr>
        <w:pStyle w:val="CommentText"/>
        <w:jc w:val="both"/>
        <w:rPr>
          <w:rFonts w:cstheme="minorHAnsi"/>
          <w:sz w:val="22"/>
          <w:szCs w:val="22"/>
        </w:rPr>
      </w:pPr>
      <w:r>
        <w:rPr>
          <w:rFonts w:cstheme="minorHAnsi"/>
          <w:sz w:val="22"/>
          <w:szCs w:val="22"/>
        </w:rPr>
        <w:t>[54]</w:t>
      </w:r>
      <w:r w:rsidR="00D93C4C" w:rsidRPr="00750AB3">
        <w:rPr>
          <w:rFonts w:cstheme="minorHAnsi"/>
          <w:sz w:val="22"/>
          <w:szCs w:val="22"/>
        </w:rPr>
        <w:t xml:space="preserve"> </w:t>
      </w:r>
      <w:r w:rsidR="003B5BF6" w:rsidRPr="00750AB3">
        <w:rPr>
          <w:rFonts w:cstheme="minorHAnsi"/>
          <w:sz w:val="22"/>
          <w:szCs w:val="22"/>
        </w:rPr>
        <w:t>Organisation for Economic Co-operation and Development (OECD). Health at a glance. Paris: OECD; 2016.</w:t>
      </w:r>
    </w:p>
    <w:p w14:paraId="52DD6366" w14:textId="0E458316" w:rsidR="003B5BF6" w:rsidRDefault="0023730A" w:rsidP="0091360E">
      <w:pPr>
        <w:pStyle w:val="CommentText"/>
        <w:jc w:val="both"/>
        <w:rPr>
          <w:rStyle w:val="eop"/>
          <w:rFonts w:cstheme="minorHAnsi"/>
          <w:sz w:val="22"/>
          <w:szCs w:val="22"/>
        </w:rPr>
      </w:pPr>
      <w:r>
        <w:rPr>
          <w:rFonts w:cstheme="minorHAnsi"/>
          <w:sz w:val="22"/>
          <w:szCs w:val="22"/>
        </w:rPr>
        <w:t xml:space="preserve">[55] </w:t>
      </w:r>
      <w:r w:rsidR="00283E6A" w:rsidRPr="00750AB3">
        <w:rPr>
          <w:rStyle w:val="normaltextrun"/>
          <w:rFonts w:cstheme="minorHAnsi"/>
          <w:sz w:val="22"/>
          <w:szCs w:val="22"/>
          <w:lang w:val="en-US"/>
        </w:rPr>
        <w:t>Organization WH. World report on ageing and health. Geneva PP  - Geneva: World Health Organization, n.d. p. Available: https://apps.who.int/iris/handle/10665/186463.</w:t>
      </w:r>
      <w:r w:rsidR="00283E6A" w:rsidRPr="00750AB3">
        <w:rPr>
          <w:rStyle w:val="eop"/>
          <w:rFonts w:cstheme="minorHAnsi"/>
          <w:sz w:val="22"/>
          <w:szCs w:val="22"/>
        </w:rPr>
        <w:t> </w:t>
      </w:r>
    </w:p>
    <w:p w14:paraId="13CAF136" w14:textId="49DCE4C0" w:rsidR="00490678" w:rsidRPr="00E85358" w:rsidRDefault="00705EFB" w:rsidP="00490678">
      <w:pPr>
        <w:pStyle w:val="CommentText"/>
        <w:spacing w:after="0"/>
        <w:jc w:val="both"/>
        <w:rPr>
          <w:rFonts w:cstheme="minorHAnsi"/>
          <w:sz w:val="22"/>
          <w:szCs w:val="22"/>
          <w:shd w:val="clear" w:color="auto" w:fill="FFFFFF"/>
        </w:rPr>
      </w:pPr>
      <w:r>
        <w:rPr>
          <w:rFonts w:cstheme="minorHAnsi"/>
          <w:sz w:val="22"/>
          <w:szCs w:val="22"/>
          <w:shd w:val="clear" w:color="auto" w:fill="FFFFFF"/>
        </w:rPr>
        <w:t>[56]</w:t>
      </w:r>
      <w:r w:rsidR="00490678" w:rsidRPr="00E85358">
        <w:rPr>
          <w:rFonts w:cstheme="minorHAnsi"/>
          <w:sz w:val="22"/>
          <w:szCs w:val="22"/>
          <w:shd w:val="clear" w:color="auto" w:fill="FFFFFF"/>
        </w:rPr>
        <w:t xml:space="preserve"> Palmer KT, Harris EC, Linaker C.  Barker M, Lawrence W, Cooper C, Coggon D. (2012). Effectiveness of community- and workplace-based interventions to manage musculoskeletal-related sickness absence and job loss: a systematic review. </w:t>
      </w:r>
      <w:r w:rsidR="00490678" w:rsidRPr="00E85358">
        <w:rPr>
          <w:rFonts w:cstheme="minorHAnsi"/>
          <w:iCs/>
          <w:sz w:val="22"/>
          <w:szCs w:val="22"/>
          <w:shd w:val="clear" w:color="auto" w:fill="FFFFFF"/>
        </w:rPr>
        <w:t>Rheumatology 2012; 51</w:t>
      </w:r>
      <w:r w:rsidR="00490678" w:rsidRPr="00E85358">
        <w:rPr>
          <w:rFonts w:cstheme="minorHAnsi"/>
          <w:sz w:val="22"/>
          <w:szCs w:val="22"/>
          <w:shd w:val="clear" w:color="auto" w:fill="FFFFFF"/>
        </w:rPr>
        <w:t xml:space="preserve">(2): 230–242. </w:t>
      </w:r>
    </w:p>
    <w:p w14:paraId="40AC8EC3" w14:textId="77777777" w:rsidR="00490678" w:rsidRPr="00750AB3" w:rsidRDefault="00490678" w:rsidP="0091360E">
      <w:pPr>
        <w:pStyle w:val="CommentText"/>
        <w:jc w:val="both"/>
        <w:rPr>
          <w:rFonts w:cstheme="minorHAnsi"/>
          <w:sz w:val="22"/>
          <w:szCs w:val="22"/>
        </w:rPr>
      </w:pPr>
    </w:p>
    <w:p w14:paraId="75CFC48C" w14:textId="1BC298B8" w:rsidR="000614DB" w:rsidRDefault="00705EFB" w:rsidP="0091360E">
      <w:pPr>
        <w:spacing w:line="240" w:lineRule="auto"/>
        <w:jc w:val="both"/>
        <w:rPr>
          <w:rStyle w:val="eop"/>
          <w:rFonts w:cstheme="minorHAnsi"/>
        </w:rPr>
      </w:pPr>
      <w:r>
        <w:rPr>
          <w:rFonts w:cstheme="minorHAnsi"/>
          <w:shd w:val="clear" w:color="auto" w:fill="FFFFFF"/>
        </w:rPr>
        <w:t>[57]</w:t>
      </w:r>
      <w:r w:rsidR="00283E6A" w:rsidRPr="00750AB3">
        <w:rPr>
          <w:rFonts w:cstheme="minorHAnsi"/>
          <w:shd w:val="clear" w:color="auto" w:fill="FFFFFF"/>
        </w:rPr>
        <w:t xml:space="preserve"> </w:t>
      </w:r>
      <w:r w:rsidR="00B556B4" w:rsidRPr="00750AB3">
        <w:rPr>
          <w:rStyle w:val="normaltextrun"/>
          <w:rFonts w:cstheme="minorHAnsi"/>
          <w:lang w:val="en-US"/>
        </w:rPr>
        <w:t>Poleshuck EL, Green CR. Socioeconomic disadvantage and pain. PAIN 2008;136:235–238.</w:t>
      </w:r>
      <w:r w:rsidR="00B556B4" w:rsidRPr="00750AB3">
        <w:rPr>
          <w:rStyle w:val="eop"/>
          <w:rFonts w:cstheme="minorHAnsi"/>
        </w:rPr>
        <w:t> </w:t>
      </w:r>
    </w:p>
    <w:p w14:paraId="0C4895BB" w14:textId="6D27E8D5" w:rsidR="00490678" w:rsidRPr="0070644B" w:rsidRDefault="00705EFB" w:rsidP="00490678">
      <w:pPr>
        <w:pStyle w:val="CommentText"/>
        <w:spacing w:after="0"/>
        <w:jc w:val="both"/>
        <w:rPr>
          <w:rFonts w:cstheme="minorHAnsi"/>
          <w:sz w:val="22"/>
          <w:szCs w:val="22"/>
        </w:rPr>
      </w:pPr>
      <w:r>
        <w:rPr>
          <w:rFonts w:cstheme="minorHAnsi"/>
          <w:sz w:val="22"/>
          <w:szCs w:val="22"/>
        </w:rPr>
        <w:t>[58]</w:t>
      </w:r>
      <w:r w:rsidR="00490678" w:rsidRPr="0070644B">
        <w:rPr>
          <w:rFonts w:cstheme="minorHAnsi"/>
          <w:sz w:val="22"/>
          <w:szCs w:val="22"/>
        </w:rPr>
        <w:t xml:space="preserve"> Rodevand, L., Ljosaa, T., Granan, L., Knutzen, T., Jacobsen, H. and Reme, S. Pilot study of the individual placement an support model for patients with chronic pain’ BMC Musculoskelet Disord. 2017; 18:550</w:t>
      </w:r>
    </w:p>
    <w:p w14:paraId="4FB0D7CC" w14:textId="77777777" w:rsidR="00490678" w:rsidRPr="00750AB3" w:rsidRDefault="00490678" w:rsidP="0091360E">
      <w:pPr>
        <w:spacing w:line="240" w:lineRule="auto"/>
        <w:jc w:val="both"/>
        <w:rPr>
          <w:rStyle w:val="eop"/>
          <w:rFonts w:cstheme="minorHAnsi"/>
        </w:rPr>
      </w:pPr>
    </w:p>
    <w:p w14:paraId="2AECBDA1" w14:textId="13698764" w:rsidR="00457B41" w:rsidRPr="00750AB3" w:rsidRDefault="00705EFB" w:rsidP="0091360E">
      <w:pPr>
        <w:spacing w:line="240" w:lineRule="auto"/>
        <w:jc w:val="both"/>
        <w:rPr>
          <w:rFonts w:eastAsia="Times New Roman" w:cstheme="minorHAnsi"/>
          <w:lang w:val="en-US" w:eastAsia="en-GB"/>
        </w:rPr>
      </w:pPr>
      <w:r>
        <w:rPr>
          <w:rStyle w:val="eop"/>
          <w:rFonts w:cstheme="minorHAnsi"/>
        </w:rPr>
        <w:t>[59]</w:t>
      </w:r>
      <w:r w:rsidR="00457B41" w:rsidRPr="00750AB3">
        <w:rPr>
          <w:rStyle w:val="eop"/>
          <w:rFonts w:cstheme="minorHAnsi"/>
        </w:rPr>
        <w:t xml:space="preserve"> </w:t>
      </w:r>
      <w:r w:rsidR="00C42F7A" w:rsidRPr="00750AB3">
        <w:rPr>
          <w:rFonts w:eastAsia="Times New Roman" w:cstheme="minorHAnsi"/>
          <w:lang w:val="en-US" w:eastAsia="en-GB"/>
        </w:rPr>
        <w:t xml:space="preserve">Rogerson MD, Gatchel RJ, Bierner SM. </w:t>
      </w:r>
      <w:r w:rsidR="00C42F7A" w:rsidRPr="00750AB3">
        <w:rPr>
          <w:rFonts w:eastAsia="Times New Roman" w:cstheme="minorHAnsi"/>
          <w:iCs/>
          <w:lang w:val="en-US" w:eastAsia="en-GB"/>
        </w:rPr>
        <w:t>A cost utility analysis of interdisciplinary early intervention versus treatment as usual for high-risk acute low back pain patients.</w:t>
      </w:r>
      <w:r w:rsidR="00C42F7A" w:rsidRPr="00750AB3">
        <w:rPr>
          <w:rFonts w:eastAsia="Times New Roman" w:cstheme="minorHAnsi"/>
          <w:lang w:val="en-US" w:eastAsia="en-GB"/>
        </w:rPr>
        <w:t> Pai</w:t>
      </w:r>
      <w:r w:rsidR="00FC626B" w:rsidRPr="00750AB3">
        <w:rPr>
          <w:rFonts w:eastAsia="Times New Roman" w:cstheme="minorHAnsi"/>
          <w:lang w:val="en-US" w:eastAsia="en-GB"/>
        </w:rPr>
        <w:t>n Pract</w:t>
      </w:r>
      <w:r w:rsidR="00C42F7A" w:rsidRPr="00750AB3">
        <w:rPr>
          <w:rFonts w:eastAsia="Times New Roman" w:cstheme="minorHAnsi"/>
          <w:lang w:val="en-US" w:eastAsia="en-GB"/>
        </w:rPr>
        <w:t>; 2010. </w:t>
      </w:r>
      <w:r w:rsidR="00C42F7A" w:rsidRPr="00750AB3">
        <w:rPr>
          <w:rFonts w:eastAsia="Times New Roman" w:cstheme="minorHAnsi"/>
          <w:bCs/>
          <w:lang w:val="en-US" w:eastAsia="en-GB"/>
        </w:rPr>
        <w:t>10</w:t>
      </w:r>
      <w:r w:rsidR="00C42F7A" w:rsidRPr="00750AB3">
        <w:rPr>
          <w:rFonts w:eastAsia="Times New Roman" w:cstheme="minorHAnsi"/>
          <w:lang w:val="en-US" w:eastAsia="en-GB"/>
        </w:rPr>
        <w:t>(5): 382-95.</w:t>
      </w:r>
    </w:p>
    <w:p w14:paraId="4FD39CB6" w14:textId="6E615206" w:rsidR="000E14F4" w:rsidRPr="00750AB3" w:rsidRDefault="00705EFB" w:rsidP="0091360E">
      <w:pPr>
        <w:spacing w:line="240" w:lineRule="auto"/>
        <w:jc w:val="both"/>
        <w:rPr>
          <w:rFonts w:cstheme="minorHAnsi"/>
          <w:shd w:val="clear" w:color="auto" w:fill="FFFFFF"/>
        </w:rPr>
      </w:pPr>
      <w:r>
        <w:rPr>
          <w:rFonts w:eastAsia="Times New Roman" w:cstheme="minorHAnsi"/>
          <w:lang w:val="en-US" w:eastAsia="en-GB"/>
        </w:rPr>
        <w:t>[60]</w:t>
      </w:r>
      <w:r w:rsidR="000E14F4" w:rsidRPr="00750AB3">
        <w:rPr>
          <w:rFonts w:eastAsia="Times New Roman" w:cstheme="minorHAnsi"/>
          <w:lang w:val="en-US" w:eastAsia="en-GB"/>
        </w:rPr>
        <w:t xml:space="preserve"> </w:t>
      </w:r>
      <w:r w:rsidR="000E14F4" w:rsidRPr="00750AB3">
        <w:rPr>
          <w:rFonts w:cstheme="minorHAnsi"/>
          <w:shd w:val="clear" w:color="auto" w:fill="FFFFFF"/>
        </w:rPr>
        <w:t xml:space="preserve">Rosenbloom BN, Katz J, Chin KY, Haslam L, Canzian S, Kreder HJ, McCartney CJ. Predicting pain outcomes after traumatic musculoskeletal injury. </w:t>
      </w:r>
      <w:r w:rsidR="00BF6A1C" w:rsidRPr="00750AB3">
        <w:rPr>
          <w:rStyle w:val="normaltextrun"/>
          <w:rFonts w:cstheme="minorHAnsi"/>
          <w:lang w:val="da-DK"/>
        </w:rPr>
        <w:t xml:space="preserve">PAIN </w:t>
      </w:r>
      <w:r w:rsidR="000E14F4" w:rsidRPr="00750AB3">
        <w:rPr>
          <w:rFonts w:cstheme="minorHAnsi"/>
          <w:shd w:val="clear" w:color="auto" w:fill="FFFFFF"/>
        </w:rPr>
        <w:t>2016; 157(8):1733-43.</w:t>
      </w:r>
    </w:p>
    <w:p w14:paraId="6C663C49" w14:textId="308D395E" w:rsidR="00293B67" w:rsidRPr="00750AB3" w:rsidRDefault="00705EFB" w:rsidP="0091360E">
      <w:pPr>
        <w:spacing w:line="240" w:lineRule="auto"/>
        <w:jc w:val="both"/>
        <w:rPr>
          <w:rFonts w:cstheme="minorHAnsi"/>
          <w:shd w:val="clear" w:color="auto" w:fill="FFFFFF"/>
        </w:rPr>
      </w:pPr>
      <w:r>
        <w:rPr>
          <w:rFonts w:cstheme="minorHAnsi"/>
          <w:shd w:val="clear" w:color="auto" w:fill="FFFFFF"/>
        </w:rPr>
        <w:t>[61]</w:t>
      </w:r>
      <w:r w:rsidR="00293B67" w:rsidRPr="00750AB3">
        <w:rPr>
          <w:rFonts w:cstheme="minorHAnsi"/>
          <w:shd w:val="clear" w:color="auto" w:fill="FFFFFF"/>
        </w:rPr>
        <w:t xml:space="preserve"> Rhudy JL, Martin SL, Terry EL, France CR, Bartley EJ, DelVentura JL, Kerr KL. Pain catastrophizing is related to temporal summation of pain but not temporal summation of the nociceptive flexion reflex. </w:t>
      </w:r>
      <w:r w:rsidR="00BF6A1C">
        <w:rPr>
          <w:rStyle w:val="normaltextrun"/>
          <w:rFonts w:cstheme="minorHAnsi"/>
          <w:lang w:val="da-DK"/>
        </w:rPr>
        <w:t>PAIN</w:t>
      </w:r>
      <w:r w:rsidR="00293B67" w:rsidRPr="00750AB3">
        <w:rPr>
          <w:rFonts w:cstheme="minorHAnsi"/>
          <w:shd w:val="clear" w:color="auto" w:fill="FFFFFF"/>
        </w:rPr>
        <w:t xml:space="preserve"> 2011;152(4):794-801.</w:t>
      </w:r>
    </w:p>
    <w:p w14:paraId="65E8A03C" w14:textId="34DE9E78" w:rsidR="00A976AD" w:rsidRDefault="00137217" w:rsidP="0091360E">
      <w:pPr>
        <w:spacing w:line="240" w:lineRule="auto"/>
        <w:jc w:val="both"/>
        <w:rPr>
          <w:rFonts w:cstheme="minorHAnsi"/>
          <w:shd w:val="clear" w:color="auto" w:fill="FFFFFF"/>
        </w:rPr>
      </w:pPr>
      <w:r>
        <w:rPr>
          <w:rFonts w:cstheme="minorHAnsi"/>
          <w:shd w:val="clear" w:color="auto" w:fill="FFFFFF"/>
        </w:rPr>
        <w:t xml:space="preserve">[62] </w:t>
      </w:r>
      <w:r w:rsidR="00A976AD" w:rsidRPr="00750AB3">
        <w:rPr>
          <w:rFonts w:cstheme="minorHAnsi"/>
          <w:shd w:val="clear" w:color="auto" w:fill="FFFFFF"/>
        </w:rPr>
        <w:t>Saffer J, Nolte L, Duffy S. Living on a knife edge: The responses of people with physical health conditions to changes in disability benefits. </w:t>
      </w:r>
      <w:r w:rsidR="00A976AD" w:rsidRPr="00750AB3">
        <w:rPr>
          <w:rFonts w:cstheme="minorHAnsi"/>
          <w:iCs/>
          <w:shd w:val="clear" w:color="auto" w:fill="FFFFFF"/>
        </w:rPr>
        <w:t>Disabil Soc 2018; 33</w:t>
      </w:r>
      <w:r w:rsidR="00A976AD" w:rsidRPr="00750AB3">
        <w:rPr>
          <w:rFonts w:cstheme="minorHAnsi"/>
          <w:shd w:val="clear" w:color="auto" w:fill="FFFFFF"/>
        </w:rPr>
        <w:t>(10): 1555-1578.</w:t>
      </w:r>
    </w:p>
    <w:p w14:paraId="47C6D001" w14:textId="78F4E52D" w:rsidR="00490678" w:rsidRPr="00E85358" w:rsidRDefault="00137217" w:rsidP="00490678">
      <w:pPr>
        <w:pStyle w:val="paragraph"/>
        <w:spacing w:before="0" w:beforeAutospacing="0" w:after="0" w:afterAutospacing="0"/>
        <w:jc w:val="both"/>
        <w:textAlignment w:val="baseline"/>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 xml:space="preserve">[63] </w:t>
      </w:r>
      <w:r w:rsidR="00490678" w:rsidRPr="00E85358">
        <w:rPr>
          <w:rFonts w:asciiTheme="minorHAnsi" w:hAnsiTheme="minorHAnsi" w:cstheme="minorHAnsi"/>
          <w:sz w:val="22"/>
          <w:szCs w:val="22"/>
          <w:shd w:val="clear" w:color="auto" w:fill="FFFFFF"/>
        </w:rPr>
        <w:t>SALUS and NHS Scotland. Case management services: the current picture. Annual report April 2007-March 2008, 2008. Available at: Retrieved July 6, 2021, from</w:t>
      </w:r>
    </w:p>
    <w:p w14:paraId="4AED9BFF" w14:textId="3758745B" w:rsidR="00490678" w:rsidRDefault="00490678" w:rsidP="0091360E">
      <w:pPr>
        <w:spacing w:line="240" w:lineRule="auto"/>
        <w:jc w:val="both"/>
        <w:rPr>
          <w:rFonts w:cstheme="minorHAnsi"/>
          <w:shd w:val="clear" w:color="auto" w:fill="FFFFFF"/>
        </w:rPr>
      </w:pPr>
    </w:p>
    <w:p w14:paraId="1DF1E841" w14:textId="0721527C" w:rsidR="00490678" w:rsidRPr="00E85358" w:rsidRDefault="00137217" w:rsidP="00490678">
      <w:pPr>
        <w:pStyle w:val="m-1486370488443011814p1"/>
        <w:shd w:val="clear" w:color="auto" w:fill="FFFFFF"/>
        <w:spacing w:before="0" w:beforeAutospacing="0" w:after="0" w:afterAutospacing="0"/>
        <w:jc w:val="both"/>
        <w:rPr>
          <w:rFonts w:asciiTheme="minorHAnsi" w:hAnsiTheme="minorHAnsi" w:cstheme="minorHAnsi"/>
          <w:sz w:val="22"/>
          <w:szCs w:val="22"/>
        </w:rPr>
      </w:pPr>
      <w:r>
        <w:rPr>
          <w:rFonts w:asciiTheme="minorHAnsi" w:hAnsiTheme="minorHAnsi" w:cstheme="minorHAnsi"/>
          <w:sz w:val="22"/>
          <w:szCs w:val="22"/>
        </w:rPr>
        <w:t xml:space="preserve">[64] </w:t>
      </w:r>
      <w:r w:rsidR="00490678" w:rsidRPr="00E85358">
        <w:rPr>
          <w:rFonts w:asciiTheme="minorHAnsi" w:hAnsiTheme="minorHAnsi" w:cstheme="minorHAnsi"/>
          <w:sz w:val="22"/>
          <w:szCs w:val="22"/>
        </w:rPr>
        <w:t>Savych B, Neumark D, Lea R. Do opioids help injured workers recover and get back to work? The impact of opioid prescriptions on duration of temporary disability.</w:t>
      </w:r>
      <w:r w:rsidR="00490678" w:rsidRPr="00E85358">
        <w:rPr>
          <w:rStyle w:val="m-1486370488443011814apple-converted-space"/>
          <w:rFonts w:asciiTheme="minorHAnsi" w:hAnsiTheme="minorHAnsi" w:cstheme="minorHAnsi"/>
          <w:sz w:val="22"/>
          <w:szCs w:val="22"/>
        </w:rPr>
        <w:t xml:space="preserve"> </w:t>
      </w:r>
      <w:r w:rsidR="00490678" w:rsidRPr="00E85358">
        <w:rPr>
          <w:rFonts w:asciiTheme="minorHAnsi" w:hAnsiTheme="minorHAnsi" w:cstheme="minorHAnsi"/>
          <w:sz w:val="22"/>
          <w:szCs w:val="22"/>
        </w:rPr>
        <w:t xml:space="preserve">Ind. Relat. 2019; 58: 549 – 590. </w:t>
      </w:r>
    </w:p>
    <w:p w14:paraId="57748AB8" w14:textId="77777777" w:rsidR="00490678" w:rsidRPr="00750AB3" w:rsidRDefault="00490678" w:rsidP="0091360E">
      <w:pPr>
        <w:spacing w:line="240" w:lineRule="auto"/>
        <w:jc w:val="both"/>
        <w:rPr>
          <w:rFonts w:cstheme="minorHAnsi"/>
          <w:shd w:val="clear" w:color="auto" w:fill="FFFFFF"/>
        </w:rPr>
      </w:pPr>
    </w:p>
    <w:p w14:paraId="41B02EF7" w14:textId="5B723AD5" w:rsidR="00A976AD" w:rsidRPr="00750AB3" w:rsidRDefault="00705EFB" w:rsidP="0091360E">
      <w:pPr>
        <w:spacing w:line="240" w:lineRule="auto"/>
        <w:jc w:val="both"/>
        <w:rPr>
          <w:rStyle w:val="eop"/>
          <w:rFonts w:cstheme="minorHAnsi"/>
        </w:rPr>
      </w:pPr>
      <w:r>
        <w:rPr>
          <w:rFonts w:cstheme="minorHAnsi"/>
          <w:shd w:val="clear" w:color="auto" w:fill="FFFFFF"/>
        </w:rPr>
        <w:t>[65]</w:t>
      </w:r>
      <w:r w:rsidR="00A976AD" w:rsidRPr="00750AB3">
        <w:rPr>
          <w:rFonts w:cstheme="minorHAnsi"/>
          <w:shd w:val="clear" w:color="auto" w:fill="FFFFFF"/>
        </w:rPr>
        <w:t xml:space="preserve"> </w:t>
      </w:r>
      <w:r w:rsidR="00A976AD" w:rsidRPr="00750AB3">
        <w:rPr>
          <w:rStyle w:val="normaltextrun"/>
          <w:rFonts w:cstheme="minorHAnsi"/>
          <w:lang w:val="en-US"/>
        </w:rPr>
        <w:t>Schofield D, Kelly S, Shrestha R, Callander E, Passey M, Percival R. The impact of back problems on retirement wealth. PAIN 2012;153:203–210.</w:t>
      </w:r>
      <w:r w:rsidR="00A976AD" w:rsidRPr="00750AB3">
        <w:rPr>
          <w:rStyle w:val="eop"/>
          <w:rFonts w:cstheme="minorHAnsi"/>
        </w:rPr>
        <w:t> </w:t>
      </w:r>
    </w:p>
    <w:p w14:paraId="15EB955F" w14:textId="4847E408" w:rsidR="00A976AD" w:rsidRPr="00750AB3" w:rsidRDefault="00705EFB" w:rsidP="0091360E">
      <w:pPr>
        <w:pStyle w:val="paragraph"/>
        <w:spacing w:before="0" w:beforeAutospacing="0" w:after="0" w:afterAutospacing="0"/>
        <w:jc w:val="both"/>
        <w:textAlignment w:val="baseline"/>
        <w:rPr>
          <w:rStyle w:val="eop"/>
          <w:rFonts w:asciiTheme="minorHAnsi" w:hAnsiTheme="minorHAnsi" w:cstheme="minorHAnsi"/>
          <w:sz w:val="22"/>
          <w:szCs w:val="22"/>
        </w:rPr>
      </w:pPr>
      <w:r>
        <w:rPr>
          <w:rStyle w:val="normaltextrun"/>
          <w:rFonts w:asciiTheme="minorHAnsi" w:hAnsiTheme="minorHAnsi" w:cstheme="minorHAnsi"/>
          <w:sz w:val="22"/>
          <w:szCs w:val="22"/>
          <w:lang w:val="en-US"/>
        </w:rPr>
        <w:t>[66]</w:t>
      </w:r>
      <w:r w:rsidR="00A976AD" w:rsidRPr="00750AB3">
        <w:rPr>
          <w:rStyle w:val="normaltextrun"/>
          <w:rFonts w:asciiTheme="minorHAnsi" w:hAnsiTheme="minorHAnsi" w:cstheme="minorHAnsi"/>
          <w:sz w:val="22"/>
          <w:szCs w:val="22"/>
          <w:lang w:val="en-US"/>
        </w:rPr>
        <w:t xml:space="preserve"> Schofield DJ, Shrestha RN, Passey ME, Earnest A, Fletcher SL. Chronic disease and labour force participation among older Australians. Med J Aust 2008;189:447–450.</w:t>
      </w:r>
      <w:r w:rsidR="00A976AD" w:rsidRPr="00750AB3">
        <w:rPr>
          <w:rStyle w:val="eop"/>
          <w:rFonts w:asciiTheme="minorHAnsi" w:hAnsiTheme="minorHAnsi" w:cstheme="minorHAnsi"/>
          <w:sz w:val="22"/>
          <w:szCs w:val="22"/>
        </w:rPr>
        <w:t> </w:t>
      </w:r>
    </w:p>
    <w:p w14:paraId="374BF368" w14:textId="35B865F5" w:rsidR="00A976AD" w:rsidRPr="00750AB3" w:rsidRDefault="00A976AD" w:rsidP="0091360E">
      <w:pPr>
        <w:pStyle w:val="paragraph"/>
        <w:spacing w:before="0" w:beforeAutospacing="0" w:after="0" w:afterAutospacing="0"/>
        <w:jc w:val="both"/>
        <w:textAlignment w:val="baseline"/>
        <w:rPr>
          <w:rStyle w:val="eop"/>
          <w:rFonts w:asciiTheme="minorHAnsi" w:hAnsiTheme="minorHAnsi" w:cstheme="minorHAnsi"/>
          <w:sz w:val="22"/>
          <w:szCs w:val="22"/>
        </w:rPr>
      </w:pPr>
    </w:p>
    <w:p w14:paraId="7E2C4716" w14:textId="0903DAE8" w:rsidR="00A976AD" w:rsidRPr="00750AB3" w:rsidRDefault="00705EFB" w:rsidP="0091360E">
      <w:pPr>
        <w:pStyle w:val="paragraph"/>
        <w:spacing w:before="0" w:beforeAutospacing="0" w:after="0" w:afterAutospacing="0"/>
        <w:jc w:val="both"/>
        <w:textAlignment w:val="baseline"/>
        <w:rPr>
          <w:rFonts w:asciiTheme="minorHAnsi" w:hAnsiTheme="minorHAnsi" w:cstheme="minorHAnsi"/>
          <w:sz w:val="22"/>
          <w:szCs w:val="22"/>
          <w:shd w:val="clear" w:color="auto" w:fill="FFFFFF"/>
        </w:rPr>
      </w:pPr>
      <w:r>
        <w:rPr>
          <w:rStyle w:val="eop"/>
          <w:rFonts w:asciiTheme="minorHAnsi" w:hAnsiTheme="minorHAnsi" w:cstheme="minorHAnsi"/>
          <w:sz w:val="22"/>
          <w:szCs w:val="22"/>
        </w:rPr>
        <w:t>[67]</w:t>
      </w:r>
      <w:r w:rsidR="00A976AD" w:rsidRPr="00750AB3">
        <w:rPr>
          <w:rStyle w:val="eop"/>
          <w:rFonts w:asciiTheme="minorHAnsi" w:hAnsiTheme="minorHAnsi" w:cstheme="minorHAnsi"/>
          <w:sz w:val="22"/>
          <w:szCs w:val="22"/>
        </w:rPr>
        <w:t xml:space="preserve"> </w:t>
      </w:r>
      <w:r w:rsidR="00A976AD" w:rsidRPr="00750AB3">
        <w:rPr>
          <w:rFonts w:asciiTheme="minorHAnsi" w:hAnsiTheme="minorHAnsi" w:cstheme="minorHAnsi"/>
          <w:sz w:val="22"/>
          <w:szCs w:val="22"/>
          <w:shd w:val="clear" w:color="auto" w:fill="FFFFFF"/>
        </w:rPr>
        <w:t>Schutze</w:t>
      </w:r>
      <w:r w:rsidR="00A976AD" w:rsidRPr="00750AB3">
        <w:rPr>
          <w:rFonts w:asciiTheme="minorHAnsi" w:hAnsiTheme="minorHAnsi" w:cstheme="minorHAnsi"/>
          <w:b/>
          <w:sz w:val="22"/>
          <w:szCs w:val="22"/>
          <w:shd w:val="clear" w:color="auto" w:fill="FFFFFF"/>
        </w:rPr>
        <w:t xml:space="preserve"> </w:t>
      </w:r>
      <w:r w:rsidR="00A976AD" w:rsidRPr="00750AB3">
        <w:rPr>
          <w:rFonts w:asciiTheme="minorHAnsi" w:hAnsiTheme="minorHAnsi" w:cstheme="minorHAnsi"/>
          <w:sz w:val="22"/>
          <w:szCs w:val="22"/>
          <w:shd w:val="clear" w:color="auto" w:fill="FFFFFF"/>
        </w:rPr>
        <w:t>R, Rees C, Smith A, Slater H, Campbell JM, O'Sullivan P. How can we best reduce pain catastrophizing in adults with chronic noncancer pain? A systematic review and meta-analysis. J Pain 2018;19(3):233-56.</w:t>
      </w:r>
    </w:p>
    <w:p w14:paraId="1734F758" w14:textId="7F8BAA76" w:rsidR="00A976AD" w:rsidRPr="00750AB3" w:rsidRDefault="00A976AD" w:rsidP="0091360E">
      <w:pPr>
        <w:pStyle w:val="paragraph"/>
        <w:spacing w:before="0" w:beforeAutospacing="0" w:after="0" w:afterAutospacing="0"/>
        <w:jc w:val="both"/>
        <w:textAlignment w:val="baseline"/>
        <w:rPr>
          <w:rFonts w:asciiTheme="minorHAnsi" w:hAnsiTheme="minorHAnsi" w:cstheme="minorHAnsi"/>
          <w:sz w:val="22"/>
          <w:szCs w:val="22"/>
          <w:shd w:val="clear" w:color="auto" w:fill="FFFFFF"/>
        </w:rPr>
      </w:pPr>
    </w:p>
    <w:p w14:paraId="2C177CAF" w14:textId="73F19B25" w:rsidR="00A976AD" w:rsidRPr="00750AB3" w:rsidRDefault="00705EFB" w:rsidP="0091360E">
      <w:pPr>
        <w:pStyle w:val="paragraph"/>
        <w:spacing w:before="0" w:beforeAutospacing="0" w:after="0" w:afterAutospacing="0"/>
        <w:jc w:val="both"/>
        <w:textAlignment w:val="baseline"/>
        <w:rPr>
          <w:rFonts w:asciiTheme="minorHAnsi" w:hAnsiTheme="minorHAnsi" w:cstheme="minorHAnsi"/>
          <w:noProof/>
          <w:sz w:val="22"/>
          <w:szCs w:val="22"/>
        </w:rPr>
      </w:pPr>
      <w:r>
        <w:rPr>
          <w:rFonts w:asciiTheme="minorHAnsi" w:hAnsiTheme="minorHAnsi" w:cstheme="minorHAnsi"/>
          <w:sz w:val="22"/>
          <w:szCs w:val="22"/>
          <w:shd w:val="clear" w:color="auto" w:fill="FFFFFF"/>
        </w:rPr>
        <w:t>[68]</w:t>
      </w:r>
      <w:r w:rsidR="00A976AD" w:rsidRPr="00750AB3">
        <w:rPr>
          <w:rFonts w:asciiTheme="minorHAnsi" w:hAnsiTheme="minorHAnsi" w:cstheme="minorHAnsi"/>
          <w:sz w:val="22"/>
          <w:szCs w:val="22"/>
          <w:shd w:val="clear" w:color="auto" w:fill="FFFFFF"/>
        </w:rPr>
        <w:t xml:space="preserve"> </w:t>
      </w:r>
      <w:r w:rsidR="00A976AD" w:rsidRPr="00750AB3">
        <w:rPr>
          <w:rFonts w:asciiTheme="minorHAnsi" w:hAnsiTheme="minorHAnsi" w:cstheme="minorHAnsi"/>
          <w:noProof/>
          <w:sz w:val="22"/>
          <w:szCs w:val="22"/>
        </w:rPr>
        <w:t>Scott W, Wideman TH, Sullivan MJ. Clinically meaningful scores on pain catastrophizing before and after multidisciplinary rehabilitation: a prospective study of individuals with subacute pain after whiplash injury. Clin J Pain 2014;30(3):183-90.</w:t>
      </w:r>
    </w:p>
    <w:p w14:paraId="23CA5D65" w14:textId="324353EC" w:rsidR="00A976AD" w:rsidRPr="00750AB3" w:rsidRDefault="00A976AD" w:rsidP="0091360E">
      <w:pPr>
        <w:pStyle w:val="paragraph"/>
        <w:spacing w:before="0" w:beforeAutospacing="0" w:after="0" w:afterAutospacing="0"/>
        <w:jc w:val="both"/>
        <w:textAlignment w:val="baseline"/>
        <w:rPr>
          <w:rFonts w:asciiTheme="minorHAnsi" w:hAnsiTheme="minorHAnsi" w:cstheme="minorHAnsi"/>
          <w:noProof/>
          <w:sz w:val="22"/>
          <w:szCs w:val="22"/>
        </w:rPr>
      </w:pPr>
    </w:p>
    <w:p w14:paraId="5BF752CF" w14:textId="16D9C25F" w:rsidR="00A75DC1" w:rsidRDefault="00705EFB" w:rsidP="00A75DC1">
      <w:pPr>
        <w:pStyle w:val="paragraph"/>
        <w:spacing w:before="0" w:beforeAutospacing="0" w:after="0" w:afterAutospacing="0"/>
        <w:jc w:val="both"/>
        <w:textAlignment w:val="baseline"/>
        <w:rPr>
          <w:rFonts w:asciiTheme="minorHAnsi" w:hAnsiTheme="minorHAnsi" w:cstheme="minorHAnsi"/>
          <w:sz w:val="22"/>
          <w:szCs w:val="22"/>
          <w:shd w:val="clear" w:color="auto" w:fill="FFFFFF"/>
        </w:rPr>
      </w:pPr>
      <w:r>
        <w:rPr>
          <w:rFonts w:asciiTheme="minorHAnsi" w:hAnsiTheme="minorHAnsi" w:cstheme="minorHAnsi"/>
          <w:noProof/>
          <w:sz w:val="22"/>
          <w:szCs w:val="22"/>
        </w:rPr>
        <w:t>[69]</w:t>
      </w:r>
      <w:r w:rsidR="00A976AD" w:rsidRPr="00750AB3">
        <w:rPr>
          <w:rFonts w:asciiTheme="minorHAnsi" w:hAnsiTheme="minorHAnsi" w:cstheme="minorHAnsi"/>
          <w:noProof/>
          <w:sz w:val="22"/>
          <w:szCs w:val="22"/>
        </w:rPr>
        <w:t xml:space="preserve"> </w:t>
      </w:r>
      <w:r w:rsidR="00601ADC" w:rsidRPr="00750AB3">
        <w:rPr>
          <w:rStyle w:val="normaltextrun"/>
          <w:rFonts w:asciiTheme="minorHAnsi" w:hAnsiTheme="minorHAnsi" w:cstheme="minorHAnsi"/>
          <w:sz w:val="22"/>
          <w:szCs w:val="22"/>
          <w:lang w:val="en-US"/>
        </w:rPr>
        <w:t>Shaw WS, van der Windt DA, Main CJ, Loisel P, Linton SJ. Early patient screening and intervention to address individual-level occupational  factors (“blue flags”) in back disability. J Occup Rehabil 2009;19:64–80.</w:t>
      </w:r>
      <w:r w:rsidR="00601ADC" w:rsidRPr="00750AB3">
        <w:rPr>
          <w:rStyle w:val="eop"/>
          <w:rFonts w:asciiTheme="minorHAnsi" w:hAnsiTheme="minorHAnsi" w:cstheme="minorHAnsi"/>
          <w:sz w:val="22"/>
          <w:szCs w:val="22"/>
        </w:rPr>
        <w:t> </w:t>
      </w:r>
    </w:p>
    <w:p w14:paraId="4581B9BD" w14:textId="6A262D96" w:rsidR="00A75DC1" w:rsidRDefault="00A75DC1" w:rsidP="00A75DC1">
      <w:pPr>
        <w:pStyle w:val="paragraph"/>
        <w:spacing w:before="0" w:beforeAutospacing="0" w:after="0" w:afterAutospacing="0"/>
        <w:jc w:val="both"/>
        <w:textAlignment w:val="baseline"/>
        <w:rPr>
          <w:rFonts w:asciiTheme="minorHAnsi" w:hAnsiTheme="minorHAnsi" w:cstheme="minorHAnsi"/>
          <w:sz w:val="22"/>
          <w:szCs w:val="22"/>
          <w:shd w:val="clear" w:color="auto" w:fill="FFFFFF"/>
        </w:rPr>
      </w:pPr>
    </w:p>
    <w:p w14:paraId="573FD4C5" w14:textId="77777777" w:rsidR="00A75DC1" w:rsidRPr="0079251B" w:rsidRDefault="00A75DC1" w:rsidP="00A75DC1">
      <w:pPr>
        <w:pStyle w:val="paragraph"/>
        <w:spacing w:before="0" w:beforeAutospacing="0" w:after="0" w:afterAutospacing="0"/>
        <w:jc w:val="both"/>
        <w:textAlignment w:val="baseline"/>
        <w:rPr>
          <w:rFonts w:ascii="Arial" w:hAnsi="Arial" w:cs="Arial"/>
          <w:sz w:val="22"/>
          <w:szCs w:val="22"/>
          <w:shd w:val="clear" w:color="auto" w:fill="FFFFFF"/>
        </w:rPr>
      </w:pPr>
      <w:r w:rsidRPr="0079251B">
        <w:rPr>
          <w:rFonts w:ascii="Arial" w:hAnsi="Arial" w:cs="Arial"/>
          <w:sz w:val="22"/>
          <w:szCs w:val="22"/>
          <w:shd w:val="clear" w:color="auto" w:fill="FFFFFF"/>
        </w:rPr>
        <w:t>[70] Smedley J, Harris EC, Cox V, Ntani G, Coggon D. Evaluation of a case management service to reduce sickness absence. </w:t>
      </w:r>
      <w:r w:rsidRPr="0079251B">
        <w:rPr>
          <w:rFonts w:ascii="Arial" w:hAnsi="Arial" w:cs="Arial"/>
          <w:iCs/>
          <w:sz w:val="22"/>
          <w:szCs w:val="22"/>
          <w:shd w:val="clear" w:color="auto" w:fill="FFFFFF"/>
        </w:rPr>
        <w:t>Occup Med 2013; 63</w:t>
      </w:r>
      <w:r w:rsidRPr="0079251B">
        <w:rPr>
          <w:rFonts w:ascii="Arial" w:hAnsi="Arial" w:cs="Arial"/>
          <w:sz w:val="22"/>
          <w:szCs w:val="22"/>
          <w:shd w:val="clear" w:color="auto" w:fill="FFFFFF"/>
        </w:rPr>
        <w:t>(2): 89-95.</w:t>
      </w:r>
    </w:p>
    <w:p w14:paraId="55AFB100" w14:textId="77777777" w:rsidR="00A75DC1" w:rsidRPr="00A96497" w:rsidRDefault="00A75DC1" w:rsidP="00A75DC1">
      <w:pPr>
        <w:pStyle w:val="paragraph"/>
        <w:spacing w:before="0" w:beforeAutospacing="0" w:after="0" w:afterAutospacing="0"/>
        <w:jc w:val="both"/>
        <w:textAlignment w:val="baseline"/>
        <w:rPr>
          <w:rStyle w:val="eop"/>
          <w:rFonts w:asciiTheme="minorHAnsi" w:hAnsiTheme="minorHAnsi" w:cstheme="minorHAnsi"/>
          <w:sz w:val="22"/>
          <w:szCs w:val="22"/>
        </w:rPr>
      </w:pPr>
    </w:p>
    <w:p w14:paraId="09FF3FFD" w14:textId="664CE4B8" w:rsidR="00A75DC1" w:rsidRPr="0079251B" w:rsidRDefault="00A75DC1" w:rsidP="00A75DC1">
      <w:pPr>
        <w:pStyle w:val="paragraph"/>
        <w:spacing w:before="0" w:beforeAutospacing="0" w:after="0" w:afterAutospacing="0"/>
        <w:jc w:val="both"/>
        <w:textAlignment w:val="baseline"/>
        <w:rPr>
          <w:rFonts w:ascii="Arial" w:hAnsi="Arial" w:cs="Arial"/>
          <w:sz w:val="22"/>
          <w:szCs w:val="22"/>
        </w:rPr>
      </w:pPr>
      <w:r>
        <w:rPr>
          <w:rStyle w:val="eop"/>
          <w:rFonts w:ascii="Arial" w:hAnsi="Arial" w:cs="Arial"/>
          <w:sz w:val="22"/>
          <w:szCs w:val="22"/>
        </w:rPr>
        <w:t xml:space="preserve">[71] </w:t>
      </w:r>
      <w:r w:rsidRPr="0079251B">
        <w:rPr>
          <w:rFonts w:ascii="Arial" w:hAnsi="Arial" w:cs="Arial"/>
          <w:sz w:val="22"/>
          <w:szCs w:val="22"/>
        </w:rPr>
        <w:t>Smedley J, Trevelyan F, Inskip H, Buckle P, Cooper C, Coggon D. Impact of ergonomic intervention on back pain among nurses. Scand J Work Environ Health 2003;29(2):117–123.</w:t>
      </w:r>
    </w:p>
    <w:p w14:paraId="204690DF" w14:textId="77777777" w:rsidR="00A75DC1" w:rsidRPr="0079251B" w:rsidRDefault="00A75DC1" w:rsidP="00A75DC1">
      <w:pPr>
        <w:pStyle w:val="paragraph"/>
        <w:spacing w:before="0" w:beforeAutospacing="0" w:after="0" w:afterAutospacing="0"/>
        <w:jc w:val="both"/>
        <w:textAlignment w:val="baseline"/>
        <w:rPr>
          <w:rFonts w:ascii="Arial" w:hAnsi="Arial" w:cs="Arial"/>
          <w:sz w:val="22"/>
          <w:szCs w:val="22"/>
        </w:rPr>
      </w:pPr>
    </w:p>
    <w:p w14:paraId="4E308B2F" w14:textId="2E03EF0E" w:rsidR="00A75DC1" w:rsidRPr="0079251B" w:rsidRDefault="00A75DC1" w:rsidP="00A75DC1">
      <w:pPr>
        <w:pStyle w:val="paragraph"/>
        <w:spacing w:before="0" w:beforeAutospacing="0" w:after="0" w:afterAutospacing="0"/>
        <w:jc w:val="both"/>
        <w:textAlignment w:val="baseline"/>
        <w:rPr>
          <w:rFonts w:ascii="Arial" w:hAnsi="Arial" w:cs="Arial"/>
          <w:noProof/>
          <w:sz w:val="22"/>
          <w:szCs w:val="22"/>
        </w:rPr>
      </w:pPr>
      <w:r>
        <w:rPr>
          <w:rFonts w:ascii="Arial" w:hAnsi="Arial" w:cs="Arial"/>
          <w:sz w:val="22"/>
          <w:szCs w:val="22"/>
        </w:rPr>
        <w:t xml:space="preserve">[72] </w:t>
      </w:r>
      <w:r w:rsidRPr="0079251B">
        <w:rPr>
          <w:rFonts w:ascii="Arial" w:hAnsi="Arial" w:cs="Arial"/>
          <w:noProof/>
          <w:sz w:val="22"/>
          <w:szCs w:val="22"/>
        </w:rPr>
        <w:t>Smeets RJ, Vlaeyen JW, Kester AD, Knottnerus JA. Reduction of pain catastrophizing mediates the outcome of both physical and cognitive-behavioral treatment in chronic low back pain. J Pain. 2006;7(4):261-71.</w:t>
      </w:r>
    </w:p>
    <w:p w14:paraId="22E40882" w14:textId="4CAC5D7B" w:rsidR="008616C6" w:rsidRPr="00750AB3" w:rsidRDefault="008616C6" w:rsidP="0091360E">
      <w:pPr>
        <w:pStyle w:val="paragraph"/>
        <w:spacing w:before="0" w:beforeAutospacing="0" w:after="0" w:afterAutospacing="0"/>
        <w:jc w:val="both"/>
        <w:textAlignment w:val="baseline"/>
        <w:rPr>
          <w:rFonts w:asciiTheme="minorHAnsi" w:hAnsiTheme="minorHAnsi" w:cstheme="minorHAnsi"/>
          <w:noProof/>
          <w:sz w:val="22"/>
          <w:szCs w:val="22"/>
        </w:rPr>
      </w:pPr>
    </w:p>
    <w:p w14:paraId="2146B55C" w14:textId="67F6B570" w:rsidR="008616C6" w:rsidRPr="00750AB3" w:rsidRDefault="00705EFB" w:rsidP="0091360E">
      <w:pPr>
        <w:pStyle w:val="paragraph"/>
        <w:spacing w:before="0" w:beforeAutospacing="0" w:after="0" w:afterAutospacing="0"/>
        <w:jc w:val="both"/>
        <w:textAlignment w:val="baseline"/>
        <w:rPr>
          <w:rFonts w:asciiTheme="minorHAnsi" w:hAnsiTheme="minorHAnsi" w:cstheme="minorHAnsi"/>
          <w:noProof/>
          <w:sz w:val="22"/>
          <w:szCs w:val="22"/>
        </w:rPr>
      </w:pPr>
      <w:r>
        <w:rPr>
          <w:rFonts w:asciiTheme="minorHAnsi" w:hAnsiTheme="minorHAnsi" w:cstheme="minorHAnsi"/>
          <w:noProof/>
          <w:sz w:val="22"/>
          <w:szCs w:val="22"/>
        </w:rPr>
        <w:t>[73]</w:t>
      </w:r>
      <w:r w:rsidR="008616C6" w:rsidRPr="00750AB3">
        <w:rPr>
          <w:rFonts w:asciiTheme="minorHAnsi" w:hAnsiTheme="minorHAnsi" w:cstheme="minorHAnsi"/>
          <w:noProof/>
          <w:sz w:val="22"/>
          <w:szCs w:val="22"/>
        </w:rPr>
        <w:t xml:space="preserve"> </w:t>
      </w:r>
      <w:r w:rsidR="00CF5B7D" w:rsidRPr="00750AB3">
        <w:rPr>
          <w:rFonts w:asciiTheme="minorHAnsi" w:hAnsiTheme="minorHAnsi" w:cstheme="minorHAnsi"/>
          <w:noProof/>
          <w:sz w:val="22"/>
          <w:szCs w:val="22"/>
        </w:rPr>
        <w:t>Spinhoven P, Ter Kuile M, Kole-Snijders AM, Hutten Mansfeld M, Den Ouden DJ, Vlaeyen JW. Catastrophizing and internal pain control as mediators of outcome in the multidisciplinary treatment of chronic low back pain. Eur J Pain 2004;8(3):211-9.</w:t>
      </w:r>
    </w:p>
    <w:p w14:paraId="62B7629B" w14:textId="5419DA89" w:rsidR="006B3D74" w:rsidRPr="00750AB3" w:rsidRDefault="006B3D74" w:rsidP="0091360E">
      <w:pPr>
        <w:pStyle w:val="paragraph"/>
        <w:spacing w:before="0" w:beforeAutospacing="0" w:after="0" w:afterAutospacing="0"/>
        <w:jc w:val="both"/>
        <w:textAlignment w:val="baseline"/>
        <w:rPr>
          <w:rFonts w:asciiTheme="minorHAnsi" w:hAnsiTheme="minorHAnsi" w:cstheme="minorHAnsi"/>
          <w:noProof/>
          <w:sz w:val="22"/>
          <w:szCs w:val="22"/>
        </w:rPr>
      </w:pPr>
    </w:p>
    <w:p w14:paraId="4671A3ED" w14:textId="7E9B8338" w:rsidR="00FA509D" w:rsidRPr="00750AB3" w:rsidRDefault="00AF4BB9" w:rsidP="0091360E">
      <w:pPr>
        <w:pStyle w:val="CommentText"/>
        <w:jc w:val="both"/>
        <w:rPr>
          <w:rFonts w:cstheme="minorHAnsi"/>
          <w:sz w:val="22"/>
          <w:szCs w:val="22"/>
          <w:shd w:val="clear" w:color="auto" w:fill="FFFFFF"/>
        </w:rPr>
      </w:pPr>
      <w:r>
        <w:rPr>
          <w:rFonts w:cstheme="minorHAnsi"/>
          <w:noProof/>
          <w:sz w:val="22"/>
          <w:szCs w:val="22"/>
        </w:rPr>
        <w:t>[7</w:t>
      </w:r>
      <w:r w:rsidR="00705EFB">
        <w:rPr>
          <w:rFonts w:cstheme="minorHAnsi"/>
          <w:noProof/>
          <w:sz w:val="22"/>
          <w:szCs w:val="22"/>
        </w:rPr>
        <w:t>4]</w:t>
      </w:r>
      <w:r w:rsidR="006B3D74" w:rsidRPr="00750AB3">
        <w:rPr>
          <w:rFonts w:cstheme="minorHAnsi"/>
          <w:noProof/>
          <w:sz w:val="22"/>
          <w:szCs w:val="22"/>
        </w:rPr>
        <w:t xml:space="preserve"> </w:t>
      </w:r>
      <w:r w:rsidR="00FA509D" w:rsidRPr="00750AB3">
        <w:rPr>
          <w:rFonts w:cstheme="minorHAnsi"/>
          <w:sz w:val="22"/>
          <w:szCs w:val="22"/>
          <w:shd w:val="clear" w:color="auto" w:fill="FFFFFF"/>
        </w:rPr>
        <w:t>Starr M, Szebehely M. (2017). Working longer, caring harder–the impact of 'ageing-in-place' policies on working carers in the UK and Sweden. </w:t>
      </w:r>
      <w:r w:rsidR="00FA509D" w:rsidRPr="00750AB3">
        <w:rPr>
          <w:rFonts w:cstheme="minorHAnsi"/>
          <w:iCs/>
          <w:sz w:val="22"/>
          <w:szCs w:val="22"/>
          <w:shd w:val="clear" w:color="auto" w:fill="FFFFFF"/>
        </w:rPr>
        <w:t>Int J Care Caring 2017:1</w:t>
      </w:r>
      <w:r w:rsidR="00FA509D" w:rsidRPr="00750AB3">
        <w:rPr>
          <w:rFonts w:cstheme="minorHAnsi"/>
          <w:sz w:val="22"/>
          <w:szCs w:val="22"/>
          <w:shd w:val="clear" w:color="auto" w:fill="FFFFFF"/>
        </w:rPr>
        <w:t>(1), 115-119</w:t>
      </w:r>
    </w:p>
    <w:p w14:paraId="7534A60E" w14:textId="2F05ED03" w:rsidR="004D2632" w:rsidRPr="00750AB3" w:rsidRDefault="00AF4BB9" w:rsidP="0091360E">
      <w:pPr>
        <w:pStyle w:val="CommentText"/>
        <w:jc w:val="both"/>
        <w:rPr>
          <w:rFonts w:eastAsia="Times New Roman" w:cstheme="minorHAnsi"/>
          <w:sz w:val="22"/>
          <w:szCs w:val="22"/>
          <w:lang w:val="en-US" w:eastAsia="en-GB"/>
        </w:rPr>
      </w:pPr>
      <w:r>
        <w:rPr>
          <w:rFonts w:cstheme="minorHAnsi"/>
          <w:sz w:val="22"/>
          <w:szCs w:val="22"/>
          <w:shd w:val="clear" w:color="auto" w:fill="FFFFFF"/>
        </w:rPr>
        <w:t>[7</w:t>
      </w:r>
      <w:r w:rsidR="00705EFB">
        <w:rPr>
          <w:rFonts w:cstheme="minorHAnsi"/>
          <w:sz w:val="22"/>
          <w:szCs w:val="22"/>
          <w:shd w:val="clear" w:color="auto" w:fill="FFFFFF"/>
        </w:rPr>
        <w:t>5]</w:t>
      </w:r>
      <w:r w:rsidR="00FA509D" w:rsidRPr="00750AB3">
        <w:rPr>
          <w:rFonts w:cstheme="minorHAnsi"/>
          <w:sz w:val="22"/>
          <w:szCs w:val="22"/>
          <w:shd w:val="clear" w:color="auto" w:fill="FFFFFF"/>
        </w:rPr>
        <w:t xml:space="preserve"> </w:t>
      </w:r>
      <w:r w:rsidR="00FA509D" w:rsidRPr="00750AB3">
        <w:rPr>
          <w:rFonts w:eastAsia="Times New Roman" w:cstheme="minorHAnsi"/>
          <w:sz w:val="22"/>
          <w:szCs w:val="22"/>
          <w:lang w:val="en-US" w:eastAsia="en-GB"/>
        </w:rPr>
        <w:t>Sterling</w:t>
      </w:r>
      <w:r w:rsidR="00B67D7A" w:rsidRPr="00750AB3">
        <w:rPr>
          <w:rFonts w:eastAsia="Times New Roman" w:cstheme="minorHAnsi"/>
          <w:sz w:val="22"/>
          <w:szCs w:val="22"/>
          <w:lang w:val="en-US" w:eastAsia="en-GB"/>
        </w:rPr>
        <w:t xml:space="preserve"> M. </w:t>
      </w:r>
      <w:r w:rsidR="00FA509D" w:rsidRPr="00750AB3">
        <w:rPr>
          <w:rFonts w:eastAsia="Times New Roman" w:cstheme="minorHAnsi"/>
          <w:iCs/>
          <w:sz w:val="22"/>
          <w:szCs w:val="22"/>
          <w:lang w:val="en-US" w:eastAsia="en-GB"/>
        </w:rPr>
        <w:t>How do we prevent the transition from acute to chronic pain after whiplash injury?</w:t>
      </w:r>
      <w:r w:rsidR="004D2632" w:rsidRPr="00750AB3">
        <w:rPr>
          <w:rFonts w:eastAsia="Times New Roman" w:cstheme="minorHAnsi"/>
          <w:sz w:val="22"/>
          <w:szCs w:val="22"/>
          <w:lang w:val="en-US" w:eastAsia="en-GB"/>
        </w:rPr>
        <w:t xml:space="preserve"> I</w:t>
      </w:r>
      <w:r w:rsidR="00FA509D" w:rsidRPr="00750AB3">
        <w:rPr>
          <w:rFonts w:eastAsia="Times New Roman" w:cstheme="minorHAnsi"/>
          <w:sz w:val="22"/>
          <w:szCs w:val="22"/>
          <w:lang w:val="en-US" w:eastAsia="en-GB"/>
        </w:rPr>
        <w:t>n</w:t>
      </w:r>
      <w:r w:rsidR="004D2632" w:rsidRPr="00750AB3">
        <w:rPr>
          <w:rFonts w:eastAsia="Times New Roman" w:cstheme="minorHAnsi"/>
          <w:sz w:val="22"/>
          <w:szCs w:val="22"/>
          <w:lang w:val="en-US" w:eastAsia="en-GB"/>
        </w:rPr>
        <w:t>: Kasch H, Turk DC, Jensen TS</w:t>
      </w:r>
      <w:r w:rsidR="00B67D7A" w:rsidRPr="00750AB3">
        <w:rPr>
          <w:rFonts w:eastAsia="Times New Roman" w:cstheme="minorHAnsi"/>
          <w:sz w:val="22"/>
          <w:szCs w:val="22"/>
          <w:lang w:val="en-US" w:eastAsia="en-GB"/>
        </w:rPr>
        <w:t xml:space="preserve">, editors. </w:t>
      </w:r>
      <w:r w:rsidR="00FA509D" w:rsidRPr="00750AB3">
        <w:rPr>
          <w:rFonts w:eastAsia="Times New Roman" w:cstheme="minorHAnsi"/>
          <w:iCs/>
          <w:sz w:val="22"/>
          <w:szCs w:val="22"/>
          <w:lang w:val="en-US" w:eastAsia="en-GB"/>
        </w:rPr>
        <w:t>Whiplash injury: Perspectives on the development of chronic pain.</w:t>
      </w:r>
      <w:r w:rsidR="004D2632" w:rsidRPr="00750AB3">
        <w:rPr>
          <w:rFonts w:eastAsia="Times New Roman" w:cstheme="minorHAnsi"/>
          <w:sz w:val="22"/>
          <w:szCs w:val="22"/>
          <w:lang w:val="en-US" w:eastAsia="en-GB"/>
        </w:rPr>
        <w:t> 2016, Wolters Kluwer.</w:t>
      </w:r>
      <w:r w:rsidR="00FA509D" w:rsidRPr="00750AB3">
        <w:rPr>
          <w:rFonts w:eastAsia="Times New Roman" w:cstheme="minorHAnsi"/>
          <w:sz w:val="22"/>
          <w:szCs w:val="22"/>
          <w:lang w:val="en-US" w:eastAsia="en-GB"/>
        </w:rPr>
        <w:t xml:space="preserve"> Philadelphia, PA.</w:t>
      </w:r>
    </w:p>
    <w:p w14:paraId="65726AE9" w14:textId="116254B3" w:rsidR="006E3EE2" w:rsidRPr="00750AB3" w:rsidRDefault="00AF4BB9" w:rsidP="0091360E">
      <w:pPr>
        <w:pStyle w:val="CommentText"/>
        <w:jc w:val="both"/>
        <w:rPr>
          <w:rFonts w:cstheme="minorHAnsi"/>
          <w:noProof/>
          <w:sz w:val="22"/>
          <w:szCs w:val="22"/>
        </w:rPr>
      </w:pPr>
      <w:r>
        <w:rPr>
          <w:rFonts w:eastAsia="Times New Roman" w:cstheme="minorHAnsi"/>
          <w:sz w:val="22"/>
          <w:szCs w:val="22"/>
          <w:lang w:val="en-US" w:eastAsia="en-GB"/>
        </w:rPr>
        <w:t>[7</w:t>
      </w:r>
      <w:r w:rsidR="00705EFB">
        <w:rPr>
          <w:rFonts w:eastAsia="Times New Roman" w:cstheme="minorHAnsi"/>
          <w:sz w:val="22"/>
          <w:szCs w:val="22"/>
          <w:lang w:val="en-US" w:eastAsia="en-GB"/>
        </w:rPr>
        <w:t>6]</w:t>
      </w:r>
      <w:r w:rsidR="004D2632" w:rsidRPr="00750AB3">
        <w:rPr>
          <w:rFonts w:eastAsia="Times New Roman" w:cstheme="minorHAnsi"/>
          <w:sz w:val="22"/>
          <w:szCs w:val="22"/>
          <w:lang w:val="en-US" w:eastAsia="en-GB"/>
        </w:rPr>
        <w:t xml:space="preserve"> </w:t>
      </w:r>
      <w:r w:rsidR="006E3EE2" w:rsidRPr="00750AB3">
        <w:rPr>
          <w:rFonts w:cstheme="minorHAnsi"/>
          <w:noProof/>
          <w:sz w:val="22"/>
          <w:szCs w:val="22"/>
        </w:rPr>
        <w:t>Sullivan MJL, Adams H, Ellis T, Clark R, Sully C, Thibault P. Treatment-related reductions in catastrophizing predict return to work in individuals with post-traumatic stress disorder. J Appl Biobehav Res 2017(e12087).</w:t>
      </w:r>
    </w:p>
    <w:p w14:paraId="73C05E1E" w14:textId="04580AE2" w:rsidR="00FB407D" w:rsidRPr="00750AB3" w:rsidRDefault="00AF4BB9" w:rsidP="0091360E">
      <w:pPr>
        <w:pStyle w:val="CommentText"/>
        <w:jc w:val="both"/>
        <w:rPr>
          <w:rFonts w:cstheme="minorHAnsi"/>
          <w:noProof/>
          <w:sz w:val="22"/>
          <w:szCs w:val="22"/>
        </w:rPr>
      </w:pPr>
      <w:r>
        <w:rPr>
          <w:rFonts w:cstheme="minorHAnsi"/>
          <w:noProof/>
          <w:sz w:val="22"/>
          <w:szCs w:val="22"/>
        </w:rPr>
        <w:t>[7</w:t>
      </w:r>
      <w:r w:rsidR="00705EFB">
        <w:rPr>
          <w:rFonts w:cstheme="minorHAnsi"/>
          <w:noProof/>
          <w:sz w:val="22"/>
          <w:szCs w:val="22"/>
        </w:rPr>
        <w:t>7]</w:t>
      </w:r>
      <w:r w:rsidR="006E3EE2" w:rsidRPr="00750AB3">
        <w:rPr>
          <w:rFonts w:cstheme="minorHAnsi"/>
          <w:noProof/>
          <w:sz w:val="22"/>
          <w:szCs w:val="22"/>
        </w:rPr>
        <w:t xml:space="preserve"> Sullivan MJL, Adams H, Horan S, Maher D, Boland D, Gross R. The role of perceived injustice in the experience of chronic pain and disability: scale development and validation. </w:t>
      </w:r>
      <w:r w:rsidR="006E3EE2" w:rsidRPr="00750AB3">
        <w:rPr>
          <w:rStyle w:val="normaltextrun"/>
          <w:rFonts w:cstheme="minorHAnsi"/>
          <w:sz w:val="22"/>
          <w:szCs w:val="22"/>
        </w:rPr>
        <w:t>J Occup Rehabil</w:t>
      </w:r>
      <w:r w:rsidR="006E3EE2" w:rsidRPr="00750AB3">
        <w:rPr>
          <w:rFonts w:cstheme="minorHAnsi"/>
          <w:noProof/>
          <w:sz w:val="22"/>
          <w:szCs w:val="22"/>
        </w:rPr>
        <w:t xml:space="preserve"> 2008;18(3):249-61</w:t>
      </w:r>
    </w:p>
    <w:p w14:paraId="28436439" w14:textId="40A627E4" w:rsidR="00FB407D" w:rsidRPr="00750AB3" w:rsidRDefault="00AF4BB9" w:rsidP="0091360E">
      <w:pPr>
        <w:pStyle w:val="CommentText"/>
        <w:jc w:val="both"/>
        <w:rPr>
          <w:rFonts w:cstheme="minorHAnsi"/>
          <w:noProof/>
          <w:sz w:val="22"/>
          <w:szCs w:val="22"/>
        </w:rPr>
      </w:pPr>
      <w:r>
        <w:rPr>
          <w:rFonts w:cstheme="minorHAnsi"/>
          <w:noProof/>
          <w:sz w:val="22"/>
          <w:szCs w:val="22"/>
        </w:rPr>
        <w:t>[7</w:t>
      </w:r>
      <w:r w:rsidR="00705EFB">
        <w:rPr>
          <w:rFonts w:cstheme="minorHAnsi"/>
          <w:noProof/>
          <w:sz w:val="22"/>
          <w:szCs w:val="22"/>
        </w:rPr>
        <w:t>8]</w:t>
      </w:r>
      <w:r w:rsidR="00FB407D" w:rsidRPr="00750AB3">
        <w:rPr>
          <w:rFonts w:cstheme="minorHAnsi"/>
          <w:noProof/>
          <w:sz w:val="22"/>
          <w:szCs w:val="22"/>
        </w:rPr>
        <w:t xml:space="preserve"> Sullivan MJL, Adams H, Thibault P, Corbiere M, Stanish WD. Initial depression severity and the trajectory of recovery following cognitive-behavioral intervention for work disability. </w:t>
      </w:r>
      <w:r w:rsidR="00FB407D" w:rsidRPr="00750AB3">
        <w:rPr>
          <w:rStyle w:val="normaltextrun"/>
          <w:rFonts w:cstheme="minorHAnsi"/>
          <w:sz w:val="22"/>
          <w:szCs w:val="22"/>
        </w:rPr>
        <w:t>J Occup Rehabil</w:t>
      </w:r>
      <w:r w:rsidR="00FB407D" w:rsidRPr="00750AB3">
        <w:rPr>
          <w:rFonts w:cstheme="minorHAnsi"/>
          <w:noProof/>
          <w:sz w:val="22"/>
          <w:szCs w:val="22"/>
        </w:rPr>
        <w:t xml:space="preserve"> 2006;16(1):63-74.</w:t>
      </w:r>
    </w:p>
    <w:p w14:paraId="4314340D" w14:textId="41551A9D" w:rsidR="004A6F71" w:rsidRPr="00750AB3" w:rsidRDefault="00AF4BB9" w:rsidP="0091360E">
      <w:pPr>
        <w:pStyle w:val="CommentText"/>
        <w:jc w:val="both"/>
        <w:rPr>
          <w:rFonts w:cstheme="minorHAnsi"/>
          <w:noProof/>
          <w:sz w:val="22"/>
          <w:szCs w:val="22"/>
        </w:rPr>
      </w:pPr>
      <w:r>
        <w:rPr>
          <w:rFonts w:cstheme="minorHAnsi"/>
          <w:noProof/>
          <w:sz w:val="22"/>
          <w:szCs w:val="22"/>
        </w:rPr>
        <w:t>[7</w:t>
      </w:r>
      <w:r w:rsidR="00705EFB">
        <w:rPr>
          <w:rFonts w:cstheme="minorHAnsi"/>
          <w:noProof/>
          <w:sz w:val="22"/>
          <w:szCs w:val="22"/>
        </w:rPr>
        <w:t>9]</w:t>
      </w:r>
      <w:r w:rsidR="004A6F71" w:rsidRPr="00750AB3">
        <w:rPr>
          <w:rFonts w:cstheme="minorHAnsi"/>
          <w:noProof/>
          <w:sz w:val="22"/>
          <w:szCs w:val="22"/>
        </w:rPr>
        <w:t xml:space="preserve"> Sullivan MJL, Ward LC, Tripp D, French DJ, Adams H, Stanish WD. Secondary prevention of work disability: community-based psychosocial intervention for musculoskeletal disorders. </w:t>
      </w:r>
      <w:r w:rsidR="004A6F71" w:rsidRPr="00750AB3">
        <w:rPr>
          <w:rStyle w:val="normaltextrun"/>
          <w:rFonts w:cstheme="minorHAnsi"/>
          <w:sz w:val="22"/>
          <w:szCs w:val="22"/>
        </w:rPr>
        <w:t>J Occup Rehabil</w:t>
      </w:r>
      <w:r w:rsidR="004A6F71" w:rsidRPr="00750AB3">
        <w:rPr>
          <w:rFonts w:cstheme="minorHAnsi"/>
          <w:noProof/>
          <w:sz w:val="22"/>
          <w:szCs w:val="22"/>
        </w:rPr>
        <w:t xml:space="preserve"> 2005;15(3):377-92</w:t>
      </w:r>
    </w:p>
    <w:p w14:paraId="47B63AD3" w14:textId="78EAC921" w:rsidR="004A6F71" w:rsidRPr="00750AB3" w:rsidRDefault="00AF4BB9" w:rsidP="0091360E">
      <w:pPr>
        <w:pStyle w:val="CommentText"/>
        <w:jc w:val="both"/>
        <w:rPr>
          <w:rFonts w:cstheme="minorHAnsi"/>
          <w:sz w:val="22"/>
          <w:szCs w:val="22"/>
          <w:shd w:val="clear" w:color="auto" w:fill="FFFFFF"/>
        </w:rPr>
      </w:pPr>
      <w:r>
        <w:rPr>
          <w:rFonts w:cstheme="minorHAnsi"/>
          <w:noProof/>
          <w:sz w:val="22"/>
          <w:szCs w:val="22"/>
        </w:rPr>
        <w:t>[8</w:t>
      </w:r>
      <w:r w:rsidR="00705EFB">
        <w:rPr>
          <w:rFonts w:cstheme="minorHAnsi"/>
          <w:noProof/>
          <w:sz w:val="22"/>
          <w:szCs w:val="22"/>
        </w:rPr>
        <w:t>0]</w:t>
      </w:r>
      <w:r w:rsidR="004A6F71" w:rsidRPr="00750AB3">
        <w:rPr>
          <w:rFonts w:cstheme="minorHAnsi"/>
          <w:noProof/>
          <w:sz w:val="22"/>
          <w:szCs w:val="22"/>
        </w:rPr>
        <w:t xml:space="preserve"> </w:t>
      </w:r>
      <w:r w:rsidR="004A6F71" w:rsidRPr="00750AB3">
        <w:rPr>
          <w:rFonts w:cstheme="minorHAnsi"/>
          <w:sz w:val="22"/>
          <w:szCs w:val="22"/>
        </w:rPr>
        <w:t xml:space="preserve">Taylor M. </w:t>
      </w:r>
      <w:r w:rsidR="004A6F71" w:rsidRPr="00750AB3">
        <w:rPr>
          <w:rFonts w:cstheme="minorHAnsi"/>
          <w:iCs/>
          <w:sz w:val="22"/>
          <w:szCs w:val="22"/>
        </w:rPr>
        <w:t>Good work: the Taylor review of modern working practices</w:t>
      </w:r>
      <w:r w:rsidR="004A6F71" w:rsidRPr="00750AB3">
        <w:rPr>
          <w:rFonts w:cstheme="minorHAnsi"/>
          <w:sz w:val="22"/>
          <w:szCs w:val="22"/>
        </w:rPr>
        <w:t>. Department of Business, Energy and Industrial Strateg</w:t>
      </w:r>
      <w:r w:rsidR="00663933">
        <w:rPr>
          <w:rFonts w:cstheme="minorHAnsi"/>
          <w:sz w:val="22"/>
          <w:szCs w:val="22"/>
        </w:rPr>
        <w:t>y (BEIS). 2017. Retrieved 27 May</w:t>
      </w:r>
      <w:r w:rsidR="004A6F71" w:rsidRPr="00750AB3">
        <w:rPr>
          <w:rFonts w:cstheme="minorHAnsi"/>
          <w:sz w:val="22"/>
          <w:szCs w:val="22"/>
        </w:rPr>
        <w:t>, 2021</w:t>
      </w:r>
      <w:r w:rsidR="00541F93" w:rsidRPr="00750AB3">
        <w:rPr>
          <w:rFonts w:cstheme="minorHAnsi"/>
          <w:sz w:val="22"/>
          <w:szCs w:val="22"/>
        </w:rPr>
        <w:t xml:space="preserve"> from</w:t>
      </w:r>
      <w:r w:rsidR="004A6F71" w:rsidRPr="00750AB3">
        <w:rPr>
          <w:rFonts w:cstheme="minorHAnsi"/>
          <w:sz w:val="22"/>
          <w:szCs w:val="22"/>
        </w:rPr>
        <w:t xml:space="preserve"> : </w:t>
      </w:r>
      <w:hyperlink r:id="rId13" w:history="1">
        <w:r w:rsidR="004A6F71" w:rsidRPr="00750AB3">
          <w:rPr>
            <w:rStyle w:val="Hyperlink"/>
            <w:rFonts w:cstheme="minorHAnsi"/>
            <w:color w:val="auto"/>
            <w:sz w:val="22"/>
            <w:szCs w:val="22"/>
          </w:rPr>
          <w:t>https://assets.publishing.service.gov.uk/government/uploads/system/uploads/attachment_data/file/627671/good-work-taylor-review-modern-working-practices-rg.pdf</w:t>
        </w:r>
      </w:hyperlink>
    </w:p>
    <w:p w14:paraId="0C5BB1DA" w14:textId="6232FDDC" w:rsidR="00A976AD" w:rsidRPr="00750AB3" w:rsidRDefault="00EA6EB9" w:rsidP="0091360E">
      <w:pPr>
        <w:pStyle w:val="paragraph"/>
        <w:spacing w:before="0" w:beforeAutospacing="0" w:after="0" w:afterAutospacing="0"/>
        <w:jc w:val="both"/>
        <w:textAlignment w:val="baseline"/>
        <w:rPr>
          <w:rFonts w:asciiTheme="minorHAnsi" w:hAnsiTheme="minorHAnsi" w:cstheme="minorHAnsi"/>
          <w:sz w:val="22"/>
          <w:szCs w:val="22"/>
          <w:shd w:val="clear" w:color="auto" w:fill="FFFFFF"/>
        </w:rPr>
      </w:pPr>
      <w:r>
        <w:rPr>
          <w:rFonts w:asciiTheme="minorHAnsi" w:hAnsiTheme="minorHAnsi" w:cstheme="minorHAnsi"/>
          <w:sz w:val="22"/>
          <w:szCs w:val="22"/>
        </w:rPr>
        <w:t xml:space="preserve">[81] </w:t>
      </w:r>
      <w:r w:rsidR="00795EDE" w:rsidRPr="00750AB3">
        <w:rPr>
          <w:rFonts w:asciiTheme="minorHAnsi" w:hAnsiTheme="minorHAnsi" w:cstheme="minorHAnsi"/>
          <w:sz w:val="22"/>
          <w:szCs w:val="22"/>
          <w:shd w:val="clear" w:color="auto" w:fill="FFFFFF"/>
        </w:rPr>
        <w:t>Trinderup JS, Fisker A, Juhl CB, Petersen T. Fear avoidance beliefs as a predictor for long-term sick leave, disability and pain in patients with chronic low back pain. </w:t>
      </w:r>
      <w:r w:rsidR="00BE0F67" w:rsidRPr="00750AB3">
        <w:rPr>
          <w:rFonts w:asciiTheme="minorHAnsi" w:hAnsiTheme="minorHAnsi" w:cstheme="minorHAnsi"/>
          <w:iCs/>
          <w:sz w:val="22"/>
          <w:szCs w:val="22"/>
          <w:shd w:val="clear" w:color="auto" w:fill="FFFFFF"/>
        </w:rPr>
        <w:t>BMC Musculoskelet Disord</w:t>
      </w:r>
      <w:r w:rsidR="00795EDE" w:rsidRPr="00750AB3">
        <w:rPr>
          <w:rFonts w:asciiTheme="minorHAnsi" w:hAnsiTheme="minorHAnsi" w:cstheme="minorHAnsi"/>
          <w:iCs/>
          <w:sz w:val="22"/>
          <w:szCs w:val="22"/>
          <w:shd w:val="clear" w:color="auto" w:fill="FFFFFF"/>
        </w:rPr>
        <w:t xml:space="preserve"> 2018;19</w:t>
      </w:r>
      <w:r w:rsidR="00795EDE" w:rsidRPr="00750AB3">
        <w:rPr>
          <w:rFonts w:asciiTheme="minorHAnsi" w:hAnsiTheme="minorHAnsi" w:cstheme="minorHAnsi"/>
          <w:sz w:val="22"/>
          <w:szCs w:val="22"/>
          <w:shd w:val="clear" w:color="auto" w:fill="FFFFFF"/>
        </w:rPr>
        <w:t>(1), 1-8.</w:t>
      </w:r>
    </w:p>
    <w:p w14:paraId="6DC672FE" w14:textId="77777777" w:rsidR="000078DD" w:rsidRPr="00750AB3" w:rsidRDefault="000078DD" w:rsidP="0091360E">
      <w:pPr>
        <w:pStyle w:val="paragraph"/>
        <w:spacing w:before="0" w:beforeAutospacing="0" w:after="0" w:afterAutospacing="0"/>
        <w:jc w:val="both"/>
        <w:textAlignment w:val="baseline"/>
        <w:rPr>
          <w:rFonts w:asciiTheme="minorHAnsi" w:hAnsiTheme="minorHAnsi" w:cstheme="minorHAnsi"/>
          <w:sz w:val="22"/>
          <w:szCs w:val="22"/>
        </w:rPr>
      </w:pPr>
    </w:p>
    <w:p w14:paraId="0383B6AD" w14:textId="5941B8F6" w:rsidR="005F33FF" w:rsidRPr="00750AB3" w:rsidRDefault="00705EFB" w:rsidP="0091360E">
      <w:pPr>
        <w:spacing w:line="240" w:lineRule="auto"/>
        <w:jc w:val="both"/>
        <w:rPr>
          <w:rFonts w:cstheme="minorHAnsi"/>
          <w:noProof/>
        </w:rPr>
      </w:pPr>
      <w:r>
        <w:rPr>
          <w:rFonts w:eastAsia="Times New Roman" w:cstheme="minorHAnsi"/>
          <w:lang w:val="en-US" w:eastAsia="en-GB"/>
        </w:rPr>
        <w:t>[82]</w:t>
      </w:r>
      <w:r w:rsidR="000078DD" w:rsidRPr="00750AB3">
        <w:rPr>
          <w:rFonts w:eastAsia="Times New Roman" w:cstheme="minorHAnsi"/>
          <w:lang w:val="en-US" w:eastAsia="en-GB"/>
        </w:rPr>
        <w:t xml:space="preserve"> </w:t>
      </w:r>
      <w:r w:rsidR="005F33FF" w:rsidRPr="00750AB3">
        <w:rPr>
          <w:rFonts w:cstheme="minorHAnsi"/>
          <w:noProof/>
          <w:lang w:val="nl-NL"/>
        </w:rPr>
        <w:t xml:space="preserve">Volker D, Zijlstra-Vlasveld MC, Brouwers EP, van Lomwel AG, van der Feltz-Cornelis CM. </w:t>
      </w:r>
      <w:r w:rsidR="005F33FF" w:rsidRPr="00750AB3">
        <w:rPr>
          <w:rFonts w:cstheme="minorHAnsi"/>
          <w:noProof/>
        </w:rPr>
        <w:t>Return-to-work self-efficacy and actual return to work among long-term sick-listed employees. J Occup Rehabil. 2015;25(2):423-31.</w:t>
      </w:r>
    </w:p>
    <w:p w14:paraId="4460DEDD" w14:textId="49619F9E" w:rsidR="005F33FF" w:rsidRPr="00750AB3" w:rsidRDefault="00705EFB" w:rsidP="0091360E">
      <w:pPr>
        <w:spacing w:line="240" w:lineRule="auto"/>
        <w:jc w:val="both"/>
        <w:rPr>
          <w:rFonts w:cstheme="minorHAnsi"/>
          <w:noProof/>
        </w:rPr>
      </w:pPr>
      <w:r>
        <w:rPr>
          <w:rFonts w:cstheme="minorHAnsi"/>
          <w:noProof/>
        </w:rPr>
        <w:t>[83]</w:t>
      </w:r>
      <w:r w:rsidR="005F33FF" w:rsidRPr="00750AB3">
        <w:rPr>
          <w:rFonts w:cstheme="minorHAnsi"/>
          <w:noProof/>
        </w:rPr>
        <w:t xml:space="preserve"> Vowles KE, McCracken LM, Eccleston C. Processes of change in treatment for chronic pain: the contributions of pain, acceptance, and catastrophizing. Eur J Pain 2007;11(7):779-87.</w:t>
      </w:r>
    </w:p>
    <w:p w14:paraId="55261F07" w14:textId="4135399B" w:rsidR="0017128E" w:rsidRPr="00750AB3" w:rsidRDefault="00705EFB" w:rsidP="0091360E">
      <w:pPr>
        <w:spacing w:after="0" w:line="240" w:lineRule="auto"/>
        <w:jc w:val="both"/>
        <w:rPr>
          <w:rFonts w:cstheme="minorHAnsi"/>
        </w:rPr>
      </w:pPr>
      <w:r>
        <w:rPr>
          <w:rFonts w:eastAsia="Times New Roman" w:cstheme="minorHAnsi"/>
          <w:lang w:val="en-AU" w:eastAsia="en-AU"/>
        </w:rPr>
        <w:t>[84]</w:t>
      </w:r>
      <w:r w:rsidR="0017128E" w:rsidRPr="00750AB3">
        <w:rPr>
          <w:rFonts w:eastAsia="Times New Roman" w:cstheme="minorHAnsi"/>
          <w:lang w:val="en-AU" w:eastAsia="en-AU"/>
        </w:rPr>
        <w:t xml:space="preserve"> </w:t>
      </w:r>
      <w:r w:rsidR="0017128E" w:rsidRPr="00750AB3">
        <w:rPr>
          <w:rFonts w:cstheme="minorHAnsi"/>
        </w:rPr>
        <w:t xml:space="preserve">Waddell G, Burton K. </w:t>
      </w:r>
      <w:r w:rsidR="0017128E" w:rsidRPr="00750AB3">
        <w:rPr>
          <w:rFonts w:cstheme="minorHAnsi"/>
          <w:iCs/>
        </w:rPr>
        <w:t>Is work good for your health and wellbeing?</w:t>
      </w:r>
      <w:r w:rsidR="0017128E" w:rsidRPr="00750AB3">
        <w:rPr>
          <w:rFonts w:cstheme="minorHAnsi"/>
        </w:rPr>
        <w:t xml:space="preserve"> The Stationary Office. 2006. Retrieved 28 Mar 2021 from:</w:t>
      </w:r>
    </w:p>
    <w:p w14:paraId="21981F04" w14:textId="25993656" w:rsidR="0047148B" w:rsidRDefault="00904ADA" w:rsidP="0091360E">
      <w:pPr>
        <w:spacing w:after="0" w:line="240" w:lineRule="auto"/>
        <w:jc w:val="both"/>
        <w:rPr>
          <w:rFonts w:cstheme="minorHAnsi"/>
        </w:rPr>
      </w:pPr>
      <w:hyperlink r:id="rId14" w:history="1">
        <w:r w:rsidR="0017128E" w:rsidRPr="00750AB3">
          <w:rPr>
            <w:rStyle w:val="Hyperlink"/>
            <w:rFonts w:cstheme="minorHAnsi"/>
            <w:color w:val="auto"/>
          </w:rPr>
          <w:t>https://assets.publishing.service.gov.uk/government/uploads/system/uploads/attachment_data/file/214326/hwwb-is-work-good-for-you.pdf</w:t>
        </w:r>
      </w:hyperlink>
      <w:r w:rsidR="0017128E" w:rsidRPr="00750AB3">
        <w:rPr>
          <w:rFonts w:cstheme="minorHAnsi"/>
        </w:rPr>
        <w:t xml:space="preserve"> </w:t>
      </w:r>
    </w:p>
    <w:p w14:paraId="70CE1B27" w14:textId="08EC438D" w:rsidR="002B10D3" w:rsidRPr="00607848" w:rsidRDefault="00607848" w:rsidP="00607848">
      <w:pPr>
        <w:pStyle w:val="m-1486370488443011814p1"/>
        <w:shd w:val="clear" w:color="auto" w:fill="FFFFFF"/>
        <w:jc w:val="both"/>
        <w:rPr>
          <w:rFonts w:ascii="Arial" w:hAnsi="Arial" w:cs="Arial"/>
        </w:rPr>
      </w:pPr>
      <w:r w:rsidRPr="0079251B">
        <w:rPr>
          <w:rFonts w:ascii="Arial" w:hAnsi="Arial" w:cs="Arial"/>
          <w:sz w:val="22"/>
          <w:szCs w:val="22"/>
        </w:rPr>
        <w:t>[85] Wang T, Collet JP, Shapiro S, Ware MA. Adverse effects of medical cannabinoids: A systematic review. Can. Med. Assoc. J. 2008; 178, 1669-1678.</w:t>
      </w:r>
      <w:r w:rsidRPr="0079251B">
        <w:rPr>
          <w:rStyle w:val="m-1486370488443011814apple-converted-space"/>
          <w:rFonts w:ascii="Arial" w:hAnsi="Arial" w:cs="Arial"/>
          <w:sz w:val="22"/>
          <w:szCs w:val="22"/>
        </w:rPr>
        <w:t> </w:t>
      </w:r>
    </w:p>
    <w:p w14:paraId="035AFC24" w14:textId="53EE0C0A" w:rsidR="005F33FF" w:rsidRPr="00750AB3" w:rsidRDefault="00705EFB" w:rsidP="0091360E">
      <w:pPr>
        <w:spacing w:after="0" w:line="240" w:lineRule="auto"/>
        <w:jc w:val="both"/>
        <w:rPr>
          <w:rFonts w:cstheme="minorHAnsi"/>
          <w:shd w:val="clear" w:color="auto" w:fill="FFFFFF"/>
        </w:rPr>
      </w:pPr>
      <w:r>
        <w:rPr>
          <w:rFonts w:eastAsia="Times New Roman" w:cstheme="minorHAnsi"/>
          <w:lang w:val="en-AU" w:eastAsia="en-AU"/>
        </w:rPr>
        <w:t>[86]</w:t>
      </w:r>
      <w:r w:rsidR="005F33FF" w:rsidRPr="00750AB3">
        <w:rPr>
          <w:rFonts w:eastAsia="Times New Roman" w:cstheme="minorHAnsi"/>
          <w:lang w:val="en-AU" w:eastAsia="en-AU"/>
        </w:rPr>
        <w:t xml:space="preserve"> </w:t>
      </w:r>
      <w:r w:rsidR="005F33FF" w:rsidRPr="00750AB3">
        <w:rPr>
          <w:rFonts w:cstheme="minorHAnsi"/>
          <w:shd w:val="clear" w:color="auto" w:fill="FFFFFF"/>
        </w:rPr>
        <w:t>Watson T, Korczynski M.</w:t>
      </w:r>
      <w:r w:rsidR="005F33FF" w:rsidRPr="00750AB3">
        <w:rPr>
          <w:rStyle w:val="apple-converted-space"/>
          <w:rFonts w:cstheme="minorHAnsi"/>
          <w:shd w:val="clear" w:color="auto" w:fill="FFFFFF"/>
        </w:rPr>
        <w:t> </w:t>
      </w:r>
      <w:r w:rsidR="005F33FF" w:rsidRPr="00750AB3">
        <w:rPr>
          <w:rFonts w:cstheme="minorHAnsi"/>
          <w:iCs/>
          <w:shd w:val="clear" w:color="auto" w:fill="FFFFFF"/>
        </w:rPr>
        <w:t>Sociology, work and organisation</w:t>
      </w:r>
      <w:r w:rsidR="005F33FF" w:rsidRPr="00750AB3">
        <w:rPr>
          <w:rFonts w:cstheme="minorHAnsi"/>
          <w:shd w:val="clear" w:color="auto" w:fill="FFFFFF"/>
        </w:rPr>
        <w:t>. London UK: Routledge: 2011.</w:t>
      </w:r>
    </w:p>
    <w:p w14:paraId="26169BE0" w14:textId="40551333" w:rsidR="003B05FE" w:rsidRPr="00750AB3" w:rsidRDefault="003B05FE" w:rsidP="0091360E">
      <w:pPr>
        <w:spacing w:after="0" w:line="240" w:lineRule="auto"/>
        <w:jc w:val="both"/>
        <w:rPr>
          <w:rFonts w:eastAsia="Times New Roman" w:cstheme="minorHAnsi"/>
          <w:lang w:val="en-AU" w:eastAsia="en-AU"/>
        </w:rPr>
      </w:pPr>
    </w:p>
    <w:p w14:paraId="1ACE51F6" w14:textId="6E50C9C6" w:rsidR="004656E5" w:rsidRPr="00750AB3" w:rsidRDefault="00705EFB" w:rsidP="0091360E">
      <w:pPr>
        <w:pStyle w:val="CommentText"/>
        <w:jc w:val="both"/>
        <w:rPr>
          <w:rFonts w:cstheme="minorHAnsi"/>
          <w:sz w:val="22"/>
          <w:szCs w:val="22"/>
        </w:rPr>
      </w:pPr>
      <w:r>
        <w:rPr>
          <w:rFonts w:eastAsia="Times New Roman" w:cstheme="minorHAnsi"/>
          <w:sz w:val="22"/>
          <w:szCs w:val="22"/>
          <w:lang w:eastAsia="en-AU"/>
        </w:rPr>
        <w:t>[87]</w:t>
      </w:r>
      <w:r w:rsidR="004656E5" w:rsidRPr="00750AB3">
        <w:rPr>
          <w:rFonts w:eastAsia="Times New Roman" w:cstheme="minorHAnsi"/>
          <w:sz w:val="22"/>
          <w:szCs w:val="22"/>
          <w:lang w:eastAsia="en-AU"/>
        </w:rPr>
        <w:t xml:space="preserve"> </w:t>
      </w:r>
      <w:r w:rsidR="004656E5" w:rsidRPr="00750AB3">
        <w:rPr>
          <w:rFonts w:cstheme="minorHAnsi"/>
          <w:i/>
          <w:sz w:val="22"/>
          <w:szCs w:val="22"/>
        </w:rPr>
        <w:t xml:space="preserve">Work and Health Unit. </w:t>
      </w:r>
      <w:r w:rsidR="004656E5" w:rsidRPr="00750AB3">
        <w:rPr>
          <w:rFonts w:cstheme="minorHAnsi"/>
          <w:sz w:val="22"/>
          <w:szCs w:val="22"/>
        </w:rPr>
        <w:t>Gov.uk. Retrieved March 26, 2021, from</w:t>
      </w:r>
      <w:r w:rsidR="002B10D3" w:rsidRPr="00750AB3">
        <w:rPr>
          <w:rFonts w:cstheme="minorHAnsi"/>
          <w:sz w:val="22"/>
          <w:szCs w:val="22"/>
        </w:rPr>
        <w:t xml:space="preserve"> </w:t>
      </w:r>
      <w:hyperlink r:id="rId15" w:history="1">
        <w:r w:rsidR="004656E5" w:rsidRPr="00750AB3">
          <w:rPr>
            <w:rStyle w:val="Hyperlink"/>
            <w:rFonts w:cstheme="minorHAnsi"/>
            <w:color w:val="auto"/>
            <w:sz w:val="22"/>
            <w:szCs w:val="22"/>
          </w:rPr>
          <w:t>https://www.gov.uk/government/groups/work-and-health-unit</w:t>
        </w:r>
      </w:hyperlink>
    </w:p>
    <w:p w14:paraId="060A3D20" w14:textId="0B3DA0AC" w:rsidR="00305FAE" w:rsidRPr="00750AB3" w:rsidRDefault="00305FAE" w:rsidP="00A8285F">
      <w:pPr>
        <w:rPr>
          <w:rFonts w:cstheme="minorHAnsi"/>
        </w:rPr>
        <w:sectPr w:rsidR="00305FAE" w:rsidRPr="00750AB3">
          <w:headerReference w:type="default" r:id="rId16"/>
          <w:pgSz w:w="11906" w:h="16838"/>
          <w:pgMar w:top="1440" w:right="1440" w:bottom="1440" w:left="1440" w:header="708" w:footer="708" w:gutter="0"/>
          <w:cols w:space="708"/>
          <w:docGrid w:linePitch="360"/>
        </w:sectPr>
      </w:pPr>
    </w:p>
    <w:p w14:paraId="1397B047" w14:textId="7C6E2F4B" w:rsidR="005534F8" w:rsidRPr="00750AB3" w:rsidRDefault="005534F8" w:rsidP="00A8285F">
      <w:pPr>
        <w:rPr>
          <w:rFonts w:cstheme="minorHAnsi"/>
        </w:rPr>
      </w:pPr>
      <w:r w:rsidRPr="00750AB3">
        <w:rPr>
          <w:noProof/>
          <w:lang w:eastAsia="en-GB"/>
        </w:rPr>
        <w:drawing>
          <wp:inline distT="0" distB="0" distL="0" distR="0" wp14:anchorId="5E46194B" wp14:editId="6DEDA5C6">
            <wp:extent cx="8863330" cy="586917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863330" cy="5869177"/>
                    </a:xfrm>
                    <a:prstGeom prst="rect">
                      <a:avLst/>
                    </a:prstGeom>
                    <a:noFill/>
                    <a:ln>
                      <a:noFill/>
                    </a:ln>
                  </pic:spPr>
                </pic:pic>
              </a:graphicData>
            </a:graphic>
          </wp:inline>
        </w:drawing>
      </w:r>
    </w:p>
    <w:p w14:paraId="33453201" w14:textId="6C1CEADB" w:rsidR="00305FAE" w:rsidRPr="00750AB3" w:rsidRDefault="00305FAE" w:rsidP="00A8285F">
      <w:pPr>
        <w:rPr>
          <w:rFonts w:cstheme="minorHAnsi"/>
        </w:rPr>
        <w:sectPr w:rsidR="00305FAE" w:rsidRPr="00750AB3" w:rsidSect="00305FAE">
          <w:headerReference w:type="default" r:id="rId18"/>
          <w:pgSz w:w="16838" w:h="11906" w:orient="landscape"/>
          <w:pgMar w:top="1440" w:right="1440" w:bottom="1440" w:left="1440" w:header="708" w:footer="708" w:gutter="0"/>
          <w:cols w:space="708"/>
          <w:docGrid w:linePitch="360"/>
        </w:sectPr>
      </w:pPr>
    </w:p>
    <w:p w14:paraId="473ADDB6" w14:textId="7C67C032" w:rsidR="00305FAE" w:rsidRPr="00750AB3" w:rsidRDefault="00305FAE" w:rsidP="00A8285F">
      <w:pPr>
        <w:rPr>
          <w:rFonts w:cstheme="minorHAnsi"/>
        </w:rPr>
      </w:pPr>
    </w:p>
    <w:sectPr w:rsidR="00305FAE" w:rsidRPr="00750AB3" w:rsidSect="00305FAE">
      <w:headerReference w:type="default" r:id="rId19"/>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897D00" w16cex:dateUtc="2021-07-02T01: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3BECC0F" w16cid:durableId="248971E9"/>
  <w16cid:commentId w16cid:paraId="458FF9DA" w16cid:durableId="248971EA"/>
  <w16cid:commentId w16cid:paraId="1E99F4F9" w16cid:durableId="248971EB"/>
  <w16cid:commentId w16cid:paraId="6506FA7F" w16cid:durableId="248971EC"/>
  <w16cid:commentId w16cid:paraId="18CBF7E1" w16cid:durableId="24897D00"/>
  <w16cid:commentId w16cid:paraId="1B013283" w16cid:durableId="248971ED"/>
  <w16cid:commentId w16cid:paraId="4C473E28" w16cid:durableId="248971EE"/>
  <w16cid:commentId w16cid:paraId="489C16BF" w16cid:durableId="248971EF"/>
  <w16cid:commentId w16cid:paraId="61C1B4F3" w16cid:durableId="248971F0"/>
  <w16cid:commentId w16cid:paraId="0D66AC9E" w16cid:durableId="248971F1"/>
  <w16cid:commentId w16cid:paraId="3C7B9AB0" w16cid:durableId="248971F2"/>
  <w16cid:commentId w16cid:paraId="62E6542C" w16cid:durableId="248971F3"/>
  <w16cid:commentId w16cid:paraId="34CE9835" w16cid:durableId="248971F4"/>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4B7728" w14:textId="77777777" w:rsidR="00431BFE" w:rsidRDefault="00431BFE" w:rsidP="00794621">
      <w:pPr>
        <w:spacing w:after="0" w:line="240" w:lineRule="auto"/>
      </w:pPr>
      <w:r>
        <w:separator/>
      </w:r>
    </w:p>
  </w:endnote>
  <w:endnote w:type="continuationSeparator" w:id="0">
    <w:p w14:paraId="7198B4CF" w14:textId="77777777" w:rsidR="00431BFE" w:rsidRDefault="00431BFE" w:rsidP="007946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SimHei">
    <w:altName w:val="黑体"/>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FBB8C0" w14:textId="77777777" w:rsidR="00431BFE" w:rsidRDefault="00431BFE" w:rsidP="00794621">
      <w:pPr>
        <w:spacing w:after="0" w:line="240" w:lineRule="auto"/>
      </w:pPr>
      <w:r>
        <w:separator/>
      </w:r>
    </w:p>
  </w:footnote>
  <w:footnote w:type="continuationSeparator" w:id="0">
    <w:p w14:paraId="2971E363" w14:textId="77777777" w:rsidR="00431BFE" w:rsidRDefault="00431BFE" w:rsidP="007946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5608931"/>
      <w:docPartObj>
        <w:docPartGallery w:val="Page Numbers (Top of Page)"/>
        <w:docPartUnique/>
      </w:docPartObj>
    </w:sdtPr>
    <w:sdtEndPr>
      <w:rPr>
        <w:noProof/>
      </w:rPr>
    </w:sdtEndPr>
    <w:sdtContent>
      <w:p w14:paraId="2BA951A8" w14:textId="69F3B272" w:rsidR="00D73A80" w:rsidRDefault="00D73A80">
        <w:pPr>
          <w:pStyle w:val="Header"/>
          <w:jc w:val="right"/>
        </w:pPr>
        <w:r>
          <w:fldChar w:fldCharType="begin"/>
        </w:r>
        <w:r>
          <w:instrText xml:space="preserve"> PAGE   \* MERGEFORMAT </w:instrText>
        </w:r>
        <w:r>
          <w:fldChar w:fldCharType="separate"/>
        </w:r>
        <w:r w:rsidR="00904ADA">
          <w:rPr>
            <w:noProof/>
          </w:rPr>
          <w:t>1</w:t>
        </w:r>
        <w:r>
          <w:rPr>
            <w:noProof/>
          </w:rPr>
          <w:fldChar w:fldCharType="end"/>
        </w:r>
      </w:p>
    </w:sdtContent>
  </w:sdt>
  <w:p w14:paraId="7ACB7C8B" w14:textId="4A3FBB45" w:rsidR="00D73A80" w:rsidRDefault="00B22469">
    <w:pPr>
      <w:pStyle w:val="Header"/>
    </w:pPr>
    <w:r>
      <w:t>Pain, work and the workplace: a topical review</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2072347"/>
      <w:docPartObj>
        <w:docPartGallery w:val="Page Numbers (Top of Page)"/>
        <w:docPartUnique/>
      </w:docPartObj>
    </w:sdtPr>
    <w:sdtEndPr>
      <w:rPr>
        <w:noProof/>
      </w:rPr>
    </w:sdtEndPr>
    <w:sdtContent>
      <w:p w14:paraId="74C29DEF" w14:textId="38E8F439" w:rsidR="00D73A80" w:rsidRDefault="00D73A80">
        <w:pPr>
          <w:pStyle w:val="Header"/>
          <w:jc w:val="right"/>
        </w:pPr>
        <w:r>
          <w:fldChar w:fldCharType="begin"/>
        </w:r>
        <w:r>
          <w:instrText xml:space="preserve"> PAGE   \* MERGEFORMAT </w:instrText>
        </w:r>
        <w:r>
          <w:fldChar w:fldCharType="separate"/>
        </w:r>
        <w:r w:rsidR="00904ADA">
          <w:rPr>
            <w:noProof/>
          </w:rPr>
          <w:t>15</w:t>
        </w:r>
        <w:r>
          <w:rPr>
            <w:noProof/>
          </w:rPr>
          <w:fldChar w:fldCharType="end"/>
        </w:r>
      </w:p>
    </w:sdtContent>
  </w:sdt>
  <w:p w14:paraId="6931C2DF" w14:textId="55207A69" w:rsidR="00D73A80" w:rsidRPr="00395875" w:rsidRDefault="00D73A80">
    <w:pPr>
      <w:pStyle w:val="Header"/>
    </w:pPr>
    <w:r w:rsidRPr="00395875">
      <w:t>Figure 1: Barriers and enables to occupation using a lifespan approach to pain and work</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9710875"/>
      <w:docPartObj>
        <w:docPartGallery w:val="Page Numbers (Top of Page)"/>
        <w:docPartUnique/>
      </w:docPartObj>
    </w:sdtPr>
    <w:sdtEndPr>
      <w:rPr>
        <w:noProof/>
      </w:rPr>
    </w:sdtEndPr>
    <w:sdtContent>
      <w:p w14:paraId="3939C479" w14:textId="211BD1D5" w:rsidR="00D73A80" w:rsidRDefault="00D73A80">
        <w:pPr>
          <w:pStyle w:val="Header"/>
          <w:jc w:val="right"/>
        </w:pPr>
        <w:r>
          <w:fldChar w:fldCharType="begin"/>
        </w:r>
        <w:r>
          <w:instrText xml:space="preserve"> PAGE   \* MERGEFORMAT </w:instrText>
        </w:r>
        <w:r>
          <w:fldChar w:fldCharType="separate"/>
        </w:r>
        <w:r w:rsidR="00904ADA">
          <w:rPr>
            <w:noProof/>
          </w:rPr>
          <w:t>16</w:t>
        </w:r>
        <w:r>
          <w:rPr>
            <w:noProof/>
          </w:rPr>
          <w:fldChar w:fldCharType="end"/>
        </w:r>
      </w:p>
    </w:sdtContent>
  </w:sdt>
  <w:p w14:paraId="7833339D" w14:textId="5B8E5378" w:rsidR="00D73A80" w:rsidRDefault="00D73A8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B62F9"/>
    <w:multiLevelType w:val="hybridMultilevel"/>
    <w:tmpl w:val="63F0442E"/>
    <w:lvl w:ilvl="0" w:tplc="2E12D4E0">
      <w:start w:val="1"/>
      <w:numFmt w:val="bullet"/>
      <w:lvlText w:val="•"/>
      <w:lvlJc w:val="left"/>
      <w:pPr>
        <w:tabs>
          <w:tab w:val="num" w:pos="720"/>
        </w:tabs>
        <w:ind w:left="720" w:hanging="360"/>
      </w:pPr>
      <w:rPr>
        <w:rFonts w:ascii="Arial" w:hAnsi="Arial" w:hint="default"/>
      </w:rPr>
    </w:lvl>
    <w:lvl w:ilvl="1" w:tplc="4E6CD2EE" w:tentative="1">
      <w:start w:val="1"/>
      <w:numFmt w:val="bullet"/>
      <w:lvlText w:val="•"/>
      <w:lvlJc w:val="left"/>
      <w:pPr>
        <w:tabs>
          <w:tab w:val="num" w:pos="1440"/>
        </w:tabs>
        <w:ind w:left="1440" w:hanging="360"/>
      </w:pPr>
      <w:rPr>
        <w:rFonts w:ascii="Arial" w:hAnsi="Arial" w:hint="default"/>
      </w:rPr>
    </w:lvl>
    <w:lvl w:ilvl="2" w:tplc="B49C5AC8" w:tentative="1">
      <w:start w:val="1"/>
      <w:numFmt w:val="bullet"/>
      <w:lvlText w:val="•"/>
      <w:lvlJc w:val="left"/>
      <w:pPr>
        <w:tabs>
          <w:tab w:val="num" w:pos="2160"/>
        </w:tabs>
        <w:ind w:left="2160" w:hanging="360"/>
      </w:pPr>
      <w:rPr>
        <w:rFonts w:ascii="Arial" w:hAnsi="Arial" w:hint="default"/>
      </w:rPr>
    </w:lvl>
    <w:lvl w:ilvl="3" w:tplc="2CC4E942" w:tentative="1">
      <w:start w:val="1"/>
      <w:numFmt w:val="bullet"/>
      <w:lvlText w:val="•"/>
      <w:lvlJc w:val="left"/>
      <w:pPr>
        <w:tabs>
          <w:tab w:val="num" w:pos="2880"/>
        </w:tabs>
        <w:ind w:left="2880" w:hanging="360"/>
      </w:pPr>
      <w:rPr>
        <w:rFonts w:ascii="Arial" w:hAnsi="Arial" w:hint="default"/>
      </w:rPr>
    </w:lvl>
    <w:lvl w:ilvl="4" w:tplc="0FB26C52" w:tentative="1">
      <w:start w:val="1"/>
      <w:numFmt w:val="bullet"/>
      <w:lvlText w:val="•"/>
      <w:lvlJc w:val="left"/>
      <w:pPr>
        <w:tabs>
          <w:tab w:val="num" w:pos="3600"/>
        </w:tabs>
        <w:ind w:left="3600" w:hanging="360"/>
      </w:pPr>
      <w:rPr>
        <w:rFonts w:ascii="Arial" w:hAnsi="Arial" w:hint="default"/>
      </w:rPr>
    </w:lvl>
    <w:lvl w:ilvl="5" w:tplc="039A8B54" w:tentative="1">
      <w:start w:val="1"/>
      <w:numFmt w:val="bullet"/>
      <w:lvlText w:val="•"/>
      <w:lvlJc w:val="left"/>
      <w:pPr>
        <w:tabs>
          <w:tab w:val="num" w:pos="4320"/>
        </w:tabs>
        <w:ind w:left="4320" w:hanging="360"/>
      </w:pPr>
      <w:rPr>
        <w:rFonts w:ascii="Arial" w:hAnsi="Arial" w:hint="default"/>
      </w:rPr>
    </w:lvl>
    <w:lvl w:ilvl="6" w:tplc="8ECA7288" w:tentative="1">
      <w:start w:val="1"/>
      <w:numFmt w:val="bullet"/>
      <w:lvlText w:val="•"/>
      <w:lvlJc w:val="left"/>
      <w:pPr>
        <w:tabs>
          <w:tab w:val="num" w:pos="5040"/>
        </w:tabs>
        <w:ind w:left="5040" w:hanging="360"/>
      </w:pPr>
      <w:rPr>
        <w:rFonts w:ascii="Arial" w:hAnsi="Arial" w:hint="default"/>
      </w:rPr>
    </w:lvl>
    <w:lvl w:ilvl="7" w:tplc="643A7120" w:tentative="1">
      <w:start w:val="1"/>
      <w:numFmt w:val="bullet"/>
      <w:lvlText w:val="•"/>
      <w:lvlJc w:val="left"/>
      <w:pPr>
        <w:tabs>
          <w:tab w:val="num" w:pos="5760"/>
        </w:tabs>
        <w:ind w:left="5760" w:hanging="360"/>
      </w:pPr>
      <w:rPr>
        <w:rFonts w:ascii="Arial" w:hAnsi="Arial" w:hint="default"/>
      </w:rPr>
    </w:lvl>
    <w:lvl w:ilvl="8" w:tplc="32F65FE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6BA0554"/>
    <w:multiLevelType w:val="hybridMultilevel"/>
    <w:tmpl w:val="4C6C38AC"/>
    <w:lvl w:ilvl="0" w:tplc="ADA07D10">
      <w:start w:val="1"/>
      <w:numFmt w:val="bullet"/>
      <w:lvlText w:val="•"/>
      <w:lvlJc w:val="left"/>
      <w:pPr>
        <w:tabs>
          <w:tab w:val="num" w:pos="720"/>
        </w:tabs>
        <w:ind w:left="720" w:hanging="360"/>
      </w:pPr>
      <w:rPr>
        <w:rFonts w:ascii="Arial" w:hAnsi="Arial" w:hint="default"/>
      </w:rPr>
    </w:lvl>
    <w:lvl w:ilvl="1" w:tplc="586825DA" w:tentative="1">
      <w:start w:val="1"/>
      <w:numFmt w:val="bullet"/>
      <w:lvlText w:val="•"/>
      <w:lvlJc w:val="left"/>
      <w:pPr>
        <w:tabs>
          <w:tab w:val="num" w:pos="1440"/>
        </w:tabs>
        <w:ind w:left="1440" w:hanging="360"/>
      </w:pPr>
      <w:rPr>
        <w:rFonts w:ascii="Arial" w:hAnsi="Arial" w:hint="default"/>
      </w:rPr>
    </w:lvl>
    <w:lvl w:ilvl="2" w:tplc="87C4F122" w:tentative="1">
      <w:start w:val="1"/>
      <w:numFmt w:val="bullet"/>
      <w:lvlText w:val="•"/>
      <w:lvlJc w:val="left"/>
      <w:pPr>
        <w:tabs>
          <w:tab w:val="num" w:pos="2160"/>
        </w:tabs>
        <w:ind w:left="2160" w:hanging="360"/>
      </w:pPr>
      <w:rPr>
        <w:rFonts w:ascii="Arial" w:hAnsi="Arial" w:hint="default"/>
      </w:rPr>
    </w:lvl>
    <w:lvl w:ilvl="3" w:tplc="680AB1B8" w:tentative="1">
      <w:start w:val="1"/>
      <w:numFmt w:val="bullet"/>
      <w:lvlText w:val="•"/>
      <w:lvlJc w:val="left"/>
      <w:pPr>
        <w:tabs>
          <w:tab w:val="num" w:pos="2880"/>
        </w:tabs>
        <w:ind w:left="2880" w:hanging="360"/>
      </w:pPr>
      <w:rPr>
        <w:rFonts w:ascii="Arial" w:hAnsi="Arial" w:hint="default"/>
      </w:rPr>
    </w:lvl>
    <w:lvl w:ilvl="4" w:tplc="9522BA8A" w:tentative="1">
      <w:start w:val="1"/>
      <w:numFmt w:val="bullet"/>
      <w:lvlText w:val="•"/>
      <w:lvlJc w:val="left"/>
      <w:pPr>
        <w:tabs>
          <w:tab w:val="num" w:pos="3600"/>
        </w:tabs>
        <w:ind w:left="3600" w:hanging="360"/>
      </w:pPr>
      <w:rPr>
        <w:rFonts w:ascii="Arial" w:hAnsi="Arial" w:hint="default"/>
      </w:rPr>
    </w:lvl>
    <w:lvl w:ilvl="5" w:tplc="DD688806" w:tentative="1">
      <w:start w:val="1"/>
      <w:numFmt w:val="bullet"/>
      <w:lvlText w:val="•"/>
      <w:lvlJc w:val="left"/>
      <w:pPr>
        <w:tabs>
          <w:tab w:val="num" w:pos="4320"/>
        </w:tabs>
        <w:ind w:left="4320" w:hanging="360"/>
      </w:pPr>
      <w:rPr>
        <w:rFonts w:ascii="Arial" w:hAnsi="Arial" w:hint="default"/>
      </w:rPr>
    </w:lvl>
    <w:lvl w:ilvl="6" w:tplc="C998425E" w:tentative="1">
      <w:start w:val="1"/>
      <w:numFmt w:val="bullet"/>
      <w:lvlText w:val="•"/>
      <w:lvlJc w:val="left"/>
      <w:pPr>
        <w:tabs>
          <w:tab w:val="num" w:pos="5040"/>
        </w:tabs>
        <w:ind w:left="5040" w:hanging="360"/>
      </w:pPr>
      <w:rPr>
        <w:rFonts w:ascii="Arial" w:hAnsi="Arial" w:hint="default"/>
      </w:rPr>
    </w:lvl>
    <w:lvl w:ilvl="7" w:tplc="9DD22EEE" w:tentative="1">
      <w:start w:val="1"/>
      <w:numFmt w:val="bullet"/>
      <w:lvlText w:val="•"/>
      <w:lvlJc w:val="left"/>
      <w:pPr>
        <w:tabs>
          <w:tab w:val="num" w:pos="5760"/>
        </w:tabs>
        <w:ind w:left="5760" w:hanging="360"/>
      </w:pPr>
      <w:rPr>
        <w:rFonts w:ascii="Arial" w:hAnsi="Arial" w:hint="default"/>
      </w:rPr>
    </w:lvl>
    <w:lvl w:ilvl="8" w:tplc="E2ACA24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AA02E22"/>
    <w:multiLevelType w:val="hybridMultilevel"/>
    <w:tmpl w:val="45EC01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38315D"/>
    <w:multiLevelType w:val="hybridMultilevel"/>
    <w:tmpl w:val="DA14B9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59D26C8"/>
    <w:multiLevelType w:val="hybridMultilevel"/>
    <w:tmpl w:val="55A62192"/>
    <w:lvl w:ilvl="0" w:tplc="798A2C92">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A95B2B"/>
    <w:multiLevelType w:val="hybridMultilevel"/>
    <w:tmpl w:val="24FE71C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58A1B1A"/>
    <w:multiLevelType w:val="multilevel"/>
    <w:tmpl w:val="B1580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AF1C81"/>
    <w:multiLevelType w:val="hybridMultilevel"/>
    <w:tmpl w:val="800230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B741657"/>
    <w:multiLevelType w:val="hybridMultilevel"/>
    <w:tmpl w:val="9E3CD346"/>
    <w:lvl w:ilvl="0" w:tplc="E41C970C">
      <w:start w:val="1"/>
      <w:numFmt w:val="bullet"/>
      <w:lvlText w:val="•"/>
      <w:lvlJc w:val="left"/>
      <w:pPr>
        <w:tabs>
          <w:tab w:val="num" w:pos="720"/>
        </w:tabs>
        <w:ind w:left="720" w:hanging="360"/>
      </w:pPr>
      <w:rPr>
        <w:rFonts w:ascii="Arial" w:hAnsi="Arial" w:hint="default"/>
      </w:rPr>
    </w:lvl>
    <w:lvl w:ilvl="1" w:tplc="40AC961C" w:tentative="1">
      <w:start w:val="1"/>
      <w:numFmt w:val="bullet"/>
      <w:lvlText w:val="•"/>
      <w:lvlJc w:val="left"/>
      <w:pPr>
        <w:tabs>
          <w:tab w:val="num" w:pos="1440"/>
        </w:tabs>
        <w:ind w:left="1440" w:hanging="360"/>
      </w:pPr>
      <w:rPr>
        <w:rFonts w:ascii="Arial" w:hAnsi="Arial" w:hint="default"/>
      </w:rPr>
    </w:lvl>
    <w:lvl w:ilvl="2" w:tplc="41223936" w:tentative="1">
      <w:start w:val="1"/>
      <w:numFmt w:val="bullet"/>
      <w:lvlText w:val="•"/>
      <w:lvlJc w:val="left"/>
      <w:pPr>
        <w:tabs>
          <w:tab w:val="num" w:pos="2160"/>
        </w:tabs>
        <w:ind w:left="2160" w:hanging="360"/>
      </w:pPr>
      <w:rPr>
        <w:rFonts w:ascii="Arial" w:hAnsi="Arial" w:hint="default"/>
      </w:rPr>
    </w:lvl>
    <w:lvl w:ilvl="3" w:tplc="18D298F6" w:tentative="1">
      <w:start w:val="1"/>
      <w:numFmt w:val="bullet"/>
      <w:lvlText w:val="•"/>
      <w:lvlJc w:val="left"/>
      <w:pPr>
        <w:tabs>
          <w:tab w:val="num" w:pos="2880"/>
        </w:tabs>
        <w:ind w:left="2880" w:hanging="360"/>
      </w:pPr>
      <w:rPr>
        <w:rFonts w:ascii="Arial" w:hAnsi="Arial" w:hint="default"/>
      </w:rPr>
    </w:lvl>
    <w:lvl w:ilvl="4" w:tplc="A27E5E3C" w:tentative="1">
      <w:start w:val="1"/>
      <w:numFmt w:val="bullet"/>
      <w:lvlText w:val="•"/>
      <w:lvlJc w:val="left"/>
      <w:pPr>
        <w:tabs>
          <w:tab w:val="num" w:pos="3600"/>
        </w:tabs>
        <w:ind w:left="3600" w:hanging="360"/>
      </w:pPr>
      <w:rPr>
        <w:rFonts w:ascii="Arial" w:hAnsi="Arial" w:hint="default"/>
      </w:rPr>
    </w:lvl>
    <w:lvl w:ilvl="5" w:tplc="851E4FB0" w:tentative="1">
      <w:start w:val="1"/>
      <w:numFmt w:val="bullet"/>
      <w:lvlText w:val="•"/>
      <w:lvlJc w:val="left"/>
      <w:pPr>
        <w:tabs>
          <w:tab w:val="num" w:pos="4320"/>
        </w:tabs>
        <w:ind w:left="4320" w:hanging="360"/>
      </w:pPr>
      <w:rPr>
        <w:rFonts w:ascii="Arial" w:hAnsi="Arial" w:hint="default"/>
      </w:rPr>
    </w:lvl>
    <w:lvl w:ilvl="6" w:tplc="828006BC" w:tentative="1">
      <w:start w:val="1"/>
      <w:numFmt w:val="bullet"/>
      <w:lvlText w:val="•"/>
      <w:lvlJc w:val="left"/>
      <w:pPr>
        <w:tabs>
          <w:tab w:val="num" w:pos="5040"/>
        </w:tabs>
        <w:ind w:left="5040" w:hanging="360"/>
      </w:pPr>
      <w:rPr>
        <w:rFonts w:ascii="Arial" w:hAnsi="Arial" w:hint="default"/>
      </w:rPr>
    </w:lvl>
    <w:lvl w:ilvl="7" w:tplc="A94EC8F0" w:tentative="1">
      <w:start w:val="1"/>
      <w:numFmt w:val="bullet"/>
      <w:lvlText w:val="•"/>
      <w:lvlJc w:val="left"/>
      <w:pPr>
        <w:tabs>
          <w:tab w:val="num" w:pos="5760"/>
        </w:tabs>
        <w:ind w:left="5760" w:hanging="360"/>
      </w:pPr>
      <w:rPr>
        <w:rFonts w:ascii="Arial" w:hAnsi="Arial" w:hint="default"/>
      </w:rPr>
    </w:lvl>
    <w:lvl w:ilvl="8" w:tplc="13EE0FAC"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53D25823"/>
    <w:multiLevelType w:val="hybridMultilevel"/>
    <w:tmpl w:val="09822A3A"/>
    <w:lvl w:ilvl="0" w:tplc="6E7AD59A">
      <w:start w:val="1"/>
      <w:numFmt w:val="bullet"/>
      <w:lvlText w:val="•"/>
      <w:lvlJc w:val="left"/>
      <w:pPr>
        <w:tabs>
          <w:tab w:val="num" w:pos="720"/>
        </w:tabs>
        <w:ind w:left="720" w:hanging="360"/>
      </w:pPr>
      <w:rPr>
        <w:rFonts w:ascii="Arial" w:hAnsi="Arial" w:hint="default"/>
      </w:rPr>
    </w:lvl>
    <w:lvl w:ilvl="1" w:tplc="3116842A" w:tentative="1">
      <w:start w:val="1"/>
      <w:numFmt w:val="bullet"/>
      <w:lvlText w:val="•"/>
      <w:lvlJc w:val="left"/>
      <w:pPr>
        <w:tabs>
          <w:tab w:val="num" w:pos="1440"/>
        </w:tabs>
        <w:ind w:left="1440" w:hanging="360"/>
      </w:pPr>
      <w:rPr>
        <w:rFonts w:ascii="Arial" w:hAnsi="Arial" w:hint="default"/>
      </w:rPr>
    </w:lvl>
    <w:lvl w:ilvl="2" w:tplc="B9D0DAB0" w:tentative="1">
      <w:start w:val="1"/>
      <w:numFmt w:val="bullet"/>
      <w:lvlText w:val="•"/>
      <w:lvlJc w:val="left"/>
      <w:pPr>
        <w:tabs>
          <w:tab w:val="num" w:pos="2160"/>
        </w:tabs>
        <w:ind w:left="2160" w:hanging="360"/>
      </w:pPr>
      <w:rPr>
        <w:rFonts w:ascii="Arial" w:hAnsi="Arial" w:hint="default"/>
      </w:rPr>
    </w:lvl>
    <w:lvl w:ilvl="3" w:tplc="1790654A" w:tentative="1">
      <w:start w:val="1"/>
      <w:numFmt w:val="bullet"/>
      <w:lvlText w:val="•"/>
      <w:lvlJc w:val="left"/>
      <w:pPr>
        <w:tabs>
          <w:tab w:val="num" w:pos="2880"/>
        </w:tabs>
        <w:ind w:left="2880" w:hanging="360"/>
      </w:pPr>
      <w:rPr>
        <w:rFonts w:ascii="Arial" w:hAnsi="Arial" w:hint="default"/>
      </w:rPr>
    </w:lvl>
    <w:lvl w:ilvl="4" w:tplc="55CAA184" w:tentative="1">
      <w:start w:val="1"/>
      <w:numFmt w:val="bullet"/>
      <w:lvlText w:val="•"/>
      <w:lvlJc w:val="left"/>
      <w:pPr>
        <w:tabs>
          <w:tab w:val="num" w:pos="3600"/>
        </w:tabs>
        <w:ind w:left="3600" w:hanging="360"/>
      </w:pPr>
      <w:rPr>
        <w:rFonts w:ascii="Arial" w:hAnsi="Arial" w:hint="default"/>
      </w:rPr>
    </w:lvl>
    <w:lvl w:ilvl="5" w:tplc="D8EA2732" w:tentative="1">
      <w:start w:val="1"/>
      <w:numFmt w:val="bullet"/>
      <w:lvlText w:val="•"/>
      <w:lvlJc w:val="left"/>
      <w:pPr>
        <w:tabs>
          <w:tab w:val="num" w:pos="4320"/>
        </w:tabs>
        <w:ind w:left="4320" w:hanging="360"/>
      </w:pPr>
      <w:rPr>
        <w:rFonts w:ascii="Arial" w:hAnsi="Arial" w:hint="default"/>
      </w:rPr>
    </w:lvl>
    <w:lvl w:ilvl="6" w:tplc="0896D1F8" w:tentative="1">
      <w:start w:val="1"/>
      <w:numFmt w:val="bullet"/>
      <w:lvlText w:val="•"/>
      <w:lvlJc w:val="left"/>
      <w:pPr>
        <w:tabs>
          <w:tab w:val="num" w:pos="5040"/>
        </w:tabs>
        <w:ind w:left="5040" w:hanging="360"/>
      </w:pPr>
      <w:rPr>
        <w:rFonts w:ascii="Arial" w:hAnsi="Arial" w:hint="default"/>
      </w:rPr>
    </w:lvl>
    <w:lvl w:ilvl="7" w:tplc="C2CA3936" w:tentative="1">
      <w:start w:val="1"/>
      <w:numFmt w:val="bullet"/>
      <w:lvlText w:val="•"/>
      <w:lvlJc w:val="left"/>
      <w:pPr>
        <w:tabs>
          <w:tab w:val="num" w:pos="5760"/>
        </w:tabs>
        <w:ind w:left="5760" w:hanging="360"/>
      </w:pPr>
      <w:rPr>
        <w:rFonts w:ascii="Arial" w:hAnsi="Arial" w:hint="default"/>
      </w:rPr>
    </w:lvl>
    <w:lvl w:ilvl="8" w:tplc="5B880D0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578B4922"/>
    <w:multiLevelType w:val="hybridMultilevel"/>
    <w:tmpl w:val="B07CF73C"/>
    <w:lvl w:ilvl="0" w:tplc="78DACFF2">
      <w:start w:val="1"/>
      <w:numFmt w:val="bullet"/>
      <w:lvlText w:val="•"/>
      <w:lvlJc w:val="left"/>
      <w:pPr>
        <w:tabs>
          <w:tab w:val="num" w:pos="720"/>
        </w:tabs>
        <w:ind w:left="720" w:hanging="360"/>
      </w:pPr>
      <w:rPr>
        <w:rFonts w:ascii="Arial" w:hAnsi="Arial" w:hint="default"/>
      </w:rPr>
    </w:lvl>
    <w:lvl w:ilvl="1" w:tplc="F314CAD0" w:tentative="1">
      <w:start w:val="1"/>
      <w:numFmt w:val="bullet"/>
      <w:lvlText w:val="•"/>
      <w:lvlJc w:val="left"/>
      <w:pPr>
        <w:tabs>
          <w:tab w:val="num" w:pos="1440"/>
        </w:tabs>
        <w:ind w:left="1440" w:hanging="360"/>
      </w:pPr>
      <w:rPr>
        <w:rFonts w:ascii="Arial" w:hAnsi="Arial" w:hint="default"/>
      </w:rPr>
    </w:lvl>
    <w:lvl w:ilvl="2" w:tplc="49B29806" w:tentative="1">
      <w:start w:val="1"/>
      <w:numFmt w:val="bullet"/>
      <w:lvlText w:val="•"/>
      <w:lvlJc w:val="left"/>
      <w:pPr>
        <w:tabs>
          <w:tab w:val="num" w:pos="2160"/>
        </w:tabs>
        <w:ind w:left="2160" w:hanging="360"/>
      </w:pPr>
      <w:rPr>
        <w:rFonts w:ascii="Arial" w:hAnsi="Arial" w:hint="default"/>
      </w:rPr>
    </w:lvl>
    <w:lvl w:ilvl="3" w:tplc="826E36FC" w:tentative="1">
      <w:start w:val="1"/>
      <w:numFmt w:val="bullet"/>
      <w:lvlText w:val="•"/>
      <w:lvlJc w:val="left"/>
      <w:pPr>
        <w:tabs>
          <w:tab w:val="num" w:pos="2880"/>
        </w:tabs>
        <w:ind w:left="2880" w:hanging="360"/>
      </w:pPr>
      <w:rPr>
        <w:rFonts w:ascii="Arial" w:hAnsi="Arial" w:hint="default"/>
      </w:rPr>
    </w:lvl>
    <w:lvl w:ilvl="4" w:tplc="BBF072B2" w:tentative="1">
      <w:start w:val="1"/>
      <w:numFmt w:val="bullet"/>
      <w:lvlText w:val="•"/>
      <w:lvlJc w:val="left"/>
      <w:pPr>
        <w:tabs>
          <w:tab w:val="num" w:pos="3600"/>
        </w:tabs>
        <w:ind w:left="3600" w:hanging="360"/>
      </w:pPr>
      <w:rPr>
        <w:rFonts w:ascii="Arial" w:hAnsi="Arial" w:hint="default"/>
      </w:rPr>
    </w:lvl>
    <w:lvl w:ilvl="5" w:tplc="A69421D0" w:tentative="1">
      <w:start w:val="1"/>
      <w:numFmt w:val="bullet"/>
      <w:lvlText w:val="•"/>
      <w:lvlJc w:val="left"/>
      <w:pPr>
        <w:tabs>
          <w:tab w:val="num" w:pos="4320"/>
        </w:tabs>
        <w:ind w:left="4320" w:hanging="360"/>
      </w:pPr>
      <w:rPr>
        <w:rFonts w:ascii="Arial" w:hAnsi="Arial" w:hint="default"/>
      </w:rPr>
    </w:lvl>
    <w:lvl w:ilvl="6" w:tplc="890AC744" w:tentative="1">
      <w:start w:val="1"/>
      <w:numFmt w:val="bullet"/>
      <w:lvlText w:val="•"/>
      <w:lvlJc w:val="left"/>
      <w:pPr>
        <w:tabs>
          <w:tab w:val="num" w:pos="5040"/>
        </w:tabs>
        <w:ind w:left="5040" w:hanging="360"/>
      </w:pPr>
      <w:rPr>
        <w:rFonts w:ascii="Arial" w:hAnsi="Arial" w:hint="default"/>
      </w:rPr>
    </w:lvl>
    <w:lvl w:ilvl="7" w:tplc="18CEE588" w:tentative="1">
      <w:start w:val="1"/>
      <w:numFmt w:val="bullet"/>
      <w:lvlText w:val="•"/>
      <w:lvlJc w:val="left"/>
      <w:pPr>
        <w:tabs>
          <w:tab w:val="num" w:pos="5760"/>
        </w:tabs>
        <w:ind w:left="5760" w:hanging="360"/>
      </w:pPr>
      <w:rPr>
        <w:rFonts w:ascii="Arial" w:hAnsi="Arial" w:hint="default"/>
      </w:rPr>
    </w:lvl>
    <w:lvl w:ilvl="8" w:tplc="3E70DD2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6E022261"/>
    <w:multiLevelType w:val="hybridMultilevel"/>
    <w:tmpl w:val="A51005C4"/>
    <w:lvl w:ilvl="0" w:tplc="A6D6E1C2">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62E14B7"/>
    <w:multiLevelType w:val="hybridMultilevel"/>
    <w:tmpl w:val="E18A1EB6"/>
    <w:lvl w:ilvl="0" w:tplc="7F206808">
      <w:start w:val="1"/>
      <w:numFmt w:val="bullet"/>
      <w:lvlText w:val="•"/>
      <w:lvlJc w:val="left"/>
      <w:pPr>
        <w:tabs>
          <w:tab w:val="num" w:pos="720"/>
        </w:tabs>
        <w:ind w:left="720" w:hanging="360"/>
      </w:pPr>
      <w:rPr>
        <w:rFonts w:ascii="Arial" w:hAnsi="Arial" w:hint="default"/>
      </w:rPr>
    </w:lvl>
    <w:lvl w:ilvl="1" w:tplc="774897E0" w:tentative="1">
      <w:start w:val="1"/>
      <w:numFmt w:val="bullet"/>
      <w:lvlText w:val="•"/>
      <w:lvlJc w:val="left"/>
      <w:pPr>
        <w:tabs>
          <w:tab w:val="num" w:pos="1440"/>
        </w:tabs>
        <w:ind w:left="1440" w:hanging="360"/>
      </w:pPr>
      <w:rPr>
        <w:rFonts w:ascii="Arial" w:hAnsi="Arial" w:hint="default"/>
      </w:rPr>
    </w:lvl>
    <w:lvl w:ilvl="2" w:tplc="EB76C432" w:tentative="1">
      <w:start w:val="1"/>
      <w:numFmt w:val="bullet"/>
      <w:lvlText w:val="•"/>
      <w:lvlJc w:val="left"/>
      <w:pPr>
        <w:tabs>
          <w:tab w:val="num" w:pos="2160"/>
        </w:tabs>
        <w:ind w:left="2160" w:hanging="360"/>
      </w:pPr>
      <w:rPr>
        <w:rFonts w:ascii="Arial" w:hAnsi="Arial" w:hint="default"/>
      </w:rPr>
    </w:lvl>
    <w:lvl w:ilvl="3" w:tplc="3374352C" w:tentative="1">
      <w:start w:val="1"/>
      <w:numFmt w:val="bullet"/>
      <w:lvlText w:val="•"/>
      <w:lvlJc w:val="left"/>
      <w:pPr>
        <w:tabs>
          <w:tab w:val="num" w:pos="2880"/>
        </w:tabs>
        <w:ind w:left="2880" w:hanging="360"/>
      </w:pPr>
      <w:rPr>
        <w:rFonts w:ascii="Arial" w:hAnsi="Arial" w:hint="default"/>
      </w:rPr>
    </w:lvl>
    <w:lvl w:ilvl="4" w:tplc="6694DD52" w:tentative="1">
      <w:start w:val="1"/>
      <w:numFmt w:val="bullet"/>
      <w:lvlText w:val="•"/>
      <w:lvlJc w:val="left"/>
      <w:pPr>
        <w:tabs>
          <w:tab w:val="num" w:pos="3600"/>
        </w:tabs>
        <w:ind w:left="3600" w:hanging="360"/>
      </w:pPr>
      <w:rPr>
        <w:rFonts w:ascii="Arial" w:hAnsi="Arial" w:hint="default"/>
      </w:rPr>
    </w:lvl>
    <w:lvl w:ilvl="5" w:tplc="3DCE8C0C" w:tentative="1">
      <w:start w:val="1"/>
      <w:numFmt w:val="bullet"/>
      <w:lvlText w:val="•"/>
      <w:lvlJc w:val="left"/>
      <w:pPr>
        <w:tabs>
          <w:tab w:val="num" w:pos="4320"/>
        </w:tabs>
        <w:ind w:left="4320" w:hanging="360"/>
      </w:pPr>
      <w:rPr>
        <w:rFonts w:ascii="Arial" w:hAnsi="Arial" w:hint="default"/>
      </w:rPr>
    </w:lvl>
    <w:lvl w:ilvl="6" w:tplc="1E9A635A" w:tentative="1">
      <w:start w:val="1"/>
      <w:numFmt w:val="bullet"/>
      <w:lvlText w:val="•"/>
      <w:lvlJc w:val="left"/>
      <w:pPr>
        <w:tabs>
          <w:tab w:val="num" w:pos="5040"/>
        </w:tabs>
        <w:ind w:left="5040" w:hanging="360"/>
      </w:pPr>
      <w:rPr>
        <w:rFonts w:ascii="Arial" w:hAnsi="Arial" w:hint="default"/>
      </w:rPr>
    </w:lvl>
    <w:lvl w:ilvl="7" w:tplc="DC961808" w:tentative="1">
      <w:start w:val="1"/>
      <w:numFmt w:val="bullet"/>
      <w:lvlText w:val="•"/>
      <w:lvlJc w:val="left"/>
      <w:pPr>
        <w:tabs>
          <w:tab w:val="num" w:pos="5760"/>
        </w:tabs>
        <w:ind w:left="5760" w:hanging="360"/>
      </w:pPr>
      <w:rPr>
        <w:rFonts w:ascii="Arial" w:hAnsi="Arial" w:hint="default"/>
      </w:rPr>
    </w:lvl>
    <w:lvl w:ilvl="8" w:tplc="488ECBD8"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7E6A0709"/>
    <w:multiLevelType w:val="hybridMultilevel"/>
    <w:tmpl w:val="4BE4F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E920397"/>
    <w:multiLevelType w:val="hybridMultilevel"/>
    <w:tmpl w:val="EEF257D2"/>
    <w:lvl w:ilvl="0" w:tplc="A82C13F4">
      <w:start w:val="1"/>
      <w:numFmt w:val="bullet"/>
      <w:lvlText w:val="•"/>
      <w:lvlJc w:val="left"/>
      <w:pPr>
        <w:tabs>
          <w:tab w:val="num" w:pos="720"/>
        </w:tabs>
        <w:ind w:left="720" w:hanging="360"/>
      </w:pPr>
      <w:rPr>
        <w:rFonts w:ascii="Arial" w:hAnsi="Arial" w:hint="default"/>
      </w:rPr>
    </w:lvl>
    <w:lvl w:ilvl="1" w:tplc="F64C8D34" w:tentative="1">
      <w:start w:val="1"/>
      <w:numFmt w:val="bullet"/>
      <w:lvlText w:val="•"/>
      <w:lvlJc w:val="left"/>
      <w:pPr>
        <w:tabs>
          <w:tab w:val="num" w:pos="1440"/>
        </w:tabs>
        <w:ind w:left="1440" w:hanging="360"/>
      </w:pPr>
      <w:rPr>
        <w:rFonts w:ascii="Arial" w:hAnsi="Arial" w:hint="default"/>
      </w:rPr>
    </w:lvl>
    <w:lvl w:ilvl="2" w:tplc="949E1CC8" w:tentative="1">
      <w:start w:val="1"/>
      <w:numFmt w:val="bullet"/>
      <w:lvlText w:val="•"/>
      <w:lvlJc w:val="left"/>
      <w:pPr>
        <w:tabs>
          <w:tab w:val="num" w:pos="2160"/>
        </w:tabs>
        <w:ind w:left="2160" w:hanging="360"/>
      </w:pPr>
      <w:rPr>
        <w:rFonts w:ascii="Arial" w:hAnsi="Arial" w:hint="default"/>
      </w:rPr>
    </w:lvl>
    <w:lvl w:ilvl="3" w:tplc="7BA853CE" w:tentative="1">
      <w:start w:val="1"/>
      <w:numFmt w:val="bullet"/>
      <w:lvlText w:val="•"/>
      <w:lvlJc w:val="left"/>
      <w:pPr>
        <w:tabs>
          <w:tab w:val="num" w:pos="2880"/>
        </w:tabs>
        <w:ind w:left="2880" w:hanging="360"/>
      </w:pPr>
      <w:rPr>
        <w:rFonts w:ascii="Arial" w:hAnsi="Arial" w:hint="default"/>
      </w:rPr>
    </w:lvl>
    <w:lvl w:ilvl="4" w:tplc="731C7E4A" w:tentative="1">
      <w:start w:val="1"/>
      <w:numFmt w:val="bullet"/>
      <w:lvlText w:val="•"/>
      <w:lvlJc w:val="left"/>
      <w:pPr>
        <w:tabs>
          <w:tab w:val="num" w:pos="3600"/>
        </w:tabs>
        <w:ind w:left="3600" w:hanging="360"/>
      </w:pPr>
      <w:rPr>
        <w:rFonts w:ascii="Arial" w:hAnsi="Arial" w:hint="default"/>
      </w:rPr>
    </w:lvl>
    <w:lvl w:ilvl="5" w:tplc="7B0A98EE" w:tentative="1">
      <w:start w:val="1"/>
      <w:numFmt w:val="bullet"/>
      <w:lvlText w:val="•"/>
      <w:lvlJc w:val="left"/>
      <w:pPr>
        <w:tabs>
          <w:tab w:val="num" w:pos="4320"/>
        </w:tabs>
        <w:ind w:left="4320" w:hanging="360"/>
      </w:pPr>
      <w:rPr>
        <w:rFonts w:ascii="Arial" w:hAnsi="Arial" w:hint="default"/>
      </w:rPr>
    </w:lvl>
    <w:lvl w:ilvl="6" w:tplc="7152E288" w:tentative="1">
      <w:start w:val="1"/>
      <w:numFmt w:val="bullet"/>
      <w:lvlText w:val="•"/>
      <w:lvlJc w:val="left"/>
      <w:pPr>
        <w:tabs>
          <w:tab w:val="num" w:pos="5040"/>
        </w:tabs>
        <w:ind w:left="5040" w:hanging="360"/>
      </w:pPr>
      <w:rPr>
        <w:rFonts w:ascii="Arial" w:hAnsi="Arial" w:hint="default"/>
      </w:rPr>
    </w:lvl>
    <w:lvl w:ilvl="7" w:tplc="305A7154" w:tentative="1">
      <w:start w:val="1"/>
      <w:numFmt w:val="bullet"/>
      <w:lvlText w:val="•"/>
      <w:lvlJc w:val="left"/>
      <w:pPr>
        <w:tabs>
          <w:tab w:val="num" w:pos="5760"/>
        </w:tabs>
        <w:ind w:left="5760" w:hanging="360"/>
      </w:pPr>
      <w:rPr>
        <w:rFonts w:ascii="Arial" w:hAnsi="Arial" w:hint="default"/>
      </w:rPr>
    </w:lvl>
    <w:lvl w:ilvl="8" w:tplc="40266938" w:tentative="1">
      <w:start w:val="1"/>
      <w:numFmt w:val="bullet"/>
      <w:lvlText w:val="•"/>
      <w:lvlJc w:val="left"/>
      <w:pPr>
        <w:tabs>
          <w:tab w:val="num" w:pos="6480"/>
        </w:tabs>
        <w:ind w:left="6480" w:hanging="360"/>
      </w:pPr>
      <w:rPr>
        <w:rFonts w:ascii="Arial" w:hAnsi="Arial" w:hint="default"/>
      </w:rPr>
    </w:lvl>
  </w:abstractNum>
  <w:num w:numId="1">
    <w:abstractNumId w:val="12"/>
  </w:num>
  <w:num w:numId="2">
    <w:abstractNumId w:val="8"/>
  </w:num>
  <w:num w:numId="3">
    <w:abstractNumId w:val="10"/>
  </w:num>
  <w:num w:numId="4">
    <w:abstractNumId w:val="9"/>
  </w:num>
  <w:num w:numId="5">
    <w:abstractNumId w:val="0"/>
  </w:num>
  <w:num w:numId="6">
    <w:abstractNumId w:val="1"/>
  </w:num>
  <w:num w:numId="7">
    <w:abstractNumId w:val="14"/>
  </w:num>
  <w:num w:numId="8">
    <w:abstractNumId w:val="5"/>
  </w:num>
  <w:num w:numId="9">
    <w:abstractNumId w:val="4"/>
  </w:num>
  <w:num w:numId="10">
    <w:abstractNumId w:val="11"/>
  </w:num>
  <w:num w:numId="11">
    <w:abstractNumId w:val="3"/>
  </w:num>
  <w:num w:numId="12">
    <w:abstractNumId w:val="13"/>
  </w:num>
  <w:num w:numId="13">
    <w:abstractNumId w:val="7"/>
  </w:num>
  <w:num w:numId="14">
    <w:abstractNumId w:val="6"/>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TQwNjAzsjQwMjE0NTRV0lEKTi0uzszPAykwqwUA3Z2aNywAAAA="/>
    <w:docVar w:name="EN.Layout" w:val="&lt;ENLayout&gt;&lt;Style&gt;Vancouver&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5paep2pgt2fs2ea2davfsa65xrvpefpwp5t&quot;&gt;Painreferences-Converted&lt;record-ids&gt;&lt;item&gt;2750&lt;/item&gt;&lt;item&gt;4743&lt;/item&gt;&lt;item&gt;5312&lt;/item&gt;&lt;item&gt;5395&lt;/item&gt;&lt;item&gt;5592&lt;/item&gt;&lt;item&gt;5596&lt;/item&gt;&lt;item&gt;5634&lt;/item&gt;&lt;item&gt;6148&lt;/item&gt;&lt;item&gt;6714&lt;/item&gt;&lt;item&gt;7011&lt;/item&gt;&lt;item&gt;7024&lt;/item&gt;&lt;item&gt;7324&lt;/item&gt;&lt;/record-ids&gt;&lt;/item&gt;&lt;/Libraries&gt;"/>
  </w:docVars>
  <w:rsids>
    <w:rsidRoot w:val="00794621"/>
    <w:rsid w:val="000070CA"/>
    <w:rsid w:val="0000763B"/>
    <w:rsid w:val="000078DD"/>
    <w:rsid w:val="000133A7"/>
    <w:rsid w:val="00014884"/>
    <w:rsid w:val="000158B9"/>
    <w:rsid w:val="00016BDF"/>
    <w:rsid w:val="00017DAB"/>
    <w:rsid w:val="00020EE0"/>
    <w:rsid w:val="000217E6"/>
    <w:rsid w:val="0002287A"/>
    <w:rsid w:val="000311A6"/>
    <w:rsid w:val="000370E0"/>
    <w:rsid w:val="0004107C"/>
    <w:rsid w:val="000420CC"/>
    <w:rsid w:val="000441F0"/>
    <w:rsid w:val="0005180E"/>
    <w:rsid w:val="000614DB"/>
    <w:rsid w:val="000629E7"/>
    <w:rsid w:val="0006380D"/>
    <w:rsid w:val="00066F37"/>
    <w:rsid w:val="00072335"/>
    <w:rsid w:val="00077CE9"/>
    <w:rsid w:val="0008089B"/>
    <w:rsid w:val="00081040"/>
    <w:rsid w:val="000839FA"/>
    <w:rsid w:val="00083FDF"/>
    <w:rsid w:val="000921F4"/>
    <w:rsid w:val="0009223F"/>
    <w:rsid w:val="000922B8"/>
    <w:rsid w:val="0009438E"/>
    <w:rsid w:val="0009548B"/>
    <w:rsid w:val="000955F8"/>
    <w:rsid w:val="0009677E"/>
    <w:rsid w:val="0009695F"/>
    <w:rsid w:val="00097A1E"/>
    <w:rsid w:val="000A22AD"/>
    <w:rsid w:val="000A3D2A"/>
    <w:rsid w:val="000A68B2"/>
    <w:rsid w:val="000B4AB4"/>
    <w:rsid w:val="000B50DE"/>
    <w:rsid w:val="000B5101"/>
    <w:rsid w:val="000B5A59"/>
    <w:rsid w:val="000C0365"/>
    <w:rsid w:val="000C470A"/>
    <w:rsid w:val="000C53BA"/>
    <w:rsid w:val="000C5C96"/>
    <w:rsid w:val="000C65CF"/>
    <w:rsid w:val="000D1401"/>
    <w:rsid w:val="000D49A3"/>
    <w:rsid w:val="000D5DC3"/>
    <w:rsid w:val="000E0CD6"/>
    <w:rsid w:val="000E0F6F"/>
    <w:rsid w:val="000E14F4"/>
    <w:rsid w:val="000E32C7"/>
    <w:rsid w:val="000F1CED"/>
    <w:rsid w:val="000F4807"/>
    <w:rsid w:val="000F64F2"/>
    <w:rsid w:val="000F7A70"/>
    <w:rsid w:val="001177D4"/>
    <w:rsid w:val="00124457"/>
    <w:rsid w:val="00124E64"/>
    <w:rsid w:val="001251AB"/>
    <w:rsid w:val="00125E44"/>
    <w:rsid w:val="0012618E"/>
    <w:rsid w:val="00127704"/>
    <w:rsid w:val="001329D7"/>
    <w:rsid w:val="0013313C"/>
    <w:rsid w:val="00133375"/>
    <w:rsid w:val="00134F69"/>
    <w:rsid w:val="001355D3"/>
    <w:rsid w:val="00136E0F"/>
    <w:rsid w:val="00137217"/>
    <w:rsid w:val="00141A29"/>
    <w:rsid w:val="00143A79"/>
    <w:rsid w:val="00144313"/>
    <w:rsid w:val="0015141E"/>
    <w:rsid w:val="00151C80"/>
    <w:rsid w:val="001529EA"/>
    <w:rsid w:val="0015567B"/>
    <w:rsid w:val="00161939"/>
    <w:rsid w:val="00164EBA"/>
    <w:rsid w:val="00165D39"/>
    <w:rsid w:val="001679B6"/>
    <w:rsid w:val="0017128E"/>
    <w:rsid w:val="001748CD"/>
    <w:rsid w:val="00174A4C"/>
    <w:rsid w:val="00174F6E"/>
    <w:rsid w:val="00181400"/>
    <w:rsid w:val="00183063"/>
    <w:rsid w:val="00190B08"/>
    <w:rsid w:val="00191027"/>
    <w:rsid w:val="00193490"/>
    <w:rsid w:val="00194611"/>
    <w:rsid w:val="00194697"/>
    <w:rsid w:val="001954A4"/>
    <w:rsid w:val="00196FD8"/>
    <w:rsid w:val="001A13BA"/>
    <w:rsid w:val="001A2DFC"/>
    <w:rsid w:val="001A3F65"/>
    <w:rsid w:val="001A621A"/>
    <w:rsid w:val="001B4D6B"/>
    <w:rsid w:val="001C36E5"/>
    <w:rsid w:val="001C370B"/>
    <w:rsid w:val="001C4D6A"/>
    <w:rsid w:val="001C512A"/>
    <w:rsid w:val="001C5EA8"/>
    <w:rsid w:val="001C74EC"/>
    <w:rsid w:val="001D03AB"/>
    <w:rsid w:val="001D2F73"/>
    <w:rsid w:val="001D41D1"/>
    <w:rsid w:val="001D4275"/>
    <w:rsid w:val="001D5156"/>
    <w:rsid w:val="001D5F59"/>
    <w:rsid w:val="001E11AA"/>
    <w:rsid w:val="001E22B1"/>
    <w:rsid w:val="001E32E4"/>
    <w:rsid w:val="001E3B09"/>
    <w:rsid w:val="001E72F7"/>
    <w:rsid w:val="001F12CA"/>
    <w:rsid w:val="001F2093"/>
    <w:rsid w:val="001F5306"/>
    <w:rsid w:val="001F58F5"/>
    <w:rsid w:val="001F7115"/>
    <w:rsid w:val="00201AC2"/>
    <w:rsid w:val="00202893"/>
    <w:rsid w:val="00204CAC"/>
    <w:rsid w:val="0020571A"/>
    <w:rsid w:val="00205DAD"/>
    <w:rsid w:val="0020617A"/>
    <w:rsid w:val="0020698B"/>
    <w:rsid w:val="00214109"/>
    <w:rsid w:val="00216645"/>
    <w:rsid w:val="00216DAB"/>
    <w:rsid w:val="00221835"/>
    <w:rsid w:val="002243C8"/>
    <w:rsid w:val="002247B4"/>
    <w:rsid w:val="00224B9C"/>
    <w:rsid w:val="0022621C"/>
    <w:rsid w:val="0022669E"/>
    <w:rsid w:val="0023730A"/>
    <w:rsid w:val="0024072E"/>
    <w:rsid w:val="0024073E"/>
    <w:rsid w:val="00241BF6"/>
    <w:rsid w:val="00246BF3"/>
    <w:rsid w:val="00252078"/>
    <w:rsid w:val="0025273A"/>
    <w:rsid w:val="002543F5"/>
    <w:rsid w:val="002579B7"/>
    <w:rsid w:val="00260538"/>
    <w:rsid w:val="00261569"/>
    <w:rsid w:val="002627D7"/>
    <w:rsid w:val="002708CC"/>
    <w:rsid w:val="00270E42"/>
    <w:rsid w:val="00274021"/>
    <w:rsid w:val="00274F98"/>
    <w:rsid w:val="00275BEF"/>
    <w:rsid w:val="0027669E"/>
    <w:rsid w:val="00280808"/>
    <w:rsid w:val="002814DD"/>
    <w:rsid w:val="00281EAB"/>
    <w:rsid w:val="00283E6A"/>
    <w:rsid w:val="00293B67"/>
    <w:rsid w:val="002954EB"/>
    <w:rsid w:val="0029694B"/>
    <w:rsid w:val="00297855"/>
    <w:rsid w:val="002A0A01"/>
    <w:rsid w:val="002A26E3"/>
    <w:rsid w:val="002A4146"/>
    <w:rsid w:val="002A75EA"/>
    <w:rsid w:val="002B10D3"/>
    <w:rsid w:val="002C1234"/>
    <w:rsid w:val="002C35D3"/>
    <w:rsid w:val="002C6933"/>
    <w:rsid w:val="002D07BA"/>
    <w:rsid w:val="002D58E3"/>
    <w:rsid w:val="002E001D"/>
    <w:rsid w:val="002E075F"/>
    <w:rsid w:val="002E0CC9"/>
    <w:rsid w:val="002E2064"/>
    <w:rsid w:val="002E2C44"/>
    <w:rsid w:val="002E36E0"/>
    <w:rsid w:val="002E3719"/>
    <w:rsid w:val="002E437E"/>
    <w:rsid w:val="002E5265"/>
    <w:rsid w:val="002E72A4"/>
    <w:rsid w:val="002F024E"/>
    <w:rsid w:val="002F4F62"/>
    <w:rsid w:val="002F6E7D"/>
    <w:rsid w:val="002F7474"/>
    <w:rsid w:val="00304070"/>
    <w:rsid w:val="00305FAE"/>
    <w:rsid w:val="00306DF4"/>
    <w:rsid w:val="00312B56"/>
    <w:rsid w:val="003168AE"/>
    <w:rsid w:val="00321374"/>
    <w:rsid w:val="00321A21"/>
    <w:rsid w:val="0032439B"/>
    <w:rsid w:val="0033360A"/>
    <w:rsid w:val="0033380A"/>
    <w:rsid w:val="00335738"/>
    <w:rsid w:val="00337CF6"/>
    <w:rsid w:val="00344610"/>
    <w:rsid w:val="00344A3F"/>
    <w:rsid w:val="00346A75"/>
    <w:rsid w:val="00347F21"/>
    <w:rsid w:val="00350A9C"/>
    <w:rsid w:val="00356CEC"/>
    <w:rsid w:val="00356F28"/>
    <w:rsid w:val="00360249"/>
    <w:rsid w:val="003612B7"/>
    <w:rsid w:val="0036245E"/>
    <w:rsid w:val="00365560"/>
    <w:rsid w:val="00366AC7"/>
    <w:rsid w:val="00370C9D"/>
    <w:rsid w:val="00372A50"/>
    <w:rsid w:val="003816C0"/>
    <w:rsid w:val="003818EF"/>
    <w:rsid w:val="00383952"/>
    <w:rsid w:val="0039097B"/>
    <w:rsid w:val="00390FD0"/>
    <w:rsid w:val="00395875"/>
    <w:rsid w:val="003961A6"/>
    <w:rsid w:val="0039721A"/>
    <w:rsid w:val="003A009E"/>
    <w:rsid w:val="003A265E"/>
    <w:rsid w:val="003A39F2"/>
    <w:rsid w:val="003A4C0F"/>
    <w:rsid w:val="003A56B3"/>
    <w:rsid w:val="003B05FE"/>
    <w:rsid w:val="003B1B5F"/>
    <w:rsid w:val="003B2594"/>
    <w:rsid w:val="003B4AA9"/>
    <w:rsid w:val="003B4BA1"/>
    <w:rsid w:val="003B5394"/>
    <w:rsid w:val="003B5BF6"/>
    <w:rsid w:val="003B731E"/>
    <w:rsid w:val="003C12E9"/>
    <w:rsid w:val="003C29E7"/>
    <w:rsid w:val="003C40D7"/>
    <w:rsid w:val="003C7005"/>
    <w:rsid w:val="003D0472"/>
    <w:rsid w:val="003D168A"/>
    <w:rsid w:val="003D4A04"/>
    <w:rsid w:val="003D5344"/>
    <w:rsid w:val="003D629B"/>
    <w:rsid w:val="003D6F34"/>
    <w:rsid w:val="003E2274"/>
    <w:rsid w:val="003E277D"/>
    <w:rsid w:val="003E3259"/>
    <w:rsid w:val="003E35A6"/>
    <w:rsid w:val="003E4171"/>
    <w:rsid w:val="003E4430"/>
    <w:rsid w:val="003E4E85"/>
    <w:rsid w:val="003E7646"/>
    <w:rsid w:val="003E7FCA"/>
    <w:rsid w:val="003F045C"/>
    <w:rsid w:val="003F10B2"/>
    <w:rsid w:val="003F31ED"/>
    <w:rsid w:val="003F4EAA"/>
    <w:rsid w:val="003F5FBF"/>
    <w:rsid w:val="0040050B"/>
    <w:rsid w:val="00401128"/>
    <w:rsid w:val="00401F24"/>
    <w:rsid w:val="00402993"/>
    <w:rsid w:val="00404BF1"/>
    <w:rsid w:val="00407679"/>
    <w:rsid w:val="00411AE0"/>
    <w:rsid w:val="00411B4A"/>
    <w:rsid w:val="00414959"/>
    <w:rsid w:val="004201DF"/>
    <w:rsid w:val="00422C4A"/>
    <w:rsid w:val="004265BF"/>
    <w:rsid w:val="00426AD2"/>
    <w:rsid w:val="00431BFE"/>
    <w:rsid w:val="00435E71"/>
    <w:rsid w:val="00441270"/>
    <w:rsid w:val="00441D15"/>
    <w:rsid w:val="0044705B"/>
    <w:rsid w:val="0044706C"/>
    <w:rsid w:val="0044778C"/>
    <w:rsid w:val="00447EA1"/>
    <w:rsid w:val="00454A94"/>
    <w:rsid w:val="00454FB2"/>
    <w:rsid w:val="00457B41"/>
    <w:rsid w:val="00461E9D"/>
    <w:rsid w:val="004620E4"/>
    <w:rsid w:val="00463511"/>
    <w:rsid w:val="0046370E"/>
    <w:rsid w:val="004656E5"/>
    <w:rsid w:val="00467664"/>
    <w:rsid w:val="0047148B"/>
    <w:rsid w:val="00471C9F"/>
    <w:rsid w:val="00474B43"/>
    <w:rsid w:val="00474EC6"/>
    <w:rsid w:val="00475360"/>
    <w:rsid w:val="004759D6"/>
    <w:rsid w:val="004802ED"/>
    <w:rsid w:val="004827DC"/>
    <w:rsid w:val="0048289C"/>
    <w:rsid w:val="00482E63"/>
    <w:rsid w:val="00482E81"/>
    <w:rsid w:val="0048420E"/>
    <w:rsid w:val="00485184"/>
    <w:rsid w:val="00486AAD"/>
    <w:rsid w:val="00490227"/>
    <w:rsid w:val="00490678"/>
    <w:rsid w:val="00491D09"/>
    <w:rsid w:val="00494439"/>
    <w:rsid w:val="00494D05"/>
    <w:rsid w:val="0049541C"/>
    <w:rsid w:val="00497D02"/>
    <w:rsid w:val="004A07E4"/>
    <w:rsid w:val="004A1A07"/>
    <w:rsid w:val="004A2BC0"/>
    <w:rsid w:val="004A6CEC"/>
    <w:rsid w:val="004A6F71"/>
    <w:rsid w:val="004A7897"/>
    <w:rsid w:val="004B029B"/>
    <w:rsid w:val="004B1178"/>
    <w:rsid w:val="004B17C0"/>
    <w:rsid w:val="004B309C"/>
    <w:rsid w:val="004C2DE6"/>
    <w:rsid w:val="004C3312"/>
    <w:rsid w:val="004C363C"/>
    <w:rsid w:val="004C3EEC"/>
    <w:rsid w:val="004C5EC2"/>
    <w:rsid w:val="004C66A4"/>
    <w:rsid w:val="004C6781"/>
    <w:rsid w:val="004D010A"/>
    <w:rsid w:val="004D015B"/>
    <w:rsid w:val="004D0253"/>
    <w:rsid w:val="004D0484"/>
    <w:rsid w:val="004D0612"/>
    <w:rsid w:val="004D2632"/>
    <w:rsid w:val="004D3412"/>
    <w:rsid w:val="004D395E"/>
    <w:rsid w:val="004D5B8C"/>
    <w:rsid w:val="004D651D"/>
    <w:rsid w:val="004D6A5E"/>
    <w:rsid w:val="004D7977"/>
    <w:rsid w:val="004E10CD"/>
    <w:rsid w:val="004E2247"/>
    <w:rsid w:val="004E5145"/>
    <w:rsid w:val="004E5151"/>
    <w:rsid w:val="004E51EB"/>
    <w:rsid w:val="004E7DA8"/>
    <w:rsid w:val="005000FE"/>
    <w:rsid w:val="00501456"/>
    <w:rsid w:val="005016F5"/>
    <w:rsid w:val="00501A95"/>
    <w:rsid w:val="00502262"/>
    <w:rsid w:val="00502AE9"/>
    <w:rsid w:val="00504A32"/>
    <w:rsid w:val="00505D78"/>
    <w:rsid w:val="00510300"/>
    <w:rsid w:val="00514F3C"/>
    <w:rsid w:val="00515C40"/>
    <w:rsid w:val="00515C5F"/>
    <w:rsid w:val="0052310B"/>
    <w:rsid w:val="005251A1"/>
    <w:rsid w:val="00526CE5"/>
    <w:rsid w:val="0053097C"/>
    <w:rsid w:val="0054071D"/>
    <w:rsid w:val="00541D2F"/>
    <w:rsid w:val="00541F4A"/>
    <w:rsid w:val="00541F93"/>
    <w:rsid w:val="00542DDD"/>
    <w:rsid w:val="005438B8"/>
    <w:rsid w:val="005439AB"/>
    <w:rsid w:val="00550393"/>
    <w:rsid w:val="00552458"/>
    <w:rsid w:val="005530F9"/>
    <w:rsid w:val="005534F8"/>
    <w:rsid w:val="00561CE3"/>
    <w:rsid w:val="00564802"/>
    <w:rsid w:val="005715B2"/>
    <w:rsid w:val="005726FB"/>
    <w:rsid w:val="00573514"/>
    <w:rsid w:val="005736B6"/>
    <w:rsid w:val="0057527C"/>
    <w:rsid w:val="00581DCD"/>
    <w:rsid w:val="00582231"/>
    <w:rsid w:val="00587A47"/>
    <w:rsid w:val="0059134A"/>
    <w:rsid w:val="0059551D"/>
    <w:rsid w:val="0059783F"/>
    <w:rsid w:val="0059792D"/>
    <w:rsid w:val="005A0477"/>
    <w:rsid w:val="005A0ACD"/>
    <w:rsid w:val="005A21F8"/>
    <w:rsid w:val="005A2631"/>
    <w:rsid w:val="005A3039"/>
    <w:rsid w:val="005A3271"/>
    <w:rsid w:val="005A7A15"/>
    <w:rsid w:val="005A7F4A"/>
    <w:rsid w:val="005B0E0A"/>
    <w:rsid w:val="005B4825"/>
    <w:rsid w:val="005B4FB1"/>
    <w:rsid w:val="005B7E5D"/>
    <w:rsid w:val="005C001D"/>
    <w:rsid w:val="005C01A7"/>
    <w:rsid w:val="005C18E7"/>
    <w:rsid w:val="005C2FC6"/>
    <w:rsid w:val="005C727A"/>
    <w:rsid w:val="005D14D8"/>
    <w:rsid w:val="005D1A53"/>
    <w:rsid w:val="005D2D0C"/>
    <w:rsid w:val="005D3598"/>
    <w:rsid w:val="005D6A5E"/>
    <w:rsid w:val="005E122B"/>
    <w:rsid w:val="005E3157"/>
    <w:rsid w:val="005E4874"/>
    <w:rsid w:val="005E6E66"/>
    <w:rsid w:val="005E77C2"/>
    <w:rsid w:val="005F1BBB"/>
    <w:rsid w:val="005F2CFD"/>
    <w:rsid w:val="005F33FF"/>
    <w:rsid w:val="005F4C63"/>
    <w:rsid w:val="005F54B7"/>
    <w:rsid w:val="005F65DE"/>
    <w:rsid w:val="00600B71"/>
    <w:rsid w:val="00601ADC"/>
    <w:rsid w:val="00602E09"/>
    <w:rsid w:val="00603955"/>
    <w:rsid w:val="006051CA"/>
    <w:rsid w:val="00606B90"/>
    <w:rsid w:val="00607848"/>
    <w:rsid w:val="00607ECA"/>
    <w:rsid w:val="00607F48"/>
    <w:rsid w:val="00612042"/>
    <w:rsid w:val="0061549F"/>
    <w:rsid w:val="00615EC6"/>
    <w:rsid w:val="00617000"/>
    <w:rsid w:val="006216A6"/>
    <w:rsid w:val="00622ED2"/>
    <w:rsid w:val="006231CF"/>
    <w:rsid w:val="00624025"/>
    <w:rsid w:val="00626277"/>
    <w:rsid w:val="00626D3F"/>
    <w:rsid w:val="00627386"/>
    <w:rsid w:val="00634AFA"/>
    <w:rsid w:val="00640328"/>
    <w:rsid w:val="006403FF"/>
    <w:rsid w:val="00642659"/>
    <w:rsid w:val="00643205"/>
    <w:rsid w:val="00643319"/>
    <w:rsid w:val="00644452"/>
    <w:rsid w:val="00645D85"/>
    <w:rsid w:val="006469C6"/>
    <w:rsid w:val="00647294"/>
    <w:rsid w:val="0064762D"/>
    <w:rsid w:val="006476ED"/>
    <w:rsid w:val="00647DC0"/>
    <w:rsid w:val="00660FA8"/>
    <w:rsid w:val="006615D5"/>
    <w:rsid w:val="00663933"/>
    <w:rsid w:val="00664E89"/>
    <w:rsid w:val="0066526A"/>
    <w:rsid w:val="00665F42"/>
    <w:rsid w:val="00674B25"/>
    <w:rsid w:val="00675CDB"/>
    <w:rsid w:val="00680678"/>
    <w:rsid w:val="00683BF1"/>
    <w:rsid w:val="0068677B"/>
    <w:rsid w:val="00686992"/>
    <w:rsid w:val="0069149E"/>
    <w:rsid w:val="00691674"/>
    <w:rsid w:val="00695233"/>
    <w:rsid w:val="00695454"/>
    <w:rsid w:val="0069576C"/>
    <w:rsid w:val="0069733F"/>
    <w:rsid w:val="006A095D"/>
    <w:rsid w:val="006A0A69"/>
    <w:rsid w:val="006A1311"/>
    <w:rsid w:val="006A67E0"/>
    <w:rsid w:val="006A7539"/>
    <w:rsid w:val="006B3C45"/>
    <w:rsid w:val="006B3D74"/>
    <w:rsid w:val="006B3E7F"/>
    <w:rsid w:val="006C3341"/>
    <w:rsid w:val="006C55EC"/>
    <w:rsid w:val="006C61E0"/>
    <w:rsid w:val="006C6208"/>
    <w:rsid w:val="006C6CBC"/>
    <w:rsid w:val="006D07C0"/>
    <w:rsid w:val="006D0C1A"/>
    <w:rsid w:val="006D2617"/>
    <w:rsid w:val="006D3C99"/>
    <w:rsid w:val="006E00AC"/>
    <w:rsid w:val="006E3EE2"/>
    <w:rsid w:val="006F2DB0"/>
    <w:rsid w:val="006F5E3C"/>
    <w:rsid w:val="006F6738"/>
    <w:rsid w:val="007013DE"/>
    <w:rsid w:val="007026F7"/>
    <w:rsid w:val="00705029"/>
    <w:rsid w:val="00705EFB"/>
    <w:rsid w:val="0070644B"/>
    <w:rsid w:val="00706FA8"/>
    <w:rsid w:val="00707510"/>
    <w:rsid w:val="007110B4"/>
    <w:rsid w:val="00712E24"/>
    <w:rsid w:val="00714C98"/>
    <w:rsid w:val="00716137"/>
    <w:rsid w:val="00717A99"/>
    <w:rsid w:val="00722A7C"/>
    <w:rsid w:val="00723514"/>
    <w:rsid w:val="007257A1"/>
    <w:rsid w:val="00725C5A"/>
    <w:rsid w:val="00726B9B"/>
    <w:rsid w:val="00727057"/>
    <w:rsid w:val="007277A1"/>
    <w:rsid w:val="007308E8"/>
    <w:rsid w:val="00734B68"/>
    <w:rsid w:val="00734C43"/>
    <w:rsid w:val="00750AB3"/>
    <w:rsid w:val="00752DD0"/>
    <w:rsid w:val="0075516A"/>
    <w:rsid w:val="00756A10"/>
    <w:rsid w:val="00760384"/>
    <w:rsid w:val="00762E1F"/>
    <w:rsid w:val="00763409"/>
    <w:rsid w:val="007635EC"/>
    <w:rsid w:val="00764424"/>
    <w:rsid w:val="00764B57"/>
    <w:rsid w:val="00765773"/>
    <w:rsid w:val="00766EB3"/>
    <w:rsid w:val="00767307"/>
    <w:rsid w:val="00770020"/>
    <w:rsid w:val="00776A4A"/>
    <w:rsid w:val="007800E3"/>
    <w:rsid w:val="00780B1D"/>
    <w:rsid w:val="007828E7"/>
    <w:rsid w:val="00784258"/>
    <w:rsid w:val="007868AA"/>
    <w:rsid w:val="00786D40"/>
    <w:rsid w:val="0079182E"/>
    <w:rsid w:val="007934FB"/>
    <w:rsid w:val="00794621"/>
    <w:rsid w:val="0079499A"/>
    <w:rsid w:val="00795969"/>
    <w:rsid w:val="00795EDE"/>
    <w:rsid w:val="007A0CF9"/>
    <w:rsid w:val="007A27DB"/>
    <w:rsid w:val="007A6DD3"/>
    <w:rsid w:val="007B2ECE"/>
    <w:rsid w:val="007B6890"/>
    <w:rsid w:val="007B7604"/>
    <w:rsid w:val="007C2BE9"/>
    <w:rsid w:val="007C536C"/>
    <w:rsid w:val="007C7EA0"/>
    <w:rsid w:val="007D0A30"/>
    <w:rsid w:val="007D133D"/>
    <w:rsid w:val="007D391E"/>
    <w:rsid w:val="007D60A5"/>
    <w:rsid w:val="007D6473"/>
    <w:rsid w:val="007D7E12"/>
    <w:rsid w:val="007F2734"/>
    <w:rsid w:val="007F4592"/>
    <w:rsid w:val="007F4941"/>
    <w:rsid w:val="007F4B4B"/>
    <w:rsid w:val="00802A26"/>
    <w:rsid w:val="008066AA"/>
    <w:rsid w:val="00806813"/>
    <w:rsid w:val="00806FA4"/>
    <w:rsid w:val="00811071"/>
    <w:rsid w:val="008138F2"/>
    <w:rsid w:val="00816135"/>
    <w:rsid w:val="0081675F"/>
    <w:rsid w:val="00820A51"/>
    <w:rsid w:val="00823F64"/>
    <w:rsid w:val="0083059C"/>
    <w:rsid w:val="00830D05"/>
    <w:rsid w:val="00834925"/>
    <w:rsid w:val="008363F5"/>
    <w:rsid w:val="0083681D"/>
    <w:rsid w:val="00840C2A"/>
    <w:rsid w:val="008420E8"/>
    <w:rsid w:val="00852E00"/>
    <w:rsid w:val="008553B2"/>
    <w:rsid w:val="00856B0B"/>
    <w:rsid w:val="00860E61"/>
    <w:rsid w:val="008616C6"/>
    <w:rsid w:val="00864227"/>
    <w:rsid w:val="0086503F"/>
    <w:rsid w:val="008651E6"/>
    <w:rsid w:val="00867229"/>
    <w:rsid w:val="0086725A"/>
    <w:rsid w:val="00870DEF"/>
    <w:rsid w:val="008725BF"/>
    <w:rsid w:val="0088047B"/>
    <w:rsid w:val="0088144B"/>
    <w:rsid w:val="00883DA3"/>
    <w:rsid w:val="00884A49"/>
    <w:rsid w:val="0088531B"/>
    <w:rsid w:val="00885B70"/>
    <w:rsid w:val="008877B0"/>
    <w:rsid w:val="008A1720"/>
    <w:rsid w:val="008A182E"/>
    <w:rsid w:val="008A2481"/>
    <w:rsid w:val="008A43E7"/>
    <w:rsid w:val="008A4980"/>
    <w:rsid w:val="008A73EB"/>
    <w:rsid w:val="008A7B0B"/>
    <w:rsid w:val="008B6C63"/>
    <w:rsid w:val="008B7763"/>
    <w:rsid w:val="008C22E2"/>
    <w:rsid w:val="008C2818"/>
    <w:rsid w:val="008C28D5"/>
    <w:rsid w:val="008D079D"/>
    <w:rsid w:val="008E19BB"/>
    <w:rsid w:val="008E32A7"/>
    <w:rsid w:val="008E3403"/>
    <w:rsid w:val="008E3C39"/>
    <w:rsid w:val="008E556B"/>
    <w:rsid w:val="008F134B"/>
    <w:rsid w:val="008F2855"/>
    <w:rsid w:val="008F347D"/>
    <w:rsid w:val="008F3825"/>
    <w:rsid w:val="008F40C3"/>
    <w:rsid w:val="008F7480"/>
    <w:rsid w:val="00900A63"/>
    <w:rsid w:val="00904ADA"/>
    <w:rsid w:val="00904B96"/>
    <w:rsid w:val="00905F2E"/>
    <w:rsid w:val="0090627A"/>
    <w:rsid w:val="009100E0"/>
    <w:rsid w:val="00910BCE"/>
    <w:rsid w:val="00910CC1"/>
    <w:rsid w:val="0091343B"/>
    <w:rsid w:val="0091360E"/>
    <w:rsid w:val="00913A7B"/>
    <w:rsid w:val="00914FD0"/>
    <w:rsid w:val="00916A84"/>
    <w:rsid w:val="0092080C"/>
    <w:rsid w:val="00921811"/>
    <w:rsid w:val="009244C1"/>
    <w:rsid w:val="00925137"/>
    <w:rsid w:val="009279A4"/>
    <w:rsid w:val="0093203F"/>
    <w:rsid w:val="00945DFA"/>
    <w:rsid w:val="00946ED3"/>
    <w:rsid w:val="009519F6"/>
    <w:rsid w:val="00953739"/>
    <w:rsid w:val="00953B4F"/>
    <w:rsid w:val="00953F43"/>
    <w:rsid w:val="0095468B"/>
    <w:rsid w:val="00954A39"/>
    <w:rsid w:val="00955451"/>
    <w:rsid w:val="00955B40"/>
    <w:rsid w:val="00956FDC"/>
    <w:rsid w:val="009578DC"/>
    <w:rsid w:val="009622D6"/>
    <w:rsid w:val="00963F05"/>
    <w:rsid w:val="00964081"/>
    <w:rsid w:val="00964D08"/>
    <w:rsid w:val="00967129"/>
    <w:rsid w:val="00976700"/>
    <w:rsid w:val="00976D41"/>
    <w:rsid w:val="009824DE"/>
    <w:rsid w:val="0098401A"/>
    <w:rsid w:val="0099218E"/>
    <w:rsid w:val="0099223C"/>
    <w:rsid w:val="00992825"/>
    <w:rsid w:val="00992943"/>
    <w:rsid w:val="009953F5"/>
    <w:rsid w:val="009A1FE9"/>
    <w:rsid w:val="009A2886"/>
    <w:rsid w:val="009A342D"/>
    <w:rsid w:val="009A606F"/>
    <w:rsid w:val="009B14F2"/>
    <w:rsid w:val="009B18FA"/>
    <w:rsid w:val="009B353C"/>
    <w:rsid w:val="009B43EB"/>
    <w:rsid w:val="009B4CF4"/>
    <w:rsid w:val="009B4D11"/>
    <w:rsid w:val="009B4E55"/>
    <w:rsid w:val="009B5037"/>
    <w:rsid w:val="009B6560"/>
    <w:rsid w:val="009B7DF3"/>
    <w:rsid w:val="009C1628"/>
    <w:rsid w:val="009C3789"/>
    <w:rsid w:val="009C3A47"/>
    <w:rsid w:val="009C459E"/>
    <w:rsid w:val="009C5462"/>
    <w:rsid w:val="009D07E6"/>
    <w:rsid w:val="009D14BE"/>
    <w:rsid w:val="009D2675"/>
    <w:rsid w:val="009D3D38"/>
    <w:rsid w:val="009E32E0"/>
    <w:rsid w:val="009E4D6F"/>
    <w:rsid w:val="009E4F80"/>
    <w:rsid w:val="009E5885"/>
    <w:rsid w:val="009F07DD"/>
    <w:rsid w:val="009F123A"/>
    <w:rsid w:val="009F13AF"/>
    <w:rsid w:val="009F2747"/>
    <w:rsid w:val="009F3F96"/>
    <w:rsid w:val="009F55FA"/>
    <w:rsid w:val="00A03080"/>
    <w:rsid w:val="00A041D9"/>
    <w:rsid w:val="00A04AEB"/>
    <w:rsid w:val="00A07ECD"/>
    <w:rsid w:val="00A10388"/>
    <w:rsid w:val="00A12B5D"/>
    <w:rsid w:val="00A162E0"/>
    <w:rsid w:val="00A16B1D"/>
    <w:rsid w:val="00A1743D"/>
    <w:rsid w:val="00A17CF1"/>
    <w:rsid w:val="00A201D1"/>
    <w:rsid w:val="00A2126F"/>
    <w:rsid w:val="00A227D4"/>
    <w:rsid w:val="00A23FF7"/>
    <w:rsid w:val="00A2576A"/>
    <w:rsid w:val="00A266EC"/>
    <w:rsid w:val="00A27AAC"/>
    <w:rsid w:val="00A312CC"/>
    <w:rsid w:val="00A31893"/>
    <w:rsid w:val="00A31976"/>
    <w:rsid w:val="00A31E62"/>
    <w:rsid w:val="00A32172"/>
    <w:rsid w:val="00A36F73"/>
    <w:rsid w:val="00A37A81"/>
    <w:rsid w:val="00A37F0F"/>
    <w:rsid w:val="00A41058"/>
    <w:rsid w:val="00A411D0"/>
    <w:rsid w:val="00A44C23"/>
    <w:rsid w:val="00A53C3A"/>
    <w:rsid w:val="00A56894"/>
    <w:rsid w:val="00A57B25"/>
    <w:rsid w:val="00A622D7"/>
    <w:rsid w:val="00A62560"/>
    <w:rsid w:val="00A6288B"/>
    <w:rsid w:val="00A7030A"/>
    <w:rsid w:val="00A72468"/>
    <w:rsid w:val="00A73906"/>
    <w:rsid w:val="00A75DC1"/>
    <w:rsid w:val="00A7600B"/>
    <w:rsid w:val="00A8285F"/>
    <w:rsid w:val="00A83012"/>
    <w:rsid w:val="00A831D9"/>
    <w:rsid w:val="00A845FE"/>
    <w:rsid w:val="00A858B1"/>
    <w:rsid w:val="00A94159"/>
    <w:rsid w:val="00A95D78"/>
    <w:rsid w:val="00A96497"/>
    <w:rsid w:val="00A96626"/>
    <w:rsid w:val="00A96E65"/>
    <w:rsid w:val="00A97055"/>
    <w:rsid w:val="00A976AD"/>
    <w:rsid w:val="00A97F06"/>
    <w:rsid w:val="00AA1544"/>
    <w:rsid w:val="00AA4972"/>
    <w:rsid w:val="00AA7948"/>
    <w:rsid w:val="00AB6E53"/>
    <w:rsid w:val="00AB7D5A"/>
    <w:rsid w:val="00AC028C"/>
    <w:rsid w:val="00AC3B8D"/>
    <w:rsid w:val="00AC6574"/>
    <w:rsid w:val="00AC6C91"/>
    <w:rsid w:val="00AC7E51"/>
    <w:rsid w:val="00AD0CBD"/>
    <w:rsid w:val="00AD34F2"/>
    <w:rsid w:val="00AE0B88"/>
    <w:rsid w:val="00AE22BD"/>
    <w:rsid w:val="00AE3B0B"/>
    <w:rsid w:val="00AE3F12"/>
    <w:rsid w:val="00AE6176"/>
    <w:rsid w:val="00AF4BB9"/>
    <w:rsid w:val="00AF541D"/>
    <w:rsid w:val="00AF549F"/>
    <w:rsid w:val="00B01A5C"/>
    <w:rsid w:val="00B0402F"/>
    <w:rsid w:val="00B04162"/>
    <w:rsid w:val="00B1041A"/>
    <w:rsid w:val="00B10EAD"/>
    <w:rsid w:val="00B1350A"/>
    <w:rsid w:val="00B1627E"/>
    <w:rsid w:val="00B163F9"/>
    <w:rsid w:val="00B16E81"/>
    <w:rsid w:val="00B17C8C"/>
    <w:rsid w:val="00B212FF"/>
    <w:rsid w:val="00B21AEA"/>
    <w:rsid w:val="00B22469"/>
    <w:rsid w:val="00B22746"/>
    <w:rsid w:val="00B2485A"/>
    <w:rsid w:val="00B24DD0"/>
    <w:rsid w:val="00B24FF9"/>
    <w:rsid w:val="00B2515A"/>
    <w:rsid w:val="00B252F9"/>
    <w:rsid w:val="00B260A5"/>
    <w:rsid w:val="00B268CD"/>
    <w:rsid w:val="00B301AE"/>
    <w:rsid w:val="00B31A9E"/>
    <w:rsid w:val="00B3228B"/>
    <w:rsid w:val="00B32D99"/>
    <w:rsid w:val="00B33670"/>
    <w:rsid w:val="00B340A1"/>
    <w:rsid w:val="00B349C1"/>
    <w:rsid w:val="00B3649B"/>
    <w:rsid w:val="00B4261E"/>
    <w:rsid w:val="00B42884"/>
    <w:rsid w:val="00B43FA2"/>
    <w:rsid w:val="00B4435C"/>
    <w:rsid w:val="00B47007"/>
    <w:rsid w:val="00B50309"/>
    <w:rsid w:val="00B51156"/>
    <w:rsid w:val="00B53702"/>
    <w:rsid w:val="00B556B4"/>
    <w:rsid w:val="00B570E7"/>
    <w:rsid w:val="00B6306A"/>
    <w:rsid w:val="00B6339F"/>
    <w:rsid w:val="00B633F3"/>
    <w:rsid w:val="00B63763"/>
    <w:rsid w:val="00B63D4E"/>
    <w:rsid w:val="00B656E3"/>
    <w:rsid w:val="00B657EC"/>
    <w:rsid w:val="00B665B7"/>
    <w:rsid w:val="00B668CA"/>
    <w:rsid w:val="00B67D71"/>
    <w:rsid w:val="00B67D7A"/>
    <w:rsid w:val="00B71A69"/>
    <w:rsid w:val="00B71D51"/>
    <w:rsid w:val="00B74398"/>
    <w:rsid w:val="00B75348"/>
    <w:rsid w:val="00B75562"/>
    <w:rsid w:val="00B767C9"/>
    <w:rsid w:val="00B8224F"/>
    <w:rsid w:val="00B8258D"/>
    <w:rsid w:val="00B8341C"/>
    <w:rsid w:val="00B85A95"/>
    <w:rsid w:val="00B85F00"/>
    <w:rsid w:val="00B8706F"/>
    <w:rsid w:val="00B8748B"/>
    <w:rsid w:val="00B90F9D"/>
    <w:rsid w:val="00B95037"/>
    <w:rsid w:val="00B95A93"/>
    <w:rsid w:val="00B95DD0"/>
    <w:rsid w:val="00B9603D"/>
    <w:rsid w:val="00B962D1"/>
    <w:rsid w:val="00BA17FA"/>
    <w:rsid w:val="00BA29AF"/>
    <w:rsid w:val="00BA7C1A"/>
    <w:rsid w:val="00BB033B"/>
    <w:rsid w:val="00BB6CFE"/>
    <w:rsid w:val="00BC0536"/>
    <w:rsid w:val="00BC343A"/>
    <w:rsid w:val="00BC3FB3"/>
    <w:rsid w:val="00BC517C"/>
    <w:rsid w:val="00BC5F39"/>
    <w:rsid w:val="00BC69E4"/>
    <w:rsid w:val="00BC771F"/>
    <w:rsid w:val="00BD0D07"/>
    <w:rsid w:val="00BD1179"/>
    <w:rsid w:val="00BD28E6"/>
    <w:rsid w:val="00BD2D76"/>
    <w:rsid w:val="00BD42BE"/>
    <w:rsid w:val="00BE0F67"/>
    <w:rsid w:val="00BE3A7B"/>
    <w:rsid w:val="00BE6900"/>
    <w:rsid w:val="00BF169D"/>
    <w:rsid w:val="00BF1CB4"/>
    <w:rsid w:val="00BF30CB"/>
    <w:rsid w:val="00BF3A90"/>
    <w:rsid w:val="00BF4274"/>
    <w:rsid w:val="00BF5CCF"/>
    <w:rsid w:val="00BF6A1C"/>
    <w:rsid w:val="00C01FB1"/>
    <w:rsid w:val="00C0348A"/>
    <w:rsid w:val="00C05D19"/>
    <w:rsid w:val="00C05EDA"/>
    <w:rsid w:val="00C05EFD"/>
    <w:rsid w:val="00C07B12"/>
    <w:rsid w:val="00C104A7"/>
    <w:rsid w:val="00C10CF3"/>
    <w:rsid w:val="00C12192"/>
    <w:rsid w:val="00C15509"/>
    <w:rsid w:val="00C2050C"/>
    <w:rsid w:val="00C23CC6"/>
    <w:rsid w:val="00C2677C"/>
    <w:rsid w:val="00C30484"/>
    <w:rsid w:val="00C3073F"/>
    <w:rsid w:val="00C30CDF"/>
    <w:rsid w:val="00C30F39"/>
    <w:rsid w:val="00C31808"/>
    <w:rsid w:val="00C33365"/>
    <w:rsid w:val="00C37CD2"/>
    <w:rsid w:val="00C40947"/>
    <w:rsid w:val="00C41E32"/>
    <w:rsid w:val="00C42F7A"/>
    <w:rsid w:val="00C514F0"/>
    <w:rsid w:val="00C51B22"/>
    <w:rsid w:val="00C5364D"/>
    <w:rsid w:val="00C53A3E"/>
    <w:rsid w:val="00C547D0"/>
    <w:rsid w:val="00C566C4"/>
    <w:rsid w:val="00C609FC"/>
    <w:rsid w:val="00C61030"/>
    <w:rsid w:val="00C61495"/>
    <w:rsid w:val="00C61AB8"/>
    <w:rsid w:val="00C64AB9"/>
    <w:rsid w:val="00C66F51"/>
    <w:rsid w:val="00C6746D"/>
    <w:rsid w:val="00C718E6"/>
    <w:rsid w:val="00C73D80"/>
    <w:rsid w:val="00C75ECF"/>
    <w:rsid w:val="00C81C95"/>
    <w:rsid w:val="00C82FC3"/>
    <w:rsid w:val="00C83558"/>
    <w:rsid w:val="00C837D2"/>
    <w:rsid w:val="00C85131"/>
    <w:rsid w:val="00C85FC2"/>
    <w:rsid w:val="00C916D7"/>
    <w:rsid w:val="00C934BE"/>
    <w:rsid w:val="00C9561E"/>
    <w:rsid w:val="00C960C3"/>
    <w:rsid w:val="00C96E6A"/>
    <w:rsid w:val="00CA13D4"/>
    <w:rsid w:val="00CA2186"/>
    <w:rsid w:val="00CA4D6B"/>
    <w:rsid w:val="00CA5ACB"/>
    <w:rsid w:val="00CA64DD"/>
    <w:rsid w:val="00CA7D59"/>
    <w:rsid w:val="00CB30D0"/>
    <w:rsid w:val="00CC3697"/>
    <w:rsid w:val="00CD5FE9"/>
    <w:rsid w:val="00CD6B8A"/>
    <w:rsid w:val="00CD7113"/>
    <w:rsid w:val="00CE08B9"/>
    <w:rsid w:val="00CE248B"/>
    <w:rsid w:val="00CE50C9"/>
    <w:rsid w:val="00CE50E5"/>
    <w:rsid w:val="00CF075A"/>
    <w:rsid w:val="00CF0AEF"/>
    <w:rsid w:val="00CF5B7D"/>
    <w:rsid w:val="00CF7DD9"/>
    <w:rsid w:val="00D01535"/>
    <w:rsid w:val="00D077F0"/>
    <w:rsid w:val="00D07FBF"/>
    <w:rsid w:val="00D13D80"/>
    <w:rsid w:val="00D14C6F"/>
    <w:rsid w:val="00D16904"/>
    <w:rsid w:val="00D17CAA"/>
    <w:rsid w:val="00D17DB4"/>
    <w:rsid w:val="00D203FB"/>
    <w:rsid w:val="00D204D9"/>
    <w:rsid w:val="00D2440E"/>
    <w:rsid w:val="00D24A96"/>
    <w:rsid w:val="00D2526E"/>
    <w:rsid w:val="00D2582C"/>
    <w:rsid w:val="00D26024"/>
    <w:rsid w:val="00D26310"/>
    <w:rsid w:val="00D30A6E"/>
    <w:rsid w:val="00D30AA0"/>
    <w:rsid w:val="00D34FEB"/>
    <w:rsid w:val="00D36B39"/>
    <w:rsid w:val="00D37DD5"/>
    <w:rsid w:val="00D41337"/>
    <w:rsid w:val="00D44E91"/>
    <w:rsid w:val="00D456BC"/>
    <w:rsid w:val="00D45AAC"/>
    <w:rsid w:val="00D47806"/>
    <w:rsid w:val="00D52FEF"/>
    <w:rsid w:val="00D54917"/>
    <w:rsid w:val="00D55897"/>
    <w:rsid w:val="00D562F4"/>
    <w:rsid w:val="00D623A0"/>
    <w:rsid w:val="00D6299E"/>
    <w:rsid w:val="00D6743A"/>
    <w:rsid w:val="00D70A18"/>
    <w:rsid w:val="00D720BC"/>
    <w:rsid w:val="00D73963"/>
    <w:rsid w:val="00D739ED"/>
    <w:rsid w:val="00D73A80"/>
    <w:rsid w:val="00D764A7"/>
    <w:rsid w:val="00D77ADB"/>
    <w:rsid w:val="00D81517"/>
    <w:rsid w:val="00D821B3"/>
    <w:rsid w:val="00D82687"/>
    <w:rsid w:val="00D829CF"/>
    <w:rsid w:val="00D82CFA"/>
    <w:rsid w:val="00D84917"/>
    <w:rsid w:val="00D84979"/>
    <w:rsid w:val="00D93C18"/>
    <w:rsid w:val="00D93C4C"/>
    <w:rsid w:val="00D9751D"/>
    <w:rsid w:val="00DA0496"/>
    <w:rsid w:val="00DA385A"/>
    <w:rsid w:val="00DA4E86"/>
    <w:rsid w:val="00DA58B3"/>
    <w:rsid w:val="00DA7765"/>
    <w:rsid w:val="00DB1611"/>
    <w:rsid w:val="00DB2384"/>
    <w:rsid w:val="00DB4EA4"/>
    <w:rsid w:val="00DB534B"/>
    <w:rsid w:val="00DB6125"/>
    <w:rsid w:val="00DC6516"/>
    <w:rsid w:val="00DD0B61"/>
    <w:rsid w:val="00DD10A1"/>
    <w:rsid w:val="00DD30FB"/>
    <w:rsid w:val="00DD3B27"/>
    <w:rsid w:val="00DD4091"/>
    <w:rsid w:val="00DD5851"/>
    <w:rsid w:val="00DE02CC"/>
    <w:rsid w:val="00DE2CFC"/>
    <w:rsid w:val="00DE433F"/>
    <w:rsid w:val="00DE45FA"/>
    <w:rsid w:val="00DE6234"/>
    <w:rsid w:val="00DF00A9"/>
    <w:rsid w:val="00DF03AF"/>
    <w:rsid w:val="00DF083A"/>
    <w:rsid w:val="00DF4890"/>
    <w:rsid w:val="00DF770E"/>
    <w:rsid w:val="00DF7B86"/>
    <w:rsid w:val="00E041E7"/>
    <w:rsid w:val="00E04C87"/>
    <w:rsid w:val="00E067C2"/>
    <w:rsid w:val="00E07FD9"/>
    <w:rsid w:val="00E1163E"/>
    <w:rsid w:val="00E16535"/>
    <w:rsid w:val="00E21D3D"/>
    <w:rsid w:val="00E22C75"/>
    <w:rsid w:val="00E23777"/>
    <w:rsid w:val="00E253C0"/>
    <w:rsid w:val="00E25F68"/>
    <w:rsid w:val="00E33680"/>
    <w:rsid w:val="00E4013B"/>
    <w:rsid w:val="00E40769"/>
    <w:rsid w:val="00E428F1"/>
    <w:rsid w:val="00E45CD7"/>
    <w:rsid w:val="00E4617C"/>
    <w:rsid w:val="00E52B88"/>
    <w:rsid w:val="00E568EA"/>
    <w:rsid w:val="00E57B0E"/>
    <w:rsid w:val="00E60585"/>
    <w:rsid w:val="00E60769"/>
    <w:rsid w:val="00E613E1"/>
    <w:rsid w:val="00E61559"/>
    <w:rsid w:val="00E6245C"/>
    <w:rsid w:val="00E6254D"/>
    <w:rsid w:val="00E64E15"/>
    <w:rsid w:val="00E65961"/>
    <w:rsid w:val="00E67899"/>
    <w:rsid w:val="00E70039"/>
    <w:rsid w:val="00E701FC"/>
    <w:rsid w:val="00E742BA"/>
    <w:rsid w:val="00E75E16"/>
    <w:rsid w:val="00E76690"/>
    <w:rsid w:val="00E76BD2"/>
    <w:rsid w:val="00E77001"/>
    <w:rsid w:val="00E806CA"/>
    <w:rsid w:val="00E86493"/>
    <w:rsid w:val="00E866A3"/>
    <w:rsid w:val="00E91453"/>
    <w:rsid w:val="00E92EF9"/>
    <w:rsid w:val="00E93BFE"/>
    <w:rsid w:val="00E949F7"/>
    <w:rsid w:val="00E9761C"/>
    <w:rsid w:val="00E97D9B"/>
    <w:rsid w:val="00EA0535"/>
    <w:rsid w:val="00EA177D"/>
    <w:rsid w:val="00EA1D2A"/>
    <w:rsid w:val="00EA2DC9"/>
    <w:rsid w:val="00EA3A8C"/>
    <w:rsid w:val="00EA45E0"/>
    <w:rsid w:val="00EA6E96"/>
    <w:rsid w:val="00EA6EB9"/>
    <w:rsid w:val="00EB0B45"/>
    <w:rsid w:val="00EB2172"/>
    <w:rsid w:val="00EB3238"/>
    <w:rsid w:val="00EB32AD"/>
    <w:rsid w:val="00EB3444"/>
    <w:rsid w:val="00EB379B"/>
    <w:rsid w:val="00EB4D7E"/>
    <w:rsid w:val="00EC5186"/>
    <w:rsid w:val="00EC59EE"/>
    <w:rsid w:val="00EC782D"/>
    <w:rsid w:val="00ED102F"/>
    <w:rsid w:val="00ED4083"/>
    <w:rsid w:val="00ED7728"/>
    <w:rsid w:val="00ED7B79"/>
    <w:rsid w:val="00ED7F39"/>
    <w:rsid w:val="00EE0CC7"/>
    <w:rsid w:val="00EE3FC8"/>
    <w:rsid w:val="00EE6B67"/>
    <w:rsid w:val="00EF1ABA"/>
    <w:rsid w:val="00EF2B74"/>
    <w:rsid w:val="00EF410D"/>
    <w:rsid w:val="00EF53EC"/>
    <w:rsid w:val="00F00A3A"/>
    <w:rsid w:val="00F0169D"/>
    <w:rsid w:val="00F0225D"/>
    <w:rsid w:val="00F050BE"/>
    <w:rsid w:val="00F05D67"/>
    <w:rsid w:val="00F061FF"/>
    <w:rsid w:val="00F06E1A"/>
    <w:rsid w:val="00F106F5"/>
    <w:rsid w:val="00F1086F"/>
    <w:rsid w:val="00F12AC9"/>
    <w:rsid w:val="00F14879"/>
    <w:rsid w:val="00F14F9A"/>
    <w:rsid w:val="00F15DC2"/>
    <w:rsid w:val="00F17100"/>
    <w:rsid w:val="00F31B6F"/>
    <w:rsid w:val="00F33E31"/>
    <w:rsid w:val="00F362C4"/>
    <w:rsid w:val="00F371AF"/>
    <w:rsid w:val="00F372E1"/>
    <w:rsid w:val="00F37FC4"/>
    <w:rsid w:val="00F40DF2"/>
    <w:rsid w:val="00F43BB8"/>
    <w:rsid w:val="00F472DF"/>
    <w:rsid w:val="00F5016E"/>
    <w:rsid w:val="00F50DCE"/>
    <w:rsid w:val="00F5207C"/>
    <w:rsid w:val="00F5293D"/>
    <w:rsid w:val="00F57FE2"/>
    <w:rsid w:val="00F615BE"/>
    <w:rsid w:val="00F62F16"/>
    <w:rsid w:val="00F6681B"/>
    <w:rsid w:val="00F7083A"/>
    <w:rsid w:val="00F70992"/>
    <w:rsid w:val="00F72193"/>
    <w:rsid w:val="00F7301C"/>
    <w:rsid w:val="00F736BE"/>
    <w:rsid w:val="00F81F93"/>
    <w:rsid w:val="00F833CE"/>
    <w:rsid w:val="00F834C7"/>
    <w:rsid w:val="00F834F0"/>
    <w:rsid w:val="00F86820"/>
    <w:rsid w:val="00F875A2"/>
    <w:rsid w:val="00F93B3D"/>
    <w:rsid w:val="00F94A92"/>
    <w:rsid w:val="00F94DEF"/>
    <w:rsid w:val="00F97743"/>
    <w:rsid w:val="00FA2CE0"/>
    <w:rsid w:val="00FA2F79"/>
    <w:rsid w:val="00FA509D"/>
    <w:rsid w:val="00FA6521"/>
    <w:rsid w:val="00FB1FE6"/>
    <w:rsid w:val="00FB228E"/>
    <w:rsid w:val="00FB2B0A"/>
    <w:rsid w:val="00FB3616"/>
    <w:rsid w:val="00FB407D"/>
    <w:rsid w:val="00FB509E"/>
    <w:rsid w:val="00FB5344"/>
    <w:rsid w:val="00FB5B8E"/>
    <w:rsid w:val="00FC4B15"/>
    <w:rsid w:val="00FC626B"/>
    <w:rsid w:val="00FC6812"/>
    <w:rsid w:val="00FD205A"/>
    <w:rsid w:val="00FD2A05"/>
    <w:rsid w:val="00FD2D4B"/>
    <w:rsid w:val="00FD3733"/>
    <w:rsid w:val="00FE0923"/>
    <w:rsid w:val="00FE0974"/>
    <w:rsid w:val="00FE4C15"/>
    <w:rsid w:val="00FF0C56"/>
    <w:rsid w:val="00FF144A"/>
    <w:rsid w:val="00FF3049"/>
    <w:rsid w:val="00FF6531"/>
    <w:rsid w:val="00FF65FA"/>
    <w:rsid w:val="00FF672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85B78CE"/>
  <w15:chartTrackingRefBased/>
  <w15:docId w15:val="{1939041F-CC6D-4F2A-AEA6-23CB58281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46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4621"/>
  </w:style>
  <w:style w:type="paragraph" w:styleId="Footer">
    <w:name w:val="footer"/>
    <w:basedOn w:val="Normal"/>
    <w:link w:val="FooterChar"/>
    <w:uiPriority w:val="99"/>
    <w:unhideWhenUsed/>
    <w:rsid w:val="007946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4621"/>
  </w:style>
  <w:style w:type="character" w:customStyle="1" w:styleId="apple-converted-space">
    <w:name w:val="apple-converted-space"/>
    <w:basedOn w:val="DefaultParagraphFont"/>
    <w:rsid w:val="00C53A3E"/>
  </w:style>
  <w:style w:type="character" w:styleId="Hyperlink">
    <w:name w:val="Hyperlink"/>
    <w:basedOn w:val="DefaultParagraphFont"/>
    <w:uiPriority w:val="99"/>
    <w:unhideWhenUsed/>
    <w:rsid w:val="00F93B3D"/>
    <w:rPr>
      <w:color w:val="0000FF"/>
      <w:u w:val="single"/>
    </w:rPr>
  </w:style>
  <w:style w:type="paragraph" w:customStyle="1" w:styleId="paragraph">
    <w:name w:val="paragraph"/>
    <w:basedOn w:val="Normal"/>
    <w:rsid w:val="004D0484"/>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normaltextrun">
    <w:name w:val="normaltextrun"/>
    <w:basedOn w:val="DefaultParagraphFont"/>
    <w:rsid w:val="004D0484"/>
  </w:style>
  <w:style w:type="character" w:customStyle="1" w:styleId="eop">
    <w:name w:val="eop"/>
    <w:basedOn w:val="DefaultParagraphFont"/>
    <w:rsid w:val="004D0484"/>
  </w:style>
  <w:style w:type="character" w:styleId="CommentReference">
    <w:name w:val="annotation reference"/>
    <w:basedOn w:val="DefaultParagraphFont"/>
    <w:uiPriority w:val="99"/>
    <w:semiHidden/>
    <w:unhideWhenUsed/>
    <w:rsid w:val="004D0484"/>
    <w:rPr>
      <w:sz w:val="16"/>
      <w:szCs w:val="16"/>
    </w:rPr>
  </w:style>
  <w:style w:type="paragraph" w:styleId="CommentText">
    <w:name w:val="annotation text"/>
    <w:basedOn w:val="Normal"/>
    <w:link w:val="CommentTextChar"/>
    <w:uiPriority w:val="99"/>
    <w:unhideWhenUsed/>
    <w:rsid w:val="004D0484"/>
    <w:pPr>
      <w:spacing w:after="160" w:line="240" w:lineRule="auto"/>
    </w:pPr>
    <w:rPr>
      <w:sz w:val="20"/>
      <w:szCs w:val="20"/>
      <w:lang w:val="en-AU"/>
    </w:rPr>
  </w:style>
  <w:style w:type="character" w:customStyle="1" w:styleId="CommentTextChar">
    <w:name w:val="Comment Text Char"/>
    <w:basedOn w:val="DefaultParagraphFont"/>
    <w:link w:val="CommentText"/>
    <w:uiPriority w:val="99"/>
    <w:rsid w:val="004D0484"/>
    <w:rPr>
      <w:sz w:val="20"/>
      <w:szCs w:val="20"/>
      <w:lang w:val="en-AU"/>
    </w:rPr>
  </w:style>
  <w:style w:type="paragraph" w:styleId="BalloonText">
    <w:name w:val="Balloon Text"/>
    <w:basedOn w:val="Normal"/>
    <w:link w:val="BalloonTextChar"/>
    <w:uiPriority w:val="99"/>
    <w:semiHidden/>
    <w:unhideWhenUsed/>
    <w:rsid w:val="004D04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0484"/>
    <w:rPr>
      <w:rFonts w:ascii="Segoe UI" w:hAnsi="Segoe UI" w:cs="Segoe UI"/>
      <w:sz w:val="18"/>
      <w:szCs w:val="18"/>
    </w:rPr>
  </w:style>
  <w:style w:type="paragraph" w:customStyle="1" w:styleId="EndNoteBibliography">
    <w:name w:val="EndNote Bibliography"/>
    <w:basedOn w:val="Normal"/>
    <w:link w:val="EndNoteBibliographyChar"/>
    <w:rsid w:val="00F106F5"/>
    <w:pPr>
      <w:spacing w:after="0" w:line="240" w:lineRule="auto"/>
    </w:pPr>
    <w:rPr>
      <w:rFonts w:ascii="Calibri" w:hAnsi="Calibri" w:cs="Calibri"/>
      <w:sz w:val="24"/>
      <w:szCs w:val="24"/>
      <w:lang w:val="en-US"/>
    </w:rPr>
  </w:style>
  <w:style w:type="character" w:customStyle="1" w:styleId="EndNoteBibliographyChar">
    <w:name w:val="EndNote Bibliography Char"/>
    <w:basedOn w:val="DefaultParagraphFont"/>
    <w:link w:val="EndNoteBibliography"/>
    <w:rsid w:val="00F106F5"/>
    <w:rPr>
      <w:rFonts w:ascii="Calibri" w:hAnsi="Calibri" w:cs="Calibri"/>
      <w:sz w:val="24"/>
      <w:szCs w:val="24"/>
      <w:lang w:val="en-US"/>
    </w:rPr>
  </w:style>
  <w:style w:type="paragraph" w:styleId="CommentSubject">
    <w:name w:val="annotation subject"/>
    <w:basedOn w:val="CommentText"/>
    <w:next w:val="CommentText"/>
    <w:link w:val="CommentSubjectChar"/>
    <w:uiPriority w:val="99"/>
    <w:semiHidden/>
    <w:unhideWhenUsed/>
    <w:rsid w:val="008553B2"/>
    <w:pPr>
      <w:spacing w:after="200"/>
    </w:pPr>
    <w:rPr>
      <w:b/>
      <w:bCs/>
      <w:lang w:val="en-GB"/>
    </w:rPr>
  </w:style>
  <w:style w:type="character" w:customStyle="1" w:styleId="CommentSubjectChar">
    <w:name w:val="Comment Subject Char"/>
    <w:basedOn w:val="CommentTextChar"/>
    <w:link w:val="CommentSubject"/>
    <w:uiPriority w:val="99"/>
    <w:semiHidden/>
    <w:rsid w:val="008553B2"/>
    <w:rPr>
      <w:b/>
      <w:bCs/>
      <w:sz w:val="20"/>
      <w:szCs w:val="20"/>
      <w:lang w:val="en-AU"/>
    </w:rPr>
  </w:style>
  <w:style w:type="paragraph" w:styleId="ListParagraph">
    <w:name w:val="List Paragraph"/>
    <w:basedOn w:val="Normal"/>
    <w:uiPriority w:val="34"/>
    <w:qFormat/>
    <w:rsid w:val="003168AE"/>
    <w:pPr>
      <w:ind w:left="720"/>
      <w:contextualSpacing/>
    </w:pPr>
  </w:style>
  <w:style w:type="paragraph" w:styleId="NoSpacing">
    <w:name w:val="No Spacing"/>
    <w:uiPriority w:val="1"/>
    <w:qFormat/>
    <w:rsid w:val="00E6245C"/>
    <w:pPr>
      <w:spacing w:after="0" w:line="240" w:lineRule="auto"/>
    </w:pPr>
  </w:style>
  <w:style w:type="table" w:styleId="TableGrid">
    <w:name w:val="Table Grid"/>
    <w:basedOn w:val="TableNormal"/>
    <w:uiPriority w:val="59"/>
    <w:rsid w:val="002166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title">
    <w:name w:val="ref-title"/>
    <w:basedOn w:val="DefaultParagraphFont"/>
    <w:rsid w:val="0088047B"/>
  </w:style>
  <w:style w:type="character" w:customStyle="1" w:styleId="ref-journal">
    <w:name w:val="ref-journal"/>
    <w:basedOn w:val="DefaultParagraphFont"/>
    <w:rsid w:val="0088047B"/>
  </w:style>
  <w:style w:type="character" w:customStyle="1" w:styleId="ref-vol">
    <w:name w:val="ref-vol"/>
    <w:basedOn w:val="DefaultParagraphFont"/>
    <w:rsid w:val="0088047B"/>
  </w:style>
  <w:style w:type="paragraph" w:customStyle="1" w:styleId="EndNoteBibliographyTitle">
    <w:name w:val="EndNote Bibliography Title"/>
    <w:basedOn w:val="Normal"/>
    <w:link w:val="EndNoteBibliographyTitleChar"/>
    <w:rsid w:val="005715B2"/>
    <w:pPr>
      <w:spacing w:after="0"/>
      <w:jc w:val="center"/>
    </w:pPr>
    <w:rPr>
      <w:rFonts w:ascii="Calibri" w:hAnsi="Calibri" w:cs="Calibri"/>
      <w:sz w:val="24"/>
      <w:lang w:val="en-US"/>
    </w:rPr>
  </w:style>
  <w:style w:type="character" w:customStyle="1" w:styleId="EndNoteBibliographyTitleChar">
    <w:name w:val="EndNote Bibliography Title Char"/>
    <w:basedOn w:val="DefaultParagraphFont"/>
    <w:link w:val="EndNoteBibliographyTitle"/>
    <w:rsid w:val="005715B2"/>
    <w:rPr>
      <w:rFonts w:ascii="Calibri" w:hAnsi="Calibri" w:cs="Calibri"/>
      <w:sz w:val="24"/>
      <w:lang w:val="en-US"/>
    </w:rPr>
  </w:style>
  <w:style w:type="paragraph" w:customStyle="1" w:styleId="gmail-msocommenttext">
    <w:name w:val="gmail-msocommenttext"/>
    <w:basedOn w:val="Normal"/>
    <w:rsid w:val="00224B9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1748CD"/>
    <w:pPr>
      <w:spacing w:after="0" w:line="240" w:lineRule="auto"/>
    </w:pPr>
  </w:style>
  <w:style w:type="character" w:styleId="Emphasis">
    <w:name w:val="Emphasis"/>
    <w:basedOn w:val="DefaultParagraphFont"/>
    <w:uiPriority w:val="20"/>
    <w:qFormat/>
    <w:rsid w:val="008F40C3"/>
    <w:rPr>
      <w:i/>
      <w:iCs/>
    </w:rPr>
  </w:style>
  <w:style w:type="paragraph" w:styleId="NormalWeb">
    <w:name w:val="Normal (Web)"/>
    <w:basedOn w:val="Normal"/>
    <w:uiPriority w:val="99"/>
    <w:semiHidden/>
    <w:unhideWhenUsed/>
    <w:rsid w:val="00FA652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it">
    <w:name w:val="cit"/>
    <w:basedOn w:val="DefaultParagraphFont"/>
    <w:rsid w:val="00252078"/>
  </w:style>
  <w:style w:type="character" w:customStyle="1" w:styleId="citation-doi">
    <w:name w:val="citation-doi"/>
    <w:basedOn w:val="DefaultParagraphFont"/>
    <w:rsid w:val="00252078"/>
  </w:style>
  <w:style w:type="character" w:customStyle="1" w:styleId="secondary-date">
    <w:name w:val="secondary-date"/>
    <w:basedOn w:val="DefaultParagraphFont"/>
    <w:rsid w:val="00252078"/>
  </w:style>
  <w:style w:type="character" w:customStyle="1" w:styleId="prefix-text-collaborationgroup">
    <w:name w:val="prefix-text-collaborationgroup"/>
    <w:basedOn w:val="DefaultParagraphFont"/>
    <w:rsid w:val="00FA2CE0"/>
  </w:style>
  <w:style w:type="character" w:styleId="FollowedHyperlink">
    <w:name w:val="FollowedHyperlink"/>
    <w:basedOn w:val="DefaultParagraphFont"/>
    <w:uiPriority w:val="99"/>
    <w:semiHidden/>
    <w:unhideWhenUsed/>
    <w:rsid w:val="000614DB"/>
    <w:rPr>
      <w:color w:val="800080" w:themeColor="followedHyperlink"/>
      <w:u w:val="single"/>
    </w:rPr>
  </w:style>
  <w:style w:type="paragraph" w:customStyle="1" w:styleId="m-1486370488443011814p1">
    <w:name w:val="m_-1486370488443011814p1"/>
    <w:basedOn w:val="Normal"/>
    <w:rsid w:val="00CE50C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1486370488443011814p2">
    <w:name w:val="m_-1486370488443011814p2"/>
    <w:basedOn w:val="Normal"/>
    <w:rsid w:val="00CE50C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m-1486370488443011814apple-converted-space">
    <w:name w:val="m_-1486370488443011814apple-converted-space"/>
    <w:basedOn w:val="DefaultParagraphFont"/>
    <w:rsid w:val="007551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236245">
      <w:bodyDiv w:val="1"/>
      <w:marLeft w:val="0"/>
      <w:marRight w:val="0"/>
      <w:marTop w:val="0"/>
      <w:marBottom w:val="0"/>
      <w:divBdr>
        <w:top w:val="none" w:sz="0" w:space="0" w:color="auto"/>
        <w:left w:val="none" w:sz="0" w:space="0" w:color="auto"/>
        <w:bottom w:val="none" w:sz="0" w:space="0" w:color="auto"/>
        <w:right w:val="none" w:sz="0" w:space="0" w:color="auto"/>
      </w:divBdr>
      <w:divsChild>
        <w:div w:id="1546796607">
          <w:marLeft w:val="0"/>
          <w:marRight w:val="0"/>
          <w:marTop w:val="0"/>
          <w:marBottom w:val="0"/>
          <w:divBdr>
            <w:top w:val="none" w:sz="0" w:space="0" w:color="auto"/>
            <w:left w:val="none" w:sz="0" w:space="0" w:color="auto"/>
            <w:bottom w:val="none" w:sz="0" w:space="0" w:color="auto"/>
            <w:right w:val="none" w:sz="0" w:space="0" w:color="auto"/>
          </w:divBdr>
        </w:div>
        <w:div w:id="474369908">
          <w:marLeft w:val="0"/>
          <w:marRight w:val="0"/>
          <w:marTop w:val="0"/>
          <w:marBottom w:val="0"/>
          <w:divBdr>
            <w:top w:val="none" w:sz="0" w:space="0" w:color="auto"/>
            <w:left w:val="none" w:sz="0" w:space="0" w:color="auto"/>
            <w:bottom w:val="none" w:sz="0" w:space="0" w:color="auto"/>
            <w:right w:val="none" w:sz="0" w:space="0" w:color="auto"/>
          </w:divBdr>
        </w:div>
        <w:div w:id="654451773">
          <w:marLeft w:val="0"/>
          <w:marRight w:val="0"/>
          <w:marTop w:val="0"/>
          <w:marBottom w:val="0"/>
          <w:divBdr>
            <w:top w:val="none" w:sz="0" w:space="0" w:color="auto"/>
            <w:left w:val="none" w:sz="0" w:space="0" w:color="auto"/>
            <w:bottom w:val="none" w:sz="0" w:space="0" w:color="auto"/>
            <w:right w:val="none" w:sz="0" w:space="0" w:color="auto"/>
          </w:divBdr>
        </w:div>
        <w:div w:id="1407143673">
          <w:marLeft w:val="0"/>
          <w:marRight w:val="0"/>
          <w:marTop w:val="0"/>
          <w:marBottom w:val="0"/>
          <w:divBdr>
            <w:top w:val="none" w:sz="0" w:space="0" w:color="auto"/>
            <w:left w:val="none" w:sz="0" w:space="0" w:color="auto"/>
            <w:bottom w:val="none" w:sz="0" w:space="0" w:color="auto"/>
            <w:right w:val="none" w:sz="0" w:space="0" w:color="auto"/>
          </w:divBdr>
        </w:div>
        <w:div w:id="1432974757">
          <w:marLeft w:val="0"/>
          <w:marRight w:val="0"/>
          <w:marTop w:val="0"/>
          <w:marBottom w:val="0"/>
          <w:divBdr>
            <w:top w:val="none" w:sz="0" w:space="0" w:color="auto"/>
            <w:left w:val="none" w:sz="0" w:space="0" w:color="auto"/>
            <w:bottom w:val="none" w:sz="0" w:space="0" w:color="auto"/>
            <w:right w:val="none" w:sz="0" w:space="0" w:color="auto"/>
          </w:divBdr>
        </w:div>
        <w:div w:id="1942686898">
          <w:marLeft w:val="0"/>
          <w:marRight w:val="0"/>
          <w:marTop w:val="0"/>
          <w:marBottom w:val="0"/>
          <w:divBdr>
            <w:top w:val="none" w:sz="0" w:space="0" w:color="auto"/>
            <w:left w:val="none" w:sz="0" w:space="0" w:color="auto"/>
            <w:bottom w:val="none" w:sz="0" w:space="0" w:color="auto"/>
            <w:right w:val="none" w:sz="0" w:space="0" w:color="auto"/>
          </w:divBdr>
        </w:div>
        <w:div w:id="464274344">
          <w:marLeft w:val="0"/>
          <w:marRight w:val="0"/>
          <w:marTop w:val="0"/>
          <w:marBottom w:val="0"/>
          <w:divBdr>
            <w:top w:val="none" w:sz="0" w:space="0" w:color="auto"/>
            <w:left w:val="none" w:sz="0" w:space="0" w:color="auto"/>
            <w:bottom w:val="none" w:sz="0" w:space="0" w:color="auto"/>
            <w:right w:val="none" w:sz="0" w:space="0" w:color="auto"/>
          </w:divBdr>
        </w:div>
      </w:divsChild>
    </w:div>
    <w:div w:id="318194338">
      <w:bodyDiv w:val="1"/>
      <w:marLeft w:val="0"/>
      <w:marRight w:val="0"/>
      <w:marTop w:val="0"/>
      <w:marBottom w:val="0"/>
      <w:divBdr>
        <w:top w:val="none" w:sz="0" w:space="0" w:color="auto"/>
        <w:left w:val="none" w:sz="0" w:space="0" w:color="auto"/>
        <w:bottom w:val="none" w:sz="0" w:space="0" w:color="auto"/>
        <w:right w:val="none" w:sz="0" w:space="0" w:color="auto"/>
      </w:divBdr>
      <w:divsChild>
        <w:div w:id="1016691905">
          <w:marLeft w:val="360"/>
          <w:marRight w:val="0"/>
          <w:marTop w:val="200"/>
          <w:marBottom w:val="0"/>
          <w:divBdr>
            <w:top w:val="none" w:sz="0" w:space="0" w:color="auto"/>
            <w:left w:val="none" w:sz="0" w:space="0" w:color="auto"/>
            <w:bottom w:val="none" w:sz="0" w:space="0" w:color="auto"/>
            <w:right w:val="none" w:sz="0" w:space="0" w:color="auto"/>
          </w:divBdr>
        </w:div>
      </w:divsChild>
    </w:div>
    <w:div w:id="464659298">
      <w:bodyDiv w:val="1"/>
      <w:marLeft w:val="0"/>
      <w:marRight w:val="0"/>
      <w:marTop w:val="0"/>
      <w:marBottom w:val="0"/>
      <w:divBdr>
        <w:top w:val="none" w:sz="0" w:space="0" w:color="auto"/>
        <w:left w:val="none" w:sz="0" w:space="0" w:color="auto"/>
        <w:bottom w:val="none" w:sz="0" w:space="0" w:color="auto"/>
        <w:right w:val="none" w:sz="0" w:space="0" w:color="auto"/>
      </w:divBdr>
    </w:div>
    <w:div w:id="604969638">
      <w:bodyDiv w:val="1"/>
      <w:marLeft w:val="0"/>
      <w:marRight w:val="0"/>
      <w:marTop w:val="0"/>
      <w:marBottom w:val="0"/>
      <w:divBdr>
        <w:top w:val="none" w:sz="0" w:space="0" w:color="auto"/>
        <w:left w:val="none" w:sz="0" w:space="0" w:color="auto"/>
        <w:bottom w:val="none" w:sz="0" w:space="0" w:color="auto"/>
        <w:right w:val="none" w:sz="0" w:space="0" w:color="auto"/>
      </w:divBdr>
    </w:div>
    <w:div w:id="746342850">
      <w:bodyDiv w:val="1"/>
      <w:marLeft w:val="0"/>
      <w:marRight w:val="0"/>
      <w:marTop w:val="0"/>
      <w:marBottom w:val="0"/>
      <w:divBdr>
        <w:top w:val="none" w:sz="0" w:space="0" w:color="auto"/>
        <w:left w:val="none" w:sz="0" w:space="0" w:color="auto"/>
        <w:bottom w:val="none" w:sz="0" w:space="0" w:color="auto"/>
        <w:right w:val="none" w:sz="0" w:space="0" w:color="auto"/>
      </w:divBdr>
      <w:divsChild>
        <w:div w:id="301426716">
          <w:marLeft w:val="360"/>
          <w:marRight w:val="0"/>
          <w:marTop w:val="200"/>
          <w:marBottom w:val="0"/>
          <w:divBdr>
            <w:top w:val="none" w:sz="0" w:space="0" w:color="auto"/>
            <w:left w:val="none" w:sz="0" w:space="0" w:color="auto"/>
            <w:bottom w:val="none" w:sz="0" w:space="0" w:color="auto"/>
            <w:right w:val="none" w:sz="0" w:space="0" w:color="auto"/>
          </w:divBdr>
        </w:div>
      </w:divsChild>
    </w:div>
    <w:div w:id="933587809">
      <w:bodyDiv w:val="1"/>
      <w:marLeft w:val="0"/>
      <w:marRight w:val="0"/>
      <w:marTop w:val="0"/>
      <w:marBottom w:val="0"/>
      <w:divBdr>
        <w:top w:val="none" w:sz="0" w:space="0" w:color="auto"/>
        <w:left w:val="none" w:sz="0" w:space="0" w:color="auto"/>
        <w:bottom w:val="none" w:sz="0" w:space="0" w:color="auto"/>
        <w:right w:val="none" w:sz="0" w:space="0" w:color="auto"/>
      </w:divBdr>
    </w:div>
    <w:div w:id="1150710364">
      <w:bodyDiv w:val="1"/>
      <w:marLeft w:val="0"/>
      <w:marRight w:val="0"/>
      <w:marTop w:val="0"/>
      <w:marBottom w:val="0"/>
      <w:divBdr>
        <w:top w:val="none" w:sz="0" w:space="0" w:color="auto"/>
        <w:left w:val="none" w:sz="0" w:space="0" w:color="auto"/>
        <w:bottom w:val="none" w:sz="0" w:space="0" w:color="auto"/>
        <w:right w:val="none" w:sz="0" w:space="0" w:color="auto"/>
      </w:divBdr>
      <w:divsChild>
        <w:div w:id="1943955722">
          <w:marLeft w:val="360"/>
          <w:marRight w:val="0"/>
          <w:marTop w:val="200"/>
          <w:marBottom w:val="0"/>
          <w:divBdr>
            <w:top w:val="none" w:sz="0" w:space="0" w:color="auto"/>
            <w:left w:val="none" w:sz="0" w:space="0" w:color="auto"/>
            <w:bottom w:val="none" w:sz="0" w:space="0" w:color="auto"/>
            <w:right w:val="none" w:sz="0" w:space="0" w:color="auto"/>
          </w:divBdr>
        </w:div>
      </w:divsChild>
    </w:div>
    <w:div w:id="1325627696">
      <w:bodyDiv w:val="1"/>
      <w:marLeft w:val="0"/>
      <w:marRight w:val="0"/>
      <w:marTop w:val="0"/>
      <w:marBottom w:val="0"/>
      <w:divBdr>
        <w:top w:val="none" w:sz="0" w:space="0" w:color="auto"/>
        <w:left w:val="none" w:sz="0" w:space="0" w:color="auto"/>
        <w:bottom w:val="none" w:sz="0" w:space="0" w:color="auto"/>
        <w:right w:val="none" w:sz="0" w:space="0" w:color="auto"/>
      </w:divBdr>
      <w:divsChild>
        <w:div w:id="259218607">
          <w:marLeft w:val="0"/>
          <w:marRight w:val="0"/>
          <w:marTop w:val="0"/>
          <w:marBottom w:val="0"/>
          <w:divBdr>
            <w:top w:val="none" w:sz="0" w:space="0" w:color="auto"/>
            <w:left w:val="none" w:sz="0" w:space="0" w:color="auto"/>
            <w:bottom w:val="none" w:sz="0" w:space="0" w:color="auto"/>
            <w:right w:val="none" w:sz="0" w:space="0" w:color="auto"/>
          </w:divBdr>
        </w:div>
      </w:divsChild>
    </w:div>
    <w:div w:id="1337612335">
      <w:bodyDiv w:val="1"/>
      <w:marLeft w:val="0"/>
      <w:marRight w:val="0"/>
      <w:marTop w:val="0"/>
      <w:marBottom w:val="0"/>
      <w:divBdr>
        <w:top w:val="none" w:sz="0" w:space="0" w:color="auto"/>
        <w:left w:val="none" w:sz="0" w:space="0" w:color="auto"/>
        <w:bottom w:val="none" w:sz="0" w:space="0" w:color="auto"/>
        <w:right w:val="none" w:sz="0" w:space="0" w:color="auto"/>
      </w:divBdr>
      <w:divsChild>
        <w:div w:id="1900511193">
          <w:marLeft w:val="0"/>
          <w:marRight w:val="0"/>
          <w:marTop w:val="0"/>
          <w:marBottom w:val="0"/>
          <w:divBdr>
            <w:top w:val="none" w:sz="0" w:space="0" w:color="auto"/>
            <w:left w:val="none" w:sz="0" w:space="0" w:color="auto"/>
            <w:bottom w:val="none" w:sz="0" w:space="0" w:color="auto"/>
            <w:right w:val="none" w:sz="0" w:space="0" w:color="auto"/>
          </w:divBdr>
        </w:div>
      </w:divsChild>
    </w:div>
    <w:div w:id="1353074982">
      <w:bodyDiv w:val="1"/>
      <w:marLeft w:val="0"/>
      <w:marRight w:val="0"/>
      <w:marTop w:val="0"/>
      <w:marBottom w:val="0"/>
      <w:divBdr>
        <w:top w:val="none" w:sz="0" w:space="0" w:color="auto"/>
        <w:left w:val="none" w:sz="0" w:space="0" w:color="auto"/>
        <w:bottom w:val="none" w:sz="0" w:space="0" w:color="auto"/>
        <w:right w:val="none" w:sz="0" w:space="0" w:color="auto"/>
      </w:divBdr>
      <w:divsChild>
        <w:div w:id="1902865488">
          <w:marLeft w:val="360"/>
          <w:marRight w:val="0"/>
          <w:marTop w:val="200"/>
          <w:marBottom w:val="0"/>
          <w:divBdr>
            <w:top w:val="none" w:sz="0" w:space="0" w:color="auto"/>
            <w:left w:val="none" w:sz="0" w:space="0" w:color="auto"/>
            <w:bottom w:val="none" w:sz="0" w:space="0" w:color="auto"/>
            <w:right w:val="none" w:sz="0" w:space="0" w:color="auto"/>
          </w:divBdr>
        </w:div>
      </w:divsChild>
    </w:div>
    <w:div w:id="1593199726">
      <w:bodyDiv w:val="1"/>
      <w:marLeft w:val="0"/>
      <w:marRight w:val="0"/>
      <w:marTop w:val="0"/>
      <w:marBottom w:val="0"/>
      <w:divBdr>
        <w:top w:val="none" w:sz="0" w:space="0" w:color="auto"/>
        <w:left w:val="none" w:sz="0" w:space="0" w:color="auto"/>
        <w:bottom w:val="none" w:sz="0" w:space="0" w:color="auto"/>
        <w:right w:val="none" w:sz="0" w:space="0" w:color="auto"/>
      </w:divBdr>
      <w:divsChild>
        <w:div w:id="1541089467">
          <w:marLeft w:val="675"/>
          <w:marRight w:val="0"/>
          <w:marTop w:val="0"/>
          <w:marBottom w:val="0"/>
          <w:divBdr>
            <w:top w:val="none" w:sz="0" w:space="0" w:color="auto"/>
            <w:left w:val="none" w:sz="0" w:space="0" w:color="auto"/>
            <w:bottom w:val="none" w:sz="0" w:space="0" w:color="auto"/>
            <w:right w:val="none" w:sz="0" w:space="0" w:color="auto"/>
          </w:divBdr>
        </w:div>
        <w:div w:id="531260342">
          <w:marLeft w:val="675"/>
          <w:marRight w:val="0"/>
          <w:marTop w:val="0"/>
          <w:marBottom w:val="0"/>
          <w:divBdr>
            <w:top w:val="none" w:sz="0" w:space="0" w:color="auto"/>
            <w:left w:val="none" w:sz="0" w:space="0" w:color="auto"/>
            <w:bottom w:val="none" w:sz="0" w:space="0" w:color="auto"/>
            <w:right w:val="none" w:sz="0" w:space="0" w:color="auto"/>
          </w:divBdr>
        </w:div>
      </w:divsChild>
    </w:div>
    <w:div w:id="1678771163">
      <w:bodyDiv w:val="1"/>
      <w:marLeft w:val="0"/>
      <w:marRight w:val="0"/>
      <w:marTop w:val="0"/>
      <w:marBottom w:val="0"/>
      <w:divBdr>
        <w:top w:val="none" w:sz="0" w:space="0" w:color="auto"/>
        <w:left w:val="none" w:sz="0" w:space="0" w:color="auto"/>
        <w:bottom w:val="none" w:sz="0" w:space="0" w:color="auto"/>
        <w:right w:val="none" w:sz="0" w:space="0" w:color="auto"/>
      </w:divBdr>
    </w:div>
    <w:div w:id="1967463419">
      <w:bodyDiv w:val="1"/>
      <w:marLeft w:val="0"/>
      <w:marRight w:val="0"/>
      <w:marTop w:val="0"/>
      <w:marBottom w:val="0"/>
      <w:divBdr>
        <w:top w:val="none" w:sz="0" w:space="0" w:color="auto"/>
        <w:left w:val="none" w:sz="0" w:space="0" w:color="auto"/>
        <w:bottom w:val="none" w:sz="0" w:space="0" w:color="auto"/>
        <w:right w:val="none" w:sz="0" w:space="0" w:color="auto"/>
      </w:divBdr>
      <w:divsChild>
        <w:div w:id="934360938">
          <w:marLeft w:val="360"/>
          <w:marRight w:val="0"/>
          <w:marTop w:val="200"/>
          <w:marBottom w:val="0"/>
          <w:divBdr>
            <w:top w:val="none" w:sz="0" w:space="0" w:color="auto"/>
            <w:left w:val="none" w:sz="0" w:space="0" w:color="auto"/>
            <w:bottom w:val="none" w:sz="0" w:space="0" w:color="auto"/>
            <w:right w:val="none" w:sz="0" w:space="0" w:color="auto"/>
          </w:divBdr>
        </w:div>
      </w:divsChild>
    </w:div>
    <w:div w:id="2050252084">
      <w:bodyDiv w:val="1"/>
      <w:marLeft w:val="0"/>
      <w:marRight w:val="0"/>
      <w:marTop w:val="0"/>
      <w:marBottom w:val="0"/>
      <w:divBdr>
        <w:top w:val="none" w:sz="0" w:space="0" w:color="auto"/>
        <w:left w:val="none" w:sz="0" w:space="0" w:color="auto"/>
        <w:bottom w:val="none" w:sz="0" w:space="0" w:color="auto"/>
        <w:right w:val="none" w:sz="0" w:space="0" w:color="auto"/>
      </w:divBdr>
      <w:divsChild>
        <w:div w:id="1467234461">
          <w:marLeft w:val="360"/>
          <w:marRight w:val="0"/>
          <w:marTop w:val="200"/>
          <w:marBottom w:val="0"/>
          <w:divBdr>
            <w:top w:val="none" w:sz="0" w:space="0" w:color="auto"/>
            <w:left w:val="none" w:sz="0" w:space="0" w:color="auto"/>
            <w:bottom w:val="none" w:sz="0" w:space="0" w:color="auto"/>
            <w:right w:val="none" w:sz="0" w:space="0" w:color="auto"/>
          </w:divBdr>
        </w:div>
      </w:divsChild>
    </w:div>
    <w:div w:id="2102755181">
      <w:bodyDiv w:val="1"/>
      <w:marLeft w:val="0"/>
      <w:marRight w:val="0"/>
      <w:marTop w:val="0"/>
      <w:marBottom w:val="0"/>
      <w:divBdr>
        <w:top w:val="none" w:sz="0" w:space="0" w:color="auto"/>
        <w:left w:val="none" w:sz="0" w:space="0" w:color="auto"/>
        <w:bottom w:val="none" w:sz="0" w:space="0" w:color="auto"/>
        <w:right w:val="none" w:sz="0" w:space="0" w:color="auto"/>
      </w:divBdr>
    </w:div>
    <w:div w:id="2144930379">
      <w:bodyDiv w:val="1"/>
      <w:marLeft w:val="0"/>
      <w:marRight w:val="0"/>
      <w:marTop w:val="0"/>
      <w:marBottom w:val="0"/>
      <w:divBdr>
        <w:top w:val="none" w:sz="0" w:space="0" w:color="auto"/>
        <w:left w:val="none" w:sz="0" w:space="0" w:color="auto"/>
        <w:bottom w:val="none" w:sz="0" w:space="0" w:color="auto"/>
        <w:right w:val="none" w:sz="0" w:space="0" w:color="auto"/>
      </w:divBdr>
      <w:divsChild>
        <w:div w:id="1194732360">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ployment-studies.co.uk/sites/default/files/resources/summarypdfs/IES%20Homeworker%20Wellbeing%20Survey%20Headlines%20-%20Interim%20Findings.pdf" TargetMode="External"/><Relationship Id="rId13" Type="http://schemas.openxmlformats.org/officeDocument/2006/relationships/hyperlink" Target="https://assets.publishing.service.gov.uk/government/uploads/system/uploads/attachment_data/file/627671/good-work-taylor-review-modern-working-practices-rg.pdf" TargetMode="External"/><Relationship Id="rId18" Type="http://schemas.openxmlformats.org/officeDocument/2006/relationships/header" Target="header2.xml"/><Relationship Id="rId26" Type="http://schemas.microsoft.com/office/2016/09/relationships/commentsIds" Target="commentsIds.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pae-eu.eu/wp-content/uploads/2021/03/Full_report_PAE-in-depth-COVID-19-Survey-Final.pdf" TargetMode="External"/><Relationship Id="rId17" Type="http://schemas.openxmlformats.org/officeDocument/2006/relationships/image" Target="media/image1.emf"/><Relationship Id="rId25"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organisations/department-for-work-pensions/about" TargetMode="External"/><Relationship Id="rId5" Type="http://schemas.openxmlformats.org/officeDocument/2006/relationships/webSettings" Target="webSettings.xml"/><Relationship Id="rId15" Type="http://schemas.openxmlformats.org/officeDocument/2006/relationships/hyperlink" Target="https://www.gov.uk/government/groups/work-and-health-unit" TargetMode="External"/><Relationship Id="rId10" Type="http://schemas.openxmlformats.org/officeDocument/2006/relationships/hyperlink" Target="https://www.gov.uk/government/organisations/department-of-health-and-social-care"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madworldsummit.com/assets/files/TheValueofOccupationalHealthtoWorkplaceWellbeing.pdf" TargetMode="External"/><Relationship Id="rId14" Type="http://schemas.openxmlformats.org/officeDocument/2006/relationships/hyperlink" Target="https://assets.publishing.service.gov.uk/government/uploads/system/uploads/attachment_data/file/214326/hwwb-is-work-good-for-you.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4EE273-D79F-4B86-B48E-AA6872795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6380</Words>
  <Characters>36372</Characters>
  <Application>Microsoft Office Word</Application>
  <DocSecurity>4</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Bath Spa University</Company>
  <LinksUpToDate>false</LinksUpToDate>
  <CharactersWithSpaces>42667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Wainwright</dc:creator>
  <cp:keywords/>
  <dc:description/>
  <cp:lastModifiedBy>Karen Drake</cp:lastModifiedBy>
  <cp:revision>2</cp:revision>
  <dcterms:created xsi:type="dcterms:W3CDTF">2021-07-30T13:00:00Z</dcterms:created>
  <dcterms:modified xsi:type="dcterms:W3CDTF">2021-07-30T13:00:00Z</dcterms:modified>
</cp:coreProperties>
</file>