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EECE1" w:themeColor="background2"/>
  <w:body>
    <w:p w14:paraId="1CCD32E0" w14:textId="77777777" w:rsidR="00D546F7" w:rsidRPr="00A01843" w:rsidRDefault="00D546F7" w:rsidP="00D546F7">
      <w:pPr>
        <w:pStyle w:val="Articletitle"/>
      </w:pPr>
      <w:r w:rsidRPr="00A01843">
        <w:t>The role of analytical variability in secondary data replications: A replication of Kim et al. (2014)</w:t>
      </w:r>
    </w:p>
    <w:p w14:paraId="10CEA2B3" w14:textId="77777777" w:rsidR="00D546F7" w:rsidRDefault="00D546F7">
      <w:pPr>
        <w:spacing w:line="240" w:lineRule="auto"/>
      </w:pPr>
    </w:p>
    <w:p w14:paraId="73C9CB72" w14:textId="25E7340C" w:rsidR="00D546F7" w:rsidRDefault="00D546F7">
      <w:pPr>
        <w:spacing w:line="240" w:lineRule="auto"/>
      </w:pPr>
      <w:r>
        <w:t xml:space="preserve">Christian </w:t>
      </w:r>
      <w:proofErr w:type="spellStart"/>
      <w:r>
        <w:t>Bokhove</w:t>
      </w:r>
      <w:r w:rsidRPr="00394920">
        <w:rPr>
          <w:vertAlign w:val="superscript"/>
        </w:rPr>
        <w:t>a</w:t>
      </w:r>
      <w:proofErr w:type="spellEnd"/>
      <w:r>
        <w:t>*</w:t>
      </w:r>
    </w:p>
    <w:p w14:paraId="35956065" w14:textId="77777777" w:rsidR="00D546F7" w:rsidRPr="008E3BB3" w:rsidRDefault="00D546F7" w:rsidP="00D546F7">
      <w:pPr>
        <w:pStyle w:val="Affiliation"/>
        <w:rPr>
          <w:vertAlign w:val="superscript"/>
        </w:rPr>
      </w:pPr>
      <w:r w:rsidRPr="00394920">
        <w:rPr>
          <w:vertAlign w:val="superscript"/>
        </w:rPr>
        <w:t>a</w:t>
      </w:r>
      <w:r>
        <w:rPr>
          <w:vertAlign w:val="superscript"/>
        </w:rPr>
        <w:t xml:space="preserve"> </w:t>
      </w:r>
      <w:r>
        <w:t>Southampton Education School, University of Southampton, Southampton, United Kingdom</w:t>
      </w:r>
      <w:r w:rsidRPr="003152C8">
        <w:t xml:space="preserve"> </w:t>
      </w:r>
    </w:p>
    <w:p w14:paraId="45E6FE7D" w14:textId="77777777" w:rsidR="00D546F7" w:rsidRDefault="00D546F7">
      <w:pPr>
        <w:spacing w:line="240" w:lineRule="auto"/>
      </w:pPr>
    </w:p>
    <w:p w14:paraId="304DE0E8" w14:textId="77777777" w:rsidR="00D546F7" w:rsidRDefault="00D546F7" w:rsidP="00D546F7">
      <w:pPr>
        <w:pStyle w:val="Correspondencedetails"/>
      </w:pPr>
      <w:r>
        <w:t>Christian Bokhove</w:t>
      </w:r>
      <w:r>
        <w:br/>
        <w:t>Highfield Campus</w:t>
      </w:r>
      <w:r>
        <w:br/>
        <w:t>Building 32 Room 2035</w:t>
      </w:r>
      <w:r>
        <w:br/>
        <w:t>Southampton SO17 1BJ</w:t>
      </w:r>
      <w:r>
        <w:br/>
      </w:r>
      <w:r w:rsidRPr="00E03AF7">
        <w:t>C.Bokhove@soton.ac.uk</w:t>
      </w:r>
      <w:r>
        <w:br/>
      </w:r>
      <w:proofErr w:type="spellStart"/>
      <w:r>
        <w:t>Orcid</w:t>
      </w:r>
      <w:proofErr w:type="spellEnd"/>
      <w:r>
        <w:t xml:space="preserve">: </w:t>
      </w:r>
      <w:r>
        <w:rPr>
          <w:rStyle w:val="orcid-id-https"/>
        </w:rPr>
        <w:t>0000-0002-4860-8723</w:t>
      </w:r>
      <w:r>
        <w:br/>
        <w:t>Twitter: @cbokhove</w:t>
      </w:r>
    </w:p>
    <w:p w14:paraId="154E83E1" w14:textId="77777777" w:rsidR="00D546F7" w:rsidRDefault="00D546F7">
      <w:pPr>
        <w:spacing w:line="240" w:lineRule="auto"/>
      </w:pPr>
    </w:p>
    <w:p w14:paraId="4F211347" w14:textId="77777777" w:rsidR="00D546F7" w:rsidRDefault="00D546F7">
      <w:pPr>
        <w:spacing w:line="240" w:lineRule="auto"/>
      </w:pPr>
    </w:p>
    <w:p w14:paraId="35F82137" w14:textId="77777777" w:rsidR="00D546F7" w:rsidRDefault="00D546F7">
      <w:pPr>
        <w:spacing w:line="240" w:lineRule="auto"/>
      </w:pPr>
      <w:r>
        <w:t xml:space="preserve">Dr </w:t>
      </w:r>
      <w:r w:rsidRPr="00B71B46">
        <w:t xml:space="preserve">Christian Bokhove is </w:t>
      </w:r>
      <w:r>
        <w:t>Associate Professor</w:t>
      </w:r>
      <w:r w:rsidRPr="00B71B46">
        <w:t xml:space="preserve"> in Mathematics Education with research interests in everything regarding mathematics teaching in secondary schools. </w:t>
      </w:r>
      <w:r>
        <w:t>He does a lot of research with large-scale assessments like PISA and TIMSS to get insights in mathematics education in an international perspective. In addition, he is involved in open research practices and research transparency.</w:t>
      </w:r>
    </w:p>
    <w:p w14:paraId="3FBCAD00" w14:textId="77777777" w:rsidR="00D546F7" w:rsidRDefault="00D546F7">
      <w:pPr>
        <w:spacing w:line="240" w:lineRule="auto"/>
      </w:pPr>
    </w:p>
    <w:p w14:paraId="3F97830A" w14:textId="77777777" w:rsidR="00D546F7" w:rsidRDefault="00D546F7">
      <w:pPr>
        <w:spacing w:line="240" w:lineRule="auto"/>
      </w:pPr>
    </w:p>
    <w:p w14:paraId="04C5369F" w14:textId="1A23F80E" w:rsidR="00D546F7" w:rsidRPr="00D546F7" w:rsidRDefault="00D546F7" w:rsidP="00D546F7">
      <w:pPr>
        <w:spacing w:line="240" w:lineRule="auto"/>
        <w:jc w:val="center"/>
        <w:rPr>
          <w:b/>
          <w:bCs/>
          <w:sz w:val="28"/>
        </w:rPr>
      </w:pPr>
      <w:r w:rsidRPr="00D546F7">
        <w:rPr>
          <w:b/>
          <w:bCs/>
          <w:color w:val="FF0000"/>
        </w:rPr>
        <w:t>THIS IS THE ACCEPTED MANUSCRIPT FOR EDUCATIONAL RESEARCH AND EVALUATION. THE ONLY CHANGE HAS BEEN THAT TABLES HAVE BEEN INSERTED IN THE TEXT. OSF LINKS ARE STILL ANONYMISED.</w:t>
      </w:r>
      <w:r w:rsidRPr="00D546F7">
        <w:rPr>
          <w:b/>
          <w:bCs/>
        </w:rPr>
        <w:br w:type="page"/>
      </w:r>
    </w:p>
    <w:p w14:paraId="0321BF41" w14:textId="5E1C7519" w:rsidR="00C246C5" w:rsidRPr="00A01843" w:rsidRDefault="00C70C36" w:rsidP="009B24B5">
      <w:pPr>
        <w:pStyle w:val="Articletitle"/>
      </w:pPr>
      <w:r w:rsidRPr="00A01843">
        <w:lastRenderedPageBreak/>
        <w:t xml:space="preserve">The role of </w:t>
      </w:r>
      <w:r w:rsidR="00271C8B" w:rsidRPr="00A01843">
        <w:t>analytical variability in</w:t>
      </w:r>
      <w:r w:rsidRPr="00A01843">
        <w:t xml:space="preserve"> secondary data replications</w:t>
      </w:r>
      <w:r w:rsidR="004A098F" w:rsidRPr="00A01843">
        <w:t>: A replication of Kim et al. (2014)</w:t>
      </w:r>
    </w:p>
    <w:p w14:paraId="2EE85CD8" w14:textId="40974500" w:rsidR="00C70C36" w:rsidRPr="00A01843" w:rsidRDefault="00C70C36" w:rsidP="00C70C36">
      <w:pPr>
        <w:pStyle w:val="Abstract"/>
      </w:pPr>
      <w:r w:rsidRPr="00A01843">
        <w:t xml:space="preserve">An article from 2014 (Kim et al., 2014) examined individual- and school-level variables affecting the ICT literacy level of Korean elementary school students, finding differential gender effects. </w:t>
      </w:r>
      <w:r w:rsidR="00866B9E" w:rsidRPr="00A01843">
        <w:rPr>
          <w:rStyle w:val="hscoswrapper"/>
        </w:rPr>
        <w:t>In this</w:t>
      </w:r>
      <w:r w:rsidRPr="00A01843">
        <w:rPr>
          <w:rStyle w:val="hscoswrapper"/>
        </w:rPr>
        <w:t xml:space="preserve"> secondary data </w:t>
      </w:r>
      <w:r w:rsidR="004C2CA2" w:rsidRPr="00A01843">
        <w:rPr>
          <w:rStyle w:val="hscoswrapper"/>
        </w:rPr>
        <w:t>replication,</w:t>
      </w:r>
      <w:r w:rsidRPr="00A01843">
        <w:rPr>
          <w:rStyle w:val="hscoswrapper"/>
        </w:rPr>
        <w:t xml:space="preserve"> </w:t>
      </w:r>
      <w:r w:rsidR="00866B9E" w:rsidRPr="00A01843">
        <w:rPr>
          <w:rStyle w:val="hscoswrapper"/>
        </w:rPr>
        <w:t xml:space="preserve">we </w:t>
      </w:r>
      <w:r w:rsidRPr="00A01843">
        <w:rPr>
          <w:rStyle w:val="hscoswrapper"/>
        </w:rPr>
        <w:t xml:space="preserve">used data from the 2018 International Computer and Information Literacy Study, focussing on data from Korea as main replication. As many characteristics of the study as possible, </w:t>
      </w:r>
      <w:r w:rsidR="000E2A12" w:rsidRPr="00A01843">
        <w:rPr>
          <w:rStyle w:val="hscoswrapper"/>
        </w:rPr>
        <w:t>such as</w:t>
      </w:r>
      <w:r w:rsidRPr="00A01843">
        <w:rPr>
          <w:rStyle w:val="hscoswrapper"/>
        </w:rPr>
        <w:t xml:space="preserve"> variables and analytical strategy, were modelled in the analysis. Additional analyses included 13 countries and jurisdictions, varied centring techniques for variables, and missing data treatment. The replication and analyses were pre-registered via the Open Science Framework</w:t>
      </w:r>
      <w:r w:rsidR="00127DD5" w:rsidRPr="00A01843">
        <w:rPr>
          <w:rStyle w:val="hscoswrapper"/>
        </w:rPr>
        <w:t xml:space="preserve">. </w:t>
      </w:r>
      <w:r w:rsidRPr="00A01843">
        <w:rPr>
          <w:rStyle w:val="hscoswrapper"/>
        </w:rPr>
        <w:t xml:space="preserve">The </w:t>
      </w:r>
      <w:r w:rsidR="00866B9E" w:rsidRPr="00A01843">
        <w:rPr>
          <w:rStyle w:val="hscoswrapper"/>
        </w:rPr>
        <w:t>main</w:t>
      </w:r>
      <w:r w:rsidRPr="00A01843">
        <w:rPr>
          <w:rStyle w:val="hscoswrapper"/>
        </w:rPr>
        <w:t xml:space="preserve"> analysis did not replicate the main gender finding. However, it was </w:t>
      </w:r>
      <w:r w:rsidR="000E2A12" w:rsidRPr="00A01843">
        <w:rPr>
          <w:rStyle w:val="hscoswrapper"/>
        </w:rPr>
        <w:t xml:space="preserve">also </w:t>
      </w:r>
      <w:r w:rsidRPr="00A01843">
        <w:rPr>
          <w:rStyle w:val="hscoswrapper"/>
        </w:rPr>
        <w:t xml:space="preserve">clear that despite care taken in a rigorous replication, </w:t>
      </w:r>
      <w:r w:rsidR="00271C8B" w:rsidRPr="00A01843">
        <w:rPr>
          <w:rStyle w:val="hscoswrapper"/>
        </w:rPr>
        <w:t>analytical variability</w:t>
      </w:r>
      <w:r w:rsidRPr="00A01843">
        <w:rPr>
          <w:rStyle w:val="hscoswrapper"/>
        </w:rPr>
        <w:t xml:space="preserve"> still play</w:t>
      </w:r>
      <w:r w:rsidR="00271C8B" w:rsidRPr="00A01843">
        <w:rPr>
          <w:rStyle w:val="hscoswrapper"/>
        </w:rPr>
        <w:t>s</w:t>
      </w:r>
      <w:r w:rsidRPr="00A01843">
        <w:rPr>
          <w:rStyle w:val="hscoswrapper"/>
        </w:rPr>
        <w:t xml:space="preserve"> a large role in replications of findings</w:t>
      </w:r>
      <w:r w:rsidR="00866B9E" w:rsidRPr="00A01843">
        <w:rPr>
          <w:rStyle w:val="hscoswrapper"/>
        </w:rPr>
        <w:t xml:space="preserve">, </w:t>
      </w:r>
      <w:r w:rsidR="000E2A12" w:rsidRPr="00A01843">
        <w:rPr>
          <w:rStyle w:val="hscoswrapper"/>
        </w:rPr>
        <w:t>and</w:t>
      </w:r>
      <w:r w:rsidRPr="00A01843">
        <w:rPr>
          <w:rStyle w:val="hscoswrapper"/>
        </w:rPr>
        <w:t xml:space="preserve"> with secondary datasets. </w:t>
      </w:r>
      <w:r w:rsidR="00FA0AF5" w:rsidRPr="00A01843">
        <w:rPr>
          <w:rStyle w:val="hscoswrapper"/>
        </w:rPr>
        <w:t>We</w:t>
      </w:r>
      <w:r w:rsidRPr="00A01843">
        <w:rPr>
          <w:rStyle w:val="hscoswrapper"/>
        </w:rPr>
        <w:t xml:space="preserve"> discuss the implications of th</w:t>
      </w:r>
      <w:r w:rsidR="00127DD5" w:rsidRPr="00A01843">
        <w:rPr>
          <w:rStyle w:val="hscoswrapper"/>
        </w:rPr>
        <w:t xml:space="preserve">is for </w:t>
      </w:r>
      <w:r w:rsidRPr="00A01843">
        <w:rPr>
          <w:rStyle w:val="hscoswrapper"/>
        </w:rPr>
        <w:t>secondary data replications.</w:t>
      </w:r>
    </w:p>
    <w:p w14:paraId="43358C7C" w14:textId="11C8D2A2" w:rsidR="002B1B1A" w:rsidRPr="00A01843" w:rsidRDefault="00997B0F" w:rsidP="00C70C36">
      <w:pPr>
        <w:pStyle w:val="Keywords"/>
      </w:pPr>
      <w:r w:rsidRPr="00A01843">
        <w:t xml:space="preserve">Keywords: </w:t>
      </w:r>
      <w:r w:rsidR="00C70C36" w:rsidRPr="00A01843">
        <w:t xml:space="preserve">replication, international largescale assessment, </w:t>
      </w:r>
      <w:r w:rsidR="00CF732F" w:rsidRPr="00A01843">
        <w:t>analytical variability</w:t>
      </w:r>
    </w:p>
    <w:p w14:paraId="785B4C4E" w14:textId="39295517" w:rsidR="00997B0F" w:rsidRPr="00A01843" w:rsidRDefault="00C70C36" w:rsidP="00106DAF">
      <w:pPr>
        <w:pStyle w:val="Heading1"/>
      </w:pPr>
      <w:r w:rsidRPr="00A01843">
        <w:t>Introduction</w:t>
      </w:r>
    </w:p>
    <w:p w14:paraId="644B5DD1" w14:textId="0A34B510" w:rsidR="00CA3605" w:rsidRPr="00A01843" w:rsidRDefault="00CA3605" w:rsidP="00C70C36">
      <w:r w:rsidRPr="00A01843">
        <w:t>In this article we</w:t>
      </w:r>
      <w:r w:rsidR="00BC6E98" w:rsidRPr="00A01843">
        <w:t xml:space="preserve"> present the findings of a conceptual replication of published research on Information and Communication Technology (ICT) literacy with recent secondary data. </w:t>
      </w:r>
      <w:r w:rsidR="00ED3A0E" w:rsidRPr="00A01843">
        <w:t>The</w:t>
      </w:r>
      <w:r w:rsidR="00BC6E98" w:rsidRPr="00A01843">
        <w:t xml:space="preserve"> first half of the article describe</w:t>
      </w:r>
      <w:r w:rsidR="00ED3A0E" w:rsidRPr="00A01843">
        <w:t>s</w:t>
      </w:r>
      <w:r w:rsidR="00BC6E98" w:rsidRPr="00A01843">
        <w:t xml:space="preserve"> the replication process in detail. Although </w:t>
      </w:r>
      <w:r w:rsidR="00ED3A0E" w:rsidRPr="00A01843">
        <w:t xml:space="preserve">it does not </w:t>
      </w:r>
      <w:r w:rsidR="00BC6E98" w:rsidRPr="00A01843">
        <w:t xml:space="preserve">replicate the findings, the results are very much influenced by researchers’ analytical </w:t>
      </w:r>
      <w:r w:rsidR="00702B6A" w:rsidRPr="00A01843">
        <w:t>decisions</w:t>
      </w:r>
      <w:r w:rsidR="00BC6E98" w:rsidRPr="00A01843">
        <w:t>. So, the second half of the article discuss</w:t>
      </w:r>
      <w:r w:rsidR="005D1A72" w:rsidRPr="00A01843">
        <w:t>es</w:t>
      </w:r>
      <w:r w:rsidR="00BC6E98" w:rsidRPr="00A01843">
        <w:t xml:space="preserve"> such ‘</w:t>
      </w:r>
      <w:r w:rsidR="00CF732F" w:rsidRPr="00A01843">
        <w:t>analytical variability</w:t>
      </w:r>
      <w:r w:rsidR="00BC6E98" w:rsidRPr="00A01843">
        <w:t>’ and recommend</w:t>
      </w:r>
      <w:r w:rsidR="005D1A72" w:rsidRPr="00A01843">
        <w:t>s</w:t>
      </w:r>
      <w:r w:rsidR="00BC6E98" w:rsidRPr="00A01843">
        <w:t xml:space="preserve"> that</w:t>
      </w:r>
      <w:r w:rsidR="005D1A72" w:rsidRPr="00A01843">
        <w:t>,</w:t>
      </w:r>
      <w:r w:rsidR="00BC6E98" w:rsidRPr="00A01843">
        <w:t xml:space="preserve"> although such </w:t>
      </w:r>
      <w:r w:rsidR="00702B6A" w:rsidRPr="00A01843">
        <w:t>decisions</w:t>
      </w:r>
      <w:r w:rsidR="00BC6E98" w:rsidRPr="00A01843">
        <w:t xml:space="preserve"> always will be made, transparency in the </w:t>
      </w:r>
      <w:r w:rsidR="00702B6A" w:rsidRPr="00A01843">
        <w:t>decisions</w:t>
      </w:r>
      <w:r w:rsidR="00BC6E98" w:rsidRPr="00A01843">
        <w:t xml:space="preserve"> made, can help </w:t>
      </w:r>
      <w:r w:rsidR="00ED3A0E" w:rsidRPr="00A01843">
        <w:t xml:space="preserve">to </w:t>
      </w:r>
      <w:r w:rsidR="00BC6E98" w:rsidRPr="00A01843">
        <w:t xml:space="preserve">improve science. </w:t>
      </w:r>
    </w:p>
    <w:p w14:paraId="049A6801" w14:textId="5DFB81E8" w:rsidR="00793423" w:rsidRPr="00A01843" w:rsidRDefault="00793423" w:rsidP="00C70C36">
      <w:r w:rsidRPr="00A01843">
        <w:t xml:space="preserve">Recently, open science practices in education research have </w:t>
      </w:r>
      <w:r w:rsidR="00D22C5A" w:rsidRPr="00A01843">
        <w:t>received</w:t>
      </w:r>
      <w:r w:rsidRPr="00A01843">
        <w:t xml:space="preserve"> more and more attention, with some emphasis on the practice of </w:t>
      </w:r>
      <w:r w:rsidRPr="00A01843">
        <w:rPr>
          <w:i/>
          <w:iCs/>
        </w:rPr>
        <w:t>replication</w:t>
      </w:r>
      <w:r w:rsidRPr="00A01843">
        <w:t xml:space="preserve">. In a recent special issue on this topic in the journal </w:t>
      </w:r>
      <w:r w:rsidRPr="00A01843">
        <w:rPr>
          <w:i/>
          <w:iCs/>
        </w:rPr>
        <w:t>Educational Psychologist</w:t>
      </w:r>
      <w:r w:rsidR="00980CD6" w:rsidRPr="00A01843">
        <w:t>,</w:t>
      </w:r>
      <w:r w:rsidRPr="00A01843">
        <w:t xml:space="preserve"> </w:t>
      </w:r>
      <w:proofErr w:type="spellStart"/>
      <w:r w:rsidRPr="00A01843">
        <w:t>Plucker</w:t>
      </w:r>
      <w:proofErr w:type="spellEnd"/>
      <w:r w:rsidRPr="00A01843">
        <w:t xml:space="preserve"> and </w:t>
      </w:r>
      <w:proofErr w:type="spellStart"/>
      <w:r w:rsidRPr="00A01843">
        <w:t>Makel</w:t>
      </w:r>
      <w:proofErr w:type="spellEnd"/>
      <w:r w:rsidRPr="00A01843">
        <w:t xml:space="preserve"> (2021) report that replications are still relatively rare. They describe replications as “intentional repetition </w:t>
      </w:r>
      <w:r w:rsidRPr="00A01843">
        <w:lastRenderedPageBreak/>
        <w:t xml:space="preserve">of previous research to confirm or disconfirm the previous results, serving as a de facto reliability check on previous research” (p. 1). Taking this as starting point, it </w:t>
      </w:r>
      <w:r w:rsidR="00BC6E98" w:rsidRPr="00A01843">
        <w:t>is useful</w:t>
      </w:r>
      <w:r w:rsidRPr="00A01843">
        <w:t xml:space="preserve"> to focus on influential articles and findings in the </w:t>
      </w:r>
      <w:r w:rsidR="00BC6E98" w:rsidRPr="00A01843">
        <w:t xml:space="preserve">field of </w:t>
      </w:r>
      <w:r w:rsidRPr="00A01843">
        <w:t xml:space="preserve">educational research. In the </w:t>
      </w:r>
      <w:r w:rsidR="00866B9E" w:rsidRPr="00A01843">
        <w:t>field</w:t>
      </w:r>
      <w:r w:rsidRPr="00A01843">
        <w:t xml:space="preserve"> of Information and Communication Technology (ICT) </w:t>
      </w:r>
      <w:r w:rsidR="00866B9E" w:rsidRPr="00A01843">
        <w:t xml:space="preserve">literacy, </w:t>
      </w:r>
      <w:r w:rsidRPr="00A01843">
        <w:t>Kim</w:t>
      </w:r>
      <w:r w:rsidR="00685826" w:rsidRPr="00A01843">
        <w:t xml:space="preserve"> et al.</w:t>
      </w:r>
      <w:r w:rsidRPr="00A01843">
        <w:t xml:space="preserve"> (2014) concluded that</w:t>
      </w:r>
      <w:r w:rsidR="000B5154" w:rsidRPr="00A01843">
        <w:t>, while controlling for other factors, there were differential effects of gender on ICT literacy score</w:t>
      </w:r>
      <w:r w:rsidR="00BC6E98" w:rsidRPr="00A01843">
        <w:t>s</w:t>
      </w:r>
      <w:r w:rsidR="00276E6F" w:rsidRPr="00A01843">
        <w:rPr>
          <w:rStyle w:val="EndnoteReference"/>
        </w:rPr>
        <w:endnoteReference w:id="1"/>
      </w:r>
      <w:r w:rsidR="00276E6F" w:rsidRPr="00A01843">
        <w:t>.</w:t>
      </w:r>
      <w:r w:rsidR="000B5154" w:rsidRPr="00A01843">
        <w:t xml:space="preserve"> In the context of technology and literacy</w:t>
      </w:r>
      <w:r w:rsidR="005D1A72" w:rsidRPr="00A01843">
        <w:t>,</w:t>
      </w:r>
      <w:r w:rsidR="000B5154" w:rsidRPr="00A01843">
        <w:t xml:space="preserve"> such gender differences can be said to be </w:t>
      </w:r>
      <w:r w:rsidR="00762C29" w:rsidRPr="00A01843">
        <w:t>important</w:t>
      </w:r>
      <w:r w:rsidR="000B5154" w:rsidRPr="00A01843">
        <w:t xml:space="preserve"> and so it would be </w:t>
      </w:r>
      <w:r w:rsidR="00762C29" w:rsidRPr="00A01843">
        <w:t>useful and relevant</w:t>
      </w:r>
      <w:r w:rsidR="000B5154" w:rsidRPr="00A01843">
        <w:t xml:space="preserve"> to </w:t>
      </w:r>
      <w:r w:rsidR="00762C29" w:rsidRPr="00A01843">
        <w:t xml:space="preserve">seek to </w:t>
      </w:r>
      <w:r w:rsidR="000B5154" w:rsidRPr="00A01843">
        <w:t>replicate such a finding. However, the way in which we replicate the finding</w:t>
      </w:r>
      <w:r w:rsidR="00762C29" w:rsidRPr="00A01843">
        <w:t>s</w:t>
      </w:r>
      <w:r w:rsidR="000B5154" w:rsidRPr="00A01843">
        <w:t xml:space="preserve">, for example in the same Korean context, with similar measurements, and other </w:t>
      </w:r>
      <w:r w:rsidR="00CF732F" w:rsidRPr="00A01843">
        <w:t>analytical decisions</w:t>
      </w:r>
      <w:r w:rsidR="000B5154" w:rsidRPr="00A01843">
        <w:t xml:space="preserve"> </w:t>
      </w:r>
      <w:r w:rsidR="002A6B73" w:rsidRPr="00A01843">
        <w:t xml:space="preserve">available, </w:t>
      </w:r>
      <w:r w:rsidR="000B5154" w:rsidRPr="00A01843">
        <w:t xml:space="preserve">is not </w:t>
      </w:r>
      <w:r w:rsidR="00762C29" w:rsidRPr="00A01843">
        <w:t>entirely</w:t>
      </w:r>
      <w:r w:rsidR="000B5154" w:rsidRPr="00A01843">
        <w:t xml:space="preserve"> straightforward. This article reports a replication of Kim et al. (2014) with data from an International Largescale Assessment (ILSA)</w:t>
      </w:r>
      <w:r w:rsidR="00501F3F" w:rsidRPr="00A01843">
        <w:t xml:space="preserve">, termed </w:t>
      </w:r>
      <w:r w:rsidR="000B5154" w:rsidRPr="00A01843">
        <w:t xml:space="preserve">the International Computer and Information Literacy Study (ICILS 2018). </w:t>
      </w:r>
      <w:r w:rsidR="007C0B18" w:rsidRPr="00A01843">
        <w:t xml:space="preserve">The structure of this article is atypical in that we reserve the literature on </w:t>
      </w:r>
      <w:r w:rsidR="00CF732F" w:rsidRPr="00A01843">
        <w:t>analytical variability</w:t>
      </w:r>
      <w:r w:rsidR="002A6B73" w:rsidRPr="00A01843">
        <w:t xml:space="preserve"> in replications</w:t>
      </w:r>
      <w:r w:rsidR="007C0B18" w:rsidRPr="00A01843">
        <w:t xml:space="preserve"> </w:t>
      </w:r>
      <w:r w:rsidR="002A6B73" w:rsidRPr="00A01843">
        <w:t>for</w:t>
      </w:r>
      <w:r w:rsidR="007C0B18" w:rsidRPr="00A01843">
        <w:t xml:space="preserve"> the final part of the article</w:t>
      </w:r>
      <w:r w:rsidR="002A6B73" w:rsidRPr="00A01843">
        <w:t>.</w:t>
      </w:r>
      <w:r w:rsidR="007C0B18" w:rsidRPr="00A01843">
        <w:t xml:space="preserve"> </w:t>
      </w:r>
      <w:r w:rsidR="00CF732F" w:rsidRPr="00A01843">
        <w:t>With ‘analytical variability’ we refer to the complete analysis ‘pipeline’, from data cleaning, statistical approaches to the final inferences made based on the statistical results</w:t>
      </w:r>
      <w:r w:rsidR="00B86995" w:rsidRPr="00A01843">
        <w:t>. Variability can arise from such decisions like the choice of secondary dataset, the choice of variables, the creation of scales, the statistical methods used, and many other decisions.</w:t>
      </w:r>
      <w:r w:rsidR="005D1A72" w:rsidRPr="00A01843">
        <w:t xml:space="preserve"> </w:t>
      </w:r>
      <w:r w:rsidR="00501F3F" w:rsidRPr="00A01843">
        <w:t>W</w:t>
      </w:r>
      <w:r w:rsidR="007C0B18" w:rsidRPr="00A01843">
        <w:t>e take the replication as a given, we run the replication and then report findings and replication experiences.</w:t>
      </w:r>
      <w:r w:rsidR="000B5154" w:rsidRPr="00A01843">
        <w:t xml:space="preserve"> </w:t>
      </w:r>
      <w:r w:rsidR="007C0B18" w:rsidRPr="00A01843">
        <w:t>For this purpose, we first</w:t>
      </w:r>
      <w:r w:rsidR="000B5154" w:rsidRPr="00A01843">
        <w:t xml:space="preserve"> describe </w:t>
      </w:r>
      <w:r w:rsidR="007C0B18" w:rsidRPr="00A01843">
        <w:t xml:space="preserve">the original Kim et al. (2014) study and </w:t>
      </w:r>
      <w:r w:rsidR="000B5154" w:rsidRPr="00A01843">
        <w:t xml:space="preserve">how we replicated the study, within the so-called </w:t>
      </w:r>
      <w:r w:rsidR="008B7CE0" w:rsidRPr="00A01843">
        <w:t>Systematizing Confidence in Open Research and Evidence (</w:t>
      </w:r>
      <w:r w:rsidR="000B5154" w:rsidRPr="00A01843">
        <w:t>SCORE</w:t>
      </w:r>
      <w:r w:rsidR="008B7CE0" w:rsidRPr="00A01843">
        <w:t>)</w:t>
      </w:r>
      <w:r w:rsidR="000B5154" w:rsidRPr="00A01843">
        <w:t xml:space="preserve"> project, with pre-registration of the </w:t>
      </w:r>
      <w:r w:rsidR="008C689B" w:rsidRPr="00A01843">
        <w:t>analysis and code. We describe how we follow</w:t>
      </w:r>
      <w:r w:rsidR="002A6B73" w:rsidRPr="00A01843">
        <w:t>ed</w:t>
      </w:r>
      <w:r w:rsidR="008C689B" w:rsidRPr="00A01843">
        <w:t xml:space="preserve"> the original study by Kim et al. (2014) as closely as possible, but that we also include some variations with regard to the sample (focal analysis Korea, </w:t>
      </w:r>
      <w:r w:rsidR="008B7CE0" w:rsidRPr="00A01843">
        <w:t>as in</w:t>
      </w:r>
      <w:r w:rsidR="008C689B" w:rsidRPr="00A01843">
        <w:t xml:space="preserve"> the original, but we also looked at a sample of multiple countries), centring </w:t>
      </w:r>
      <w:r w:rsidR="008C689B" w:rsidRPr="00A01843">
        <w:lastRenderedPageBreak/>
        <w:t xml:space="preserve">of variables, and imputation of missing data which were more prevalent in the ICILS 2018 data. We can show that analytical </w:t>
      </w:r>
      <w:r w:rsidR="00702B6A" w:rsidRPr="00A01843">
        <w:t>decisions</w:t>
      </w:r>
      <w:r w:rsidR="008C689B" w:rsidRPr="00A01843">
        <w:t xml:space="preserve"> </w:t>
      </w:r>
      <w:r w:rsidR="002A6B73" w:rsidRPr="00A01843">
        <w:t xml:space="preserve">influenced </w:t>
      </w:r>
      <w:r w:rsidR="008C689B" w:rsidRPr="00A01843">
        <w:t>the findings, so</w:t>
      </w:r>
      <w:r w:rsidR="005D1A72" w:rsidRPr="00A01843">
        <w:t>,</w:t>
      </w:r>
      <w:r w:rsidR="008C689B" w:rsidRPr="00A01843">
        <w:t xml:space="preserve"> although we have a </w:t>
      </w:r>
      <w:r w:rsidR="008E32A9" w:rsidRPr="00A01843">
        <w:t xml:space="preserve">replication </w:t>
      </w:r>
      <w:r w:rsidR="008C689B" w:rsidRPr="00A01843">
        <w:t xml:space="preserve">result on the primary outcome for Kim et al. (2014), </w:t>
      </w:r>
      <w:r w:rsidR="008B7CE0" w:rsidRPr="00A01843">
        <w:t>different</w:t>
      </w:r>
      <w:r w:rsidR="008C689B" w:rsidRPr="00A01843">
        <w:t xml:space="preserve"> analytical </w:t>
      </w:r>
      <w:r w:rsidR="00702B6A" w:rsidRPr="00A01843">
        <w:t>decisions</w:t>
      </w:r>
      <w:r w:rsidR="008C689B" w:rsidRPr="00A01843">
        <w:t xml:space="preserve"> yield different result</w:t>
      </w:r>
      <w:r w:rsidR="008E32A9" w:rsidRPr="00A01843">
        <w:t>s</w:t>
      </w:r>
      <w:r w:rsidR="008C689B" w:rsidRPr="00A01843">
        <w:t>. In addition to these alternative analyses</w:t>
      </w:r>
      <w:r w:rsidR="005D1A72" w:rsidRPr="00A01843">
        <w:t>,</w:t>
      </w:r>
      <w:r w:rsidR="008C689B" w:rsidRPr="00A01843">
        <w:t xml:space="preserve"> there are many more analytical </w:t>
      </w:r>
      <w:r w:rsidR="008B7CE0" w:rsidRPr="00A01843">
        <w:t>decisions</w:t>
      </w:r>
      <w:r w:rsidR="008C689B" w:rsidRPr="00A01843">
        <w:t xml:space="preserve"> made along the way. </w:t>
      </w:r>
      <w:r w:rsidR="008E32A9" w:rsidRPr="00A01843">
        <w:t>After reporting the substantive replication result for Kim et al. (2014)</w:t>
      </w:r>
      <w:r w:rsidR="005D1A72" w:rsidRPr="00A01843">
        <w:t>,</w:t>
      </w:r>
      <w:r w:rsidR="008E32A9" w:rsidRPr="00A01843">
        <w:t xml:space="preserve"> we therefore proceed with a discussion o</w:t>
      </w:r>
      <w:r w:rsidR="008B7CE0" w:rsidRPr="00A01843">
        <w:t>f</w:t>
      </w:r>
      <w:r w:rsidR="008C689B" w:rsidRPr="00A01843">
        <w:t xml:space="preserve"> </w:t>
      </w:r>
      <w:r w:rsidR="005C18ED" w:rsidRPr="00A01843">
        <w:t>analytical variability</w:t>
      </w:r>
      <w:r w:rsidR="008C689B" w:rsidRPr="00A01843">
        <w:t xml:space="preserve"> in </w:t>
      </w:r>
      <w:r w:rsidR="008E32A9" w:rsidRPr="00A01843">
        <w:t xml:space="preserve">replications with </w:t>
      </w:r>
      <w:r w:rsidR="008C689B" w:rsidRPr="00A01843">
        <w:t xml:space="preserve">secondary data analyses. </w:t>
      </w:r>
    </w:p>
    <w:p w14:paraId="3F3A2ADB" w14:textId="3E25C676" w:rsidR="001B291C" w:rsidRPr="00A01843" w:rsidRDefault="0097081E" w:rsidP="008E32A9">
      <w:pPr>
        <w:pStyle w:val="Heading1"/>
      </w:pPr>
      <w:r w:rsidRPr="00A01843">
        <w:t>ICT literacy and gender: A replication</w:t>
      </w:r>
    </w:p>
    <w:p w14:paraId="0BCEC89B" w14:textId="517A05A9" w:rsidR="00A443C2" w:rsidRPr="00A01843" w:rsidRDefault="00A83CB0" w:rsidP="008C3934">
      <w:r w:rsidRPr="00A01843">
        <w:t xml:space="preserve">The replication of Kim et al. (2014) took place as </w:t>
      </w:r>
      <w:r w:rsidR="00D22C5A" w:rsidRPr="00A01843">
        <w:t xml:space="preserve">part of the </w:t>
      </w:r>
      <w:proofErr w:type="spellStart"/>
      <w:r w:rsidRPr="00A01843">
        <w:t>Center</w:t>
      </w:r>
      <w:proofErr w:type="spellEnd"/>
      <w:r w:rsidRPr="00A01843">
        <w:t xml:space="preserve"> for Open Science's efforts under the SCORE project.</w:t>
      </w:r>
      <w:r w:rsidRPr="00A01843">
        <w:rPr>
          <w:b/>
          <w:bCs/>
        </w:rPr>
        <w:t xml:space="preserve"> </w:t>
      </w:r>
      <w:r w:rsidR="00F97F39" w:rsidRPr="00A01843">
        <w:t>The SCORE project aims to assess and improve the replicability of social-behavio</w:t>
      </w:r>
      <w:r w:rsidRPr="00A01843">
        <w:t>u</w:t>
      </w:r>
      <w:r w:rsidR="00F97F39" w:rsidRPr="00A01843">
        <w:t>ral science.</w:t>
      </w:r>
      <w:r w:rsidR="00536488" w:rsidRPr="00A01843">
        <w:rPr>
          <w:b/>
          <w:bCs/>
        </w:rPr>
        <w:t xml:space="preserve"> </w:t>
      </w:r>
      <w:r w:rsidR="00F97F39" w:rsidRPr="00A01843">
        <w:t xml:space="preserve">The project </w:t>
      </w:r>
      <w:proofErr w:type="gramStart"/>
      <w:r w:rsidR="00A443C2" w:rsidRPr="00A01843">
        <w:t xml:space="preserve">as a whole </w:t>
      </w:r>
      <w:r w:rsidR="00536488" w:rsidRPr="00A01843">
        <w:t>collects</w:t>
      </w:r>
      <w:proofErr w:type="gramEnd"/>
      <w:r w:rsidR="00C35DC7" w:rsidRPr="00A01843">
        <w:t xml:space="preserve"> 30,000 papers published between 2009 and 2018 from 60+ journals in the social-behavio</w:t>
      </w:r>
      <w:r w:rsidR="00536488" w:rsidRPr="00A01843">
        <w:t>u</w:t>
      </w:r>
      <w:r w:rsidR="00C35DC7" w:rsidRPr="00A01843">
        <w:t>ral sciences that publish primarily empirical, non-simulated research</w:t>
      </w:r>
      <w:r w:rsidR="00825DE1" w:rsidRPr="00A01843">
        <w:rPr>
          <w:rStyle w:val="EndnoteReference"/>
        </w:rPr>
        <w:endnoteReference w:id="2"/>
      </w:r>
      <w:r w:rsidR="00C35DC7" w:rsidRPr="00A01843">
        <w:t xml:space="preserve"> with human participants.</w:t>
      </w:r>
      <w:r w:rsidR="00536488" w:rsidRPr="00A01843">
        <w:t xml:space="preserve"> This </w:t>
      </w:r>
      <w:proofErr w:type="gramStart"/>
      <w:r w:rsidR="00A443C2" w:rsidRPr="00A01843">
        <w:t xml:space="preserve">particular </w:t>
      </w:r>
      <w:r w:rsidR="00D22C5A" w:rsidRPr="00A01843">
        <w:t>project</w:t>
      </w:r>
      <w:proofErr w:type="gramEnd"/>
      <w:r w:rsidR="00D22C5A" w:rsidRPr="00A01843">
        <w:t xml:space="preserve"> replicates the findings from Kim et al. (2014)</w:t>
      </w:r>
      <w:r w:rsidR="00B1137D" w:rsidRPr="00A01843">
        <w:t>,</w:t>
      </w:r>
      <w:r w:rsidR="00D22C5A" w:rsidRPr="00A01843">
        <w:t xml:space="preserve"> through </w:t>
      </w:r>
      <w:r w:rsidR="00536488" w:rsidRPr="00A01843">
        <w:t>secondary data from ICILS 2018, a study which will be expanded later on in the methodology section.</w:t>
      </w:r>
      <w:r w:rsidR="00D22C5A" w:rsidRPr="00A01843">
        <w:t xml:space="preserve"> </w:t>
      </w:r>
      <w:r w:rsidR="00825DE1" w:rsidRPr="00A01843">
        <w:t xml:space="preserve">As the </w:t>
      </w:r>
      <w:r w:rsidR="00A03B12" w:rsidRPr="00A01843">
        <w:t xml:space="preserve">study by Kim et al. (2014) has 71 </w:t>
      </w:r>
      <w:r w:rsidR="00825DE1" w:rsidRPr="00A01843">
        <w:t xml:space="preserve">citations </w:t>
      </w:r>
      <w:r w:rsidR="00A03B12" w:rsidRPr="00A01843">
        <w:t>at the time of writing</w:t>
      </w:r>
      <w:r w:rsidR="00825DE1" w:rsidRPr="00A01843">
        <w:t>, this suggests that it merits replication, as it</w:t>
      </w:r>
      <w:r w:rsidR="00A03B12" w:rsidRPr="00A01843">
        <w:t xml:space="preserve"> contributes to the discussion </w:t>
      </w:r>
      <w:r w:rsidR="00825DE1" w:rsidRPr="00A01843">
        <w:t xml:space="preserve">of </w:t>
      </w:r>
      <w:r w:rsidR="00330552" w:rsidRPr="00A01843">
        <w:t>whether male o</w:t>
      </w:r>
      <w:r w:rsidR="00942423" w:rsidRPr="00A01843">
        <w:t xml:space="preserve">r </w:t>
      </w:r>
      <w:r w:rsidR="00330552" w:rsidRPr="00A01843">
        <w:t xml:space="preserve">female students perform better </w:t>
      </w:r>
      <w:r w:rsidR="00825DE1" w:rsidRPr="00A01843">
        <w:t>in terms of</w:t>
      </w:r>
      <w:r w:rsidR="00330552" w:rsidRPr="00A01843">
        <w:t xml:space="preserve"> Computer and Information Literacy (CIL). </w:t>
      </w:r>
      <w:r w:rsidR="008C3934" w:rsidRPr="00A01843">
        <w:t xml:space="preserve">The focus of the study is not so much </w:t>
      </w:r>
      <w:r w:rsidR="00825DE1" w:rsidRPr="00A01843">
        <w:t xml:space="preserve">on </w:t>
      </w:r>
      <w:r w:rsidR="008C3934" w:rsidRPr="00A01843">
        <w:t xml:space="preserve">the construct of </w:t>
      </w:r>
      <w:r w:rsidR="00DB567C" w:rsidRPr="00A01843">
        <w:t xml:space="preserve">CIL </w:t>
      </w:r>
      <w:r w:rsidR="008C3934" w:rsidRPr="00A01843">
        <w:t xml:space="preserve">itself, but more </w:t>
      </w:r>
      <w:r w:rsidR="00825DE1" w:rsidRPr="00A01843">
        <w:t xml:space="preserve">on </w:t>
      </w:r>
      <w:r w:rsidR="008C3934" w:rsidRPr="00A01843">
        <w:t xml:space="preserve">the gender findings of Kim et al. (2014). To contextualise this, we review </w:t>
      </w:r>
      <w:r w:rsidR="00825DE1" w:rsidRPr="00A01843">
        <w:t xml:space="preserve">below </w:t>
      </w:r>
      <w:r w:rsidR="008C3934" w:rsidRPr="00A01843">
        <w:t xml:space="preserve">some of the relevant literature </w:t>
      </w:r>
      <w:r w:rsidR="00825DE1" w:rsidRPr="00A01843">
        <w:t>on</w:t>
      </w:r>
      <w:r w:rsidR="008C3934" w:rsidRPr="00A01843">
        <w:t xml:space="preserve"> </w:t>
      </w:r>
      <w:r w:rsidR="00A443C2" w:rsidRPr="00A01843">
        <w:t>gender differences in CIL</w:t>
      </w:r>
      <w:r w:rsidR="008C3934" w:rsidRPr="00A01843">
        <w:t>.</w:t>
      </w:r>
    </w:p>
    <w:p w14:paraId="7A4A0CF0" w14:textId="2BE503C8" w:rsidR="008C3934" w:rsidRPr="00A01843" w:rsidRDefault="008C3934" w:rsidP="008C3934">
      <w:r w:rsidRPr="00A01843">
        <w:t xml:space="preserve"> </w:t>
      </w:r>
    </w:p>
    <w:p w14:paraId="2864843D" w14:textId="7591330D" w:rsidR="00B1137D" w:rsidRPr="00A01843" w:rsidRDefault="00C70C36" w:rsidP="00E16573">
      <w:r w:rsidRPr="00A01843">
        <w:t>Siddiq and Scherer (2019)</w:t>
      </w:r>
      <w:r w:rsidR="009C7825" w:rsidRPr="00A01843">
        <w:t xml:space="preserve"> </w:t>
      </w:r>
      <w:r w:rsidR="00A03B12" w:rsidRPr="00A01843">
        <w:t>conducted</w:t>
      </w:r>
      <w:r w:rsidR="009C7825" w:rsidRPr="00A01843">
        <w:t xml:space="preserve"> a meta-analysis of gender differences in ICT literacy</w:t>
      </w:r>
      <w:r w:rsidR="00245B9B" w:rsidRPr="00A01843">
        <w:t xml:space="preserve">. They noted that results were very inconsistent across studies, with numerous studies reporting that female students scored significantly higher than male </w:t>
      </w:r>
      <w:r w:rsidR="004E183B" w:rsidRPr="00A01843">
        <w:t>students</w:t>
      </w:r>
      <w:r w:rsidR="00276E6F" w:rsidRPr="00A01843">
        <w:rPr>
          <w:rStyle w:val="EndnoteReference"/>
        </w:rPr>
        <w:endnoteReference w:id="3"/>
      </w:r>
      <w:r w:rsidR="00276E6F" w:rsidRPr="00A01843">
        <w:t>,</w:t>
      </w:r>
      <w:r w:rsidR="00245B9B" w:rsidRPr="00A01843">
        <w:t xml:space="preserve"> </w:t>
      </w:r>
      <w:r w:rsidR="00245B9B" w:rsidRPr="00A01843">
        <w:lastRenderedPageBreak/>
        <w:t>but several others showing an opposite direction</w:t>
      </w:r>
      <w:r w:rsidR="00B1137D" w:rsidRPr="00A01843">
        <w:t>,</w:t>
      </w:r>
      <w:r w:rsidR="00245B9B" w:rsidRPr="00A01843">
        <w:t xml:space="preserve"> or reporting insignificant gender differences. Combining all these studies</w:t>
      </w:r>
      <w:r w:rsidR="00A443C2" w:rsidRPr="00A01843">
        <w:t>,</w:t>
      </w:r>
      <w:r w:rsidR="00245B9B" w:rsidRPr="00A01843">
        <w:t xml:space="preserve"> they</w:t>
      </w:r>
      <w:r w:rsidR="009C7825" w:rsidRPr="00A01843">
        <w:t xml:space="preserve"> concluded that gender differences in ICT literacy were</w:t>
      </w:r>
      <w:r w:rsidR="00B86995" w:rsidRPr="00A01843">
        <w:t xml:space="preserve"> statistically </w:t>
      </w:r>
      <w:r w:rsidR="009C7825" w:rsidRPr="00A01843">
        <w:t xml:space="preserve">significant, positive, and favoured girls, with effect sizes larger in primary school than in secondary school. </w:t>
      </w:r>
    </w:p>
    <w:p w14:paraId="195AF282" w14:textId="77777777" w:rsidR="00B1137D" w:rsidRPr="00A01843" w:rsidRDefault="00B1137D" w:rsidP="00E16573"/>
    <w:p w14:paraId="5AD21FA0" w14:textId="1E8154A2" w:rsidR="00B1137D" w:rsidRPr="00A01843" w:rsidRDefault="008C3934" w:rsidP="00E16573">
      <w:r w:rsidRPr="00A01843">
        <w:t xml:space="preserve">One of the included studies was </w:t>
      </w:r>
      <w:r w:rsidR="004E183B" w:rsidRPr="00A01843">
        <w:t>that of</w:t>
      </w:r>
      <w:r w:rsidRPr="00A01843">
        <w:t xml:space="preserve"> </w:t>
      </w:r>
      <w:r w:rsidR="009C7825" w:rsidRPr="00A01843">
        <w:t>Kim et al. (2014)</w:t>
      </w:r>
      <w:r w:rsidRPr="00A01843">
        <w:t xml:space="preserve">. </w:t>
      </w:r>
      <w:r w:rsidR="00A03B12" w:rsidRPr="00A01843">
        <w:t>Punter</w:t>
      </w:r>
      <w:r w:rsidR="00685826" w:rsidRPr="00A01843">
        <w:t xml:space="preserve"> et al.</w:t>
      </w:r>
      <w:r w:rsidR="00A03B12" w:rsidRPr="00A01843">
        <w:t xml:space="preserve"> (2016) looked </w:t>
      </w:r>
      <w:r w:rsidRPr="00A01843">
        <w:t>in more</w:t>
      </w:r>
      <w:r w:rsidR="00A03B12" w:rsidRPr="00A01843">
        <w:t xml:space="preserve"> critical </w:t>
      </w:r>
      <w:r w:rsidR="00B163EC" w:rsidRPr="00A01843">
        <w:t xml:space="preserve">detail at headline messages </w:t>
      </w:r>
      <w:r w:rsidR="00B1137D" w:rsidRPr="00A01843">
        <w:t xml:space="preserve">of </w:t>
      </w:r>
      <w:r w:rsidR="00B163EC" w:rsidRPr="00A01843">
        <w:t xml:space="preserve">ICILS 2013 data, </w:t>
      </w:r>
      <w:r w:rsidR="00B1137D" w:rsidRPr="00A01843">
        <w:t xml:space="preserve">which, </w:t>
      </w:r>
      <w:r w:rsidR="00B163EC" w:rsidRPr="00A01843">
        <w:t xml:space="preserve">in the majority of the participating countries, showed that </w:t>
      </w:r>
      <w:r w:rsidR="00A03B12" w:rsidRPr="00A01843">
        <w:t>14-year-old girls outperformed boys in computer and information literacy (CIL)</w:t>
      </w:r>
      <w:r w:rsidRPr="00A01843">
        <w:t>, as t</w:t>
      </w:r>
      <w:r w:rsidR="00B163EC" w:rsidRPr="00A01843">
        <w:t>his seemed to contrast with</w:t>
      </w:r>
      <w:r w:rsidR="00A03B12" w:rsidRPr="00A01843">
        <w:t xml:space="preserve"> the common view of boys having better computer skills. </w:t>
      </w:r>
      <w:r w:rsidR="00B163EC" w:rsidRPr="00A01843">
        <w:t>They posit that differences arose because of differences in the type of assessment items, with</w:t>
      </w:r>
      <w:r w:rsidR="00B86995" w:rsidRPr="00A01843">
        <w:t xml:space="preserve"> the dimension</w:t>
      </w:r>
      <w:r w:rsidR="00A03B12" w:rsidRPr="00A01843">
        <w:t xml:space="preserve"> </w:t>
      </w:r>
      <w:r w:rsidR="00B1137D" w:rsidRPr="00A01843">
        <w:t>‘</w:t>
      </w:r>
      <w:r w:rsidR="00DE1223" w:rsidRPr="00A01843">
        <w:t>applying technical functionality</w:t>
      </w:r>
      <w:r w:rsidR="00B1137D" w:rsidRPr="00A01843">
        <w:t xml:space="preserve">’ </w:t>
      </w:r>
      <w:r w:rsidR="00B163EC" w:rsidRPr="00A01843">
        <w:t xml:space="preserve">being </w:t>
      </w:r>
      <w:r w:rsidR="00A03B12" w:rsidRPr="00A01843">
        <w:t>slightly in favour of boys,</w:t>
      </w:r>
      <w:r w:rsidR="00DE1223" w:rsidRPr="00A01843">
        <w:t xml:space="preserve"> but no significant differences,</w:t>
      </w:r>
      <w:r w:rsidR="00A443C2" w:rsidRPr="00A01843">
        <w:t xml:space="preserve"> and</w:t>
      </w:r>
      <w:r w:rsidR="00A03B12" w:rsidRPr="00A01843">
        <w:t xml:space="preserve"> </w:t>
      </w:r>
      <w:r w:rsidR="00DE1223" w:rsidRPr="00A01843">
        <w:t>more information-oriented dimensions</w:t>
      </w:r>
      <w:r w:rsidR="00A03B12" w:rsidRPr="00A01843">
        <w:t xml:space="preserve"> in favour of girls</w:t>
      </w:r>
      <w:r w:rsidR="000D7E2C" w:rsidRPr="00A01843">
        <w:rPr>
          <w:rStyle w:val="EndnoteReference"/>
        </w:rPr>
        <w:endnoteReference w:id="4"/>
      </w:r>
      <w:r w:rsidR="00A03B12" w:rsidRPr="00A01843">
        <w:t>.</w:t>
      </w:r>
      <w:r w:rsidR="0097081E" w:rsidRPr="00A01843">
        <w:t xml:space="preserve"> Gebhardt</w:t>
      </w:r>
      <w:r w:rsidR="00685826" w:rsidRPr="00A01843">
        <w:t xml:space="preserve"> et al.</w:t>
      </w:r>
      <w:r w:rsidR="0097081E" w:rsidRPr="00A01843">
        <w:t xml:space="preserve"> (2019) </w:t>
      </w:r>
      <w:r w:rsidR="00DE1223" w:rsidRPr="00A01843">
        <w:t>reach</w:t>
      </w:r>
      <w:r w:rsidR="0097081E" w:rsidRPr="00A01843">
        <w:t xml:space="preserve"> the same conclusion </w:t>
      </w:r>
      <w:r w:rsidR="00DE1223" w:rsidRPr="00A01843">
        <w:t>in reporting</w:t>
      </w:r>
      <w:r w:rsidR="0097081E" w:rsidRPr="00A01843">
        <w:t xml:space="preserve"> that “</w:t>
      </w:r>
      <w:r w:rsidR="00E16573" w:rsidRPr="00A01843">
        <w:t>f</w:t>
      </w:r>
      <w:r w:rsidR="0097081E" w:rsidRPr="00A01843">
        <w:t>emale</w:t>
      </w:r>
      <w:r w:rsidRPr="00A01843">
        <w:t xml:space="preserve"> </w:t>
      </w:r>
      <w:r w:rsidR="0097081E" w:rsidRPr="00A01843">
        <w:t>students performed relatively better on tasks that involved communication, design,</w:t>
      </w:r>
      <w:r w:rsidR="000D7E2C" w:rsidRPr="00A01843">
        <w:t xml:space="preserve"> </w:t>
      </w:r>
      <w:r w:rsidR="0097081E" w:rsidRPr="00A01843">
        <w:t>and creativity, and male students generally performed relatively better on more</w:t>
      </w:r>
      <w:r w:rsidR="000D7E2C" w:rsidRPr="00A01843">
        <w:t xml:space="preserve"> </w:t>
      </w:r>
      <w:r w:rsidR="0097081E" w:rsidRPr="00A01843">
        <w:t>technical tasks.</w:t>
      </w:r>
      <w:r w:rsidR="008B1EDE" w:rsidRPr="00A01843">
        <w:t>” (p. 69).</w:t>
      </w:r>
      <w:r w:rsidRPr="00A01843">
        <w:t xml:space="preserve"> </w:t>
      </w:r>
    </w:p>
    <w:p w14:paraId="02F22EAE" w14:textId="77777777" w:rsidR="00B1137D" w:rsidRPr="00A01843" w:rsidRDefault="00B1137D" w:rsidP="00E16573"/>
    <w:p w14:paraId="0F568246" w14:textId="42B795BC" w:rsidR="00DB34DD" w:rsidRPr="00A01843" w:rsidRDefault="008B1EDE" w:rsidP="00E16573">
      <w:r w:rsidRPr="00A01843">
        <w:t>With a new wave of ICILS data from 2018, t</w:t>
      </w:r>
      <w:r w:rsidR="00AD7B93" w:rsidRPr="00A01843">
        <w:t>he publisher of the ICILS studies, the International Association for the Evaluation of Educational Achievement (IEA) also used multilevel models in their report</w:t>
      </w:r>
      <w:r w:rsidR="00E16573" w:rsidRPr="00A01843">
        <w:t xml:space="preserve">, to “review the extent to which different factors at the student and school level are associated with variations in CIL and CT scores” </w:t>
      </w:r>
      <w:r w:rsidR="004A6397" w:rsidRPr="00A01843">
        <w:t>(</w:t>
      </w:r>
      <w:proofErr w:type="spellStart"/>
      <w:r w:rsidR="004A6397" w:rsidRPr="00A01843">
        <w:t>Fraillon</w:t>
      </w:r>
      <w:proofErr w:type="spellEnd"/>
      <w:r w:rsidR="004A6397" w:rsidRPr="00A01843">
        <w:t xml:space="preserve"> et al</w:t>
      </w:r>
      <w:r w:rsidR="0097081E" w:rsidRPr="00A01843">
        <w:t>.</w:t>
      </w:r>
      <w:r w:rsidR="004A6397" w:rsidRPr="00A01843">
        <w:t>, 2020</w:t>
      </w:r>
      <w:r w:rsidR="00AE34A0" w:rsidRPr="00A01843">
        <w:t>a</w:t>
      </w:r>
      <w:r w:rsidR="00E16573" w:rsidRPr="00A01843">
        <w:t>, p. 217</w:t>
      </w:r>
      <w:r w:rsidR="004A6397" w:rsidRPr="00A01843">
        <w:t>).</w:t>
      </w:r>
      <w:r w:rsidR="00AD7B93" w:rsidRPr="00A01843">
        <w:t xml:space="preserve"> They found that t</w:t>
      </w:r>
      <w:r w:rsidR="0097081E" w:rsidRPr="00A01843">
        <w:t>h</w:t>
      </w:r>
      <w:r w:rsidR="004A6397" w:rsidRPr="00A01843">
        <w:t xml:space="preserve">ere were considerable differences in the variance for both CIL </w:t>
      </w:r>
      <w:r w:rsidR="00AD7B93" w:rsidRPr="00A01843">
        <w:t>(</w:t>
      </w:r>
      <w:r w:rsidR="004A6397" w:rsidRPr="00A01843">
        <w:t>and C</w:t>
      </w:r>
      <w:r w:rsidR="00AD7B93" w:rsidRPr="00A01843">
        <w:t>omputational Thinking)</w:t>
      </w:r>
      <w:r w:rsidR="004A6397" w:rsidRPr="00A01843">
        <w:t xml:space="preserve"> as well as the proportion of variance found between schools across participating countries.</w:t>
      </w:r>
      <w:r w:rsidR="00AD7B93" w:rsidRPr="00A01843">
        <w:t xml:space="preserve"> They concluded that </w:t>
      </w:r>
      <w:r w:rsidR="00E16573" w:rsidRPr="00A01843">
        <w:t xml:space="preserve">in most countries </w:t>
      </w:r>
      <w:r w:rsidR="008C3934" w:rsidRPr="00A01843">
        <w:t xml:space="preserve">being </w:t>
      </w:r>
      <w:r w:rsidR="00B86995" w:rsidRPr="00A01843">
        <w:t xml:space="preserve">female </w:t>
      </w:r>
      <w:r w:rsidR="00E16573" w:rsidRPr="00A01843">
        <w:t>was a significant, positive predictor of</w:t>
      </w:r>
      <w:r w:rsidR="004A6397" w:rsidRPr="00A01843">
        <w:t xml:space="preserve"> CIL</w:t>
      </w:r>
      <w:r w:rsidR="00AD7B93" w:rsidRPr="00A01843">
        <w:t xml:space="preserve">. However, </w:t>
      </w:r>
      <w:r w:rsidR="00AD7B93" w:rsidRPr="00A01843">
        <w:lastRenderedPageBreak/>
        <w:t xml:space="preserve">these analyses did not aim to replicate the original models by Kim et al. (2014). Only a few findings can be </w:t>
      </w:r>
      <w:r w:rsidR="008C3934" w:rsidRPr="00A01843">
        <w:t xml:space="preserve">really </w:t>
      </w:r>
      <w:r w:rsidR="00AD7B93" w:rsidRPr="00A01843">
        <w:t xml:space="preserve">compared </w:t>
      </w:r>
      <w:r w:rsidR="00E60948" w:rsidRPr="00A01843">
        <w:t>to</w:t>
      </w:r>
      <w:r w:rsidR="00AD7B93" w:rsidRPr="00A01843">
        <w:t xml:space="preserve"> the </w:t>
      </w:r>
      <w:r w:rsidR="008C3934" w:rsidRPr="00A01843">
        <w:t>full models in the original study</w:t>
      </w:r>
      <w:r w:rsidR="00AD7B93" w:rsidRPr="00A01843">
        <w:t>, for example th</w:t>
      </w:r>
      <w:r w:rsidR="0097081E" w:rsidRPr="00A01843">
        <w:t>e positive predictors concerning</w:t>
      </w:r>
      <w:r w:rsidR="00AD7B93" w:rsidRPr="00A01843">
        <w:t xml:space="preserve"> ICT usage</w:t>
      </w:r>
      <w:r w:rsidR="0097081E" w:rsidRPr="00A01843">
        <w:t>, experience with computers, CIL-related tasks at school</w:t>
      </w:r>
      <w:r w:rsidR="00B1137D" w:rsidRPr="00A01843">
        <w:t>,</w:t>
      </w:r>
      <w:r w:rsidR="0097081E" w:rsidRPr="00A01843">
        <w:t xml:space="preserve"> and the use of general applications in class. Other</w:t>
      </w:r>
      <w:r w:rsidR="008C3934" w:rsidRPr="00A01843">
        <w:t xml:space="preserve"> predictors</w:t>
      </w:r>
      <w:r w:rsidR="00E60948" w:rsidRPr="00A01843">
        <w:t xml:space="preserve">, such as </w:t>
      </w:r>
      <w:r w:rsidR="0097081E" w:rsidRPr="00A01843">
        <w:t>education level and socioeconomic background</w:t>
      </w:r>
      <w:r w:rsidR="00B1137D" w:rsidRPr="00A01843">
        <w:t>,</w:t>
      </w:r>
      <w:r w:rsidR="0097081E" w:rsidRPr="00A01843">
        <w:t xml:space="preserve"> fall outside the scope of </w:t>
      </w:r>
      <w:r w:rsidR="008C3934" w:rsidRPr="00A01843">
        <w:t>both the original</w:t>
      </w:r>
      <w:r w:rsidR="0097081E" w:rsidRPr="00A01843">
        <w:t xml:space="preserve"> </w:t>
      </w:r>
      <w:r w:rsidR="008C3934" w:rsidRPr="00A01843">
        <w:t>article and this replication</w:t>
      </w:r>
      <w:r w:rsidR="0097081E" w:rsidRPr="00A01843">
        <w:t xml:space="preserve">. </w:t>
      </w:r>
      <w:proofErr w:type="spellStart"/>
      <w:r w:rsidR="0097081E" w:rsidRPr="00A01843">
        <w:t>Fraillon</w:t>
      </w:r>
      <w:proofErr w:type="spellEnd"/>
      <w:r w:rsidR="0097081E" w:rsidRPr="00A01843">
        <w:t xml:space="preserve"> et al. (2020</w:t>
      </w:r>
      <w:r w:rsidR="00AE34A0" w:rsidRPr="00A01843">
        <w:t>a, Chapter 7</w:t>
      </w:r>
      <w:r w:rsidR="0097081E" w:rsidRPr="00A01843">
        <w:t>)</w:t>
      </w:r>
      <w:r w:rsidR="00AD7B93" w:rsidRPr="00A01843">
        <w:t xml:space="preserve"> also note that they g</w:t>
      </w:r>
      <w:r w:rsidR="004A6397" w:rsidRPr="00A01843">
        <w:t>enerally found considerable differences across participating countries</w:t>
      </w:r>
      <w:r w:rsidR="00AD7B93" w:rsidRPr="00A01843">
        <w:t xml:space="preserve">, </w:t>
      </w:r>
      <w:r w:rsidR="00E60948" w:rsidRPr="00A01843">
        <w:t xml:space="preserve">i.e. this is </w:t>
      </w:r>
      <w:r w:rsidR="00AD7B93" w:rsidRPr="00A01843">
        <w:t>another reason why we</w:t>
      </w:r>
      <w:r w:rsidR="00E60948" w:rsidRPr="00A01843">
        <w:t>,</w:t>
      </w:r>
      <w:r w:rsidR="00AD7B93" w:rsidRPr="00A01843">
        <w:t xml:space="preserve"> in line with the original </w:t>
      </w:r>
      <w:r w:rsidR="00E60948" w:rsidRPr="00A01843">
        <w:t xml:space="preserve">study by </w:t>
      </w:r>
      <w:r w:rsidR="00AD7B93" w:rsidRPr="00A01843">
        <w:t>Kim et al. (2014)</w:t>
      </w:r>
      <w:r w:rsidR="00E60948" w:rsidRPr="00A01843">
        <w:t>,</w:t>
      </w:r>
      <w:r w:rsidR="00AD7B93" w:rsidRPr="00A01843">
        <w:t xml:space="preserve"> </w:t>
      </w:r>
      <w:r w:rsidR="00E60948" w:rsidRPr="00A01843">
        <w:t>focus</w:t>
      </w:r>
      <w:r w:rsidR="00AD7B93" w:rsidRPr="00A01843">
        <w:t xml:space="preserve"> the</w:t>
      </w:r>
      <w:r w:rsidR="00E60948" w:rsidRPr="00A01843">
        <w:t xml:space="preserve"> </w:t>
      </w:r>
      <w:r w:rsidR="00AD7B93" w:rsidRPr="00A01843">
        <w:t xml:space="preserve">analysis only </w:t>
      </w:r>
      <w:r w:rsidR="00E60948" w:rsidRPr="00A01843">
        <w:t xml:space="preserve">on </w:t>
      </w:r>
      <w:r w:rsidR="00AD7B93" w:rsidRPr="00A01843">
        <w:t>Korea, and conduct an additional analysis for the full sample of countries.</w:t>
      </w:r>
      <w:r w:rsidR="008C3934" w:rsidRPr="00A01843">
        <w:t xml:space="preserve"> </w:t>
      </w:r>
    </w:p>
    <w:p w14:paraId="4ACD3603" w14:textId="77777777" w:rsidR="00DB34DD" w:rsidRPr="00A01843" w:rsidRDefault="00DB34DD" w:rsidP="00E16573"/>
    <w:p w14:paraId="4735B7D4" w14:textId="7CA2FCF9" w:rsidR="00C70C36" w:rsidRPr="00A01843" w:rsidRDefault="00DB34DD" w:rsidP="00E16573">
      <w:r w:rsidRPr="00A01843">
        <w:t>Taken together</w:t>
      </w:r>
      <w:r w:rsidR="00B163EC" w:rsidRPr="00A01843">
        <w:t xml:space="preserve">, these studies </w:t>
      </w:r>
      <w:r w:rsidR="00E60948" w:rsidRPr="00A01843">
        <w:t>present</w:t>
      </w:r>
      <w:r w:rsidR="00B163EC" w:rsidRPr="00A01843">
        <w:t xml:space="preserve"> a mixed </w:t>
      </w:r>
      <w:r w:rsidR="00A03B12" w:rsidRPr="00A01843">
        <w:t>picture</w:t>
      </w:r>
      <w:r w:rsidR="00A91A78" w:rsidRPr="00A01843">
        <w:t>; A replication of the original study by Kim et al. (2014)</w:t>
      </w:r>
      <w:r w:rsidR="00E60948" w:rsidRPr="00A01843">
        <w:t xml:space="preserve">, </w:t>
      </w:r>
      <w:r w:rsidRPr="00A01843">
        <w:t xml:space="preserve">along </w:t>
      </w:r>
      <w:r w:rsidR="00A91A78" w:rsidRPr="00A01843">
        <w:t>with new ICILS 2018 data</w:t>
      </w:r>
      <w:r w:rsidRPr="00A01843">
        <w:t>,</w:t>
      </w:r>
      <w:r w:rsidR="00A91A78" w:rsidRPr="00A01843">
        <w:t xml:space="preserve"> could further contribute to </w:t>
      </w:r>
      <w:r w:rsidR="00B17915" w:rsidRPr="00A01843">
        <w:t>understanding</w:t>
      </w:r>
      <w:r w:rsidR="00A91A78" w:rsidRPr="00A01843">
        <w:t xml:space="preserve"> </w:t>
      </w:r>
      <w:r w:rsidR="00A443C2" w:rsidRPr="00A01843">
        <w:t xml:space="preserve">gender and </w:t>
      </w:r>
      <w:r w:rsidR="00A91A78" w:rsidRPr="00A01843">
        <w:t>CIL</w:t>
      </w:r>
      <w:r w:rsidR="00A03B12" w:rsidRPr="00A01843">
        <w:t>.</w:t>
      </w:r>
      <w:r w:rsidR="00C70C36" w:rsidRPr="00A01843">
        <w:t xml:space="preserve"> </w:t>
      </w:r>
      <w:r w:rsidR="00B17915" w:rsidRPr="00A01843">
        <w:t>T</w:t>
      </w:r>
      <w:r w:rsidR="00A91A78" w:rsidRPr="00A01843">
        <w:t>he next section describe</w:t>
      </w:r>
      <w:r w:rsidR="00B17915" w:rsidRPr="00A01843">
        <w:t>s</w:t>
      </w:r>
      <w:r w:rsidR="00A91A78" w:rsidRPr="00A01843">
        <w:t xml:space="preserve"> the details of the original study and how </w:t>
      </w:r>
      <w:r w:rsidR="00B17915" w:rsidRPr="00A01843">
        <w:t>it was replicated</w:t>
      </w:r>
      <w:r w:rsidR="00A91A78" w:rsidRPr="00A01843">
        <w:t>.</w:t>
      </w:r>
    </w:p>
    <w:p w14:paraId="7EAF37E3" w14:textId="03D76682" w:rsidR="00C70C36" w:rsidRPr="00A01843" w:rsidRDefault="00C70C36" w:rsidP="00C70C36">
      <w:pPr>
        <w:pStyle w:val="Heading1"/>
      </w:pPr>
      <w:r w:rsidRPr="00A01843">
        <w:t>Methodology</w:t>
      </w:r>
    </w:p>
    <w:p w14:paraId="14608A07" w14:textId="6DA66D9A" w:rsidR="003C47C1" w:rsidRPr="00A01843" w:rsidRDefault="00F33FF6" w:rsidP="00C70C36">
      <w:r w:rsidRPr="00A01843">
        <w:t>T</w:t>
      </w:r>
      <w:r w:rsidR="003C47C1" w:rsidRPr="00A01843">
        <w:t xml:space="preserve">his </w:t>
      </w:r>
      <w:r w:rsidR="00DD226B" w:rsidRPr="00A01843">
        <w:t xml:space="preserve">methodology </w:t>
      </w:r>
      <w:r w:rsidR="00A91A78" w:rsidRPr="00A01843">
        <w:t xml:space="preserve">section, </w:t>
      </w:r>
      <w:r w:rsidRPr="00A01843">
        <w:t xml:space="preserve">reports </w:t>
      </w:r>
      <w:r w:rsidR="003C47C1" w:rsidRPr="00A01843">
        <w:t xml:space="preserve">replication </w:t>
      </w:r>
      <w:r w:rsidR="00702B6A" w:rsidRPr="00A01843">
        <w:t>decisions</w:t>
      </w:r>
      <w:r w:rsidR="00DD226B" w:rsidRPr="00A01843">
        <w:t xml:space="preserve"> in detail. However, some </w:t>
      </w:r>
      <w:r w:rsidR="00702B6A" w:rsidRPr="00A01843">
        <w:t>decisions</w:t>
      </w:r>
      <w:r w:rsidR="00DD226B" w:rsidRPr="00A01843">
        <w:t xml:space="preserve"> were predetermined by the original approach in Kim et al. (2014)</w:t>
      </w:r>
      <w:r w:rsidR="00DB34DD" w:rsidRPr="00A01843">
        <w:t>,</w:t>
      </w:r>
      <w:r w:rsidR="00DD226B" w:rsidRPr="00A01843">
        <w:t xml:space="preserve"> and therefore some of the more </w:t>
      </w:r>
      <w:r w:rsidRPr="00A01843">
        <w:t xml:space="preserve">indirect </w:t>
      </w:r>
      <w:r w:rsidR="00DD226B" w:rsidRPr="00A01843">
        <w:t>decisions made</w:t>
      </w:r>
      <w:r w:rsidR="00DB34DD" w:rsidRPr="00A01843">
        <w:t xml:space="preserve"> (following on from the choice of dataset, for example)</w:t>
      </w:r>
      <w:r w:rsidR="00472BF4" w:rsidRPr="00A01843">
        <w:t>, are discussed later in the article</w:t>
      </w:r>
      <w:r w:rsidR="00DD226B" w:rsidRPr="00A01843">
        <w:t>.</w:t>
      </w:r>
    </w:p>
    <w:p w14:paraId="53F15E6B" w14:textId="70E453EB" w:rsidR="00C70C36" w:rsidRPr="00A01843" w:rsidRDefault="00C70C36" w:rsidP="003C47C1">
      <w:pPr>
        <w:pStyle w:val="Heading2"/>
      </w:pPr>
      <w:r w:rsidRPr="00A01843">
        <w:t>Data</w:t>
      </w:r>
    </w:p>
    <w:p w14:paraId="3925840C" w14:textId="2C2FC3B2" w:rsidR="00DC697D" w:rsidRPr="00A01843" w:rsidRDefault="009C7825" w:rsidP="00DC697D">
      <w:r w:rsidRPr="00A01843">
        <w:t>Data come from the ICILS 2018 study.</w:t>
      </w:r>
      <w:r w:rsidR="00A91A78" w:rsidRPr="00A01843">
        <w:t xml:space="preserve"> The International Computer and Information Literacy Study 2018 (ICILS 2018) studied the extent to which young people </w:t>
      </w:r>
      <w:proofErr w:type="gramStart"/>
      <w:r w:rsidR="00A91A78" w:rsidRPr="00A01843">
        <w:t>are able to</w:t>
      </w:r>
      <w:proofErr w:type="gramEnd"/>
      <w:r w:rsidR="00A91A78" w:rsidRPr="00A01843">
        <w:t xml:space="preserve"> use information and communication technology (ICT)</w:t>
      </w:r>
      <w:r w:rsidR="00DC697D" w:rsidRPr="00A01843">
        <w:t xml:space="preserve"> </w:t>
      </w:r>
      <w:r w:rsidR="00A91A78" w:rsidRPr="00A01843">
        <w:t xml:space="preserve">productively in school, home, </w:t>
      </w:r>
      <w:r w:rsidR="00A91A78" w:rsidRPr="00A01843">
        <w:lastRenderedPageBreak/>
        <w:t xml:space="preserve">society, and their future workplaces. </w:t>
      </w:r>
      <w:r w:rsidR="00DC697D" w:rsidRPr="00A01843">
        <w:t>The study look</w:t>
      </w:r>
      <w:r w:rsidR="00164343" w:rsidRPr="00A01843">
        <w:t>ed</w:t>
      </w:r>
      <w:r w:rsidR="00DC697D" w:rsidRPr="00A01843">
        <w:t xml:space="preserve"> at Computer and Information Literacy (CIL) and Computational Thinking (CT)</w:t>
      </w:r>
      <w:r w:rsidR="00340896" w:rsidRPr="00A01843">
        <w:t>,</w:t>
      </w:r>
      <w:r w:rsidR="00DC697D" w:rsidRPr="00A01843">
        <w:t xml:space="preserve"> with this replication focusing on the former. CIL refers to a student’s ability to use computer technologies to collect and</w:t>
      </w:r>
    </w:p>
    <w:p w14:paraId="7D6E0504" w14:textId="39FE98E0" w:rsidR="00C70C36" w:rsidRPr="00A01843" w:rsidRDefault="00DC697D" w:rsidP="00492461">
      <w:r w:rsidRPr="00A01843">
        <w:t xml:space="preserve">manage information, and to produce and exchange information. Data from different </w:t>
      </w:r>
      <w:r w:rsidR="00340896" w:rsidRPr="00A01843">
        <w:t>target audiences</w:t>
      </w:r>
      <w:r w:rsidRPr="00A01843">
        <w:t xml:space="preserve"> are collected. In this replication, t</w:t>
      </w:r>
      <w:r w:rsidR="00492461" w:rsidRPr="00A01843">
        <w:t>he final dataset(s)</w:t>
      </w:r>
      <w:r w:rsidR="00276E6F" w:rsidRPr="00A01843">
        <w:rPr>
          <w:rStyle w:val="EndnoteReference"/>
        </w:rPr>
        <w:endnoteReference w:id="5"/>
      </w:r>
      <w:r w:rsidR="00276E6F" w:rsidRPr="00A01843">
        <w:t xml:space="preserve"> </w:t>
      </w:r>
      <w:r w:rsidR="00F33EA8" w:rsidRPr="00A01843">
        <w:t>comprised</w:t>
      </w:r>
      <w:r w:rsidR="00492461" w:rsidRPr="00A01843">
        <w:t xml:space="preserve">: </w:t>
      </w:r>
      <w:r w:rsidR="00164343" w:rsidRPr="00A01843">
        <w:t>one</w:t>
      </w:r>
      <w:r w:rsidR="00492461" w:rsidRPr="00A01843">
        <w:t xml:space="preserve"> dataset including students’ information, </w:t>
      </w:r>
      <w:r w:rsidR="00164343" w:rsidRPr="00A01843">
        <w:t>one</w:t>
      </w:r>
      <w:r w:rsidR="00492461" w:rsidRPr="00A01843">
        <w:t xml:space="preserve"> dataset including teacher information, </w:t>
      </w:r>
      <w:r w:rsidR="00164343" w:rsidRPr="00A01843">
        <w:t>one</w:t>
      </w:r>
      <w:r w:rsidR="00492461" w:rsidRPr="00A01843">
        <w:t xml:space="preserve"> dataset including school principal and ICT coordinator information. The three datasets include all variables </w:t>
      </w:r>
      <w:r w:rsidR="00340896" w:rsidRPr="00A01843">
        <w:t>for</w:t>
      </w:r>
      <w:r w:rsidR="00492461" w:rsidRPr="00A01843">
        <w:t xml:space="preserve"> the main analysis, which is a multilevel model</w:t>
      </w:r>
      <w:r w:rsidR="00DB34DD" w:rsidRPr="00A01843">
        <w:t xml:space="preserve"> that</w:t>
      </w:r>
      <w:r w:rsidR="00492461" w:rsidRPr="00A01843">
        <w:t xml:space="preserve"> consider</w:t>
      </w:r>
      <w:r w:rsidR="00DB34DD" w:rsidRPr="00A01843">
        <w:t>s</w:t>
      </w:r>
      <w:r w:rsidR="00492461" w:rsidRPr="00A01843">
        <w:t xml:space="preserve"> the individual and the school level for Korea</w:t>
      </w:r>
      <w:r w:rsidR="00340896" w:rsidRPr="00A01843">
        <w:t xml:space="preserve"> alone</w:t>
      </w:r>
      <w:r w:rsidR="00492461" w:rsidRPr="00A01843">
        <w:t xml:space="preserve">, and an additional country level for the full sample. The selected variables in the final dataset </w:t>
      </w:r>
      <w:r w:rsidR="00340896" w:rsidRPr="00A01843">
        <w:t>were matched</w:t>
      </w:r>
      <w:r w:rsidR="00492461" w:rsidRPr="00A01843">
        <w:t xml:space="preserve"> to the </w:t>
      </w:r>
      <w:r w:rsidR="00340896" w:rsidRPr="00A01843">
        <w:t>variables</w:t>
      </w:r>
      <w:r w:rsidR="00492461" w:rsidRPr="00A01843">
        <w:t xml:space="preserve"> used in the original study, however, with </w:t>
      </w:r>
      <w:r w:rsidR="00164343" w:rsidRPr="00A01843">
        <w:t>some</w:t>
      </w:r>
      <w:r w:rsidR="00492461" w:rsidRPr="00A01843">
        <w:t xml:space="preserve"> deviations</w:t>
      </w:r>
      <w:r w:rsidR="00340896" w:rsidRPr="00A01843">
        <w:t xml:space="preserve">, as not all questions in the ICILS 2018 dataset were the same as </w:t>
      </w:r>
      <w:r w:rsidR="00DB34DD" w:rsidRPr="00A01843">
        <w:t xml:space="preserve">those in </w:t>
      </w:r>
      <w:r w:rsidR="00340896" w:rsidRPr="00A01843">
        <w:t>the original study. Differences are</w:t>
      </w:r>
      <w:r w:rsidR="00492461" w:rsidRPr="00A01843">
        <w:t xml:space="preserve"> reported in the </w:t>
      </w:r>
      <w:r w:rsidR="00492461" w:rsidRPr="00A01843">
        <w:rPr>
          <w:i/>
          <w:iCs/>
        </w:rPr>
        <w:t>variables</w:t>
      </w:r>
      <w:r w:rsidR="00492461" w:rsidRPr="00A01843">
        <w:t xml:space="preserve"> section.</w:t>
      </w:r>
    </w:p>
    <w:p w14:paraId="4CA65C25" w14:textId="067CDBAD" w:rsidR="00DD226B" w:rsidRPr="00A01843" w:rsidRDefault="00492461" w:rsidP="00DD226B">
      <w:pPr>
        <w:pStyle w:val="Heading2"/>
      </w:pPr>
      <w:r w:rsidRPr="00A01843">
        <w:t>R</w:t>
      </w:r>
      <w:r w:rsidR="00DD226B" w:rsidRPr="00A01843">
        <w:t>eplication claim</w:t>
      </w:r>
    </w:p>
    <w:p w14:paraId="081A8071" w14:textId="7614CEDE" w:rsidR="00DD226B" w:rsidRPr="00A01843" w:rsidRDefault="00DD226B" w:rsidP="00DD226B">
      <w:r w:rsidRPr="00A01843">
        <w:t xml:space="preserve">The claim selected for replication </w:t>
      </w:r>
      <w:r w:rsidR="00340896" w:rsidRPr="00A01843">
        <w:t xml:space="preserve">here, </w:t>
      </w:r>
      <w:r w:rsidRPr="00A01843">
        <w:t xml:space="preserve">from Kim et al. (2014) is that </w:t>
      </w:r>
      <w:r w:rsidR="00164343" w:rsidRPr="00A01843">
        <w:t xml:space="preserve">gender </w:t>
      </w:r>
      <w:r w:rsidRPr="00A01843">
        <w:t>significant</w:t>
      </w:r>
      <w:r w:rsidR="00164343" w:rsidRPr="00A01843">
        <w:t>ly</w:t>
      </w:r>
      <w:r w:rsidRPr="00A01843">
        <w:t xml:space="preserve"> </w:t>
      </w:r>
      <w:r w:rsidR="00164343" w:rsidRPr="00A01843">
        <w:t>predicts</w:t>
      </w:r>
      <w:r w:rsidRPr="00A01843">
        <w:t xml:space="preserve"> the ICT literacy of the students. </w:t>
      </w:r>
      <w:r w:rsidR="00DC697D" w:rsidRPr="00A01843">
        <w:t>Kim et al. (2014)</w:t>
      </w:r>
      <w:r w:rsidRPr="00A01843">
        <w:t xml:space="preserve"> tested </w:t>
      </w:r>
      <w:r w:rsidR="00DC697D" w:rsidRPr="00A01843">
        <w:t xml:space="preserve">this </w:t>
      </w:r>
      <w:r w:rsidRPr="00A01843">
        <w:t>by using a two-level Hierarchical Linear Model (HLM) to examine the effects o</w:t>
      </w:r>
      <w:r w:rsidR="00164343" w:rsidRPr="00A01843">
        <w:t xml:space="preserve">f </w:t>
      </w:r>
      <w:r w:rsidRPr="00A01843">
        <w:t xml:space="preserve">individual- and school-level variables on the ICT literacy of elementary school students, which resulted in the ICT literacy test score of female students being </w:t>
      </w:r>
      <w:r w:rsidR="00340896" w:rsidRPr="00A01843">
        <w:t xml:space="preserve">statistically significantly </w:t>
      </w:r>
      <w:r w:rsidRPr="00A01843">
        <w:t xml:space="preserve">higher than that of male students. We have already alluded to the </w:t>
      </w:r>
      <w:r w:rsidR="00340896" w:rsidRPr="00A01843">
        <w:t>observation</w:t>
      </w:r>
      <w:r w:rsidRPr="00A01843">
        <w:t xml:space="preserve"> that there seems to be an error in the abstract</w:t>
      </w:r>
      <w:r w:rsidR="006F73D2" w:rsidRPr="00A01843">
        <w:t xml:space="preserve">, such that </w:t>
      </w:r>
      <w:r w:rsidR="00DC697D" w:rsidRPr="00A01843">
        <w:t xml:space="preserve">we take the result from the </w:t>
      </w:r>
      <w:r w:rsidR="009D749E" w:rsidRPr="00A01843">
        <w:t>study</w:t>
      </w:r>
      <w:r w:rsidR="00DC697D" w:rsidRPr="00A01843">
        <w:t xml:space="preserve"> to be </w:t>
      </w:r>
      <w:r w:rsidR="009D749E" w:rsidRPr="00A01843">
        <w:t>that</w:t>
      </w:r>
      <w:r w:rsidR="00DC697D" w:rsidRPr="00A01843">
        <w:t xml:space="preserve"> males scor</w:t>
      </w:r>
      <w:r w:rsidR="009D749E" w:rsidRPr="00A01843">
        <w:t>e</w:t>
      </w:r>
      <w:r w:rsidR="00DC697D" w:rsidRPr="00A01843">
        <w:t xml:space="preserve"> lower than females</w:t>
      </w:r>
      <w:r w:rsidRPr="00A01843">
        <w:t xml:space="preserve">. Another element of the </w:t>
      </w:r>
      <w:r w:rsidR="009D749E" w:rsidRPr="00A01843">
        <w:t>original study</w:t>
      </w:r>
      <w:r w:rsidRPr="00A01843">
        <w:t xml:space="preserve"> is that </w:t>
      </w:r>
      <w:r w:rsidR="009D749E" w:rsidRPr="00A01843">
        <w:t>one cannot</w:t>
      </w:r>
      <w:r w:rsidRPr="00A01843">
        <w:t xml:space="preserve"> simply look at the gender </w:t>
      </w:r>
      <w:r w:rsidR="009D749E" w:rsidRPr="00A01843">
        <w:t>effect,</w:t>
      </w:r>
      <w:r w:rsidRPr="00A01843">
        <w:t xml:space="preserve"> but </w:t>
      </w:r>
      <w:r w:rsidR="009D749E" w:rsidRPr="00A01843">
        <w:t xml:space="preserve">one </w:t>
      </w:r>
      <w:r w:rsidRPr="00A01843">
        <w:t>need</w:t>
      </w:r>
      <w:r w:rsidR="009D749E" w:rsidRPr="00A01843">
        <w:t>s</w:t>
      </w:r>
      <w:r w:rsidRPr="00A01843">
        <w:t xml:space="preserve"> to include </w:t>
      </w:r>
      <w:r w:rsidR="009D749E" w:rsidRPr="00A01843">
        <w:t xml:space="preserve">additional </w:t>
      </w:r>
      <w:r w:rsidRPr="00A01843">
        <w:t xml:space="preserve">relevant variables. Therefore, the hypothesis in this replication is that </w:t>
      </w:r>
      <w:r w:rsidRPr="00A01843">
        <w:lastRenderedPageBreak/>
        <w:t>the ICT literacy test score of female students will be higher than the ICT literacy test score of male students</w:t>
      </w:r>
      <w:r w:rsidR="00164343" w:rsidRPr="00A01843">
        <w:t>,</w:t>
      </w:r>
      <w:r w:rsidRPr="00A01843">
        <w:t xml:space="preserve"> while controlling for the other variables in </w:t>
      </w:r>
      <w:r w:rsidR="009D749E" w:rsidRPr="00A01843">
        <w:t>the original study.</w:t>
      </w:r>
    </w:p>
    <w:p w14:paraId="0C74B8C2" w14:textId="4B4E34AA" w:rsidR="00233D65" w:rsidRPr="00A01843" w:rsidRDefault="00233D65" w:rsidP="00233D65">
      <w:pPr>
        <w:pStyle w:val="Heading2"/>
      </w:pPr>
      <w:r w:rsidRPr="00A01843">
        <w:t>Study design</w:t>
      </w:r>
    </w:p>
    <w:p w14:paraId="33616F14" w14:textId="1D35128E" w:rsidR="006F73D2" w:rsidRPr="00A01843" w:rsidRDefault="00233D65" w:rsidP="00044E7A">
      <w:r w:rsidRPr="00A01843">
        <w:t xml:space="preserve">The aim of the original study by Kim et al. (2014) was to </w:t>
      </w:r>
      <w:r w:rsidR="00DB1873" w:rsidRPr="00A01843">
        <w:t>identify</w:t>
      </w:r>
      <w:r w:rsidRPr="00A01843">
        <w:t xml:space="preserve"> individual- and school-level variables </w:t>
      </w:r>
      <w:r w:rsidR="00DB1873" w:rsidRPr="00A01843">
        <w:t>related to</w:t>
      </w:r>
      <w:r w:rsidRPr="00A01843">
        <w:t xml:space="preserve"> the ICT literacy level of Korean elementary school students. Previous studies before Kim et al. (2014) either did not account for the nested structure (students in schools) or </w:t>
      </w:r>
      <w:r w:rsidR="00DB1873" w:rsidRPr="00A01843">
        <w:t>they</w:t>
      </w:r>
      <w:r w:rsidRPr="00A01843">
        <w:t xml:space="preserve"> were conducted with different schools and student ages</w:t>
      </w:r>
      <w:r w:rsidR="00E64BC5" w:rsidRPr="00A01843">
        <w:t xml:space="preserve">. The </w:t>
      </w:r>
      <w:r w:rsidR="00DB1873" w:rsidRPr="00A01843">
        <w:t xml:space="preserve">original </w:t>
      </w:r>
      <w:r w:rsidR="00E64BC5" w:rsidRPr="00A01843">
        <w:t xml:space="preserve">study used </w:t>
      </w:r>
      <w:r w:rsidRPr="00A01843">
        <w:t>stratified samples from a population of elementary schools across the country</w:t>
      </w:r>
      <w:r w:rsidR="002B208E" w:rsidRPr="00A01843">
        <w:rPr>
          <w:rStyle w:val="EndnoteReference"/>
        </w:rPr>
        <w:endnoteReference w:id="6"/>
      </w:r>
      <w:r w:rsidRPr="00A01843">
        <w:t xml:space="preserve">. The data were collected through random sampling from schools within 1% (230 schools) of the stratified sample. In each sample school, one class from each of the 4th, 5th and 6th grades was selected through random clustered sampling. The final analysis subjects comprised 11,767 students in 173 schools who </w:t>
      </w:r>
      <w:r w:rsidR="006F73D2" w:rsidRPr="00A01843">
        <w:t>completed</w:t>
      </w:r>
      <w:r w:rsidR="00E64BC5" w:rsidRPr="00A01843">
        <w:t xml:space="preserve"> the appropriate</w:t>
      </w:r>
      <w:r w:rsidRPr="00A01843">
        <w:t xml:space="preserve"> questionnaires. </w:t>
      </w:r>
      <w:r w:rsidR="00E64BC5" w:rsidRPr="00A01843">
        <w:t>S</w:t>
      </w:r>
      <w:r w:rsidRPr="00A01843">
        <w:t xml:space="preserve">chools with 15 or </w:t>
      </w:r>
      <w:r w:rsidR="00A13DC6" w:rsidRPr="00A01843">
        <w:t>fewer</w:t>
      </w:r>
      <w:r w:rsidRPr="00A01843">
        <w:t xml:space="preserve"> respondents were excluded from the analysis</w:t>
      </w:r>
      <w:r w:rsidR="002B208E" w:rsidRPr="00A01843">
        <w:t>, according to the authors</w:t>
      </w:r>
      <w:r w:rsidR="006F73D2" w:rsidRPr="00A01843">
        <w:t>,</w:t>
      </w:r>
      <w:r w:rsidR="002B208E" w:rsidRPr="00A01843">
        <w:t xml:space="preserve"> for ‘stable analysis’</w:t>
      </w:r>
      <w:r w:rsidRPr="00A01843">
        <w:t>.</w:t>
      </w:r>
      <w:r w:rsidR="00DC697D" w:rsidRPr="00A01843">
        <w:t xml:space="preserve"> </w:t>
      </w:r>
      <w:r w:rsidRPr="00A01843">
        <w:t>The data</w:t>
      </w:r>
      <w:r w:rsidR="00E64BC5" w:rsidRPr="00A01843">
        <w:t xml:space="preserve"> </w:t>
      </w:r>
      <w:r w:rsidRPr="00A01843">
        <w:t xml:space="preserve">source for </w:t>
      </w:r>
      <w:r w:rsidR="00E64BC5" w:rsidRPr="00A01843">
        <w:t>the</w:t>
      </w:r>
      <w:r w:rsidRPr="00A01843">
        <w:t xml:space="preserve"> replication is </w:t>
      </w:r>
      <w:r w:rsidR="002B208E" w:rsidRPr="00A01843">
        <w:t xml:space="preserve">the </w:t>
      </w:r>
      <w:r w:rsidRPr="00A01843">
        <w:t>ICILS 2018</w:t>
      </w:r>
      <w:r w:rsidR="00E64BC5" w:rsidRPr="00A01843">
        <w:t xml:space="preserve"> </w:t>
      </w:r>
      <w:r w:rsidR="002B208E" w:rsidRPr="00A01843">
        <w:t xml:space="preserve">study </w:t>
      </w:r>
      <w:r w:rsidR="00E64BC5" w:rsidRPr="00A01843">
        <w:t>(</w:t>
      </w:r>
      <w:proofErr w:type="spellStart"/>
      <w:r w:rsidR="00E64BC5" w:rsidRPr="00A01843">
        <w:t>Fraillon</w:t>
      </w:r>
      <w:proofErr w:type="spellEnd"/>
      <w:r w:rsidR="00E64BC5" w:rsidRPr="00A01843">
        <w:t xml:space="preserve"> et al., 2020</w:t>
      </w:r>
      <w:r w:rsidR="00641FF2" w:rsidRPr="00A01843">
        <w:t>a</w:t>
      </w:r>
      <w:r w:rsidR="00E64BC5" w:rsidRPr="00A01843">
        <w:t>)</w:t>
      </w:r>
      <w:r w:rsidRPr="00A01843">
        <w:t>. It is the second cycle of this study (</w:t>
      </w:r>
      <w:r w:rsidR="002B208E" w:rsidRPr="00A01843">
        <w:t xml:space="preserve">the </w:t>
      </w:r>
      <w:r w:rsidRPr="00A01843">
        <w:t xml:space="preserve">first cycle was conducted in 2013) and </w:t>
      </w:r>
      <w:r w:rsidR="002B208E" w:rsidRPr="00A01843">
        <w:t xml:space="preserve">it was </w:t>
      </w:r>
      <w:r w:rsidRPr="00A01843">
        <w:t>conducted by the International Association for the Evaluation of Educational Achievement (IEA).</w:t>
      </w:r>
      <w:r w:rsidR="00E64BC5" w:rsidRPr="00A01843">
        <w:t xml:space="preserve"> </w:t>
      </w:r>
      <w:r w:rsidR="002B208E" w:rsidRPr="00A01843">
        <w:t xml:space="preserve">The </w:t>
      </w:r>
      <w:r w:rsidRPr="00A01843">
        <w:t>ICILS 2018</w:t>
      </w:r>
      <w:r w:rsidR="002B208E" w:rsidRPr="00A01843">
        <w:t xml:space="preserve"> study</w:t>
      </w:r>
      <w:r w:rsidRPr="00A01843">
        <w:t xml:space="preserve"> gathered data from 46,561 grade 8 (or equivalent) students in more than 2226 schools from 12 countries and 2 benchmarking countries. Representative samples </w:t>
      </w:r>
      <w:r w:rsidR="002B208E" w:rsidRPr="00A01843">
        <w:t>were</w:t>
      </w:r>
      <w:r w:rsidRPr="00A01843">
        <w:t xml:space="preserve"> drawn by means of a systematic random sampling approach that involved multiple sampling stages, clustering, and stratification for two target populations (schools and students). In most participating countries, </w:t>
      </w:r>
      <w:r w:rsidR="002B208E" w:rsidRPr="00A01843">
        <w:t>some</w:t>
      </w:r>
      <w:r w:rsidRPr="00A01843">
        <w:t xml:space="preserve"> 150 schools were </w:t>
      </w:r>
      <w:proofErr w:type="gramStart"/>
      <w:r w:rsidRPr="00A01843">
        <w:t>sampled</w:t>
      </w:r>
      <w:proofErr w:type="gramEnd"/>
      <w:r w:rsidRPr="00A01843">
        <w:t xml:space="preserve"> and, within schools, 20 students and 15 teachers were sampled. Minimum exclusion and target response rates were determined </w:t>
      </w:r>
      <w:proofErr w:type="gramStart"/>
      <w:r w:rsidRPr="00A01843">
        <w:t>in order to</w:t>
      </w:r>
      <w:proofErr w:type="gramEnd"/>
      <w:r w:rsidRPr="00A01843">
        <w:t xml:space="preserve"> secure data</w:t>
      </w:r>
      <w:r w:rsidR="00FB755F" w:rsidRPr="00A01843">
        <w:t xml:space="preserve"> of sufficient quality</w:t>
      </w:r>
      <w:r w:rsidR="00FB755F" w:rsidRPr="00A01843">
        <w:rPr>
          <w:rStyle w:val="EndnoteReference"/>
        </w:rPr>
        <w:endnoteReference w:id="7"/>
      </w:r>
      <w:r w:rsidRPr="00A01843">
        <w:t xml:space="preserve">. Furthermore, the authors of the dataset include predefined indices of important variable </w:t>
      </w:r>
      <w:r w:rsidRPr="00A01843">
        <w:lastRenderedPageBreak/>
        <w:t>constructs which</w:t>
      </w:r>
      <w:r w:rsidR="006F73D2" w:rsidRPr="00A01843">
        <w:t>,</w:t>
      </w:r>
      <w:r w:rsidRPr="00A01843">
        <w:t xml:space="preserve"> to a large degree</w:t>
      </w:r>
      <w:r w:rsidR="006F73D2" w:rsidRPr="00A01843">
        <w:t>,</w:t>
      </w:r>
      <w:r w:rsidRPr="00A01843">
        <w:t xml:space="preserve"> </w:t>
      </w:r>
      <w:r w:rsidR="006F73D2" w:rsidRPr="00A01843">
        <w:t xml:space="preserve">are </w:t>
      </w:r>
      <w:r w:rsidRPr="00A01843">
        <w:t xml:space="preserve">comparable </w:t>
      </w:r>
      <w:r w:rsidR="006F73D2" w:rsidRPr="00A01843">
        <w:t xml:space="preserve">to, </w:t>
      </w:r>
      <w:r w:rsidRPr="00A01843">
        <w:t xml:space="preserve">or even more detailed </w:t>
      </w:r>
      <w:r w:rsidR="006F73D2" w:rsidRPr="00A01843">
        <w:t>than,</w:t>
      </w:r>
      <w:r w:rsidRPr="00A01843">
        <w:t xml:space="preserve"> </w:t>
      </w:r>
      <w:r w:rsidR="00FB755F" w:rsidRPr="00A01843">
        <w:t>many of the relevant</w:t>
      </w:r>
      <w:r w:rsidRPr="00A01843">
        <w:t xml:space="preserve"> variables in the original study</w:t>
      </w:r>
      <w:r w:rsidR="00DC697D" w:rsidRPr="00A01843">
        <w:t xml:space="preserve"> by Kim et al. (2014)</w:t>
      </w:r>
      <w:r w:rsidRPr="00A01843">
        <w:t>.</w:t>
      </w:r>
      <w:r w:rsidR="00E64BC5" w:rsidRPr="00A01843">
        <w:t xml:space="preserve"> </w:t>
      </w:r>
      <w:r w:rsidRPr="00A01843">
        <w:t>The ICILS 2018 target</w:t>
      </w:r>
      <w:r w:rsidR="00FB755F" w:rsidRPr="00A01843">
        <w:t xml:space="preserve"> student</w:t>
      </w:r>
      <w:r w:rsidRPr="00A01843">
        <w:t xml:space="preserve"> population comprised students in the grade that represent</w:t>
      </w:r>
      <w:r w:rsidR="00FB755F" w:rsidRPr="00A01843">
        <w:t>ed</w:t>
      </w:r>
      <w:r w:rsidRPr="00A01843">
        <w:t xml:space="preserve"> eight years of schooling, counting from Level 1 of the International Standard Classification of Education (ISCED), provided that the average age of students in this grade was at least 13.5 years at the time of the assessment. This is one main difference </w:t>
      </w:r>
      <w:r w:rsidR="00FB755F" w:rsidRPr="00A01843">
        <w:t>from</w:t>
      </w:r>
      <w:r w:rsidRPr="00A01843">
        <w:t xml:space="preserve"> the original study</w:t>
      </w:r>
      <w:r w:rsidR="006F73D2" w:rsidRPr="00A01843">
        <w:t>,</w:t>
      </w:r>
      <w:r w:rsidRPr="00A01843">
        <w:t xml:space="preserve"> which focused on students in the 4th, </w:t>
      </w:r>
      <w:proofErr w:type="gramStart"/>
      <w:r w:rsidRPr="00A01843">
        <w:t>5th</w:t>
      </w:r>
      <w:proofErr w:type="gramEnd"/>
      <w:r w:rsidRPr="00A01843">
        <w:t xml:space="preserve"> and 6th grade in Korea. However, the original study does not focus too much on the “elementary school children”</w:t>
      </w:r>
      <w:r w:rsidR="006F73D2" w:rsidRPr="00A01843">
        <w:t xml:space="preserve"> </w:t>
      </w:r>
      <w:r w:rsidRPr="00A01843">
        <w:t>construct</w:t>
      </w:r>
      <w:r w:rsidR="00B40672" w:rsidRPr="00A01843">
        <w:t>,</w:t>
      </w:r>
      <w:r w:rsidRPr="00A01843">
        <w:t xml:space="preserve"> but more on identifying the important predictors o</w:t>
      </w:r>
      <w:r w:rsidR="00B40672" w:rsidRPr="00A01843">
        <w:t>f</w:t>
      </w:r>
      <w:r w:rsidRPr="00A01843">
        <w:t xml:space="preserve"> both levels (individual and school level)</w:t>
      </w:r>
      <w:r w:rsidR="006F73D2" w:rsidRPr="00A01843">
        <w:t>,</w:t>
      </w:r>
      <w:r w:rsidRPr="00A01843">
        <w:t xml:space="preserve"> as well as differentiating between them by holding </w:t>
      </w:r>
      <w:r w:rsidR="00B40672" w:rsidRPr="00A01843">
        <w:t xml:space="preserve">constant </w:t>
      </w:r>
      <w:r w:rsidRPr="00A01843">
        <w:t>any</w:t>
      </w:r>
      <w:r w:rsidR="00E64BC5" w:rsidRPr="00A01843">
        <w:t xml:space="preserve"> </w:t>
      </w:r>
      <w:r w:rsidR="00B40672" w:rsidRPr="00A01843">
        <w:t xml:space="preserve">of the </w:t>
      </w:r>
      <w:r w:rsidRPr="00A01843">
        <w:t>age group</w:t>
      </w:r>
      <w:r w:rsidR="00B40672" w:rsidRPr="00A01843">
        <w:t>s</w:t>
      </w:r>
      <w:r w:rsidRPr="00A01843">
        <w:t>.</w:t>
      </w:r>
      <w:r w:rsidR="00164343" w:rsidRPr="00A01843">
        <w:t xml:space="preserve"> </w:t>
      </w:r>
    </w:p>
    <w:p w14:paraId="5E375F1D" w14:textId="77777777" w:rsidR="006F73D2" w:rsidRPr="00A01843" w:rsidRDefault="006F73D2" w:rsidP="00044E7A"/>
    <w:p w14:paraId="22EE06E0" w14:textId="164026CB" w:rsidR="007D5164" w:rsidRPr="00A01843" w:rsidRDefault="00076C5D" w:rsidP="00044E7A">
      <w:r w:rsidRPr="00A01843">
        <w:t>The original study</w:t>
      </w:r>
      <w:r w:rsidR="003C462E" w:rsidRPr="00A01843">
        <w:t xml:space="preserve"> </w:t>
      </w:r>
      <w:r w:rsidR="00233D65" w:rsidRPr="00A01843">
        <w:t>provides few theoretical arguments for the inclusion of certain predictors in the analysis.</w:t>
      </w:r>
      <w:r w:rsidRPr="00A01843">
        <w:t xml:space="preserve"> </w:t>
      </w:r>
      <w:r w:rsidR="003C462E" w:rsidRPr="00A01843">
        <w:t>Some influential variables on which the authors reflect in their theoretical background, e.g.</w:t>
      </w:r>
      <w:r w:rsidR="007D5164" w:rsidRPr="00A01843">
        <w:t>,</w:t>
      </w:r>
      <w:r w:rsidR="003C462E" w:rsidRPr="00A01843">
        <w:t xml:space="preserve"> household computer environment, socioeconomic status, parental </w:t>
      </w:r>
      <w:proofErr w:type="gramStart"/>
      <w:r w:rsidR="003C462E" w:rsidRPr="00A01843">
        <w:t>occupation</w:t>
      </w:r>
      <w:proofErr w:type="gramEnd"/>
      <w:r w:rsidR="003C462E" w:rsidRPr="00A01843">
        <w:t xml:space="preserve"> and educational background, </w:t>
      </w:r>
      <w:r w:rsidR="00B40672" w:rsidRPr="00A01843">
        <w:t>were</w:t>
      </w:r>
      <w:r w:rsidR="003C462E" w:rsidRPr="00A01843">
        <w:t xml:space="preserve"> not included in the original study’s analysis but </w:t>
      </w:r>
      <w:r w:rsidR="00B40672" w:rsidRPr="00A01843">
        <w:t>were included</w:t>
      </w:r>
      <w:r w:rsidR="003C462E" w:rsidRPr="00A01843">
        <w:t xml:space="preserve"> in the ICILS</w:t>
      </w:r>
      <w:r w:rsidR="00B40672" w:rsidRPr="00A01843">
        <w:t xml:space="preserve"> 2018 study</w:t>
      </w:r>
      <w:r w:rsidR="003C462E" w:rsidRPr="00A01843">
        <w:t xml:space="preserve">. However, </w:t>
      </w:r>
      <w:r w:rsidR="00B40672" w:rsidRPr="00A01843">
        <w:t>the present</w:t>
      </w:r>
      <w:r w:rsidR="003C462E" w:rsidRPr="00A01843">
        <w:t xml:space="preserve"> replication </w:t>
      </w:r>
      <w:r w:rsidR="00B40672" w:rsidRPr="00A01843">
        <w:t>keeps</w:t>
      </w:r>
      <w:r w:rsidR="003C462E" w:rsidRPr="00A01843">
        <w:t xml:space="preserve"> to replicating the original variables. Such</w:t>
      </w:r>
      <w:r w:rsidR="00E64BC5" w:rsidRPr="00A01843">
        <w:t xml:space="preserve"> lack of transparency </w:t>
      </w:r>
      <w:proofErr w:type="gramStart"/>
      <w:r w:rsidR="00E64BC5" w:rsidRPr="00A01843">
        <w:t>with regard to</w:t>
      </w:r>
      <w:proofErr w:type="gramEnd"/>
      <w:r w:rsidR="00E64BC5" w:rsidRPr="00A01843">
        <w:t xml:space="preserve"> the inclusion of certain predictors and their operationalisation, posed a first hurdle</w:t>
      </w:r>
      <w:r w:rsidR="007D5164" w:rsidRPr="00A01843">
        <w:t>,</w:t>
      </w:r>
      <w:r w:rsidR="00E64BC5" w:rsidRPr="00A01843">
        <w:t xml:space="preserve"> </w:t>
      </w:r>
      <w:r w:rsidR="00B40672" w:rsidRPr="00A01843">
        <w:t xml:space="preserve">which was that </w:t>
      </w:r>
      <w:r w:rsidR="00E64BC5" w:rsidRPr="00A01843">
        <w:t>of vague reporting (e.g.</w:t>
      </w:r>
      <w:r w:rsidR="007D5164" w:rsidRPr="00A01843">
        <w:t>,</w:t>
      </w:r>
      <w:r w:rsidR="00E64BC5" w:rsidRPr="00A01843">
        <w:t xml:space="preserve"> </w:t>
      </w:r>
      <w:r w:rsidR="00233D65" w:rsidRPr="00A01843">
        <w:t xml:space="preserve">missing variable units or missing provision of the questionnaire for the background variables). </w:t>
      </w:r>
      <w:r w:rsidRPr="00A01843">
        <w:t>As a result, it</w:t>
      </w:r>
      <w:r w:rsidR="00233D65" w:rsidRPr="00A01843">
        <w:t xml:space="preserve"> was sometimes difficult to gauge which variable operationali</w:t>
      </w:r>
      <w:r w:rsidR="00E64BC5" w:rsidRPr="00A01843">
        <w:t>s</w:t>
      </w:r>
      <w:r w:rsidR="00233D65" w:rsidRPr="00A01843">
        <w:t>ation</w:t>
      </w:r>
      <w:r w:rsidR="00164343" w:rsidRPr="00A01843">
        <w:t>s</w:t>
      </w:r>
      <w:r w:rsidR="00233D65" w:rsidRPr="00A01843">
        <w:t xml:space="preserve"> of the potential replication data source (ICILS</w:t>
      </w:r>
      <w:r w:rsidR="007D5164" w:rsidRPr="00A01843">
        <w:t>,</w:t>
      </w:r>
      <w:r w:rsidRPr="00A01843">
        <w:t xml:space="preserve"> 2018</w:t>
      </w:r>
      <w:r w:rsidR="00233D65" w:rsidRPr="00A01843">
        <w:t xml:space="preserve">) would be appropriate. </w:t>
      </w:r>
      <w:r w:rsidR="00B40672" w:rsidRPr="00A01843">
        <w:t xml:space="preserve">The analytical </w:t>
      </w:r>
      <w:r w:rsidR="00702B6A" w:rsidRPr="00A01843">
        <w:t>decisions</w:t>
      </w:r>
      <w:r w:rsidRPr="00A01843">
        <w:t xml:space="preserve"> and motivations are fully documented</w:t>
      </w:r>
      <w:r w:rsidR="00E64BC5" w:rsidRPr="00A01843">
        <w:t xml:space="preserve"> in the </w:t>
      </w:r>
      <w:r w:rsidR="00E64BC5" w:rsidRPr="00A01843">
        <w:rPr>
          <w:i/>
          <w:iCs/>
        </w:rPr>
        <w:t>variables</w:t>
      </w:r>
      <w:r w:rsidR="00E64BC5" w:rsidRPr="00A01843">
        <w:t xml:space="preserve"> section</w:t>
      </w:r>
      <w:r w:rsidR="00164343" w:rsidRPr="00A01843">
        <w:t xml:space="preserve"> and Table 1</w:t>
      </w:r>
      <w:r w:rsidR="00E64BC5" w:rsidRPr="00A01843">
        <w:t xml:space="preserve">. </w:t>
      </w:r>
    </w:p>
    <w:p w14:paraId="7C648FD8" w14:textId="77777777" w:rsidR="007D5164" w:rsidRPr="00A01843" w:rsidRDefault="007D5164" w:rsidP="00044E7A"/>
    <w:p w14:paraId="4F598E06" w14:textId="6C643A1F" w:rsidR="007D5164" w:rsidRPr="00A01843" w:rsidRDefault="00233D65" w:rsidP="00044E7A">
      <w:r w:rsidRPr="00A01843">
        <w:lastRenderedPageBreak/>
        <w:t>The international comparative character of the ICIL</w:t>
      </w:r>
      <w:r w:rsidR="00164343" w:rsidRPr="00A01843">
        <w:t>S</w:t>
      </w:r>
      <w:r w:rsidRPr="00A01843">
        <w:t xml:space="preserve"> study is another main difference </w:t>
      </w:r>
      <w:r w:rsidR="00B40672" w:rsidRPr="00A01843">
        <w:t>from</w:t>
      </w:r>
      <w:r w:rsidRPr="00A01843">
        <w:t xml:space="preserve"> the original study. </w:t>
      </w:r>
      <w:r w:rsidR="00976465" w:rsidRPr="00A01843">
        <w:t xml:space="preserve">Given that ICT literacy </w:t>
      </w:r>
      <w:r w:rsidR="007D5164" w:rsidRPr="00A01843">
        <w:t xml:space="preserve">appears </w:t>
      </w:r>
      <w:r w:rsidR="00B40672" w:rsidRPr="00A01843">
        <w:t xml:space="preserve">to be </w:t>
      </w:r>
      <w:r w:rsidR="00976465" w:rsidRPr="00A01843">
        <w:t>contextual (e.g. country infrastructure, the curriculum in a country)</w:t>
      </w:r>
      <w:r w:rsidR="007D5164" w:rsidRPr="00A01843">
        <w:t>,</w:t>
      </w:r>
      <w:r w:rsidR="00976465" w:rsidRPr="00A01843">
        <w:t xml:space="preserve"> the </w:t>
      </w:r>
      <w:proofErr w:type="gramStart"/>
      <w:r w:rsidR="00076C5D" w:rsidRPr="00A01843">
        <w:t xml:space="preserve">main </w:t>
      </w:r>
      <w:r w:rsidR="00B40672" w:rsidRPr="00A01843">
        <w:t>focus</w:t>
      </w:r>
      <w:proofErr w:type="gramEnd"/>
      <w:r w:rsidR="00B40672" w:rsidRPr="00A01843">
        <w:t xml:space="preserve"> of the analysis</w:t>
      </w:r>
      <w:r w:rsidR="00976465" w:rsidRPr="00A01843">
        <w:t xml:space="preserve"> for the replication </w:t>
      </w:r>
      <w:r w:rsidR="00B40672" w:rsidRPr="00A01843">
        <w:t>here is</w:t>
      </w:r>
      <w:r w:rsidR="00976465" w:rsidRPr="00A01843">
        <w:t xml:space="preserve"> on Korea. However, </w:t>
      </w:r>
      <w:r w:rsidR="00076C5D" w:rsidRPr="00A01843">
        <w:t>additional</w:t>
      </w:r>
      <w:r w:rsidR="00976465" w:rsidRPr="00A01843">
        <w:t xml:space="preserve"> </w:t>
      </w:r>
      <w:r w:rsidR="00076C5D" w:rsidRPr="00A01843">
        <w:t>a</w:t>
      </w:r>
      <w:r w:rsidR="00976465" w:rsidRPr="00A01843">
        <w:t xml:space="preserve">nalyses </w:t>
      </w:r>
      <w:r w:rsidR="00B40672" w:rsidRPr="00A01843">
        <w:t xml:space="preserve">were also conducted here, </w:t>
      </w:r>
      <w:r w:rsidR="00976465" w:rsidRPr="00A01843">
        <w:t xml:space="preserve">with all countries included. </w:t>
      </w:r>
      <w:r w:rsidR="007D5164" w:rsidRPr="00A01843">
        <w:t>In many ways t</w:t>
      </w:r>
      <w:r w:rsidR="00976465" w:rsidRPr="00A01843">
        <w:t xml:space="preserve">he </w:t>
      </w:r>
      <w:r w:rsidRPr="00A01843">
        <w:t xml:space="preserve">ICILS 2018 </w:t>
      </w:r>
      <w:r w:rsidR="00976465" w:rsidRPr="00A01843">
        <w:t>dataset</w:t>
      </w:r>
      <w:r w:rsidRPr="00A01843">
        <w:t xml:space="preserve"> </w:t>
      </w:r>
      <w:r w:rsidR="00976465" w:rsidRPr="00A01843">
        <w:t xml:space="preserve">is </w:t>
      </w:r>
      <w:r w:rsidRPr="00A01843">
        <w:t xml:space="preserve">more detailed than the dataset in the original study. </w:t>
      </w:r>
    </w:p>
    <w:p w14:paraId="596D5010" w14:textId="77777777" w:rsidR="007D5164" w:rsidRPr="00A01843" w:rsidRDefault="007D5164" w:rsidP="00044E7A"/>
    <w:p w14:paraId="59FA81D3" w14:textId="7EAF4F31" w:rsidR="00FA3E76" w:rsidRPr="00A01843" w:rsidRDefault="00044E7A" w:rsidP="00044E7A">
      <w:r w:rsidRPr="00A01843">
        <w:t xml:space="preserve">Regarding </w:t>
      </w:r>
      <w:r w:rsidR="00982879" w:rsidRPr="00A01843">
        <w:t xml:space="preserve">statistical </w:t>
      </w:r>
      <w:r w:rsidRPr="00A01843">
        <w:t>power, a</w:t>
      </w:r>
      <w:r w:rsidR="005272A2" w:rsidRPr="00A01843">
        <w:t xml:space="preserve">n estimate of the minimum viable </w:t>
      </w:r>
      <w:r w:rsidRPr="00A01843">
        <w:t xml:space="preserve">stage1 </w:t>
      </w:r>
      <w:r w:rsidR="005272A2" w:rsidRPr="00A01843">
        <w:t>sample size</w:t>
      </w:r>
      <w:r w:rsidR="007D5164" w:rsidRPr="00A01843">
        <w:t xml:space="preserve"> indicates that</w:t>
      </w:r>
      <w:r w:rsidR="005272A2" w:rsidRPr="00A01843">
        <w:t xml:space="preserve"> </w:t>
      </w:r>
      <w:r w:rsidR="000A20EA" w:rsidRPr="00A01843">
        <w:t xml:space="preserve">the sample size needed to have 90% power to detect 75% of the original effect, </w:t>
      </w:r>
      <w:r w:rsidR="005272A2" w:rsidRPr="00A01843">
        <w:t>for the data analytic replication</w:t>
      </w:r>
      <w:r w:rsidR="007D5164" w:rsidRPr="00A01843">
        <w:t>,</w:t>
      </w:r>
      <w:r w:rsidR="005272A2" w:rsidRPr="00A01843">
        <w:t xml:space="preserve"> </w:t>
      </w:r>
      <w:r w:rsidRPr="00A01843">
        <w:t>was</w:t>
      </w:r>
      <w:r w:rsidR="005272A2" w:rsidRPr="00A01843">
        <w:t xml:space="preserve"> 1,006</w:t>
      </w:r>
      <w:r w:rsidR="003C462E" w:rsidRPr="00A01843">
        <w:t xml:space="preserve"> students</w:t>
      </w:r>
      <w:r w:rsidRPr="00A01843">
        <w:t xml:space="preserve">, which meant that both the Korean and ‘all countries’ samples were </w:t>
      </w:r>
      <w:r w:rsidR="00982879" w:rsidRPr="00A01843">
        <w:t xml:space="preserve">sufficiently </w:t>
      </w:r>
      <w:r w:rsidRPr="00A01843">
        <w:t>large.</w:t>
      </w:r>
    </w:p>
    <w:p w14:paraId="69B379B4" w14:textId="59ABE744" w:rsidR="00492461" w:rsidRPr="00A01843" w:rsidRDefault="00492461" w:rsidP="00492461">
      <w:pPr>
        <w:pStyle w:val="Heading2"/>
      </w:pPr>
      <w:r w:rsidRPr="00A01843">
        <w:t>Complex sampling design</w:t>
      </w:r>
    </w:p>
    <w:p w14:paraId="66AEAF4C" w14:textId="0675B376" w:rsidR="009C7825" w:rsidRPr="00A01843" w:rsidRDefault="009C7825" w:rsidP="00233D65">
      <w:r w:rsidRPr="00A01843">
        <w:t xml:space="preserve">Different </w:t>
      </w:r>
      <w:r w:rsidR="000A20EA" w:rsidRPr="00A01843">
        <w:t>from</w:t>
      </w:r>
      <w:r w:rsidRPr="00A01843">
        <w:t xml:space="preserve"> the original study by Kim et al. (2014), the ICILS 2018 study has a complex sampling design. </w:t>
      </w:r>
      <w:r w:rsidR="000A20EA" w:rsidRPr="00A01843">
        <w:t>Students</w:t>
      </w:r>
      <w:r w:rsidRPr="00A01843">
        <w:t xml:space="preserve"> are sampled within schools within countries. </w:t>
      </w:r>
      <w:r w:rsidR="00C33D60" w:rsidRPr="00A01843">
        <w:t xml:space="preserve">The complex sampling design of the study is </w:t>
      </w:r>
      <w:proofErr w:type="gramStart"/>
      <w:r w:rsidR="00C33D60" w:rsidRPr="00A01843">
        <w:t>taken into account</w:t>
      </w:r>
      <w:proofErr w:type="gramEnd"/>
      <w:r w:rsidR="003C462E" w:rsidRPr="00A01843">
        <w:t xml:space="preserve"> in this replication</w:t>
      </w:r>
      <w:r w:rsidR="00C33D60" w:rsidRPr="00A01843">
        <w:t xml:space="preserve"> (</w:t>
      </w:r>
      <w:proofErr w:type="spellStart"/>
      <w:r w:rsidR="00C33D60" w:rsidRPr="00A01843">
        <w:t>Fraillon</w:t>
      </w:r>
      <w:proofErr w:type="spellEnd"/>
      <w:r w:rsidR="00C33D60" w:rsidRPr="00A01843">
        <w:t xml:space="preserve"> et al., 20</w:t>
      </w:r>
      <w:r w:rsidR="00641FF2" w:rsidRPr="00A01843">
        <w:t>2</w:t>
      </w:r>
      <w:r w:rsidR="00C33D60" w:rsidRPr="00A01843">
        <w:t>0</w:t>
      </w:r>
      <w:r w:rsidR="00FC6073" w:rsidRPr="00A01843">
        <w:t>b</w:t>
      </w:r>
      <w:r w:rsidR="00C33D60" w:rsidRPr="00A01843">
        <w:t>; Rutkowski</w:t>
      </w:r>
      <w:r w:rsidR="00D4348D" w:rsidRPr="00A01843">
        <w:t xml:space="preserve"> et al.</w:t>
      </w:r>
      <w:r w:rsidR="00C33D60" w:rsidRPr="00A01843">
        <w:t xml:space="preserve">, 2010). This means </w:t>
      </w:r>
      <w:r w:rsidR="000A20EA" w:rsidRPr="00A01843">
        <w:t xml:space="preserve">that </w:t>
      </w:r>
      <w:r w:rsidR="00C33D60" w:rsidRPr="00A01843">
        <w:t xml:space="preserve">three </w:t>
      </w:r>
      <w:r w:rsidR="000A20EA" w:rsidRPr="00A01843">
        <w:t>levels</w:t>
      </w:r>
      <w:r w:rsidR="007D5164" w:rsidRPr="00A01843">
        <w:t xml:space="preserve"> – </w:t>
      </w:r>
      <w:r w:rsidR="000A20EA" w:rsidRPr="00A01843">
        <w:t xml:space="preserve">students, </w:t>
      </w:r>
      <w:proofErr w:type="gramStart"/>
      <w:r w:rsidR="000A20EA" w:rsidRPr="00A01843">
        <w:t>schools</w:t>
      </w:r>
      <w:proofErr w:type="gramEnd"/>
      <w:r w:rsidR="000A20EA" w:rsidRPr="00A01843">
        <w:t xml:space="preserve"> and countries</w:t>
      </w:r>
      <w:r w:rsidR="007D5164" w:rsidRPr="00A01843">
        <w:t xml:space="preserve"> – </w:t>
      </w:r>
      <w:r w:rsidR="00C33D60" w:rsidRPr="00A01843">
        <w:t>are included in the analyses. To cater for different probabilities of units being selected</w:t>
      </w:r>
      <w:r w:rsidR="007D5164" w:rsidRPr="00A01843">
        <w:t>,</w:t>
      </w:r>
      <w:r w:rsidR="00C33D60" w:rsidRPr="00A01843">
        <w:t xml:space="preserve"> sampling weights are used. Sampling weights ensure that the choice of sampling design does not have an undesired effect on the analyses of data. In this case</w:t>
      </w:r>
      <w:r w:rsidR="007D5164" w:rsidRPr="00A01843">
        <w:t>,</w:t>
      </w:r>
      <w:r w:rsidR="00C33D60" w:rsidRPr="00A01843">
        <w:t xml:space="preserve"> final weights are used at the student and school level. As ICILS 2018 uses an incomplete and rotated-booklet design for testing children on the major outcome variables, five plausible values are used</w:t>
      </w:r>
      <w:r w:rsidR="000A20EA" w:rsidRPr="00A01843">
        <w:rPr>
          <w:rStyle w:val="EndnoteReference"/>
        </w:rPr>
        <w:endnoteReference w:id="8"/>
      </w:r>
      <w:r w:rsidR="00C33D60" w:rsidRPr="00A01843">
        <w:t xml:space="preserve">. To analyse </w:t>
      </w:r>
      <w:r w:rsidR="000A20EA" w:rsidRPr="00A01843">
        <w:t xml:space="preserve">the data, </w:t>
      </w:r>
      <w:r w:rsidR="00C33D60" w:rsidRPr="00A01843">
        <w:t>we combine the five plausible values into a single set of point estimates and standard errors</w:t>
      </w:r>
      <w:r w:rsidR="007D5164" w:rsidRPr="00A01843">
        <w:t>,</w:t>
      </w:r>
      <w:r w:rsidR="00C33D60" w:rsidRPr="00A01843">
        <w:t xml:space="preserve"> using Rubin’s rules (Rubin, 1987). </w:t>
      </w:r>
      <w:r w:rsidR="00E34DF6" w:rsidRPr="00A01843">
        <w:t xml:space="preserve">For variance estimation, multilevel modelling takes the hierarchical structure of the cluster sample into account. The combination of multilevel modelling, </w:t>
      </w:r>
      <w:r w:rsidR="00E34DF6" w:rsidRPr="00A01843">
        <w:lastRenderedPageBreak/>
        <w:t xml:space="preserve">final weights and five plausible values as estimates of students’ CIL, means </w:t>
      </w:r>
      <w:r w:rsidR="007D5164" w:rsidRPr="00A01843">
        <w:t xml:space="preserve">that </w:t>
      </w:r>
      <w:r w:rsidR="00E34DF6" w:rsidRPr="00A01843">
        <w:t xml:space="preserve">the reported multilevel standard errors </w:t>
      </w:r>
      <w:r w:rsidR="00F33EA8" w:rsidRPr="00A01843">
        <w:t>address</w:t>
      </w:r>
      <w:r w:rsidR="007D5164" w:rsidRPr="00A01843">
        <w:t xml:space="preserve"> </w:t>
      </w:r>
      <w:r w:rsidR="00E34DF6" w:rsidRPr="00A01843">
        <w:t>both sampling and imputation errors (</w:t>
      </w:r>
      <w:proofErr w:type="spellStart"/>
      <w:r w:rsidR="00E34DF6" w:rsidRPr="00A01843">
        <w:t>Fraillon</w:t>
      </w:r>
      <w:proofErr w:type="spellEnd"/>
      <w:r w:rsidR="00E34DF6" w:rsidRPr="00A01843">
        <w:t xml:space="preserve"> et al., 2020</w:t>
      </w:r>
      <w:r w:rsidR="00FC6073" w:rsidRPr="00A01843">
        <w:t>b</w:t>
      </w:r>
      <w:r w:rsidR="00E34DF6" w:rsidRPr="00A01843">
        <w:t>, p. 230).</w:t>
      </w:r>
      <w:r w:rsidR="00C33D60" w:rsidRPr="00A01843">
        <w:t xml:space="preserve"> </w:t>
      </w:r>
      <w:r w:rsidR="00360F88" w:rsidRPr="00A01843">
        <w:t>The</w:t>
      </w:r>
      <w:r w:rsidRPr="00A01843">
        <w:t xml:space="preserve"> choice of </w:t>
      </w:r>
      <w:r w:rsidR="00360F88" w:rsidRPr="00A01843">
        <w:t xml:space="preserve">the ICILS 2018 </w:t>
      </w:r>
      <w:r w:rsidRPr="00A01843">
        <w:t xml:space="preserve">dataset introduced </w:t>
      </w:r>
      <w:proofErr w:type="gramStart"/>
      <w:r w:rsidR="00360F88" w:rsidRPr="00A01843">
        <w:t>particular</w:t>
      </w:r>
      <w:r w:rsidRPr="00A01843">
        <w:t xml:space="preserve"> requirements</w:t>
      </w:r>
      <w:proofErr w:type="gramEnd"/>
      <w:r w:rsidRPr="00A01843">
        <w:t xml:space="preserve"> for the analyses</w:t>
      </w:r>
      <w:r w:rsidR="00DB567C" w:rsidRPr="00A01843">
        <w:t xml:space="preserve">, something </w:t>
      </w:r>
      <w:r w:rsidR="00D456AA" w:rsidRPr="00A01843">
        <w:t xml:space="preserve">that </w:t>
      </w:r>
      <w:r w:rsidR="00DB567C" w:rsidRPr="00A01843">
        <w:t>we return to in the discussion section of the article.</w:t>
      </w:r>
    </w:p>
    <w:p w14:paraId="65871A19" w14:textId="77777777" w:rsidR="00C33D60" w:rsidRPr="00A01843" w:rsidRDefault="00C33D60" w:rsidP="00C33D60">
      <w:pPr>
        <w:pStyle w:val="Heading2"/>
      </w:pPr>
      <w:r w:rsidRPr="00A01843">
        <w:t>Variables</w:t>
      </w:r>
    </w:p>
    <w:p w14:paraId="0B01103F" w14:textId="61553FC0" w:rsidR="00C33D60" w:rsidRPr="00A01843" w:rsidRDefault="00C33D60" w:rsidP="00C33D60">
      <w:pPr>
        <w:pStyle w:val="Paragraph"/>
      </w:pPr>
      <w:r w:rsidRPr="00A01843">
        <w:t>Table 1 presents the original variables from Kim et al. (2014) and the variables used for the replication.</w:t>
      </w:r>
    </w:p>
    <w:p w14:paraId="7A83BF6F" w14:textId="77777777" w:rsidR="00A01843" w:rsidRPr="001C5136" w:rsidRDefault="00A01843" w:rsidP="00A01843">
      <w:pPr>
        <w:pStyle w:val="Figurecaption"/>
      </w:pPr>
      <w:r w:rsidRPr="001C5136">
        <w:t xml:space="preserve">Table </w:t>
      </w:r>
      <w:r w:rsidRPr="001C5136">
        <w:fldChar w:fldCharType="begin"/>
      </w:r>
      <w:r w:rsidRPr="001C5136">
        <w:instrText xml:space="preserve"> SEQ Table \* ARABIC </w:instrText>
      </w:r>
      <w:r w:rsidRPr="001C5136">
        <w:fldChar w:fldCharType="separate"/>
      </w:r>
      <w:r w:rsidRPr="001C5136">
        <w:rPr>
          <w:noProof/>
        </w:rPr>
        <w:t>1</w:t>
      </w:r>
      <w:r w:rsidRPr="001C5136">
        <w:rPr>
          <w:noProof/>
        </w:rPr>
        <w:fldChar w:fldCharType="end"/>
      </w:r>
      <w:r w:rsidRPr="001C5136">
        <w:t xml:space="preserve"> Variables used in the replication.</w:t>
      </w:r>
    </w:p>
    <w:tbl>
      <w:tblPr>
        <w:tblStyle w:val="TableGrid"/>
        <w:tblW w:w="9209" w:type="dxa"/>
        <w:tblLook w:val="04A0" w:firstRow="1" w:lastRow="0" w:firstColumn="1" w:lastColumn="0" w:noHBand="0" w:noVBand="1"/>
      </w:tblPr>
      <w:tblGrid>
        <w:gridCol w:w="2481"/>
        <w:gridCol w:w="5061"/>
        <w:gridCol w:w="1667"/>
      </w:tblGrid>
      <w:tr w:rsidR="00A01843" w:rsidRPr="001C5136" w14:paraId="4E1DB73D" w14:textId="77777777" w:rsidTr="00F00548">
        <w:tc>
          <w:tcPr>
            <w:tcW w:w="2547" w:type="dxa"/>
          </w:tcPr>
          <w:p w14:paraId="2B53FB43" w14:textId="77777777" w:rsidR="00A01843" w:rsidRPr="001C5136" w:rsidRDefault="00A01843" w:rsidP="00F00548">
            <w:pPr>
              <w:jc w:val="center"/>
              <w:rPr>
                <w:rFonts w:ascii="Arial" w:hAnsi="Arial" w:cs="Arial"/>
                <w:b/>
                <w:bCs/>
                <w:sz w:val="18"/>
                <w:szCs w:val="18"/>
              </w:rPr>
            </w:pPr>
            <w:r w:rsidRPr="001C5136">
              <w:rPr>
                <w:rFonts w:ascii="Arial" w:hAnsi="Arial" w:cs="Arial"/>
                <w:b/>
                <w:bCs/>
                <w:sz w:val="18"/>
                <w:szCs w:val="18"/>
              </w:rPr>
              <w:t>Kim et al. (2014)</w:t>
            </w:r>
          </w:p>
        </w:tc>
        <w:tc>
          <w:tcPr>
            <w:tcW w:w="5245" w:type="dxa"/>
          </w:tcPr>
          <w:p w14:paraId="4FDB0F95" w14:textId="77777777" w:rsidR="00A01843" w:rsidRPr="001C5136" w:rsidRDefault="00A01843" w:rsidP="00F00548">
            <w:pPr>
              <w:jc w:val="center"/>
              <w:rPr>
                <w:rFonts w:ascii="Arial" w:hAnsi="Arial" w:cs="Arial"/>
                <w:b/>
                <w:bCs/>
                <w:sz w:val="18"/>
                <w:szCs w:val="18"/>
              </w:rPr>
            </w:pPr>
            <w:r w:rsidRPr="001C5136">
              <w:rPr>
                <w:rFonts w:ascii="Arial" w:hAnsi="Arial" w:cs="Arial"/>
                <w:b/>
                <w:bCs/>
                <w:sz w:val="18"/>
                <w:szCs w:val="18"/>
              </w:rPr>
              <w:t>Replication based on ICILS 2018</w:t>
            </w:r>
          </w:p>
        </w:tc>
        <w:tc>
          <w:tcPr>
            <w:tcW w:w="1417" w:type="dxa"/>
          </w:tcPr>
          <w:p w14:paraId="21F1A398" w14:textId="77777777" w:rsidR="00A01843" w:rsidRPr="001C5136" w:rsidRDefault="00A01843" w:rsidP="00F00548">
            <w:pPr>
              <w:jc w:val="center"/>
              <w:rPr>
                <w:rFonts w:ascii="Arial" w:hAnsi="Arial" w:cs="Arial"/>
                <w:b/>
                <w:bCs/>
                <w:sz w:val="18"/>
                <w:szCs w:val="18"/>
              </w:rPr>
            </w:pPr>
            <w:r w:rsidRPr="001C5136">
              <w:rPr>
                <w:rFonts w:ascii="Arial" w:hAnsi="Arial" w:cs="Arial"/>
                <w:b/>
                <w:bCs/>
                <w:sz w:val="18"/>
                <w:szCs w:val="18"/>
              </w:rPr>
              <w:t>Variable</w:t>
            </w:r>
          </w:p>
        </w:tc>
      </w:tr>
      <w:tr w:rsidR="00A01843" w:rsidRPr="001C5136" w14:paraId="5159F315" w14:textId="77777777" w:rsidTr="00F00548">
        <w:tc>
          <w:tcPr>
            <w:tcW w:w="7792" w:type="dxa"/>
            <w:gridSpan w:val="2"/>
          </w:tcPr>
          <w:p w14:paraId="650B81C4" w14:textId="77777777" w:rsidR="00A01843" w:rsidRPr="001C5136" w:rsidRDefault="00A01843" w:rsidP="00F00548">
            <w:pPr>
              <w:rPr>
                <w:rFonts w:ascii="Arial" w:hAnsi="Arial" w:cs="Arial"/>
                <w:b/>
                <w:bCs/>
                <w:i/>
                <w:iCs/>
                <w:sz w:val="18"/>
                <w:szCs w:val="18"/>
              </w:rPr>
            </w:pPr>
            <w:r w:rsidRPr="001C5136">
              <w:rPr>
                <w:rFonts w:ascii="Arial" w:hAnsi="Arial" w:cs="Arial"/>
                <w:b/>
                <w:bCs/>
                <w:i/>
                <w:iCs/>
                <w:sz w:val="18"/>
                <w:szCs w:val="18"/>
              </w:rPr>
              <w:t>Dependent variable</w:t>
            </w:r>
          </w:p>
        </w:tc>
        <w:tc>
          <w:tcPr>
            <w:tcW w:w="1417" w:type="dxa"/>
          </w:tcPr>
          <w:p w14:paraId="057E178B" w14:textId="77777777" w:rsidR="00A01843" w:rsidRPr="001C5136" w:rsidRDefault="00A01843" w:rsidP="00F00548">
            <w:pPr>
              <w:rPr>
                <w:rFonts w:ascii="Arial" w:hAnsi="Arial" w:cs="Arial"/>
                <w:b/>
                <w:bCs/>
                <w:i/>
                <w:iCs/>
                <w:sz w:val="18"/>
                <w:szCs w:val="18"/>
              </w:rPr>
            </w:pPr>
          </w:p>
        </w:tc>
      </w:tr>
      <w:tr w:rsidR="00A01843" w:rsidRPr="001C5136" w14:paraId="79BDC251" w14:textId="77777777" w:rsidTr="00F00548">
        <w:tc>
          <w:tcPr>
            <w:tcW w:w="2547" w:type="dxa"/>
          </w:tcPr>
          <w:p w14:paraId="02CF4054"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National-level ICT literacy test scores (see Kim et al, 2014, p.31).</w:t>
            </w:r>
          </w:p>
        </w:tc>
        <w:tc>
          <w:tcPr>
            <w:tcW w:w="5245" w:type="dxa"/>
          </w:tcPr>
          <w:p w14:paraId="63E385DE"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ICT literacy test scores, 5 plausible values (PV1CIL-PV5CIL). Computer and information literacy refers to “an individual’s ability to use computers to investigate, create and communicate in order to participate effectively at home, at school, in the workplace, and in the community” (</w:t>
            </w:r>
            <w:proofErr w:type="spellStart"/>
            <w:r w:rsidRPr="001C5136">
              <w:rPr>
                <w:rFonts w:ascii="Arial" w:hAnsi="Arial" w:cs="Arial"/>
                <w:sz w:val="18"/>
                <w:szCs w:val="18"/>
              </w:rPr>
              <w:t>Fraillon</w:t>
            </w:r>
            <w:proofErr w:type="spellEnd"/>
            <w:r w:rsidRPr="001C5136">
              <w:rPr>
                <w:rFonts w:ascii="Arial" w:hAnsi="Arial" w:cs="Arial"/>
                <w:sz w:val="18"/>
                <w:szCs w:val="18"/>
              </w:rPr>
              <w:t xml:space="preserve"> et al., 2020a, p. xvii).</w:t>
            </w:r>
          </w:p>
        </w:tc>
        <w:tc>
          <w:tcPr>
            <w:tcW w:w="1417" w:type="dxa"/>
          </w:tcPr>
          <w:p w14:paraId="2A938E10"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PV1CIL-PV5CIL</w:t>
            </w:r>
          </w:p>
        </w:tc>
      </w:tr>
      <w:tr w:rsidR="00A01843" w:rsidRPr="001C5136" w14:paraId="1F890BA0" w14:textId="77777777" w:rsidTr="00F00548">
        <w:tc>
          <w:tcPr>
            <w:tcW w:w="7792" w:type="dxa"/>
            <w:gridSpan w:val="2"/>
          </w:tcPr>
          <w:p w14:paraId="7FD49AB4" w14:textId="77777777" w:rsidR="00A01843" w:rsidRPr="001C5136" w:rsidRDefault="00A01843" w:rsidP="00F00548">
            <w:pPr>
              <w:rPr>
                <w:rFonts w:ascii="Arial" w:hAnsi="Arial" w:cs="Arial"/>
                <w:b/>
                <w:bCs/>
                <w:i/>
                <w:iCs/>
                <w:sz w:val="18"/>
                <w:szCs w:val="18"/>
              </w:rPr>
            </w:pPr>
            <w:r w:rsidRPr="001C5136">
              <w:rPr>
                <w:rFonts w:ascii="Arial" w:hAnsi="Arial" w:cs="Arial"/>
                <w:b/>
                <w:bCs/>
                <w:i/>
                <w:iCs/>
                <w:sz w:val="18"/>
                <w:szCs w:val="18"/>
              </w:rPr>
              <w:t>Independent variables for the individual level</w:t>
            </w:r>
          </w:p>
        </w:tc>
        <w:tc>
          <w:tcPr>
            <w:tcW w:w="1417" w:type="dxa"/>
          </w:tcPr>
          <w:p w14:paraId="1A3FE035" w14:textId="77777777" w:rsidR="00A01843" w:rsidRPr="001C5136" w:rsidRDefault="00A01843" w:rsidP="00F00548">
            <w:pPr>
              <w:rPr>
                <w:rFonts w:ascii="Arial" w:hAnsi="Arial" w:cs="Arial"/>
                <w:b/>
                <w:bCs/>
                <w:i/>
                <w:iCs/>
                <w:sz w:val="18"/>
                <w:szCs w:val="18"/>
              </w:rPr>
            </w:pPr>
          </w:p>
        </w:tc>
      </w:tr>
      <w:tr w:rsidR="00A01843" w:rsidRPr="001C5136" w14:paraId="5EC5CE50" w14:textId="77777777" w:rsidTr="00F00548">
        <w:tc>
          <w:tcPr>
            <w:tcW w:w="2547" w:type="dxa"/>
          </w:tcPr>
          <w:p w14:paraId="678FBFB5"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Gender (0=female, 1=male)</w:t>
            </w:r>
          </w:p>
        </w:tc>
        <w:tc>
          <w:tcPr>
            <w:tcW w:w="5245" w:type="dxa"/>
          </w:tcPr>
          <w:p w14:paraId="10BA60A4"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Sex (0=boy, 1=girl)</w:t>
            </w:r>
            <w:r w:rsidRPr="001C5136">
              <w:rPr>
                <w:rStyle w:val="EndnoteReference"/>
                <w:rFonts w:ascii="Arial" w:hAnsi="Arial" w:cs="Arial"/>
                <w:sz w:val="18"/>
                <w:szCs w:val="18"/>
              </w:rPr>
              <w:endnoteReference w:id="9"/>
            </w:r>
            <w:r w:rsidRPr="001C5136">
              <w:rPr>
                <w:rStyle w:val="EndnoteReference"/>
                <w:rFonts w:ascii="Arial" w:hAnsi="Arial" w:cs="Arial"/>
                <w:sz w:val="18"/>
                <w:szCs w:val="18"/>
              </w:rPr>
              <w:endnoteReference w:id="10"/>
            </w:r>
          </w:p>
        </w:tc>
        <w:tc>
          <w:tcPr>
            <w:tcW w:w="1417" w:type="dxa"/>
          </w:tcPr>
          <w:p w14:paraId="591A3DE8"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S_SEX</w:t>
            </w:r>
          </w:p>
        </w:tc>
      </w:tr>
      <w:tr w:rsidR="00A01843" w:rsidRPr="001C5136" w14:paraId="6A9A1B6D" w14:textId="77777777" w:rsidTr="00F00548">
        <w:trPr>
          <w:trHeight w:val="892"/>
        </w:trPr>
        <w:tc>
          <w:tcPr>
            <w:tcW w:w="2547" w:type="dxa"/>
            <w:vMerge w:val="restart"/>
          </w:tcPr>
          <w:p w14:paraId="6588B584"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Completion of computer course (Incomplete, complete)</w:t>
            </w:r>
          </w:p>
        </w:tc>
        <w:tc>
          <w:tcPr>
            <w:tcW w:w="5245" w:type="dxa"/>
          </w:tcPr>
          <w:p w14:paraId="48A87CB8"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 xml:space="preserve">Variable in ICILS 2018: Do you study [computing, computer science, information technology, informatics or similar] in the current school year? </w:t>
            </w:r>
            <w:r w:rsidRPr="001C5136">
              <w:rPr>
                <w:rFonts w:ascii="Arial" w:hAnsi="Arial" w:cs="Arial"/>
                <w:sz w:val="18"/>
                <w:szCs w:val="18"/>
              </w:rPr>
              <w:br/>
              <w:t>Units in ICILS 2018: Yes (1), No (2).</w:t>
            </w:r>
          </w:p>
        </w:tc>
        <w:tc>
          <w:tcPr>
            <w:tcW w:w="1417" w:type="dxa"/>
          </w:tcPr>
          <w:p w14:paraId="02C56AAD"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IS2G30</w:t>
            </w:r>
          </w:p>
        </w:tc>
      </w:tr>
      <w:tr w:rsidR="00A01843" w:rsidRPr="001C5136" w14:paraId="447D5005" w14:textId="77777777" w:rsidTr="00F00548">
        <w:trPr>
          <w:trHeight w:val="892"/>
        </w:trPr>
        <w:tc>
          <w:tcPr>
            <w:tcW w:w="2547" w:type="dxa"/>
            <w:vMerge/>
          </w:tcPr>
          <w:p w14:paraId="351B27BA" w14:textId="77777777" w:rsidR="00A01843" w:rsidRPr="001C5136" w:rsidRDefault="00A01843" w:rsidP="00F00548">
            <w:pPr>
              <w:spacing w:line="240" w:lineRule="auto"/>
              <w:rPr>
                <w:rFonts w:ascii="Arial" w:hAnsi="Arial" w:cs="Arial"/>
                <w:sz w:val="18"/>
                <w:szCs w:val="18"/>
              </w:rPr>
            </w:pPr>
          </w:p>
        </w:tc>
        <w:tc>
          <w:tcPr>
            <w:tcW w:w="5245" w:type="dxa"/>
          </w:tcPr>
          <w:p w14:paraId="6DCFD01A"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 xml:space="preserve">A variable is created by taking the mean of questions IS2G23A-I. These variables in ICILS 2018 ask: ‘At school, how often do you use ICT during lessons in the following subjects or subject areas?’ (IS2G23A-I). </w:t>
            </w:r>
            <w:r w:rsidRPr="001C5136">
              <w:rPr>
                <w:rFonts w:ascii="Arial" w:hAnsi="Arial" w:cs="Arial"/>
                <w:sz w:val="18"/>
                <w:szCs w:val="18"/>
              </w:rPr>
              <w:br/>
              <w:t>Units: I don’t study this subject/these subjects (1), Never (2), In some lessons (3), In most lessons (4), In every or almost every lesson (5). So, the range of this variable is [1,5].</w:t>
            </w:r>
          </w:p>
        </w:tc>
        <w:tc>
          <w:tcPr>
            <w:tcW w:w="1417" w:type="dxa"/>
          </w:tcPr>
          <w:p w14:paraId="586F64DD"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ICT_INTS</w:t>
            </w:r>
          </w:p>
        </w:tc>
      </w:tr>
      <w:tr w:rsidR="00A01843" w:rsidRPr="001C5136" w14:paraId="36C35F46" w14:textId="77777777" w:rsidTr="00F00548">
        <w:tc>
          <w:tcPr>
            <w:tcW w:w="2547" w:type="dxa"/>
          </w:tcPr>
          <w:p w14:paraId="1673B293"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Students’ computer usage time for study. Unit not indicated, probably minutes. Log-transformed (unknown why).</w:t>
            </w:r>
          </w:p>
        </w:tc>
        <w:tc>
          <w:tcPr>
            <w:tcW w:w="5245" w:type="dxa"/>
          </w:tcPr>
          <w:p w14:paraId="6F967450"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 xml:space="preserve">Variable in ICILS 2018: Use of ICT for study purposes (Student’s questionnaire, S_USESTD), pre-defined interval-scaled index. </w:t>
            </w:r>
          </w:p>
          <w:p w14:paraId="79F902C4" w14:textId="77777777" w:rsidR="00A01843" w:rsidRPr="001C5136" w:rsidRDefault="00A01843" w:rsidP="00A01843">
            <w:pPr>
              <w:pStyle w:val="ListParagraph"/>
              <w:numPr>
                <w:ilvl w:val="0"/>
                <w:numId w:val="39"/>
              </w:numPr>
              <w:rPr>
                <w:rFonts w:ascii="Arial" w:hAnsi="Arial" w:cs="Arial"/>
                <w:sz w:val="18"/>
                <w:szCs w:val="18"/>
              </w:rPr>
            </w:pPr>
            <w:r w:rsidRPr="001C5136">
              <w:rPr>
                <w:rFonts w:ascii="Arial" w:hAnsi="Arial" w:cs="Arial"/>
                <w:sz w:val="18"/>
                <w:szCs w:val="18"/>
              </w:rPr>
              <w:t>Units in ICILS 2018: Higher values indicating more frequent use.</w:t>
            </w:r>
          </w:p>
          <w:p w14:paraId="60EC1402" w14:textId="77777777" w:rsidR="00A01843" w:rsidRPr="001C5136" w:rsidRDefault="00A01843" w:rsidP="00A01843">
            <w:pPr>
              <w:pStyle w:val="ListParagraph"/>
              <w:numPr>
                <w:ilvl w:val="0"/>
                <w:numId w:val="39"/>
              </w:numPr>
              <w:rPr>
                <w:rFonts w:ascii="Arial" w:hAnsi="Arial" w:cs="Arial"/>
                <w:sz w:val="18"/>
                <w:szCs w:val="18"/>
              </w:rPr>
            </w:pPr>
            <w:r w:rsidRPr="001C5136">
              <w:rPr>
                <w:rFonts w:ascii="Arial" w:hAnsi="Arial" w:cs="Arial"/>
                <w:sz w:val="18"/>
                <w:szCs w:val="18"/>
              </w:rPr>
              <w:t>Difference from original study: Even though the original study entails probably usage time in minutes (not indicated, but perhaps due to log transformation), the proposed index measures something similar.</w:t>
            </w:r>
          </w:p>
        </w:tc>
        <w:tc>
          <w:tcPr>
            <w:tcW w:w="1417" w:type="dxa"/>
          </w:tcPr>
          <w:p w14:paraId="5BC885D7"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S_USESTD</w:t>
            </w:r>
          </w:p>
        </w:tc>
      </w:tr>
      <w:tr w:rsidR="00A01843" w:rsidRPr="001C5136" w14:paraId="65F8D5DA" w14:textId="77777777" w:rsidTr="00F00548">
        <w:trPr>
          <w:trHeight w:val="1878"/>
        </w:trPr>
        <w:tc>
          <w:tcPr>
            <w:tcW w:w="2547" w:type="dxa"/>
            <w:vMerge w:val="restart"/>
          </w:tcPr>
          <w:p w14:paraId="002AD5ED"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lastRenderedPageBreak/>
              <w:t>Satisfaction level of students in classes using ICT. Average value of four 7-point Likert items (interests, fun, understanding of class contents and satisfaction of learning effect) for classes in which the computer was used by teachers.</w:t>
            </w:r>
          </w:p>
        </w:tc>
        <w:tc>
          <w:tcPr>
            <w:tcW w:w="5245" w:type="dxa"/>
          </w:tcPr>
          <w:p w14:paraId="065DA23E"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 xml:space="preserve">This variable is not adequately reflected in the ICILS study. However, the aspect of understanding class content in combination with satisfaction of learning effect is reflected in the ICILS study in the index concerning learning of ICT tasks at school. In addition, the aspect of the original study concerning the interest of students in ICT use in classes is taken to be reflected in the ICILS study in the index concerning expectations of future ICT use for work and study. </w:t>
            </w:r>
          </w:p>
          <w:p w14:paraId="5125E064" w14:textId="77777777" w:rsidR="00A01843" w:rsidRPr="001C5136" w:rsidRDefault="00A01843" w:rsidP="00A01843">
            <w:pPr>
              <w:pStyle w:val="ListParagraph"/>
              <w:numPr>
                <w:ilvl w:val="0"/>
                <w:numId w:val="47"/>
              </w:numPr>
              <w:spacing w:after="26"/>
              <w:ind w:right="121"/>
              <w:rPr>
                <w:rFonts w:ascii="Arial" w:hAnsi="Arial" w:cs="Arial"/>
                <w:sz w:val="18"/>
                <w:szCs w:val="18"/>
              </w:rPr>
            </w:pPr>
            <w:r w:rsidRPr="001C5136">
              <w:rPr>
                <w:rFonts w:ascii="Arial" w:hAnsi="Arial" w:cs="Arial"/>
                <w:sz w:val="18"/>
                <w:szCs w:val="18"/>
              </w:rPr>
              <w:t>Variable in ICILS 2018: Learning of ICT tasks at school scale.</w:t>
            </w:r>
          </w:p>
        </w:tc>
        <w:tc>
          <w:tcPr>
            <w:tcW w:w="1417" w:type="dxa"/>
          </w:tcPr>
          <w:p w14:paraId="351E498F"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S_ICTLRN</w:t>
            </w:r>
          </w:p>
        </w:tc>
      </w:tr>
      <w:tr w:rsidR="00A01843" w:rsidRPr="001C5136" w14:paraId="0B1E9157" w14:textId="77777777" w:rsidTr="00F00548">
        <w:trPr>
          <w:trHeight w:val="416"/>
        </w:trPr>
        <w:tc>
          <w:tcPr>
            <w:tcW w:w="2547" w:type="dxa"/>
            <w:vMerge/>
          </w:tcPr>
          <w:p w14:paraId="16310369" w14:textId="77777777" w:rsidR="00A01843" w:rsidRPr="001C5136" w:rsidRDefault="00A01843" w:rsidP="00F00548">
            <w:pPr>
              <w:spacing w:line="240" w:lineRule="auto"/>
              <w:rPr>
                <w:rFonts w:ascii="Arial" w:hAnsi="Arial" w:cs="Arial"/>
                <w:sz w:val="18"/>
                <w:szCs w:val="18"/>
              </w:rPr>
            </w:pPr>
          </w:p>
        </w:tc>
        <w:tc>
          <w:tcPr>
            <w:tcW w:w="5245" w:type="dxa"/>
          </w:tcPr>
          <w:p w14:paraId="715C863E" w14:textId="77777777" w:rsidR="00A01843" w:rsidRPr="001C5136" w:rsidRDefault="00A01843" w:rsidP="00A01843">
            <w:pPr>
              <w:pStyle w:val="ListParagraph"/>
              <w:numPr>
                <w:ilvl w:val="0"/>
                <w:numId w:val="47"/>
              </w:numPr>
              <w:rPr>
                <w:rFonts w:ascii="Arial" w:hAnsi="Arial" w:cs="Arial"/>
                <w:sz w:val="18"/>
                <w:szCs w:val="18"/>
              </w:rPr>
            </w:pPr>
            <w:r w:rsidRPr="001C5136">
              <w:rPr>
                <w:rFonts w:ascii="Arial" w:hAnsi="Arial" w:cs="Arial"/>
                <w:sz w:val="18"/>
                <w:szCs w:val="18"/>
              </w:rPr>
              <w:t>Variable in ICILS 2018: Expectations of future ICT use for work and study scale.</w:t>
            </w:r>
          </w:p>
        </w:tc>
        <w:tc>
          <w:tcPr>
            <w:tcW w:w="1417" w:type="dxa"/>
          </w:tcPr>
          <w:p w14:paraId="0596F416"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S_ICTFUT</w:t>
            </w:r>
          </w:p>
        </w:tc>
      </w:tr>
      <w:tr w:rsidR="00A01843" w:rsidRPr="001C5136" w14:paraId="4BAA2BBD" w14:textId="77777777" w:rsidTr="00F00548">
        <w:trPr>
          <w:trHeight w:val="416"/>
        </w:trPr>
        <w:tc>
          <w:tcPr>
            <w:tcW w:w="2547" w:type="dxa"/>
            <w:vMerge w:val="restart"/>
          </w:tcPr>
          <w:p w14:paraId="2EBA6390"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Student’s computer usage time for purposes other than study. Unit not indicated, probably minutes. Log-transformed. (unknown why).</w:t>
            </w:r>
          </w:p>
        </w:tc>
        <w:tc>
          <w:tcPr>
            <w:tcW w:w="5245" w:type="dxa"/>
          </w:tcPr>
          <w:p w14:paraId="3F8A648D"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 xml:space="preserve">These variables were not directly included in the original study, but the scale adds to the construct of ‘student’s computer usage time for purposes other than study’. </w:t>
            </w:r>
          </w:p>
          <w:p w14:paraId="3B405BE0" w14:textId="77777777" w:rsidR="00A01843" w:rsidRPr="001C5136" w:rsidRDefault="00A01843" w:rsidP="00A01843">
            <w:pPr>
              <w:pStyle w:val="ListParagraph"/>
              <w:numPr>
                <w:ilvl w:val="0"/>
                <w:numId w:val="46"/>
              </w:numPr>
              <w:rPr>
                <w:rFonts w:ascii="Arial" w:hAnsi="Arial" w:cs="Arial"/>
                <w:sz w:val="18"/>
                <w:szCs w:val="18"/>
              </w:rPr>
            </w:pPr>
            <w:r w:rsidRPr="001C5136">
              <w:rPr>
                <w:rFonts w:ascii="Arial" w:hAnsi="Arial" w:cs="Arial"/>
                <w:sz w:val="18"/>
                <w:szCs w:val="18"/>
              </w:rPr>
              <w:t>Variable in ICILS 2018: Use of ICT for social communication. This index is based on the variables IS2G20A-</w:t>
            </w:r>
            <w:proofErr w:type="gramStart"/>
            <w:r w:rsidRPr="001C5136">
              <w:rPr>
                <w:rFonts w:ascii="Arial" w:hAnsi="Arial" w:cs="Arial"/>
                <w:sz w:val="18"/>
                <w:szCs w:val="18"/>
              </w:rPr>
              <w:t>J,</w:t>
            </w:r>
            <w:proofErr w:type="gramEnd"/>
            <w:r w:rsidRPr="001C5136">
              <w:rPr>
                <w:rFonts w:ascii="Arial" w:hAnsi="Arial" w:cs="Arial"/>
                <w:sz w:val="18"/>
                <w:szCs w:val="18"/>
              </w:rPr>
              <w:t xml:space="preserve"> however they only include social communication activities.</w:t>
            </w:r>
          </w:p>
        </w:tc>
        <w:tc>
          <w:tcPr>
            <w:tcW w:w="1417" w:type="dxa"/>
          </w:tcPr>
          <w:p w14:paraId="2F11745F"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S_USECOM</w:t>
            </w:r>
          </w:p>
        </w:tc>
      </w:tr>
      <w:tr w:rsidR="00A01843" w:rsidRPr="001C5136" w14:paraId="3F841B38" w14:textId="77777777" w:rsidTr="00F00548">
        <w:trPr>
          <w:trHeight w:val="798"/>
        </w:trPr>
        <w:tc>
          <w:tcPr>
            <w:tcW w:w="2547" w:type="dxa"/>
            <w:vMerge/>
          </w:tcPr>
          <w:p w14:paraId="5A5CD996" w14:textId="77777777" w:rsidR="00A01843" w:rsidRPr="001C5136" w:rsidRDefault="00A01843" w:rsidP="00F00548">
            <w:pPr>
              <w:spacing w:line="240" w:lineRule="auto"/>
              <w:rPr>
                <w:rFonts w:ascii="Arial" w:hAnsi="Arial" w:cs="Arial"/>
                <w:sz w:val="18"/>
                <w:szCs w:val="18"/>
              </w:rPr>
            </w:pPr>
          </w:p>
        </w:tc>
        <w:tc>
          <w:tcPr>
            <w:tcW w:w="5245" w:type="dxa"/>
          </w:tcPr>
          <w:p w14:paraId="371426DC" w14:textId="77777777" w:rsidR="00A01843" w:rsidRPr="001C5136" w:rsidRDefault="00A01843" w:rsidP="00A01843">
            <w:pPr>
              <w:pStyle w:val="ListParagraph"/>
              <w:numPr>
                <w:ilvl w:val="0"/>
                <w:numId w:val="46"/>
              </w:numPr>
              <w:rPr>
                <w:rFonts w:ascii="Arial" w:hAnsi="Arial" w:cs="Arial"/>
                <w:sz w:val="18"/>
                <w:szCs w:val="18"/>
              </w:rPr>
            </w:pPr>
            <w:r w:rsidRPr="001C5136">
              <w:rPr>
                <w:rFonts w:ascii="Arial" w:hAnsi="Arial" w:cs="Arial"/>
                <w:sz w:val="18"/>
                <w:szCs w:val="18"/>
              </w:rPr>
              <w:t>Variable in ICILS 2018: Use of ICT for social communication. This index is based on the variables IS2G20A-</w:t>
            </w:r>
            <w:proofErr w:type="gramStart"/>
            <w:r w:rsidRPr="001C5136">
              <w:rPr>
                <w:rFonts w:ascii="Arial" w:hAnsi="Arial" w:cs="Arial"/>
                <w:sz w:val="18"/>
                <w:szCs w:val="18"/>
              </w:rPr>
              <w:t>J,</w:t>
            </w:r>
            <w:proofErr w:type="gramEnd"/>
            <w:r w:rsidRPr="001C5136">
              <w:rPr>
                <w:rFonts w:ascii="Arial" w:hAnsi="Arial" w:cs="Arial"/>
                <w:sz w:val="18"/>
                <w:szCs w:val="18"/>
              </w:rPr>
              <w:t xml:space="preserve"> however they only include ICT use for exchanging information.</w:t>
            </w:r>
          </w:p>
        </w:tc>
        <w:tc>
          <w:tcPr>
            <w:tcW w:w="1417" w:type="dxa"/>
          </w:tcPr>
          <w:p w14:paraId="1B2397D2"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S_USEINF</w:t>
            </w:r>
          </w:p>
        </w:tc>
      </w:tr>
      <w:tr w:rsidR="00A01843" w:rsidRPr="001C5136" w14:paraId="45DC5C73" w14:textId="77777777" w:rsidTr="00F00548">
        <w:trPr>
          <w:trHeight w:val="798"/>
        </w:trPr>
        <w:tc>
          <w:tcPr>
            <w:tcW w:w="2547" w:type="dxa"/>
            <w:vMerge/>
          </w:tcPr>
          <w:p w14:paraId="4A151B92" w14:textId="77777777" w:rsidR="00A01843" w:rsidRPr="001C5136" w:rsidRDefault="00A01843" w:rsidP="00F00548">
            <w:pPr>
              <w:spacing w:line="240" w:lineRule="auto"/>
              <w:rPr>
                <w:rFonts w:ascii="Arial" w:hAnsi="Arial" w:cs="Arial"/>
                <w:sz w:val="18"/>
                <w:szCs w:val="18"/>
              </w:rPr>
            </w:pPr>
          </w:p>
        </w:tc>
        <w:tc>
          <w:tcPr>
            <w:tcW w:w="5245" w:type="dxa"/>
          </w:tcPr>
          <w:p w14:paraId="26CF7CEB" w14:textId="77777777" w:rsidR="00A01843" w:rsidRPr="001C5136" w:rsidRDefault="00A01843" w:rsidP="00A01843">
            <w:pPr>
              <w:pStyle w:val="ListParagraph"/>
              <w:numPr>
                <w:ilvl w:val="0"/>
                <w:numId w:val="46"/>
              </w:numPr>
              <w:rPr>
                <w:rFonts w:ascii="Arial" w:hAnsi="Arial" w:cs="Arial"/>
                <w:sz w:val="18"/>
                <w:szCs w:val="18"/>
              </w:rPr>
            </w:pPr>
            <w:r w:rsidRPr="001C5136">
              <w:rPr>
                <w:rFonts w:ascii="Arial" w:hAnsi="Arial" w:cs="Arial"/>
                <w:sz w:val="18"/>
                <w:szCs w:val="18"/>
              </w:rPr>
              <w:t>Variable in ICILS 2018: How often do you use ICT for the following leisure activities?  (IS2G21A-H). The question comprise 8 items, such as “read news stories on the internet” or “play games”, and the students need to self-assess their usage frequency on the scale:</w:t>
            </w:r>
            <w:r w:rsidRPr="001C5136">
              <w:t xml:space="preserve"> </w:t>
            </w:r>
            <w:r w:rsidRPr="001C5136">
              <w:rPr>
                <w:rFonts w:ascii="Arial" w:hAnsi="Arial" w:cs="Arial"/>
                <w:sz w:val="18"/>
                <w:szCs w:val="18"/>
              </w:rPr>
              <w:t>Never (1), Less than once a month (2), At least once a month but not every week (3), At least once a week but not every day (4), Every day (5).</w:t>
            </w:r>
          </w:p>
        </w:tc>
        <w:tc>
          <w:tcPr>
            <w:tcW w:w="1417" w:type="dxa"/>
          </w:tcPr>
          <w:p w14:paraId="00F804CA"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ICT_INTO</w:t>
            </w:r>
          </w:p>
        </w:tc>
      </w:tr>
      <w:tr w:rsidR="00A01843" w:rsidRPr="001C5136" w14:paraId="214A6BB5" w14:textId="77777777" w:rsidTr="00F00548">
        <w:tc>
          <w:tcPr>
            <w:tcW w:w="7792" w:type="dxa"/>
            <w:gridSpan w:val="2"/>
          </w:tcPr>
          <w:p w14:paraId="31D381EB" w14:textId="77777777" w:rsidR="00A01843" w:rsidRPr="001C5136" w:rsidRDefault="00A01843" w:rsidP="00F00548">
            <w:pPr>
              <w:rPr>
                <w:rFonts w:ascii="Arial" w:hAnsi="Arial" w:cs="Arial"/>
                <w:b/>
                <w:bCs/>
                <w:i/>
                <w:iCs/>
                <w:sz w:val="18"/>
                <w:szCs w:val="18"/>
              </w:rPr>
            </w:pPr>
            <w:r w:rsidRPr="001C5136">
              <w:rPr>
                <w:rFonts w:ascii="Arial" w:hAnsi="Arial" w:cs="Arial"/>
                <w:b/>
                <w:bCs/>
                <w:i/>
                <w:iCs/>
                <w:sz w:val="18"/>
                <w:szCs w:val="18"/>
              </w:rPr>
              <w:t>Independent variables for the school level</w:t>
            </w:r>
          </w:p>
        </w:tc>
        <w:tc>
          <w:tcPr>
            <w:tcW w:w="1417" w:type="dxa"/>
          </w:tcPr>
          <w:p w14:paraId="1A2BE705" w14:textId="77777777" w:rsidR="00A01843" w:rsidRPr="001C5136" w:rsidRDefault="00A01843" w:rsidP="00F00548">
            <w:pPr>
              <w:rPr>
                <w:rFonts w:ascii="Arial" w:hAnsi="Arial" w:cs="Arial"/>
                <w:b/>
                <w:bCs/>
                <w:i/>
                <w:iCs/>
                <w:sz w:val="18"/>
                <w:szCs w:val="18"/>
              </w:rPr>
            </w:pPr>
          </w:p>
        </w:tc>
      </w:tr>
      <w:tr w:rsidR="00A01843" w:rsidRPr="001C5136" w14:paraId="292C8938" w14:textId="77777777" w:rsidTr="00F00548">
        <w:trPr>
          <w:trHeight w:val="1488"/>
        </w:trPr>
        <w:tc>
          <w:tcPr>
            <w:tcW w:w="2547" w:type="dxa"/>
          </w:tcPr>
          <w:p w14:paraId="3F12BDC5" w14:textId="77777777" w:rsidR="00A01843" w:rsidRPr="001C5136" w:rsidRDefault="00A01843" w:rsidP="00F00548">
            <w:pPr>
              <w:pStyle w:val="Heading4"/>
              <w:spacing w:before="0" w:line="240" w:lineRule="auto"/>
              <w:rPr>
                <w:rFonts w:ascii="Arial" w:hAnsi="Arial" w:cs="Arial"/>
                <w:sz w:val="18"/>
                <w:szCs w:val="18"/>
              </w:rPr>
            </w:pPr>
            <w:r w:rsidRPr="001C5136">
              <w:rPr>
                <w:rFonts w:ascii="Arial" w:hAnsi="Arial" w:cs="Arial"/>
                <w:sz w:val="18"/>
                <w:szCs w:val="18"/>
              </w:rPr>
              <w:t>School size. Small school with 12 or fewer classes. Medium-sized school with 13–35 classes. Large school with 36 or more classes.</w:t>
            </w:r>
          </w:p>
        </w:tc>
        <w:tc>
          <w:tcPr>
            <w:tcW w:w="5245" w:type="dxa"/>
          </w:tcPr>
          <w:p w14:paraId="4D06FF30"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 xml:space="preserve">Variable in ICILS 2018: Number of students in school – categorized. </w:t>
            </w:r>
          </w:p>
          <w:p w14:paraId="2078BF5D" w14:textId="77777777" w:rsidR="00A01843" w:rsidRPr="001C5136" w:rsidRDefault="00A01843" w:rsidP="00A01843">
            <w:pPr>
              <w:pStyle w:val="ListParagraph"/>
              <w:numPr>
                <w:ilvl w:val="0"/>
                <w:numId w:val="42"/>
              </w:numPr>
              <w:rPr>
                <w:rFonts w:ascii="Arial" w:hAnsi="Arial" w:cs="Arial"/>
                <w:sz w:val="18"/>
                <w:szCs w:val="18"/>
              </w:rPr>
            </w:pPr>
            <w:r w:rsidRPr="001C5136">
              <w:rPr>
                <w:rFonts w:ascii="Arial" w:hAnsi="Arial" w:cs="Arial"/>
                <w:sz w:val="18"/>
                <w:szCs w:val="18"/>
              </w:rPr>
              <w:t xml:space="preserve">Units:  1-300 (1), 301-600 (2), 601-900 (3), 901 and above (4). </w:t>
            </w:r>
          </w:p>
          <w:p w14:paraId="53520DFA" w14:textId="77777777" w:rsidR="00A01843" w:rsidRPr="001C5136" w:rsidRDefault="00A01843" w:rsidP="00A01843">
            <w:pPr>
              <w:pStyle w:val="ListParagraph"/>
              <w:numPr>
                <w:ilvl w:val="0"/>
                <w:numId w:val="42"/>
              </w:numPr>
              <w:rPr>
                <w:rFonts w:ascii="Arial" w:hAnsi="Arial" w:cs="Arial"/>
                <w:sz w:val="18"/>
                <w:szCs w:val="18"/>
              </w:rPr>
            </w:pPr>
            <w:r w:rsidRPr="001C5136">
              <w:rPr>
                <w:rFonts w:ascii="Arial" w:hAnsi="Arial" w:cs="Arial"/>
                <w:sz w:val="18"/>
                <w:szCs w:val="18"/>
              </w:rPr>
              <w:t xml:space="preserve">Difference from original study: The original study differentiates between small, </w:t>
            </w:r>
            <w:proofErr w:type="gramStart"/>
            <w:r w:rsidRPr="001C5136">
              <w:rPr>
                <w:rFonts w:ascii="Arial" w:hAnsi="Arial" w:cs="Arial"/>
                <w:sz w:val="18"/>
                <w:szCs w:val="18"/>
              </w:rPr>
              <w:t>medium</w:t>
            </w:r>
            <w:proofErr w:type="gramEnd"/>
            <w:r w:rsidRPr="001C5136">
              <w:rPr>
                <w:rFonts w:ascii="Arial" w:hAnsi="Arial" w:cs="Arial"/>
                <w:sz w:val="18"/>
                <w:szCs w:val="18"/>
              </w:rPr>
              <w:t xml:space="preserve"> and large schools based on the number of classes. This information is not available in the ICILS. However, the total number of students is seen as an adequate substitute, as it will be correlated with number of classes.</w:t>
            </w:r>
          </w:p>
        </w:tc>
        <w:tc>
          <w:tcPr>
            <w:tcW w:w="1417" w:type="dxa"/>
          </w:tcPr>
          <w:p w14:paraId="0DEF1CB2"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P_NUMSTD_CAT</w:t>
            </w:r>
          </w:p>
        </w:tc>
      </w:tr>
      <w:tr w:rsidR="00A01843" w:rsidRPr="001C5136" w14:paraId="0F67F0FC" w14:textId="77777777" w:rsidTr="00F00548">
        <w:tc>
          <w:tcPr>
            <w:tcW w:w="2547" w:type="dxa"/>
          </w:tcPr>
          <w:p w14:paraId="2C98F7CC"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Location. Islands, isolated and rural areas. Small and medium-sized cities. Major cities</w:t>
            </w:r>
          </w:p>
        </w:tc>
        <w:tc>
          <w:tcPr>
            <w:tcW w:w="5245" w:type="dxa"/>
          </w:tcPr>
          <w:p w14:paraId="03670768"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Variable in ICILS 2018: Which of the following best describes where your school is located?</w:t>
            </w:r>
          </w:p>
          <w:p w14:paraId="2293E066" w14:textId="77777777" w:rsidR="00A01843" w:rsidRPr="001C5136" w:rsidRDefault="00A01843" w:rsidP="00A01843">
            <w:pPr>
              <w:pStyle w:val="ListParagraph"/>
              <w:numPr>
                <w:ilvl w:val="0"/>
                <w:numId w:val="43"/>
              </w:numPr>
              <w:rPr>
                <w:rFonts w:ascii="Arial" w:hAnsi="Arial" w:cs="Arial"/>
                <w:sz w:val="18"/>
                <w:szCs w:val="18"/>
              </w:rPr>
            </w:pPr>
            <w:r w:rsidRPr="001C5136">
              <w:rPr>
                <w:rFonts w:ascii="Arial" w:hAnsi="Arial" w:cs="Arial"/>
                <w:sz w:val="18"/>
                <w:szCs w:val="18"/>
              </w:rPr>
              <w:t>Units: In a community with fewer than 3,000 people (1), In a town with at least 3,000 but less than 15,000 people (2), In a town with at least 15,000 but less than 100,000 people (3), In a city with at least 100,000 but less than 1,000,000 people (4), In a city with 1,000,000 or more people (5)</w:t>
            </w:r>
          </w:p>
        </w:tc>
        <w:tc>
          <w:tcPr>
            <w:tcW w:w="1417" w:type="dxa"/>
          </w:tcPr>
          <w:p w14:paraId="1E1464B3"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IP2G07</w:t>
            </w:r>
          </w:p>
        </w:tc>
      </w:tr>
      <w:tr w:rsidR="00A01843" w:rsidRPr="001C5136" w14:paraId="6A23FBB6" w14:textId="77777777" w:rsidTr="00F00548">
        <w:tc>
          <w:tcPr>
            <w:tcW w:w="2547" w:type="dxa"/>
          </w:tcPr>
          <w:p w14:paraId="2194B1BD"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 xml:space="preserve">Academic achievement level. Average percent of students with normal or excellent level for three subjects including Korean language, </w:t>
            </w:r>
            <w:proofErr w:type="gramStart"/>
            <w:r w:rsidRPr="001C5136">
              <w:rPr>
                <w:rFonts w:ascii="Arial" w:hAnsi="Arial" w:cs="Arial"/>
                <w:sz w:val="18"/>
                <w:szCs w:val="18"/>
              </w:rPr>
              <w:t>mathematics</w:t>
            </w:r>
            <w:proofErr w:type="gramEnd"/>
            <w:r w:rsidRPr="001C5136">
              <w:rPr>
                <w:rFonts w:ascii="Arial" w:hAnsi="Arial" w:cs="Arial"/>
                <w:sz w:val="18"/>
                <w:szCs w:val="18"/>
              </w:rPr>
              <w:t xml:space="preserve"> and English in the 2011 National Assessment of Educational Achievement</w:t>
            </w:r>
          </w:p>
        </w:tc>
        <w:tc>
          <w:tcPr>
            <w:tcW w:w="5245" w:type="dxa"/>
          </w:tcPr>
          <w:p w14:paraId="6073705B"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 xml:space="preserve">Difference from original study: This information is not included in the ICILS 2018.  </w:t>
            </w:r>
          </w:p>
        </w:tc>
        <w:tc>
          <w:tcPr>
            <w:tcW w:w="1417" w:type="dxa"/>
          </w:tcPr>
          <w:p w14:paraId="47AA44F3"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w:t>
            </w:r>
          </w:p>
        </w:tc>
      </w:tr>
      <w:tr w:rsidR="00A01843" w:rsidRPr="001C5136" w14:paraId="6228786F" w14:textId="77777777" w:rsidTr="00F00548">
        <w:tc>
          <w:tcPr>
            <w:tcW w:w="2547" w:type="dxa"/>
          </w:tcPr>
          <w:p w14:paraId="017C625E"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Number of personal computers per student</w:t>
            </w:r>
          </w:p>
        </w:tc>
        <w:tc>
          <w:tcPr>
            <w:tcW w:w="5245" w:type="dxa"/>
          </w:tcPr>
          <w:p w14:paraId="1BD65D2F"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Variable in ICILS 2018: Pre-defined ratio of school size and number of computers available for students.</w:t>
            </w:r>
          </w:p>
          <w:p w14:paraId="09C18DEC" w14:textId="77777777" w:rsidR="00A01843" w:rsidRPr="001C5136" w:rsidRDefault="00A01843" w:rsidP="00A01843">
            <w:pPr>
              <w:pStyle w:val="ListParagraph"/>
              <w:numPr>
                <w:ilvl w:val="0"/>
                <w:numId w:val="43"/>
              </w:numPr>
              <w:rPr>
                <w:rFonts w:ascii="Arial" w:hAnsi="Arial" w:cs="Arial"/>
                <w:sz w:val="18"/>
                <w:szCs w:val="18"/>
              </w:rPr>
            </w:pPr>
            <w:r w:rsidRPr="001C5136">
              <w:rPr>
                <w:rFonts w:ascii="Arial" w:hAnsi="Arial" w:cs="Arial"/>
                <w:sz w:val="18"/>
                <w:szCs w:val="18"/>
              </w:rPr>
              <w:t xml:space="preserve">Difference from original study: The original study includes the number of PCs per student (it is not known if this construct only includes desktop computers, or </w:t>
            </w:r>
            <w:r w:rsidRPr="001C5136">
              <w:rPr>
                <w:rFonts w:ascii="Arial" w:hAnsi="Arial" w:cs="Arial"/>
                <w:sz w:val="18"/>
                <w:szCs w:val="18"/>
              </w:rPr>
              <w:lastRenderedPageBreak/>
              <w:t xml:space="preserve">laptops/notebooks and tablet devices as well). This variable in the ICILS 2018 refers to all ICT devices available for students.  </w:t>
            </w:r>
          </w:p>
        </w:tc>
        <w:tc>
          <w:tcPr>
            <w:tcW w:w="1417" w:type="dxa"/>
          </w:tcPr>
          <w:p w14:paraId="616E5E67"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lastRenderedPageBreak/>
              <w:t>C_RATSTD</w:t>
            </w:r>
          </w:p>
        </w:tc>
      </w:tr>
      <w:tr w:rsidR="00A01843" w:rsidRPr="001C5136" w14:paraId="2BAB982F" w14:textId="77777777" w:rsidTr="00F00548">
        <w:tc>
          <w:tcPr>
            <w:tcW w:w="2547" w:type="dxa"/>
          </w:tcPr>
          <w:p w14:paraId="45A128C5"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Number of PCs per teacher</w:t>
            </w:r>
          </w:p>
        </w:tc>
        <w:tc>
          <w:tcPr>
            <w:tcW w:w="5245" w:type="dxa"/>
          </w:tcPr>
          <w:p w14:paraId="52A5DD5D"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Here we created the variable by using non-restricted data. C_RATTEA &lt;- ((II2G07AA1-II2G07AA2)+(II2G07AB1-II2G07AB2)+(II2G07AC1-II2G07AC2))/(12.5+ 25*(P_NUMTCH_CAT-1)) with the first six variables denoting the number of devices available for teachers (all devices minus those for students), divided by a categorical variable denoting the number of teachers. The categorical variable had the categories 1-25 (1), 26-50 (2), 51-75 (3), more than 75 (4), hence midpoints are estimates.</w:t>
            </w:r>
          </w:p>
        </w:tc>
        <w:tc>
          <w:tcPr>
            <w:tcW w:w="1417" w:type="dxa"/>
          </w:tcPr>
          <w:p w14:paraId="402A23C8"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C_RATTEA</w:t>
            </w:r>
          </w:p>
        </w:tc>
      </w:tr>
      <w:tr w:rsidR="00A01843" w:rsidRPr="001C5136" w14:paraId="36396C93" w14:textId="77777777" w:rsidTr="00F00548">
        <w:tc>
          <w:tcPr>
            <w:tcW w:w="2547" w:type="dxa"/>
          </w:tcPr>
          <w:p w14:paraId="70FA0575"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Teacher’s computer usage ratio for educational purposes. Mean of teachers’ computer usage ratio for educational purposes for each school</w:t>
            </w:r>
          </w:p>
        </w:tc>
        <w:tc>
          <w:tcPr>
            <w:tcW w:w="5245" w:type="dxa"/>
          </w:tcPr>
          <w:p w14:paraId="42B05729"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The ICILS 2018 teacher questionnaire variable ‘Use of ICT for teaching practices in class, with a pre-defined interval-scaled index describing usage of different ICTs by the teacher, was used. Measurement direction: Higher values indicating more frequent use. T_ICTPRAC is the aggregate value of all teachers in a particular school.</w:t>
            </w:r>
          </w:p>
        </w:tc>
        <w:tc>
          <w:tcPr>
            <w:tcW w:w="1417" w:type="dxa"/>
          </w:tcPr>
          <w:p w14:paraId="020C8AE7"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T_ICTPRAC</w:t>
            </w:r>
          </w:p>
        </w:tc>
      </w:tr>
      <w:tr w:rsidR="00A01843" w:rsidRPr="001C5136" w14:paraId="7D0D9502" w14:textId="77777777" w:rsidTr="00F00548">
        <w:tc>
          <w:tcPr>
            <w:tcW w:w="2547" w:type="dxa"/>
          </w:tcPr>
          <w:p w14:paraId="54072722"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Teacher’s satisfaction level of using computer resources. Mean of teachers’ average values of three items (class preparation and implementation, support for administration tasks of academic affairs and individual learning including training) aggregated for the school.</w:t>
            </w:r>
          </w:p>
        </w:tc>
        <w:tc>
          <w:tcPr>
            <w:tcW w:w="5245" w:type="dxa"/>
          </w:tcPr>
          <w:p w14:paraId="31752B21"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Variable in ICILS 2018: Teachers agreement (satisfaction) comprising a statement concerning computer resources and opportunities at school, pre-defined interval-scaled index. Measurement direction: Higher values indicating stronger agreement. T_RESRC is the aggregate value of all teachers in a particular school.</w:t>
            </w:r>
          </w:p>
        </w:tc>
        <w:tc>
          <w:tcPr>
            <w:tcW w:w="1417" w:type="dxa"/>
          </w:tcPr>
          <w:p w14:paraId="77045A6A"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T_RESRC</w:t>
            </w:r>
          </w:p>
        </w:tc>
      </w:tr>
      <w:tr w:rsidR="00A01843" w:rsidRPr="001C5136" w14:paraId="791BDDB9" w14:textId="77777777" w:rsidTr="00F00548">
        <w:tc>
          <w:tcPr>
            <w:tcW w:w="7792" w:type="dxa"/>
            <w:gridSpan w:val="2"/>
          </w:tcPr>
          <w:p w14:paraId="0D1A5B5A" w14:textId="77777777" w:rsidR="00A01843" w:rsidRPr="001C5136" w:rsidRDefault="00A01843" w:rsidP="00F00548">
            <w:pPr>
              <w:rPr>
                <w:rFonts w:ascii="Arial" w:hAnsi="Arial" w:cs="Arial"/>
                <w:b/>
                <w:bCs/>
                <w:i/>
                <w:iCs/>
                <w:sz w:val="18"/>
                <w:szCs w:val="18"/>
              </w:rPr>
            </w:pPr>
            <w:r w:rsidRPr="001C5136">
              <w:rPr>
                <w:rFonts w:ascii="Arial" w:hAnsi="Arial" w:cs="Arial"/>
                <w:b/>
                <w:bCs/>
                <w:i/>
                <w:iCs/>
                <w:sz w:val="18"/>
                <w:szCs w:val="18"/>
              </w:rPr>
              <w:t>Organisational variables</w:t>
            </w:r>
          </w:p>
        </w:tc>
        <w:tc>
          <w:tcPr>
            <w:tcW w:w="1417" w:type="dxa"/>
          </w:tcPr>
          <w:p w14:paraId="472F3548" w14:textId="77777777" w:rsidR="00A01843" w:rsidRPr="001C5136" w:rsidRDefault="00A01843" w:rsidP="00F00548">
            <w:pPr>
              <w:rPr>
                <w:rFonts w:ascii="Arial" w:hAnsi="Arial" w:cs="Arial"/>
                <w:b/>
                <w:bCs/>
                <w:i/>
                <w:iCs/>
                <w:sz w:val="18"/>
                <w:szCs w:val="18"/>
              </w:rPr>
            </w:pPr>
          </w:p>
        </w:tc>
      </w:tr>
      <w:tr w:rsidR="00A01843" w:rsidRPr="001C5136" w14:paraId="2BF1AAFB" w14:textId="77777777" w:rsidTr="00F00548">
        <w:tc>
          <w:tcPr>
            <w:tcW w:w="2547" w:type="dxa"/>
          </w:tcPr>
          <w:p w14:paraId="3D1608DB"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School ID</w:t>
            </w:r>
          </w:p>
        </w:tc>
        <w:tc>
          <w:tcPr>
            <w:tcW w:w="5245" w:type="dxa"/>
          </w:tcPr>
          <w:p w14:paraId="115E7CC6" w14:textId="77777777" w:rsidR="00A01843" w:rsidRPr="001C5136" w:rsidRDefault="00A01843" w:rsidP="00F00548">
            <w:pPr>
              <w:spacing w:line="240" w:lineRule="auto"/>
              <w:rPr>
                <w:rFonts w:ascii="Arial" w:hAnsi="Arial" w:cs="Arial"/>
                <w:sz w:val="18"/>
                <w:szCs w:val="18"/>
              </w:rPr>
            </w:pPr>
            <w:r w:rsidRPr="001C5136">
              <w:rPr>
                <w:rFonts w:ascii="Arial" w:hAnsi="Arial" w:cs="Arial"/>
                <w:sz w:val="18"/>
                <w:szCs w:val="18"/>
              </w:rPr>
              <w:t>Student ID, School ID</w:t>
            </w:r>
            <w:r w:rsidRPr="001C5136">
              <w:rPr>
                <w:rStyle w:val="EndnoteReference"/>
                <w:rFonts w:ascii="Arial" w:hAnsi="Arial" w:cs="Arial"/>
                <w:sz w:val="18"/>
                <w:szCs w:val="18"/>
              </w:rPr>
              <w:endnoteReference w:id="11"/>
            </w:r>
            <w:r w:rsidRPr="001C5136">
              <w:rPr>
                <w:rFonts w:ascii="Arial" w:hAnsi="Arial" w:cs="Arial"/>
                <w:sz w:val="18"/>
                <w:szCs w:val="18"/>
              </w:rPr>
              <w:t>, Country ID, weight variables.</w:t>
            </w:r>
          </w:p>
        </w:tc>
        <w:tc>
          <w:tcPr>
            <w:tcW w:w="1417" w:type="dxa"/>
          </w:tcPr>
          <w:p w14:paraId="70E568C8" w14:textId="77777777" w:rsidR="00A01843" w:rsidRPr="001C5136" w:rsidRDefault="00A01843" w:rsidP="00F00548">
            <w:pPr>
              <w:spacing w:line="240" w:lineRule="auto"/>
              <w:rPr>
                <w:rFonts w:ascii="Arial" w:hAnsi="Arial" w:cs="Arial"/>
                <w:sz w:val="18"/>
                <w:szCs w:val="18"/>
              </w:rPr>
            </w:pPr>
          </w:p>
        </w:tc>
      </w:tr>
    </w:tbl>
    <w:p w14:paraId="1C808CB1" w14:textId="4089E942" w:rsidR="00C70C36" w:rsidRPr="00A01843" w:rsidRDefault="00C70C36" w:rsidP="00431F7A">
      <w:pPr>
        <w:pStyle w:val="Heading2"/>
      </w:pPr>
      <w:r w:rsidRPr="00A01843">
        <w:t>Analytical approach</w:t>
      </w:r>
    </w:p>
    <w:p w14:paraId="7EC158E3" w14:textId="527A8E9F" w:rsidR="00D366B0" w:rsidRPr="00A01843" w:rsidRDefault="008106F0" w:rsidP="00D366B0">
      <w:r w:rsidRPr="00A01843">
        <w:t>T</w:t>
      </w:r>
      <w:r w:rsidR="00514FC7" w:rsidRPr="00A01843">
        <w:t>wo-level mixed model</w:t>
      </w:r>
      <w:r w:rsidRPr="00A01843">
        <w:t>s</w:t>
      </w:r>
      <w:r w:rsidR="00514FC7" w:rsidRPr="00A01843">
        <w:t xml:space="preserve"> w</w:t>
      </w:r>
      <w:r w:rsidRPr="00A01843">
        <w:t>ere</w:t>
      </w:r>
      <w:r w:rsidR="00514FC7" w:rsidRPr="00A01843">
        <w:t xml:space="preserve"> generated with the </w:t>
      </w:r>
      <w:proofErr w:type="spellStart"/>
      <w:r w:rsidR="00514FC7" w:rsidRPr="00A01843">
        <w:t>WeMix</w:t>
      </w:r>
      <w:proofErr w:type="spellEnd"/>
      <w:r w:rsidR="00514FC7" w:rsidRPr="00A01843">
        <w:t xml:space="preserve"> R package</w:t>
      </w:r>
      <w:r w:rsidR="007A589F" w:rsidRPr="00A01843">
        <w:t xml:space="preserve"> (</w:t>
      </w:r>
      <w:proofErr w:type="gramStart"/>
      <w:r w:rsidR="00514FC7" w:rsidRPr="00A01843">
        <w:t>similar to</w:t>
      </w:r>
      <w:proofErr w:type="gramEnd"/>
      <w:r w:rsidR="00514FC7" w:rsidRPr="00A01843">
        <w:t xml:space="preserve"> Model 5, Table 6 in the original study by Kim et al. (2014)</w:t>
      </w:r>
      <w:r w:rsidR="007A589F" w:rsidRPr="00A01843">
        <w:t>)</w:t>
      </w:r>
      <w:r w:rsidR="00514FC7" w:rsidRPr="00A01843">
        <w:t xml:space="preserve">. </w:t>
      </w:r>
      <w:r w:rsidR="007A589F" w:rsidRPr="00A01843">
        <w:t xml:space="preserve">The present replication study </w:t>
      </w:r>
      <w:r w:rsidR="00514FC7" w:rsidRPr="00A01843">
        <w:t xml:space="preserve">used </w:t>
      </w:r>
      <w:r w:rsidR="007A589F" w:rsidRPr="00A01843">
        <w:t xml:space="preserve">only </w:t>
      </w:r>
      <w:r w:rsidR="00514FC7" w:rsidRPr="00A01843">
        <w:t>the</w:t>
      </w:r>
      <w:r w:rsidRPr="00A01843">
        <w:t xml:space="preserve"> </w:t>
      </w:r>
      <w:r w:rsidR="00851A1E" w:rsidRPr="00A01843">
        <w:t>K</w:t>
      </w:r>
      <w:r w:rsidR="00514FC7" w:rsidRPr="00A01843">
        <w:t>orean data for the foc</w:t>
      </w:r>
      <w:r w:rsidR="007A589F" w:rsidRPr="00A01843">
        <w:t>us of this analysis</w:t>
      </w:r>
      <w:r w:rsidR="00514FC7" w:rsidRPr="00A01843">
        <w:t xml:space="preserve">, as the original article hints </w:t>
      </w:r>
      <w:r w:rsidR="007A589F" w:rsidRPr="00A01843">
        <w:t>at</w:t>
      </w:r>
      <w:r w:rsidR="00514FC7" w:rsidRPr="00A01843">
        <w:t xml:space="preserve"> a specific country effect for Korea</w:t>
      </w:r>
      <w:r w:rsidR="00276E6F" w:rsidRPr="00A01843">
        <w:rPr>
          <w:rStyle w:val="EndnoteReference"/>
          <w:b/>
          <w:bCs/>
          <w:i/>
          <w:iCs/>
        </w:rPr>
        <w:endnoteReference w:id="12"/>
      </w:r>
      <w:r w:rsidR="00276E6F" w:rsidRPr="00A01843">
        <w:t>.</w:t>
      </w:r>
      <w:r w:rsidR="00514FC7" w:rsidRPr="00A01843">
        <w:t xml:space="preserve"> Two levels</w:t>
      </w:r>
      <w:r w:rsidRPr="00A01843">
        <w:t xml:space="preserve"> are used in the models with Korea</w:t>
      </w:r>
      <w:r w:rsidR="007A589F" w:rsidRPr="00A01843">
        <w:t xml:space="preserve"> alone</w:t>
      </w:r>
      <w:r w:rsidR="00514FC7" w:rsidRPr="00A01843">
        <w:t>: student (IDSTUD) and school (</w:t>
      </w:r>
      <w:proofErr w:type="spellStart"/>
      <w:r w:rsidR="00514FC7" w:rsidRPr="00A01843">
        <w:t>schoolid</w:t>
      </w:r>
      <w:proofErr w:type="spellEnd"/>
      <w:r w:rsidR="00514FC7" w:rsidRPr="00A01843">
        <w:t xml:space="preserve">). </w:t>
      </w:r>
      <w:r w:rsidRPr="00A01843">
        <w:t>The d</w:t>
      </w:r>
      <w:r w:rsidR="00514FC7" w:rsidRPr="00A01843">
        <w:t>ependent variables</w:t>
      </w:r>
      <w:r w:rsidRPr="00A01843">
        <w:t xml:space="preserve"> are </w:t>
      </w:r>
      <w:r w:rsidR="001F745A" w:rsidRPr="00A01843">
        <w:t>five</w:t>
      </w:r>
      <w:r w:rsidR="00514FC7" w:rsidRPr="00A01843">
        <w:t xml:space="preserve"> plausible values PV1CIL-PV5CIL</w:t>
      </w:r>
      <w:r w:rsidR="001F745A" w:rsidRPr="00A01843">
        <w:t>.</w:t>
      </w:r>
      <w:r w:rsidRPr="00A01843">
        <w:t xml:space="preserve"> Models are estimated separately and then combined</w:t>
      </w:r>
      <w:r w:rsidR="007A589F" w:rsidRPr="00A01843">
        <w:t xml:space="preserve">, following </w:t>
      </w:r>
      <w:r w:rsidRPr="00A01843">
        <w:t>Rubin’s rules</w:t>
      </w:r>
      <w:r w:rsidR="00514FC7" w:rsidRPr="00A01843">
        <w:t xml:space="preserve"> </w:t>
      </w:r>
      <w:r w:rsidR="001F745A" w:rsidRPr="00A01843">
        <w:t xml:space="preserve">(Rubin, 1987). As indicated in Table 1, there are </w:t>
      </w:r>
      <w:r w:rsidR="00514FC7" w:rsidRPr="00A01843">
        <w:t>15 predictors in total</w:t>
      </w:r>
      <w:r w:rsidR="001F745A" w:rsidRPr="00A01843">
        <w:t xml:space="preserve">. Nine </w:t>
      </w:r>
      <w:r w:rsidR="00514FC7" w:rsidRPr="00A01843">
        <w:t xml:space="preserve">predictors </w:t>
      </w:r>
      <w:r w:rsidR="001F745A" w:rsidRPr="00A01843">
        <w:t xml:space="preserve">are </w:t>
      </w:r>
      <w:r w:rsidR="00514FC7" w:rsidRPr="00A01843">
        <w:t xml:space="preserve">at the student level: S_SEX, IS2G30, ICT_INTS, S_USESTD, ICT_INTO, S_ICTLRN, S_ICTFUT, S_USECOM, S_USEINF. As in Kim et al. </w:t>
      </w:r>
      <w:r w:rsidR="001F745A" w:rsidRPr="00A01843">
        <w:t>(2014)</w:t>
      </w:r>
      <w:r w:rsidR="009475D2" w:rsidRPr="00A01843">
        <w:t>,</w:t>
      </w:r>
      <w:r w:rsidR="001F745A" w:rsidRPr="00A01843">
        <w:t xml:space="preserve"> </w:t>
      </w:r>
      <w:r w:rsidR="00514FC7" w:rsidRPr="00A01843">
        <w:t xml:space="preserve">these were group-mean </w:t>
      </w:r>
      <w:r w:rsidR="00AD3EEC" w:rsidRPr="00A01843">
        <w:t>centred</w:t>
      </w:r>
      <w:r w:rsidR="00514FC7" w:rsidRPr="00A01843">
        <w:t xml:space="preserve">. </w:t>
      </w:r>
      <w:r w:rsidR="001F745A" w:rsidRPr="00A01843">
        <w:t xml:space="preserve">Six </w:t>
      </w:r>
      <w:r w:rsidR="00514FC7" w:rsidRPr="00A01843">
        <w:t xml:space="preserve">predictors </w:t>
      </w:r>
      <w:r w:rsidR="001F745A" w:rsidRPr="00A01843">
        <w:t xml:space="preserve">are </w:t>
      </w:r>
      <w:r w:rsidR="00514FC7" w:rsidRPr="00A01843">
        <w:t xml:space="preserve">at the school level: P_NUMSTD_CAT, IP2G07, C_RATTEA, C_RATSTD, T_ICTPRAC, T_RESRC. As </w:t>
      </w:r>
      <w:r w:rsidR="00514FC7" w:rsidRPr="00A01843">
        <w:lastRenderedPageBreak/>
        <w:t>in Kim et al.</w:t>
      </w:r>
      <w:r w:rsidR="009475D2" w:rsidRPr="00A01843">
        <w:t>,</w:t>
      </w:r>
      <w:r w:rsidR="00514FC7" w:rsidRPr="00A01843">
        <w:t xml:space="preserve"> these were grand-mean </w:t>
      </w:r>
      <w:r w:rsidR="00AD3EEC" w:rsidRPr="00A01843">
        <w:t>centred</w:t>
      </w:r>
      <w:r w:rsidR="00514FC7" w:rsidRPr="00A01843">
        <w:t xml:space="preserve">. Weights at the student level </w:t>
      </w:r>
      <w:r w:rsidR="001F745A" w:rsidRPr="00A01843">
        <w:t xml:space="preserve">are </w:t>
      </w:r>
      <w:r w:rsidR="00514FC7" w:rsidRPr="00A01843">
        <w:t>TOTWGTS</w:t>
      </w:r>
      <w:r w:rsidR="001F745A" w:rsidRPr="00A01843">
        <w:t xml:space="preserve"> and</w:t>
      </w:r>
      <w:r w:rsidR="00514FC7" w:rsidRPr="00A01843">
        <w:t xml:space="preserve"> at the school level TOTWGTC.</w:t>
      </w:r>
      <w:r w:rsidR="001F745A" w:rsidRPr="00A01843">
        <w:t xml:space="preserve"> </w:t>
      </w:r>
      <w:r w:rsidR="00514FC7" w:rsidRPr="00A01843">
        <w:t>No missing data treatment was performed for the analysis</w:t>
      </w:r>
      <w:r w:rsidR="007A589F" w:rsidRPr="00A01843">
        <w:t xml:space="preserve"> in question here</w:t>
      </w:r>
      <w:r w:rsidR="00514FC7" w:rsidRPr="00A01843">
        <w:t xml:space="preserve">, as </w:t>
      </w:r>
      <w:r w:rsidR="007A589F" w:rsidRPr="00A01843">
        <w:t xml:space="preserve">in the </w:t>
      </w:r>
      <w:r w:rsidR="00514FC7" w:rsidRPr="00A01843">
        <w:t xml:space="preserve">original study, but </w:t>
      </w:r>
      <w:r w:rsidR="007A589F" w:rsidRPr="00A01843">
        <w:t>the present study</w:t>
      </w:r>
      <w:r w:rsidR="001F745A" w:rsidRPr="00A01843">
        <w:t xml:space="preserve"> included supplemental analyses</w:t>
      </w:r>
      <w:r w:rsidR="000C08B1" w:rsidRPr="00A01843">
        <w:t xml:space="preserve"> that did impute missing data</w:t>
      </w:r>
      <w:r w:rsidR="00C36A6B" w:rsidRPr="00A01843">
        <w:t xml:space="preserve">, </w:t>
      </w:r>
      <w:r w:rsidR="009475D2" w:rsidRPr="00A01843">
        <w:t xml:space="preserve">in order </w:t>
      </w:r>
      <w:r w:rsidR="00C36A6B" w:rsidRPr="00A01843">
        <w:t>to explore what impact missing data might have had</w:t>
      </w:r>
      <w:r w:rsidR="001F745A" w:rsidRPr="00A01843">
        <w:t>.</w:t>
      </w:r>
      <w:r w:rsidR="00C36A6B" w:rsidRPr="00A01843">
        <w:t xml:space="preserve"> This was especially useful for the analyses with multiple countries, as missing data percentages were quite high.</w:t>
      </w:r>
      <w:r w:rsidR="001F745A" w:rsidRPr="00A01843">
        <w:t xml:space="preserve"> </w:t>
      </w:r>
      <w:r w:rsidR="00514FC7" w:rsidRPr="00A01843">
        <w:t>For the supplemental analyses with all countries</w:t>
      </w:r>
      <w:r w:rsidR="009475D2" w:rsidRPr="00A01843">
        <w:t>,</w:t>
      </w:r>
      <w:r w:rsidR="00514FC7" w:rsidRPr="00A01843">
        <w:t xml:space="preserve"> a third level was added: CNTRY. To do this</w:t>
      </w:r>
      <w:r w:rsidR="009475D2" w:rsidRPr="00A01843">
        <w:t>,</w:t>
      </w:r>
      <w:r w:rsidR="00514FC7" w:rsidRPr="00A01843">
        <w:t xml:space="preserve"> a weight variable TOTWGTN was created with only </w:t>
      </w:r>
      <w:r w:rsidR="001F745A" w:rsidRPr="00A01843">
        <w:t>1</w:t>
      </w:r>
      <w:r w:rsidR="00514FC7" w:rsidRPr="00A01843">
        <w:t xml:space="preserve">s, </w:t>
      </w:r>
      <w:proofErr w:type="gramStart"/>
      <w:r w:rsidR="00C36A6B" w:rsidRPr="00A01843">
        <w:t xml:space="preserve">in order </w:t>
      </w:r>
      <w:r w:rsidR="00514FC7" w:rsidRPr="00A01843">
        <w:t>to</w:t>
      </w:r>
      <w:proofErr w:type="gramEnd"/>
      <w:r w:rsidR="00514FC7" w:rsidRPr="00A01843">
        <w:t xml:space="preserve"> ensure equal weights. </w:t>
      </w:r>
      <w:r w:rsidR="001F745A" w:rsidRPr="00A01843">
        <w:t xml:space="preserve">To test the R code before pre-registration, we used random samples of the data. For Korea, this included 30% of the data, </w:t>
      </w:r>
      <w:r w:rsidR="009475D2" w:rsidRPr="00A01843">
        <w:t xml:space="preserve">and </w:t>
      </w:r>
      <w:r w:rsidR="001F745A" w:rsidRPr="00A01843">
        <w:t xml:space="preserve">for </w:t>
      </w:r>
      <w:r w:rsidR="00C36A6B" w:rsidRPr="00A01843">
        <w:t xml:space="preserve">the </w:t>
      </w:r>
      <w:r w:rsidR="001F745A" w:rsidRPr="00A01843">
        <w:t xml:space="preserve">dataset with multiple countries this was 5%. The R code generates estimates, standard </w:t>
      </w:r>
      <w:proofErr w:type="gramStart"/>
      <w:r w:rsidR="001F745A" w:rsidRPr="00A01843">
        <w:t>errors</w:t>
      </w:r>
      <w:proofErr w:type="gramEnd"/>
      <w:r w:rsidR="001F745A" w:rsidRPr="00A01843">
        <w:t xml:space="preserve"> and p-values. </w:t>
      </w:r>
      <w:r w:rsidR="007B6767" w:rsidRPr="00A01843">
        <w:t>The c</w:t>
      </w:r>
      <w:r w:rsidR="00D366B0" w:rsidRPr="00A01843">
        <w:t>riterion for a successful replication attempt for the SCORE project</w:t>
      </w:r>
      <w:r w:rsidR="009475D2" w:rsidRPr="00A01843">
        <w:t>,</w:t>
      </w:r>
      <w:r w:rsidR="00D366B0" w:rsidRPr="00A01843">
        <w:t xml:space="preserve"> </w:t>
      </w:r>
      <w:r w:rsidR="000C08B1" w:rsidRPr="00A01843">
        <w:t>was</w:t>
      </w:r>
      <w:r w:rsidR="00D366B0" w:rsidRPr="00A01843">
        <w:t xml:space="preserve"> a statistically significant effect (alpha = .05, two</w:t>
      </w:r>
      <w:r w:rsidR="009475D2" w:rsidRPr="00A01843">
        <w:t>-</w:t>
      </w:r>
      <w:r w:rsidR="00D366B0" w:rsidRPr="00A01843">
        <w:t>tailed)</w:t>
      </w:r>
      <w:r w:rsidR="00C36A6B" w:rsidRPr="00A01843">
        <w:t xml:space="preserve">, with </w:t>
      </w:r>
      <w:r w:rsidR="00D366B0" w:rsidRPr="00A01843">
        <w:t xml:space="preserve">the same pattern as the original study. For this study, this criterion </w:t>
      </w:r>
      <w:r w:rsidR="000C08B1" w:rsidRPr="00A01843">
        <w:t>was</w:t>
      </w:r>
      <w:r w:rsidR="00D366B0" w:rsidRPr="00A01843">
        <w:t xml:space="preserve"> met by determining the direction and </w:t>
      </w:r>
      <w:r w:rsidR="00C36A6B" w:rsidRPr="00A01843">
        <w:t xml:space="preserve">statistical </w:t>
      </w:r>
      <w:r w:rsidR="00D366B0" w:rsidRPr="00A01843">
        <w:t>significance of the S_SEX predictor.</w:t>
      </w:r>
      <w:r w:rsidR="00AD3EEC" w:rsidRPr="00A01843">
        <w:t xml:space="preserve"> </w:t>
      </w:r>
      <w:r w:rsidR="00D366B0" w:rsidRPr="00A01843">
        <w:t xml:space="preserve">No data were intentionally excluded. However, missing data did lead to lower sample sizes. </w:t>
      </w:r>
    </w:p>
    <w:p w14:paraId="1645AC8F" w14:textId="5597A420" w:rsidR="00D366B0" w:rsidRPr="00A01843" w:rsidRDefault="00D366B0" w:rsidP="00D366B0">
      <w:pPr>
        <w:pStyle w:val="Heading2"/>
      </w:pPr>
      <w:r w:rsidRPr="00A01843">
        <w:t>Missing data</w:t>
      </w:r>
    </w:p>
    <w:p w14:paraId="771E372E" w14:textId="2467AE45" w:rsidR="0028468C" w:rsidRPr="00A01843" w:rsidRDefault="00D366B0" w:rsidP="0028468C">
      <w:r w:rsidRPr="00A01843">
        <w:t xml:space="preserve">The original Kim et al. </w:t>
      </w:r>
      <w:r w:rsidR="00C33D60" w:rsidRPr="00A01843">
        <w:t xml:space="preserve">(2014) </w:t>
      </w:r>
      <w:r w:rsidRPr="00A01843">
        <w:t xml:space="preserve">article </w:t>
      </w:r>
      <w:r w:rsidR="00082CD7" w:rsidRPr="00A01843">
        <w:t>did</w:t>
      </w:r>
      <w:r w:rsidRPr="00A01843">
        <w:t xml:space="preserve"> not mention missing data, nor </w:t>
      </w:r>
      <w:r w:rsidR="00082CD7" w:rsidRPr="00A01843">
        <w:t xml:space="preserve">did it </w:t>
      </w:r>
      <w:r w:rsidRPr="00A01843">
        <w:t xml:space="preserve">describe any missing data treatment. The ICILS </w:t>
      </w:r>
      <w:r w:rsidR="00082CD7" w:rsidRPr="00A01843">
        <w:t xml:space="preserve">2018 </w:t>
      </w:r>
      <w:r w:rsidRPr="00A01843">
        <w:t xml:space="preserve">dataset does </w:t>
      </w:r>
      <w:r w:rsidR="00C33D60" w:rsidRPr="00A01843">
        <w:t>have some missing</w:t>
      </w:r>
      <w:r w:rsidRPr="00A01843">
        <w:t xml:space="preserve"> data</w:t>
      </w:r>
      <w:r w:rsidR="00C33D60" w:rsidRPr="00A01843">
        <w:t xml:space="preserve"> on key variables</w:t>
      </w:r>
      <w:r w:rsidRPr="00A01843">
        <w:t xml:space="preserve">, so the decisions </w:t>
      </w:r>
      <w:r w:rsidR="009475D2" w:rsidRPr="00A01843">
        <w:t xml:space="preserve">indicated below </w:t>
      </w:r>
      <w:r w:rsidRPr="00A01843">
        <w:t xml:space="preserve">were made </w:t>
      </w:r>
      <w:proofErr w:type="gramStart"/>
      <w:r w:rsidRPr="00A01843">
        <w:t>with regard to</w:t>
      </w:r>
      <w:proofErr w:type="gramEnd"/>
      <w:r w:rsidRPr="00A01843">
        <w:t xml:space="preserve"> missing data. It should be noted, </w:t>
      </w:r>
      <w:r w:rsidR="00082CD7" w:rsidRPr="00A01843">
        <w:t>however</w:t>
      </w:r>
      <w:r w:rsidRPr="00A01843">
        <w:t xml:space="preserve">, that there are many ways to </w:t>
      </w:r>
      <w:r w:rsidR="00082CD7" w:rsidRPr="00A01843">
        <w:t>address</w:t>
      </w:r>
      <w:r w:rsidRPr="00A01843">
        <w:t xml:space="preserve"> missing data, </w:t>
      </w:r>
      <w:r w:rsidR="00082CD7" w:rsidRPr="00A01843">
        <w:t xml:space="preserve">and </w:t>
      </w:r>
      <w:r w:rsidRPr="00A01843">
        <w:t>that some arbitrariness will inevitably be introduced.</w:t>
      </w:r>
      <w:r w:rsidR="00C33D60" w:rsidRPr="00A01843">
        <w:t xml:space="preserve"> </w:t>
      </w:r>
      <w:r w:rsidRPr="00A01843">
        <w:t xml:space="preserve">The main </w:t>
      </w:r>
      <w:r w:rsidR="007354E9" w:rsidRPr="00A01843">
        <w:t>decision</w:t>
      </w:r>
      <w:r w:rsidRPr="00A01843">
        <w:t xml:space="preserve"> in this replication was </w:t>
      </w:r>
      <w:r w:rsidR="00F33EA8" w:rsidRPr="00A01843">
        <w:t>to not use any</w:t>
      </w:r>
      <w:r w:rsidRPr="00A01843">
        <w:t xml:space="preserve"> missing data treatment, except for the default in-built exclusions by the </w:t>
      </w:r>
      <w:proofErr w:type="spellStart"/>
      <w:r w:rsidRPr="00A01843">
        <w:t>WeMix</w:t>
      </w:r>
      <w:proofErr w:type="spellEnd"/>
      <w:r w:rsidRPr="00A01843">
        <w:t xml:space="preserve"> package used. Note</w:t>
      </w:r>
      <w:r w:rsidR="009475D2" w:rsidRPr="00A01843">
        <w:t xml:space="preserve">, also, </w:t>
      </w:r>
      <w:r w:rsidRPr="00A01843">
        <w:t xml:space="preserve">that the original study used HLM software which does not allow missing level 2 data but does allow missing level 1 data. To adhere to an </w:t>
      </w:r>
      <w:r w:rsidRPr="00A01843">
        <w:lastRenderedPageBreak/>
        <w:t>open data analysis approach</w:t>
      </w:r>
      <w:r w:rsidR="00276E6F" w:rsidRPr="00A01843">
        <w:rPr>
          <w:rStyle w:val="EndnoteReference"/>
        </w:rPr>
        <w:endnoteReference w:id="13"/>
      </w:r>
      <w:r w:rsidR="00276E6F" w:rsidRPr="00A01843">
        <w:t xml:space="preserve"> </w:t>
      </w:r>
      <w:r w:rsidRPr="00A01843">
        <w:t xml:space="preserve">with available R packages, we can only abide by the in-built missing data rules </w:t>
      </w:r>
      <w:r w:rsidR="009475D2" w:rsidRPr="00A01843">
        <w:t xml:space="preserve">in </w:t>
      </w:r>
      <w:r w:rsidRPr="00A01843">
        <w:t xml:space="preserve">the software, in this case the </w:t>
      </w:r>
      <w:proofErr w:type="spellStart"/>
      <w:r w:rsidRPr="00A01843">
        <w:t>WeMix</w:t>
      </w:r>
      <w:proofErr w:type="spellEnd"/>
      <w:r w:rsidRPr="00A01843">
        <w:t xml:space="preserve"> package. </w:t>
      </w:r>
      <w:r w:rsidR="009475D2" w:rsidRPr="00A01843">
        <w:t>T</w:t>
      </w:r>
      <w:r w:rsidRPr="00A01843">
        <w:t>his means that</w:t>
      </w:r>
      <w:r w:rsidR="009475D2" w:rsidRPr="00A01843">
        <w:t>,</w:t>
      </w:r>
      <w:r w:rsidRPr="00A01843">
        <w:t xml:space="preserve"> in addition to completely missing data for some schools, missing data </w:t>
      </w:r>
      <w:r w:rsidR="009475D2" w:rsidRPr="00A01843">
        <w:t xml:space="preserve">were </w:t>
      </w:r>
      <w:r w:rsidRPr="00A01843">
        <w:t>siz</w:t>
      </w:r>
      <w:r w:rsidR="00082CD7" w:rsidRPr="00A01843">
        <w:t>e</w:t>
      </w:r>
      <w:r w:rsidRPr="00A01843">
        <w:t xml:space="preserve">able, as there were </w:t>
      </w:r>
      <w:r w:rsidR="009475D2" w:rsidRPr="00A01843">
        <w:t xml:space="preserve">always </w:t>
      </w:r>
      <w:r w:rsidRPr="00A01843">
        <w:t xml:space="preserve">some variables that </w:t>
      </w:r>
      <w:r w:rsidR="00082CD7" w:rsidRPr="00A01843">
        <w:t>had missing data</w:t>
      </w:r>
      <w:r w:rsidRPr="00A01843">
        <w:t>. Nevertheless, it seem</w:t>
      </w:r>
      <w:r w:rsidR="000C08B1" w:rsidRPr="00A01843">
        <w:t>ed</w:t>
      </w:r>
      <w:r w:rsidRPr="00A01843">
        <w:t xml:space="preserve"> the most trustworthy replication</w:t>
      </w:r>
      <w:r w:rsidR="00082CD7" w:rsidRPr="00A01843">
        <w:t>, as no missing data treatment was reported in the original study</w:t>
      </w:r>
      <w:r w:rsidRPr="00A01843">
        <w:t>.</w:t>
      </w:r>
      <w:r w:rsidR="00C33D60" w:rsidRPr="00A01843">
        <w:t xml:space="preserve"> </w:t>
      </w:r>
      <w:r w:rsidR="000C08B1" w:rsidRPr="00A01843">
        <w:t xml:space="preserve">To </w:t>
      </w:r>
      <w:r w:rsidRPr="00A01843">
        <w:t xml:space="preserve">offer an alternative, and to determine the possible effects of </w:t>
      </w:r>
      <w:r w:rsidR="000C08B1" w:rsidRPr="00A01843">
        <w:t xml:space="preserve">the </w:t>
      </w:r>
      <w:r w:rsidRPr="00A01843">
        <w:t xml:space="preserve">missing data, </w:t>
      </w:r>
      <w:r w:rsidR="00082CD7" w:rsidRPr="00A01843">
        <w:t>the analysis</w:t>
      </w:r>
      <w:r w:rsidRPr="00A01843">
        <w:t xml:space="preserve"> also used Expectation-Maximisation simple imputation with both the final student and school files, using the R package </w:t>
      </w:r>
      <w:proofErr w:type="spellStart"/>
      <w:r w:rsidRPr="00A01843">
        <w:t>simputation</w:t>
      </w:r>
      <w:proofErr w:type="spellEnd"/>
      <w:r w:rsidR="00276E6F" w:rsidRPr="00A01843">
        <w:rPr>
          <w:rStyle w:val="EndnoteReference"/>
        </w:rPr>
        <w:endnoteReference w:id="14"/>
      </w:r>
      <w:r w:rsidR="00276E6F" w:rsidRPr="00A01843">
        <w:t>.</w:t>
      </w:r>
      <w:r w:rsidRPr="00A01843">
        <w:t xml:space="preserve"> </w:t>
      </w:r>
      <w:r w:rsidR="00082CD7" w:rsidRPr="00A01843">
        <w:t>The</w:t>
      </w:r>
      <w:r w:rsidR="000C08B1" w:rsidRPr="00A01843">
        <w:t xml:space="preserve"> approach </w:t>
      </w:r>
      <w:r w:rsidR="00082CD7" w:rsidRPr="00A01843">
        <w:t xml:space="preserve">used here </w:t>
      </w:r>
      <w:r w:rsidR="000C08B1" w:rsidRPr="00A01843">
        <w:t>was</w:t>
      </w:r>
      <w:r w:rsidRPr="00A01843">
        <w:t xml:space="preserve"> also used for numeric categorical values</w:t>
      </w:r>
      <w:r w:rsidR="000C08B1" w:rsidRPr="00A01843">
        <w:t>; although</w:t>
      </w:r>
      <w:r w:rsidRPr="00A01843">
        <w:t xml:space="preserve"> </w:t>
      </w:r>
      <w:r w:rsidR="000C08B1" w:rsidRPr="00A01843">
        <w:t>t</w:t>
      </w:r>
      <w:r w:rsidRPr="00A01843">
        <w:t xml:space="preserve">here </w:t>
      </w:r>
      <w:r w:rsidR="000C08B1" w:rsidRPr="00A01843">
        <w:t>were</w:t>
      </w:r>
      <w:r w:rsidRPr="00A01843">
        <w:t xml:space="preserve"> other methods that yield </w:t>
      </w:r>
      <w:r w:rsidR="00082CD7" w:rsidRPr="00A01843">
        <w:t xml:space="preserve">only </w:t>
      </w:r>
      <w:r w:rsidRPr="00A01843">
        <w:t xml:space="preserve">the allowable categorical variables, </w:t>
      </w:r>
      <w:r w:rsidR="000C08B1" w:rsidRPr="00A01843">
        <w:t>for this analysis</w:t>
      </w:r>
      <w:r w:rsidR="009475D2" w:rsidRPr="00A01843">
        <w:t>,</w:t>
      </w:r>
      <w:r w:rsidR="000C08B1" w:rsidRPr="00A01843">
        <w:t xml:space="preserve"> </w:t>
      </w:r>
      <w:r w:rsidRPr="00A01843">
        <w:t xml:space="preserve">substantive conclusions </w:t>
      </w:r>
      <w:r w:rsidR="000C08B1" w:rsidRPr="00A01843">
        <w:t>were</w:t>
      </w:r>
      <w:r w:rsidRPr="00A01843">
        <w:t xml:space="preserve"> not affected. Methods involving ‘Multiple Imputation’ were not chosen</w:t>
      </w:r>
      <w:r w:rsidR="009475D2" w:rsidRPr="00A01843">
        <w:t>,</w:t>
      </w:r>
      <w:r w:rsidRPr="00A01843">
        <w:t xml:space="preserve"> as this would mean that</w:t>
      </w:r>
      <w:r w:rsidR="009475D2" w:rsidRPr="00A01843">
        <w:t xml:space="preserve">, </w:t>
      </w:r>
      <w:r w:rsidRPr="00A01843">
        <w:t xml:space="preserve">because of the five </w:t>
      </w:r>
      <w:r w:rsidR="006F25EE" w:rsidRPr="00A01843">
        <w:t>p</w:t>
      </w:r>
      <w:r w:rsidRPr="00A01843">
        <w:t>lausible values</w:t>
      </w:r>
      <w:r w:rsidR="00436B08" w:rsidRPr="00A01843">
        <w:t xml:space="preserve">, </w:t>
      </w:r>
      <w:r w:rsidR="006F25EE" w:rsidRPr="00A01843">
        <w:t xml:space="preserve">5 x 5 </w:t>
      </w:r>
      <w:r w:rsidRPr="00A01843">
        <w:t>datasets would need to be combined.</w:t>
      </w:r>
      <w:r w:rsidR="00C33D60" w:rsidRPr="00A01843">
        <w:t xml:space="preserve"> </w:t>
      </w:r>
      <w:r w:rsidRPr="00A01843">
        <w:t>As both school and student files had to be merged</w:t>
      </w:r>
      <w:r w:rsidR="00C33D60" w:rsidRPr="00A01843">
        <w:t>,</w:t>
      </w:r>
      <w:r w:rsidRPr="00A01843">
        <w:t xml:space="preserve"> further missing data occurred where there </w:t>
      </w:r>
      <w:r w:rsidR="006F25EE" w:rsidRPr="00A01843">
        <w:t>were</w:t>
      </w:r>
      <w:r w:rsidRPr="00A01843">
        <w:t xml:space="preserve"> no school ID data. For example, the Korean student file had a student in school 1127, but the school file did not have any relevant data on this school. If such complete records were missing, these were not imputed. This </w:t>
      </w:r>
      <w:r w:rsidR="006F25EE" w:rsidRPr="00A01843">
        <w:t>contributed to</w:t>
      </w:r>
      <w:r w:rsidRPr="00A01843">
        <w:t xml:space="preserve"> a lower sample size</w:t>
      </w:r>
      <w:r w:rsidR="006F25EE" w:rsidRPr="00A01843">
        <w:t>, as reported in the results table</w:t>
      </w:r>
      <w:r w:rsidRPr="00A01843">
        <w:t>.</w:t>
      </w:r>
      <w:r w:rsidR="00C33D60" w:rsidRPr="00A01843">
        <w:t xml:space="preserve"> </w:t>
      </w:r>
      <w:r w:rsidRPr="00A01843">
        <w:t xml:space="preserve">As a result, </w:t>
      </w:r>
      <w:r w:rsidR="006F25EE" w:rsidRPr="00A01843">
        <w:t>the focus of the present analysis is conducted</w:t>
      </w:r>
      <w:r w:rsidRPr="00A01843">
        <w:t xml:space="preserve"> without</w:t>
      </w:r>
      <w:r w:rsidR="000C08B1" w:rsidRPr="00A01843">
        <w:t xml:space="preserve"> </w:t>
      </w:r>
      <w:r w:rsidRPr="00A01843">
        <w:t>missing data treatment, and an additional analysis with missing data treatment.</w:t>
      </w:r>
      <w:r w:rsidR="0028468C" w:rsidRPr="00A01843">
        <w:t xml:space="preserve"> The analysis plan, including code, </w:t>
      </w:r>
      <w:r w:rsidR="000C08B1" w:rsidRPr="00A01843">
        <w:t>was</w:t>
      </w:r>
      <w:r w:rsidR="0028468C" w:rsidRPr="00A01843">
        <w:t xml:space="preserve"> pre-registered at </w:t>
      </w:r>
      <w:r w:rsidR="00AA3B3E" w:rsidRPr="00A01843">
        <w:t xml:space="preserve">ANONYMISED LINK </w:t>
      </w:r>
      <w:r w:rsidR="0028468C" w:rsidRPr="00A01843">
        <w:t>in November 2020</w:t>
      </w:r>
      <w:r w:rsidR="00276E6F" w:rsidRPr="00A01843">
        <w:rPr>
          <w:rStyle w:val="EndnoteReference"/>
        </w:rPr>
        <w:endnoteReference w:id="15"/>
      </w:r>
      <w:r w:rsidR="00276E6F" w:rsidRPr="00A01843">
        <w:t>.</w:t>
      </w:r>
      <w:r w:rsidR="0028468C" w:rsidRPr="00A01843">
        <w:t xml:space="preserve"> The main analysis was run </w:t>
      </w:r>
      <w:r w:rsidR="000C08B1" w:rsidRPr="00A01843">
        <w:t xml:space="preserve">in </w:t>
      </w:r>
      <w:proofErr w:type="gramStart"/>
      <w:r w:rsidR="0028468C" w:rsidRPr="00A01843">
        <w:t>January</w:t>
      </w:r>
      <w:r w:rsidR="006F25EE" w:rsidRPr="00A01843">
        <w:t>,</w:t>
      </w:r>
      <w:proofErr w:type="gramEnd"/>
      <w:r w:rsidR="0028468C" w:rsidRPr="00A01843">
        <w:t xml:space="preserve"> 2021.</w:t>
      </w:r>
    </w:p>
    <w:p w14:paraId="468467B7" w14:textId="0BB4C43F" w:rsidR="00C33D60" w:rsidRPr="00A01843" w:rsidRDefault="00C33D60" w:rsidP="00C33D60">
      <w:pPr>
        <w:pStyle w:val="Heading2"/>
      </w:pPr>
      <w:r w:rsidRPr="00A01843">
        <w:t xml:space="preserve">Summary of replication decisions: </w:t>
      </w:r>
      <w:r w:rsidR="005C18ED" w:rsidRPr="00A01843">
        <w:t>analytical variability</w:t>
      </w:r>
    </w:p>
    <w:p w14:paraId="053CEE37" w14:textId="144C345B" w:rsidR="00A13DC6" w:rsidRPr="00A01843" w:rsidRDefault="0028468C" w:rsidP="0028468C">
      <w:r w:rsidRPr="00A01843">
        <w:t>S</w:t>
      </w:r>
      <w:r w:rsidR="00A13DC6" w:rsidRPr="00A01843">
        <w:t xml:space="preserve">everal </w:t>
      </w:r>
      <w:r w:rsidR="005C18ED" w:rsidRPr="00A01843">
        <w:t>analytical decisions</w:t>
      </w:r>
      <w:r w:rsidR="00A13DC6" w:rsidRPr="00A01843">
        <w:t xml:space="preserve"> were associated with the choice of data source. ICILS 2018 focuses on a different age </w:t>
      </w:r>
      <w:r w:rsidR="006F25EE" w:rsidRPr="00A01843">
        <w:t>from that of</w:t>
      </w:r>
      <w:r w:rsidR="00A13DC6" w:rsidRPr="00A01843">
        <w:t xml:space="preserve"> the original study. It also samples students from schools, rather than whole classes in the original</w:t>
      </w:r>
      <w:r w:rsidR="006F25EE" w:rsidRPr="00A01843">
        <w:t xml:space="preserve"> study</w:t>
      </w:r>
      <w:r w:rsidR="00A13DC6" w:rsidRPr="00A01843">
        <w:t xml:space="preserve">. The complex sampling design </w:t>
      </w:r>
      <w:r w:rsidR="00A13DC6" w:rsidRPr="00A01843">
        <w:lastRenderedPageBreak/>
        <w:t>mean</w:t>
      </w:r>
      <w:r w:rsidR="00E814AB" w:rsidRPr="00A01843">
        <w:t>t</w:t>
      </w:r>
      <w:r w:rsidR="00A13DC6" w:rsidRPr="00A01843">
        <w:t xml:space="preserve"> that </w:t>
      </w:r>
      <w:r w:rsidR="006F25EE" w:rsidRPr="00A01843">
        <w:t>p</w:t>
      </w:r>
      <w:r w:rsidR="00A13DC6" w:rsidRPr="00A01843">
        <w:t xml:space="preserve">lausible </w:t>
      </w:r>
      <w:r w:rsidR="006F25EE" w:rsidRPr="00A01843">
        <w:t>v</w:t>
      </w:r>
      <w:r w:rsidR="00A13DC6" w:rsidRPr="00A01843">
        <w:t xml:space="preserve">alues, </w:t>
      </w:r>
      <w:proofErr w:type="gramStart"/>
      <w:r w:rsidR="00A13DC6" w:rsidRPr="00A01843">
        <w:t>weights</w:t>
      </w:r>
      <w:proofErr w:type="gramEnd"/>
      <w:r w:rsidR="00A13DC6" w:rsidRPr="00A01843">
        <w:t xml:space="preserve"> and resampling techniques would have to be used, with the latter account</w:t>
      </w:r>
      <w:r w:rsidR="006F25EE" w:rsidRPr="00A01843">
        <w:t>ing</w:t>
      </w:r>
      <w:r w:rsidR="00A13DC6" w:rsidRPr="00A01843">
        <w:t xml:space="preserve"> for using the same analytical strategy as </w:t>
      </w:r>
      <w:r w:rsidR="006F25EE" w:rsidRPr="00A01843">
        <w:t xml:space="preserve">that of </w:t>
      </w:r>
      <w:r w:rsidR="00A13DC6" w:rsidRPr="00A01843">
        <w:t xml:space="preserve">the original study, </w:t>
      </w:r>
      <w:r w:rsidR="007F2E98" w:rsidRPr="00A01843">
        <w:t>viz.</w:t>
      </w:r>
      <w:r w:rsidR="006C7F14" w:rsidRPr="00A01843">
        <w:t>,</w:t>
      </w:r>
      <w:r w:rsidR="00A13DC6" w:rsidRPr="00A01843">
        <w:t xml:space="preserve"> multilevel modelling. As </w:t>
      </w:r>
      <w:r w:rsidR="007F2E98" w:rsidRPr="00A01843">
        <w:t>noted earlier</w:t>
      </w:r>
      <w:r w:rsidR="00A13DC6" w:rsidRPr="00A01843">
        <w:t>, most variables could be included in a way</w:t>
      </w:r>
      <w:r w:rsidR="007F2E98" w:rsidRPr="00A01843">
        <w:t xml:space="preserve"> </w:t>
      </w:r>
      <w:proofErr w:type="gramStart"/>
      <w:r w:rsidR="006C7F14" w:rsidRPr="00A01843">
        <w:t>in order</w:t>
      </w:r>
      <w:r w:rsidR="007F2E98" w:rsidRPr="00A01843">
        <w:t xml:space="preserve"> to</w:t>
      </w:r>
      <w:proofErr w:type="gramEnd"/>
      <w:r w:rsidR="007F2E98" w:rsidRPr="00A01843">
        <w:t xml:space="preserve"> do justice to the original study</w:t>
      </w:r>
      <w:r w:rsidR="00A13DC6" w:rsidRPr="00A01843">
        <w:t>.</w:t>
      </w:r>
      <w:r w:rsidR="00E65193" w:rsidRPr="00A01843">
        <w:t xml:space="preserve"> Yet, the way </w:t>
      </w:r>
      <w:r w:rsidR="007F2E98" w:rsidRPr="00A01843">
        <w:t xml:space="preserve">in which </w:t>
      </w:r>
      <w:r w:rsidR="00E65193" w:rsidRPr="00A01843">
        <w:t>they were operationalised, constitute</w:t>
      </w:r>
      <w:r w:rsidR="00DB5F78" w:rsidRPr="00A01843">
        <w:t>d</w:t>
      </w:r>
      <w:r w:rsidR="00E65193" w:rsidRPr="00A01843">
        <w:t xml:space="preserve"> another </w:t>
      </w:r>
      <w:r w:rsidR="005C18ED" w:rsidRPr="00A01843">
        <w:t>analytical decision</w:t>
      </w:r>
      <w:r w:rsidRPr="00A01843">
        <w:t xml:space="preserve">. The fact that many variables can be included, either as part of the models or as control variables, </w:t>
      </w:r>
      <w:r w:rsidR="006C7F14" w:rsidRPr="00A01843">
        <w:t xml:space="preserve">constitutes </w:t>
      </w:r>
      <w:r w:rsidRPr="00A01843">
        <w:t xml:space="preserve">yet another </w:t>
      </w:r>
      <w:r w:rsidR="001E0C0B" w:rsidRPr="00A01843">
        <w:t>analytical decision</w:t>
      </w:r>
      <w:r w:rsidRPr="00A01843">
        <w:t>. R</w:t>
      </w:r>
      <w:r w:rsidR="00E814AB" w:rsidRPr="00A01843">
        <w:t>egarding</w:t>
      </w:r>
      <w:r w:rsidR="00A13DC6" w:rsidRPr="00A01843">
        <w:t xml:space="preserve"> unreported missing data in the original study, ICILS 2018 </w:t>
      </w:r>
      <w:r w:rsidR="00A13DC6" w:rsidRPr="00A01843">
        <w:rPr>
          <w:i/>
          <w:iCs/>
        </w:rPr>
        <w:t>did</w:t>
      </w:r>
      <w:r w:rsidR="00A13DC6" w:rsidRPr="00A01843">
        <w:t xml:space="preserve"> have missing data which could have been treated</w:t>
      </w:r>
      <w:r w:rsidRPr="00A01843">
        <w:t>, and such treatments can in come many forms</w:t>
      </w:r>
      <w:r w:rsidR="00A13DC6" w:rsidRPr="00A01843">
        <w:t xml:space="preserve">. We did not </w:t>
      </w:r>
      <w:r w:rsidR="007F2E98" w:rsidRPr="00A01843">
        <w:t xml:space="preserve">impute missing data </w:t>
      </w:r>
      <w:r w:rsidR="00A13DC6" w:rsidRPr="00A01843">
        <w:t xml:space="preserve">for the focal </w:t>
      </w:r>
      <w:r w:rsidR="00E65193" w:rsidRPr="00A01843">
        <w:t>replication but include</w:t>
      </w:r>
      <w:r w:rsidR="007F2E98" w:rsidRPr="00A01843">
        <w:t>d</w:t>
      </w:r>
      <w:r w:rsidR="00E65193" w:rsidRPr="00A01843">
        <w:t xml:space="preserve"> imputed datasets as additional analyses</w:t>
      </w:r>
      <w:r w:rsidR="007F2E98" w:rsidRPr="00A01843">
        <w:t xml:space="preserve">, to see if this made a difference </w:t>
      </w:r>
      <w:r w:rsidR="006C7F14" w:rsidRPr="00A01843">
        <w:t xml:space="preserve">to </w:t>
      </w:r>
      <w:r w:rsidR="007F2E98" w:rsidRPr="00A01843">
        <w:t>the results</w:t>
      </w:r>
      <w:r w:rsidR="00E65193" w:rsidRPr="00A01843">
        <w:t>. The data included multiple countries, but</w:t>
      </w:r>
      <w:r w:rsidR="006C7F14" w:rsidRPr="00A01843">
        <w:t>,</w:t>
      </w:r>
      <w:r w:rsidR="00E65193" w:rsidRPr="00A01843">
        <w:t xml:space="preserve"> for the focal replication</w:t>
      </w:r>
      <w:r w:rsidR="006C7F14" w:rsidRPr="00A01843">
        <w:t>,</w:t>
      </w:r>
      <w:r w:rsidR="00E65193" w:rsidRPr="00A01843">
        <w:t xml:space="preserve"> we included</w:t>
      </w:r>
      <w:r w:rsidR="007F2E98" w:rsidRPr="00A01843">
        <w:t xml:space="preserve"> only</w:t>
      </w:r>
      <w:r w:rsidR="00E65193" w:rsidRPr="00A01843">
        <w:t xml:space="preserve"> Korea, with the full dataset used for additional analyses.</w:t>
      </w:r>
      <w:r w:rsidRPr="00A01843">
        <w:t xml:space="preserve"> This, of course, also has implications for the number of levels to include in the multilevel models</w:t>
      </w:r>
      <w:r w:rsidR="007F2E98" w:rsidRPr="00A01843">
        <w:t>, as</w:t>
      </w:r>
      <w:r w:rsidR="006C7F14" w:rsidRPr="00A01843">
        <w:t>,</w:t>
      </w:r>
      <w:r w:rsidR="007F2E98" w:rsidRPr="00A01843">
        <w:t xml:space="preserve"> with more countries</w:t>
      </w:r>
      <w:r w:rsidR="006C7F14" w:rsidRPr="00A01843">
        <w:t>,</w:t>
      </w:r>
      <w:r w:rsidR="007F2E98" w:rsidRPr="00A01843">
        <w:t xml:space="preserve"> an additional level ‘country’ is needed</w:t>
      </w:r>
      <w:r w:rsidRPr="00A01843">
        <w:t>.</w:t>
      </w:r>
      <w:r w:rsidR="00E65193" w:rsidRPr="00A01843">
        <w:t xml:space="preserve"> Finally, the original study used </w:t>
      </w:r>
      <w:r w:rsidR="00E814AB" w:rsidRPr="00A01843">
        <w:t>centring</w:t>
      </w:r>
      <w:r w:rsidR="006C7F14" w:rsidRPr="00A01843">
        <w:t>,</w:t>
      </w:r>
      <w:r w:rsidR="00E65193" w:rsidRPr="00A01843">
        <w:t xml:space="preserve"> and</w:t>
      </w:r>
      <w:r w:rsidR="006C7F14" w:rsidRPr="00A01843">
        <w:t>,</w:t>
      </w:r>
      <w:r w:rsidR="00E65193" w:rsidRPr="00A01843">
        <w:t xml:space="preserve"> in a multilevel context</w:t>
      </w:r>
      <w:r w:rsidR="006C7F14" w:rsidRPr="00A01843">
        <w:t>,</w:t>
      </w:r>
      <w:r w:rsidR="00E65193" w:rsidRPr="00A01843">
        <w:t xml:space="preserve"> this can make a real difference to the outcomes</w:t>
      </w:r>
      <w:r w:rsidRPr="00A01843">
        <w:t xml:space="preserve"> (e.g. see Wu &amp; Wooldridge, 2005</w:t>
      </w:r>
      <w:r w:rsidR="00276E6F" w:rsidRPr="00A01843">
        <w:rPr>
          <w:rStyle w:val="EndnoteReference"/>
        </w:rPr>
        <w:endnoteReference w:id="16"/>
      </w:r>
      <w:r w:rsidR="00276E6F" w:rsidRPr="00A01843">
        <w:t>)</w:t>
      </w:r>
      <w:r w:rsidR="00E65193" w:rsidRPr="00A01843">
        <w:t>, so we also included non-</w:t>
      </w:r>
      <w:r w:rsidR="00E814AB" w:rsidRPr="00A01843">
        <w:t>centred</w:t>
      </w:r>
      <w:r w:rsidR="00E65193" w:rsidRPr="00A01843">
        <w:t xml:space="preserve"> analyses. To summarise, we included one </w:t>
      </w:r>
      <w:r w:rsidR="007F2E98" w:rsidRPr="00A01843">
        <w:t>focus of</w:t>
      </w:r>
      <w:r w:rsidR="00E65193" w:rsidRPr="00A01843">
        <w:t xml:space="preserve"> analysis that was as close as possible to the original study, </w:t>
      </w:r>
      <w:r w:rsidR="007F2E98" w:rsidRPr="00A01843">
        <w:t>except for</w:t>
      </w:r>
      <w:r w:rsidR="00E814AB" w:rsidRPr="00A01843">
        <w:t xml:space="preserve"> vague reporting and </w:t>
      </w:r>
      <w:r w:rsidR="00E65193" w:rsidRPr="00A01843">
        <w:t xml:space="preserve">subject to dataset choice, with no missing data treatment, </w:t>
      </w:r>
      <w:r w:rsidR="00E814AB" w:rsidRPr="00A01843">
        <w:t>centring</w:t>
      </w:r>
      <w:r w:rsidR="00E65193" w:rsidRPr="00A01843">
        <w:t xml:space="preserve"> and </w:t>
      </w:r>
      <w:r w:rsidR="007F2E98" w:rsidRPr="00A01843">
        <w:t xml:space="preserve">including </w:t>
      </w:r>
      <w:r w:rsidR="00E65193" w:rsidRPr="00A01843">
        <w:t>only Kore</w:t>
      </w:r>
      <w:r w:rsidR="007F2E98" w:rsidRPr="00A01843">
        <w:t>a</w:t>
      </w:r>
      <w:r w:rsidR="00E65193" w:rsidRPr="00A01843">
        <w:t xml:space="preserve">. </w:t>
      </w:r>
      <w:r w:rsidR="00E814AB" w:rsidRPr="00A01843">
        <w:t xml:space="preserve">There were seven further analyses, </w:t>
      </w:r>
      <w:r w:rsidR="006C7F14" w:rsidRPr="00A01843">
        <w:t xml:space="preserve">with </w:t>
      </w:r>
      <w:r w:rsidR="00E814AB" w:rsidRPr="00A01843">
        <w:t>eight in total (2×2×2, [not_imputed-imputed]×[Korea-All_countries]×[centering-no_centering])</w:t>
      </w:r>
      <w:r w:rsidR="009F2C86" w:rsidRPr="00A01843">
        <w:t>, which included multilevel analyses with the variables presented in Table 1.</w:t>
      </w:r>
      <w:r w:rsidR="00E65193" w:rsidRPr="00A01843">
        <w:t xml:space="preserve"> </w:t>
      </w:r>
      <w:r w:rsidR="006C7F14" w:rsidRPr="00A01843">
        <w:t>Taken together</w:t>
      </w:r>
      <w:r w:rsidR="00E65193" w:rsidRPr="00A01843">
        <w:t xml:space="preserve">, many </w:t>
      </w:r>
      <w:r w:rsidR="001E0C0B" w:rsidRPr="00A01843">
        <w:t>analytical decisions</w:t>
      </w:r>
      <w:r w:rsidR="00E65193" w:rsidRPr="00A01843">
        <w:t xml:space="preserve"> are already introduced by the choice of dataset, with spin-off choices caus</w:t>
      </w:r>
      <w:r w:rsidR="006C7F14" w:rsidRPr="00A01843">
        <w:t>ing</w:t>
      </w:r>
      <w:r w:rsidR="00E65193" w:rsidRPr="00A01843">
        <w:t xml:space="preserve"> </w:t>
      </w:r>
      <w:r w:rsidR="007F2E98" w:rsidRPr="00A01843">
        <w:t>more decisions to be taken</w:t>
      </w:r>
      <w:r w:rsidR="00E65193" w:rsidRPr="00A01843">
        <w:t xml:space="preserve">, for example the missing data treatment </w:t>
      </w:r>
      <w:r w:rsidR="007354E9" w:rsidRPr="00A01843">
        <w:t>decisions</w:t>
      </w:r>
      <w:r w:rsidR="00E65193" w:rsidRPr="00A01843">
        <w:t xml:space="preserve"> </w:t>
      </w:r>
      <w:r w:rsidR="007F2E98" w:rsidRPr="00A01843">
        <w:t xml:space="preserve">(if any, and with what method) </w:t>
      </w:r>
      <w:r w:rsidR="00E65193" w:rsidRPr="00A01843">
        <w:t xml:space="preserve">or having to include all </w:t>
      </w:r>
      <w:r w:rsidR="00E65193" w:rsidRPr="00A01843">
        <w:lastRenderedPageBreak/>
        <w:t xml:space="preserve">five </w:t>
      </w:r>
      <w:r w:rsidR="006F25EE" w:rsidRPr="00A01843">
        <w:t>p</w:t>
      </w:r>
      <w:r w:rsidR="00E65193" w:rsidRPr="00A01843">
        <w:t xml:space="preserve">lausible </w:t>
      </w:r>
      <w:r w:rsidR="006F25EE" w:rsidRPr="00A01843">
        <w:t>v</w:t>
      </w:r>
      <w:r w:rsidR="00E65193" w:rsidRPr="00A01843">
        <w:t xml:space="preserve">alues. </w:t>
      </w:r>
      <w:r w:rsidR="007F2E98" w:rsidRPr="00A01843">
        <w:t>The</w:t>
      </w:r>
      <w:r w:rsidR="00E65193" w:rsidRPr="00A01843">
        <w:t xml:space="preserve"> implication</w:t>
      </w:r>
      <w:r w:rsidR="00DB5F78" w:rsidRPr="00A01843">
        <w:t>s</w:t>
      </w:r>
      <w:r w:rsidR="00E65193" w:rsidRPr="00A01843">
        <w:t xml:space="preserve"> </w:t>
      </w:r>
      <w:r w:rsidR="007F2E98" w:rsidRPr="00A01843">
        <w:t xml:space="preserve">of these are discussed </w:t>
      </w:r>
      <w:r w:rsidR="00E65193" w:rsidRPr="00A01843">
        <w:t xml:space="preserve">in the </w:t>
      </w:r>
      <w:r w:rsidR="007F2E98" w:rsidRPr="00A01843">
        <w:t>final</w:t>
      </w:r>
      <w:r w:rsidR="00E65193" w:rsidRPr="00A01843">
        <w:t xml:space="preserve"> section of th</w:t>
      </w:r>
      <w:r w:rsidR="007F2E98" w:rsidRPr="00A01843">
        <w:t>is</w:t>
      </w:r>
      <w:r w:rsidR="00E65193" w:rsidRPr="00A01843">
        <w:t xml:space="preserve"> article.</w:t>
      </w:r>
    </w:p>
    <w:p w14:paraId="11AA4250" w14:textId="77777777" w:rsidR="00C70C36" w:rsidRPr="00A01843" w:rsidRDefault="00C70C36" w:rsidP="003C47C1">
      <w:pPr>
        <w:pStyle w:val="Heading1"/>
      </w:pPr>
      <w:r w:rsidRPr="00A01843">
        <w:t>Results</w:t>
      </w:r>
    </w:p>
    <w:p w14:paraId="2539A82E" w14:textId="12C58D41" w:rsidR="00A01843" w:rsidRDefault="007C0B18" w:rsidP="003F4AD7">
      <w:r w:rsidRPr="00A01843">
        <w:t xml:space="preserve">The </w:t>
      </w:r>
      <w:r w:rsidR="00FA3E76" w:rsidRPr="00A01843">
        <w:t xml:space="preserve">final </w:t>
      </w:r>
      <w:r w:rsidRPr="00A01843">
        <w:t>analytic sample</w:t>
      </w:r>
      <w:r w:rsidR="00FA3E76" w:rsidRPr="00A01843">
        <w:t xml:space="preserve"> for the focal analysis</w:t>
      </w:r>
      <w:r w:rsidRPr="00A01843">
        <w:t xml:space="preserve"> included 2</w:t>
      </w:r>
      <w:r w:rsidR="006C7F14" w:rsidRPr="00A01843">
        <w:t>,</w:t>
      </w:r>
      <w:r w:rsidRPr="00A01843">
        <w:t>513 students from 135 schools, which met the stage1 required sample size of 1,006 (and the stage2 sample size 2,263 threshold)</w:t>
      </w:r>
      <w:r w:rsidR="006C7F14" w:rsidRPr="00A01843">
        <w:t>, as</w:t>
      </w:r>
      <w:r w:rsidRPr="00A01843">
        <w:t xml:space="preserve"> defined by the power analysis. The full model yielded a small, </w:t>
      </w:r>
      <w:r w:rsidR="00E777EE" w:rsidRPr="00A01843">
        <w:t xml:space="preserve">statistically </w:t>
      </w:r>
      <w:r w:rsidRPr="00A01843">
        <w:t xml:space="preserve">significant, negative (standardised) coefficient for S_SEX of -0.002, </w:t>
      </w:r>
      <w:r w:rsidRPr="00A01843">
        <w:rPr>
          <w:i/>
          <w:iCs/>
        </w:rPr>
        <w:t>p</w:t>
      </w:r>
      <w:r w:rsidRPr="00A01843">
        <w:t>=.0059</w:t>
      </w:r>
      <w:r w:rsidR="00276E6F" w:rsidRPr="00A01843">
        <w:rPr>
          <w:vertAlign w:val="superscript"/>
        </w:rPr>
        <w:endnoteReference w:id="17"/>
      </w:r>
      <w:r w:rsidR="00276E6F" w:rsidRPr="00A01843">
        <w:t>.</w:t>
      </w:r>
      <w:r w:rsidRPr="00A01843">
        <w:t xml:space="preserve"> This mean</w:t>
      </w:r>
      <w:r w:rsidR="00AD3EEC" w:rsidRPr="00A01843">
        <w:t>t</w:t>
      </w:r>
      <w:r w:rsidRPr="00A01843">
        <w:t xml:space="preserve"> that the </w:t>
      </w:r>
      <w:r w:rsidR="009B63C5" w:rsidRPr="00A01843">
        <w:t xml:space="preserve">original </w:t>
      </w:r>
      <w:r w:rsidRPr="00A01843">
        <w:t xml:space="preserve">result </w:t>
      </w:r>
      <w:r w:rsidR="00DB5F78" w:rsidRPr="00A01843">
        <w:t>was</w:t>
      </w:r>
      <w:r w:rsidRPr="00A01843">
        <w:t xml:space="preserve"> not replicated: girls </w:t>
      </w:r>
      <w:r w:rsidR="006C7F14" w:rsidRPr="00A01843">
        <w:t xml:space="preserve">performed </w:t>
      </w:r>
      <w:r w:rsidRPr="00A01843">
        <w:t>slightly worse than boys</w:t>
      </w:r>
      <w:r w:rsidR="00FA3E76" w:rsidRPr="00A01843">
        <w:t xml:space="preserve">. As described in the methodology section, seven additional analyses were run, </w:t>
      </w:r>
      <w:r w:rsidR="00E777EE" w:rsidRPr="00A01843">
        <w:t>i.e.</w:t>
      </w:r>
      <w:r w:rsidR="00FA3E76" w:rsidRPr="00A01843">
        <w:t xml:space="preserve"> eight analyses in total.</w:t>
      </w:r>
      <w:r w:rsidR="00205557" w:rsidRPr="00A01843">
        <w:t xml:space="preserve"> </w:t>
      </w:r>
      <w:r w:rsidR="00BC0FEE" w:rsidRPr="00A01843">
        <w:t xml:space="preserve">The results of the additional analyses show that single imputation generally </w:t>
      </w:r>
      <w:r w:rsidR="00BC0FEE" w:rsidRPr="00A01843">
        <w:rPr>
          <w:i/>
          <w:iCs/>
        </w:rPr>
        <w:t>does not</w:t>
      </w:r>
      <w:r w:rsidR="00BC0FEE" w:rsidRPr="00A01843">
        <w:t xml:space="preserve"> </w:t>
      </w:r>
      <w:r w:rsidR="00E777EE" w:rsidRPr="00A01843">
        <w:t>appear</w:t>
      </w:r>
      <w:r w:rsidR="00BC0FEE" w:rsidRPr="00A01843">
        <w:t xml:space="preserve"> to influence the </w:t>
      </w:r>
      <w:r w:rsidR="00AD3EEC" w:rsidRPr="00A01843">
        <w:t>outcome</w:t>
      </w:r>
      <w:r w:rsidR="00E777EE" w:rsidRPr="00A01843">
        <w:t>, whereas</w:t>
      </w:r>
      <w:r w:rsidR="00AD3EEC" w:rsidRPr="00A01843">
        <w:t xml:space="preserve"> </w:t>
      </w:r>
      <w:r w:rsidR="00205557" w:rsidRPr="00A01843">
        <w:t>centring</w:t>
      </w:r>
      <w:r w:rsidR="00BC0FEE" w:rsidRPr="00A01843">
        <w:t xml:space="preserve"> and the inclusion of all countries instead of Korea</w:t>
      </w:r>
      <w:r w:rsidR="00E777EE" w:rsidRPr="00A01843">
        <w:t xml:space="preserve"> alone</w:t>
      </w:r>
      <w:r w:rsidR="00BC0FEE" w:rsidRPr="00A01843">
        <w:t xml:space="preserve"> </w:t>
      </w:r>
      <w:r w:rsidR="00BC0FEE" w:rsidRPr="00A01843">
        <w:rPr>
          <w:i/>
          <w:iCs/>
        </w:rPr>
        <w:t>do</w:t>
      </w:r>
      <w:r w:rsidR="00AD3EEC" w:rsidRPr="00A01843">
        <w:rPr>
          <w:i/>
          <w:iCs/>
        </w:rPr>
        <w:t>es</w:t>
      </w:r>
      <w:r w:rsidR="00AD3EEC" w:rsidRPr="00A01843">
        <w:t xml:space="preserve"> seem to influence the outcomes</w:t>
      </w:r>
      <w:r w:rsidR="00205557" w:rsidRPr="00A01843">
        <w:t xml:space="preserve">, even reversing the main outcome, see Table </w:t>
      </w:r>
      <w:r w:rsidR="00E777EE" w:rsidRPr="00A01843">
        <w:t xml:space="preserve"> 2. </w:t>
      </w:r>
      <w:r w:rsidR="005E4F1B" w:rsidRPr="00A01843">
        <w:t>The bottom</w:t>
      </w:r>
      <w:r w:rsidR="00735294" w:rsidRPr="00A01843">
        <w:t xml:space="preserve"> seven</w:t>
      </w:r>
      <w:r w:rsidR="005E4F1B" w:rsidRPr="00A01843">
        <w:t xml:space="preserve"> rows in Table 2 show the parameters for the eight models.</w:t>
      </w:r>
    </w:p>
    <w:p w14:paraId="3FC8AAFD" w14:textId="77777777" w:rsidR="00A01843" w:rsidRDefault="00A01843">
      <w:pPr>
        <w:spacing w:line="240" w:lineRule="auto"/>
      </w:pPr>
      <w:r>
        <w:br w:type="page"/>
      </w:r>
    </w:p>
    <w:p w14:paraId="156B0AA0" w14:textId="77777777" w:rsidR="00A01843" w:rsidRDefault="00A01843" w:rsidP="003F4AD7">
      <w:pPr>
        <w:sectPr w:rsidR="00A01843" w:rsidSect="00E777EE">
          <w:headerReference w:type="even" r:id="rId8"/>
          <w:headerReference w:type="default" r:id="rId9"/>
          <w:footerReference w:type="even" r:id="rId10"/>
          <w:footerReference w:type="default" r:id="rId11"/>
          <w:headerReference w:type="first" r:id="rId12"/>
          <w:footerReference w:type="first" r:id="rId13"/>
          <w:endnotePr>
            <w:numFmt w:val="decimal"/>
          </w:endnotePr>
          <w:pgSz w:w="11901" w:h="16840" w:code="9"/>
          <w:pgMar w:top="1418" w:right="1701" w:bottom="1418" w:left="1701" w:header="709" w:footer="709" w:gutter="0"/>
          <w:cols w:space="708"/>
          <w:docGrid w:linePitch="360"/>
        </w:sectPr>
      </w:pPr>
    </w:p>
    <w:p w14:paraId="411F555F" w14:textId="77777777" w:rsidR="00A01843" w:rsidRPr="009D11E0" w:rsidRDefault="00A01843" w:rsidP="00A01843">
      <w:pPr>
        <w:pStyle w:val="Figurecaption"/>
      </w:pPr>
      <w:r w:rsidRPr="009D11E0">
        <w:lastRenderedPageBreak/>
        <w:t xml:space="preserve">Table </w:t>
      </w:r>
      <w:r w:rsidRPr="009D11E0">
        <w:fldChar w:fldCharType="begin"/>
      </w:r>
      <w:r w:rsidRPr="009D11E0">
        <w:instrText xml:space="preserve"> SEQ Table \* ARABIC </w:instrText>
      </w:r>
      <w:r w:rsidRPr="009D11E0">
        <w:fldChar w:fldCharType="separate"/>
      </w:r>
      <w:r w:rsidRPr="009D11E0">
        <w:rPr>
          <w:noProof/>
        </w:rPr>
        <w:t>2</w:t>
      </w:r>
      <w:r w:rsidRPr="009D11E0">
        <w:rPr>
          <w:noProof/>
        </w:rPr>
        <w:fldChar w:fldCharType="end"/>
      </w:r>
      <w:r w:rsidRPr="009D11E0">
        <w:t xml:space="preserve"> Eight models (one </w:t>
      </w:r>
      <w:proofErr w:type="gramStart"/>
      <w:r w:rsidRPr="009D11E0">
        <w:t>main focus</w:t>
      </w:r>
      <w:proofErr w:type="gramEnd"/>
      <w:r w:rsidRPr="009D11E0">
        <w:t xml:space="preserve"> of the analysis and seven alternative models). Rounded to three decimal places. * </w:t>
      </w:r>
      <w:r w:rsidRPr="009D11E0">
        <w:rPr>
          <w:i/>
          <w:iCs/>
        </w:rPr>
        <w:t xml:space="preserve">p </w:t>
      </w:r>
      <w:r w:rsidRPr="009D11E0">
        <w:t xml:space="preserve">&lt; .01, ** </w:t>
      </w:r>
      <w:r w:rsidRPr="009D11E0">
        <w:rPr>
          <w:i/>
          <w:iCs/>
        </w:rPr>
        <w:t xml:space="preserve">p </w:t>
      </w:r>
      <w:r w:rsidRPr="009D11E0">
        <w:t>&lt; 0.001</w:t>
      </w:r>
    </w:p>
    <w:tbl>
      <w:tblPr>
        <w:tblW w:w="0" w:type="auto"/>
        <w:tblLook w:val="04A0" w:firstRow="1" w:lastRow="0" w:firstColumn="1" w:lastColumn="0" w:noHBand="0" w:noVBand="1"/>
      </w:tblPr>
      <w:tblGrid>
        <w:gridCol w:w="1598"/>
        <w:gridCol w:w="943"/>
        <w:gridCol w:w="506"/>
        <w:gridCol w:w="943"/>
        <w:gridCol w:w="506"/>
        <w:gridCol w:w="1050"/>
        <w:gridCol w:w="562"/>
        <w:gridCol w:w="1050"/>
        <w:gridCol w:w="562"/>
        <w:gridCol w:w="993"/>
        <w:gridCol w:w="532"/>
        <w:gridCol w:w="993"/>
        <w:gridCol w:w="532"/>
        <w:gridCol w:w="1050"/>
        <w:gridCol w:w="562"/>
        <w:gridCol w:w="1050"/>
        <w:gridCol w:w="562"/>
      </w:tblGrid>
      <w:tr w:rsidR="00A01843" w:rsidRPr="009D11E0" w14:paraId="16D729DA" w14:textId="77777777" w:rsidTr="00A0184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AEA76" w14:textId="77777777" w:rsidR="00A01843" w:rsidRPr="009D11E0" w:rsidRDefault="00A01843" w:rsidP="00F00548">
            <w:pPr>
              <w:spacing w:line="240" w:lineRule="auto"/>
              <w:rPr>
                <w:rFonts w:ascii="Calibri" w:hAnsi="Calibri" w:cs="Calibri"/>
              </w:rPr>
            </w:pPr>
            <w:r w:rsidRPr="009D11E0">
              <w:t xml:space="preserve"> </w:t>
            </w:r>
            <w:r w:rsidRPr="009D11E0">
              <w:rPr>
                <w:rFonts w:ascii="Calibri" w:hAnsi="Calibri" w:cs="Calibri"/>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5A19F9D" w14:textId="77777777" w:rsidR="00A01843" w:rsidRPr="009D11E0" w:rsidRDefault="00A01843" w:rsidP="00F00548">
            <w:pPr>
              <w:spacing w:line="240" w:lineRule="auto"/>
              <w:rPr>
                <w:rFonts w:ascii="Calibri" w:hAnsi="Calibri" w:cs="Calibri"/>
                <w:b/>
                <w:bCs/>
              </w:rPr>
            </w:pPr>
            <w:r w:rsidRPr="009D11E0">
              <w:rPr>
                <w:rFonts w:ascii="Calibri" w:hAnsi="Calibri" w:cs="Calibri"/>
                <w:b/>
                <w:bCs/>
              </w:rPr>
              <w:t>Focal model</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4750F58" w14:textId="77777777" w:rsidR="00A01843" w:rsidRPr="009D11E0" w:rsidRDefault="00A01843" w:rsidP="00F00548">
            <w:pPr>
              <w:spacing w:line="240" w:lineRule="auto"/>
              <w:jc w:val="center"/>
              <w:rPr>
                <w:rFonts w:ascii="Calibri" w:hAnsi="Calibri" w:cs="Calibri"/>
                <w:b/>
                <w:bCs/>
              </w:rPr>
            </w:pPr>
            <w:r w:rsidRPr="009D11E0">
              <w:rPr>
                <w:rFonts w:ascii="Calibri" w:hAnsi="Calibri" w:cs="Calibri"/>
                <w:b/>
                <w:bCs/>
              </w:rPr>
              <w:t>a2</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9DA7D7B" w14:textId="77777777" w:rsidR="00A01843" w:rsidRPr="009D11E0" w:rsidRDefault="00A01843" w:rsidP="00F00548">
            <w:pPr>
              <w:spacing w:line="240" w:lineRule="auto"/>
              <w:jc w:val="center"/>
              <w:rPr>
                <w:rFonts w:ascii="Calibri" w:hAnsi="Calibri" w:cs="Calibri"/>
                <w:b/>
                <w:bCs/>
              </w:rPr>
            </w:pPr>
            <w:r w:rsidRPr="009D11E0">
              <w:rPr>
                <w:rFonts w:ascii="Calibri" w:hAnsi="Calibri" w:cs="Calibri"/>
                <w:b/>
                <w:bCs/>
              </w:rPr>
              <w:t>a3</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E0CC1B5" w14:textId="77777777" w:rsidR="00A01843" w:rsidRPr="009D11E0" w:rsidRDefault="00A01843" w:rsidP="00F00548">
            <w:pPr>
              <w:spacing w:line="240" w:lineRule="auto"/>
              <w:jc w:val="center"/>
              <w:rPr>
                <w:rFonts w:ascii="Calibri" w:hAnsi="Calibri" w:cs="Calibri"/>
                <w:b/>
                <w:bCs/>
              </w:rPr>
            </w:pPr>
            <w:r w:rsidRPr="009D11E0">
              <w:rPr>
                <w:rFonts w:ascii="Calibri" w:hAnsi="Calibri" w:cs="Calibri"/>
                <w:b/>
                <w:bCs/>
              </w:rPr>
              <w:t>a4</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A70176B" w14:textId="77777777" w:rsidR="00A01843" w:rsidRPr="009D11E0" w:rsidRDefault="00A01843" w:rsidP="00F00548">
            <w:pPr>
              <w:spacing w:line="240" w:lineRule="auto"/>
              <w:jc w:val="center"/>
              <w:rPr>
                <w:rFonts w:ascii="Calibri" w:hAnsi="Calibri" w:cs="Calibri"/>
                <w:b/>
                <w:bCs/>
              </w:rPr>
            </w:pPr>
            <w:r w:rsidRPr="009D11E0">
              <w:rPr>
                <w:rFonts w:ascii="Calibri" w:hAnsi="Calibri" w:cs="Calibri"/>
                <w:b/>
                <w:bCs/>
              </w:rPr>
              <w:t>a5</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93F3577" w14:textId="77777777" w:rsidR="00A01843" w:rsidRPr="009D11E0" w:rsidRDefault="00A01843" w:rsidP="00F00548">
            <w:pPr>
              <w:spacing w:line="240" w:lineRule="auto"/>
              <w:jc w:val="center"/>
              <w:rPr>
                <w:rFonts w:ascii="Calibri" w:hAnsi="Calibri" w:cs="Calibri"/>
                <w:b/>
                <w:bCs/>
              </w:rPr>
            </w:pPr>
            <w:r w:rsidRPr="009D11E0">
              <w:rPr>
                <w:rFonts w:ascii="Calibri" w:hAnsi="Calibri" w:cs="Calibri"/>
                <w:b/>
                <w:bCs/>
              </w:rPr>
              <w:t>a6</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F30F05" w14:textId="77777777" w:rsidR="00A01843" w:rsidRPr="009D11E0" w:rsidRDefault="00A01843" w:rsidP="00F00548">
            <w:pPr>
              <w:spacing w:line="240" w:lineRule="auto"/>
              <w:jc w:val="center"/>
              <w:rPr>
                <w:rFonts w:ascii="Calibri" w:hAnsi="Calibri" w:cs="Calibri"/>
                <w:b/>
                <w:bCs/>
              </w:rPr>
            </w:pPr>
            <w:r w:rsidRPr="009D11E0">
              <w:rPr>
                <w:rFonts w:ascii="Calibri" w:hAnsi="Calibri" w:cs="Calibri"/>
                <w:b/>
                <w:bCs/>
              </w:rPr>
              <w:t>a7</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F93DECC" w14:textId="77777777" w:rsidR="00A01843" w:rsidRPr="009D11E0" w:rsidRDefault="00A01843" w:rsidP="00F00548">
            <w:pPr>
              <w:spacing w:line="240" w:lineRule="auto"/>
              <w:jc w:val="center"/>
              <w:rPr>
                <w:rFonts w:ascii="Calibri" w:hAnsi="Calibri" w:cs="Calibri"/>
                <w:b/>
                <w:bCs/>
              </w:rPr>
            </w:pPr>
            <w:r w:rsidRPr="009D11E0">
              <w:rPr>
                <w:rFonts w:ascii="Calibri" w:hAnsi="Calibri" w:cs="Calibri"/>
                <w:b/>
                <w:bCs/>
              </w:rPr>
              <w:t>a8</w:t>
            </w:r>
          </w:p>
        </w:tc>
      </w:tr>
      <w:tr w:rsidR="00A01843" w:rsidRPr="009D11E0" w14:paraId="0DCA5753"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6D5FD8" w14:textId="77777777" w:rsidR="00A01843" w:rsidRPr="009D11E0" w:rsidRDefault="00A01843" w:rsidP="00F00548">
            <w:pPr>
              <w:spacing w:line="240" w:lineRule="auto"/>
              <w:rPr>
                <w:rFonts w:ascii="Calibri" w:hAnsi="Calibri" w:cs="Calibri"/>
              </w:rPr>
            </w:pPr>
            <w:r w:rsidRPr="009D11E0">
              <w:rPr>
                <w:rFonts w:ascii="Calibri" w:hAnsi="Calibri" w:cs="Calibri"/>
              </w:rPr>
              <w:t>INTERCEPT</w:t>
            </w:r>
          </w:p>
        </w:tc>
        <w:tc>
          <w:tcPr>
            <w:tcW w:w="0" w:type="auto"/>
            <w:tcBorders>
              <w:top w:val="nil"/>
              <w:left w:val="nil"/>
              <w:bottom w:val="single" w:sz="4" w:space="0" w:color="auto"/>
              <w:right w:val="single" w:sz="4" w:space="0" w:color="auto"/>
            </w:tcBorders>
            <w:shd w:val="clear" w:color="000000" w:fill="FFFFFF"/>
            <w:noWrap/>
            <w:vAlign w:val="center"/>
            <w:hideMark/>
          </w:tcPr>
          <w:p w14:paraId="1A02BE88"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533.710</w:t>
            </w:r>
          </w:p>
        </w:tc>
        <w:tc>
          <w:tcPr>
            <w:tcW w:w="0" w:type="auto"/>
            <w:tcBorders>
              <w:top w:val="nil"/>
              <w:left w:val="nil"/>
              <w:bottom w:val="single" w:sz="4" w:space="0" w:color="auto"/>
              <w:right w:val="single" w:sz="4" w:space="0" w:color="auto"/>
            </w:tcBorders>
            <w:shd w:val="clear" w:color="auto" w:fill="auto"/>
            <w:noWrap/>
            <w:vAlign w:val="bottom"/>
            <w:hideMark/>
          </w:tcPr>
          <w:p w14:paraId="765431CF"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1707BA34"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280.992</w:t>
            </w:r>
          </w:p>
        </w:tc>
        <w:tc>
          <w:tcPr>
            <w:tcW w:w="0" w:type="auto"/>
            <w:tcBorders>
              <w:top w:val="nil"/>
              <w:left w:val="nil"/>
              <w:bottom w:val="single" w:sz="4" w:space="0" w:color="auto"/>
              <w:right w:val="single" w:sz="4" w:space="0" w:color="auto"/>
            </w:tcBorders>
            <w:shd w:val="clear" w:color="auto" w:fill="auto"/>
            <w:noWrap/>
            <w:vAlign w:val="bottom"/>
            <w:hideMark/>
          </w:tcPr>
          <w:p w14:paraId="1E7F14DD"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0C50301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529.338</w:t>
            </w:r>
          </w:p>
        </w:tc>
        <w:tc>
          <w:tcPr>
            <w:tcW w:w="0" w:type="auto"/>
            <w:tcBorders>
              <w:top w:val="nil"/>
              <w:left w:val="nil"/>
              <w:bottom w:val="single" w:sz="4" w:space="0" w:color="auto"/>
              <w:right w:val="single" w:sz="4" w:space="0" w:color="auto"/>
            </w:tcBorders>
            <w:shd w:val="clear" w:color="auto" w:fill="auto"/>
            <w:noWrap/>
            <w:vAlign w:val="bottom"/>
            <w:hideMark/>
          </w:tcPr>
          <w:p w14:paraId="7B509E1D"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ECEC99A"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226.579</w:t>
            </w:r>
          </w:p>
        </w:tc>
        <w:tc>
          <w:tcPr>
            <w:tcW w:w="0" w:type="auto"/>
            <w:tcBorders>
              <w:top w:val="nil"/>
              <w:left w:val="nil"/>
              <w:bottom w:val="single" w:sz="4" w:space="0" w:color="auto"/>
              <w:right w:val="single" w:sz="4" w:space="0" w:color="auto"/>
            </w:tcBorders>
            <w:shd w:val="clear" w:color="auto" w:fill="auto"/>
            <w:noWrap/>
            <w:vAlign w:val="bottom"/>
            <w:hideMark/>
          </w:tcPr>
          <w:p w14:paraId="3E18F795"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EDED26A"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510.358</w:t>
            </w:r>
          </w:p>
        </w:tc>
        <w:tc>
          <w:tcPr>
            <w:tcW w:w="0" w:type="auto"/>
            <w:tcBorders>
              <w:top w:val="nil"/>
              <w:left w:val="nil"/>
              <w:bottom w:val="single" w:sz="4" w:space="0" w:color="auto"/>
              <w:right w:val="single" w:sz="4" w:space="0" w:color="auto"/>
            </w:tcBorders>
            <w:shd w:val="clear" w:color="auto" w:fill="auto"/>
            <w:noWrap/>
            <w:vAlign w:val="bottom"/>
            <w:hideMark/>
          </w:tcPr>
          <w:p w14:paraId="253B0AB2"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65160E8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371.876</w:t>
            </w:r>
          </w:p>
        </w:tc>
        <w:tc>
          <w:tcPr>
            <w:tcW w:w="0" w:type="auto"/>
            <w:tcBorders>
              <w:top w:val="nil"/>
              <w:left w:val="nil"/>
              <w:bottom w:val="single" w:sz="4" w:space="0" w:color="auto"/>
              <w:right w:val="single" w:sz="4" w:space="0" w:color="auto"/>
            </w:tcBorders>
            <w:shd w:val="clear" w:color="auto" w:fill="auto"/>
            <w:noWrap/>
            <w:vAlign w:val="bottom"/>
            <w:hideMark/>
          </w:tcPr>
          <w:p w14:paraId="1A373B6A"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3EF0F19"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497.676</w:t>
            </w:r>
          </w:p>
        </w:tc>
        <w:tc>
          <w:tcPr>
            <w:tcW w:w="0" w:type="auto"/>
            <w:tcBorders>
              <w:top w:val="nil"/>
              <w:left w:val="nil"/>
              <w:bottom w:val="single" w:sz="4" w:space="0" w:color="auto"/>
              <w:right w:val="single" w:sz="4" w:space="0" w:color="auto"/>
            </w:tcBorders>
            <w:shd w:val="clear" w:color="auto" w:fill="auto"/>
            <w:noWrap/>
            <w:vAlign w:val="bottom"/>
            <w:hideMark/>
          </w:tcPr>
          <w:p w14:paraId="152317C3"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7E5359F8"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369.209</w:t>
            </w:r>
          </w:p>
        </w:tc>
        <w:tc>
          <w:tcPr>
            <w:tcW w:w="0" w:type="auto"/>
            <w:tcBorders>
              <w:top w:val="nil"/>
              <w:left w:val="nil"/>
              <w:bottom w:val="single" w:sz="4" w:space="0" w:color="auto"/>
              <w:right w:val="single" w:sz="4" w:space="0" w:color="auto"/>
            </w:tcBorders>
            <w:shd w:val="clear" w:color="auto" w:fill="auto"/>
            <w:noWrap/>
            <w:vAlign w:val="bottom"/>
            <w:hideMark/>
          </w:tcPr>
          <w:p w14:paraId="5EAF7FE5"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r>
      <w:tr w:rsidR="00A01843" w:rsidRPr="009D11E0" w14:paraId="6F057CE9"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84CA8B" w14:textId="77777777" w:rsidR="00A01843" w:rsidRPr="009D11E0" w:rsidRDefault="00A01843" w:rsidP="00F00548">
            <w:pPr>
              <w:spacing w:line="240" w:lineRule="auto"/>
              <w:rPr>
                <w:rFonts w:ascii="Calibri" w:hAnsi="Calibri" w:cs="Calibri"/>
              </w:rPr>
            </w:pPr>
            <w:r w:rsidRPr="009D11E0">
              <w:rPr>
                <w:rFonts w:ascii="Calibri" w:hAnsi="Calibri" w:cs="Calibri"/>
              </w:rPr>
              <w:t>S_SEX</w:t>
            </w:r>
          </w:p>
        </w:tc>
        <w:tc>
          <w:tcPr>
            <w:tcW w:w="0" w:type="auto"/>
            <w:tcBorders>
              <w:top w:val="nil"/>
              <w:left w:val="nil"/>
              <w:bottom w:val="single" w:sz="4" w:space="0" w:color="auto"/>
              <w:right w:val="single" w:sz="4" w:space="0" w:color="auto"/>
            </w:tcBorders>
            <w:shd w:val="clear" w:color="000000" w:fill="FFFFFF"/>
            <w:noWrap/>
            <w:vAlign w:val="center"/>
            <w:hideMark/>
          </w:tcPr>
          <w:p w14:paraId="4F5B0399"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-0.002</w:t>
            </w:r>
          </w:p>
        </w:tc>
        <w:tc>
          <w:tcPr>
            <w:tcW w:w="0" w:type="auto"/>
            <w:tcBorders>
              <w:top w:val="nil"/>
              <w:left w:val="nil"/>
              <w:bottom w:val="single" w:sz="4" w:space="0" w:color="auto"/>
              <w:right w:val="single" w:sz="4" w:space="0" w:color="auto"/>
            </w:tcBorders>
            <w:shd w:val="clear" w:color="auto" w:fill="auto"/>
            <w:noWrap/>
            <w:vAlign w:val="bottom"/>
            <w:hideMark/>
          </w:tcPr>
          <w:p w14:paraId="71A5DAE6"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02CB8CFD"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30.017</w:t>
            </w:r>
          </w:p>
        </w:tc>
        <w:tc>
          <w:tcPr>
            <w:tcW w:w="0" w:type="auto"/>
            <w:tcBorders>
              <w:top w:val="nil"/>
              <w:left w:val="nil"/>
              <w:bottom w:val="single" w:sz="4" w:space="0" w:color="auto"/>
              <w:right w:val="single" w:sz="4" w:space="0" w:color="auto"/>
            </w:tcBorders>
            <w:shd w:val="clear" w:color="auto" w:fill="auto"/>
            <w:noWrap/>
            <w:vAlign w:val="bottom"/>
            <w:hideMark/>
          </w:tcPr>
          <w:p w14:paraId="55EC7AE2"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6C331A0D"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-0.002</w:t>
            </w:r>
          </w:p>
        </w:tc>
        <w:tc>
          <w:tcPr>
            <w:tcW w:w="0" w:type="auto"/>
            <w:tcBorders>
              <w:top w:val="nil"/>
              <w:left w:val="nil"/>
              <w:bottom w:val="single" w:sz="4" w:space="0" w:color="auto"/>
              <w:right w:val="single" w:sz="4" w:space="0" w:color="auto"/>
            </w:tcBorders>
            <w:shd w:val="clear" w:color="auto" w:fill="auto"/>
            <w:noWrap/>
            <w:vAlign w:val="bottom"/>
            <w:hideMark/>
          </w:tcPr>
          <w:p w14:paraId="7F7B4F6B"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38A2AEE3"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30.917</w:t>
            </w:r>
          </w:p>
        </w:tc>
        <w:tc>
          <w:tcPr>
            <w:tcW w:w="0" w:type="auto"/>
            <w:tcBorders>
              <w:top w:val="nil"/>
              <w:left w:val="nil"/>
              <w:bottom w:val="single" w:sz="4" w:space="0" w:color="auto"/>
              <w:right w:val="single" w:sz="4" w:space="0" w:color="auto"/>
            </w:tcBorders>
            <w:shd w:val="clear" w:color="auto" w:fill="auto"/>
            <w:noWrap/>
            <w:vAlign w:val="bottom"/>
            <w:hideMark/>
          </w:tcPr>
          <w:p w14:paraId="541C0D69"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33B51E8"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-0.013</w:t>
            </w:r>
          </w:p>
        </w:tc>
        <w:tc>
          <w:tcPr>
            <w:tcW w:w="0" w:type="auto"/>
            <w:tcBorders>
              <w:top w:val="nil"/>
              <w:left w:val="nil"/>
              <w:bottom w:val="single" w:sz="4" w:space="0" w:color="auto"/>
              <w:right w:val="single" w:sz="4" w:space="0" w:color="auto"/>
            </w:tcBorders>
            <w:shd w:val="clear" w:color="auto" w:fill="auto"/>
            <w:noWrap/>
            <w:vAlign w:val="bottom"/>
            <w:hideMark/>
          </w:tcPr>
          <w:p w14:paraId="25C2062D"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F73BE79"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17.149</w:t>
            </w:r>
          </w:p>
        </w:tc>
        <w:tc>
          <w:tcPr>
            <w:tcW w:w="0" w:type="auto"/>
            <w:tcBorders>
              <w:top w:val="nil"/>
              <w:left w:val="nil"/>
              <w:bottom w:val="single" w:sz="4" w:space="0" w:color="auto"/>
              <w:right w:val="single" w:sz="4" w:space="0" w:color="auto"/>
            </w:tcBorders>
            <w:shd w:val="clear" w:color="auto" w:fill="auto"/>
            <w:noWrap/>
            <w:vAlign w:val="bottom"/>
            <w:hideMark/>
          </w:tcPr>
          <w:p w14:paraId="365EDE6E"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7087FDD2"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-0.018</w:t>
            </w:r>
          </w:p>
        </w:tc>
        <w:tc>
          <w:tcPr>
            <w:tcW w:w="0" w:type="auto"/>
            <w:tcBorders>
              <w:top w:val="nil"/>
              <w:left w:val="nil"/>
              <w:bottom w:val="single" w:sz="4" w:space="0" w:color="auto"/>
              <w:right w:val="single" w:sz="4" w:space="0" w:color="auto"/>
            </w:tcBorders>
            <w:shd w:val="clear" w:color="auto" w:fill="auto"/>
            <w:noWrap/>
            <w:vAlign w:val="bottom"/>
            <w:hideMark/>
          </w:tcPr>
          <w:p w14:paraId="2C2155A7"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5DFC4F5"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16.635</w:t>
            </w:r>
          </w:p>
        </w:tc>
        <w:tc>
          <w:tcPr>
            <w:tcW w:w="0" w:type="auto"/>
            <w:tcBorders>
              <w:top w:val="nil"/>
              <w:left w:val="nil"/>
              <w:bottom w:val="single" w:sz="4" w:space="0" w:color="auto"/>
              <w:right w:val="single" w:sz="4" w:space="0" w:color="auto"/>
            </w:tcBorders>
            <w:shd w:val="clear" w:color="auto" w:fill="auto"/>
            <w:noWrap/>
            <w:vAlign w:val="bottom"/>
            <w:hideMark/>
          </w:tcPr>
          <w:p w14:paraId="4493A3F3"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r>
      <w:tr w:rsidR="00A01843" w:rsidRPr="009D11E0" w14:paraId="0D742B68"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95FC77" w14:textId="77777777" w:rsidR="00A01843" w:rsidRPr="009D11E0" w:rsidRDefault="00A01843" w:rsidP="00F00548">
            <w:pPr>
              <w:spacing w:line="240" w:lineRule="auto"/>
              <w:rPr>
                <w:rFonts w:ascii="Calibri" w:hAnsi="Calibri" w:cs="Calibri"/>
              </w:rPr>
            </w:pPr>
            <w:r w:rsidRPr="009D11E0">
              <w:rPr>
                <w:rFonts w:ascii="Calibri" w:hAnsi="Calibri" w:cs="Calibri"/>
              </w:rPr>
              <w:t>IS2G30</w:t>
            </w:r>
          </w:p>
        </w:tc>
        <w:tc>
          <w:tcPr>
            <w:tcW w:w="0" w:type="auto"/>
            <w:tcBorders>
              <w:top w:val="nil"/>
              <w:left w:val="nil"/>
              <w:bottom w:val="single" w:sz="4" w:space="0" w:color="auto"/>
              <w:right w:val="single" w:sz="4" w:space="0" w:color="auto"/>
            </w:tcBorders>
            <w:shd w:val="clear" w:color="000000" w:fill="FFFFFF"/>
            <w:noWrap/>
            <w:vAlign w:val="center"/>
            <w:hideMark/>
          </w:tcPr>
          <w:p w14:paraId="55034AF4"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-0.001</w:t>
            </w:r>
          </w:p>
        </w:tc>
        <w:tc>
          <w:tcPr>
            <w:tcW w:w="0" w:type="auto"/>
            <w:tcBorders>
              <w:top w:val="nil"/>
              <w:left w:val="nil"/>
              <w:bottom w:val="single" w:sz="4" w:space="0" w:color="auto"/>
              <w:right w:val="single" w:sz="4" w:space="0" w:color="auto"/>
            </w:tcBorders>
            <w:shd w:val="clear" w:color="auto" w:fill="auto"/>
            <w:noWrap/>
            <w:vAlign w:val="bottom"/>
            <w:hideMark/>
          </w:tcPr>
          <w:p w14:paraId="7A5F57CA"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6B7E8D4"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44.372</w:t>
            </w:r>
          </w:p>
        </w:tc>
        <w:tc>
          <w:tcPr>
            <w:tcW w:w="0" w:type="auto"/>
            <w:tcBorders>
              <w:top w:val="nil"/>
              <w:left w:val="nil"/>
              <w:bottom w:val="single" w:sz="4" w:space="0" w:color="auto"/>
              <w:right w:val="single" w:sz="4" w:space="0" w:color="auto"/>
            </w:tcBorders>
            <w:shd w:val="clear" w:color="auto" w:fill="auto"/>
            <w:noWrap/>
            <w:vAlign w:val="bottom"/>
            <w:hideMark/>
          </w:tcPr>
          <w:p w14:paraId="486BDE03"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6D31007D"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-0.001</w:t>
            </w:r>
          </w:p>
        </w:tc>
        <w:tc>
          <w:tcPr>
            <w:tcW w:w="0" w:type="auto"/>
            <w:tcBorders>
              <w:top w:val="nil"/>
              <w:left w:val="nil"/>
              <w:bottom w:val="single" w:sz="4" w:space="0" w:color="auto"/>
              <w:right w:val="single" w:sz="4" w:space="0" w:color="auto"/>
            </w:tcBorders>
            <w:shd w:val="clear" w:color="auto" w:fill="auto"/>
            <w:noWrap/>
            <w:vAlign w:val="bottom"/>
            <w:hideMark/>
          </w:tcPr>
          <w:p w14:paraId="0BECAEBA"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1F7DE07"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44.055</w:t>
            </w:r>
          </w:p>
        </w:tc>
        <w:tc>
          <w:tcPr>
            <w:tcW w:w="0" w:type="auto"/>
            <w:tcBorders>
              <w:top w:val="nil"/>
              <w:left w:val="nil"/>
              <w:bottom w:val="single" w:sz="4" w:space="0" w:color="auto"/>
              <w:right w:val="single" w:sz="4" w:space="0" w:color="auto"/>
            </w:tcBorders>
            <w:shd w:val="clear" w:color="auto" w:fill="auto"/>
            <w:noWrap/>
            <w:vAlign w:val="bottom"/>
            <w:hideMark/>
          </w:tcPr>
          <w:p w14:paraId="6D0D7ED1"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39C714AF"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257141B0"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F1B4B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8.078</w:t>
            </w:r>
          </w:p>
        </w:tc>
        <w:tc>
          <w:tcPr>
            <w:tcW w:w="0" w:type="auto"/>
            <w:tcBorders>
              <w:top w:val="nil"/>
              <w:left w:val="nil"/>
              <w:bottom w:val="single" w:sz="4" w:space="0" w:color="auto"/>
              <w:right w:val="single" w:sz="4" w:space="0" w:color="auto"/>
            </w:tcBorders>
            <w:shd w:val="clear" w:color="auto" w:fill="auto"/>
            <w:noWrap/>
            <w:vAlign w:val="bottom"/>
            <w:hideMark/>
          </w:tcPr>
          <w:p w14:paraId="47AD7CCF"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599E5DE"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-0.008</w:t>
            </w:r>
          </w:p>
        </w:tc>
        <w:tc>
          <w:tcPr>
            <w:tcW w:w="0" w:type="auto"/>
            <w:tcBorders>
              <w:top w:val="nil"/>
              <w:left w:val="nil"/>
              <w:bottom w:val="single" w:sz="4" w:space="0" w:color="auto"/>
              <w:right w:val="single" w:sz="4" w:space="0" w:color="auto"/>
            </w:tcBorders>
            <w:shd w:val="clear" w:color="auto" w:fill="auto"/>
            <w:noWrap/>
            <w:vAlign w:val="bottom"/>
            <w:hideMark/>
          </w:tcPr>
          <w:p w14:paraId="5C14593A"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3AFEF46"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10.374</w:t>
            </w:r>
          </w:p>
        </w:tc>
        <w:tc>
          <w:tcPr>
            <w:tcW w:w="0" w:type="auto"/>
            <w:tcBorders>
              <w:top w:val="nil"/>
              <w:left w:val="nil"/>
              <w:bottom w:val="single" w:sz="4" w:space="0" w:color="auto"/>
              <w:right w:val="single" w:sz="4" w:space="0" w:color="auto"/>
            </w:tcBorders>
            <w:shd w:val="clear" w:color="auto" w:fill="auto"/>
            <w:noWrap/>
            <w:vAlign w:val="bottom"/>
            <w:hideMark/>
          </w:tcPr>
          <w:p w14:paraId="5F7B04CE"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r>
      <w:tr w:rsidR="00A01843" w:rsidRPr="009D11E0" w14:paraId="4DD87003"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B1DCB8" w14:textId="77777777" w:rsidR="00A01843" w:rsidRPr="009D11E0" w:rsidRDefault="00A01843" w:rsidP="00F00548">
            <w:pPr>
              <w:spacing w:line="240" w:lineRule="auto"/>
              <w:rPr>
                <w:rFonts w:ascii="Calibri" w:hAnsi="Calibri" w:cs="Calibri"/>
              </w:rPr>
            </w:pPr>
            <w:r w:rsidRPr="009D11E0">
              <w:rPr>
                <w:rFonts w:ascii="Calibri" w:hAnsi="Calibri" w:cs="Calibri"/>
              </w:rPr>
              <w:t>S_USESTD</w:t>
            </w:r>
          </w:p>
        </w:tc>
        <w:tc>
          <w:tcPr>
            <w:tcW w:w="0" w:type="auto"/>
            <w:tcBorders>
              <w:top w:val="nil"/>
              <w:left w:val="nil"/>
              <w:bottom w:val="single" w:sz="4" w:space="0" w:color="auto"/>
              <w:right w:val="single" w:sz="4" w:space="0" w:color="auto"/>
            </w:tcBorders>
            <w:shd w:val="clear" w:color="000000" w:fill="FFFFFF"/>
            <w:noWrap/>
            <w:vAlign w:val="center"/>
            <w:hideMark/>
          </w:tcPr>
          <w:p w14:paraId="0E6D5191"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12DEEF89"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D9815AB"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0.472</w:t>
            </w:r>
          </w:p>
        </w:tc>
        <w:tc>
          <w:tcPr>
            <w:tcW w:w="0" w:type="auto"/>
            <w:tcBorders>
              <w:top w:val="nil"/>
              <w:left w:val="nil"/>
              <w:bottom w:val="single" w:sz="4" w:space="0" w:color="auto"/>
              <w:right w:val="single" w:sz="4" w:space="0" w:color="auto"/>
            </w:tcBorders>
            <w:shd w:val="clear" w:color="auto" w:fill="auto"/>
            <w:noWrap/>
            <w:vAlign w:val="bottom"/>
            <w:hideMark/>
          </w:tcPr>
          <w:p w14:paraId="1E83EBC2"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F83284"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5DB6BEE7"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6C692A9"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0.424</w:t>
            </w:r>
          </w:p>
        </w:tc>
        <w:tc>
          <w:tcPr>
            <w:tcW w:w="0" w:type="auto"/>
            <w:tcBorders>
              <w:top w:val="nil"/>
              <w:left w:val="nil"/>
              <w:bottom w:val="single" w:sz="4" w:space="0" w:color="auto"/>
              <w:right w:val="single" w:sz="4" w:space="0" w:color="auto"/>
            </w:tcBorders>
            <w:shd w:val="clear" w:color="auto" w:fill="auto"/>
            <w:noWrap/>
            <w:vAlign w:val="bottom"/>
            <w:hideMark/>
          </w:tcPr>
          <w:p w14:paraId="4AF54911"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00EBB1"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0.001</w:t>
            </w:r>
          </w:p>
        </w:tc>
        <w:tc>
          <w:tcPr>
            <w:tcW w:w="0" w:type="auto"/>
            <w:tcBorders>
              <w:top w:val="nil"/>
              <w:left w:val="nil"/>
              <w:bottom w:val="single" w:sz="4" w:space="0" w:color="auto"/>
              <w:right w:val="single" w:sz="4" w:space="0" w:color="auto"/>
            </w:tcBorders>
            <w:shd w:val="clear" w:color="auto" w:fill="auto"/>
            <w:noWrap/>
            <w:vAlign w:val="bottom"/>
            <w:hideMark/>
          </w:tcPr>
          <w:p w14:paraId="215EA8F7"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84C008"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-0.286</w:t>
            </w:r>
          </w:p>
        </w:tc>
        <w:tc>
          <w:tcPr>
            <w:tcW w:w="0" w:type="auto"/>
            <w:tcBorders>
              <w:top w:val="nil"/>
              <w:left w:val="nil"/>
              <w:bottom w:val="single" w:sz="4" w:space="0" w:color="auto"/>
              <w:right w:val="single" w:sz="4" w:space="0" w:color="auto"/>
            </w:tcBorders>
            <w:shd w:val="clear" w:color="auto" w:fill="auto"/>
            <w:noWrap/>
            <w:vAlign w:val="bottom"/>
            <w:hideMark/>
          </w:tcPr>
          <w:p w14:paraId="4AC7C481"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CA5B48"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0.001</w:t>
            </w:r>
          </w:p>
        </w:tc>
        <w:tc>
          <w:tcPr>
            <w:tcW w:w="0" w:type="auto"/>
            <w:tcBorders>
              <w:top w:val="nil"/>
              <w:left w:val="nil"/>
              <w:bottom w:val="single" w:sz="4" w:space="0" w:color="auto"/>
              <w:right w:val="single" w:sz="4" w:space="0" w:color="auto"/>
            </w:tcBorders>
            <w:shd w:val="clear" w:color="auto" w:fill="auto"/>
            <w:noWrap/>
            <w:vAlign w:val="bottom"/>
            <w:hideMark/>
          </w:tcPr>
          <w:p w14:paraId="2A1CD1DE"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ABFD1A"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-0.295</w:t>
            </w:r>
          </w:p>
        </w:tc>
        <w:tc>
          <w:tcPr>
            <w:tcW w:w="0" w:type="auto"/>
            <w:tcBorders>
              <w:top w:val="nil"/>
              <w:left w:val="nil"/>
              <w:bottom w:val="single" w:sz="4" w:space="0" w:color="auto"/>
              <w:right w:val="single" w:sz="4" w:space="0" w:color="auto"/>
            </w:tcBorders>
            <w:shd w:val="clear" w:color="auto" w:fill="auto"/>
            <w:noWrap/>
            <w:vAlign w:val="bottom"/>
            <w:hideMark/>
          </w:tcPr>
          <w:p w14:paraId="1719A4EA"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r>
      <w:tr w:rsidR="00A01843" w:rsidRPr="009D11E0" w14:paraId="6F73FA49"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4DF61D" w14:textId="77777777" w:rsidR="00A01843" w:rsidRPr="009D11E0" w:rsidRDefault="00A01843" w:rsidP="00F00548">
            <w:pPr>
              <w:spacing w:line="240" w:lineRule="auto"/>
              <w:rPr>
                <w:rFonts w:ascii="Calibri" w:hAnsi="Calibri" w:cs="Calibri"/>
              </w:rPr>
            </w:pPr>
            <w:r w:rsidRPr="009D11E0">
              <w:rPr>
                <w:rFonts w:ascii="Calibri" w:hAnsi="Calibri" w:cs="Calibri"/>
              </w:rPr>
              <w:t>S_ICTLRN</w:t>
            </w:r>
          </w:p>
        </w:tc>
        <w:tc>
          <w:tcPr>
            <w:tcW w:w="0" w:type="auto"/>
            <w:tcBorders>
              <w:top w:val="nil"/>
              <w:left w:val="nil"/>
              <w:bottom w:val="single" w:sz="4" w:space="0" w:color="auto"/>
              <w:right w:val="single" w:sz="4" w:space="0" w:color="auto"/>
            </w:tcBorders>
            <w:shd w:val="clear" w:color="000000" w:fill="FFFFFF"/>
            <w:noWrap/>
            <w:vAlign w:val="center"/>
            <w:hideMark/>
          </w:tcPr>
          <w:p w14:paraId="60E773E6"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2A5635B2"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56B0CD"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0.738</w:t>
            </w:r>
          </w:p>
        </w:tc>
        <w:tc>
          <w:tcPr>
            <w:tcW w:w="0" w:type="auto"/>
            <w:tcBorders>
              <w:top w:val="nil"/>
              <w:left w:val="nil"/>
              <w:bottom w:val="single" w:sz="4" w:space="0" w:color="auto"/>
              <w:right w:val="single" w:sz="4" w:space="0" w:color="auto"/>
            </w:tcBorders>
            <w:shd w:val="clear" w:color="auto" w:fill="auto"/>
            <w:noWrap/>
            <w:vAlign w:val="bottom"/>
            <w:hideMark/>
          </w:tcPr>
          <w:p w14:paraId="40C978B9"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0C29194B"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1FBBFBAF"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9B32D36"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0.690</w:t>
            </w:r>
          </w:p>
        </w:tc>
        <w:tc>
          <w:tcPr>
            <w:tcW w:w="0" w:type="auto"/>
            <w:tcBorders>
              <w:top w:val="nil"/>
              <w:left w:val="nil"/>
              <w:bottom w:val="single" w:sz="4" w:space="0" w:color="auto"/>
              <w:right w:val="single" w:sz="4" w:space="0" w:color="auto"/>
            </w:tcBorders>
            <w:shd w:val="clear" w:color="auto" w:fill="auto"/>
            <w:noWrap/>
            <w:vAlign w:val="bottom"/>
            <w:hideMark/>
          </w:tcPr>
          <w:p w14:paraId="39DA32C8"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02DAE50C"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-0.001</w:t>
            </w:r>
          </w:p>
        </w:tc>
        <w:tc>
          <w:tcPr>
            <w:tcW w:w="0" w:type="auto"/>
            <w:tcBorders>
              <w:top w:val="nil"/>
              <w:left w:val="nil"/>
              <w:bottom w:val="single" w:sz="4" w:space="0" w:color="auto"/>
              <w:right w:val="single" w:sz="4" w:space="0" w:color="auto"/>
            </w:tcBorders>
            <w:shd w:val="clear" w:color="auto" w:fill="auto"/>
            <w:noWrap/>
            <w:vAlign w:val="bottom"/>
            <w:hideMark/>
          </w:tcPr>
          <w:p w14:paraId="2291AE4A"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D817D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0.598</w:t>
            </w:r>
          </w:p>
        </w:tc>
        <w:tc>
          <w:tcPr>
            <w:tcW w:w="0" w:type="auto"/>
            <w:tcBorders>
              <w:top w:val="nil"/>
              <w:left w:val="nil"/>
              <w:bottom w:val="single" w:sz="4" w:space="0" w:color="auto"/>
              <w:right w:val="single" w:sz="4" w:space="0" w:color="auto"/>
            </w:tcBorders>
            <w:shd w:val="clear" w:color="auto" w:fill="auto"/>
            <w:noWrap/>
            <w:vAlign w:val="bottom"/>
            <w:hideMark/>
          </w:tcPr>
          <w:p w14:paraId="0216699F"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30DEB12F"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-0.002</w:t>
            </w:r>
          </w:p>
        </w:tc>
        <w:tc>
          <w:tcPr>
            <w:tcW w:w="0" w:type="auto"/>
            <w:tcBorders>
              <w:top w:val="nil"/>
              <w:left w:val="nil"/>
              <w:bottom w:val="single" w:sz="4" w:space="0" w:color="auto"/>
              <w:right w:val="single" w:sz="4" w:space="0" w:color="auto"/>
            </w:tcBorders>
            <w:shd w:val="clear" w:color="auto" w:fill="auto"/>
            <w:noWrap/>
            <w:vAlign w:val="bottom"/>
            <w:hideMark/>
          </w:tcPr>
          <w:p w14:paraId="6A40294C"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A7D358E"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0.647</w:t>
            </w:r>
          </w:p>
        </w:tc>
        <w:tc>
          <w:tcPr>
            <w:tcW w:w="0" w:type="auto"/>
            <w:tcBorders>
              <w:top w:val="nil"/>
              <w:left w:val="nil"/>
              <w:bottom w:val="single" w:sz="4" w:space="0" w:color="auto"/>
              <w:right w:val="single" w:sz="4" w:space="0" w:color="auto"/>
            </w:tcBorders>
            <w:shd w:val="clear" w:color="auto" w:fill="auto"/>
            <w:noWrap/>
            <w:vAlign w:val="bottom"/>
            <w:hideMark/>
          </w:tcPr>
          <w:p w14:paraId="707C6678"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r>
      <w:tr w:rsidR="00A01843" w:rsidRPr="009D11E0" w14:paraId="59C77B77"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55A38D" w14:textId="77777777" w:rsidR="00A01843" w:rsidRPr="009D11E0" w:rsidRDefault="00A01843" w:rsidP="00F00548">
            <w:pPr>
              <w:spacing w:line="240" w:lineRule="auto"/>
              <w:rPr>
                <w:rFonts w:ascii="Calibri" w:hAnsi="Calibri" w:cs="Calibri"/>
              </w:rPr>
            </w:pPr>
            <w:r w:rsidRPr="009D11E0">
              <w:rPr>
                <w:rFonts w:ascii="Calibri" w:hAnsi="Calibri" w:cs="Calibri"/>
              </w:rPr>
              <w:t>S_ICTFUT</w:t>
            </w:r>
          </w:p>
        </w:tc>
        <w:tc>
          <w:tcPr>
            <w:tcW w:w="0" w:type="auto"/>
            <w:tcBorders>
              <w:top w:val="nil"/>
              <w:left w:val="nil"/>
              <w:bottom w:val="single" w:sz="4" w:space="0" w:color="auto"/>
              <w:right w:val="single" w:sz="4" w:space="0" w:color="auto"/>
            </w:tcBorders>
            <w:shd w:val="clear" w:color="000000" w:fill="FFFFFF"/>
            <w:noWrap/>
            <w:vAlign w:val="center"/>
            <w:hideMark/>
          </w:tcPr>
          <w:p w14:paraId="23703AC1"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238AD27C"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1FB9A6C1"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0.902</w:t>
            </w:r>
          </w:p>
        </w:tc>
        <w:tc>
          <w:tcPr>
            <w:tcW w:w="0" w:type="auto"/>
            <w:tcBorders>
              <w:top w:val="nil"/>
              <w:left w:val="nil"/>
              <w:bottom w:val="single" w:sz="4" w:space="0" w:color="auto"/>
              <w:right w:val="single" w:sz="4" w:space="0" w:color="auto"/>
            </w:tcBorders>
            <w:shd w:val="clear" w:color="auto" w:fill="auto"/>
            <w:noWrap/>
            <w:vAlign w:val="bottom"/>
            <w:hideMark/>
          </w:tcPr>
          <w:p w14:paraId="303F0D6F"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7DF3348F"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76345EF6"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22BFDE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0.831</w:t>
            </w:r>
          </w:p>
        </w:tc>
        <w:tc>
          <w:tcPr>
            <w:tcW w:w="0" w:type="auto"/>
            <w:tcBorders>
              <w:top w:val="nil"/>
              <w:left w:val="nil"/>
              <w:bottom w:val="single" w:sz="4" w:space="0" w:color="auto"/>
              <w:right w:val="single" w:sz="4" w:space="0" w:color="auto"/>
            </w:tcBorders>
            <w:shd w:val="clear" w:color="auto" w:fill="auto"/>
            <w:noWrap/>
            <w:vAlign w:val="bottom"/>
            <w:hideMark/>
          </w:tcPr>
          <w:p w14:paraId="7CB7539C"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200F94B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10C7F816"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28516CB"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0.469</w:t>
            </w:r>
          </w:p>
        </w:tc>
        <w:tc>
          <w:tcPr>
            <w:tcW w:w="0" w:type="auto"/>
            <w:tcBorders>
              <w:top w:val="nil"/>
              <w:left w:val="nil"/>
              <w:bottom w:val="single" w:sz="4" w:space="0" w:color="auto"/>
              <w:right w:val="single" w:sz="4" w:space="0" w:color="auto"/>
            </w:tcBorders>
            <w:shd w:val="clear" w:color="auto" w:fill="auto"/>
            <w:noWrap/>
            <w:vAlign w:val="bottom"/>
            <w:hideMark/>
          </w:tcPr>
          <w:p w14:paraId="26C8496E"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6CB5D913"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17559F1F"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C62D6C"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0.407</w:t>
            </w:r>
          </w:p>
        </w:tc>
        <w:tc>
          <w:tcPr>
            <w:tcW w:w="0" w:type="auto"/>
            <w:tcBorders>
              <w:top w:val="nil"/>
              <w:left w:val="nil"/>
              <w:bottom w:val="single" w:sz="4" w:space="0" w:color="auto"/>
              <w:right w:val="single" w:sz="4" w:space="0" w:color="auto"/>
            </w:tcBorders>
            <w:shd w:val="clear" w:color="auto" w:fill="auto"/>
            <w:noWrap/>
            <w:vAlign w:val="bottom"/>
            <w:hideMark/>
          </w:tcPr>
          <w:p w14:paraId="2FC954D0"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r>
      <w:tr w:rsidR="00A01843" w:rsidRPr="009D11E0" w14:paraId="4E21F869"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D85E25" w14:textId="77777777" w:rsidR="00A01843" w:rsidRPr="009D11E0" w:rsidRDefault="00A01843" w:rsidP="00F00548">
            <w:pPr>
              <w:spacing w:line="240" w:lineRule="auto"/>
              <w:rPr>
                <w:rFonts w:ascii="Calibri" w:hAnsi="Calibri" w:cs="Calibri"/>
              </w:rPr>
            </w:pPr>
            <w:r w:rsidRPr="009D11E0">
              <w:rPr>
                <w:rFonts w:ascii="Calibri" w:hAnsi="Calibri" w:cs="Calibri"/>
              </w:rPr>
              <w:t>S_USECOM</w:t>
            </w:r>
          </w:p>
        </w:tc>
        <w:tc>
          <w:tcPr>
            <w:tcW w:w="0" w:type="auto"/>
            <w:tcBorders>
              <w:top w:val="nil"/>
              <w:left w:val="nil"/>
              <w:bottom w:val="single" w:sz="4" w:space="0" w:color="auto"/>
              <w:right w:val="single" w:sz="4" w:space="0" w:color="auto"/>
            </w:tcBorders>
            <w:shd w:val="clear" w:color="000000" w:fill="FFFFFF"/>
            <w:noWrap/>
            <w:vAlign w:val="center"/>
            <w:hideMark/>
          </w:tcPr>
          <w:p w14:paraId="0BA08A16"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28DE1CE6"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C077227"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0.403</w:t>
            </w:r>
          </w:p>
        </w:tc>
        <w:tc>
          <w:tcPr>
            <w:tcW w:w="0" w:type="auto"/>
            <w:tcBorders>
              <w:top w:val="nil"/>
              <w:left w:val="nil"/>
              <w:bottom w:val="single" w:sz="4" w:space="0" w:color="auto"/>
              <w:right w:val="single" w:sz="4" w:space="0" w:color="auto"/>
            </w:tcBorders>
            <w:shd w:val="clear" w:color="auto" w:fill="auto"/>
            <w:noWrap/>
            <w:vAlign w:val="bottom"/>
            <w:hideMark/>
          </w:tcPr>
          <w:p w14:paraId="74B330C2"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9628694"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73D1983B"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AC9FFAD"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0.383</w:t>
            </w:r>
          </w:p>
        </w:tc>
        <w:tc>
          <w:tcPr>
            <w:tcW w:w="0" w:type="auto"/>
            <w:tcBorders>
              <w:top w:val="nil"/>
              <w:left w:val="nil"/>
              <w:bottom w:val="single" w:sz="4" w:space="0" w:color="auto"/>
              <w:right w:val="single" w:sz="4" w:space="0" w:color="auto"/>
            </w:tcBorders>
            <w:shd w:val="clear" w:color="auto" w:fill="auto"/>
            <w:noWrap/>
            <w:vAlign w:val="bottom"/>
            <w:hideMark/>
          </w:tcPr>
          <w:p w14:paraId="42626D95"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512CFE2"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4DBDFA60"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C3B1696"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0.052</w:t>
            </w:r>
          </w:p>
        </w:tc>
        <w:tc>
          <w:tcPr>
            <w:tcW w:w="0" w:type="auto"/>
            <w:tcBorders>
              <w:top w:val="nil"/>
              <w:left w:val="nil"/>
              <w:bottom w:val="single" w:sz="4" w:space="0" w:color="auto"/>
              <w:right w:val="single" w:sz="4" w:space="0" w:color="auto"/>
            </w:tcBorders>
            <w:shd w:val="clear" w:color="auto" w:fill="auto"/>
            <w:noWrap/>
            <w:vAlign w:val="bottom"/>
            <w:hideMark/>
          </w:tcPr>
          <w:p w14:paraId="51DE2693"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27AA414"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-0.001</w:t>
            </w:r>
          </w:p>
        </w:tc>
        <w:tc>
          <w:tcPr>
            <w:tcW w:w="0" w:type="auto"/>
            <w:tcBorders>
              <w:top w:val="nil"/>
              <w:left w:val="nil"/>
              <w:bottom w:val="single" w:sz="4" w:space="0" w:color="auto"/>
              <w:right w:val="single" w:sz="4" w:space="0" w:color="auto"/>
            </w:tcBorders>
            <w:shd w:val="clear" w:color="auto" w:fill="auto"/>
            <w:noWrap/>
            <w:vAlign w:val="bottom"/>
            <w:hideMark/>
          </w:tcPr>
          <w:p w14:paraId="45F56277"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1CF48D8"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0.214</w:t>
            </w:r>
          </w:p>
        </w:tc>
        <w:tc>
          <w:tcPr>
            <w:tcW w:w="0" w:type="auto"/>
            <w:tcBorders>
              <w:top w:val="nil"/>
              <w:left w:val="nil"/>
              <w:bottom w:val="single" w:sz="4" w:space="0" w:color="auto"/>
              <w:right w:val="single" w:sz="4" w:space="0" w:color="auto"/>
            </w:tcBorders>
            <w:shd w:val="clear" w:color="auto" w:fill="auto"/>
            <w:noWrap/>
            <w:vAlign w:val="bottom"/>
            <w:hideMark/>
          </w:tcPr>
          <w:p w14:paraId="382A699A"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r>
      <w:tr w:rsidR="00A01843" w:rsidRPr="009D11E0" w14:paraId="48AC7588"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43A838" w14:textId="77777777" w:rsidR="00A01843" w:rsidRPr="009D11E0" w:rsidRDefault="00A01843" w:rsidP="00F00548">
            <w:pPr>
              <w:spacing w:line="240" w:lineRule="auto"/>
              <w:rPr>
                <w:rFonts w:ascii="Calibri" w:hAnsi="Calibri" w:cs="Calibri"/>
              </w:rPr>
            </w:pPr>
            <w:r w:rsidRPr="009D11E0">
              <w:rPr>
                <w:rFonts w:ascii="Calibri" w:hAnsi="Calibri" w:cs="Calibri"/>
              </w:rPr>
              <w:t>ICT_INTO</w:t>
            </w:r>
          </w:p>
        </w:tc>
        <w:tc>
          <w:tcPr>
            <w:tcW w:w="0" w:type="auto"/>
            <w:tcBorders>
              <w:top w:val="nil"/>
              <w:left w:val="nil"/>
              <w:bottom w:val="single" w:sz="4" w:space="0" w:color="auto"/>
              <w:right w:val="single" w:sz="4" w:space="0" w:color="auto"/>
            </w:tcBorders>
            <w:shd w:val="clear" w:color="000000" w:fill="FFFFFF"/>
            <w:noWrap/>
            <w:vAlign w:val="center"/>
            <w:hideMark/>
          </w:tcPr>
          <w:p w14:paraId="2699182E"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5A415A27"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82C61E9"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13.337</w:t>
            </w:r>
          </w:p>
        </w:tc>
        <w:tc>
          <w:tcPr>
            <w:tcW w:w="0" w:type="auto"/>
            <w:tcBorders>
              <w:top w:val="nil"/>
              <w:left w:val="nil"/>
              <w:bottom w:val="single" w:sz="4" w:space="0" w:color="auto"/>
              <w:right w:val="single" w:sz="4" w:space="0" w:color="auto"/>
            </w:tcBorders>
            <w:shd w:val="clear" w:color="auto" w:fill="auto"/>
            <w:noWrap/>
            <w:vAlign w:val="bottom"/>
            <w:hideMark/>
          </w:tcPr>
          <w:p w14:paraId="79B4F604"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2E4EF782"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2679FA0A"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7A13DF"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14.847</w:t>
            </w:r>
          </w:p>
        </w:tc>
        <w:tc>
          <w:tcPr>
            <w:tcW w:w="0" w:type="auto"/>
            <w:tcBorders>
              <w:top w:val="nil"/>
              <w:left w:val="nil"/>
              <w:bottom w:val="single" w:sz="4" w:space="0" w:color="auto"/>
              <w:right w:val="single" w:sz="4" w:space="0" w:color="auto"/>
            </w:tcBorders>
            <w:shd w:val="clear" w:color="auto" w:fill="auto"/>
            <w:noWrap/>
            <w:vAlign w:val="bottom"/>
            <w:hideMark/>
          </w:tcPr>
          <w:p w14:paraId="56591B5E"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337BB852"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-0.009</w:t>
            </w:r>
          </w:p>
        </w:tc>
        <w:tc>
          <w:tcPr>
            <w:tcW w:w="0" w:type="auto"/>
            <w:tcBorders>
              <w:top w:val="nil"/>
              <w:left w:val="nil"/>
              <w:bottom w:val="single" w:sz="4" w:space="0" w:color="auto"/>
              <w:right w:val="single" w:sz="4" w:space="0" w:color="auto"/>
            </w:tcBorders>
            <w:shd w:val="clear" w:color="auto" w:fill="auto"/>
            <w:noWrap/>
            <w:vAlign w:val="bottom"/>
            <w:hideMark/>
          </w:tcPr>
          <w:p w14:paraId="2C5AED18"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467A4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13.694</w:t>
            </w:r>
          </w:p>
        </w:tc>
        <w:tc>
          <w:tcPr>
            <w:tcW w:w="0" w:type="auto"/>
            <w:tcBorders>
              <w:top w:val="nil"/>
              <w:left w:val="nil"/>
              <w:bottom w:val="single" w:sz="4" w:space="0" w:color="auto"/>
              <w:right w:val="single" w:sz="4" w:space="0" w:color="auto"/>
            </w:tcBorders>
            <w:shd w:val="clear" w:color="auto" w:fill="auto"/>
            <w:noWrap/>
            <w:vAlign w:val="bottom"/>
            <w:hideMark/>
          </w:tcPr>
          <w:p w14:paraId="25CCBC7F"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3A682669"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-0.008</w:t>
            </w:r>
          </w:p>
        </w:tc>
        <w:tc>
          <w:tcPr>
            <w:tcW w:w="0" w:type="auto"/>
            <w:tcBorders>
              <w:top w:val="nil"/>
              <w:left w:val="nil"/>
              <w:bottom w:val="single" w:sz="4" w:space="0" w:color="auto"/>
              <w:right w:val="single" w:sz="4" w:space="0" w:color="auto"/>
            </w:tcBorders>
            <w:shd w:val="clear" w:color="auto" w:fill="auto"/>
            <w:noWrap/>
            <w:vAlign w:val="bottom"/>
            <w:hideMark/>
          </w:tcPr>
          <w:p w14:paraId="48964E8E"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507135"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14.104</w:t>
            </w:r>
          </w:p>
        </w:tc>
        <w:tc>
          <w:tcPr>
            <w:tcW w:w="0" w:type="auto"/>
            <w:tcBorders>
              <w:top w:val="nil"/>
              <w:left w:val="nil"/>
              <w:bottom w:val="single" w:sz="4" w:space="0" w:color="auto"/>
              <w:right w:val="single" w:sz="4" w:space="0" w:color="auto"/>
            </w:tcBorders>
            <w:shd w:val="clear" w:color="auto" w:fill="auto"/>
            <w:noWrap/>
            <w:vAlign w:val="bottom"/>
            <w:hideMark/>
          </w:tcPr>
          <w:p w14:paraId="2E13CD01"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r>
      <w:tr w:rsidR="00A01843" w:rsidRPr="009D11E0" w14:paraId="01675487"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25B7E7" w14:textId="77777777" w:rsidR="00A01843" w:rsidRPr="009D11E0" w:rsidRDefault="00A01843" w:rsidP="00F00548">
            <w:pPr>
              <w:spacing w:line="240" w:lineRule="auto"/>
              <w:rPr>
                <w:rFonts w:ascii="Calibri" w:hAnsi="Calibri" w:cs="Calibri"/>
              </w:rPr>
            </w:pPr>
            <w:r w:rsidRPr="009D11E0">
              <w:rPr>
                <w:rFonts w:ascii="Calibri" w:hAnsi="Calibri" w:cs="Calibri"/>
              </w:rPr>
              <w:t>ICT_INTS</w:t>
            </w:r>
          </w:p>
        </w:tc>
        <w:tc>
          <w:tcPr>
            <w:tcW w:w="0" w:type="auto"/>
            <w:tcBorders>
              <w:top w:val="nil"/>
              <w:left w:val="nil"/>
              <w:bottom w:val="single" w:sz="4" w:space="0" w:color="auto"/>
              <w:right w:val="single" w:sz="4" w:space="0" w:color="auto"/>
            </w:tcBorders>
            <w:shd w:val="clear" w:color="000000" w:fill="FFFFFF"/>
            <w:noWrap/>
            <w:vAlign w:val="center"/>
            <w:hideMark/>
          </w:tcPr>
          <w:p w14:paraId="110CD61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347CDFAE"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59DF512"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-3.624</w:t>
            </w:r>
          </w:p>
        </w:tc>
        <w:tc>
          <w:tcPr>
            <w:tcW w:w="0" w:type="auto"/>
            <w:tcBorders>
              <w:top w:val="nil"/>
              <w:left w:val="nil"/>
              <w:bottom w:val="single" w:sz="4" w:space="0" w:color="auto"/>
              <w:right w:val="single" w:sz="4" w:space="0" w:color="auto"/>
            </w:tcBorders>
            <w:shd w:val="clear" w:color="auto" w:fill="auto"/>
            <w:noWrap/>
            <w:vAlign w:val="bottom"/>
            <w:hideMark/>
          </w:tcPr>
          <w:p w14:paraId="07CF8BBC"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3056C1"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-0.001</w:t>
            </w:r>
          </w:p>
        </w:tc>
        <w:tc>
          <w:tcPr>
            <w:tcW w:w="0" w:type="auto"/>
            <w:tcBorders>
              <w:top w:val="nil"/>
              <w:left w:val="nil"/>
              <w:bottom w:val="single" w:sz="4" w:space="0" w:color="auto"/>
              <w:right w:val="single" w:sz="4" w:space="0" w:color="auto"/>
            </w:tcBorders>
            <w:shd w:val="clear" w:color="auto" w:fill="auto"/>
            <w:noWrap/>
            <w:vAlign w:val="bottom"/>
            <w:hideMark/>
          </w:tcPr>
          <w:p w14:paraId="197D1171"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12E208"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-3.775</w:t>
            </w:r>
          </w:p>
        </w:tc>
        <w:tc>
          <w:tcPr>
            <w:tcW w:w="0" w:type="auto"/>
            <w:tcBorders>
              <w:top w:val="nil"/>
              <w:left w:val="nil"/>
              <w:bottom w:val="single" w:sz="4" w:space="0" w:color="auto"/>
              <w:right w:val="single" w:sz="4" w:space="0" w:color="auto"/>
            </w:tcBorders>
            <w:shd w:val="clear" w:color="auto" w:fill="auto"/>
            <w:noWrap/>
            <w:vAlign w:val="bottom"/>
            <w:hideMark/>
          </w:tcPr>
          <w:p w14:paraId="65763FC5"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7953F1"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0.007</w:t>
            </w:r>
          </w:p>
        </w:tc>
        <w:tc>
          <w:tcPr>
            <w:tcW w:w="0" w:type="auto"/>
            <w:tcBorders>
              <w:top w:val="nil"/>
              <w:left w:val="nil"/>
              <w:bottom w:val="single" w:sz="4" w:space="0" w:color="auto"/>
              <w:right w:val="single" w:sz="4" w:space="0" w:color="auto"/>
            </w:tcBorders>
            <w:shd w:val="clear" w:color="auto" w:fill="auto"/>
            <w:noWrap/>
            <w:vAlign w:val="bottom"/>
            <w:hideMark/>
          </w:tcPr>
          <w:p w14:paraId="3D960331"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0542F2"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-10.539</w:t>
            </w:r>
          </w:p>
        </w:tc>
        <w:tc>
          <w:tcPr>
            <w:tcW w:w="0" w:type="auto"/>
            <w:tcBorders>
              <w:top w:val="nil"/>
              <w:left w:val="nil"/>
              <w:bottom w:val="single" w:sz="4" w:space="0" w:color="auto"/>
              <w:right w:val="single" w:sz="4" w:space="0" w:color="auto"/>
            </w:tcBorders>
            <w:shd w:val="clear" w:color="auto" w:fill="auto"/>
            <w:noWrap/>
            <w:vAlign w:val="bottom"/>
            <w:hideMark/>
          </w:tcPr>
          <w:p w14:paraId="47E61714"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611039F3"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0.005</w:t>
            </w:r>
          </w:p>
        </w:tc>
        <w:tc>
          <w:tcPr>
            <w:tcW w:w="0" w:type="auto"/>
            <w:tcBorders>
              <w:top w:val="nil"/>
              <w:left w:val="nil"/>
              <w:bottom w:val="single" w:sz="4" w:space="0" w:color="auto"/>
              <w:right w:val="single" w:sz="4" w:space="0" w:color="auto"/>
            </w:tcBorders>
            <w:shd w:val="clear" w:color="auto" w:fill="auto"/>
            <w:noWrap/>
            <w:vAlign w:val="bottom"/>
            <w:hideMark/>
          </w:tcPr>
          <w:p w14:paraId="468BF765"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29EA88D"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-12.362</w:t>
            </w:r>
          </w:p>
        </w:tc>
        <w:tc>
          <w:tcPr>
            <w:tcW w:w="0" w:type="auto"/>
            <w:tcBorders>
              <w:top w:val="nil"/>
              <w:left w:val="nil"/>
              <w:bottom w:val="single" w:sz="4" w:space="0" w:color="auto"/>
              <w:right w:val="single" w:sz="4" w:space="0" w:color="auto"/>
            </w:tcBorders>
            <w:shd w:val="clear" w:color="auto" w:fill="auto"/>
            <w:noWrap/>
            <w:vAlign w:val="bottom"/>
            <w:hideMark/>
          </w:tcPr>
          <w:p w14:paraId="1BB4C7F2"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r>
      <w:tr w:rsidR="00A01843" w:rsidRPr="009D11E0" w14:paraId="0FEE5522"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227FB4" w14:textId="77777777" w:rsidR="00A01843" w:rsidRPr="009D11E0" w:rsidRDefault="00A01843" w:rsidP="00F00548">
            <w:pPr>
              <w:spacing w:line="240" w:lineRule="auto"/>
              <w:rPr>
                <w:rFonts w:ascii="Calibri" w:hAnsi="Calibri" w:cs="Calibri"/>
              </w:rPr>
            </w:pPr>
            <w:r w:rsidRPr="009D11E0">
              <w:rPr>
                <w:rFonts w:ascii="Calibri" w:hAnsi="Calibri" w:cs="Calibri"/>
              </w:rPr>
              <w:t>S_USEINF</w:t>
            </w:r>
          </w:p>
        </w:tc>
        <w:tc>
          <w:tcPr>
            <w:tcW w:w="0" w:type="auto"/>
            <w:tcBorders>
              <w:top w:val="nil"/>
              <w:left w:val="nil"/>
              <w:bottom w:val="single" w:sz="4" w:space="0" w:color="auto"/>
              <w:right w:val="single" w:sz="4" w:space="0" w:color="auto"/>
            </w:tcBorders>
            <w:shd w:val="clear" w:color="000000" w:fill="FFFFFF"/>
            <w:noWrap/>
            <w:vAlign w:val="center"/>
            <w:hideMark/>
          </w:tcPr>
          <w:p w14:paraId="6A8A133A"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4E108098"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222FF7"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-0.801</w:t>
            </w:r>
          </w:p>
        </w:tc>
        <w:tc>
          <w:tcPr>
            <w:tcW w:w="0" w:type="auto"/>
            <w:tcBorders>
              <w:top w:val="nil"/>
              <w:left w:val="nil"/>
              <w:bottom w:val="single" w:sz="4" w:space="0" w:color="auto"/>
              <w:right w:val="single" w:sz="4" w:space="0" w:color="auto"/>
            </w:tcBorders>
            <w:shd w:val="clear" w:color="auto" w:fill="auto"/>
            <w:noWrap/>
            <w:vAlign w:val="bottom"/>
            <w:hideMark/>
          </w:tcPr>
          <w:p w14:paraId="3C971463"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0AF5E4E6"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0.000</w:t>
            </w:r>
          </w:p>
        </w:tc>
        <w:tc>
          <w:tcPr>
            <w:tcW w:w="0" w:type="auto"/>
            <w:tcBorders>
              <w:top w:val="nil"/>
              <w:left w:val="nil"/>
              <w:bottom w:val="single" w:sz="4" w:space="0" w:color="auto"/>
              <w:right w:val="single" w:sz="4" w:space="0" w:color="auto"/>
            </w:tcBorders>
            <w:shd w:val="clear" w:color="auto" w:fill="auto"/>
            <w:noWrap/>
            <w:vAlign w:val="bottom"/>
            <w:hideMark/>
          </w:tcPr>
          <w:p w14:paraId="165AF13F"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39E5BF6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-0.812</w:t>
            </w:r>
          </w:p>
        </w:tc>
        <w:tc>
          <w:tcPr>
            <w:tcW w:w="0" w:type="auto"/>
            <w:tcBorders>
              <w:top w:val="nil"/>
              <w:left w:val="nil"/>
              <w:bottom w:val="single" w:sz="4" w:space="0" w:color="auto"/>
              <w:right w:val="single" w:sz="4" w:space="0" w:color="auto"/>
            </w:tcBorders>
            <w:shd w:val="clear" w:color="auto" w:fill="auto"/>
            <w:noWrap/>
            <w:vAlign w:val="bottom"/>
            <w:hideMark/>
          </w:tcPr>
          <w:p w14:paraId="3DEB9646"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11F0D173"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0.001</w:t>
            </w:r>
          </w:p>
        </w:tc>
        <w:tc>
          <w:tcPr>
            <w:tcW w:w="0" w:type="auto"/>
            <w:tcBorders>
              <w:top w:val="nil"/>
              <w:left w:val="nil"/>
              <w:bottom w:val="single" w:sz="4" w:space="0" w:color="auto"/>
              <w:right w:val="single" w:sz="4" w:space="0" w:color="auto"/>
            </w:tcBorders>
            <w:shd w:val="clear" w:color="auto" w:fill="auto"/>
            <w:noWrap/>
            <w:vAlign w:val="bottom"/>
            <w:hideMark/>
          </w:tcPr>
          <w:p w14:paraId="5E9FF055"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38D3D8A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-0.828</w:t>
            </w:r>
          </w:p>
        </w:tc>
        <w:tc>
          <w:tcPr>
            <w:tcW w:w="0" w:type="auto"/>
            <w:tcBorders>
              <w:top w:val="nil"/>
              <w:left w:val="nil"/>
              <w:bottom w:val="single" w:sz="4" w:space="0" w:color="auto"/>
              <w:right w:val="single" w:sz="4" w:space="0" w:color="auto"/>
            </w:tcBorders>
            <w:shd w:val="clear" w:color="auto" w:fill="auto"/>
            <w:noWrap/>
            <w:vAlign w:val="bottom"/>
            <w:hideMark/>
          </w:tcPr>
          <w:p w14:paraId="322A539C"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1CD64737"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0.002</w:t>
            </w:r>
          </w:p>
        </w:tc>
        <w:tc>
          <w:tcPr>
            <w:tcW w:w="0" w:type="auto"/>
            <w:tcBorders>
              <w:top w:val="nil"/>
              <w:left w:val="nil"/>
              <w:bottom w:val="single" w:sz="4" w:space="0" w:color="auto"/>
              <w:right w:val="single" w:sz="4" w:space="0" w:color="auto"/>
            </w:tcBorders>
            <w:shd w:val="clear" w:color="auto" w:fill="auto"/>
            <w:noWrap/>
            <w:vAlign w:val="bottom"/>
            <w:hideMark/>
          </w:tcPr>
          <w:p w14:paraId="6376BDA7"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5D56A41B"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-1.087</w:t>
            </w:r>
          </w:p>
        </w:tc>
        <w:tc>
          <w:tcPr>
            <w:tcW w:w="0" w:type="auto"/>
            <w:tcBorders>
              <w:top w:val="nil"/>
              <w:left w:val="nil"/>
              <w:bottom w:val="single" w:sz="4" w:space="0" w:color="auto"/>
              <w:right w:val="single" w:sz="4" w:space="0" w:color="auto"/>
            </w:tcBorders>
            <w:shd w:val="clear" w:color="auto" w:fill="auto"/>
            <w:noWrap/>
            <w:vAlign w:val="bottom"/>
            <w:hideMark/>
          </w:tcPr>
          <w:p w14:paraId="5FE283FC"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r>
      <w:tr w:rsidR="00A01843" w:rsidRPr="009D11E0" w14:paraId="43BC673E"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44B31F" w14:textId="77777777" w:rsidR="00A01843" w:rsidRPr="009D11E0" w:rsidRDefault="00A01843" w:rsidP="00F00548">
            <w:pPr>
              <w:spacing w:line="240" w:lineRule="auto"/>
              <w:rPr>
                <w:rFonts w:ascii="Calibri" w:hAnsi="Calibri" w:cs="Calibri"/>
              </w:rPr>
            </w:pPr>
            <w:r w:rsidRPr="009D11E0">
              <w:rPr>
                <w:rFonts w:ascii="Calibri" w:hAnsi="Calibri" w:cs="Calibri"/>
              </w:rPr>
              <w:t>P_NUMSTD_CAT</w:t>
            </w:r>
          </w:p>
        </w:tc>
        <w:tc>
          <w:tcPr>
            <w:tcW w:w="0" w:type="auto"/>
            <w:tcBorders>
              <w:top w:val="nil"/>
              <w:left w:val="nil"/>
              <w:bottom w:val="single" w:sz="4" w:space="0" w:color="auto"/>
              <w:right w:val="single" w:sz="4" w:space="0" w:color="auto"/>
            </w:tcBorders>
            <w:shd w:val="clear" w:color="000000" w:fill="FFFFFF"/>
            <w:noWrap/>
            <w:vAlign w:val="center"/>
            <w:hideMark/>
          </w:tcPr>
          <w:p w14:paraId="779887D2"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4.996</w:t>
            </w:r>
          </w:p>
        </w:tc>
        <w:tc>
          <w:tcPr>
            <w:tcW w:w="0" w:type="auto"/>
            <w:tcBorders>
              <w:top w:val="nil"/>
              <w:left w:val="nil"/>
              <w:bottom w:val="single" w:sz="4" w:space="0" w:color="auto"/>
              <w:right w:val="single" w:sz="4" w:space="0" w:color="auto"/>
            </w:tcBorders>
            <w:shd w:val="clear" w:color="auto" w:fill="auto"/>
            <w:noWrap/>
            <w:vAlign w:val="bottom"/>
            <w:hideMark/>
          </w:tcPr>
          <w:p w14:paraId="319F8225"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F508CD9"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12.145</w:t>
            </w:r>
          </w:p>
        </w:tc>
        <w:tc>
          <w:tcPr>
            <w:tcW w:w="0" w:type="auto"/>
            <w:tcBorders>
              <w:top w:val="nil"/>
              <w:left w:val="nil"/>
              <w:bottom w:val="single" w:sz="4" w:space="0" w:color="auto"/>
              <w:right w:val="single" w:sz="4" w:space="0" w:color="auto"/>
            </w:tcBorders>
            <w:shd w:val="clear" w:color="auto" w:fill="auto"/>
            <w:noWrap/>
            <w:vAlign w:val="bottom"/>
            <w:hideMark/>
          </w:tcPr>
          <w:p w14:paraId="60383EA4"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68C8034D"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4.791</w:t>
            </w:r>
          </w:p>
        </w:tc>
        <w:tc>
          <w:tcPr>
            <w:tcW w:w="0" w:type="auto"/>
            <w:tcBorders>
              <w:top w:val="nil"/>
              <w:left w:val="nil"/>
              <w:bottom w:val="single" w:sz="4" w:space="0" w:color="auto"/>
              <w:right w:val="single" w:sz="4" w:space="0" w:color="auto"/>
            </w:tcBorders>
            <w:shd w:val="clear" w:color="auto" w:fill="auto"/>
            <w:noWrap/>
            <w:vAlign w:val="bottom"/>
            <w:hideMark/>
          </w:tcPr>
          <w:p w14:paraId="5C338620"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FAD5BB5"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11.997</w:t>
            </w:r>
          </w:p>
        </w:tc>
        <w:tc>
          <w:tcPr>
            <w:tcW w:w="0" w:type="auto"/>
            <w:tcBorders>
              <w:top w:val="nil"/>
              <w:left w:val="nil"/>
              <w:bottom w:val="single" w:sz="4" w:space="0" w:color="auto"/>
              <w:right w:val="single" w:sz="4" w:space="0" w:color="auto"/>
            </w:tcBorders>
            <w:shd w:val="clear" w:color="auto" w:fill="auto"/>
            <w:noWrap/>
            <w:vAlign w:val="bottom"/>
            <w:hideMark/>
          </w:tcPr>
          <w:p w14:paraId="78A3FFAC"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46947048"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5.203</w:t>
            </w:r>
          </w:p>
        </w:tc>
        <w:tc>
          <w:tcPr>
            <w:tcW w:w="0" w:type="auto"/>
            <w:tcBorders>
              <w:top w:val="nil"/>
              <w:left w:val="nil"/>
              <w:bottom w:val="single" w:sz="4" w:space="0" w:color="auto"/>
              <w:right w:val="single" w:sz="4" w:space="0" w:color="auto"/>
            </w:tcBorders>
            <w:shd w:val="clear" w:color="auto" w:fill="auto"/>
            <w:noWrap/>
            <w:vAlign w:val="bottom"/>
            <w:hideMark/>
          </w:tcPr>
          <w:p w14:paraId="47A44B4E"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4E9BE5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10.924</w:t>
            </w:r>
          </w:p>
        </w:tc>
        <w:tc>
          <w:tcPr>
            <w:tcW w:w="0" w:type="auto"/>
            <w:tcBorders>
              <w:top w:val="nil"/>
              <w:left w:val="nil"/>
              <w:bottom w:val="single" w:sz="4" w:space="0" w:color="auto"/>
              <w:right w:val="single" w:sz="4" w:space="0" w:color="auto"/>
            </w:tcBorders>
            <w:shd w:val="clear" w:color="auto" w:fill="auto"/>
            <w:noWrap/>
            <w:vAlign w:val="bottom"/>
            <w:hideMark/>
          </w:tcPr>
          <w:p w14:paraId="1636C7C6"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E9AC00F"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6.252</w:t>
            </w:r>
          </w:p>
        </w:tc>
        <w:tc>
          <w:tcPr>
            <w:tcW w:w="0" w:type="auto"/>
            <w:tcBorders>
              <w:top w:val="nil"/>
              <w:left w:val="nil"/>
              <w:bottom w:val="single" w:sz="4" w:space="0" w:color="auto"/>
              <w:right w:val="single" w:sz="4" w:space="0" w:color="auto"/>
            </w:tcBorders>
            <w:shd w:val="clear" w:color="auto" w:fill="auto"/>
            <w:noWrap/>
            <w:vAlign w:val="bottom"/>
            <w:hideMark/>
          </w:tcPr>
          <w:p w14:paraId="21C6E415"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628AAEE"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8.925</w:t>
            </w:r>
          </w:p>
        </w:tc>
        <w:tc>
          <w:tcPr>
            <w:tcW w:w="0" w:type="auto"/>
            <w:tcBorders>
              <w:top w:val="nil"/>
              <w:left w:val="nil"/>
              <w:bottom w:val="single" w:sz="4" w:space="0" w:color="auto"/>
              <w:right w:val="single" w:sz="4" w:space="0" w:color="auto"/>
            </w:tcBorders>
            <w:shd w:val="clear" w:color="auto" w:fill="auto"/>
            <w:noWrap/>
            <w:vAlign w:val="bottom"/>
            <w:hideMark/>
          </w:tcPr>
          <w:p w14:paraId="41325A3B"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r>
      <w:tr w:rsidR="00A01843" w:rsidRPr="009D11E0" w14:paraId="2EB5C1CF"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D19F40" w14:textId="77777777" w:rsidR="00A01843" w:rsidRPr="009D11E0" w:rsidRDefault="00A01843" w:rsidP="00F00548">
            <w:pPr>
              <w:spacing w:line="240" w:lineRule="auto"/>
              <w:rPr>
                <w:rFonts w:ascii="Calibri" w:hAnsi="Calibri" w:cs="Calibri"/>
              </w:rPr>
            </w:pPr>
            <w:r w:rsidRPr="009D11E0">
              <w:rPr>
                <w:rFonts w:ascii="Calibri" w:hAnsi="Calibri" w:cs="Calibri"/>
              </w:rPr>
              <w:t>IP2G07</w:t>
            </w:r>
          </w:p>
        </w:tc>
        <w:tc>
          <w:tcPr>
            <w:tcW w:w="0" w:type="auto"/>
            <w:tcBorders>
              <w:top w:val="nil"/>
              <w:left w:val="nil"/>
              <w:bottom w:val="single" w:sz="4" w:space="0" w:color="auto"/>
              <w:right w:val="single" w:sz="4" w:space="0" w:color="auto"/>
            </w:tcBorders>
            <w:shd w:val="clear" w:color="000000" w:fill="FFFFFF"/>
            <w:noWrap/>
            <w:vAlign w:val="center"/>
            <w:hideMark/>
          </w:tcPr>
          <w:p w14:paraId="5DD7190A"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3.311</w:t>
            </w:r>
          </w:p>
        </w:tc>
        <w:tc>
          <w:tcPr>
            <w:tcW w:w="0" w:type="auto"/>
            <w:tcBorders>
              <w:top w:val="nil"/>
              <w:left w:val="nil"/>
              <w:bottom w:val="single" w:sz="4" w:space="0" w:color="auto"/>
              <w:right w:val="single" w:sz="4" w:space="0" w:color="auto"/>
            </w:tcBorders>
            <w:shd w:val="clear" w:color="auto" w:fill="auto"/>
            <w:noWrap/>
            <w:vAlign w:val="bottom"/>
            <w:hideMark/>
          </w:tcPr>
          <w:p w14:paraId="1FE876B7"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1F1B67"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-1.801</w:t>
            </w:r>
          </w:p>
        </w:tc>
        <w:tc>
          <w:tcPr>
            <w:tcW w:w="0" w:type="auto"/>
            <w:tcBorders>
              <w:top w:val="nil"/>
              <w:left w:val="nil"/>
              <w:bottom w:val="single" w:sz="4" w:space="0" w:color="auto"/>
              <w:right w:val="single" w:sz="4" w:space="0" w:color="auto"/>
            </w:tcBorders>
            <w:shd w:val="clear" w:color="auto" w:fill="auto"/>
            <w:noWrap/>
            <w:vAlign w:val="bottom"/>
            <w:hideMark/>
          </w:tcPr>
          <w:p w14:paraId="286B1EDA"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8B6245"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3.440</w:t>
            </w:r>
          </w:p>
        </w:tc>
        <w:tc>
          <w:tcPr>
            <w:tcW w:w="0" w:type="auto"/>
            <w:tcBorders>
              <w:top w:val="nil"/>
              <w:left w:val="nil"/>
              <w:bottom w:val="single" w:sz="4" w:space="0" w:color="auto"/>
              <w:right w:val="single" w:sz="4" w:space="0" w:color="auto"/>
            </w:tcBorders>
            <w:shd w:val="clear" w:color="auto" w:fill="auto"/>
            <w:noWrap/>
            <w:vAlign w:val="bottom"/>
            <w:hideMark/>
          </w:tcPr>
          <w:p w14:paraId="6E45B912"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D9D6BD"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-0.021</w:t>
            </w:r>
          </w:p>
        </w:tc>
        <w:tc>
          <w:tcPr>
            <w:tcW w:w="0" w:type="auto"/>
            <w:tcBorders>
              <w:top w:val="nil"/>
              <w:left w:val="nil"/>
              <w:bottom w:val="single" w:sz="4" w:space="0" w:color="auto"/>
              <w:right w:val="single" w:sz="4" w:space="0" w:color="auto"/>
            </w:tcBorders>
            <w:shd w:val="clear" w:color="auto" w:fill="auto"/>
            <w:noWrap/>
            <w:vAlign w:val="bottom"/>
            <w:hideMark/>
          </w:tcPr>
          <w:p w14:paraId="570FB30D"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054E1E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7.115</w:t>
            </w:r>
          </w:p>
        </w:tc>
        <w:tc>
          <w:tcPr>
            <w:tcW w:w="0" w:type="auto"/>
            <w:tcBorders>
              <w:top w:val="nil"/>
              <w:left w:val="nil"/>
              <w:bottom w:val="single" w:sz="4" w:space="0" w:color="auto"/>
              <w:right w:val="single" w:sz="4" w:space="0" w:color="auto"/>
            </w:tcBorders>
            <w:shd w:val="clear" w:color="auto" w:fill="auto"/>
            <w:noWrap/>
            <w:vAlign w:val="bottom"/>
            <w:hideMark/>
          </w:tcPr>
          <w:p w14:paraId="236A1449"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798FA0E"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7.778</w:t>
            </w:r>
          </w:p>
        </w:tc>
        <w:tc>
          <w:tcPr>
            <w:tcW w:w="0" w:type="auto"/>
            <w:tcBorders>
              <w:top w:val="nil"/>
              <w:left w:val="nil"/>
              <w:bottom w:val="single" w:sz="4" w:space="0" w:color="auto"/>
              <w:right w:val="single" w:sz="4" w:space="0" w:color="auto"/>
            </w:tcBorders>
            <w:shd w:val="clear" w:color="auto" w:fill="auto"/>
            <w:noWrap/>
            <w:vAlign w:val="bottom"/>
            <w:hideMark/>
          </w:tcPr>
          <w:p w14:paraId="02BDB425"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2B4A6BD"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6.957</w:t>
            </w:r>
          </w:p>
        </w:tc>
        <w:tc>
          <w:tcPr>
            <w:tcW w:w="0" w:type="auto"/>
            <w:tcBorders>
              <w:top w:val="nil"/>
              <w:left w:val="nil"/>
              <w:bottom w:val="single" w:sz="4" w:space="0" w:color="auto"/>
              <w:right w:val="single" w:sz="4" w:space="0" w:color="auto"/>
            </w:tcBorders>
            <w:shd w:val="clear" w:color="auto" w:fill="auto"/>
            <w:noWrap/>
            <w:vAlign w:val="bottom"/>
            <w:hideMark/>
          </w:tcPr>
          <w:p w14:paraId="276D7C74"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E4C25D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7.540</w:t>
            </w:r>
          </w:p>
        </w:tc>
        <w:tc>
          <w:tcPr>
            <w:tcW w:w="0" w:type="auto"/>
            <w:tcBorders>
              <w:top w:val="nil"/>
              <w:left w:val="nil"/>
              <w:bottom w:val="single" w:sz="4" w:space="0" w:color="auto"/>
              <w:right w:val="single" w:sz="4" w:space="0" w:color="auto"/>
            </w:tcBorders>
            <w:shd w:val="clear" w:color="auto" w:fill="auto"/>
            <w:noWrap/>
            <w:vAlign w:val="bottom"/>
            <w:hideMark/>
          </w:tcPr>
          <w:p w14:paraId="3A5374D4"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r>
      <w:tr w:rsidR="00A01843" w:rsidRPr="009D11E0" w14:paraId="48C9A806"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D8DF0B" w14:textId="77777777" w:rsidR="00A01843" w:rsidRPr="009D11E0" w:rsidRDefault="00A01843" w:rsidP="00F00548">
            <w:pPr>
              <w:spacing w:line="240" w:lineRule="auto"/>
              <w:rPr>
                <w:rFonts w:ascii="Calibri" w:hAnsi="Calibri" w:cs="Calibri"/>
              </w:rPr>
            </w:pPr>
            <w:r w:rsidRPr="009D11E0">
              <w:rPr>
                <w:rFonts w:ascii="Calibri" w:hAnsi="Calibri" w:cs="Calibri"/>
              </w:rPr>
              <w:t>C_RATTEA</w:t>
            </w:r>
          </w:p>
        </w:tc>
        <w:tc>
          <w:tcPr>
            <w:tcW w:w="0" w:type="auto"/>
            <w:tcBorders>
              <w:top w:val="nil"/>
              <w:left w:val="nil"/>
              <w:bottom w:val="single" w:sz="4" w:space="0" w:color="auto"/>
              <w:right w:val="single" w:sz="4" w:space="0" w:color="auto"/>
            </w:tcBorders>
            <w:shd w:val="clear" w:color="000000" w:fill="FFFFFF"/>
            <w:noWrap/>
            <w:vAlign w:val="center"/>
            <w:hideMark/>
          </w:tcPr>
          <w:p w14:paraId="53F16F5A"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-2.436</w:t>
            </w:r>
          </w:p>
        </w:tc>
        <w:tc>
          <w:tcPr>
            <w:tcW w:w="0" w:type="auto"/>
            <w:tcBorders>
              <w:top w:val="nil"/>
              <w:left w:val="nil"/>
              <w:bottom w:val="single" w:sz="4" w:space="0" w:color="auto"/>
              <w:right w:val="single" w:sz="4" w:space="0" w:color="auto"/>
            </w:tcBorders>
            <w:shd w:val="clear" w:color="auto" w:fill="auto"/>
            <w:noWrap/>
            <w:vAlign w:val="bottom"/>
            <w:hideMark/>
          </w:tcPr>
          <w:p w14:paraId="7049BF09"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832B953"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-1.323</w:t>
            </w:r>
          </w:p>
        </w:tc>
        <w:tc>
          <w:tcPr>
            <w:tcW w:w="0" w:type="auto"/>
            <w:tcBorders>
              <w:top w:val="nil"/>
              <w:left w:val="nil"/>
              <w:bottom w:val="single" w:sz="4" w:space="0" w:color="auto"/>
              <w:right w:val="single" w:sz="4" w:space="0" w:color="auto"/>
            </w:tcBorders>
            <w:shd w:val="clear" w:color="auto" w:fill="auto"/>
            <w:noWrap/>
            <w:vAlign w:val="bottom"/>
            <w:hideMark/>
          </w:tcPr>
          <w:p w14:paraId="2CFC8523"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E8C5D57"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-1.743</w:t>
            </w:r>
          </w:p>
        </w:tc>
        <w:tc>
          <w:tcPr>
            <w:tcW w:w="0" w:type="auto"/>
            <w:tcBorders>
              <w:top w:val="nil"/>
              <w:left w:val="nil"/>
              <w:bottom w:val="single" w:sz="4" w:space="0" w:color="auto"/>
              <w:right w:val="single" w:sz="4" w:space="0" w:color="auto"/>
            </w:tcBorders>
            <w:shd w:val="clear" w:color="auto" w:fill="auto"/>
            <w:noWrap/>
            <w:vAlign w:val="bottom"/>
            <w:hideMark/>
          </w:tcPr>
          <w:p w14:paraId="19E5B357"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1DD744"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-0.468</w:t>
            </w:r>
          </w:p>
        </w:tc>
        <w:tc>
          <w:tcPr>
            <w:tcW w:w="0" w:type="auto"/>
            <w:tcBorders>
              <w:top w:val="nil"/>
              <w:left w:val="nil"/>
              <w:bottom w:val="single" w:sz="4" w:space="0" w:color="auto"/>
              <w:right w:val="single" w:sz="4" w:space="0" w:color="auto"/>
            </w:tcBorders>
            <w:shd w:val="clear" w:color="auto" w:fill="auto"/>
            <w:noWrap/>
            <w:vAlign w:val="bottom"/>
            <w:hideMark/>
          </w:tcPr>
          <w:p w14:paraId="3FD80A32"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E0BE65F"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0.188</w:t>
            </w:r>
          </w:p>
        </w:tc>
        <w:tc>
          <w:tcPr>
            <w:tcW w:w="0" w:type="auto"/>
            <w:tcBorders>
              <w:top w:val="nil"/>
              <w:left w:val="nil"/>
              <w:bottom w:val="single" w:sz="4" w:space="0" w:color="auto"/>
              <w:right w:val="single" w:sz="4" w:space="0" w:color="auto"/>
            </w:tcBorders>
            <w:shd w:val="clear" w:color="auto" w:fill="auto"/>
            <w:noWrap/>
            <w:vAlign w:val="bottom"/>
            <w:hideMark/>
          </w:tcPr>
          <w:p w14:paraId="0991ABEC"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7D354E"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2.959</w:t>
            </w:r>
          </w:p>
        </w:tc>
        <w:tc>
          <w:tcPr>
            <w:tcW w:w="0" w:type="auto"/>
            <w:tcBorders>
              <w:top w:val="nil"/>
              <w:left w:val="nil"/>
              <w:bottom w:val="single" w:sz="4" w:space="0" w:color="auto"/>
              <w:right w:val="single" w:sz="4" w:space="0" w:color="auto"/>
            </w:tcBorders>
            <w:shd w:val="clear" w:color="auto" w:fill="auto"/>
            <w:noWrap/>
            <w:vAlign w:val="bottom"/>
            <w:hideMark/>
          </w:tcPr>
          <w:p w14:paraId="4272D07F"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B565D6"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-0.367</w:t>
            </w:r>
          </w:p>
        </w:tc>
        <w:tc>
          <w:tcPr>
            <w:tcW w:w="0" w:type="auto"/>
            <w:tcBorders>
              <w:top w:val="nil"/>
              <w:left w:val="nil"/>
              <w:bottom w:val="single" w:sz="4" w:space="0" w:color="auto"/>
              <w:right w:val="single" w:sz="4" w:space="0" w:color="auto"/>
            </w:tcBorders>
            <w:shd w:val="clear" w:color="auto" w:fill="auto"/>
            <w:noWrap/>
            <w:vAlign w:val="bottom"/>
            <w:hideMark/>
          </w:tcPr>
          <w:p w14:paraId="4F10AA71"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D6799E0"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2.548</w:t>
            </w:r>
          </w:p>
        </w:tc>
        <w:tc>
          <w:tcPr>
            <w:tcW w:w="0" w:type="auto"/>
            <w:tcBorders>
              <w:top w:val="nil"/>
              <w:left w:val="nil"/>
              <w:bottom w:val="single" w:sz="4" w:space="0" w:color="auto"/>
              <w:right w:val="single" w:sz="4" w:space="0" w:color="auto"/>
            </w:tcBorders>
            <w:shd w:val="clear" w:color="auto" w:fill="auto"/>
            <w:noWrap/>
            <w:vAlign w:val="bottom"/>
            <w:hideMark/>
          </w:tcPr>
          <w:p w14:paraId="1A8704A3"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r>
      <w:tr w:rsidR="00A01843" w:rsidRPr="009D11E0" w14:paraId="65890B5D"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3FBA9A" w14:textId="77777777" w:rsidR="00A01843" w:rsidRPr="009D11E0" w:rsidRDefault="00A01843" w:rsidP="00F00548">
            <w:pPr>
              <w:spacing w:line="240" w:lineRule="auto"/>
              <w:rPr>
                <w:rFonts w:ascii="Calibri" w:hAnsi="Calibri" w:cs="Calibri"/>
              </w:rPr>
            </w:pPr>
            <w:r w:rsidRPr="009D11E0">
              <w:rPr>
                <w:rFonts w:ascii="Calibri" w:hAnsi="Calibri" w:cs="Calibri"/>
              </w:rPr>
              <w:t>C_RATSTD</w:t>
            </w:r>
          </w:p>
        </w:tc>
        <w:tc>
          <w:tcPr>
            <w:tcW w:w="0" w:type="auto"/>
            <w:tcBorders>
              <w:top w:val="nil"/>
              <w:left w:val="nil"/>
              <w:bottom w:val="single" w:sz="4" w:space="0" w:color="auto"/>
              <w:right w:val="single" w:sz="4" w:space="0" w:color="auto"/>
            </w:tcBorders>
            <w:shd w:val="clear" w:color="000000" w:fill="FFFFFF"/>
            <w:noWrap/>
            <w:vAlign w:val="center"/>
            <w:hideMark/>
          </w:tcPr>
          <w:p w14:paraId="56E6B0A3"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-0.316</w:t>
            </w:r>
          </w:p>
        </w:tc>
        <w:tc>
          <w:tcPr>
            <w:tcW w:w="0" w:type="auto"/>
            <w:tcBorders>
              <w:top w:val="nil"/>
              <w:left w:val="nil"/>
              <w:bottom w:val="single" w:sz="4" w:space="0" w:color="auto"/>
              <w:right w:val="single" w:sz="4" w:space="0" w:color="auto"/>
            </w:tcBorders>
            <w:shd w:val="clear" w:color="auto" w:fill="auto"/>
            <w:noWrap/>
            <w:vAlign w:val="bottom"/>
            <w:hideMark/>
          </w:tcPr>
          <w:p w14:paraId="6B133F72"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C75D746"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-0.451</w:t>
            </w:r>
          </w:p>
        </w:tc>
        <w:tc>
          <w:tcPr>
            <w:tcW w:w="0" w:type="auto"/>
            <w:tcBorders>
              <w:top w:val="nil"/>
              <w:left w:val="nil"/>
              <w:bottom w:val="single" w:sz="4" w:space="0" w:color="auto"/>
              <w:right w:val="single" w:sz="4" w:space="0" w:color="auto"/>
            </w:tcBorders>
            <w:shd w:val="clear" w:color="auto" w:fill="auto"/>
            <w:noWrap/>
            <w:vAlign w:val="bottom"/>
            <w:hideMark/>
          </w:tcPr>
          <w:p w14:paraId="2FD070C5"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A831553"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-0.259</w:t>
            </w:r>
          </w:p>
        </w:tc>
        <w:tc>
          <w:tcPr>
            <w:tcW w:w="0" w:type="auto"/>
            <w:tcBorders>
              <w:top w:val="nil"/>
              <w:left w:val="nil"/>
              <w:bottom w:val="single" w:sz="4" w:space="0" w:color="auto"/>
              <w:right w:val="single" w:sz="4" w:space="0" w:color="auto"/>
            </w:tcBorders>
            <w:shd w:val="clear" w:color="auto" w:fill="auto"/>
            <w:noWrap/>
            <w:vAlign w:val="bottom"/>
            <w:hideMark/>
          </w:tcPr>
          <w:p w14:paraId="41D5F03D"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76E1AE4"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-0.387</w:t>
            </w:r>
          </w:p>
        </w:tc>
        <w:tc>
          <w:tcPr>
            <w:tcW w:w="0" w:type="auto"/>
            <w:tcBorders>
              <w:top w:val="nil"/>
              <w:left w:val="nil"/>
              <w:bottom w:val="single" w:sz="4" w:space="0" w:color="auto"/>
              <w:right w:val="single" w:sz="4" w:space="0" w:color="auto"/>
            </w:tcBorders>
            <w:shd w:val="clear" w:color="auto" w:fill="auto"/>
            <w:noWrap/>
            <w:vAlign w:val="bottom"/>
            <w:hideMark/>
          </w:tcPr>
          <w:p w14:paraId="660A88A6"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D2930C1"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-0.157</w:t>
            </w:r>
          </w:p>
        </w:tc>
        <w:tc>
          <w:tcPr>
            <w:tcW w:w="0" w:type="auto"/>
            <w:tcBorders>
              <w:top w:val="nil"/>
              <w:left w:val="nil"/>
              <w:bottom w:val="single" w:sz="4" w:space="0" w:color="auto"/>
              <w:right w:val="single" w:sz="4" w:space="0" w:color="auto"/>
            </w:tcBorders>
            <w:shd w:val="clear" w:color="auto" w:fill="auto"/>
            <w:noWrap/>
            <w:vAlign w:val="bottom"/>
            <w:hideMark/>
          </w:tcPr>
          <w:p w14:paraId="70403DE4"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B93559A"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-0.111</w:t>
            </w:r>
          </w:p>
        </w:tc>
        <w:tc>
          <w:tcPr>
            <w:tcW w:w="0" w:type="auto"/>
            <w:tcBorders>
              <w:top w:val="nil"/>
              <w:left w:val="nil"/>
              <w:bottom w:val="single" w:sz="4" w:space="0" w:color="auto"/>
              <w:right w:val="single" w:sz="4" w:space="0" w:color="auto"/>
            </w:tcBorders>
            <w:shd w:val="clear" w:color="auto" w:fill="auto"/>
            <w:noWrap/>
            <w:vAlign w:val="bottom"/>
            <w:hideMark/>
          </w:tcPr>
          <w:p w14:paraId="0E47E5DE"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74A1EEE"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-0.207</w:t>
            </w:r>
          </w:p>
        </w:tc>
        <w:tc>
          <w:tcPr>
            <w:tcW w:w="0" w:type="auto"/>
            <w:tcBorders>
              <w:top w:val="nil"/>
              <w:left w:val="nil"/>
              <w:bottom w:val="single" w:sz="4" w:space="0" w:color="auto"/>
              <w:right w:val="single" w:sz="4" w:space="0" w:color="auto"/>
            </w:tcBorders>
            <w:shd w:val="clear" w:color="auto" w:fill="auto"/>
            <w:noWrap/>
            <w:vAlign w:val="bottom"/>
            <w:hideMark/>
          </w:tcPr>
          <w:p w14:paraId="719193E2"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8E33604"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-0.103</w:t>
            </w:r>
          </w:p>
        </w:tc>
        <w:tc>
          <w:tcPr>
            <w:tcW w:w="0" w:type="auto"/>
            <w:tcBorders>
              <w:top w:val="nil"/>
              <w:left w:val="nil"/>
              <w:bottom w:val="single" w:sz="4" w:space="0" w:color="auto"/>
              <w:right w:val="single" w:sz="4" w:space="0" w:color="auto"/>
            </w:tcBorders>
            <w:shd w:val="clear" w:color="auto" w:fill="auto"/>
            <w:noWrap/>
            <w:vAlign w:val="bottom"/>
            <w:hideMark/>
          </w:tcPr>
          <w:p w14:paraId="3F9C2D77"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r>
      <w:tr w:rsidR="00A01843" w:rsidRPr="009D11E0" w14:paraId="2EBFA948"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5E685" w14:textId="77777777" w:rsidR="00A01843" w:rsidRPr="009D11E0" w:rsidRDefault="00A01843" w:rsidP="00F00548">
            <w:pPr>
              <w:spacing w:line="240" w:lineRule="auto"/>
              <w:rPr>
                <w:rFonts w:ascii="Calibri" w:hAnsi="Calibri" w:cs="Calibri"/>
              </w:rPr>
            </w:pPr>
            <w:r w:rsidRPr="009D11E0">
              <w:rPr>
                <w:rFonts w:ascii="Calibri" w:hAnsi="Calibri" w:cs="Calibri"/>
              </w:rPr>
              <w:t>T_ICTPRAC</w:t>
            </w:r>
          </w:p>
        </w:tc>
        <w:tc>
          <w:tcPr>
            <w:tcW w:w="0" w:type="auto"/>
            <w:tcBorders>
              <w:top w:val="nil"/>
              <w:left w:val="nil"/>
              <w:bottom w:val="single" w:sz="4" w:space="0" w:color="auto"/>
              <w:right w:val="single" w:sz="4" w:space="0" w:color="auto"/>
            </w:tcBorders>
            <w:shd w:val="clear" w:color="000000" w:fill="FFFFFF"/>
            <w:noWrap/>
            <w:vAlign w:val="center"/>
            <w:hideMark/>
          </w:tcPr>
          <w:p w14:paraId="0CE96033"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0.890</w:t>
            </w:r>
          </w:p>
        </w:tc>
        <w:tc>
          <w:tcPr>
            <w:tcW w:w="0" w:type="auto"/>
            <w:tcBorders>
              <w:top w:val="nil"/>
              <w:left w:val="nil"/>
              <w:bottom w:val="single" w:sz="4" w:space="0" w:color="auto"/>
              <w:right w:val="single" w:sz="4" w:space="0" w:color="auto"/>
            </w:tcBorders>
            <w:shd w:val="clear" w:color="auto" w:fill="auto"/>
            <w:noWrap/>
            <w:vAlign w:val="bottom"/>
            <w:hideMark/>
          </w:tcPr>
          <w:p w14:paraId="701C3CDF"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5827A2"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1.490</w:t>
            </w:r>
          </w:p>
        </w:tc>
        <w:tc>
          <w:tcPr>
            <w:tcW w:w="0" w:type="auto"/>
            <w:tcBorders>
              <w:top w:val="nil"/>
              <w:left w:val="nil"/>
              <w:bottom w:val="single" w:sz="4" w:space="0" w:color="auto"/>
              <w:right w:val="single" w:sz="4" w:space="0" w:color="auto"/>
            </w:tcBorders>
            <w:shd w:val="clear" w:color="auto" w:fill="auto"/>
            <w:noWrap/>
            <w:vAlign w:val="bottom"/>
            <w:hideMark/>
          </w:tcPr>
          <w:p w14:paraId="7EF525A0"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DB158AC"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0.945</w:t>
            </w:r>
          </w:p>
        </w:tc>
        <w:tc>
          <w:tcPr>
            <w:tcW w:w="0" w:type="auto"/>
            <w:tcBorders>
              <w:top w:val="nil"/>
              <w:left w:val="nil"/>
              <w:bottom w:val="single" w:sz="4" w:space="0" w:color="auto"/>
              <w:right w:val="single" w:sz="4" w:space="0" w:color="auto"/>
            </w:tcBorders>
            <w:shd w:val="clear" w:color="auto" w:fill="auto"/>
            <w:noWrap/>
            <w:vAlign w:val="bottom"/>
            <w:hideMark/>
          </w:tcPr>
          <w:p w14:paraId="37A3878A"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9396CC"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2.323</w:t>
            </w:r>
          </w:p>
        </w:tc>
        <w:tc>
          <w:tcPr>
            <w:tcW w:w="0" w:type="auto"/>
            <w:tcBorders>
              <w:top w:val="nil"/>
              <w:left w:val="nil"/>
              <w:bottom w:val="single" w:sz="4" w:space="0" w:color="auto"/>
              <w:right w:val="single" w:sz="4" w:space="0" w:color="auto"/>
            </w:tcBorders>
            <w:shd w:val="clear" w:color="auto" w:fill="auto"/>
            <w:noWrap/>
            <w:vAlign w:val="bottom"/>
            <w:hideMark/>
          </w:tcPr>
          <w:p w14:paraId="140CC589"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902DFCD"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-0.451</w:t>
            </w:r>
          </w:p>
        </w:tc>
        <w:tc>
          <w:tcPr>
            <w:tcW w:w="0" w:type="auto"/>
            <w:tcBorders>
              <w:top w:val="nil"/>
              <w:left w:val="nil"/>
              <w:bottom w:val="single" w:sz="4" w:space="0" w:color="auto"/>
              <w:right w:val="single" w:sz="4" w:space="0" w:color="auto"/>
            </w:tcBorders>
            <w:shd w:val="clear" w:color="auto" w:fill="auto"/>
            <w:noWrap/>
            <w:vAlign w:val="bottom"/>
            <w:hideMark/>
          </w:tcPr>
          <w:p w14:paraId="0E509CCF"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59C62CD"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-0.047</w:t>
            </w:r>
          </w:p>
        </w:tc>
        <w:tc>
          <w:tcPr>
            <w:tcW w:w="0" w:type="auto"/>
            <w:tcBorders>
              <w:top w:val="nil"/>
              <w:left w:val="nil"/>
              <w:bottom w:val="single" w:sz="4" w:space="0" w:color="auto"/>
              <w:right w:val="single" w:sz="4" w:space="0" w:color="auto"/>
            </w:tcBorders>
            <w:shd w:val="clear" w:color="auto" w:fill="auto"/>
            <w:noWrap/>
            <w:vAlign w:val="bottom"/>
            <w:hideMark/>
          </w:tcPr>
          <w:p w14:paraId="1B8735C1"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2D25FA71"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-0.436</w:t>
            </w:r>
          </w:p>
        </w:tc>
        <w:tc>
          <w:tcPr>
            <w:tcW w:w="0" w:type="auto"/>
            <w:tcBorders>
              <w:top w:val="nil"/>
              <w:left w:val="nil"/>
              <w:bottom w:val="single" w:sz="4" w:space="0" w:color="auto"/>
              <w:right w:val="single" w:sz="4" w:space="0" w:color="auto"/>
            </w:tcBorders>
            <w:shd w:val="clear" w:color="auto" w:fill="auto"/>
            <w:noWrap/>
            <w:vAlign w:val="bottom"/>
            <w:hideMark/>
          </w:tcPr>
          <w:p w14:paraId="250585E9"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FEF12B6"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-0.040</w:t>
            </w:r>
          </w:p>
        </w:tc>
        <w:tc>
          <w:tcPr>
            <w:tcW w:w="0" w:type="auto"/>
            <w:tcBorders>
              <w:top w:val="nil"/>
              <w:left w:val="nil"/>
              <w:bottom w:val="single" w:sz="4" w:space="0" w:color="auto"/>
              <w:right w:val="single" w:sz="4" w:space="0" w:color="auto"/>
            </w:tcBorders>
            <w:shd w:val="clear" w:color="auto" w:fill="auto"/>
            <w:noWrap/>
            <w:vAlign w:val="bottom"/>
            <w:hideMark/>
          </w:tcPr>
          <w:p w14:paraId="71ADAC80"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r>
      <w:tr w:rsidR="00A01843" w:rsidRPr="009D11E0" w14:paraId="0EEDCEB5"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CDEF86" w14:textId="77777777" w:rsidR="00A01843" w:rsidRPr="009D11E0" w:rsidRDefault="00A01843" w:rsidP="00F00548">
            <w:pPr>
              <w:spacing w:line="240" w:lineRule="auto"/>
              <w:rPr>
                <w:rFonts w:ascii="Calibri" w:hAnsi="Calibri" w:cs="Calibri"/>
              </w:rPr>
            </w:pPr>
            <w:r w:rsidRPr="009D11E0">
              <w:rPr>
                <w:rFonts w:ascii="Calibri" w:hAnsi="Calibri" w:cs="Calibri"/>
              </w:rPr>
              <w:t>T_RESRC</w:t>
            </w:r>
          </w:p>
        </w:tc>
        <w:tc>
          <w:tcPr>
            <w:tcW w:w="0" w:type="auto"/>
            <w:tcBorders>
              <w:top w:val="nil"/>
              <w:left w:val="nil"/>
              <w:bottom w:val="single" w:sz="4" w:space="0" w:color="auto"/>
              <w:right w:val="single" w:sz="4" w:space="0" w:color="auto"/>
            </w:tcBorders>
            <w:shd w:val="clear" w:color="000000" w:fill="FFFFFF"/>
            <w:noWrap/>
            <w:vAlign w:val="center"/>
            <w:hideMark/>
          </w:tcPr>
          <w:p w14:paraId="3C6A9C48"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-0.277</w:t>
            </w:r>
          </w:p>
        </w:tc>
        <w:tc>
          <w:tcPr>
            <w:tcW w:w="0" w:type="auto"/>
            <w:tcBorders>
              <w:top w:val="nil"/>
              <w:left w:val="nil"/>
              <w:bottom w:val="single" w:sz="4" w:space="0" w:color="auto"/>
              <w:right w:val="single" w:sz="4" w:space="0" w:color="auto"/>
            </w:tcBorders>
            <w:shd w:val="clear" w:color="auto" w:fill="auto"/>
            <w:noWrap/>
            <w:vAlign w:val="bottom"/>
            <w:hideMark/>
          </w:tcPr>
          <w:p w14:paraId="60FA3D43"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B0D1BA3"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-0.755</w:t>
            </w:r>
          </w:p>
        </w:tc>
        <w:tc>
          <w:tcPr>
            <w:tcW w:w="0" w:type="auto"/>
            <w:tcBorders>
              <w:top w:val="nil"/>
              <w:left w:val="nil"/>
              <w:bottom w:val="single" w:sz="4" w:space="0" w:color="auto"/>
              <w:right w:val="single" w:sz="4" w:space="0" w:color="auto"/>
            </w:tcBorders>
            <w:shd w:val="clear" w:color="auto" w:fill="auto"/>
            <w:noWrap/>
            <w:vAlign w:val="bottom"/>
            <w:hideMark/>
          </w:tcPr>
          <w:p w14:paraId="40EA366C"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436B0F6"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-0.242</w:t>
            </w:r>
          </w:p>
        </w:tc>
        <w:tc>
          <w:tcPr>
            <w:tcW w:w="0" w:type="auto"/>
            <w:tcBorders>
              <w:top w:val="nil"/>
              <w:left w:val="nil"/>
              <w:bottom w:val="single" w:sz="4" w:space="0" w:color="auto"/>
              <w:right w:val="single" w:sz="4" w:space="0" w:color="auto"/>
            </w:tcBorders>
            <w:shd w:val="clear" w:color="auto" w:fill="auto"/>
            <w:noWrap/>
            <w:vAlign w:val="bottom"/>
            <w:hideMark/>
          </w:tcPr>
          <w:p w14:paraId="712FC480"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0925B82"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-0.637</w:t>
            </w:r>
          </w:p>
        </w:tc>
        <w:tc>
          <w:tcPr>
            <w:tcW w:w="0" w:type="auto"/>
            <w:tcBorders>
              <w:top w:val="nil"/>
              <w:left w:val="nil"/>
              <w:bottom w:val="single" w:sz="4" w:space="0" w:color="auto"/>
              <w:right w:val="single" w:sz="4" w:space="0" w:color="auto"/>
            </w:tcBorders>
            <w:shd w:val="clear" w:color="auto" w:fill="auto"/>
            <w:noWrap/>
            <w:vAlign w:val="bottom"/>
            <w:hideMark/>
          </w:tcPr>
          <w:p w14:paraId="19CD718E"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98A1A91"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0.995</w:t>
            </w:r>
          </w:p>
        </w:tc>
        <w:tc>
          <w:tcPr>
            <w:tcW w:w="0" w:type="auto"/>
            <w:tcBorders>
              <w:top w:val="nil"/>
              <w:left w:val="nil"/>
              <w:bottom w:val="single" w:sz="4" w:space="0" w:color="auto"/>
              <w:right w:val="single" w:sz="4" w:space="0" w:color="auto"/>
            </w:tcBorders>
            <w:shd w:val="clear" w:color="auto" w:fill="auto"/>
            <w:noWrap/>
            <w:vAlign w:val="bottom"/>
            <w:hideMark/>
          </w:tcPr>
          <w:p w14:paraId="422A1F8B"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6508DC81"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0.869</w:t>
            </w:r>
          </w:p>
        </w:tc>
        <w:tc>
          <w:tcPr>
            <w:tcW w:w="0" w:type="auto"/>
            <w:tcBorders>
              <w:top w:val="nil"/>
              <w:left w:val="nil"/>
              <w:bottom w:val="single" w:sz="4" w:space="0" w:color="auto"/>
              <w:right w:val="single" w:sz="4" w:space="0" w:color="auto"/>
            </w:tcBorders>
            <w:shd w:val="clear" w:color="auto" w:fill="auto"/>
            <w:noWrap/>
            <w:vAlign w:val="bottom"/>
            <w:hideMark/>
          </w:tcPr>
          <w:p w14:paraId="200025DE" w14:textId="77777777" w:rsidR="00A01843" w:rsidRPr="009D11E0" w:rsidRDefault="00A01843" w:rsidP="00F00548">
            <w:pPr>
              <w:spacing w:line="240" w:lineRule="auto"/>
              <w:rPr>
                <w:rFonts w:ascii="Calibri" w:hAnsi="Calibri" w:cs="Calibri"/>
              </w:rPr>
            </w:pPr>
            <w:r w:rsidRPr="009D11E0">
              <w:rPr>
                <w:rFonts w:ascii="Calibri" w:hAnsi="Calibri" w:cs="Calibri"/>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0B989CB"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0.884</w:t>
            </w:r>
          </w:p>
        </w:tc>
        <w:tc>
          <w:tcPr>
            <w:tcW w:w="0" w:type="auto"/>
            <w:tcBorders>
              <w:top w:val="nil"/>
              <w:left w:val="nil"/>
              <w:bottom w:val="single" w:sz="4" w:space="0" w:color="auto"/>
              <w:right w:val="single" w:sz="4" w:space="0" w:color="auto"/>
            </w:tcBorders>
            <w:shd w:val="clear" w:color="auto" w:fill="auto"/>
            <w:noWrap/>
            <w:vAlign w:val="bottom"/>
            <w:hideMark/>
          </w:tcPr>
          <w:p w14:paraId="28E809EA"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c>
          <w:tcPr>
            <w:tcW w:w="0" w:type="auto"/>
            <w:tcBorders>
              <w:top w:val="nil"/>
              <w:left w:val="nil"/>
              <w:bottom w:val="single" w:sz="4" w:space="0" w:color="auto"/>
              <w:right w:val="single" w:sz="4" w:space="0" w:color="auto"/>
            </w:tcBorders>
            <w:shd w:val="clear" w:color="000000" w:fill="FFFFFF"/>
            <w:noWrap/>
            <w:vAlign w:val="center"/>
            <w:hideMark/>
          </w:tcPr>
          <w:p w14:paraId="68D10F53" w14:textId="77777777" w:rsidR="00A01843" w:rsidRPr="009D11E0" w:rsidRDefault="00A01843" w:rsidP="00F00548">
            <w:pPr>
              <w:spacing w:line="240" w:lineRule="auto"/>
              <w:jc w:val="right"/>
              <w:rPr>
                <w:rFonts w:ascii="DejaVu Sans" w:hAnsi="DejaVu Sans" w:cs="DejaVu Sans"/>
                <w:sz w:val="16"/>
                <w:szCs w:val="16"/>
              </w:rPr>
            </w:pPr>
            <w:r w:rsidRPr="009D11E0">
              <w:rPr>
                <w:rFonts w:ascii="DejaVu Sans" w:hAnsi="DejaVu Sans" w:cs="DejaVu Sans"/>
                <w:sz w:val="16"/>
                <w:szCs w:val="16"/>
              </w:rPr>
              <w:t>0.999</w:t>
            </w:r>
          </w:p>
        </w:tc>
        <w:tc>
          <w:tcPr>
            <w:tcW w:w="0" w:type="auto"/>
            <w:tcBorders>
              <w:top w:val="nil"/>
              <w:left w:val="nil"/>
              <w:bottom w:val="single" w:sz="4" w:space="0" w:color="auto"/>
              <w:right w:val="single" w:sz="4" w:space="0" w:color="auto"/>
            </w:tcBorders>
            <w:shd w:val="clear" w:color="auto" w:fill="auto"/>
            <w:noWrap/>
            <w:vAlign w:val="bottom"/>
            <w:hideMark/>
          </w:tcPr>
          <w:p w14:paraId="3745E1A2" w14:textId="77777777" w:rsidR="00A01843" w:rsidRPr="009D11E0" w:rsidRDefault="00A01843" w:rsidP="00F00548">
            <w:pPr>
              <w:spacing w:line="240" w:lineRule="auto"/>
              <w:rPr>
                <w:rFonts w:ascii="Calibri" w:hAnsi="Calibri" w:cs="Calibri"/>
              </w:rPr>
            </w:pPr>
            <w:r w:rsidRPr="009D11E0">
              <w:rPr>
                <w:rFonts w:ascii="Calibri" w:hAnsi="Calibri" w:cs="Calibri"/>
              </w:rPr>
              <w:t>*</w:t>
            </w:r>
          </w:p>
        </w:tc>
      </w:tr>
      <w:tr w:rsidR="00A01843" w:rsidRPr="009D11E0" w14:paraId="4C711B09"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1FBAD6" w14:textId="77777777" w:rsidR="00A01843" w:rsidRPr="009D11E0" w:rsidRDefault="00A01843" w:rsidP="00F00548">
            <w:pPr>
              <w:spacing w:line="240" w:lineRule="auto"/>
              <w:rPr>
                <w:rFonts w:ascii="Calibri" w:hAnsi="Calibri" w:cs="Calibri"/>
              </w:rPr>
            </w:pPr>
            <w:r w:rsidRPr="009D11E0">
              <w:rPr>
                <w:rFonts w:ascii="Calibri" w:hAnsi="Calibri" w:cs="Calibri"/>
              </w:rPr>
              <w:t>Missing data</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04F8FB6" w14:textId="77777777" w:rsidR="00A01843" w:rsidRPr="009D11E0" w:rsidRDefault="00A01843" w:rsidP="00F00548">
            <w:pPr>
              <w:spacing w:line="240" w:lineRule="auto"/>
              <w:rPr>
                <w:rFonts w:ascii="Calibri" w:hAnsi="Calibri" w:cs="Calibri"/>
              </w:rPr>
            </w:pPr>
            <w:r w:rsidRPr="009D11E0">
              <w:rPr>
                <w:rFonts w:ascii="Calibri" w:hAnsi="Calibri" w:cs="Calibri"/>
              </w:rPr>
              <w:t>No imputation</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7492F80" w14:textId="77777777" w:rsidR="00A01843" w:rsidRPr="009D11E0" w:rsidRDefault="00A01843" w:rsidP="00F00548">
            <w:pPr>
              <w:spacing w:line="240" w:lineRule="auto"/>
              <w:rPr>
                <w:rFonts w:ascii="Calibri" w:hAnsi="Calibri" w:cs="Calibri"/>
              </w:rPr>
            </w:pPr>
            <w:r w:rsidRPr="009D11E0">
              <w:rPr>
                <w:rFonts w:ascii="Calibri" w:hAnsi="Calibri" w:cs="Calibri"/>
              </w:rPr>
              <w:t>No imputation</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DB04166" w14:textId="77777777" w:rsidR="00A01843" w:rsidRPr="009D11E0" w:rsidRDefault="00A01843" w:rsidP="00F00548">
            <w:pPr>
              <w:spacing w:line="240" w:lineRule="auto"/>
              <w:rPr>
                <w:rFonts w:ascii="Calibri" w:hAnsi="Calibri" w:cs="Calibri"/>
              </w:rPr>
            </w:pPr>
            <w:r w:rsidRPr="009D11E0">
              <w:rPr>
                <w:rFonts w:ascii="Calibri" w:hAnsi="Calibri" w:cs="Calibri"/>
              </w:rPr>
              <w:t>With imputation</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DC9E894" w14:textId="77777777" w:rsidR="00A01843" w:rsidRPr="009D11E0" w:rsidRDefault="00A01843" w:rsidP="00F00548">
            <w:pPr>
              <w:spacing w:line="240" w:lineRule="auto"/>
              <w:rPr>
                <w:rFonts w:ascii="Calibri" w:hAnsi="Calibri" w:cs="Calibri"/>
              </w:rPr>
            </w:pPr>
            <w:r w:rsidRPr="009D11E0">
              <w:rPr>
                <w:rFonts w:ascii="Calibri" w:hAnsi="Calibri" w:cs="Calibri"/>
              </w:rPr>
              <w:t>With imputation</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5EC5FC9" w14:textId="77777777" w:rsidR="00A01843" w:rsidRPr="009D11E0" w:rsidRDefault="00A01843" w:rsidP="00F00548">
            <w:pPr>
              <w:spacing w:line="240" w:lineRule="auto"/>
              <w:rPr>
                <w:rFonts w:ascii="Calibri" w:hAnsi="Calibri" w:cs="Calibri"/>
              </w:rPr>
            </w:pPr>
            <w:r w:rsidRPr="009D11E0">
              <w:rPr>
                <w:rFonts w:ascii="Calibri" w:hAnsi="Calibri" w:cs="Calibri"/>
              </w:rPr>
              <w:t>No imputation</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823A320" w14:textId="77777777" w:rsidR="00A01843" w:rsidRPr="009D11E0" w:rsidRDefault="00A01843" w:rsidP="00F00548">
            <w:pPr>
              <w:spacing w:line="240" w:lineRule="auto"/>
              <w:rPr>
                <w:rFonts w:ascii="Calibri" w:hAnsi="Calibri" w:cs="Calibri"/>
              </w:rPr>
            </w:pPr>
            <w:r w:rsidRPr="009D11E0">
              <w:rPr>
                <w:rFonts w:ascii="Calibri" w:hAnsi="Calibri" w:cs="Calibri"/>
              </w:rPr>
              <w:t>No imputation</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A35B4E7" w14:textId="77777777" w:rsidR="00A01843" w:rsidRPr="009D11E0" w:rsidRDefault="00A01843" w:rsidP="00F00548">
            <w:pPr>
              <w:spacing w:line="240" w:lineRule="auto"/>
              <w:rPr>
                <w:rFonts w:ascii="Calibri" w:hAnsi="Calibri" w:cs="Calibri"/>
              </w:rPr>
            </w:pPr>
            <w:r w:rsidRPr="009D11E0">
              <w:rPr>
                <w:rFonts w:ascii="Calibri" w:hAnsi="Calibri" w:cs="Calibri"/>
              </w:rPr>
              <w:t>With imputation</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969D72F" w14:textId="77777777" w:rsidR="00A01843" w:rsidRPr="009D11E0" w:rsidRDefault="00A01843" w:rsidP="00F00548">
            <w:pPr>
              <w:spacing w:line="240" w:lineRule="auto"/>
              <w:rPr>
                <w:rFonts w:ascii="Calibri" w:hAnsi="Calibri" w:cs="Calibri"/>
              </w:rPr>
            </w:pPr>
            <w:r w:rsidRPr="009D11E0">
              <w:rPr>
                <w:rFonts w:ascii="Calibri" w:hAnsi="Calibri" w:cs="Calibri"/>
              </w:rPr>
              <w:t>With imputation</w:t>
            </w:r>
          </w:p>
        </w:tc>
      </w:tr>
      <w:tr w:rsidR="00A01843" w:rsidRPr="009D11E0" w14:paraId="21733C0A"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2716DE" w14:textId="77777777" w:rsidR="00A01843" w:rsidRPr="009D11E0" w:rsidRDefault="00A01843" w:rsidP="00F00548">
            <w:pPr>
              <w:spacing w:line="240" w:lineRule="auto"/>
              <w:rPr>
                <w:rFonts w:ascii="Calibri" w:hAnsi="Calibri" w:cs="Calibri"/>
              </w:rPr>
            </w:pPr>
            <w:r w:rsidRPr="009D11E0">
              <w:rPr>
                <w:rFonts w:ascii="Calibri" w:hAnsi="Calibri" w:cs="Calibri"/>
              </w:rPr>
              <w:t>Countries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8A4FA05" w14:textId="77777777" w:rsidR="00A01843" w:rsidRPr="009D11E0" w:rsidRDefault="00A01843" w:rsidP="00F00548">
            <w:pPr>
              <w:spacing w:line="240" w:lineRule="auto"/>
              <w:rPr>
                <w:rFonts w:ascii="Calibri" w:hAnsi="Calibri" w:cs="Calibri"/>
              </w:rPr>
            </w:pPr>
            <w:r w:rsidRPr="009D11E0">
              <w:rPr>
                <w:rFonts w:ascii="Calibri" w:hAnsi="Calibri" w:cs="Calibri"/>
              </w:rPr>
              <w:t>Korea</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C187493" w14:textId="77777777" w:rsidR="00A01843" w:rsidRPr="009D11E0" w:rsidRDefault="00A01843" w:rsidP="00F00548">
            <w:pPr>
              <w:spacing w:line="240" w:lineRule="auto"/>
              <w:rPr>
                <w:rFonts w:ascii="Calibri" w:hAnsi="Calibri" w:cs="Calibri"/>
              </w:rPr>
            </w:pPr>
            <w:r w:rsidRPr="009D11E0">
              <w:rPr>
                <w:rFonts w:ascii="Calibri" w:hAnsi="Calibri" w:cs="Calibri"/>
              </w:rPr>
              <w:t>Korea</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13CEE50" w14:textId="77777777" w:rsidR="00A01843" w:rsidRPr="009D11E0" w:rsidRDefault="00A01843" w:rsidP="00F00548">
            <w:pPr>
              <w:spacing w:line="240" w:lineRule="auto"/>
              <w:rPr>
                <w:rFonts w:ascii="Calibri" w:hAnsi="Calibri" w:cs="Calibri"/>
              </w:rPr>
            </w:pPr>
            <w:r w:rsidRPr="009D11E0">
              <w:rPr>
                <w:rFonts w:ascii="Calibri" w:hAnsi="Calibri" w:cs="Calibri"/>
              </w:rPr>
              <w:t>Korea</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98F54C5" w14:textId="77777777" w:rsidR="00A01843" w:rsidRPr="009D11E0" w:rsidRDefault="00A01843" w:rsidP="00F00548">
            <w:pPr>
              <w:spacing w:line="240" w:lineRule="auto"/>
              <w:rPr>
                <w:rFonts w:ascii="Calibri" w:hAnsi="Calibri" w:cs="Calibri"/>
              </w:rPr>
            </w:pPr>
            <w:r w:rsidRPr="009D11E0">
              <w:rPr>
                <w:rFonts w:ascii="Calibri" w:hAnsi="Calibri" w:cs="Calibri"/>
              </w:rPr>
              <w:t>Korea</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AB3DE02" w14:textId="77777777" w:rsidR="00A01843" w:rsidRPr="009D11E0" w:rsidRDefault="00A01843" w:rsidP="00F00548">
            <w:pPr>
              <w:spacing w:line="240" w:lineRule="auto"/>
              <w:rPr>
                <w:rFonts w:ascii="Calibri" w:hAnsi="Calibri" w:cs="Calibri"/>
              </w:rPr>
            </w:pPr>
            <w:r w:rsidRPr="009D11E0">
              <w:rPr>
                <w:rFonts w:ascii="Calibri" w:hAnsi="Calibri" w:cs="Calibri"/>
              </w:rPr>
              <w:t>All countries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158E7C5" w14:textId="77777777" w:rsidR="00A01843" w:rsidRPr="009D11E0" w:rsidRDefault="00A01843" w:rsidP="00F00548">
            <w:pPr>
              <w:spacing w:line="240" w:lineRule="auto"/>
              <w:rPr>
                <w:rFonts w:ascii="Calibri" w:hAnsi="Calibri" w:cs="Calibri"/>
              </w:rPr>
            </w:pPr>
            <w:r w:rsidRPr="009D11E0">
              <w:rPr>
                <w:rFonts w:ascii="Calibri" w:hAnsi="Calibri" w:cs="Calibri"/>
              </w:rPr>
              <w:t>All countries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AC01968" w14:textId="77777777" w:rsidR="00A01843" w:rsidRPr="009D11E0" w:rsidRDefault="00A01843" w:rsidP="00F00548">
            <w:pPr>
              <w:spacing w:line="240" w:lineRule="auto"/>
              <w:rPr>
                <w:rFonts w:ascii="Calibri" w:hAnsi="Calibri" w:cs="Calibri"/>
              </w:rPr>
            </w:pPr>
            <w:r w:rsidRPr="009D11E0">
              <w:rPr>
                <w:rFonts w:ascii="Calibri" w:hAnsi="Calibri" w:cs="Calibri"/>
              </w:rPr>
              <w:t>All countries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69B5E08" w14:textId="77777777" w:rsidR="00A01843" w:rsidRPr="009D11E0" w:rsidRDefault="00A01843" w:rsidP="00F00548">
            <w:pPr>
              <w:spacing w:line="240" w:lineRule="auto"/>
              <w:rPr>
                <w:rFonts w:ascii="Calibri" w:hAnsi="Calibri" w:cs="Calibri"/>
              </w:rPr>
            </w:pPr>
            <w:r w:rsidRPr="009D11E0">
              <w:rPr>
                <w:rFonts w:ascii="Calibri" w:hAnsi="Calibri" w:cs="Calibri"/>
              </w:rPr>
              <w:t>All countries</w:t>
            </w:r>
          </w:p>
        </w:tc>
      </w:tr>
      <w:tr w:rsidR="00A01843" w:rsidRPr="009D11E0" w14:paraId="18A1D525"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D30B05" w14:textId="77777777" w:rsidR="00A01843" w:rsidRPr="009D11E0" w:rsidRDefault="00A01843" w:rsidP="00F00548">
            <w:pPr>
              <w:spacing w:line="240" w:lineRule="auto"/>
              <w:rPr>
                <w:rFonts w:ascii="Calibri" w:hAnsi="Calibri" w:cs="Calibri"/>
              </w:rPr>
            </w:pPr>
            <w:r w:rsidRPr="009D11E0">
              <w:rPr>
                <w:rFonts w:ascii="Calibri" w:hAnsi="Calibri" w:cs="Calibri"/>
              </w:rPr>
              <w:t>Centring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75AB248" w14:textId="77777777" w:rsidR="00A01843" w:rsidRPr="009D11E0" w:rsidRDefault="00A01843" w:rsidP="00F00548">
            <w:pPr>
              <w:spacing w:line="240" w:lineRule="auto"/>
              <w:rPr>
                <w:rFonts w:ascii="Calibri" w:hAnsi="Calibri" w:cs="Calibri"/>
              </w:rPr>
            </w:pPr>
            <w:r w:rsidRPr="009D11E0">
              <w:rPr>
                <w:rFonts w:ascii="Calibri" w:hAnsi="Calibri" w:cs="Calibri"/>
              </w:rPr>
              <w:t>Centring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D764A79" w14:textId="77777777" w:rsidR="00A01843" w:rsidRPr="009D11E0" w:rsidRDefault="00A01843" w:rsidP="00F00548">
            <w:pPr>
              <w:spacing w:line="240" w:lineRule="auto"/>
              <w:rPr>
                <w:rFonts w:ascii="Calibri" w:hAnsi="Calibri" w:cs="Calibri"/>
              </w:rPr>
            </w:pPr>
            <w:r w:rsidRPr="009D11E0">
              <w:rPr>
                <w:rFonts w:ascii="Calibri" w:hAnsi="Calibri" w:cs="Calibri"/>
              </w:rPr>
              <w:t>No centring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E13E764" w14:textId="77777777" w:rsidR="00A01843" w:rsidRPr="009D11E0" w:rsidRDefault="00A01843" w:rsidP="00F00548">
            <w:pPr>
              <w:spacing w:line="240" w:lineRule="auto"/>
              <w:rPr>
                <w:rFonts w:ascii="Calibri" w:hAnsi="Calibri" w:cs="Calibri"/>
              </w:rPr>
            </w:pPr>
            <w:r w:rsidRPr="009D11E0">
              <w:rPr>
                <w:rFonts w:ascii="Calibri" w:hAnsi="Calibri" w:cs="Calibri"/>
              </w:rPr>
              <w:t>Centring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CA09C39" w14:textId="77777777" w:rsidR="00A01843" w:rsidRPr="009D11E0" w:rsidRDefault="00A01843" w:rsidP="00F00548">
            <w:pPr>
              <w:spacing w:line="240" w:lineRule="auto"/>
              <w:rPr>
                <w:rFonts w:ascii="Calibri" w:hAnsi="Calibri" w:cs="Calibri"/>
              </w:rPr>
            </w:pPr>
            <w:r w:rsidRPr="009D11E0">
              <w:rPr>
                <w:rFonts w:ascii="Calibri" w:hAnsi="Calibri" w:cs="Calibri"/>
              </w:rPr>
              <w:t>No centring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896400D" w14:textId="77777777" w:rsidR="00A01843" w:rsidRPr="009D11E0" w:rsidRDefault="00A01843" w:rsidP="00F00548">
            <w:pPr>
              <w:spacing w:line="240" w:lineRule="auto"/>
              <w:rPr>
                <w:rFonts w:ascii="Calibri" w:hAnsi="Calibri" w:cs="Calibri"/>
              </w:rPr>
            </w:pPr>
            <w:r w:rsidRPr="009D11E0">
              <w:rPr>
                <w:rFonts w:ascii="Calibri" w:hAnsi="Calibri" w:cs="Calibri"/>
              </w:rPr>
              <w:t>Centring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7240A9C" w14:textId="77777777" w:rsidR="00A01843" w:rsidRPr="009D11E0" w:rsidRDefault="00A01843" w:rsidP="00F00548">
            <w:pPr>
              <w:spacing w:line="240" w:lineRule="auto"/>
              <w:rPr>
                <w:rFonts w:ascii="Calibri" w:hAnsi="Calibri" w:cs="Calibri"/>
              </w:rPr>
            </w:pPr>
            <w:r w:rsidRPr="009D11E0">
              <w:rPr>
                <w:rFonts w:ascii="Calibri" w:hAnsi="Calibri" w:cs="Calibri"/>
              </w:rPr>
              <w:t>No centring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CB80559" w14:textId="77777777" w:rsidR="00A01843" w:rsidRPr="009D11E0" w:rsidRDefault="00A01843" w:rsidP="00F00548">
            <w:pPr>
              <w:spacing w:line="240" w:lineRule="auto"/>
              <w:rPr>
                <w:rFonts w:ascii="Calibri" w:hAnsi="Calibri" w:cs="Calibri"/>
              </w:rPr>
            </w:pPr>
            <w:r w:rsidRPr="009D11E0">
              <w:rPr>
                <w:rFonts w:ascii="Calibri" w:hAnsi="Calibri" w:cs="Calibri"/>
              </w:rPr>
              <w:t>Centring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AB1F8C7" w14:textId="77777777" w:rsidR="00A01843" w:rsidRPr="009D11E0" w:rsidRDefault="00A01843" w:rsidP="00F00548">
            <w:pPr>
              <w:spacing w:line="240" w:lineRule="auto"/>
              <w:rPr>
                <w:rFonts w:ascii="Calibri" w:hAnsi="Calibri" w:cs="Calibri"/>
              </w:rPr>
            </w:pPr>
            <w:r w:rsidRPr="009D11E0">
              <w:rPr>
                <w:rFonts w:ascii="Calibri" w:hAnsi="Calibri" w:cs="Calibri"/>
              </w:rPr>
              <w:t>No centring</w:t>
            </w:r>
          </w:p>
        </w:tc>
      </w:tr>
      <w:tr w:rsidR="00A01843" w:rsidRPr="009D11E0" w14:paraId="57395F7F"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7AA0D2" w14:textId="77777777" w:rsidR="00A01843" w:rsidRPr="009D11E0" w:rsidRDefault="00A01843" w:rsidP="00F00548">
            <w:pPr>
              <w:spacing w:line="240" w:lineRule="auto"/>
              <w:rPr>
                <w:rFonts w:ascii="Calibri" w:hAnsi="Calibri" w:cs="Calibri"/>
              </w:rPr>
            </w:pPr>
            <w:r w:rsidRPr="009D11E0">
              <w:rPr>
                <w:rFonts w:ascii="Calibri" w:hAnsi="Calibri" w:cs="Calibri"/>
              </w:rPr>
              <w:t># Missing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2784A7D" w14:textId="77777777" w:rsidR="00A01843" w:rsidRPr="009D11E0" w:rsidRDefault="00A01843" w:rsidP="00F00548">
            <w:pPr>
              <w:spacing w:line="240" w:lineRule="auto"/>
              <w:rPr>
                <w:rFonts w:ascii="Calibri" w:hAnsi="Calibri" w:cs="Calibri"/>
              </w:rPr>
            </w:pPr>
            <w:r w:rsidRPr="009D11E0">
              <w:rPr>
                <w:rFonts w:ascii="Calibri" w:hAnsi="Calibri" w:cs="Calibri"/>
              </w:rPr>
              <w:t>305 missing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BCE9213" w14:textId="77777777" w:rsidR="00A01843" w:rsidRPr="009D11E0" w:rsidRDefault="00A01843" w:rsidP="00F00548">
            <w:pPr>
              <w:spacing w:line="240" w:lineRule="auto"/>
              <w:rPr>
                <w:rFonts w:ascii="Calibri" w:hAnsi="Calibri" w:cs="Calibri"/>
              </w:rPr>
            </w:pPr>
            <w:r w:rsidRPr="009D11E0">
              <w:rPr>
                <w:rFonts w:ascii="Calibri" w:hAnsi="Calibri" w:cs="Calibri"/>
              </w:rPr>
              <w:t>305 missing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EC6B59F" w14:textId="77777777" w:rsidR="00A01843" w:rsidRPr="009D11E0" w:rsidRDefault="00A01843" w:rsidP="00F00548">
            <w:pPr>
              <w:spacing w:line="240" w:lineRule="auto"/>
              <w:rPr>
                <w:rFonts w:ascii="Calibri" w:hAnsi="Calibri" w:cs="Calibri"/>
              </w:rPr>
            </w:pPr>
            <w:r w:rsidRPr="009D11E0">
              <w:rPr>
                <w:rFonts w:ascii="Calibri" w:hAnsi="Calibri" w:cs="Calibri"/>
              </w:rPr>
              <w:t>0 missing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83282FC" w14:textId="77777777" w:rsidR="00A01843" w:rsidRPr="009D11E0" w:rsidRDefault="00A01843" w:rsidP="00F00548">
            <w:pPr>
              <w:spacing w:line="240" w:lineRule="auto"/>
              <w:rPr>
                <w:rFonts w:ascii="Calibri" w:hAnsi="Calibri" w:cs="Calibri"/>
              </w:rPr>
            </w:pPr>
            <w:r w:rsidRPr="009D11E0">
              <w:rPr>
                <w:rFonts w:ascii="Calibri" w:hAnsi="Calibri" w:cs="Calibri"/>
              </w:rPr>
              <w:t>0 missing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4D7B884" w14:textId="77777777" w:rsidR="00A01843" w:rsidRPr="009D11E0" w:rsidRDefault="00A01843" w:rsidP="00F00548">
            <w:pPr>
              <w:spacing w:line="240" w:lineRule="auto"/>
              <w:rPr>
                <w:rFonts w:ascii="Calibri" w:hAnsi="Calibri" w:cs="Calibri"/>
              </w:rPr>
            </w:pPr>
            <w:r w:rsidRPr="009D11E0">
              <w:rPr>
                <w:rFonts w:ascii="Calibri" w:hAnsi="Calibri" w:cs="Calibri"/>
              </w:rPr>
              <w:t>10593 missing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2CE77EB" w14:textId="77777777" w:rsidR="00A01843" w:rsidRPr="009D11E0" w:rsidRDefault="00A01843" w:rsidP="00F00548">
            <w:pPr>
              <w:spacing w:line="240" w:lineRule="auto"/>
              <w:rPr>
                <w:rFonts w:ascii="Calibri" w:hAnsi="Calibri" w:cs="Calibri"/>
              </w:rPr>
            </w:pPr>
            <w:r w:rsidRPr="009D11E0">
              <w:rPr>
                <w:rFonts w:ascii="Calibri" w:hAnsi="Calibri" w:cs="Calibri"/>
              </w:rPr>
              <w:t>10593 missing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5DB55A6" w14:textId="77777777" w:rsidR="00A01843" w:rsidRPr="009D11E0" w:rsidRDefault="00A01843" w:rsidP="00F00548">
            <w:pPr>
              <w:spacing w:line="240" w:lineRule="auto"/>
              <w:rPr>
                <w:rFonts w:ascii="Calibri" w:hAnsi="Calibri" w:cs="Calibri"/>
              </w:rPr>
            </w:pPr>
            <w:r w:rsidRPr="009D11E0">
              <w:rPr>
                <w:rFonts w:ascii="Calibri" w:hAnsi="Calibri" w:cs="Calibri"/>
              </w:rPr>
              <w:t>0 missing</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A71B4FE" w14:textId="77777777" w:rsidR="00A01843" w:rsidRPr="009D11E0" w:rsidRDefault="00A01843" w:rsidP="00F00548">
            <w:pPr>
              <w:spacing w:line="240" w:lineRule="auto"/>
              <w:rPr>
                <w:rFonts w:ascii="Calibri" w:hAnsi="Calibri" w:cs="Calibri"/>
              </w:rPr>
            </w:pPr>
            <w:r w:rsidRPr="009D11E0">
              <w:rPr>
                <w:rFonts w:ascii="Calibri" w:hAnsi="Calibri" w:cs="Calibri"/>
              </w:rPr>
              <w:t>0 missing</w:t>
            </w:r>
          </w:p>
        </w:tc>
      </w:tr>
      <w:tr w:rsidR="00A01843" w:rsidRPr="009D11E0" w14:paraId="14D907AE"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116234" w14:textId="77777777" w:rsidR="00A01843" w:rsidRPr="009D11E0" w:rsidRDefault="00A01843" w:rsidP="00F00548">
            <w:pPr>
              <w:spacing w:line="240" w:lineRule="auto"/>
              <w:rPr>
                <w:rFonts w:ascii="Calibri" w:hAnsi="Calibri" w:cs="Calibri"/>
              </w:rPr>
            </w:pPr>
            <w:r w:rsidRPr="009D11E0">
              <w:rPr>
                <w:rFonts w:ascii="Calibri" w:hAnsi="Calibri" w:cs="Calibri"/>
              </w:rPr>
              <w:lastRenderedPageBreak/>
              <w:t># Students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8F14146" w14:textId="77777777" w:rsidR="00A01843" w:rsidRPr="009D11E0" w:rsidRDefault="00A01843" w:rsidP="00F00548">
            <w:pPr>
              <w:spacing w:line="240" w:lineRule="auto"/>
              <w:rPr>
                <w:rFonts w:ascii="Calibri" w:hAnsi="Calibri" w:cs="Calibri"/>
              </w:rPr>
            </w:pPr>
            <w:r w:rsidRPr="009D11E0">
              <w:rPr>
                <w:rFonts w:ascii="Calibri" w:hAnsi="Calibri" w:cs="Calibri"/>
              </w:rPr>
              <w:t>2513 students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A621936" w14:textId="77777777" w:rsidR="00A01843" w:rsidRPr="009D11E0" w:rsidRDefault="00A01843" w:rsidP="00F00548">
            <w:pPr>
              <w:spacing w:line="240" w:lineRule="auto"/>
              <w:rPr>
                <w:rFonts w:ascii="Calibri" w:hAnsi="Calibri" w:cs="Calibri"/>
              </w:rPr>
            </w:pPr>
            <w:r w:rsidRPr="009D11E0">
              <w:rPr>
                <w:rFonts w:ascii="Calibri" w:hAnsi="Calibri" w:cs="Calibri"/>
              </w:rPr>
              <w:t>2513 students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06DECFA" w14:textId="77777777" w:rsidR="00A01843" w:rsidRPr="009D11E0" w:rsidRDefault="00A01843" w:rsidP="00F00548">
            <w:pPr>
              <w:spacing w:line="240" w:lineRule="auto"/>
              <w:rPr>
                <w:rFonts w:ascii="Calibri" w:hAnsi="Calibri" w:cs="Calibri"/>
              </w:rPr>
            </w:pPr>
            <w:r w:rsidRPr="009D11E0">
              <w:rPr>
                <w:rFonts w:ascii="Calibri" w:hAnsi="Calibri" w:cs="Calibri"/>
              </w:rPr>
              <w:t>2818 students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4293426" w14:textId="77777777" w:rsidR="00A01843" w:rsidRPr="009D11E0" w:rsidRDefault="00A01843" w:rsidP="00F00548">
            <w:pPr>
              <w:spacing w:line="240" w:lineRule="auto"/>
              <w:rPr>
                <w:rFonts w:ascii="Calibri" w:hAnsi="Calibri" w:cs="Calibri"/>
              </w:rPr>
            </w:pPr>
            <w:r w:rsidRPr="009D11E0">
              <w:rPr>
                <w:rFonts w:ascii="Calibri" w:hAnsi="Calibri" w:cs="Calibri"/>
              </w:rPr>
              <w:t>2818 students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BC25D0F" w14:textId="77777777" w:rsidR="00A01843" w:rsidRPr="009D11E0" w:rsidRDefault="00A01843" w:rsidP="00F00548">
            <w:pPr>
              <w:spacing w:line="240" w:lineRule="auto"/>
              <w:rPr>
                <w:rFonts w:ascii="Calibri" w:hAnsi="Calibri" w:cs="Calibri"/>
              </w:rPr>
            </w:pPr>
            <w:r w:rsidRPr="009D11E0">
              <w:rPr>
                <w:rFonts w:ascii="Calibri" w:hAnsi="Calibri" w:cs="Calibri"/>
              </w:rPr>
              <w:t>24338 students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A78FEAF" w14:textId="77777777" w:rsidR="00A01843" w:rsidRPr="009D11E0" w:rsidRDefault="00A01843" w:rsidP="00F00548">
            <w:pPr>
              <w:spacing w:line="240" w:lineRule="auto"/>
              <w:rPr>
                <w:rFonts w:ascii="Calibri" w:hAnsi="Calibri" w:cs="Calibri"/>
              </w:rPr>
            </w:pPr>
            <w:r w:rsidRPr="009D11E0">
              <w:rPr>
                <w:rFonts w:ascii="Calibri" w:hAnsi="Calibri" w:cs="Calibri"/>
              </w:rPr>
              <w:t>24338 students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ECF71B1" w14:textId="77777777" w:rsidR="00A01843" w:rsidRPr="009D11E0" w:rsidRDefault="00A01843" w:rsidP="00F00548">
            <w:pPr>
              <w:spacing w:line="240" w:lineRule="auto"/>
              <w:rPr>
                <w:rFonts w:ascii="Calibri" w:hAnsi="Calibri" w:cs="Calibri"/>
              </w:rPr>
            </w:pPr>
            <w:r w:rsidRPr="009D11E0">
              <w:rPr>
                <w:rFonts w:ascii="Calibri" w:hAnsi="Calibri" w:cs="Calibri"/>
              </w:rPr>
              <w:t>34931 students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37495F47" w14:textId="77777777" w:rsidR="00A01843" w:rsidRPr="009D11E0" w:rsidRDefault="00A01843" w:rsidP="00F00548">
            <w:pPr>
              <w:spacing w:line="240" w:lineRule="auto"/>
              <w:rPr>
                <w:rFonts w:ascii="Calibri" w:hAnsi="Calibri" w:cs="Calibri"/>
              </w:rPr>
            </w:pPr>
            <w:r w:rsidRPr="009D11E0">
              <w:rPr>
                <w:rFonts w:ascii="Calibri" w:hAnsi="Calibri" w:cs="Calibri"/>
              </w:rPr>
              <w:t>34931 students</w:t>
            </w:r>
          </w:p>
        </w:tc>
      </w:tr>
      <w:tr w:rsidR="00A01843" w:rsidRPr="009D11E0" w14:paraId="784901DB"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084C5D" w14:textId="77777777" w:rsidR="00A01843" w:rsidRPr="009D11E0" w:rsidRDefault="00A01843" w:rsidP="00F00548">
            <w:pPr>
              <w:spacing w:line="240" w:lineRule="auto"/>
              <w:rPr>
                <w:rFonts w:ascii="Calibri" w:hAnsi="Calibri" w:cs="Calibri"/>
              </w:rPr>
            </w:pPr>
            <w:r w:rsidRPr="009D11E0">
              <w:rPr>
                <w:rFonts w:ascii="Calibri" w:hAnsi="Calibri" w:cs="Calibri"/>
              </w:rPr>
              <w:t># Schools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0A6687CC" w14:textId="77777777" w:rsidR="00A01843" w:rsidRPr="009D11E0" w:rsidRDefault="00A01843" w:rsidP="00F00548">
            <w:pPr>
              <w:spacing w:line="240" w:lineRule="auto"/>
              <w:rPr>
                <w:rFonts w:ascii="Calibri" w:hAnsi="Calibri" w:cs="Calibri"/>
              </w:rPr>
            </w:pPr>
            <w:r w:rsidRPr="009D11E0">
              <w:rPr>
                <w:rFonts w:ascii="Calibri" w:hAnsi="Calibri" w:cs="Calibri"/>
              </w:rPr>
              <w:t>135 schools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A7441D4" w14:textId="77777777" w:rsidR="00A01843" w:rsidRPr="009D11E0" w:rsidRDefault="00A01843" w:rsidP="00F00548">
            <w:pPr>
              <w:spacing w:line="240" w:lineRule="auto"/>
              <w:rPr>
                <w:rFonts w:ascii="Calibri" w:hAnsi="Calibri" w:cs="Calibri"/>
              </w:rPr>
            </w:pPr>
            <w:r w:rsidRPr="009D11E0">
              <w:rPr>
                <w:rFonts w:ascii="Calibri" w:hAnsi="Calibri" w:cs="Calibri"/>
              </w:rPr>
              <w:t>135 schools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90E15A3" w14:textId="77777777" w:rsidR="00A01843" w:rsidRPr="009D11E0" w:rsidRDefault="00A01843" w:rsidP="00F00548">
            <w:pPr>
              <w:spacing w:line="240" w:lineRule="auto"/>
              <w:rPr>
                <w:rFonts w:ascii="Calibri" w:hAnsi="Calibri" w:cs="Calibri"/>
              </w:rPr>
            </w:pPr>
            <w:r w:rsidRPr="009D11E0">
              <w:rPr>
                <w:rFonts w:ascii="Calibri" w:hAnsi="Calibri" w:cs="Calibri"/>
              </w:rPr>
              <w:t>147 schools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C611430" w14:textId="77777777" w:rsidR="00A01843" w:rsidRPr="009D11E0" w:rsidRDefault="00A01843" w:rsidP="00F00548">
            <w:pPr>
              <w:spacing w:line="240" w:lineRule="auto"/>
              <w:rPr>
                <w:rFonts w:ascii="Calibri" w:hAnsi="Calibri" w:cs="Calibri"/>
              </w:rPr>
            </w:pPr>
            <w:r w:rsidRPr="009D11E0">
              <w:rPr>
                <w:rFonts w:ascii="Calibri" w:hAnsi="Calibri" w:cs="Calibri"/>
              </w:rPr>
              <w:t>147 schools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3504696" w14:textId="77777777" w:rsidR="00A01843" w:rsidRPr="009D11E0" w:rsidRDefault="00A01843" w:rsidP="00F00548">
            <w:pPr>
              <w:spacing w:line="240" w:lineRule="auto"/>
              <w:rPr>
                <w:rFonts w:ascii="Calibri" w:hAnsi="Calibri" w:cs="Calibri"/>
              </w:rPr>
            </w:pPr>
            <w:r w:rsidRPr="009D11E0">
              <w:rPr>
                <w:rFonts w:ascii="Calibri" w:hAnsi="Calibri" w:cs="Calibri"/>
              </w:rPr>
              <w:t>1491 schools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9B0B777" w14:textId="77777777" w:rsidR="00A01843" w:rsidRPr="009D11E0" w:rsidRDefault="00A01843" w:rsidP="00F00548">
            <w:pPr>
              <w:spacing w:line="240" w:lineRule="auto"/>
              <w:rPr>
                <w:rFonts w:ascii="Calibri" w:hAnsi="Calibri" w:cs="Calibri"/>
              </w:rPr>
            </w:pPr>
            <w:r w:rsidRPr="009D11E0">
              <w:rPr>
                <w:rFonts w:ascii="Calibri" w:hAnsi="Calibri" w:cs="Calibri"/>
              </w:rPr>
              <w:t>1491 schools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6B7B3B4D" w14:textId="77777777" w:rsidR="00A01843" w:rsidRPr="009D11E0" w:rsidRDefault="00A01843" w:rsidP="00F00548">
            <w:pPr>
              <w:spacing w:line="240" w:lineRule="auto"/>
              <w:rPr>
                <w:rFonts w:ascii="Calibri" w:hAnsi="Calibri" w:cs="Calibri"/>
              </w:rPr>
            </w:pPr>
            <w:r w:rsidRPr="009D11E0">
              <w:rPr>
                <w:rFonts w:ascii="Calibri" w:hAnsi="Calibri" w:cs="Calibri"/>
              </w:rPr>
              <w:t>1806 schools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19EE877" w14:textId="77777777" w:rsidR="00A01843" w:rsidRPr="009D11E0" w:rsidRDefault="00A01843" w:rsidP="00F00548">
            <w:pPr>
              <w:spacing w:line="240" w:lineRule="auto"/>
              <w:rPr>
                <w:rFonts w:ascii="Calibri" w:hAnsi="Calibri" w:cs="Calibri"/>
              </w:rPr>
            </w:pPr>
            <w:r w:rsidRPr="009D11E0">
              <w:rPr>
                <w:rFonts w:ascii="Calibri" w:hAnsi="Calibri" w:cs="Calibri"/>
              </w:rPr>
              <w:t>1806 schools</w:t>
            </w:r>
          </w:p>
        </w:tc>
      </w:tr>
      <w:tr w:rsidR="00A01843" w:rsidRPr="009D11E0" w14:paraId="1DE894A8" w14:textId="77777777" w:rsidTr="00A0184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D92CAA" w14:textId="77777777" w:rsidR="00A01843" w:rsidRPr="009D11E0" w:rsidRDefault="00A01843" w:rsidP="00F00548">
            <w:pPr>
              <w:spacing w:line="240" w:lineRule="auto"/>
              <w:rPr>
                <w:rFonts w:ascii="Calibri" w:hAnsi="Calibri" w:cs="Calibri"/>
              </w:rPr>
            </w:pPr>
            <w:r w:rsidRPr="009D11E0">
              <w:rPr>
                <w:rFonts w:ascii="Calibri" w:hAnsi="Calibri" w:cs="Calibri"/>
              </w:rPr>
              <w:t># Countries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5D934435" w14:textId="77777777" w:rsidR="00A01843" w:rsidRPr="009D11E0" w:rsidRDefault="00A01843" w:rsidP="00F00548">
            <w:pPr>
              <w:spacing w:line="240" w:lineRule="auto"/>
              <w:rPr>
                <w:rFonts w:ascii="Calibri" w:hAnsi="Calibri" w:cs="Calibri"/>
              </w:rPr>
            </w:pPr>
            <w:r w:rsidRPr="009D11E0">
              <w:rPr>
                <w:rFonts w:ascii="Calibri" w:hAnsi="Calibri" w:cs="Calibri"/>
              </w:rPr>
              <w:t>1 country</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5AC85E9" w14:textId="77777777" w:rsidR="00A01843" w:rsidRPr="009D11E0" w:rsidRDefault="00A01843" w:rsidP="00F00548">
            <w:pPr>
              <w:spacing w:line="240" w:lineRule="auto"/>
              <w:rPr>
                <w:rFonts w:ascii="Calibri" w:hAnsi="Calibri" w:cs="Calibri"/>
              </w:rPr>
            </w:pPr>
            <w:r w:rsidRPr="009D11E0">
              <w:rPr>
                <w:rFonts w:ascii="Calibri" w:hAnsi="Calibri" w:cs="Calibri"/>
              </w:rPr>
              <w:t>1 country</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69A219E" w14:textId="77777777" w:rsidR="00A01843" w:rsidRPr="009D11E0" w:rsidRDefault="00A01843" w:rsidP="00F00548">
            <w:pPr>
              <w:spacing w:line="240" w:lineRule="auto"/>
              <w:rPr>
                <w:rFonts w:ascii="Calibri" w:hAnsi="Calibri" w:cs="Calibri"/>
              </w:rPr>
            </w:pPr>
            <w:r w:rsidRPr="009D11E0">
              <w:rPr>
                <w:rFonts w:ascii="Calibri" w:hAnsi="Calibri" w:cs="Calibri"/>
              </w:rPr>
              <w:t>1 country</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208B2D9" w14:textId="77777777" w:rsidR="00A01843" w:rsidRPr="009D11E0" w:rsidRDefault="00A01843" w:rsidP="00F00548">
            <w:pPr>
              <w:spacing w:line="240" w:lineRule="auto"/>
              <w:rPr>
                <w:rFonts w:ascii="Calibri" w:hAnsi="Calibri" w:cs="Calibri"/>
              </w:rPr>
            </w:pPr>
            <w:r w:rsidRPr="009D11E0">
              <w:rPr>
                <w:rFonts w:ascii="Calibri" w:hAnsi="Calibri" w:cs="Calibri"/>
              </w:rPr>
              <w:t>1 country</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72C1D977" w14:textId="77777777" w:rsidR="00A01843" w:rsidRPr="009D11E0" w:rsidRDefault="00A01843" w:rsidP="00F00548">
            <w:pPr>
              <w:spacing w:line="240" w:lineRule="auto"/>
              <w:rPr>
                <w:rFonts w:ascii="Calibri" w:hAnsi="Calibri" w:cs="Calibri"/>
              </w:rPr>
            </w:pPr>
            <w:r w:rsidRPr="009D11E0">
              <w:rPr>
                <w:rFonts w:ascii="Calibri" w:hAnsi="Calibri" w:cs="Calibri"/>
              </w:rPr>
              <w:t>13 countries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11C091A2" w14:textId="77777777" w:rsidR="00A01843" w:rsidRPr="009D11E0" w:rsidRDefault="00A01843" w:rsidP="00F00548">
            <w:pPr>
              <w:spacing w:line="240" w:lineRule="auto"/>
              <w:rPr>
                <w:rFonts w:ascii="Calibri" w:hAnsi="Calibri" w:cs="Calibri"/>
              </w:rPr>
            </w:pPr>
            <w:r w:rsidRPr="009D11E0">
              <w:rPr>
                <w:rFonts w:ascii="Calibri" w:hAnsi="Calibri" w:cs="Calibri"/>
              </w:rPr>
              <w:t>13 countries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239FC0CE" w14:textId="77777777" w:rsidR="00A01843" w:rsidRPr="009D11E0" w:rsidRDefault="00A01843" w:rsidP="00F00548">
            <w:pPr>
              <w:spacing w:line="240" w:lineRule="auto"/>
              <w:rPr>
                <w:rFonts w:ascii="Calibri" w:hAnsi="Calibri" w:cs="Calibri"/>
              </w:rPr>
            </w:pPr>
            <w:r w:rsidRPr="009D11E0">
              <w:rPr>
                <w:rFonts w:ascii="Calibri" w:hAnsi="Calibri" w:cs="Calibri"/>
              </w:rPr>
              <w:t>13 countries</w:t>
            </w:r>
          </w:p>
        </w:tc>
        <w:tc>
          <w:tcPr>
            <w:tcW w:w="0" w:type="auto"/>
            <w:gridSpan w:val="2"/>
            <w:tcBorders>
              <w:top w:val="nil"/>
              <w:left w:val="nil"/>
              <w:bottom w:val="single" w:sz="4" w:space="0" w:color="auto"/>
              <w:right w:val="single" w:sz="4" w:space="0" w:color="auto"/>
            </w:tcBorders>
            <w:shd w:val="clear" w:color="auto" w:fill="auto"/>
            <w:noWrap/>
            <w:vAlign w:val="bottom"/>
            <w:hideMark/>
          </w:tcPr>
          <w:p w14:paraId="42B46738" w14:textId="77777777" w:rsidR="00A01843" w:rsidRPr="009D11E0" w:rsidRDefault="00A01843" w:rsidP="00F00548">
            <w:pPr>
              <w:spacing w:line="240" w:lineRule="auto"/>
              <w:rPr>
                <w:rFonts w:ascii="Calibri" w:hAnsi="Calibri" w:cs="Calibri"/>
              </w:rPr>
            </w:pPr>
            <w:r w:rsidRPr="009D11E0">
              <w:rPr>
                <w:rFonts w:ascii="Calibri" w:hAnsi="Calibri" w:cs="Calibri"/>
              </w:rPr>
              <w:t>13 countries</w:t>
            </w:r>
          </w:p>
        </w:tc>
      </w:tr>
    </w:tbl>
    <w:p w14:paraId="7E9BA52E" w14:textId="77777777" w:rsidR="00A01843" w:rsidRPr="009D11E0" w:rsidRDefault="00A01843" w:rsidP="00A01843"/>
    <w:p w14:paraId="5FC13971" w14:textId="1054847B" w:rsidR="00E777EE" w:rsidRPr="00A01843" w:rsidRDefault="00E777EE" w:rsidP="003F4AD7"/>
    <w:p w14:paraId="31F90860" w14:textId="358084E7" w:rsidR="00E777EE" w:rsidRPr="00A01843" w:rsidRDefault="00E777EE" w:rsidP="00E777EE">
      <w:pPr>
        <w:pStyle w:val="Newparagraph"/>
        <w:jc w:val="center"/>
      </w:pPr>
    </w:p>
    <w:p w14:paraId="7DB5DB9B" w14:textId="77777777" w:rsidR="00E777EE" w:rsidRPr="00A01843" w:rsidRDefault="00E777EE" w:rsidP="003F4AD7"/>
    <w:p w14:paraId="678A5658" w14:textId="77777777" w:rsidR="00A01843" w:rsidRDefault="00A01843" w:rsidP="003F4AD7">
      <w:pPr>
        <w:sectPr w:rsidR="00A01843" w:rsidSect="00A01843">
          <w:endnotePr>
            <w:numFmt w:val="decimal"/>
          </w:endnotePr>
          <w:pgSz w:w="16840" w:h="11901" w:orient="landscape" w:code="9"/>
          <w:pgMar w:top="1701" w:right="1418" w:bottom="1701" w:left="1418" w:header="709" w:footer="709" w:gutter="0"/>
          <w:cols w:space="708"/>
          <w:docGrid w:linePitch="360"/>
        </w:sectPr>
      </w:pPr>
    </w:p>
    <w:p w14:paraId="6B6E334A" w14:textId="1E77732D" w:rsidR="00205557" w:rsidRPr="00A01843" w:rsidRDefault="009B63C5" w:rsidP="003F4AD7">
      <w:r w:rsidRPr="00A01843">
        <w:lastRenderedPageBreak/>
        <w:t>In sum, the results of Kim et al. (2014) were not replicated. However</w:t>
      </w:r>
      <w:r w:rsidR="00205557" w:rsidRPr="00A01843">
        <w:t xml:space="preserve">, it </w:t>
      </w:r>
      <w:r w:rsidR="006C7F14" w:rsidRPr="00A01843">
        <w:t xml:space="preserve">appears </w:t>
      </w:r>
      <w:r w:rsidR="00205557" w:rsidRPr="00A01843">
        <w:t xml:space="preserve">that </w:t>
      </w:r>
      <w:r w:rsidR="001E0C0B" w:rsidRPr="00A01843">
        <w:t>analytical variability has</w:t>
      </w:r>
      <w:r w:rsidR="00205557" w:rsidRPr="00A01843">
        <w:t xml:space="preserve"> a large influence on </w:t>
      </w:r>
      <w:r w:rsidR="00DB5F78" w:rsidRPr="00A01843">
        <w:t>the main result</w:t>
      </w:r>
      <w:r w:rsidRPr="00A01843">
        <w:t>, as seen in Table 2</w:t>
      </w:r>
      <w:r w:rsidR="00205557" w:rsidRPr="00A01843">
        <w:t xml:space="preserve">. We therefore </w:t>
      </w:r>
      <w:r w:rsidR="006C7F14" w:rsidRPr="00A01843">
        <w:t>focus the</w:t>
      </w:r>
      <w:r w:rsidR="00205557" w:rsidRPr="00A01843">
        <w:t xml:space="preserve"> </w:t>
      </w:r>
      <w:r w:rsidR="006C7F14" w:rsidRPr="00A01843">
        <w:t>‘</w:t>
      </w:r>
      <w:r w:rsidR="00205557" w:rsidRPr="00A01843">
        <w:t>discussion</w:t>
      </w:r>
      <w:r w:rsidR="006C7F14" w:rsidRPr="00A01843">
        <w:t>’</w:t>
      </w:r>
      <w:r w:rsidR="00205557" w:rsidRPr="00A01843">
        <w:t xml:space="preserve"> section on discussing </w:t>
      </w:r>
      <w:r w:rsidR="001E0C0B" w:rsidRPr="00A01843">
        <w:t>this variability</w:t>
      </w:r>
      <w:r w:rsidR="00205557" w:rsidRPr="00A01843">
        <w:t xml:space="preserve">. </w:t>
      </w:r>
    </w:p>
    <w:p w14:paraId="589C0E44" w14:textId="77777777" w:rsidR="00C70C36" w:rsidRPr="00A01843" w:rsidRDefault="00C70C36" w:rsidP="006416B8">
      <w:pPr>
        <w:pStyle w:val="Heading1"/>
      </w:pPr>
      <w:r w:rsidRPr="00A01843">
        <w:t>Discussion</w:t>
      </w:r>
    </w:p>
    <w:p w14:paraId="52433D9B" w14:textId="7CCA8417" w:rsidR="00205557" w:rsidRPr="00A01843" w:rsidRDefault="00BC0FEE" w:rsidP="003F4AD7">
      <w:r w:rsidRPr="00A01843">
        <w:t xml:space="preserve">Now that we have reported in-depth on the replication process for Kim et al. (2014), as well as the results, it is pertinent to </w:t>
      </w:r>
      <w:r w:rsidR="009B63C5" w:rsidRPr="00A01843">
        <w:t>discuss some of the challenges in secondary data replications</w:t>
      </w:r>
      <w:r w:rsidRPr="00A01843">
        <w:t xml:space="preserve">. First and foremost, </w:t>
      </w:r>
      <w:proofErr w:type="gramStart"/>
      <w:r w:rsidRPr="00A01843">
        <w:t>it is clear that the</w:t>
      </w:r>
      <w:proofErr w:type="gramEnd"/>
      <w:r w:rsidRPr="00A01843">
        <w:t xml:space="preserve"> analytical pipeline contains an enormous amount of </w:t>
      </w:r>
      <w:r w:rsidR="001E0C0B" w:rsidRPr="00A01843">
        <w:t>variability</w:t>
      </w:r>
      <w:r w:rsidRPr="00A01843">
        <w:t xml:space="preserve">. In this discussion section we discuss </w:t>
      </w:r>
      <w:r w:rsidR="00D463C3" w:rsidRPr="00A01843">
        <w:t xml:space="preserve">many of </w:t>
      </w:r>
      <w:r w:rsidR="001E0C0B" w:rsidRPr="00A01843">
        <w:t>ingredients of that variability</w:t>
      </w:r>
      <w:r w:rsidRPr="00A01843">
        <w:t>, linking it to prior literature on replication attempts.</w:t>
      </w:r>
    </w:p>
    <w:p w14:paraId="7E4522A1" w14:textId="77777777" w:rsidR="00DB5F78" w:rsidRPr="00A01843" w:rsidRDefault="00DB5F78" w:rsidP="003F4AD7"/>
    <w:p w14:paraId="0D51D45A" w14:textId="3BC23E67" w:rsidR="00150EF0" w:rsidRPr="00A01843" w:rsidRDefault="00FB6FD5" w:rsidP="003F4AD7">
      <w:r w:rsidRPr="00A01843">
        <w:t xml:space="preserve"> Firstly, </w:t>
      </w:r>
      <w:r w:rsidR="00150EF0" w:rsidRPr="00A01843">
        <w:t xml:space="preserve">the choice of secondary dataset already determines many </w:t>
      </w:r>
      <w:r w:rsidR="00DB5F78" w:rsidRPr="00A01843">
        <w:t>decisions</w:t>
      </w:r>
      <w:r w:rsidR="00150EF0" w:rsidRPr="00A01843">
        <w:t xml:space="preserve"> in the analysis pipeline. For example, in this case</w:t>
      </w:r>
      <w:r w:rsidRPr="00A01843">
        <w:t>,</w:t>
      </w:r>
      <w:r w:rsidR="00150EF0" w:rsidRPr="00A01843">
        <w:t xml:space="preserve"> the choice </w:t>
      </w:r>
      <w:r w:rsidR="009B63C5" w:rsidRPr="00A01843">
        <w:t>of</w:t>
      </w:r>
      <w:r w:rsidR="00150EF0" w:rsidRPr="00A01843">
        <w:t xml:space="preserve"> the ICILS </w:t>
      </w:r>
      <w:r w:rsidR="009B63C5" w:rsidRPr="00A01843">
        <w:t xml:space="preserve">2018 </w:t>
      </w:r>
      <w:r w:rsidR="00150EF0" w:rsidRPr="00A01843">
        <w:t>dataset pertained to a different age of participants, and</w:t>
      </w:r>
      <w:r w:rsidRPr="00A01843">
        <w:t>,</w:t>
      </w:r>
      <w:r w:rsidR="00150EF0" w:rsidRPr="00A01843">
        <w:t xml:space="preserve"> given that Siddiq and Scherer (2019) </w:t>
      </w:r>
      <w:r w:rsidRPr="00A01843">
        <w:t xml:space="preserve">had </w:t>
      </w:r>
      <w:r w:rsidR="00150EF0" w:rsidRPr="00A01843">
        <w:t xml:space="preserve">already highlighted </w:t>
      </w:r>
      <w:r w:rsidRPr="00A01843">
        <w:t xml:space="preserve">the point </w:t>
      </w:r>
      <w:r w:rsidR="00150EF0" w:rsidRPr="00A01843">
        <w:t xml:space="preserve">that effects in primary school were larger than those at secondary age, this might already be a problematic choice. The sampling of ‘whole classes’ </w:t>
      </w:r>
      <w:r w:rsidR="00DB5F78" w:rsidRPr="00A01843">
        <w:t xml:space="preserve">or not, </w:t>
      </w:r>
      <w:r w:rsidR="00150EF0" w:rsidRPr="00A01843">
        <w:t xml:space="preserve">is another </w:t>
      </w:r>
      <w:r w:rsidR="009B63C5" w:rsidRPr="00A01843">
        <w:t>difference and/or decision point</w:t>
      </w:r>
      <w:r w:rsidR="00150EF0" w:rsidRPr="00A01843">
        <w:t>. On the one hand</w:t>
      </w:r>
      <w:r w:rsidRPr="00A01843">
        <w:t>,</w:t>
      </w:r>
      <w:r w:rsidR="00150EF0" w:rsidRPr="00A01843">
        <w:t xml:space="preserve"> sampling whole classes might give insight into classroom and teacher processes, but</w:t>
      </w:r>
      <w:r w:rsidRPr="00A01843">
        <w:t>,</w:t>
      </w:r>
      <w:r w:rsidR="00150EF0" w:rsidRPr="00A01843">
        <w:t xml:space="preserve"> on the other hand</w:t>
      </w:r>
      <w:r w:rsidRPr="00A01843">
        <w:t>,</w:t>
      </w:r>
      <w:r w:rsidR="00150EF0" w:rsidRPr="00A01843">
        <w:t xml:space="preserve"> the individual students will not be</w:t>
      </w:r>
      <w:r w:rsidR="00735294" w:rsidRPr="00A01843">
        <w:t xml:space="preserve"> statistically </w:t>
      </w:r>
      <w:r w:rsidR="00150EF0" w:rsidRPr="00A01843">
        <w:t>independent. The choice of ‘levels’ (i.e.</w:t>
      </w:r>
      <w:r w:rsidRPr="00A01843">
        <w:t>,</w:t>
      </w:r>
      <w:r w:rsidR="00150EF0" w:rsidRPr="00A01843">
        <w:t xml:space="preserve"> classroom and/or school) </w:t>
      </w:r>
      <w:r w:rsidR="00DB5F78" w:rsidRPr="00A01843">
        <w:t xml:space="preserve">in the multilevel models </w:t>
      </w:r>
      <w:r w:rsidR="00150EF0" w:rsidRPr="00A01843">
        <w:t xml:space="preserve">will also be associated with </w:t>
      </w:r>
      <w:r w:rsidR="009B63C5" w:rsidRPr="00A01843">
        <w:t xml:space="preserve">the extent to which students </w:t>
      </w:r>
      <w:proofErr w:type="gramStart"/>
      <w:r w:rsidR="009B63C5" w:rsidRPr="00A01843">
        <w:t>are seen as</w:t>
      </w:r>
      <w:proofErr w:type="gramEnd"/>
      <w:r w:rsidR="009B63C5" w:rsidRPr="00A01843">
        <w:t xml:space="preserve"> ‘independent’: students in one class often experience specific classroom effects</w:t>
      </w:r>
      <w:r w:rsidR="00150EF0" w:rsidRPr="00A01843">
        <w:t xml:space="preserve">. Furthermore, the choice of dataset also determines the extent of missing data and choices to be made regarding missing data treatment, as well as </w:t>
      </w:r>
      <w:proofErr w:type="gramStart"/>
      <w:r w:rsidRPr="00A01843">
        <w:t xml:space="preserve">with regard </w:t>
      </w:r>
      <w:r w:rsidR="009B63C5" w:rsidRPr="00A01843">
        <w:t>to</w:t>
      </w:r>
      <w:proofErr w:type="gramEnd"/>
      <w:r w:rsidR="009B63C5" w:rsidRPr="00A01843">
        <w:t xml:space="preserve"> </w:t>
      </w:r>
      <w:r w:rsidR="00150EF0" w:rsidRPr="00A01843">
        <w:t xml:space="preserve">whether a complex sampling design needs to be taken into account. Here, as described previously, </w:t>
      </w:r>
      <w:r w:rsidR="006F25EE" w:rsidRPr="00A01843">
        <w:t>p</w:t>
      </w:r>
      <w:r w:rsidR="00150EF0" w:rsidRPr="00A01843">
        <w:t xml:space="preserve">lausible </w:t>
      </w:r>
      <w:r w:rsidR="006F25EE" w:rsidRPr="00A01843">
        <w:t>v</w:t>
      </w:r>
      <w:r w:rsidR="00150EF0" w:rsidRPr="00A01843">
        <w:t xml:space="preserve">alues, weights and resampling techniques need to be taken into account, and although data analysis </w:t>
      </w:r>
      <w:r w:rsidR="00150EF0" w:rsidRPr="00A01843">
        <w:lastRenderedPageBreak/>
        <w:t xml:space="preserve">manuals often have one recommended approach, in practice this is less straightforward, with estimation techniques and software packages contributing to </w:t>
      </w:r>
      <w:r w:rsidR="00797FF3" w:rsidRPr="00A01843">
        <w:t>numerous different practices</w:t>
      </w:r>
      <w:r w:rsidR="009B63C5" w:rsidRPr="00A01843">
        <w:t xml:space="preserve"> concerning missing data</w:t>
      </w:r>
      <w:r w:rsidR="00797FF3" w:rsidRPr="00A01843">
        <w:t>.</w:t>
      </w:r>
    </w:p>
    <w:p w14:paraId="5B8586D1" w14:textId="77777777" w:rsidR="00FB6FD5" w:rsidRPr="00A01843" w:rsidRDefault="00FB6FD5" w:rsidP="003F4AD7"/>
    <w:p w14:paraId="0BB4285A" w14:textId="370E418A" w:rsidR="006416B8" w:rsidRPr="00A01843" w:rsidRDefault="00150EF0" w:rsidP="003F4AD7">
      <w:r w:rsidRPr="00A01843">
        <w:t xml:space="preserve">Then, </w:t>
      </w:r>
      <w:r w:rsidR="009B63C5" w:rsidRPr="00A01843">
        <w:t>as indicated earlier and in Table 1,</w:t>
      </w:r>
      <w:r w:rsidRPr="00A01843">
        <w:t xml:space="preserve"> the variables themselves might be worded differently, have different answer options</w:t>
      </w:r>
      <w:r w:rsidR="00FB6FD5" w:rsidRPr="00A01843">
        <w:t>,</w:t>
      </w:r>
      <w:r w:rsidRPr="00A01843">
        <w:t xml:space="preserve"> and </w:t>
      </w:r>
      <w:r w:rsidR="00FB6FD5" w:rsidRPr="00A01843">
        <w:t xml:space="preserve">be able to </w:t>
      </w:r>
      <w:r w:rsidRPr="00A01843">
        <w:t>be combined in scales in different ways</w:t>
      </w:r>
      <w:r w:rsidR="00DB5F78" w:rsidRPr="00A01843">
        <w:t>; the operationalisation of variables plays an important role.</w:t>
      </w:r>
      <w:r w:rsidR="00797FF3" w:rsidRPr="00A01843">
        <w:t xml:space="preserve"> </w:t>
      </w:r>
      <w:r w:rsidR="00DB5F78" w:rsidRPr="00A01843">
        <w:t xml:space="preserve">So, although the </w:t>
      </w:r>
      <w:r w:rsidR="009B63C5" w:rsidRPr="00A01843">
        <w:t>positive aspect</w:t>
      </w:r>
      <w:r w:rsidR="00DB5F78" w:rsidRPr="00A01843">
        <w:t xml:space="preserve"> of this is that data have </w:t>
      </w:r>
      <w:r w:rsidR="00FB6FD5" w:rsidRPr="00A01843">
        <w:t xml:space="preserve">already </w:t>
      </w:r>
      <w:r w:rsidR="00DB5F78" w:rsidRPr="00A01843">
        <w:t xml:space="preserve">been collected, the challenge lies in whether they really </w:t>
      </w:r>
      <w:proofErr w:type="gramStart"/>
      <w:r w:rsidR="00DB5F78" w:rsidRPr="00A01843">
        <w:t>can be seen as</w:t>
      </w:r>
      <w:proofErr w:type="gramEnd"/>
      <w:r w:rsidR="00DB5F78" w:rsidRPr="00A01843">
        <w:t xml:space="preserve"> covering similar constructs.</w:t>
      </w:r>
      <w:r w:rsidR="00797FF3" w:rsidRPr="00A01843">
        <w:t xml:space="preserve"> Many of the choices relate to the way we see </w:t>
      </w:r>
      <w:r w:rsidR="00610A94" w:rsidRPr="00A01843">
        <w:t xml:space="preserve">and interpret </w:t>
      </w:r>
      <w:r w:rsidR="00797FF3" w:rsidRPr="00A01843">
        <w:t>replications.</w:t>
      </w:r>
      <w:r w:rsidR="00610A94" w:rsidRPr="00A01843">
        <w:t xml:space="preserve"> On the one hand, replications can never be completely the same as in the original study, as studies are highly contextualised in both time and space. On the other hand, we </w:t>
      </w:r>
      <w:r w:rsidR="00610A94" w:rsidRPr="00A01843">
        <w:rPr>
          <w:i/>
          <w:iCs/>
        </w:rPr>
        <w:t>are</w:t>
      </w:r>
      <w:r w:rsidR="00610A94" w:rsidRPr="00A01843">
        <w:t xml:space="preserve"> interested in looking at bodies of knowledge that </w:t>
      </w:r>
      <w:r w:rsidR="00FB6FD5" w:rsidRPr="00A01843">
        <w:t xml:space="preserve">enable </w:t>
      </w:r>
      <w:r w:rsidR="00610A94" w:rsidRPr="00A01843">
        <w:t>us to make inferences about certain topics, for example</w:t>
      </w:r>
      <w:r w:rsidR="00FB6FD5" w:rsidRPr="00A01843">
        <w:t>,</w:t>
      </w:r>
      <w:r w:rsidR="00610A94" w:rsidRPr="00A01843">
        <w:t xml:space="preserve"> in this case</w:t>
      </w:r>
      <w:r w:rsidR="00FB6FD5" w:rsidRPr="00A01843">
        <w:t>,</w:t>
      </w:r>
      <w:r w:rsidR="00610A94" w:rsidRPr="00A01843">
        <w:t xml:space="preserve"> differences in ICT literacy. In other words, the aims of </w:t>
      </w:r>
      <w:r w:rsidR="00500968" w:rsidRPr="00A01843">
        <w:t>the</w:t>
      </w:r>
      <w:r w:rsidR="00610A94" w:rsidRPr="00A01843">
        <w:t xml:space="preserve"> replication are important</w:t>
      </w:r>
      <w:r w:rsidR="00500968" w:rsidRPr="00A01843">
        <w:t>, and we cannot use simplistic typologies for replications</w:t>
      </w:r>
      <w:r w:rsidR="00610A94" w:rsidRPr="00A01843">
        <w:t>.</w:t>
      </w:r>
      <w:r w:rsidR="00E84BE4" w:rsidRPr="00A01843">
        <w:t xml:space="preserve"> </w:t>
      </w:r>
    </w:p>
    <w:p w14:paraId="0A778F16" w14:textId="77777777" w:rsidR="00FB6FD5" w:rsidRPr="00A01843" w:rsidRDefault="00FB6FD5" w:rsidP="006416B8"/>
    <w:p w14:paraId="7D98CEAD" w14:textId="126CD262" w:rsidR="00FB6FD5" w:rsidRPr="00A01843" w:rsidRDefault="00E84BE4" w:rsidP="006416B8">
      <w:r w:rsidRPr="00A01843">
        <w:t xml:space="preserve">In the context of educational research, </w:t>
      </w:r>
      <w:proofErr w:type="spellStart"/>
      <w:r w:rsidRPr="00A01843">
        <w:t>Plucker</w:t>
      </w:r>
      <w:proofErr w:type="spellEnd"/>
      <w:r w:rsidRPr="00A01843">
        <w:t xml:space="preserve"> and </w:t>
      </w:r>
      <w:proofErr w:type="spellStart"/>
      <w:r w:rsidRPr="00A01843">
        <w:t>Makel</w:t>
      </w:r>
      <w:proofErr w:type="spellEnd"/>
      <w:r w:rsidRPr="00A01843">
        <w:t xml:space="preserve"> (2021) </w:t>
      </w:r>
      <w:r w:rsidR="00E05CD7" w:rsidRPr="00A01843">
        <w:t xml:space="preserve">summarise types of replications. In a </w:t>
      </w:r>
      <w:r w:rsidR="00E05CD7" w:rsidRPr="00A01843">
        <w:rPr>
          <w:i/>
          <w:iCs/>
        </w:rPr>
        <w:t>direct replication</w:t>
      </w:r>
      <w:r w:rsidR="00E05CD7" w:rsidRPr="00A01843">
        <w:t xml:space="preserve">, researchers attempt to follow the original study’s methods as closely as possible </w:t>
      </w:r>
      <w:proofErr w:type="gramStart"/>
      <w:r w:rsidR="00E05CD7" w:rsidRPr="00A01843">
        <w:t>in an effort to</w:t>
      </w:r>
      <w:proofErr w:type="gramEnd"/>
      <w:r w:rsidR="00E05CD7" w:rsidRPr="00A01843">
        <w:t xml:space="preserve"> arrive at similar results. </w:t>
      </w:r>
      <w:r w:rsidR="00FB6FD5" w:rsidRPr="00A01843">
        <w:t xml:space="preserve">However, </w:t>
      </w:r>
      <w:r w:rsidR="00E05CD7" w:rsidRPr="00A01843">
        <w:t>‘</w:t>
      </w:r>
      <w:r w:rsidR="00FB6FD5" w:rsidRPr="00A01843">
        <w:t>a</w:t>
      </w:r>
      <w:r w:rsidR="00E05CD7" w:rsidRPr="00A01843">
        <w:t xml:space="preserve">s closely as possible’ is </w:t>
      </w:r>
      <w:r w:rsidR="00610A94" w:rsidRPr="00A01843">
        <w:t>somewhat</w:t>
      </w:r>
      <w:r w:rsidR="00E05CD7" w:rsidRPr="00A01843">
        <w:t xml:space="preserve"> opaque, though, </w:t>
      </w:r>
      <w:r w:rsidR="00FB6FD5" w:rsidRPr="00A01843">
        <w:t>as is</w:t>
      </w:r>
      <w:r w:rsidR="00E05CD7" w:rsidRPr="00A01843">
        <w:t xml:space="preserve"> the case </w:t>
      </w:r>
      <w:r w:rsidR="00FB6FD5" w:rsidRPr="00A01843">
        <w:t xml:space="preserve">in </w:t>
      </w:r>
      <w:r w:rsidR="00DB5F78" w:rsidRPr="00A01843">
        <w:t>the current replication</w:t>
      </w:r>
      <w:r w:rsidR="00FB6FD5" w:rsidRPr="00A01843">
        <w:t>,</w:t>
      </w:r>
      <w:r w:rsidR="00E05CD7" w:rsidRPr="00A01843">
        <w:t xml:space="preserve"> the choice of the ICILS dataset</w:t>
      </w:r>
      <w:r w:rsidR="00DB5F78" w:rsidRPr="00A01843">
        <w:t xml:space="preserve"> alone</w:t>
      </w:r>
      <w:r w:rsidR="00E05CD7" w:rsidRPr="00A01843">
        <w:t xml:space="preserve"> made it harder to adhere to some of the original study’s features. </w:t>
      </w:r>
      <w:r w:rsidR="00FB6FD5" w:rsidRPr="00A01843">
        <w:t>The present study</w:t>
      </w:r>
      <w:r w:rsidR="00E05CD7" w:rsidRPr="00A01843">
        <w:t xml:space="preserve"> can</w:t>
      </w:r>
      <w:r w:rsidR="00610A94" w:rsidRPr="00A01843">
        <w:t>not</w:t>
      </w:r>
      <w:r w:rsidR="00E05CD7" w:rsidRPr="00A01843">
        <w:t xml:space="preserve"> really be called a conceptual replication, summarised by </w:t>
      </w:r>
      <w:proofErr w:type="spellStart"/>
      <w:r w:rsidR="00E05CD7" w:rsidRPr="00A01843">
        <w:t>Plucker</w:t>
      </w:r>
      <w:proofErr w:type="spellEnd"/>
      <w:r w:rsidR="00E05CD7" w:rsidRPr="00A01843">
        <w:t xml:space="preserve"> and </w:t>
      </w:r>
      <w:proofErr w:type="spellStart"/>
      <w:r w:rsidR="00E05CD7" w:rsidRPr="00A01843">
        <w:t>Makel</w:t>
      </w:r>
      <w:proofErr w:type="spellEnd"/>
      <w:r w:rsidR="00E05CD7" w:rsidRPr="00A01843">
        <w:t xml:space="preserve"> (2021) as focussed on “the theoretical soundness of a particular finding or set of findings, with less focus on repeating exact methods from the original study” (p. 90). That also does</w:t>
      </w:r>
      <w:r w:rsidR="00610A94" w:rsidRPr="00A01843">
        <w:t xml:space="preserve"> not</w:t>
      </w:r>
      <w:r w:rsidR="00E05CD7" w:rsidRPr="00A01843">
        <w:t xml:space="preserve"> fit </w:t>
      </w:r>
      <w:r w:rsidR="00610A94" w:rsidRPr="00A01843">
        <w:t xml:space="preserve">the present study </w:t>
      </w:r>
      <w:r w:rsidR="00E05CD7" w:rsidRPr="00A01843">
        <w:t xml:space="preserve">very </w:t>
      </w:r>
      <w:r w:rsidR="00E05CD7" w:rsidRPr="00A01843">
        <w:lastRenderedPageBreak/>
        <w:t xml:space="preserve">well, as the emphasis </w:t>
      </w:r>
      <w:r w:rsidR="00E05CD7" w:rsidRPr="00A01843">
        <w:rPr>
          <w:i/>
          <w:iCs/>
        </w:rPr>
        <w:t>is</w:t>
      </w:r>
      <w:r w:rsidR="00E05CD7" w:rsidRPr="00A01843">
        <w:t xml:space="preserve"> on adopting similar methods, but</w:t>
      </w:r>
      <w:r w:rsidR="00FB6FD5" w:rsidRPr="00A01843">
        <w:t>,</w:t>
      </w:r>
      <w:r w:rsidR="00E05CD7" w:rsidRPr="00A01843">
        <w:t xml:space="preserve"> especially with secondary datasets</w:t>
      </w:r>
      <w:r w:rsidR="00FB6FD5" w:rsidRPr="00A01843">
        <w:t>,</w:t>
      </w:r>
      <w:r w:rsidR="00E05CD7" w:rsidRPr="00A01843">
        <w:t xml:space="preserve"> there simply </w:t>
      </w:r>
      <w:r w:rsidR="006512DE" w:rsidRPr="00A01843">
        <w:t>might</w:t>
      </w:r>
      <w:r w:rsidR="00E05CD7" w:rsidRPr="00A01843">
        <w:t xml:space="preserve"> be differences</w:t>
      </w:r>
      <w:r w:rsidR="00735294" w:rsidRPr="00A01843">
        <w:t xml:space="preserve"> in the way </w:t>
      </w:r>
      <w:r w:rsidR="006512DE" w:rsidRPr="00A01843">
        <w:t>data have been collected, variables operationalised and sampling designs. A</w:t>
      </w:r>
      <w:r w:rsidR="00951278" w:rsidRPr="00A01843">
        <w:t>nd what do we do with these differences?</w:t>
      </w:r>
      <w:r w:rsidR="00BB0317" w:rsidRPr="00A01843">
        <w:t xml:space="preserve"> Schmidt (2017), for example</w:t>
      </w:r>
      <w:r w:rsidR="00DB5F78" w:rsidRPr="00A01843">
        <w:t>,</w:t>
      </w:r>
      <w:r w:rsidR="00BB0317" w:rsidRPr="00A01843">
        <w:t xml:space="preserve"> posits that a single observation can</w:t>
      </w:r>
      <w:r w:rsidR="00610A94" w:rsidRPr="00A01843">
        <w:t>not</w:t>
      </w:r>
      <w:r w:rsidR="00BB0317" w:rsidRPr="00A01843">
        <w:t xml:space="preserve"> be trusted and that a replication can contribute to an observation transforming into a fact or a piece of knowledge.</w:t>
      </w:r>
    </w:p>
    <w:p w14:paraId="6031074B" w14:textId="77777777" w:rsidR="00FB6FD5" w:rsidRPr="00A01843" w:rsidRDefault="00FB6FD5" w:rsidP="006416B8"/>
    <w:p w14:paraId="67C58AFF" w14:textId="2AF71CCB" w:rsidR="006416B8" w:rsidRPr="00A01843" w:rsidRDefault="00BB0317" w:rsidP="006416B8">
      <w:r w:rsidRPr="00A01843">
        <w:t xml:space="preserve"> </w:t>
      </w:r>
      <w:proofErr w:type="spellStart"/>
      <w:r w:rsidRPr="00A01843">
        <w:t>Plucker</w:t>
      </w:r>
      <w:proofErr w:type="spellEnd"/>
      <w:r w:rsidRPr="00A01843">
        <w:t xml:space="preserve"> and </w:t>
      </w:r>
      <w:proofErr w:type="spellStart"/>
      <w:r w:rsidRPr="00A01843">
        <w:t>Makel</w:t>
      </w:r>
      <w:proofErr w:type="spellEnd"/>
      <w:r w:rsidRPr="00A01843">
        <w:t xml:space="preserve"> (2021) give more examples </w:t>
      </w:r>
      <w:r w:rsidR="00610A94" w:rsidRPr="00A01843">
        <w:t xml:space="preserve">of </w:t>
      </w:r>
      <w:r w:rsidRPr="00A01843">
        <w:t xml:space="preserve">where direct replications </w:t>
      </w:r>
      <w:proofErr w:type="gramStart"/>
      <w:r w:rsidRPr="00A01843">
        <w:t>are seen as</w:t>
      </w:r>
      <w:proofErr w:type="gramEnd"/>
      <w:r w:rsidRPr="00A01843">
        <w:t xml:space="preserve"> the only way to verify the reliability of results. But again, can they even be compared if there </w:t>
      </w:r>
      <w:r w:rsidRPr="00A01843">
        <w:rPr>
          <w:i/>
          <w:iCs/>
        </w:rPr>
        <w:t>are</w:t>
      </w:r>
      <w:r w:rsidRPr="00A01843">
        <w:t xml:space="preserve"> differences. </w:t>
      </w:r>
      <w:r w:rsidR="00610A94" w:rsidRPr="00A01843">
        <w:t>Are they comparing like with like? F</w:t>
      </w:r>
      <w:r w:rsidRPr="00A01843">
        <w:t xml:space="preserve">ailed replication attempts have seen unproductive </w:t>
      </w:r>
      <w:proofErr w:type="spellStart"/>
      <w:r w:rsidRPr="00A01843">
        <w:t>to</w:t>
      </w:r>
      <w:r w:rsidR="00FB6FD5" w:rsidRPr="00A01843">
        <w:t>s</w:t>
      </w:r>
      <w:proofErr w:type="spellEnd"/>
      <w:r w:rsidRPr="00A01843">
        <w:t>-and-</w:t>
      </w:r>
      <w:proofErr w:type="spellStart"/>
      <w:r w:rsidRPr="00A01843">
        <w:t>fros</w:t>
      </w:r>
      <w:proofErr w:type="spellEnd"/>
      <w:r w:rsidRPr="00A01843">
        <w:t xml:space="preserve"> regarding methods being replicated ‘as closely as possible’</w:t>
      </w:r>
      <w:r w:rsidR="00A4093F" w:rsidRPr="00A01843">
        <w:rPr>
          <w:rStyle w:val="EndnoteReference"/>
        </w:rPr>
        <w:endnoteReference w:id="18"/>
      </w:r>
      <w:r w:rsidRPr="00A01843">
        <w:t>; with every sample unique</w:t>
      </w:r>
      <w:r w:rsidR="003F0235" w:rsidRPr="00A01843">
        <w:t>ly</w:t>
      </w:r>
      <w:r w:rsidRPr="00A01843">
        <w:t xml:space="preserve"> rooted in context</w:t>
      </w:r>
      <w:r w:rsidR="00A4093F" w:rsidRPr="00A01843">
        <w:t xml:space="preserve">s such as country, </w:t>
      </w:r>
      <w:proofErr w:type="gramStart"/>
      <w:r w:rsidR="00A4093F" w:rsidRPr="00A01843">
        <w:t>age</w:t>
      </w:r>
      <w:proofErr w:type="gramEnd"/>
      <w:r w:rsidR="00A4093F" w:rsidRPr="00A01843">
        <w:t xml:space="preserve"> and time</w:t>
      </w:r>
      <w:r w:rsidRPr="00A01843">
        <w:t xml:space="preserve">, </w:t>
      </w:r>
      <w:r w:rsidR="004E69F6" w:rsidRPr="00A01843">
        <w:t>can we really expect similar results</w:t>
      </w:r>
      <w:r w:rsidRPr="00A01843">
        <w:t xml:space="preserve">? </w:t>
      </w:r>
      <w:r w:rsidR="00EB6B2E" w:rsidRPr="00A01843">
        <w:t xml:space="preserve">Further, </w:t>
      </w:r>
      <w:r w:rsidR="006416B8" w:rsidRPr="00A01843">
        <w:t xml:space="preserve">even if we are interested in what Huntington-Klein et al. (2021) call </w:t>
      </w:r>
      <w:r w:rsidR="006416B8" w:rsidRPr="00A01843">
        <w:rPr>
          <w:i/>
          <w:iCs/>
        </w:rPr>
        <w:t>pure</w:t>
      </w:r>
      <w:r w:rsidR="006416B8" w:rsidRPr="00A01843">
        <w:t xml:space="preserve"> replication (or “reproduction”) studies (a new study is performed purely to check the results of a prior study using the same data and methods), it certainly </w:t>
      </w:r>
      <w:r w:rsidR="004E69F6" w:rsidRPr="00A01843">
        <w:t>is not</w:t>
      </w:r>
      <w:r w:rsidR="006416B8" w:rsidRPr="00A01843">
        <w:t xml:space="preserve"> a given that results are easy to replicate, even with the increasing availability of analysis code and data.</w:t>
      </w:r>
    </w:p>
    <w:p w14:paraId="4FDC499D" w14:textId="77777777" w:rsidR="00EB6B2E" w:rsidRPr="00A01843" w:rsidRDefault="00EB6B2E" w:rsidP="006416B8"/>
    <w:p w14:paraId="2AFE0E5C" w14:textId="77777777" w:rsidR="00EB6B2E" w:rsidRPr="00A01843" w:rsidRDefault="00BB0317" w:rsidP="003F4AD7">
      <w:r w:rsidRPr="00A01843">
        <w:t xml:space="preserve">Perhaps the typology by </w:t>
      </w:r>
      <w:proofErr w:type="spellStart"/>
      <w:r w:rsidRPr="00A01843">
        <w:t>Hüffmeier</w:t>
      </w:r>
      <w:proofErr w:type="spellEnd"/>
      <w:r w:rsidRPr="00A01843">
        <w:t xml:space="preserve"> et al. (2016) provides more nuance</w:t>
      </w:r>
      <w:r w:rsidR="00EB6B2E" w:rsidRPr="00A01843">
        <w:t>,</w:t>
      </w:r>
      <w:r w:rsidRPr="00A01843">
        <w:t xml:space="preserve"> with </w:t>
      </w:r>
      <w:r w:rsidR="004E69F6" w:rsidRPr="00A01843">
        <w:t>its</w:t>
      </w:r>
      <w:r w:rsidRPr="00A01843">
        <w:t xml:space="preserve"> distinction between exact replication (direct replication conducted by the same researchers), close replications (also direct but by different researchers), constructive </w:t>
      </w:r>
      <w:r w:rsidR="00EB6B2E" w:rsidRPr="00A01843">
        <w:t xml:space="preserve">replications </w:t>
      </w:r>
      <w:r w:rsidRPr="00A01843">
        <w:t>(also direct</w:t>
      </w:r>
      <w:r w:rsidR="00EB6B2E" w:rsidRPr="00A01843">
        <w:t>,</w:t>
      </w:r>
      <w:r w:rsidRPr="00A01843">
        <w:t xml:space="preserve"> but </w:t>
      </w:r>
      <w:r w:rsidR="00EB6B2E" w:rsidRPr="00A01843">
        <w:t xml:space="preserve">being </w:t>
      </w:r>
      <w:r w:rsidRPr="00A01843">
        <w:t xml:space="preserve">a similar study modified in a small number of ways </w:t>
      </w:r>
      <w:r w:rsidR="00EB6B2E" w:rsidRPr="00A01843">
        <w:t xml:space="preserve">in order </w:t>
      </w:r>
      <w:r w:rsidRPr="00A01843">
        <w:t xml:space="preserve">to assess </w:t>
      </w:r>
      <w:r w:rsidR="00EB6B2E" w:rsidRPr="00A01843">
        <w:t xml:space="preserve">the </w:t>
      </w:r>
      <w:r w:rsidRPr="00A01843">
        <w:t xml:space="preserve">robustness of the original effect), conceptual </w:t>
      </w:r>
      <w:r w:rsidR="00EB6B2E" w:rsidRPr="00A01843">
        <w:t xml:space="preserve">replications </w:t>
      </w:r>
      <w:r w:rsidRPr="00A01843">
        <w:t>under la</w:t>
      </w:r>
      <w:r w:rsidR="006416B8" w:rsidRPr="00A01843">
        <w:t>b</w:t>
      </w:r>
      <w:r w:rsidR="004E69F6" w:rsidRPr="00A01843">
        <w:t>oratory</w:t>
      </w:r>
      <w:r w:rsidRPr="00A01843">
        <w:t xml:space="preserve"> conditions (</w:t>
      </w:r>
      <w:r w:rsidR="00EB6B2E" w:rsidRPr="00A01843">
        <w:t xml:space="preserve">a </w:t>
      </w:r>
      <w:r w:rsidRPr="00A01843">
        <w:t xml:space="preserve">conceptual attempt to study theory), and conceptual </w:t>
      </w:r>
      <w:r w:rsidR="00EB6B2E" w:rsidRPr="00A01843">
        <w:t xml:space="preserve">replications </w:t>
      </w:r>
      <w:r w:rsidRPr="00A01843">
        <w:t xml:space="preserve">under field conditions (also conceptual and attempting to study </w:t>
      </w:r>
      <w:r w:rsidR="00EB6B2E" w:rsidRPr="00A01843">
        <w:t xml:space="preserve">the </w:t>
      </w:r>
      <w:r w:rsidRPr="00A01843">
        <w:t xml:space="preserve">robustness of </w:t>
      </w:r>
      <w:r w:rsidR="00EB6B2E" w:rsidRPr="00A01843">
        <w:t xml:space="preserve">a </w:t>
      </w:r>
      <w:r w:rsidRPr="00A01843">
        <w:lastRenderedPageBreak/>
        <w:t xml:space="preserve">theoretical effect). Our example again </w:t>
      </w:r>
      <w:r w:rsidR="00355D1B" w:rsidRPr="00A01843">
        <w:t>crosses several categories</w:t>
      </w:r>
      <w:r w:rsidR="004E69F6" w:rsidRPr="00A01843">
        <w:t xml:space="preserve">, indicating that </w:t>
      </w:r>
      <w:r w:rsidR="00500968" w:rsidRPr="00A01843">
        <w:t xml:space="preserve">there are many variations </w:t>
      </w:r>
      <w:r w:rsidR="004E69F6" w:rsidRPr="00A01843">
        <w:t xml:space="preserve">across a dimension from ‘completely the same’ (arguably impossible) </w:t>
      </w:r>
      <w:r w:rsidR="00500968" w:rsidRPr="00A01843">
        <w:t>to ‘measuring the same construct’ (which would need to be evidenced)</w:t>
      </w:r>
      <w:r w:rsidR="00355D1B" w:rsidRPr="00A01843">
        <w:t>. By necessity</w:t>
      </w:r>
      <w:r w:rsidR="00500968" w:rsidRPr="00A01843">
        <w:t>, some</w:t>
      </w:r>
      <w:r w:rsidR="00355D1B" w:rsidRPr="00A01843">
        <w:t xml:space="preserve"> methods </w:t>
      </w:r>
      <w:r w:rsidR="00500968" w:rsidRPr="00A01843">
        <w:t>might be able to be</w:t>
      </w:r>
      <w:r w:rsidR="00355D1B" w:rsidRPr="00A01843">
        <w:t xml:space="preserve"> replicated</w:t>
      </w:r>
      <w:r w:rsidR="00500968" w:rsidRPr="00A01843">
        <w:t>,</w:t>
      </w:r>
      <w:r w:rsidR="00355D1B" w:rsidRPr="00A01843">
        <w:t xml:space="preserve"> but not all can be. The choice of (secondary) dataset in this case concerns different field conditions.</w:t>
      </w:r>
      <w:r w:rsidR="003F0235" w:rsidRPr="00A01843">
        <w:t xml:space="preserve"> </w:t>
      </w:r>
    </w:p>
    <w:p w14:paraId="278681E6" w14:textId="77777777" w:rsidR="00EB6B2E" w:rsidRPr="00A01843" w:rsidRDefault="00EB6B2E" w:rsidP="003F4AD7"/>
    <w:p w14:paraId="4ADA3951" w14:textId="09F9A363" w:rsidR="00355D1B" w:rsidRPr="00A01843" w:rsidRDefault="00355D1B" w:rsidP="003F4AD7">
      <w:r w:rsidRPr="00A01843">
        <w:t xml:space="preserve">We agree with </w:t>
      </w:r>
      <w:proofErr w:type="spellStart"/>
      <w:r w:rsidRPr="00A01843">
        <w:t>Plucker</w:t>
      </w:r>
      <w:proofErr w:type="spellEnd"/>
      <w:r w:rsidRPr="00A01843">
        <w:t xml:space="preserve"> and </w:t>
      </w:r>
      <w:proofErr w:type="spellStart"/>
      <w:r w:rsidRPr="00A01843">
        <w:t>Makel</w:t>
      </w:r>
      <w:proofErr w:type="spellEnd"/>
      <w:r w:rsidRPr="00A01843">
        <w:t xml:space="preserve"> (2021) </w:t>
      </w:r>
      <w:r w:rsidR="00500968" w:rsidRPr="00A01843">
        <w:t xml:space="preserve">in arguing </w:t>
      </w:r>
      <w:r w:rsidRPr="00A01843">
        <w:t>that</w:t>
      </w:r>
      <w:r w:rsidR="00EB6B2E" w:rsidRPr="00A01843">
        <w:t>,</w:t>
      </w:r>
      <w:r w:rsidRPr="00A01843">
        <w:t xml:space="preserve"> regardless of the label, explicit intent </w:t>
      </w:r>
      <w:r w:rsidR="00500968" w:rsidRPr="00A01843">
        <w:t xml:space="preserve">to replicate findings </w:t>
      </w:r>
      <w:r w:rsidRPr="00A01843">
        <w:t xml:space="preserve">is a key factor here, adhering to original methods and </w:t>
      </w:r>
      <w:r w:rsidR="00EB6B2E" w:rsidRPr="00A01843">
        <w:t xml:space="preserve">yet </w:t>
      </w:r>
      <w:r w:rsidRPr="00A01843">
        <w:t xml:space="preserve">diverging from them, </w:t>
      </w:r>
      <w:r w:rsidR="00EB6B2E" w:rsidRPr="00A01843">
        <w:t xml:space="preserve">addressed </w:t>
      </w:r>
      <w:r w:rsidRPr="00A01843">
        <w:t xml:space="preserve">by providing </w:t>
      </w:r>
      <w:r w:rsidRPr="00A01843">
        <w:rPr>
          <w:i/>
          <w:iCs/>
        </w:rPr>
        <w:t>transparency</w:t>
      </w:r>
      <w:r w:rsidRPr="00A01843">
        <w:t xml:space="preserve"> in </w:t>
      </w:r>
      <w:r w:rsidR="00EB6B2E" w:rsidRPr="00A01843">
        <w:t xml:space="preserve">disclosing </w:t>
      </w:r>
      <w:r w:rsidRPr="00A01843">
        <w:t xml:space="preserve">every facet of the study. However, in doing so, we might recognise, as in this replication, that the </w:t>
      </w:r>
      <w:r w:rsidR="001E0C0B" w:rsidRPr="00A01843">
        <w:t>analytical variability</w:t>
      </w:r>
      <w:r w:rsidRPr="00A01843">
        <w:t xml:space="preserve"> is </w:t>
      </w:r>
      <w:r w:rsidR="001E0C0B" w:rsidRPr="00A01843">
        <w:t>substantial</w:t>
      </w:r>
      <w:r w:rsidRPr="00A01843">
        <w:t>, with one (different) secondary data decision leading to many other</w:t>
      </w:r>
      <w:r w:rsidR="00500968" w:rsidRPr="00A01843">
        <w:t xml:space="preserve"> decisions to be made, based on the available choices</w:t>
      </w:r>
      <w:r w:rsidRPr="00A01843">
        <w:t>. This is in line with other research on such ‘forking paths’</w:t>
      </w:r>
      <w:r w:rsidR="00DC67A7" w:rsidRPr="00A01843">
        <w:t xml:space="preserve"> (Gelman &amp; </w:t>
      </w:r>
      <w:proofErr w:type="spellStart"/>
      <w:r w:rsidR="00DC67A7" w:rsidRPr="00A01843">
        <w:t>Loken</w:t>
      </w:r>
      <w:proofErr w:type="spellEnd"/>
      <w:r w:rsidR="00DC67A7" w:rsidRPr="00A01843">
        <w:t>, 2014)</w:t>
      </w:r>
      <w:r w:rsidRPr="00A01843">
        <w:t>.</w:t>
      </w:r>
    </w:p>
    <w:p w14:paraId="64A08211" w14:textId="77777777" w:rsidR="00EB6B2E" w:rsidRPr="00A01843" w:rsidRDefault="00EB6B2E" w:rsidP="003F4AD7"/>
    <w:p w14:paraId="7C93C96D" w14:textId="2ADE7BE1" w:rsidR="00051032" w:rsidRPr="00A01843" w:rsidRDefault="0083540F" w:rsidP="008E32A9">
      <w:r w:rsidRPr="00A01843">
        <w:t>Hun</w:t>
      </w:r>
      <w:r w:rsidR="003F4AD7" w:rsidRPr="00A01843">
        <w:t>tington-Klein et al. (2021) used a ‘many analysts’ approach to measure the extent and impact of hundreds of decisions about data collection, preparation, and analysis of research in applied microeconomics</w:t>
      </w:r>
      <w:r w:rsidR="00500968" w:rsidRPr="00A01843">
        <w:t>, and t</w:t>
      </w:r>
      <w:r w:rsidR="00DC67A7" w:rsidRPr="00A01843">
        <w:t>hey concluded that there were “large differences in data preparation and analysis decisions, many of which would not likely be reported in a publication</w:t>
      </w:r>
      <w:r w:rsidR="003F0235" w:rsidRPr="00A01843">
        <w:t>” (p. 944)</w:t>
      </w:r>
      <w:r w:rsidR="00DC67A7" w:rsidRPr="00A01843">
        <w:t>. Replicators reported different sample sizes, different standard deviations, varying statistical significance, and</w:t>
      </w:r>
      <w:r w:rsidR="00EB6B2E" w:rsidRPr="00A01843">
        <w:t>,</w:t>
      </w:r>
      <w:r w:rsidR="00DC67A7" w:rsidRPr="00A01843">
        <w:t xml:space="preserve"> in one case</w:t>
      </w:r>
      <w:r w:rsidR="00EB6B2E" w:rsidRPr="00A01843">
        <w:t>,</w:t>
      </w:r>
      <w:r w:rsidR="00DC67A7" w:rsidRPr="00A01843">
        <w:t xml:space="preserve"> even a reversed outcome.</w:t>
      </w:r>
      <w:r w:rsidR="00A244E2" w:rsidRPr="00A01843">
        <w:t xml:space="preserve"> Huntington-Klein et al.</w:t>
      </w:r>
      <w:r w:rsidR="003F0235" w:rsidRPr="00A01843">
        <w:t xml:space="preserve"> (</w:t>
      </w:r>
      <w:r w:rsidR="00A244E2" w:rsidRPr="00A01843">
        <w:t>2021) already highlight this in the initial stages of data cleaning, as they also allowed</w:t>
      </w:r>
      <w:r w:rsidR="006512DE" w:rsidRPr="00A01843">
        <w:t xml:space="preserve"> </w:t>
      </w:r>
      <w:r w:rsidR="00500968" w:rsidRPr="00A01843">
        <w:t xml:space="preserve">analysts </w:t>
      </w:r>
      <w:r w:rsidR="00EB6B2E" w:rsidRPr="00A01843">
        <w:t>to</w:t>
      </w:r>
      <w:r w:rsidR="006512DE" w:rsidRPr="00A01843">
        <w:t xml:space="preserve"> </w:t>
      </w:r>
      <w:r w:rsidR="00051032" w:rsidRPr="00A01843">
        <w:t>make their own data cleaning decisions</w:t>
      </w:r>
      <w:r w:rsidR="00A244E2" w:rsidRPr="00A01843">
        <w:t xml:space="preserve"> in that phase. In secondary data analysis, the choice of the dataset already determines much</w:t>
      </w:r>
      <w:r w:rsidR="00051032" w:rsidRPr="00A01843">
        <w:t xml:space="preserve">, as we have seen in our own study, </w:t>
      </w:r>
      <w:r w:rsidR="00EB6B2E" w:rsidRPr="00A01843">
        <w:t>e.g.,</w:t>
      </w:r>
      <w:r w:rsidR="00051032" w:rsidRPr="00A01843">
        <w:t xml:space="preserve"> the requirement to </w:t>
      </w:r>
      <w:proofErr w:type="gramStart"/>
      <w:r w:rsidR="00051032" w:rsidRPr="00A01843">
        <w:t>take into account</w:t>
      </w:r>
      <w:proofErr w:type="gramEnd"/>
      <w:r w:rsidR="00051032" w:rsidRPr="00A01843">
        <w:t xml:space="preserve"> the complex sampling design whil</w:t>
      </w:r>
      <w:r w:rsidR="00EB6B2E" w:rsidRPr="00A01843">
        <w:t>st</w:t>
      </w:r>
      <w:r w:rsidR="00051032" w:rsidRPr="00A01843">
        <w:t xml:space="preserve"> analysing</w:t>
      </w:r>
      <w:r w:rsidR="00A244E2" w:rsidRPr="00A01843">
        <w:t>.</w:t>
      </w:r>
      <w:r w:rsidR="003F0235" w:rsidRPr="00A01843">
        <w:t xml:space="preserve"> </w:t>
      </w:r>
      <w:r w:rsidR="00051032" w:rsidRPr="00A01843">
        <w:t xml:space="preserve">Data analysis examples from </w:t>
      </w:r>
      <w:r w:rsidR="00051032" w:rsidRPr="00A01843">
        <w:lastRenderedPageBreak/>
        <w:t xml:space="preserve">other disciplines also show the extent </w:t>
      </w:r>
      <w:r w:rsidR="00EB6B2E" w:rsidRPr="00A01843">
        <w:t xml:space="preserve">to </w:t>
      </w:r>
      <w:r w:rsidR="00051032" w:rsidRPr="00A01843">
        <w:t>which analytical decisions can affect the outcomes of analyses.</w:t>
      </w:r>
    </w:p>
    <w:p w14:paraId="3374843C" w14:textId="77777777" w:rsidR="00EB6B2E" w:rsidRPr="00A01843" w:rsidRDefault="00EB6B2E" w:rsidP="008E32A9"/>
    <w:p w14:paraId="3E43C14D" w14:textId="12F5E6E5" w:rsidR="005E5B7C" w:rsidRPr="00A01843" w:rsidRDefault="003F4AD7" w:rsidP="008E32A9">
      <w:r w:rsidRPr="00A01843">
        <w:t>In a study on manufacturers’ productivity, White et al. (2018) showed that whether imputation was used, and</w:t>
      </w:r>
      <w:r w:rsidR="00EB6B2E" w:rsidRPr="00A01843">
        <w:t xml:space="preserve">, if so, </w:t>
      </w:r>
      <w:r w:rsidRPr="00A01843">
        <w:t xml:space="preserve">the </w:t>
      </w:r>
      <w:r w:rsidR="007354E9" w:rsidRPr="00A01843">
        <w:t>decision</w:t>
      </w:r>
      <w:r w:rsidRPr="00A01843">
        <w:t xml:space="preserve"> o</w:t>
      </w:r>
      <w:r w:rsidR="007354E9" w:rsidRPr="00A01843">
        <w:t>n</w:t>
      </w:r>
      <w:r w:rsidRPr="00A01843">
        <w:t xml:space="preserve"> imputation, had a dramatic effect on the outcome measures. In </w:t>
      </w:r>
      <w:r w:rsidR="00051032" w:rsidRPr="00A01843">
        <w:t>the present</w:t>
      </w:r>
      <w:r w:rsidRPr="00A01843">
        <w:t xml:space="preserve"> study</w:t>
      </w:r>
      <w:r w:rsidR="00051032" w:rsidRPr="00A01843">
        <w:t>, there were</w:t>
      </w:r>
      <w:r w:rsidRPr="00A01843">
        <w:t xml:space="preserve"> missing data which we did not impute in the </w:t>
      </w:r>
      <w:r w:rsidR="00051032" w:rsidRPr="00A01843">
        <w:t xml:space="preserve">focus of the </w:t>
      </w:r>
      <w:r w:rsidRPr="00A01843">
        <w:t>analysis but imputed in others. Although the differences perhaps were not ‘dramatic’, there were substantial differences in some predictors, most notably in the larger (and thus more missing data) ‘all countries’ analyses.</w:t>
      </w:r>
      <w:r w:rsidR="00DC67A7" w:rsidRPr="00A01843">
        <w:t xml:space="preserve"> </w:t>
      </w:r>
      <w:r w:rsidRPr="00A01843">
        <w:t>The choice of subsamples also is a variable</w:t>
      </w:r>
      <w:r w:rsidR="00DC67A7" w:rsidRPr="00A01843">
        <w:t>, in this replication represented by ‘Korea’ or ‘all countries’. Clemens and Hunt (2019), for example, showed that results on the effects of immigration were influenced by the racial composition of subsamples.</w:t>
      </w:r>
      <w:r w:rsidR="003F0235" w:rsidRPr="00A01843">
        <w:t xml:space="preserve"> </w:t>
      </w:r>
      <w:proofErr w:type="spellStart"/>
      <w:r w:rsidR="00380029" w:rsidRPr="00A01843">
        <w:t>Silberzahn</w:t>
      </w:r>
      <w:proofErr w:type="spellEnd"/>
      <w:r w:rsidR="00380029" w:rsidRPr="00A01843">
        <w:t xml:space="preserve"> et al. (2018) recruited psychological researchers to analyse whether a given data set of referee calls in soccer games showed evidence of discrimination. Analysts showed differences in, among others, the types of regression, dependency of error terms, and choice of covariates, leading to effect sizes (</w:t>
      </w:r>
      <w:r w:rsidR="00051032" w:rsidRPr="00A01843">
        <w:t>e.g.</w:t>
      </w:r>
      <w:r w:rsidR="005E5B7C" w:rsidRPr="00A01843">
        <w:t>,</w:t>
      </w:r>
      <w:r w:rsidR="00051032" w:rsidRPr="00A01843">
        <w:t xml:space="preserve"> </w:t>
      </w:r>
      <w:r w:rsidR="00380029" w:rsidRPr="00A01843">
        <w:t xml:space="preserve">odds-ratio) varying from .89 to 2.93, even after peer review. </w:t>
      </w:r>
      <w:r w:rsidR="00C72D75" w:rsidRPr="00A01843">
        <w:t>They concluded that “significant variation in the results of analyses of complex data may be difficult to avoid, even by experts with honest intentions” (p. 338).</w:t>
      </w:r>
      <w:r w:rsidR="003F0235" w:rsidRPr="00A01843">
        <w:t xml:space="preserve"> </w:t>
      </w:r>
      <w:r w:rsidR="009A6A60" w:rsidRPr="00A01843">
        <w:t xml:space="preserve">A re-analysis of these data by </w:t>
      </w:r>
      <w:proofErr w:type="spellStart"/>
      <w:r w:rsidR="009A6A60" w:rsidRPr="00A01843">
        <w:t>Auspurg</w:t>
      </w:r>
      <w:proofErr w:type="spellEnd"/>
      <w:r w:rsidR="009A6A60" w:rsidRPr="00A01843">
        <w:t xml:space="preserve"> and </w:t>
      </w:r>
      <w:proofErr w:type="spellStart"/>
      <w:r w:rsidR="009A6A60" w:rsidRPr="00A01843">
        <w:t>Brüderl</w:t>
      </w:r>
      <w:proofErr w:type="spellEnd"/>
      <w:r w:rsidR="009A6A60" w:rsidRPr="00A01843">
        <w:t xml:space="preserve"> (2021) argues that the main reason for the analytical differences was an unclear research question, and that social science research “needed to be more precise in its ‘</w:t>
      </w:r>
      <w:proofErr w:type="spellStart"/>
      <w:r w:rsidR="009A6A60" w:rsidRPr="00A01843">
        <w:t>estimands</w:t>
      </w:r>
      <w:proofErr w:type="spellEnd"/>
      <w:r w:rsidR="009A6A60" w:rsidRPr="00A01843">
        <w:t xml:space="preserve">’ to become credible” (p. 1). </w:t>
      </w:r>
      <w:r w:rsidR="009A6A60" w:rsidRPr="00A01843">
        <w:cr/>
      </w:r>
    </w:p>
    <w:p w14:paraId="2D2B53D8" w14:textId="12216D70" w:rsidR="005E5B7C" w:rsidRPr="00A01843" w:rsidRDefault="00380029" w:rsidP="008E32A9">
      <w:pPr>
        <w:rPr>
          <w:shd w:val="clear" w:color="auto" w:fill="FFFFFF"/>
        </w:rPr>
      </w:pPr>
      <w:r w:rsidRPr="00A01843">
        <w:t xml:space="preserve">For </w:t>
      </w:r>
      <w:r w:rsidR="00051032" w:rsidRPr="00A01843">
        <w:t>‘functional magnetic resonance imaging’ (</w:t>
      </w:r>
      <w:r w:rsidRPr="00A01843">
        <w:t>fMRI</w:t>
      </w:r>
      <w:r w:rsidR="00051032" w:rsidRPr="00A01843">
        <w:t>)</w:t>
      </w:r>
      <w:r w:rsidRPr="00A01843">
        <w:t xml:space="preserve"> data for a gambling task, </w:t>
      </w:r>
      <w:proofErr w:type="spellStart"/>
      <w:r w:rsidRPr="00A01843">
        <w:t>Botvinik-Nezer</w:t>
      </w:r>
      <w:proofErr w:type="spellEnd"/>
      <w:r w:rsidRPr="00A01843">
        <w:t xml:space="preserve"> et al. (2020) noted that replication teams differed in image processing, </w:t>
      </w:r>
      <w:r w:rsidRPr="00A01843">
        <w:lastRenderedPageBreak/>
        <w:t xml:space="preserve">statistical mapping of activated brain regions, and other parts of the pipeline from data through </w:t>
      </w:r>
      <w:r w:rsidR="005E5B7C" w:rsidRPr="00A01843">
        <w:t xml:space="preserve">to </w:t>
      </w:r>
      <w:r w:rsidRPr="00A01843">
        <w:t xml:space="preserve">analysis, again leading to different conclusions </w:t>
      </w:r>
      <w:r w:rsidR="00051032" w:rsidRPr="00A01843">
        <w:t>with regard to</w:t>
      </w:r>
      <w:r w:rsidRPr="00A01843">
        <w:t xml:space="preserve"> the hypotheses</w:t>
      </w:r>
      <w:r w:rsidR="00051032" w:rsidRPr="00A01843">
        <w:t xml:space="preserve"> being tested</w:t>
      </w:r>
      <w:r w:rsidRPr="00A01843">
        <w:t>. For an alternative approach</w:t>
      </w:r>
      <w:r w:rsidR="00051032" w:rsidRPr="00A01843">
        <w:t>, in which</w:t>
      </w:r>
      <w:r w:rsidRPr="00A01843">
        <w:t xml:space="preserve"> the hypothesis was kept </w:t>
      </w:r>
      <w:proofErr w:type="gramStart"/>
      <w:r w:rsidRPr="00A01843">
        <w:t>constant</w:t>
      </w:r>
      <w:proofErr w:type="gramEnd"/>
      <w:r w:rsidRPr="00A01843">
        <w:t xml:space="preserve"> but the research design and data </w:t>
      </w:r>
      <w:r w:rsidR="00051032" w:rsidRPr="00A01843">
        <w:t>differed</w:t>
      </w:r>
      <w:r w:rsidRPr="00A01843">
        <w:t xml:space="preserve">, Landy et al. (2020) asked </w:t>
      </w:r>
      <w:r w:rsidR="00051032" w:rsidRPr="00A01843">
        <w:t>several</w:t>
      </w:r>
      <w:r w:rsidRPr="00A01843">
        <w:t xml:space="preserve"> independent research teams to test hypotheses about moral judgements, negotiations and implicit cognition. </w:t>
      </w:r>
      <w:r w:rsidR="005E5B7C" w:rsidRPr="00A01843">
        <w:t>Again, r</w:t>
      </w:r>
      <w:r w:rsidRPr="00A01843">
        <w:t xml:space="preserve">esults </w:t>
      </w:r>
      <w:r w:rsidR="0040045C" w:rsidRPr="00A01843">
        <w:t>varied</w:t>
      </w:r>
      <w:r w:rsidRPr="00A01843">
        <w:t xml:space="preserve">, with effects of opposite signs, </w:t>
      </w:r>
      <w:r w:rsidR="0040045C" w:rsidRPr="00A01843">
        <w:t xml:space="preserve">and </w:t>
      </w:r>
      <w:r w:rsidRPr="00A01843">
        <w:t>with the variability</w:t>
      </w:r>
      <w:r w:rsidR="006416B8" w:rsidRPr="00A01843">
        <w:t xml:space="preserve"> </w:t>
      </w:r>
      <w:r w:rsidR="0040045C" w:rsidRPr="00A01843">
        <w:t>being un</w:t>
      </w:r>
      <w:r w:rsidR="006416B8" w:rsidRPr="00A01843">
        <w:t>related to the skill of the research teams.</w:t>
      </w:r>
      <w:r w:rsidR="003F0235" w:rsidRPr="00A01843">
        <w:t xml:space="preserve"> </w:t>
      </w:r>
      <w:r w:rsidR="00D355B4" w:rsidRPr="00A01843">
        <w:rPr>
          <w:shd w:val="clear" w:color="auto" w:fill="FFFFFF"/>
        </w:rPr>
        <w:t xml:space="preserve">In a study by </w:t>
      </w:r>
      <w:proofErr w:type="spellStart"/>
      <w:r w:rsidR="00D355B4" w:rsidRPr="00A01843">
        <w:rPr>
          <w:shd w:val="clear" w:color="auto" w:fill="FFFFFF"/>
        </w:rPr>
        <w:t>Breznau</w:t>
      </w:r>
      <w:proofErr w:type="spellEnd"/>
      <w:r w:rsidR="00D355B4" w:rsidRPr="00A01843">
        <w:rPr>
          <w:shd w:val="clear" w:color="auto" w:fill="FFFFFF"/>
        </w:rPr>
        <w:t xml:space="preserve"> et al. (2021)</w:t>
      </w:r>
      <w:r w:rsidR="005E5B7C" w:rsidRPr="00A01843">
        <w:rPr>
          <w:shd w:val="clear" w:color="auto" w:fill="FFFFFF"/>
        </w:rPr>
        <w:t>,</w:t>
      </w:r>
      <w:r w:rsidR="00D355B4" w:rsidRPr="00A01843">
        <w:rPr>
          <w:shd w:val="clear" w:color="auto" w:fill="FFFFFF"/>
        </w:rPr>
        <w:t xml:space="preserve"> 162 researchers in 73 teams tested the same hypothesis with the same data. The outcomes could be explained </w:t>
      </w:r>
      <w:r w:rsidR="005E5B7C" w:rsidRPr="00A01843">
        <w:rPr>
          <w:shd w:val="clear" w:color="auto" w:fill="FFFFFF"/>
        </w:rPr>
        <w:t xml:space="preserve">mostly </w:t>
      </w:r>
      <w:r w:rsidR="00D355B4" w:rsidRPr="00A01843">
        <w:rPr>
          <w:shd w:val="clear" w:color="auto" w:fill="FFFFFF"/>
        </w:rPr>
        <w:t>by variations in researchers’ modelling decisions or prior beliefs: each of the 1,261 test models was a unique combination of data-analytical steps. Highly skilled scientists motivated to come to accurate results varied enormously and such “idiosyncratic researcher variability</w:t>
      </w:r>
      <w:r w:rsidR="00046B6D" w:rsidRPr="00A01843">
        <w:rPr>
          <w:shd w:val="clear" w:color="auto" w:fill="FFFFFF"/>
        </w:rPr>
        <w:t>”</w:t>
      </w:r>
      <w:r w:rsidR="00D355B4" w:rsidRPr="00A01843">
        <w:rPr>
          <w:shd w:val="clear" w:color="auto" w:fill="FFFFFF"/>
        </w:rPr>
        <w:t xml:space="preserve"> is a threat to the reliability of scientific findings</w:t>
      </w:r>
      <w:r w:rsidR="0040045C" w:rsidRPr="00A01843">
        <w:rPr>
          <w:shd w:val="clear" w:color="auto" w:fill="FFFFFF"/>
        </w:rPr>
        <w:t xml:space="preserve"> (</w:t>
      </w:r>
      <w:proofErr w:type="spellStart"/>
      <w:r w:rsidR="0040045C" w:rsidRPr="00A01843">
        <w:rPr>
          <w:shd w:val="clear" w:color="auto" w:fill="FFFFFF"/>
        </w:rPr>
        <w:t>Breznau</w:t>
      </w:r>
      <w:proofErr w:type="spellEnd"/>
      <w:r w:rsidR="0040045C" w:rsidRPr="00A01843">
        <w:rPr>
          <w:shd w:val="clear" w:color="auto" w:fill="FFFFFF"/>
        </w:rPr>
        <w:t xml:space="preserve"> et al., 2021, p. 2)</w:t>
      </w:r>
      <w:r w:rsidR="00046B6D" w:rsidRPr="00A01843">
        <w:rPr>
          <w:shd w:val="clear" w:color="auto" w:fill="FFFFFF"/>
        </w:rPr>
        <w:t xml:space="preserve">. </w:t>
      </w:r>
    </w:p>
    <w:p w14:paraId="0EBA070D" w14:textId="77777777" w:rsidR="005E5B7C" w:rsidRPr="00A01843" w:rsidRDefault="005E5B7C" w:rsidP="008E32A9">
      <w:pPr>
        <w:rPr>
          <w:shd w:val="clear" w:color="auto" w:fill="FFFFFF"/>
        </w:rPr>
      </w:pPr>
    </w:p>
    <w:p w14:paraId="2E34649F" w14:textId="1B6E6C78" w:rsidR="00D32B2B" w:rsidRPr="00A01843" w:rsidRDefault="00046B6D" w:rsidP="008E32A9">
      <w:pPr>
        <w:rPr>
          <w:shd w:val="clear" w:color="auto" w:fill="FFFFFF"/>
        </w:rPr>
      </w:pPr>
      <w:r w:rsidRPr="00A01843">
        <w:rPr>
          <w:shd w:val="clear" w:color="auto" w:fill="FFFFFF"/>
        </w:rPr>
        <w:t xml:space="preserve">In organisational research, </w:t>
      </w:r>
      <w:proofErr w:type="spellStart"/>
      <w:r w:rsidRPr="00A01843">
        <w:rPr>
          <w:shd w:val="clear" w:color="auto" w:fill="FFFFFF"/>
        </w:rPr>
        <w:t>Schweinsberg</w:t>
      </w:r>
      <w:proofErr w:type="spellEnd"/>
      <w:r w:rsidRPr="00A01843">
        <w:rPr>
          <w:shd w:val="clear" w:color="auto" w:fill="FFFFFF"/>
        </w:rPr>
        <w:t xml:space="preserve"> et al. (2021) reported that researchers used radically different analyses and </w:t>
      </w:r>
      <w:r w:rsidR="0040045C" w:rsidRPr="00A01843">
        <w:rPr>
          <w:shd w:val="clear" w:color="auto" w:fill="FFFFFF"/>
        </w:rPr>
        <w:t xml:space="preserve">arrived at </w:t>
      </w:r>
      <w:r w:rsidRPr="00A01843">
        <w:rPr>
          <w:shd w:val="clear" w:color="auto" w:fill="FFFFFF"/>
        </w:rPr>
        <w:t xml:space="preserve">different outcomes, in some cases with opposite conclusions. In their study, especially </w:t>
      </w:r>
      <w:proofErr w:type="gramStart"/>
      <w:r w:rsidR="0040045C" w:rsidRPr="00A01843">
        <w:rPr>
          <w:shd w:val="clear" w:color="auto" w:fill="FFFFFF"/>
        </w:rPr>
        <w:t>with regard to</w:t>
      </w:r>
      <w:proofErr w:type="gramEnd"/>
      <w:r w:rsidR="0040045C" w:rsidRPr="00A01843">
        <w:rPr>
          <w:shd w:val="clear" w:color="auto" w:fill="FFFFFF"/>
        </w:rPr>
        <w:t xml:space="preserve"> differences in</w:t>
      </w:r>
      <w:r w:rsidRPr="00A01843">
        <w:rPr>
          <w:shd w:val="clear" w:color="auto" w:fill="FFFFFF"/>
        </w:rPr>
        <w:t xml:space="preserve"> the operationalisation of variables</w:t>
      </w:r>
      <w:r w:rsidR="0040045C" w:rsidRPr="00A01843">
        <w:rPr>
          <w:shd w:val="clear" w:color="auto" w:fill="FFFFFF"/>
        </w:rPr>
        <w:t>, such differences</w:t>
      </w:r>
      <w:r w:rsidRPr="00A01843">
        <w:rPr>
          <w:shd w:val="clear" w:color="auto" w:fill="FFFFFF"/>
        </w:rPr>
        <w:t xml:space="preserve"> explained variability above and beyond </w:t>
      </w:r>
      <w:r w:rsidR="007354E9" w:rsidRPr="00A01843">
        <w:rPr>
          <w:shd w:val="clear" w:color="auto" w:fill="FFFFFF"/>
        </w:rPr>
        <w:t>decisions</w:t>
      </w:r>
      <w:r w:rsidR="0040045C" w:rsidRPr="00A01843">
        <w:rPr>
          <w:shd w:val="clear" w:color="auto" w:fill="FFFFFF"/>
        </w:rPr>
        <w:t xml:space="preserve"> which </w:t>
      </w:r>
      <w:r w:rsidRPr="00A01843">
        <w:rPr>
          <w:shd w:val="clear" w:color="auto" w:fill="FFFFFF"/>
        </w:rPr>
        <w:t>statistic</w:t>
      </w:r>
      <w:r w:rsidR="0040045C" w:rsidRPr="00A01843">
        <w:rPr>
          <w:shd w:val="clear" w:color="auto" w:fill="FFFFFF"/>
        </w:rPr>
        <w:t>s</w:t>
      </w:r>
      <w:r w:rsidRPr="00A01843">
        <w:rPr>
          <w:shd w:val="clear" w:color="auto" w:fill="FFFFFF"/>
        </w:rPr>
        <w:t xml:space="preserve"> </w:t>
      </w:r>
      <w:r w:rsidR="0040045C" w:rsidRPr="00A01843">
        <w:rPr>
          <w:shd w:val="clear" w:color="auto" w:fill="FFFFFF"/>
        </w:rPr>
        <w:t>to use</w:t>
      </w:r>
      <w:r w:rsidRPr="00A01843">
        <w:rPr>
          <w:shd w:val="clear" w:color="auto" w:fill="FFFFFF"/>
        </w:rPr>
        <w:t xml:space="preserve">. In </w:t>
      </w:r>
      <w:r w:rsidR="0040045C" w:rsidRPr="00A01843">
        <w:rPr>
          <w:shd w:val="clear" w:color="auto" w:fill="FFFFFF"/>
        </w:rPr>
        <w:t>the present</w:t>
      </w:r>
      <w:r w:rsidRPr="00A01843">
        <w:rPr>
          <w:shd w:val="clear" w:color="auto" w:fill="FFFFFF"/>
        </w:rPr>
        <w:t xml:space="preserve"> replication</w:t>
      </w:r>
      <w:r w:rsidR="0040045C" w:rsidRPr="00A01843">
        <w:rPr>
          <w:shd w:val="clear" w:color="auto" w:fill="FFFFFF"/>
        </w:rPr>
        <w:t xml:space="preserve"> of this paper</w:t>
      </w:r>
      <w:r w:rsidRPr="00A01843">
        <w:rPr>
          <w:shd w:val="clear" w:color="auto" w:fill="FFFFFF"/>
        </w:rPr>
        <w:t xml:space="preserve">, we also saw that the way </w:t>
      </w:r>
      <w:r w:rsidR="0040045C" w:rsidRPr="00A01843">
        <w:rPr>
          <w:shd w:val="clear" w:color="auto" w:fill="FFFFFF"/>
        </w:rPr>
        <w:t xml:space="preserve">in which </w:t>
      </w:r>
      <w:r w:rsidRPr="00A01843">
        <w:rPr>
          <w:shd w:val="clear" w:color="auto" w:fill="FFFFFF"/>
        </w:rPr>
        <w:t>variables were operationalised (i.e.</w:t>
      </w:r>
      <w:r w:rsidR="005E5B7C" w:rsidRPr="00A01843">
        <w:rPr>
          <w:shd w:val="clear" w:color="auto" w:fill="FFFFFF"/>
        </w:rPr>
        <w:t>,</w:t>
      </w:r>
      <w:r w:rsidRPr="00A01843">
        <w:rPr>
          <w:shd w:val="clear" w:color="auto" w:fill="FFFFFF"/>
        </w:rPr>
        <w:t xml:space="preserve"> Table 1) involved some arguably arbitrary </w:t>
      </w:r>
      <w:r w:rsidR="005E5B7C" w:rsidRPr="00A01843">
        <w:rPr>
          <w:shd w:val="clear" w:color="auto" w:fill="FFFFFF"/>
        </w:rPr>
        <w:t>decisions</w:t>
      </w:r>
      <w:r w:rsidRPr="00A01843">
        <w:rPr>
          <w:shd w:val="clear" w:color="auto" w:fill="FFFFFF"/>
        </w:rPr>
        <w:t xml:space="preserve">. </w:t>
      </w:r>
      <w:proofErr w:type="spellStart"/>
      <w:r w:rsidRPr="00A01843">
        <w:rPr>
          <w:shd w:val="clear" w:color="auto" w:fill="FFFFFF"/>
        </w:rPr>
        <w:t>Bastiaansen</w:t>
      </w:r>
      <w:proofErr w:type="spellEnd"/>
      <w:r w:rsidRPr="00A01843">
        <w:rPr>
          <w:shd w:val="clear" w:color="auto" w:fill="FFFFFF"/>
        </w:rPr>
        <w:t xml:space="preserve"> et al. (2020) in psychosomatic research, </w:t>
      </w:r>
      <w:r w:rsidR="0040045C" w:rsidRPr="00A01843">
        <w:rPr>
          <w:shd w:val="clear" w:color="auto" w:fill="FFFFFF"/>
        </w:rPr>
        <w:t>found</w:t>
      </w:r>
      <w:r w:rsidRPr="00A01843">
        <w:rPr>
          <w:shd w:val="clear" w:color="auto" w:fill="FFFFFF"/>
        </w:rPr>
        <w:t xml:space="preserve"> variation evident at different analysis stages</w:t>
      </w:r>
      <w:r w:rsidR="005E5B7C" w:rsidRPr="00A01843">
        <w:rPr>
          <w:shd w:val="clear" w:color="auto" w:fill="FFFFFF"/>
        </w:rPr>
        <w:t>,</w:t>
      </w:r>
      <w:r w:rsidRPr="00A01843">
        <w:rPr>
          <w:shd w:val="clear" w:color="auto" w:fill="FFFFFF"/>
        </w:rPr>
        <w:t xml:space="preserve"> from decisions early on, </w:t>
      </w:r>
      <w:r w:rsidR="005E5B7C" w:rsidRPr="00A01843">
        <w:rPr>
          <w:shd w:val="clear" w:color="auto" w:fill="FFFFFF"/>
        </w:rPr>
        <w:t>e.g.,</w:t>
      </w:r>
      <w:r w:rsidRPr="00A01843">
        <w:rPr>
          <w:shd w:val="clear" w:color="auto" w:fill="FFFFFF"/>
        </w:rPr>
        <w:t xml:space="preserve"> in </w:t>
      </w:r>
      <w:r w:rsidR="003F0235" w:rsidRPr="00A01843">
        <w:rPr>
          <w:shd w:val="clear" w:color="auto" w:fill="FFFFFF"/>
        </w:rPr>
        <w:t>pre-processing</w:t>
      </w:r>
      <w:r w:rsidRPr="00A01843">
        <w:rPr>
          <w:shd w:val="clear" w:color="auto" w:fill="FFFFFF"/>
        </w:rPr>
        <w:t xml:space="preserve"> (variable selection, clustering, missing data treatment) to the types of statistics</w:t>
      </w:r>
      <w:r w:rsidR="0040045C" w:rsidRPr="00A01843">
        <w:rPr>
          <w:shd w:val="clear" w:color="auto" w:fill="FFFFFF"/>
        </w:rPr>
        <w:t xml:space="preserve"> being used</w:t>
      </w:r>
      <w:r w:rsidRPr="00A01843">
        <w:rPr>
          <w:shd w:val="clear" w:color="auto" w:fill="FFFFFF"/>
        </w:rPr>
        <w:t>, leading to varying recommendations.</w:t>
      </w:r>
    </w:p>
    <w:p w14:paraId="3C22C4C0" w14:textId="77777777" w:rsidR="005E5B7C" w:rsidRPr="00A01843" w:rsidRDefault="005E5B7C" w:rsidP="008E32A9"/>
    <w:p w14:paraId="6B50F1EC" w14:textId="0A6442EF" w:rsidR="00DC67A7" w:rsidRPr="00A01843" w:rsidRDefault="00C72D75" w:rsidP="008E32A9">
      <w:r w:rsidRPr="00A01843">
        <w:lastRenderedPageBreak/>
        <w:t xml:space="preserve">Christensen and Miguel (2018) </w:t>
      </w:r>
      <w:r w:rsidR="0040045C" w:rsidRPr="00A01843">
        <w:t>note</w:t>
      </w:r>
      <w:r w:rsidRPr="00A01843">
        <w:t xml:space="preserve"> that data often are unavailable, even with data-sharing policies. Even if data and scripts </w:t>
      </w:r>
      <w:r w:rsidR="005E5B7C" w:rsidRPr="00A01843">
        <w:t xml:space="preserve">are </w:t>
      </w:r>
      <w:r w:rsidRPr="00A01843">
        <w:t xml:space="preserve">available, results </w:t>
      </w:r>
      <w:r w:rsidR="005E5B7C" w:rsidRPr="00A01843">
        <w:t>can</w:t>
      </w:r>
      <w:r w:rsidR="0040045C" w:rsidRPr="00A01843">
        <w:t>not</w:t>
      </w:r>
      <w:r w:rsidRPr="00A01843">
        <w:t xml:space="preserve"> always be reproduced, </w:t>
      </w:r>
      <w:r w:rsidR="0040045C" w:rsidRPr="00A01843">
        <w:t>e.g.</w:t>
      </w:r>
      <w:r w:rsidR="005E5B7C" w:rsidRPr="00A01843">
        <w:t>,</w:t>
      </w:r>
      <w:r w:rsidR="0040045C" w:rsidRPr="00A01843">
        <w:t xml:space="preserve"> because of </w:t>
      </w:r>
      <w:r w:rsidRPr="00A01843">
        <w:t xml:space="preserve">data cleaning and analysis decisions </w:t>
      </w:r>
      <w:r w:rsidR="005E5B7C" w:rsidRPr="00A01843">
        <w:t xml:space="preserve">being </w:t>
      </w:r>
      <w:r w:rsidRPr="00A01843">
        <w:t>either in error</w:t>
      </w:r>
      <w:r w:rsidR="00D239D6" w:rsidRPr="00A01843">
        <w:t>,</w:t>
      </w:r>
      <w:r w:rsidRPr="00A01843">
        <w:t xml:space="preserve"> not sufficiently described</w:t>
      </w:r>
      <w:r w:rsidR="00D239D6" w:rsidRPr="00A01843">
        <w:t>, or unhelpfully lengthy in the case of a full description.</w:t>
      </w:r>
    </w:p>
    <w:p w14:paraId="56080FF2" w14:textId="20787582" w:rsidR="005E5B7C" w:rsidRPr="00A01843" w:rsidRDefault="006416B8" w:rsidP="008851F8">
      <w:pPr>
        <w:rPr>
          <w:rFonts w:eastAsiaTheme="minorEastAsia"/>
        </w:rPr>
      </w:pPr>
      <w:r w:rsidRPr="00A01843">
        <w:t>One might say that</w:t>
      </w:r>
      <w:r w:rsidR="005E5B7C" w:rsidRPr="00A01843">
        <w:t>,</w:t>
      </w:r>
      <w:r w:rsidRPr="00A01843">
        <w:t xml:space="preserve"> a</w:t>
      </w:r>
      <w:r w:rsidR="008E32A9" w:rsidRPr="00A01843">
        <w:t xml:space="preserve">t least with secondary data analysis, there are </w:t>
      </w:r>
      <w:r w:rsidR="0040045C" w:rsidRPr="00A01843">
        <w:t xml:space="preserve">apparently </w:t>
      </w:r>
      <w:r w:rsidR="008E32A9" w:rsidRPr="00A01843">
        <w:t>no data collection issues</w:t>
      </w:r>
      <w:r w:rsidR="005E5B7C" w:rsidRPr="00A01843">
        <w:t>, as t</w:t>
      </w:r>
      <w:r w:rsidR="008E32A9" w:rsidRPr="00A01843">
        <w:t>he data are the data; in many cases a simple agreement with terms of use will suffice. Many datasets co</w:t>
      </w:r>
      <w:r w:rsidR="00172214" w:rsidRPr="00A01843">
        <w:t>m</w:t>
      </w:r>
      <w:r w:rsidR="008E32A9" w:rsidRPr="00A01843">
        <w:t xml:space="preserve">e with codebooks and information on the specifics </w:t>
      </w:r>
      <w:r w:rsidR="0040045C" w:rsidRPr="00A01843">
        <w:t>of</w:t>
      </w:r>
      <w:r w:rsidR="008E32A9" w:rsidRPr="00A01843">
        <w:t xml:space="preserve"> variables.</w:t>
      </w:r>
      <w:r w:rsidR="003F0235" w:rsidRPr="00A01843">
        <w:t xml:space="preserve"> </w:t>
      </w:r>
      <w:r w:rsidR="00D32B2B" w:rsidRPr="00A01843">
        <w:rPr>
          <w:rFonts w:eastAsiaTheme="minorEastAsia"/>
        </w:rPr>
        <w:t xml:space="preserve">In </w:t>
      </w:r>
      <w:r w:rsidR="0040045C" w:rsidRPr="00A01843">
        <w:rPr>
          <w:rFonts w:eastAsiaTheme="minorEastAsia"/>
        </w:rPr>
        <w:t xml:space="preserve">the present </w:t>
      </w:r>
      <w:r w:rsidR="00D32B2B" w:rsidRPr="00A01843">
        <w:rPr>
          <w:rFonts w:eastAsiaTheme="minorEastAsia"/>
        </w:rPr>
        <w:t>replication</w:t>
      </w:r>
      <w:r w:rsidR="005E5B7C" w:rsidRPr="00A01843">
        <w:rPr>
          <w:rFonts w:eastAsiaTheme="minorEastAsia"/>
        </w:rPr>
        <w:t>,</w:t>
      </w:r>
      <w:r w:rsidR="008E32A9" w:rsidRPr="00A01843">
        <w:rPr>
          <w:rFonts w:eastAsiaTheme="minorEastAsia"/>
        </w:rPr>
        <w:t xml:space="preserve"> a </w:t>
      </w:r>
      <w:r w:rsidR="0040045C" w:rsidRPr="00A01843">
        <w:rPr>
          <w:rFonts w:eastAsiaTheme="minorEastAsia"/>
        </w:rPr>
        <w:t>clear focus of the analysis</w:t>
      </w:r>
      <w:r w:rsidR="008E32A9" w:rsidRPr="00A01843">
        <w:rPr>
          <w:rFonts w:eastAsiaTheme="minorEastAsia"/>
        </w:rPr>
        <w:t xml:space="preserve"> was </w:t>
      </w:r>
      <w:r w:rsidR="0040045C" w:rsidRPr="00A01843">
        <w:rPr>
          <w:rFonts w:eastAsiaTheme="minorEastAsia"/>
        </w:rPr>
        <w:t>decided</w:t>
      </w:r>
      <w:r w:rsidR="008E32A9" w:rsidRPr="00A01843">
        <w:rPr>
          <w:rFonts w:eastAsiaTheme="minorEastAsia"/>
        </w:rPr>
        <w:t>, even though other analysis paths existed. Seven other paths are included in this article, but this still begs the question</w:t>
      </w:r>
      <w:r w:rsidR="0040045C" w:rsidRPr="00A01843">
        <w:rPr>
          <w:rFonts w:eastAsiaTheme="minorEastAsia"/>
        </w:rPr>
        <w:t xml:space="preserve"> of</w:t>
      </w:r>
      <w:r w:rsidR="008E32A9" w:rsidRPr="00A01843">
        <w:rPr>
          <w:rFonts w:eastAsiaTheme="minorEastAsia"/>
        </w:rPr>
        <w:t xml:space="preserve"> which one is ‘right</w:t>
      </w:r>
      <w:proofErr w:type="gramStart"/>
      <w:r w:rsidR="008E32A9" w:rsidRPr="00A01843">
        <w:rPr>
          <w:rFonts w:eastAsiaTheme="minorEastAsia"/>
        </w:rPr>
        <w:t>’</w:t>
      </w:r>
      <w:proofErr w:type="gramEnd"/>
      <w:r w:rsidR="008E32A9" w:rsidRPr="00A01843">
        <w:rPr>
          <w:rFonts w:eastAsiaTheme="minorEastAsia"/>
        </w:rPr>
        <w:t xml:space="preserve"> and which one is ‘wrong’</w:t>
      </w:r>
      <w:r w:rsidR="008F1F02" w:rsidRPr="00A01843">
        <w:rPr>
          <w:rFonts w:eastAsiaTheme="minorEastAsia"/>
        </w:rPr>
        <w:t>, and how to decide and judge here</w:t>
      </w:r>
      <w:r w:rsidR="008E32A9" w:rsidRPr="00A01843">
        <w:rPr>
          <w:rFonts w:eastAsiaTheme="minorEastAsia"/>
        </w:rPr>
        <w:t xml:space="preserve">. </w:t>
      </w:r>
      <w:r w:rsidR="005E5B7C" w:rsidRPr="00A01843">
        <w:rPr>
          <w:rFonts w:eastAsiaTheme="minorEastAsia"/>
        </w:rPr>
        <w:t>E</w:t>
      </w:r>
      <w:r w:rsidR="008E32A9" w:rsidRPr="00A01843">
        <w:rPr>
          <w:rFonts w:eastAsiaTheme="minorEastAsia"/>
        </w:rPr>
        <w:t xml:space="preserve">ven </w:t>
      </w:r>
      <w:r w:rsidR="008F1F02" w:rsidRPr="00A01843">
        <w:rPr>
          <w:rFonts w:eastAsiaTheme="minorEastAsia"/>
        </w:rPr>
        <w:t>if</w:t>
      </w:r>
      <w:r w:rsidR="008E32A9" w:rsidRPr="00A01843">
        <w:rPr>
          <w:rFonts w:eastAsiaTheme="minorEastAsia"/>
        </w:rPr>
        <w:t xml:space="preserve"> we simply admit </w:t>
      </w:r>
      <w:r w:rsidR="008F1F02" w:rsidRPr="00A01843">
        <w:rPr>
          <w:rFonts w:eastAsiaTheme="minorEastAsia"/>
        </w:rPr>
        <w:t xml:space="preserve">that </w:t>
      </w:r>
      <w:r w:rsidR="008E32A9" w:rsidRPr="00A01843">
        <w:rPr>
          <w:rFonts w:eastAsiaTheme="minorEastAsia"/>
        </w:rPr>
        <w:t xml:space="preserve">they are all right but ‘just different </w:t>
      </w:r>
      <w:r w:rsidR="006512DE" w:rsidRPr="00A01843">
        <w:rPr>
          <w:rFonts w:eastAsiaTheme="minorEastAsia"/>
        </w:rPr>
        <w:t>decisions</w:t>
      </w:r>
      <w:r w:rsidR="008E32A9" w:rsidRPr="00A01843">
        <w:rPr>
          <w:rFonts w:eastAsiaTheme="minorEastAsia"/>
        </w:rPr>
        <w:t>’, how does this help us in drawing conclusions</w:t>
      </w:r>
      <w:r w:rsidR="008F1F02" w:rsidRPr="00A01843">
        <w:rPr>
          <w:rFonts w:eastAsiaTheme="minorEastAsia"/>
        </w:rPr>
        <w:t>?</w:t>
      </w:r>
      <w:r w:rsidR="008E32A9" w:rsidRPr="00A01843">
        <w:rPr>
          <w:rFonts w:eastAsiaTheme="minorEastAsia"/>
        </w:rPr>
        <w:t xml:space="preserve"> The answer is basically ‘it depends’</w:t>
      </w:r>
      <w:r w:rsidR="006512DE" w:rsidRPr="00A01843">
        <w:rPr>
          <w:rFonts w:eastAsiaTheme="minorEastAsia"/>
        </w:rPr>
        <w:t>, and it depends on what research questions you are trying to answer, with often multiple paths leading to a reasonable answer.</w:t>
      </w:r>
      <w:r w:rsidR="005E5B7C" w:rsidRPr="00A01843">
        <w:rPr>
          <w:rFonts w:eastAsiaTheme="minorEastAsia"/>
          <w:b/>
        </w:rPr>
        <w:t xml:space="preserve"> </w:t>
      </w:r>
      <w:proofErr w:type="gramStart"/>
      <w:r w:rsidR="00172214" w:rsidRPr="00A01843">
        <w:rPr>
          <w:rFonts w:eastAsiaTheme="minorEastAsia"/>
        </w:rPr>
        <w:t>This matters</w:t>
      </w:r>
      <w:proofErr w:type="gramEnd"/>
      <w:r w:rsidR="00172214" w:rsidRPr="00A01843">
        <w:rPr>
          <w:rFonts w:eastAsiaTheme="minorEastAsia"/>
        </w:rPr>
        <w:t xml:space="preserve">, because </w:t>
      </w:r>
      <w:r w:rsidR="008F1F02" w:rsidRPr="00A01843">
        <w:rPr>
          <w:rFonts w:eastAsiaTheme="minorEastAsia"/>
        </w:rPr>
        <w:t>even</w:t>
      </w:r>
      <w:r w:rsidR="00172214" w:rsidRPr="00A01843">
        <w:rPr>
          <w:rFonts w:eastAsiaTheme="minorEastAsia"/>
        </w:rPr>
        <w:t xml:space="preserve"> the </w:t>
      </w:r>
      <w:r w:rsidR="008F1F02" w:rsidRPr="00A01843">
        <w:rPr>
          <w:rFonts w:eastAsiaTheme="minorEastAsia"/>
        </w:rPr>
        <w:t xml:space="preserve">decision on the framing and content </w:t>
      </w:r>
      <w:r w:rsidR="00172214" w:rsidRPr="00A01843">
        <w:rPr>
          <w:rFonts w:eastAsiaTheme="minorEastAsia"/>
        </w:rPr>
        <w:t xml:space="preserve">of </w:t>
      </w:r>
      <w:r w:rsidR="008F1F02" w:rsidRPr="00A01843">
        <w:rPr>
          <w:rFonts w:eastAsiaTheme="minorEastAsia"/>
        </w:rPr>
        <w:t xml:space="preserve">a </w:t>
      </w:r>
      <w:r w:rsidR="00172214" w:rsidRPr="00A01843">
        <w:rPr>
          <w:rFonts w:eastAsiaTheme="minorEastAsia"/>
        </w:rPr>
        <w:t>hypothesis can have an impact</w:t>
      </w:r>
      <w:r w:rsidR="008F1F02" w:rsidRPr="00A01843">
        <w:rPr>
          <w:rFonts w:eastAsiaTheme="minorEastAsia"/>
        </w:rPr>
        <w:t xml:space="preserve"> on the study</w:t>
      </w:r>
      <w:r w:rsidR="00172214" w:rsidRPr="00A01843">
        <w:rPr>
          <w:rFonts w:eastAsiaTheme="minorEastAsia"/>
        </w:rPr>
        <w:t xml:space="preserve">. </w:t>
      </w:r>
    </w:p>
    <w:p w14:paraId="7AFA5CA3" w14:textId="77777777" w:rsidR="005E5B7C" w:rsidRPr="00A01843" w:rsidRDefault="005E5B7C" w:rsidP="008851F8">
      <w:pPr>
        <w:rPr>
          <w:rFonts w:eastAsiaTheme="minorEastAsia"/>
        </w:rPr>
      </w:pPr>
    </w:p>
    <w:p w14:paraId="79DF37E2" w14:textId="216F4745" w:rsidR="005E5B7C" w:rsidRPr="00A01843" w:rsidRDefault="008F1F02" w:rsidP="008851F8">
      <w:pPr>
        <w:rPr>
          <w:rFonts w:eastAsiaTheme="minorEastAsia"/>
        </w:rPr>
      </w:pPr>
      <w:r w:rsidRPr="00A01843">
        <w:rPr>
          <w:rFonts w:eastAsiaTheme="minorEastAsia"/>
        </w:rPr>
        <w:t>If</w:t>
      </w:r>
      <w:r w:rsidR="00172214" w:rsidRPr="00A01843">
        <w:rPr>
          <w:rFonts w:eastAsiaTheme="minorEastAsia"/>
        </w:rPr>
        <w:t xml:space="preserve"> analytical choices are not wrong, but simply </w:t>
      </w:r>
      <w:r w:rsidRPr="00A01843">
        <w:rPr>
          <w:rFonts w:eastAsiaTheme="minorEastAsia"/>
        </w:rPr>
        <w:t>one</w:t>
      </w:r>
      <w:r w:rsidR="00172214" w:rsidRPr="00A01843">
        <w:rPr>
          <w:rFonts w:eastAsiaTheme="minorEastAsia"/>
        </w:rPr>
        <w:t xml:space="preserve"> reasonable option </w:t>
      </w:r>
      <w:r w:rsidRPr="00A01843">
        <w:rPr>
          <w:rFonts w:eastAsiaTheme="minorEastAsia"/>
        </w:rPr>
        <w:t xml:space="preserve">out </w:t>
      </w:r>
      <w:r w:rsidR="00172214" w:rsidRPr="00A01843">
        <w:rPr>
          <w:rFonts w:eastAsiaTheme="minorEastAsia"/>
        </w:rPr>
        <w:t>of many, Sim</w:t>
      </w:r>
      <w:r w:rsidR="00AB14C7" w:rsidRPr="00A01843">
        <w:rPr>
          <w:rFonts w:eastAsiaTheme="minorEastAsia"/>
        </w:rPr>
        <w:t>m</w:t>
      </w:r>
      <w:r w:rsidR="00172214" w:rsidRPr="00A01843">
        <w:rPr>
          <w:rFonts w:eastAsiaTheme="minorEastAsia"/>
        </w:rPr>
        <w:t>on</w:t>
      </w:r>
      <w:r w:rsidR="00AB14C7" w:rsidRPr="00A01843">
        <w:rPr>
          <w:rFonts w:eastAsiaTheme="minorEastAsia"/>
        </w:rPr>
        <w:t>s</w:t>
      </w:r>
      <w:r w:rsidR="00172214" w:rsidRPr="00A01843">
        <w:rPr>
          <w:rFonts w:eastAsiaTheme="minorEastAsia"/>
        </w:rPr>
        <w:t xml:space="preserve"> et al. (2011), for example, contend that researcher flexibility among accepted options in research design and data analysis allow nearly any hypothesis to be supported. And there are many more </w:t>
      </w:r>
      <w:r w:rsidR="00996EFA" w:rsidRPr="00A01843">
        <w:rPr>
          <w:rFonts w:eastAsiaTheme="minorEastAsia"/>
        </w:rPr>
        <w:t>decisions to make</w:t>
      </w:r>
      <w:r w:rsidR="00172214" w:rsidRPr="00A01843">
        <w:rPr>
          <w:rFonts w:eastAsiaTheme="minorEastAsia"/>
        </w:rPr>
        <w:t>, as seen in this replication, and from further literature. For example, by adding controls</w:t>
      </w:r>
      <w:r w:rsidR="005E5B7C" w:rsidRPr="00A01843">
        <w:rPr>
          <w:rFonts w:eastAsiaTheme="minorEastAsia"/>
        </w:rPr>
        <w:t>,</w:t>
      </w:r>
      <w:r w:rsidR="00172214" w:rsidRPr="00A01843">
        <w:rPr>
          <w:rFonts w:eastAsiaTheme="minorEastAsia"/>
        </w:rPr>
        <w:t xml:space="preserve"> statistical results could become </w:t>
      </w:r>
      <w:r w:rsidRPr="00A01843">
        <w:rPr>
          <w:rFonts w:eastAsiaTheme="minorEastAsia"/>
        </w:rPr>
        <w:t>statistically ins</w:t>
      </w:r>
      <w:r w:rsidR="00172214" w:rsidRPr="00A01843">
        <w:rPr>
          <w:rFonts w:eastAsiaTheme="minorEastAsia"/>
        </w:rPr>
        <w:t xml:space="preserve">ignificant (Lenz &amp; </w:t>
      </w:r>
      <w:proofErr w:type="spellStart"/>
      <w:r w:rsidR="00172214" w:rsidRPr="00A01843">
        <w:rPr>
          <w:rFonts w:eastAsiaTheme="minorEastAsia"/>
        </w:rPr>
        <w:t>Sahn</w:t>
      </w:r>
      <w:proofErr w:type="spellEnd"/>
      <w:r w:rsidR="00172214" w:rsidRPr="00A01843">
        <w:rPr>
          <w:rFonts w:eastAsiaTheme="minorEastAsia"/>
        </w:rPr>
        <w:t xml:space="preserve">, 2017), </w:t>
      </w:r>
      <w:r w:rsidRPr="00A01843">
        <w:rPr>
          <w:rFonts w:eastAsiaTheme="minorEastAsia"/>
        </w:rPr>
        <w:t xml:space="preserve">which is </w:t>
      </w:r>
      <w:r w:rsidR="00172214" w:rsidRPr="00A01843">
        <w:rPr>
          <w:rFonts w:eastAsiaTheme="minorEastAsia"/>
        </w:rPr>
        <w:t>one reason why</w:t>
      </w:r>
      <w:r w:rsidR="005E5B7C" w:rsidRPr="00A01843">
        <w:rPr>
          <w:rFonts w:eastAsiaTheme="minorEastAsia"/>
        </w:rPr>
        <w:t>,</w:t>
      </w:r>
      <w:r w:rsidR="00172214" w:rsidRPr="00A01843">
        <w:rPr>
          <w:rFonts w:eastAsiaTheme="minorEastAsia"/>
        </w:rPr>
        <w:t xml:space="preserve"> in multilevel modelling</w:t>
      </w:r>
      <w:r w:rsidRPr="00A01843">
        <w:rPr>
          <w:rFonts w:eastAsiaTheme="minorEastAsia"/>
        </w:rPr>
        <w:t>, it might be valuable to adopt</w:t>
      </w:r>
      <w:r w:rsidR="00172214" w:rsidRPr="00A01843">
        <w:rPr>
          <w:rFonts w:eastAsiaTheme="minorEastAsia"/>
        </w:rPr>
        <w:t xml:space="preserve"> the recommendations by </w:t>
      </w:r>
      <w:proofErr w:type="spellStart"/>
      <w:r w:rsidR="00172214" w:rsidRPr="00A01843">
        <w:rPr>
          <w:rFonts w:eastAsiaTheme="minorEastAsia"/>
        </w:rPr>
        <w:t>Dedrick</w:t>
      </w:r>
      <w:proofErr w:type="spellEnd"/>
      <w:r w:rsidR="00172214" w:rsidRPr="00A01843">
        <w:rPr>
          <w:rFonts w:eastAsiaTheme="minorEastAsia"/>
        </w:rPr>
        <w:t xml:space="preserve"> et al. (2009) to report the modelling process</w:t>
      </w:r>
      <w:r w:rsidRPr="00A01843">
        <w:rPr>
          <w:rFonts w:eastAsiaTheme="minorEastAsia"/>
        </w:rPr>
        <w:t xml:space="preserve"> transparently and fully</w:t>
      </w:r>
      <w:r w:rsidR="00172214" w:rsidRPr="00A01843">
        <w:rPr>
          <w:rFonts w:eastAsiaTheme="minorEastAsia"/>
        </w:rPr>
        <w:t xml:space="preserve">. Another example is software </w:t>
      </w:r>
      <w:r w:rsidR="00172214" w:rsidRPr="00A01843">
        <w:rPr>
          <w:rFonts w:eastAsiaTheme="minorEastAsia"/>
        </w:rPr>
        <w:lastRenderedPageBreak/>
        <w:t xml:space="preserve">use. For open practices, </w:t>
      </w:r>
      <w:r w:rsidRPr="00A01843">
        <w:rPr>
          <w:rFonts w:eastAsiaTheme="minorEastAsia"/>
        </w:rPr>
        <w:t>the present</w:t>
      </w:r>
      <w:r w:rsidR="00172214" w:rsidRPr="00A01843">
        <w:rPr>
          <w:rFonts w:eastAsiaTheme="minorEastAsia"/>
        </w:rPr>
        <w:t xml:space="preserve"> replication chose to work with open</w:t>
      </w:r>
      <w:r w:rsidR="008A2D6E" w:rsidRPr="00A01843">
        <w:rPr>
          <w:rFonts w:eastAsiaTheme="minorEastAsia"/>
        </w:rPr>
        <w:t xml:space="preserve"> source packages in R, but many analyses use different software packages. In economics, </w:t>
      </w:r>
      <w:proofErr w:type="gramStart"/>
      <w:r w:rsidR="008A2D6E" w:rsidRPr="00A01843">
        <w:rPr>
          <w:rFonts w:eastAsiaTheme="minorEastAsia"/>
        </w:rPr>
        <w:t>McCullough</w:t>
      </w:r>
      <w:proofErr w:type="gramEnd"/>
      <w:r w:rsidR="008A2D6E" w:rsidRPr="00A01843">
        <w:rPr>
          <w:rFonts w:eastAsiaTheme="minorEastAsia"/>
        </w:rPr>
        <w:t xml:space="preserve"> and Vinod (2003) found that choice of software package affected studies’ results. </w:t>
      </w:r>
    </w:p>
    <w:p w14:paraId="74917B6C" w14:textId="77777777" w:rsidR="005E5B7C" w:rsidRPr="00A01843" w:rsidRDefault="005E5B7C" w:rsidP="008851F8">
      <w:pPr>
        <w:rPr>
          <w:rFonts w:eastAsiaTheme="minorEastAsia"/>
        </w:rPr>
      </w:pPr>
    </w:p>
    <w:p w14:paraId="44A567F3" w14:textId="1B558C03" w:rsidR="00046B6D" w:rsidRPr="00A01843" w:rsidRDefault="008A2D6E" w:rsidP="008851F8">
      <w:r w:rsidRPr="00A01843">
        <w:rPr>
          <w:rFonts w:eastAsiaTheme="minorEastAsia"/>
        </w:rPr>
        <w:t xml:space="preserve">In five multilevel software packages </w:t>
      </w:r>
      <w:proofErr w:type="spellStart"/>
      <w:r w:rsidRPr="00A01843">
        <w:rPr>
          <w:rFonts w:eastAsiaTheme="minorEastAsia"/>
        </w:rPr>
        <w:t>McCoach</w:t>
      </w:r>
      <w:proofErr w:type="spellEnd"/>
      <w:r w:rsidRPr="00A01843">
        <w:rPr>
          <w:rFonts w:eastAsiaTheme="minorEastAsia"/>
        </w:rPr>
        <w:t xml:space="preserve"> et al. (2018) found</w:t>
      </w:r>
      <w:r w:rsidR="008F1F02" w:rsidRPr="00A01843">
        <w:rPr>
          <w:rFonts w:eastAsiaTheme="minorEastAsia"/>
        </w:rPr>
        <w:t xml:space="preserve"> that</w:t>
      </w:r>
      <w:r w:rsidRPr="00A01843">
        <w:rPr>
          <w:rFonts w:eastAsiaTheme="minorEastAsia"/>
        </w:rPr>
        <w:t xml:space="preserve"> “noticeable differences among the five packages arose in terms of speed, convergence rates, and the production of standard errors…” (p. 594). </w:t>
      </w:r>
      <w:r w:rsidR="008F1F02" w:rsidRPr="00A01843">
        <w:rPr>
          <w:rFonts w:eastAsiaTheme="minorEastAsia"/>
        </w:rPr>
        <w:t xml:space="preserve">Similarly, </w:t>
      </w:r>
      <w:r w:rsidR="00412168" w:rsidRPr="00A01843">
        <w:rPr>
          <w:rFonts w:eastAsiaTheme="minorEastAsia"/>
        </w:rPr>
        <w:t xml:space="preserve">as </w:t>
      </w:r>
      <w:r w:rsidR="008F1F02" w:rsidRPr="00A01843">
        <w:rPr>
          <w:rFonts w:eastAsiaTheme="minorEastAsia"/>
        </w:rPr>
        <w:t xml:space="preserve">in the present </w:t>
      </w:r>
      <w:r w:rsidR="00412168" w:rsidRPr="00A01843">
        <w:rPr>
          <w:rFonts w:eastAsiaTheme="minorEastAsia"/>
        </w:rPr>
        <w:t>replication, how to deal with missing data</w:t>
      </w:r>
      <w:r w:rsidR="008F1F02" w:rsidRPr="00A01843">
        <w:rPr>
          <w:rFonts w:eastAsiaTheme="minorEastAsia"/>
        </w:rPr>
        <w:t xml:space="preserve"> could vary.</w:t>
      </w:r>
      <w:r w:rsidR="00412168" w:rsidRPr="00A01843">
        <w:rPr>
          <w:rFonts w:eastAsiaTheme="minorEastAsia"/>
        </w:rPr>
        <w:t xml:space="preserve"> Martel Garcia (2014) </w:t>
      </w:r>
      <w:r w:rsidR="008F1F02" w:rsidRPr="00A01843">
        <w:rPr>
          <w:rFonts w:eastAsiaTheme="minorEastAsia"/>
        </w:rPr>
        <w:t>found</w:t>
      </w:r>
      <w:r w:rsidR="00412168" w:rsidRPr="00A01843">
        <w:rPr>
          <w:rFonts w:eastAsiaTheme="minorEastAsia"/>
        </w:rPr>
        <w:t xml:space="preserve"> different outcomes with different imputation methods, with the most appropriate methods</w:t>
      </w:r>
      <w:r w:rsidR="005E5B7C" w:rsidRPr="00A01843">
        <w:rPr>
          <w:rFonts w:eastAsiaTheme="minorEastAsia"/>
        </w:rPr>
        <w:t xml:space="preserve"> being</w:t>
      </w:r>
      <w:r w:rsidR="00412168" w:rsidRPr="00A01843">
        <w:rPr>
          <w:rFonts w:eastAsiaTheme="minorEastAsia"/>
        </w:rPr>
        <w:t xml:space="preserve"> dependent on the data.</w:t>
      </w:r>
      <w:r w:rsidR="003F0235" w:rsidRPr="00A01843">
        <w:rPr>
          <w:rFonts w:eastAsiaTheme="minorEastAsia"/>
        </w:rPr>
        <w:t xml:space="preserve"> </w:t>
      </w:r>
      <w:r w:rsidR="00412168" w:rsidRPr="00A01843">
        <w:rPr>
          <w:rFonts w:eastAsiaTheme="minorEastAsia"/>
        </w:rPr>
        <w:t xml:space="preserve">Analytical </w:t>
      </w:r>
      <w:r w:rsidR="00996EFA" w:rsidRPr="00A01843">
        <w:rPr>
          <w:rFonts w:eastAsiaTheme="minorEastAsia"/>
        </w:rPr>
        <w:t>decisions</w:t>
      </w:r>
      <w:r w:rsidR="00412168" w:rsidRPr="00A01843">
        <w:rPr>
          <w:rFonts w:eastAsiaTheme="minorEastAsia"/>
        </w:rPr>
        <w:t xml:space="preserve"> will also be influenced by preferences built up over a career</w:t>
      </w:r>
      <w:r w:rsidR="008F1F02" w:rsidRPr="00A01843">
        <w:rPr>
          <w:rFonts w:eastAsiaTheme="minorEastAsia"/>
        </w:rPr>
        <w:t>, for example familiarity with a given model, analysists’ ideas about the most appropriate control variables and models, and preferences for parsimony (</w:t>
      </w:r>
      <w:r w:rsidR="00412168" w:rsidRPr="00A01843">
        <w:rPr>
          <w:rFonts w:eastAsiaTheme="minorEastAsia"/>
        </w:rPr>
        <w:t>Huntington-Klein et al.</w:t>
      </w:r>
      <w:r w:rsidR="008F1F02" w:rsidRPr="00A01843">
        <w:rPr>
          <w:rFonts w:eastAsiaTheme="minorEastAsia"/>
        </w:rPr>
        <w:t xml:space="preserve">, </w:t>
      </w:r>
      <w:r w:rsidR="00412168" w:rsidRPr="00A01843">
        <w:rPr>
          <w:rFonts w:eastAsiaTheme="minorEastAsia"/>
        </w:rPr>
        <w:t>2021</w:t>
      </w:r>
      <w:r w:rsidR="008F1F02" w:rsidRPr="00A01843">
        <w:rPr>
          <w:rFonts w:eastAsiaTheme="minorEastAsia"/>
        </w:rPr>
        <w:t xml:space="preserve">, </w:t>
      </w:r>
      <w:r w:rsidR="00412168" w:rsidRPr="00A01843">
        <w:t>p. 958).</w:t>
      </w:r>
    </w:p>
    <w:p w14:paraId="772A47F0" w14:textId="77777777" w:rsidR="005E5B7C" w:rsidRPr="00A01843" w:rsidRDefault="005E5B7C" w:rsidP="00C70C36"/>
    <w:p w14:paraId="6D87659B" w14:textId="34E36C30" w:rsidR="00207FF5" w:rsidRPr="00A01843" w:rsidRDefault="00207FF5" w:rsidP="00C70C36">
      <w:r w:rsidRPr="00A01843">
        <w:t>The</w:t>
      </w:r>
      <w:r w:rsidR="00E63386" w:rsidRPr="00A01843">
        <w:t xml:space="preserve"> discussion has shown that, in previous studies and also in </w:t>
      </w:r>
      <w:r w:rsidRPr="00A01843">
        <w:t>the present</w:t>
      </w:r>
      <w:r w:rsidR="00E63386" w:rsidRPr="00A01843">
        <w:t xml:space="preserve"> secondary data replication, </w:t>
      </w:r>
      <w:r w:rsidR="001E0C0B" w:rsidRPr="00A01843">
        <w:t>substantial analytical variability</w:t>
      </w:r>
      <w:r w:rsidR="00E63386" w:rsidRPr="00A01843">
        <w:t xml:space="preserve"> exist</w:t>
      </w:r>
      <w:r w:rsidR="001E0C0B" w:rsidRPr="00A01843">
        <w:t>s</w:t>
      </w:r>
      <w:r w:rsidRPr="00A01843">
        <w:t>, including, for example: t</w:t>
      </w:r>
      <w:r w:rsidR="00E63386" w:rsidRPr="00A01843">
        <w:t>he choice of secondary dataset</w:t>
      </w:r>
      <w:r w:rsidRPr="00A01843">
        <w:t>; t</w:t>
      </w:r>
      <w:r w:rsidR="00150A1D" w:rsidRPr="00A01843">
        <w:t xml:space="preserve">he associated complex sampling design with variation in how to tackle weights and </w:t>
      </w:r>
      <w:r w:rsidR="006F25EE" w:rsidRPr="00A01843">
        <w:t>p</w:t>
      </w:r>
      <w:r w:rsidR="00150A1D" w:rsidRPr="00A01843">
        <w:t xml:space="preserve">lausible </w:t>
      </w:r>
      <w:r w:rsidR="006F25EE" w:rsidRPr="00A01843">
        <w:t>v</w:t>
      </w:r>
      <w:r w:rsidR="00150A1D" w:rsidRPr="00A01843">
        <w:t>alues (e.g.</w:t>
      </w:r>
      <w:r w:rsidR="005E5B7C" w:rsidRPr="00A01843">
        <w:t>,</w:t>
      </w:r>
      <w:r w:rsidR="00150A1D" w:rsidRPr="00A01843">
        <w:t xml:space="preserve"> </w:t>
      </w:r>
      <w:proofErr w:type="spellStart"/>
      <w:r w:rsidR="00150A1D" w:rsidRPr="00A01843">
        <w:t>Rutkowksi</w:t>
      </w:r>
      <w:proofErr w:type="spellEnd"/>
      <w:r w:rsidR="00150A1D" w:rsidRPr="00A01843">
        <w:t xml:space="preserve"> et al., 2010; </w:t>
      </w:r>
      <w:proofErr w:type="spellStart"/>
      <w:r w:rsidR="00150A1D" w:rsidRPr="00A01843">
        <w:t>Drent</w:t>
      </w:r>
      <w:proofErr w:type="spellEnd"/>
      <w:r w:rsidR="00150A1D" w:rsidRPr="00A01843">
        <w:t xml:space="preserve"> et al., 2013 for ILSA data)</w:t>
      </w:r>
      <w:r w:rsidRPr="00A01843">
        <w:t>; and t</w:t>
      </w:r>
      <w:r w:rsidR="00150A1D" w:rsidRPr="00A01843">
        <w:t xml:space="preserve">he available variables and measurements plus constructed scales. </w:t>
      </w:r>
      <w:r w:rsidRPr="00A01843">
        <w:t xml:space="preserve">The present replication study raised issues of: </w:t>
      </w:r>
    </w:p>
    <w:p w14:paraId="7ABAEDA7" w14:textId="77777777" w:rsidR="00AB17E4" w:rsidRPr="00A01843" w:rsidRDefault="00AB17E4" w:rsidP="00AB17E4">
      <w:pPr>
        <w:pStyle w:val="ListParagraph"/>
        <w:numPr>
          <w:ilvl w:val="0"/>
          <w:numId w:val="49"/>
        </w:numPr>
        <w:spacing w:line="360" w:lineRule="auto"/>
        <w:rPr>
          <w:rFonts w:ascii="Times New Roman" w:hAnsi="Times New Roman" w:cs="Times New Roman"/>
          <w:sz w:val="24"/>
          <w:szCs w:val="24"/>
        </w:rPr>
      </w:pPr>
      <w:r w:rsidRPr="00A01843">
        <w:rPr>
          <w:rFonts w:ascii="Times New Roman" w:hAnsi="Times New Roman" w:cs="Times New Roman"/>
          <w:sz w:val="24"/>
          <w:szCs w:val="24"/>
        </w:rPr>
        <w:t>choosing the subsample (one country or more countries), and it was noted that this influences the choice of analytical strategy (e.g., multilevel models with two or three levels</w:t>
      </w:r>
      <w:proofErr w:type="gramStart"/>
      <w:r w:rsidRPr="00A01843">
        <w:rPr>
          <w:rFonts w:ascii="Times New Roman" w:hAnsi="Times New Roman" w:cs="Times New Roman"/>
          <w:sz w:val="24"/>
          <w:szCs w:val="24"/>
        </w:rPr>
        <w:t>);</w:t>
      </w:r>
      <w:proofErr w:type="gramEnd"/>
      <w:r w:rsidRPr="00A01843">
        <w:rPr>
          <w:rFonts w:ascii="Times New Roman" w:hAnsi="Times New Roman" w:cs="Times New Roman"/>
          <w:sz w:val="24"/>
          <w:szCs w:val="24"/>
        </w:rPr>
        <w:t xml:space="preserve"> </w:t>
      </w:r>
    </w:p>
    <w:p w14:paraId="1A6FDDF4" w14:textId="77777777" w:rsidR="00AB17E4" w:rsidRPr="00A01843" w:rsidRDefault="00AB17E4" w:rsidP="00AB17E4">
      <w:pPr>
        <w:pStyle w:val="ListParagraph"/>
        <w:numPr>
          <w:ilvl w:val="0"/>
          <w:numId w:val="49"/>
        </w:numPr>
        <w:spacing w:line="360" w:lineRule="auto"/>
        <w:rPr>
          <w:rFonts w:ascii="Times New Roman" w:hAnsi="Times New Roman" w:cs="Times New Roman"/>
          <w:sz w:val="24"/>
          <w:szCs w:val="24"/>
        </w:rPr>
      </w:pPr>
      <w:r w:rsidRPr="00A01843">
        <w:rPr>
          <w:rFonts w:ascii="Times New Roman" w:hAnsi="Times New Roman" w:cs="Times New Roman"/>
          <w:sz w:val="24"/>
          <w:szCs w:val="24"/>
        </w:rPr>
        <w:t>missing data and their treatment (e.g., single imputation, multiple imputation</w:t>
      </w:r>
      <w:proofErr w:type="gramStart"/>
      <w:r w:rsidRPr="00A01843">
        <w:rPr>
          <w:rFonts w:ascii="Times New Roman" w:hAnsi="Times New Roman" w:cs="Times New Roman"/>
          <w:sz w:val="24"/>
          <w:szCs w:val="24"/>
        </w:rPr>
        <w:t>);</w:t>
      </w:r>
      <w:proofErr w:type="gramEnd"/>
      <w:r w:rsidRPr="00A01843">
        <w:rPr>
          <w:rFonts w:ascii="Times New Roman" w:hAnsi="Times New Roman" w:cs="Times New Roman"/>
          <w:sz w:val="24"/>
          <w:szCs w:val="24"/>
        </w:rPr>
        <w:t xml:space="preserve">  </w:t>
      </w:r>
    </w:p>
    <w:p w14:paraId="74931124" w14:textId="22D4AF8D" w:rsidR="00AB17E4" w:rsidRPr="00A01843" w:rsidRDefault="00AB17E4" w:rsidP="00AB17E4">
      <w:pPr>
        <w:pStyle w:val="ListParagraph"/>
        <w:numPr>
          <w:ilvl w:val="0"/>
          <w:numId w:val="49"/>
        </w:numPr>
        <w:spacing w:line="360" w:lineRule="auto"/>
        <w:rPr>
          <w:rFonts w:ascii="Times New Roman" w:hAnsi="Times New Roman" w:cs="Times New Roman"/>
          <w:sz w:val="24"/>
          <w:szCs w:val="24"/>
        </w:rPr>
      </w:pPr>
      <w:r w:rsidRPr="00A01843">
        <w:rPr>
          <w:rFonts w:ascii="Times New Roman" w:hAnsi="Times New Roman" w:cs="Times New Roman"/>
          <w:sz w:val="24"/>
          <w:szCs w:val="24"/>
        </w:rPr>
        <w:t xml:space="preserve">the way in which models are built, including control variables (for a checklist for multilevel models see </w:t>
      </w:r>
      <w:proofErr w:type="spellStart"/>
      <w:r w:rsidRPr="00A01843">
        <w:rPr>
          <w:rFonts w:ascii="Times New Roman" w:hAnsi="Times New Roman" w:cs="Times New Roman"/>
          <w:sz w:val="24"/>
          <w:szCs w:val="24"/>
        </w:rPr>
        <w:t>Dedrick</w:t>
      </w:r>
      <w:proofErr w:type="spellEnd"/>
      <w:r w:rsidRPr="00A01843">
        <w:rPr>
          <w:rFonts w:ascii="Times New Roman" w:hAnsi="Times New Roman" w:cs="Times New Roman"/>
          <w:sz w:val="24"/>
          <w:szCs w:val="24"/>
        </w:rPr>
        <w:t xml:space="preserve"> et al., 2009; Lenz &amp; </w:t>
      </w:r>
      <w:proofErr w:type="spellStart"/>
      <w:r w:rsidRPr="00A01843">
        <w:rPr>
          <w:rFonts w:ascii="Times New Roman" w:hAnsi="Times New Roman" w:cs="Times New Roman"/>
          <w:sz w:val="24"/>
          <w:szCs w:val="24"/>
        </w:rPr>
        <w:t>Sahn</w:t>
      </w:r>
      <w:proofErr w:type="spellEnd"/>
      <w:r w:rsidRPr="00A01843">
        <w:rPr>
          <w:rFonts w:ascii="Times New Roman" w:hAnsi="Times New Roman" w:cs="Times New Roman"/>
          <w:sz w:val="24"/>
          <w:szCs w:val="24"/>
        </w:rPr>
        <w:t>, 2017</w:t>
      </w:r>
      <w:proofErr w:type="gramStart"/>
      <w:r w:rsidRPr="00A01843">
        <w:rPr>
          <w:rFonts w:ascii="Times New Roman" w:hAnsi="Times New Roman" w:cs="Times New Roman"/>
          <w:sz w:val="24"/>
          <w:szCs w:val="24"/>
        </w:rPr>
        <w:t>);</w:t>
      </w:r>
      <w:proofErr w:type="gramEnd"/>
    </w:p>
    <w:p w14:paraId="7399D72D" w14:textId="77777777" w:rsidR="00AB17E4" w:rsidRPr="00A01843" w:rsidRDefault="00AB17E4" w:rsidP="00AB17E4">
      <w:pPr>
        <w:pStyle w:val="ListParagraph"/>
        <w:numPr>
          <w:ilvl w:val="0"/>
          <w:numId w:val="49"/>
        </w:numPr>
        <w:spacing w:line="360" w:lineRule="auto"/>
        <w:rPr>
          <w:rFonts w:ascii="Times New Roman" w:hAnsi="Times New Roman" w:cs="Times New Roman"/>
          <w:sz w:val="24"/>
          <w:szCs w:val="24"/>
        </w:rPr>
      </w:pPr>
      <w:r w:rsidRPr="00A01843">
        <w:rPr>
          <w:rFonts w:ascii="Times New Roman" w:hAnsi="Times New Roman" w:cs="Times New Roman"/>
          <w:sz w:val="24"/>
          <w:szCs w:val="24"/>
        </w:rPr>
        <w:lastRenderedPageBreak/>
        <w:t xml:space="preserve">centring of </w:t>
      </w:r>
      <w:proofErr w:type="gramStart"/>
      <w:r w:rsidRPr="00A01843">
        <w:rPr>
          <w:rFonts w:ascii="Times New Roman" w:hAnsi="Times New Roman" w:cs="Times New Roman"/>
          <w:sz w:val="24"/>
          <w:szCs w:val="24"/>
        </w:rPr>
        <w:t>variables;</w:t>
      </w:r>
      <w:proofErr w:type="gramEnd"/>
      <w:r w:rsidRPr="00A01843">
        <w:rPr>
          <w:rFonts w:ascii="Times New Roman" w:hAnsi="Times New Roman" w:cs="Times New Roman"/>
          <w:sz w:val="24"/>
          <w:szCs w:val="24"/>
        </w:rPr>
        <w:t xml:space="preserve"> </w:t>
      </w:r>
    </w:p>
    <w:p w14:paraId="10915DC4" w14:textId="3E71033C" w:rsidR="00AB17E4" w:rsidRPr="00A01843" w:rsidRDefault="00AB17E4" w:rsidP="00AB17E4">
      <w:pPr>
        <w:pStyle w:val="ListParagraph"/>
        <w:numPr>
          <w:ilvl w:val="0"/>
          <w:numId w:val="49"/>
        </w:numPr>
        <w:spacing w:line="360" w:lineRule="auto"/>
        <w:rPr>
          <w:rFonts w:ascii="Times New Roman" w:hAnsi="Times New Roman" w:cs="Times New Roman"/>
          <w:sz w:val="24"/>
          <w:szCs w:val="24"/>
        </w:rPr>
      </w:pPr>
      <w:r w:rsidRPr="00A01843">
        <w:rPr>
          <w:rFonts w:ascii="Times New Roman" w:hAnsi="Times New Roman" w:cs="Times New Roman"/>
          <w:sz w:val="24"/>
          <w:szCs w:val="24"/>
        </w:rPr>
        <w:t>the choice of software (</w:t>
      </w:r>
      <w:r w:rsidR="005E5B7C" w:rsidRPr="00A01843">
        <w:rPr>
          <w:rFonts w:ascii="Times New Roman" w:hAnsi="Times New Roman" w:cs="Times New Roman"/>
          <w:sz w:val="24"/>
          <w:szCs w:val="24"/>
        </w:rPr>
        <w:t xml:space="preserve">see </w:t>
      </w:r>
      <w:proofErr w:type="spellStart"/>
      <w:r w:rsidRPr="00A01843">
        <w:rPr>
          <w:rFonts w:ascii="Times New Roman" w:hAnsi="Times New Roman" w:cs="Times New Roman"/>
          <w:sz w:val="24"/>
          <w:szCs w:val="24"/>
        </w:rPr>
        <w:t>McCoach</w:t>
      </w:r>
      <w:proofErr w:type="spellEnd"/>
      <w:r w:rsidRPr="00A01843">
        <w:rPr>
          <w:rFonts w:ascii="Times New Roman" w:hAnsi="Times New Roman" w:cs="Times New Roman"/>
          <w:sz w:val="24"/>
          <w:szCs w:val="24"/>
        </w:rPr>
        <w:t xml:space="preserve"> et al., 2018 for multilevel models and the analytical approach in this replication); and</w:t>
      </w:r>
    </w:p>
    <w:p w14:paraId="1A477600" w14:textId="716A281A" w:rsidR="00AB17E4" w:rsidRPr="00A01843" w:rsidRDefault="00AB17E4" w:rsidP="00AB17E4">
      <w:pPr>
        <w:pStyle w:val="ListParagraph"/>
        <w:numPr>
          <w:ilvl w:val="0"/>
          <w:numId w:val="49"/>
        </w:numPr>
        <w:spacing w:line="360" w:lineRule="auto"/>
        <w:rPr>
          <w:rFonts w:ascii="Times New Roman" w:hAnsi="Times New Roman" w:cs="Times New Roman"/>
          <w:sz w:val="24"/>
          <w:szCs w:val="24"/>
        </w:rPr>
      </w:pPr>
      <w:r w:rsidRPr="00A01843">
        <w:rPr>
          <w:rFonts w:ascii="Times New Roman" w:hAnsi="Times New Roman" w:cs="Times New Roman"/>
          <w:sz w:val="24"/>
          <w:szCs w:val="24"/>
        </w:rPr>
        <w:t xml:space="preserve">(ethical) choices regarding availability with or without payment. </w:t>
      </w:r>
    </w:p>
    <w:p w14:paraId="5B2F4857" w14:textId="77777777" w:rsidR="00AB17E4" w:rsidRPr="00A01843" w:rsidRDefault="00AB17E4" w:rsidP="00C70C36"/>
    <w:p w14:paraId="109014AB" w14:textId="3A29CADB" w:rsidR="002E34B2" w:rsidRPr="00A01843" w:rsidRDefault="00AB17E4" w:rsidP="00C70C36">
      <w:r w:rsidRPr="00A01843">
        <w:t>Further, issues are raised of changing the context over time (in the present study, for example the Korean school curriculum (e.g., Jeon</w:t>
      </w:r>
      <w:r w:rsidR="0012063A" w:rsidRPr="00A01843">
        <w:t xml:space="preserve"> et al.</w:t>
      </w:r>
      <w:r w:rsidRPr="00A01843">
        <w:t xml:space="preserve">, 2020), with time-lags in educational effects also coming into play). So, substantively, although the main gender result was not replicated in the present study, it could be argued that the replication study </w:t>
      </w:r>
      <w:r w:rsidR="001E0C0B" w:rsidRPr="00A01843">
        <w:t>included several</w:t>
      </w:r>
      <w:r w:rsidRPr="00A01843">
        <w:t xml:space="preserve"> </w:t>
      </w:r>
      <w:r w:rsidR="001E0C0B" w:rsidRPr="00A01843">
        <w:t>analytical decisions</w:t>
      </w:r>
      <w:r w:rsidRPr="00A01843">
        <w:t xml:space="preserve"> that could have contributed to having the main result turn out differently.</w:t>
      </w:r>
    </w:p>
    <w:p w14:paraId="63A00CFF" w14:textId="77777777" w:rsidR="005E5B7C" w:rsidRPr="00A01843" w:rsidRDefault="005E5B7C" w:rsidP="00C70C36"/>
    <w:p w14:paraId="45B2D7D8" w14:textId="2F0A4630" w:rsidR="008851F8" w:rsidRPr="00A01843" w:rsidRDefault="00915646" w:rsidP="00C70C36">
      <w:r w:rsidRPr="00A01843">
        <w:t>W</w:t>
      </w:r>
      <w:r w:rsidR="00AB17E4" w:rsidRPr="00A01843">
        <w:t>hat can researchers and educationists do if the social science that is conducted can yield different results because of one change? One approach might be to build out many options and possible differences, e.g., by prescribing standard procedures and analyses, a so-called multi-verse analysis (</w:t>
      </w:r>
      <w:proofErr w:type="spellStart"/>
      <w:r w:rsidR="00AB17E4" w:rsidRPr="00A01843">
        <w:t>Steegen</w:t>
      </w:r>
      <w:proofErr w:type="spellEnd"/>
      <w:r w:rsidR="00AB17E4" w:rsidRPr="00A01843">
        <w:t xml:space="preserve"> et al., 2016) or a specification curve (</w:t>
      </w:r>
      <w:proofErr w:type="spellStart"/>
      <w:r w:rsidR="00AB17E4" w:rsidRPr="00A01843">
        <w:t>Simonsohn</w:t>
      </w:r>
      <w:proofErr w:type="spellEnd"/>
      <w:r w:rsidR="00AB17E4" w:rsidRPr="00A01843">
        <w:t xml:space="preserve"> et al., 2020). Although originally perhaps more focussed on data processing (</w:t>
      </w:r>
      <w:proofErr w:type="spellStart"/>
      <w:r w:rsidR="00AB17E4" w:rsidRPr="00A01843">
        <w:t>Steegen</w:t>
      </w:r>
      <w:proofErr w:type="spellEnd"/>
      <w:r w:rsidR="00AB17E4" w:rsidRPr="00A01843">
        <w:t xml:space="preserve"> et al., 2016), this can be extended to data collection (e.g., Harder, 2020) and data analysis (e.g. Mirman et al., 2021), i.e., to start to </w:t>
      </w:r>
      <w:r w:rsidRPr="00A01843">
        <w:t xml:space="preserve">have </w:t>
      </w:r>
      <w:r w:rsidR="00AB17E4" w:rsidRPr="00A01843">
        <w:t xml:space="preserve">more and more prescriptive coverage of the whole research pipeline. In situations in which decisions are unclear, multiverse-style analyses could be conducted in a more exploratory fashion (Del Giudice &amp; </w:t>
      </w:r>
      <w:proofErr w:type="spellStart"/>
      <w:r w:rsidR="00AB17E4" w:rsidRPr="00A01843">
        <w:t>Gangestad</w:t>
      </w:r>
      <w:proofErr w:type="spellEnd"/>
      <w:r w:rsidR="00AB17E4" w:rsidRPr="00A01843">
        <w:t xml:space="preserve">, 2021). Such analyses could be aided by transparent publication of data and analysis scripts, the latter with suitable documentation and commentary, so that data analytic choices and decisions are clear. </w:t>
      </w:r>
      <w:r w:rsidR="005F3BFA" w:rsidRPr="00A01843">
        <w:t xml:space="preserve">Packages to aid researchers’ workflows with this are </w:t>
      </w:r>
      <w:r w:rsidR="00AB17E4" w:rsidRPr="00A01843">
        <w:t>also</w:t>
      </w:r>
      <w:r w:rsidR="005F3BFA" w:rsidRPr="00A01843">
        <w:t xml:space="preserve"> appear</w:t>
      </w:r>
      <w:r w:rsidR="00AB17E4" w:rsidRPr="00A01843">
        <w:t>ing</w:t>
      </w:r>
      <w:r w:rsidR="00276E6F" w:rsidRPr="00A01843">
        <w:rPr>
          <w:rStyle w:val="EndnoteReference"/>
        </w:rPr>
        <w:endnoteReference w:id="19"/>
      </w:r>
      <w:r w:rsidR="00276E6F" w:rsidRPr="00A01843">
        <w:t>.</w:t>
      </w:r>
    </w:p>
    <w:p w14:paraId="78CBC155" w14:textId="77777777" w:rsidR="00C70C36" w:rsidRPr="00A01843" w:rsidRDefault="00C70C36" w:rsidP="00685C8A">
      <w:pPr>
        <w:pStyle w:val="Heading1"/>
        <w:spacing w:line="480" w:lineRule="auto"/>
      </w:pPr>
      <w:r w:rsidRPr="00A01843">
        <w:lastRenderedPageBreak/>
        <w:t>Conclusion</w:t>
      </w:r>
    </w:p>
    <w:p w14:paraId="29A92522" w14:textId="05B33B94" w:rsidR="00685C8A" w:rsidRPr="00A01843" w:rsidRDefault="00423425" w:rsidP="00685C8A">
      <w:pPr>
        <w:rPr>
          <w:b/>
          <w:bCs/>
        </w:rPr>
      </w:pPr>
      <w:r w:rsidRPr="00A01843">
        <w:t xml:space="preserve">This article reported the secondary data replication of Kim et al.’s (2014) study of computer literacy. Although the main result was not replicated, it was also observed that that </w:t>
      </w:r>
      <w:r w:rsidR="001E0C0B" w:rsidRPr="00A01843">
        <w:t>substantial analytical variability</w:t>
      </w:r>
      <w:r w:rsidRPr="00A01843">
        <w:t xml:space="preserve"> exist</w:t>
      </w:r>
      <w:r w:rsidR="001E0C0B" w:rsidRPr="00A01843">
        <w:t>s</w:t>
      </w:r>
      <w:r w:rsidRPr="00A01843">
        <w:t xml:space="preserve"> in the analysis pipeline. Not having to collect primary data can save time, money and </w:t>
      </w:r>
      <w:r w:rsidR="001E0C0B" w:rsidRPr="00A01843">
        <w:t>having to make some analytical decisions</w:t>
      </w:r>
      <w:r w:rsidRPr="00A01843">
        <w:t xml:space="preserve">, as some things have already been decided. However, </w:t>
      </w:r>
      <w:r w:rsidR="001E0C0B" w:rsidRPr="00A01843">
        <w:t xml:space="preserve">new variability can be introduced </w:t>
      </w:r>
      <w:r w:rsidRPr="00A01843">
        <w:t xml:space="preserve">by the choice of dataset, and, as the present study finds, </w:t>
      </w:r>
      <w:r w:rsidR="00E72D5D" w:rsidRPr="00A01843">
        <w:t xml:space="preserve">such analytical variability </w:t>
      </w:r>
      <w:r w:rsidRPr="00A01843">
        <w:t>matter</w:t>
      </w:r>
      <w:r w:rsidR="00E72D5D" w:rsidRPr="00A01843">
        <w:t>s</w:t>
      </w:r>
      <w:r w:rsidRPr="00A01843">
        <w:t xml:space="preserve"> and can lead to different outcomes.  With little hope </w:t>
      </w:r>
      <w:r w:rsidR="00B93613" w:rsidRPr="00A01843">
        <w:t xml:space="preserve">of </w:t>
      </w:r>
      <w:r w:rsidRPr="00A01843">
        <w:t>a convergence of practices</w:t>
      </w:r>
      <w:r w:rsidRPr="00A01843">
        <w:rPr>
          <w:rStyle w:val="EndnoteReference"/>
        </w:rPr>
        <w:endnoteReference w:id="20"/>
      </w:r>
      <w:r w:rsidRPr="00A01843">
        <w:t xml:space="preserve">, maybe transparency is the best option. </w:t>
      </w:r>
      <w:r w:rsidR="00E72D5D" w:rsidRPr="00A01843">
        <w:t>For example, although</w:t>
      </w:r>
      <w:r w:rsidRPr="00A01843">
        <w:t xml:space="preserve"> preregistration does not solve the issue of </w:t>
      </w:r>
      <w:r w:rsidR="00E72D5D" w:rsidRPr="00A01843">
        <w:t>analytical variability</w:t>
      </w:r>
      <w:r w:rsidRPr="00A01843">
        <w:t xml:space="preserve"> (Huntington-Klein et al., 2021, p. 2), it m</w:t>
      </w:r>
      <w:r w:rsidR="00B93613" w:rsidRPr="00A01843">
        <w:t>ight</w:t>
      </w:r>
      <w:r w:rsidRPr="00A01843">
        <w:t xml:space="preserve"> be that, if the preregistration is suitably detailed and the final reporting is as transparent as possible, this at least shows what paths have been taken when </w:t>
      </w:r>
      <w:r w:rsidR="00E72D5D" w:rsidRPr="00A01843">
        <w:t xml:space="preserve">analytical </w:t>
      </w:r>
      <w:r w:rsidRPr="00A01843">
        <w:t xml:space="preserve">options present themselves. </w:t>
      </w:r>
      <w:r w:rsidR="00BD3111" w:rsidRPr="00A01843">
        <w:t>Brandt et al. (2014) argued for a ‘replication recipe’ for close replications, which contains numerous ingredients</w:t>
      </w:r>
      <w:r w:rsidR="005F3BFA" w:rsidRPr="00A01843">
        <w:t xml:space="preserve">, </w:t>
      </w:r>
      <w:r w:rsidR="00685C8A" w:rsidRPr="00A01843">
        <w:t>such as: c</w:t>
      </w:r>
      <w:r w:rsidR="00967D1F" w:rsidRPr="00A01843">
        <w:t>arefully defining the effects and methods that the researcher intends to replicate</w:t>
      </w:r>
      <w:r w:rsidR="00685C8A" w:rsidRPr="00A01843">
        <w:t>;</w:t>
      </w:r>
      <w:r w:rsidR="00967D1F" w:rsidRPr="00A01843">
        <w:t xml:space="preserve"> </w:t>
      </w:r>
      <w:r w:rsidR="00685C8A" w:rsidRPr="00A01843">
        <w:t>f</w:t>
      </w:r>
      <w:r w:rsidR="00967D1F" w:rsidRPr="00A01843">
        <w:t xml:space="preserve">ollowing the </w:t>
      </w:r>
      <w:r w:rsidR="00685C8A" w:rsidRPr="00A01843">
        <w:t xml:space="preserve">exact </w:t>
      </w:r>
      <w:r w:rsidR="00967D1F" w:rsidRPr="00A01843">
        <w:t>methods of the original study</w:t>
      </w:r>
      <w:r w:rsidR="00685C8A" w:rsidRPr="00A01843">
        <w:t>;</w:t>
      </w:r>
      <w:r w:rsidR="00967D1F" w:rsidRPr="00A01843">
        <w:t xml:space="preserve"> </w:t>
      </w:r>
      <w:r w:rsidR="00685C8A" w:rsidRPr="00A01843">
        <w:t xml:space="preserve">having sufficiently </w:t>
      </w:r>
      <w:r w:rsidR="00967D1F" w:rsidRPr="00A01843">
        <w:t>high statistical power</w:t>
      </w:r>
      <w:r w:rsidR="00685C8A" w:rsidRPr="00A01843">
        <w:t>;</w:t>
      </w:r>
      <w:r w:rsidR="00967D1F" w:rsidRPr="00A01843">
        <w:t xml:space="preserve"> </w:t>
      </w:r>
      <w:r w:rsidR="00685C8A" w:rsidRPr="00A01843">
        <w:t>m</w:t>
      </w:r>
      <w:r w:rsidR="00967D1F" w:rsidRPr="00A01843">
        <w:t xml:space="preserve">aking </w:t>
      </w:r>
      <w:r w:rsidR="00685C8A" w:rsidRPr="00A01843">
        <w:t>replication details available;</w:t>
      </w:r>
      <w:r w:rsidR="00967D1F" w:rsidRPr="00A01843">
        <w:t xml:space="preserve"> </w:t>
      </w:r>
      <w:r w:rsidR="00685C8A" w:rsidRPr="00A01843">
        <w:t>and e</w:t>
      </w:r>
      <w:r w:rsidR="00967D1F" w:rsidRPr="00A01843">
        <w:t>valuating replication results and comparing them critically to the results of the original study</w:t>
      </w:r>
      <w:r w:rsidR="00685C8A" w:rsidRPr="00A01843">
        <w:t>. The present replication study has strive</w:t>
      </w:r>
      <w:r w:rsidR="00B93613" w:rsidRPr="00A01843">
        <w:t>n</w:t>
      </w:r>
      <w:r w:rsidR="00685C8A" w:rsidRPr="00A01843">
        <w:t xml:space="preserve"> to accomplish this,</w:t>
      </w:r>
      <w:r w:rsidR="00685C8A" w:rsidRPr="00A01843">
        <w:rPr>
          <w:b/>
          <w:bCs/>
        </w:rPr>
        <w:t xml:space="preserve"> </w:t>
      </w:r>
      <w:r w:rsidR="00685C8A" w:rsidRPr="00A01843">
        <w:t xml:space="preserve">e.g., by pre-registering the analytical </w:t>
      </w:r>
      <w:r w:rsidR="00996EFA" w:rsidRPr="00A01843">
        <w:t>decisions</w:t>
      </w:r>
      <w:r w:rsidR="00685C8A" w:rsidRPr="00A01843">
        <w:t xml:space="preserve"> and providing a documented analysis script, within the context of the SCORE project</w:t>
      </w:r>
      <w:r w:rsidR="00E8451D" w:rsidRPr="00A01843">
        <w:rPr>
          <w:rStyle w:val="EndnoteReference"/>
        </w:rPr>
        <w:endnoteReference w:id="21"/>
      </w:r>
      <w:r w:rsidR="00685C8A" w:rsidRPr="00A01843">
        <w:t>. As is perhaps often the case with social science, researchers might be left with more rather than fewer questions, but the present study hopefully can shine a light on them</w:t>
      </w:r>
      <w:r w:rsidR="007975A3" w:rsidRPr="00A01843">
        <w:t xml:space="preserve"> by emphasising the need for transparency.</w:t>
      </w:r>
    </w:p>
    <w:p w14:paraId="6B434AF6" w14:textId="590253C1" w:rsidR="001B291C" w:rsidRPr="00A01843" w:rsidRDefault="001B291C" w:rsidP="00685C8A">
      <w:pPr>
        <w:pStyle w:val="Heading1"/>
        <w:spacing w:line="480" w:lineRule="auto"/>
      </w:pPr>
      <w:r w:rsidRPr="00A01843">
        <w:t>Acknowledgements</w:t>
      </w:r>
    </w:p>
    <w:p w14:paraId="547D5DF0" w14:textId="4323C956" w:rsidR="001B291C" w:rsidRPr="00A01843" w:rsidRDefault="00685C8A" w:rsidP="00685C8A">
      <w:r w:rsidRPr="00A01843">
        <w:t>The authors approached the ‘data finder’ for this replication, but did not receive a response, so that person cannot be named, though thanked here.</w:t>
      </w:r>
      <w:r w:rsidR="001F745A" w:rsidRPr="00A01843">
        <w:t xml:space="preserve"> </w:t>
      </w:r>
      <w:r w:rsidRPr="00A01843">
        <w:t>The authors thank</w:t>
      </w:r>
      <w:r w:rsidR="00851E61" w:rsidRPr="00A01843">
        <w:t xml:space="preserve"> the </w:t>
      </w:r>
      <w:r w:rsidR="00851E61" w:rsidRPr="00A01843">
        <w:lastRenderedPageBreak/>
        <w:t xml:space="preserve">SCORE project team at the </w:t>
      </w:r>
      <w:proofErr w:type="spellStart"/>
      <w:r w:rsidR="00851E61" w:rsidRPr="00A01843">
        <w:t>Center</w:t>
      </w:r>
      <w:proofErr w:type="spellEnd"/>
      <w:r w:rsidR="00851E61" w:rsidRPr="00A01843">
        <w:t xml:space="preserve"> for Open Science</w:t>
      </w:r>
      <w:r w:rsidR="001F745A" w:rsidRPr="00A01843">
        <w:t xml:space="preserve"> </w:t>
      </w:r>
      <w:r w:rsidR="00D463C3" w:rsidRPr="00A01843">
        <w:t>and the reviewers of the preregistration</w:t>
      </w:r>
      <w:r w:rsidR="001F745A" w:rsidRPr="00A01843">
        <w:t>.</w:t>
      </w:r>
    </w:p>
    <w:p w14:paraId="18CDC2E4" w14:textId="7CD95157" w:rsidR="00C70C36" w:rsidRPr="00A01843" w:rsidRDefault="00C70C36" w:rsidP="003C47C1">
      <w:pPr>
        <w:pStyle w:val="Heading1"/>
      </w:pPr>
      <w:r w:rsidRPr="00A01843">
        <w:t>References</w:t>
      </w:r>
    </w:p>
    <w:p w14:paraId="4DED6370" w14:textId="76848FC9" w:rsidR="009A6A60" w:rsidRPr="00A01843" w:rsidRDefault="009A6A60" w:rsidP="00AB14C7">
      <w:pPr>
        <w:pStyle w:val="References"/>
        <w:divId w:val="2072804619"/>
      </w:pPr>
      <w:proofErr w:type="spellStart"/>
      <w:r w:rsidRPr="00A01843">
        <w:t>Auspurg</w:t>
      </w:r>
      <w:proofErr w:type="spellEnd"/>
      <w:r w:rsidRPr="00A01843">
        <w:t xml:space="preserve">, K., &amp; </w:t>
      </w:r>
      <w:proofErr w:type="spellStart"/>
      <w:r w:rsidRPr="00A01843">
        <w:t>Brüderl</w:t>
      </w:r>
      <w:proofErr w:type="spellEnd"/>
      <w:r w:rsidRPr="00A01843">
        <w:t xml:space="preserve">, J. (2021). Has the credibility of the social sciences been credibly destroyed? </w:t>
      </w:r>
      <w:proofErr w:type="spellStart"/>
      <w:r w:rsidRPr="00A01843">
        <w:t>Reanalyzing</w:t>
      </w:r>
      <w:proofErr w:type="spellEnd"/>
      <w:r w:rsidRPr="00A01843">
        <w:t xml:space="preserve"> the “Many Analysts, One Data Set” project. </w:t>
      </w:r>
      <w:r w:rsidRPr="00A01843">
        <w:rPr>
          <w:i/>
          <w:iCs/>
        </w:rPr>
        <w:t>Socius</w:t>
      </w:r>
      <w:r w:rsidR="00996EFA" w:rsidRPr="00A01843">
        <w:t xml:space="preserve">, </w:t>
      </w:r>
      <w:r w:rsidR="00996EFA" w:rsidRPr="00A01843">
        <w:rPr>
          <w:i/>
          <w:iCs/>
        </w:rPr>
        <w:t>7</w:t>
      </w:r>
      <w:r w:rsidR="00996EFA" w:rsidRPr="00A01843">
        <w:t>, 1–4.</w:t>
      </w:r>
      <w:r w:rsidR="00B93613" w:rsidRPr="00A01843">
        <w:rPr>
          <w:i/>
          <w:iCs/>
        </w:rPr>
        <w:t xml:space="preserve"> </w:t>
      </w:r>
      <w:r w:rsidR="00375A36" w:rsidRPr="00A01843">
        <w:t>https://doi.org/10.1177/23780231211024421</w:t>
      </w:r>
    </w:p>
    <w:p w14:paraId="1A71A271" w14:textId="10583D0C" w:rsidR="00AB14C7" w:rsidRPr="00A01843" w:rsidRDefault="00AB14C7" w:rsidP="00AB14C7">
      <w:pPr>
        <w:pStyle w:val="References"/>
        <w:divId w:val="2072804619"/>
      </w:pPr>
      <w:r w:rsidRPr="00A01843">
        <w:rPr>
          <w:lang w:val="nl-NL"/>
        </w:rPr>
        <w:t xml:space="preserve">Bastiaansen, J. A., </w:t>
      </w:r>
      <w:proofErr w:type="spellStart"/>
      <w:r w:rsidRPr="00A01843">
        <w:rPr>
          <w:lang w:val="nl-NL"/>
        </w:rPr>
        <w:t>Kunkels</w:t>
      </w:r>
      <w:proofErr w:type="spellEnd"/>
      <w:r w:rsidRPr="00A01843">
        <w:rPr>
          <w:lang w:val="nl-NL"/>
        </w:rPr>
        <w:t xml:space="preserve">, Y. K., Blaauw, F. J., </w:t>
      </w:r>
      <w:proofErr w:type="spellStart"/>
      <w:r w:rsidRPr="00A01843">
        <w:rPr>
          <w:lang w:val="nl-NL"/>
        </w:rPr>
        <w:t>Boker</w:t>
      </w:r>
      <w:proofErr w:type="spellEnd"/>
      <w:r w:rsidRPr="00A01843">
        <w:rPr>
          <w:lang w:val="nl-NL"/>
        </w:rPr>
        <w:t xml:space="preserve">, S. M., Ceulemans, E., Chen, M., ... </w:t>
      </w:r>
      <w:r w:rsidRPr="00A01843">
        <w:t xml:space="preserve">&amp; </w:t>
      </w:r>
      <w:proofErr w:type="spellStart"/>
      <w:r w:rsidRPr="00A01843">
        <w:t>Bringmann</w:t>
      </w:r>
      <w:proofErr w:type="spellEnd"/>
      <w:r w:rsidRPr="00A01843">
        <w:t xml:space="preserve">, L. F. (2020). Time to get </w:t>
      </w:r>
      <w:proofErr w:type="gramStart"/>
      <w:r w:rsidRPr="00A01843">
        <w:t>personal?</w:t>
      </w:r>
      <w:proofErr w:type="gramEnd"/>
      <w:r w:rsidRPr="00A01843">
        <w:t xml:space="preserve"> The impact of researchers</w:t>
      </w:r>
      <w:r w:rsidR="00B93613" w:rsidRPr="00A01843">
        <w:t>’</w:t>
      </w:r>
      <w:r w:rsidRPr="00A01843">
        <w:t xml:space="preserve"> choices on the selection of treatment targets using the experience sampling methodology. </w:t>
      </w:r>
      <w:r w:rsidRPr="00A01843">
        <w:rPr>
          <w:i/>
          <w:iCs/>
        </w:rPr>
        <w:t xml:space="preserve">Journal of </w:t>
      </w:r>
      <w:r w:rsidR="00B93613" w:rsidRPr="00A01843">
        <w:rPr>
          <w:i/>
          <w:iCs/>
        </w:rPr>
        <w:t>P</w:t>
      </w:r>
      <w:r w:rsidRPr="00A01843">
        <w:rPr>
          <w:i/>
          <w:iCs/>
        </w:rPr>
        <w:t xml:space="preserve">sychosomatic </w:t>
      </w:r>
      <w:r w:rsidR="00B93613" w:rsidRPr="00A01843">
        <w:rPr>
          <w:i/>
          <w:iCs/>
        </w:rPr>
        <w:t>R</w:t>
      </w:r>
      <w:r w:rsidRPr="00A01843">
        <w:rPr>
          <w:i/>
          <w:iCs/>
        </w:rPr>
        <w:t>esearch</w:t>
      </w:r>
      <w:r w:rsidRPr="00A01843">
        <w:t xml:space="preserve">, </w:t>
      </w:r>
      <w:r w:rsidRPr="00A01843">
        <w:rPr>
          <w:i/>
          <w:iCs/>
        </w:rPr>
        <w:t>137</w:t>
      </w:r>
      <w:r w:rsidRPr="00A01843">
        <w:t>, 110211.</w:t>
      </w:r>
      <w:r w:rsidR="00375A36" w:rsidRPr="00A01843">
        <w:t xml:space="preserve"> https://doi.org/10.1016/j.jpsychores.2020.110211</w:t>
      </w:r>
    </w:p>
    <w:p w14:paraId="5448DF1A" w14:textId="497AC402" w:rsidR="009568D5" w:rsidRPr="00A01843" w:rsidRDefault="009568D5" w:rsidP="00AB14C7">
      <w:pPr>
        <w:pStyle w:val="References"/>
        <w:divId w:val="2072804619"/>
        <w:rPr>
          <w:lang w:val="nl-NL"/>
        </w:rPr>
      </w:pPr>
      <w:proofErr w:type="spellStart"/>
      <w:r w:rsidRPr="00A01843">
        <w:t>Botvinik-Nezer</w:t>
      </w:r>
      <w:proofErr w:type="spellEnd"/>
      <w:r w:rsidRPr="00A01843">
        <w:t xml:space="preserve">, R., </w:t>
      </w:r>
      <w:proofErr w:type="spellStart"/>
      <w:r w:rsidRPr="00A01843">
        <w:t>Holzmeister</w:t>
      </w:r>
      <w:proofErr w:type="spellEnd"/>
      <w:r w:rsidRPr="00A01843">
        <w:t xml:space="preserve">, F., Camerer, C. F., </w:t>
      </w:r>
      <w:proofErr w:type="spellStart"/>
      <w:r w:rsidRPr="00A01843">
        <w:t>Dreber</w:t>
      </w:r>
      <w:proofErr w:type="spellEnd"/>
      <w:r w:rsidRPr="00A01843">
        <w:t xml:space="preserve">, A., Huber, J., </w:t>
      </w:r>
      <w:proofErr w:type="spellStart"/>
      <w:r w:rsidRPr="00A01843">
        <w:t>Johannesson</w:t>
      </w:r>
      <w:proofErr w:type="spellEnd"/>
      <w:r w:rsidRPr="00A01843">
        <w:t xml:space="preserve">, M., </w:t>
      </w:r>
      <w:proofErr w:type="spellStart"/>
      <w:r w:rsidRPr="00A01843">
        <w:t>Kirchler</w:t>
      </w:r>
      <w:proofErr w:type="spellEnd"/>
      <w:r w:rsidRPr="00A01843">
        <w:t xml:space="preserve">, M., </w:t>
      </w:r>
      <w:proofErr w:type="spellStart"/>
      <w:r w:rsidRPr="00A01843">
        <w:t>Iwanir</w:t>
      </w:r>
      <w:proofErr w:type="spellEnd"/>
      <w:r w:rsidRPr="00A01843">
        <w:t xml:space="preserve">, R., Mumford, J. A., Adcock, R. A., </w:t>
      </w:r>
      <w:proofErr w:type="spellStart"/>
      <w:r w:rsidRPr="00A01843">
        <w:t>Avesani</w:t>
      </w:r>
      <w:proofErr w:type="spellEnd"/>
      <w:r w:rsidRPr="00A01843">
        <w:t xml:space="preserve">, P., </w:t>
      </w:r>
      <w:proofErr w:type="spellStart"/>
      <w:r w:rsidRPr="00A01843">
        <w:t>Baczkowski</w:t>
      </w:r>
      <w:proofErr w:type="spellEnd"/>
      <w:r w:rsidRPr="00A01843">
        <w:t xml:space="preserve">, B. M., </w:t>
      </w:r>
      <w:proofErr w:type="spellStart"/>
      <w:r w:rsidRPr="00A01843">
        <w:t>Bajracharya</w:t>
      </w:r>
      <w:proofErr w:type="spellEnd"/>
      <w:r w:rsidRPr="00A01843">
        <w:t xml:space="preserve">, A., Bakst, L., Ball, S., </w:t>
      </w:r>
      <w:proofErr w:type="spellStart"/>
      <w:r w:rsidRPr="00A01843">
        <w:t>Barilari</w:t>
      </w:r>
      <w:proofErr w:type="spellEnd"/>
      <w:r w:rsidRPr="00A01843">
        <w:t xml:space="preserve">, M., </w:t>
      </w:r>
      <w:proofErr w:type="spellStart"/>
      <w:r w:rsidRPr="00A01843">
        <w:t>Bault</w:t>
      </w:r>
      <w:proofErr w:type="spellEnd"/>
      <w:r w:rsidRPr="00A01843">
        <w:t xml:space="preserve">, N., Beaton, D., </w:t>
      </w:r>
      <w:proofErr w:type="spellStart"/>
      <w:r w:rsidRPr="00A01843">
        <w:t>Beitner</w:t>
      </w:r>
      <w:proofErr w:type="spellEnd"/>
      <w:r w:rsidRPr="00A01843">
        <w:t xml:space="preserve">, J., Benoit, R. G., … &amp; Schonberg, T. (2020). Variability in the analysis of a single neuroimaging dataset by many teams. </w:t>
      </w:r>
      <w:r w:rsidRPr="00A01843">
        <w:rPr>
          <w:i/>
          <w:iCs/>
          <w:lang w:val="nl-NL"/>
        </w:rPr>
        <w:t>Nature</w:t>
      </w:r>
      <w:r w:rsidRPr="00A01843">
        <w:rPr>
          <w:lang w:val="nl-NL"/>
        </w:rPr>
        <w:t xml:space="preserve">, </w:t>
      </w:r>
      <w:r w:rsidRPr="00A01843">
        <w:rPr>
          <w:i/>
          <w:iCs/>
          <w:lang w:val="nl-NL"/>
        </w:rPr>
        <w:t>582</w:t>
      </w:r>
      <w:r w:rsidRPr="00A01843">
        <w:rPr>
          <w:lang w:val="nl-NL"/>
        </w:rPr>
        <w:t xml:space="preserve">(7810), 84–88. </w:t>
      </w:r>
      <w:proofErr w:type="gramStart"/>
      <w:r w:rsidRPr="00A01843">
        <w:rPr>
          <w:lang w:val="nl-NL"/>
        </w:rPr>
        <w:t>https://doi.org/10.1038/s41586-020-2314-9</w:t>
      </w:r>
      <w:proofErr w:type="gramEnd"/>
      <w:r w:rsidRPr="00A01843">
        <w:rPr>
          <w:lang w:val="nl-NL"/>
        </w:rPr>
        <w:t xml:space="preserve"> </w:t>
      </w:r>
    </w:p>
    <w:p w14:paraId="60C038D8" w14:textId="742E2A4D" w:rsidR="00AB14C7" w:rsidRPr="00A01843" w:rsidRDefault="00AB14C7" w:rsidP="00AB14C7">
      <w:pPr>
        <w:pStyle w:val="References"/>
        <w:divId w:val="2072804619"/>
      </w:pPr>
      <w:r w:rsidRPr="00A01843">
        <w:rPr>
          <w:lang w:val="nl-NL"/>
        </w:rPr>
        <w:t xml:space="preserve">Brandt, M. J., IJzerman, H., Dijksterhuis, A., </w:t>
      </w:r>
      <w:proofErr w:type="spellStart"/>
      <w:r w:rsidRPr="00A01843">
        <w:rPr>
          <w:lang w:val="nl-NL"/>
        </w:rPr>
        <w:t>Farach</w:t>
      </w:r>
      <w:proofErr w:type="spellEnd"/>
      <w:r w:rsidRPr="00A01843">
        <w:rPr>
          <w:lang w:val="nl-NL"/>
        </w:rPr>
        <w:t xml:space="preserve">, F. J., </w:t>
      </w:r>
      <w:proofErr w:type="spellStart"/>
      <w:r w:rsidRPr="00A01843">
        <w:rPr>
          <w:lang w:val="nl-NL"/>
        </w:rPr>
        <w:t>Geller</w:t>
      </w:r>
      <w:proofErr w:type="spellEnd"/>
      <w:r w:rsidRPr="00A01843">
        <w:rPr>
          <w:lang w:val="nl-NL"/>
        </w:rPr>
        <w:t xml:space="preserve">, J., </w:t>
      </w:r>
      <w:proofErr w:type="spellStart"/>
      <w:r w:rsidRPr="00A01843">
        <w:rPr>
          <w:lang w:val="nl-NL"/>
        </w:rPr>
        <w:t>Giner-Sorolla</w:t>
      </w:r>
      <w:proofErr w:type="spellEnd"/>
      <w:r w:rsidRPr="00A01843">
        <w:rPr>
          <w:lang w:val="nl-NL"/>
        </w:rPr>
        <w:t xml:space="preserve">, R., ... </w:t>
      </w:r>
      <w:r w:rsidRPr="00A01843">
        <w:t xml:space="preserve">&amp; Van 't Veer, A. (2014). The replication recipe: What makes for a convincing replication? </w:t>
      </w:r>
      <w:r w:rsidRPr="00A01843">
        <w:rPr>
          <w:i/>
          <w:iCs/>
        </w:rPr>
        <w:t>Journal of Experimental Social Psychology</w:t>
      </w:r>
      <w:r w:rsidRPr="00A01843">
        <w:t xml:space="preserve">, </w:t>
      </w:r>
      <w:r w:rsidRPr="00A01843">
        <w:rPr>
          <w:i/>
          <w:iCs/>
        </w:rPr>
        <w:t>50</w:t>
      </w:r>
      <w:r w:rsidRPr="00A01843">
        <w:t>, 217</w:t>
      </w:r>
      <w:r w:rsidRPr="00A01843">
        <w:rPr>
          <w:shd w:val="clear" w:color="auto" w:fill="EFEFF0"/>
        </w:rPr>
        <w:t>–</w:t>
      </w:r>
      <w:r w:rsidRPr="00A01843">
        <w:t>224.</w:t>
      </w:r>
      <w:r w:rsidR="00375A36" w:rsidRPr="00A01843">
        <w:t xml:space="preserve"> https://doi.org/10.1016/j.jesp.2013.10.005</w:t>
      </w:r>
    </w:p>
    <w:p w14:paraId="495193FB" w14:textId="27ED7270" w:rsidR="00AB14C7" w:rsidRPr="00A01843" w:rsidRDefault="00AB14C7" w:rsidP="00AB14C7">
      <w:pPr>
        <w:pStyle w:val="References"/>
        <w:divId w:val="2072804619"/>
        <w:rPr>
          <w:lang w:val="nl-NL"/>
        </w:rPr>
      </w:pPr>
      <w:proofErr w:type="spellStart"/>
      <w:r w:rsidRPr="00A01843">
        <w:rPr>
          <w:lang w:val="nl-NL"/>
        </w:rPr>
        <w:t>Breznau</w:t>
      </w:r>
      <w:proofErr w:type="spellEnd"/>
      <w:r w:rsidRPr="00A01843">
        <w:rPr>
          <w:lang w:val="nl-NL"/>
        </w:rPr>
        <w:t xml:space="preserve">, N., Rinke, E. M., </w:t>
      </w:r>
      <w:proofErr w:type="spellStart"/>
      <w:r w:rsidRPr="00A01843">
        <w:rPr>
          <w:lang w:val="nl-NL"/>
        </w:rPr>
        <w:t>Wuttke</w:t>
      </w:r>
      <w:proofErr w:type="spellEnd"/>
      <w:r w:rsidRPr="00A01843">
        <w:rPr>
          <w:lang w:val="nl-NL"/>
        </w:rPr>
        <w:t>, A., Adem, M., Adriaans, J., Alvarez-</w:t>
      </w:r>
      <w:proofErr w:type="spellStart"/>
      <w:r w:rsidRPr="00A01843">
        <w:rPr>
          <w:lang w:val="nl-NL"/>
        </w:rPr>
        <w:t>Benjumea</w:t>
      </w:r>
      <w:proofErr w:type="spellEnd"/>
      <w:r w:rsidRPr="00A01843">
        <w:rPr>
          <w:lang w:val="nl-NL"/>
        </w:rPr>
        <w:t xml:space="preserve">, A., ... </w:t>
      </w:r>
      <w:r w:rsidRPr="00A01843">
        <w:t xml:space="preserve">&amp; van der Linden, M. (2021). Observing </w:t>
      </w:r>
      <w:r w:rsidR="00375A36" w:rsidRPr="00A01843">
        <w:t>m</w:t>
      </w:r>
      <w:r w:rsidRPr="00A01843">
        <w:t xml:space="preserve">any </w:t>
      </w:r>
      <w:r w:rsidR="00375A36" w:rsidRPr="00A01843">
        <w:t>r</w:t>
      </w:r>
      <w:r w:rsidRPr="00A01843">
        <w:t xml:space="preserve">esearchers using the </w:t>
      </w:r>
      <w:r w:rsidR="00375A36" w:rsidRPr="00A01843">
        <w:t>s</w:t>
      </w:r>
      <w:r w:rsidRPr="00A01843">
        <w:t xml:space="preserve">ame </w:t>
      </w:r>
      <w:r w:rsidR="00375A36" w:rsidRPr="00A01843">
        <w:t>d</w:t>
      </w:r>
      <w:r w:rsidRPr="00A01843">
        <w:t xml:space="preserve">ata and </w:t>
      </w:r>
      <w:r w:rsidR="00375A36" w:rsidRPr="00A01843">
        <w:t>h</w:t>
      </w:r>
      <w:r w:rsidRPr="00A01843">
        <w:t xml:space="preserve">ypothesis </w:t>
      </w:r>
      <w:r w:rsidR="00375A36" w:rsidRPr="00A01843">
        <w:t>r</w:t>
      </w:r>
      <w:r w:rsidRPr="00A01843">
        <w:t xml:space="preserve">eveals a </w:t>
      </w:r>
      <w:r w:rsidR="00375A36" w:rsidRPr="00A01843">
        <w:t>h</w:t>
      </w:r>
      <w:r w:rsidRPr="00A01843">
        <w:t xml:space="preserve">idden </w:t>
      </w:r>
      <w:r w:rsidR="00375A36" w:rsidRPr="00A01843">
        <w:t>u</w:t>
      </w:r>
      <w:r w:rsidRPr="00A01843">
        <w:t xml:space="preserve">niverse of </w:t>
      </w:r>
      <w:r w:rsidR="00375A36" w:rsidRPr="00A01843">
        <w:t>d</w:t>
      </w:r>
      <w:r w:rsidRPr="00A01843">
        <w:t xml:space="preserve">ata </w:t>
      </w:r>
      <w:r w:rsidR="00375A36" w:rsidRPr="00A01843">
        <w:t>a</w:t>
      </w:r>
      <w:r w:rsidRPr="00A01843">
        <w:t>nalysis.</w:t>
      </w:r>
      <w:r w:rsidR="00E805D0" w:rsidRPr="00A01843">
        <w:t xml:space="preserve"> </w:t>
      </w:r>
      <w:proofErr w:type="spellStart"/>
      <w:r w:rsidR="00E805D0" w:rsidRPr="00A01843">
        <w:rPr>
          <w:lang w:val="nl-NL"/>
        </w:rPr>
        <w:t>MetaArXiv</w:t>
      </w:r>
      <w:proofErr w:type="spellEnd"/>
      <w:r w:rsidR="00E805D0" w:rsidRPr="00A01843">
        <w:rPr>
          <w:lang w:val="nl-NL"/>
        </w:rPr>
        <w:t xml:space="preserve">. </w:t>
      </w:r>
      <w:proofErr w:type="gramStart"/>
      <w:r w:rsidR="009568D5" w:rsidRPr="00A01843">
        <w:rPr>
          <w:lang w:val="nl-NL"/>
        </w:rPr>
        <w:t>https://doi.org/10.31222/osf.io/cd5j9</w:t>
      </w:r>
      <w:proofErr w:type="gramEnd"/>
    </w:p>
    <w:p w14:paraId="59A6D208" w14:textId="7129AE9C" w:rsidR="00AB14C7" w:rsidRPr="00A01843" w:rsidRDefault="00AB14C7" w:rsidP="00AB14C7">
      <w:pPr>
        <w:pStyle w:val="References"/>
        <w:divId w:val="2072804619"/>
      </w:pPr>
      <w:proofErr w:type="spellStart"/>
      <w:r w:rsidRPr="00A01843">
        <w:rPr>
          <w:lang w:val="nl-NL"/>
        </w:rPr>
        <w:t>Christensen</w:t>
      </w:r>
      <w:proofErr w:type="spellEnd"/>
      <w:r w:rsidRPr="00A01843">
        <w:rPr>
          <w:lang w:val="nl-NL"/>
        </w:rPr>
        <w:t>, G.</w:t>
      </w:r>
      <w:r w:rsidR="009568D5" w:rsidRPr="00A01843">
        <w:rPr>
          <w:lang w:val="nl-NL"/>
        </w:rPr>
        <w:t>,</w:t>
      </w:r>
      <w:r w:rsidRPr="00A01843">
        <w:rPr>
          <w:shd w:val="clear" w:color="auto" w:fill="EFEFF0"/>
          <w:lang w:val="nl-NL"/>
        </w:rPr>
        <w:t> &amp; </w:t>
      </w:r>
      <w:r w:rsidRPr="00A01843">
        <w:rPr>
          <w:lang w:val="nl-NL"/>
        </w:rPr>
        <w:t>Miguel, E.</w:t>
      </w:r>
      <w:r w:rsidRPr="00A01843">
        <w:rPr>
          <w:shd w:val="clear" w:color="auto" w:fill="EFEFF0"/>
          <w:lang w:val="nl-NL"/>
        </w:rPr>
        <w:t> (</w:t>
      </w:r>
      <w:r w:rsidRPr="00A01843">
        <w:rPr>
          <w:lang w:val="nl-NL"/>
        </w:rPr>
        <w:t>2018</w:t>
      </w:r>
      <w:r w:rsidRPr="00A01843">
        <w:rPr>
          <w:shd w:val="clear" w:color="auto" w:fill="EFEFF0"/>
          <w:lang w:val="nl-NL"/>
        </w:rPr>
        <w:t>)</w:t>
      </w:r>
      <w:r w:rsidR="009568D5" w:rsidRPr="00A01843">
        <w:rPr>
          <w:shd w:val="clear" w:color="auto" w:fill="EFEFF0"/>
          <w:lang w:val="nl-NL"/>
        </w:rPr>
        <w:t>.</w:t>
      </w:r>
      <w:r w:rsidRPr="00A01843">
        <w:rPr>
          <w:shd w:val="clear" w:color="auto" w:fill="EFEFF0"/>
          <w:lang w:val="nl-NL"/>
        </w:rPr>
        <w:t> </w:t>
      </w:r>
      <w:r w:rsidRPr="00A01843">
        <w:t>Transparency, reproducibility, and the credibility of economics research</w:t>
      </w:r>
      <w:r w:rsidRPr="00A01843">
        <w:rPr>
          <w:shd w:val="clear" w:color="auto" w:fill="EFEFF0"/>
        </w:rPr>
        <w:t>. </w:t>
      </w:r>
      <w:r w:rsidRPr="00A01843">
        <w:rPr>
          <w:i/>
          <w:iCs/>
        </w:rPr>
        <w:t>Journal of Economic Literature</w:t>
      </w:r>
      <w:r w:rsidRPr="00A01843">
        <w:rPr>
          <w:shd w:val="clear" w:color="auto" w:fill="EFEFF0"/>
        </w:rPr>
        <w:t>, </w:t>
      </w:r>
      <w:r w:rsidRPr="00A01843">
        <w:rPr>
          <w:i/>
          <w:iCs/>
        </w:rPr>
        <w:t>56</w:t>
      </w:r>
      <w:r w:rsidRPr="00A01843">
        <w:rPr>
          <w:shd w:val="clear" w:color="auto" w:fill="EFEFF0"/>
        </w:rPr>
        <w:t>(</w:t>
      </w:r>
      <w:r w:rsidRPr="00A01843">
        <w:t>3</w:t>
      </w:r>
      <w:r w:rsidRPr="00A01843">
        <w:rPr>
          <w:shd w:val="clear" w:color="auto" w:fill="EFEFF0"/>
        </w:rPr>
        <w:t>), </w:t>
      </w:r>
      <w:r w:rsidRPr="00A01843">
        <w:t>920</w:t>
      </w:r>
      <w:r w:rsidRPr="00A01843">
        <w:rPr>
          <w:shd w:val="clear" w:color="auto" w:fill="EFEFF0"/>
        </w:rPr>
        <w:t>–</w:t>
      </w:r>
      <w:r w:rsidRPr="00A01843">
        <w:t>980</w:t>
      </w:r>
      <w:r w:rsidRPr="00A01843">
        <w:rPr>
          <w:shd w:val="clear" w:color="auto" w:fill="EFEFF0"/>
        </w:rPr>
        <w:t>.</w:t>
      </w:r>
      <w:r w:rsidR="00B93613" w:rsidRPr="00A01843">
        <w:rPr>
          <w:shd w:val="clear" w:color="auto" w:fill="EFEFF0"/>
        </w:rPr>
        <w:t xml:space="preserve"> </w:t>
      </w:r>
      <w:r w:rsidR="00E805D0" w:rsidRPr="00A01843">
        <w:rPr>
          <w:shd w:val="clear" w:color="auto" w:fill="EFEFF0"/>
        </w:rPr>
        <w:t>https://</w:t>
      </w:r>
      <w:r w:rsidR="00E805D0" w:rsidRPr="00A01843">
        <w:t xml:space="preserve"> </w:t>
      </w:r>
      <w:r w:rsidR="00E805D0" w:rsidRPr="00A01843">
        <w:rPr>
          <w:shd w:val="clear" w:color="auto" w:fill="EFEFF0"/>
        </w:rPr>
        <w:t>https://doi.org/10.1257/jel.20171350</w:t>
      </w:r>
    </w:p>
    <w:p w14:paraId="6FD4728B" w14:textId="0004D2F3" w:rsidR="00AB14C7" w:rsidRPr="00A01843" w:rsidRDefault="00AB14C7" w:rsidP="00AB14C7">
      <w:pPr>
        <w:pStyle w:val="References"/>
        <w:divId w:val="2072804619"/>
        <w:rPr>
          <w:shd w:val="clear" w:color="auto" w:fill="EFEFF0"/>
        </w:rPr>
      </w:pPr>
      <w:r w:rsidRPr="00A01843">
        <w:t>Clemens, M.A.</w:t>
      </w:r>
      <w:r w:rsidR="009568D5" w:rsidRPr="00A01843">
        <w:t>,</w:t>
      </w:r>
      <w:r w:rsidRPr="00A01843">
        <w:rPr>
          <w:shd w:val="clear" w:color="auto" w:fill="EFEFF0"/>
        </w:rPr>
        <w:t> &amp; </w:t>
      </w:r>
      <w:r w:rsidRPr="00A01843">
        <w:t>Hunt, J.</w:t>
      </w:r>
      <w:r w:rsidRPr="00A01843">
        <w:rPr>
          <w:shd w:val="clear" w:color="auto" w:fill="EFEFF0"/>
        </w:rPr>
        <w:t> (</w:t>
      </w:r>
      <w:r w:rsidRPr="00A01843">
        <w:t>2019</w:t>
      </w:r>
      <w:r w:rsidRPr="00A01843">
        <w:rPr>
          <w:shd w:val="clear" w:color="auto" w:fill="EFEFF0"/>
        </w:rPr>
        <w:t>)</w:t>
      </w:r>
      <w:r w:rsidR="009568D5" w:rsidRPr="00A01843">
        <w:rPr>
          <w:shd w:val="clear" w:color="auto" w:fill="EFEFF0"/>
        </w:rPr>
        <w:t>.</w:t>
      </w:r>
      <w:r w:rsidRPr="00A01843">
        <w:rPr>
          <w:shd w:val="clear" w:color="auto" w:fill="EFEFF0"/>
        </w:rPr>
        <w:t> </w:t>
      </w:r>
      <w:r w:rsidRPr="00A01843">
        <w:t xml:space="preserve">The </w:t>
      </w:r>
      <w:proofErr w:type="spellStart"/>
      <w:r w:rsidRPr="00A01843">
        <w:t>labor</w:t>
      </w:r>
      <w:proofErr w:type="spellEnd"/>
      <w:r w:rsidRPr="00A01843">
        <w:t xml:space="preserve"> market effects of refugee waves: reconciling conflicting results</w:t>
      </w:r>
      <w:r w:rsidRPr="00A01843">
        <w:rPr>
          <w:shd w:val="clear" w:color="auto" w:fill="EFEFF0"/>
        </w:rPr>
        <w:t>. </w:t>
      </w:r>
      <w:r w:rsidRPr="00A01843">
        <w:rPr>
          <w:i/>
          <w:iCs/>
        </w:rPr>
        <w:t>ILR Review</w:t>
      </w:r>
      <w:r w:rsidRPr="00A01843">
        <w:rPr>
          <w:shd w:val="clear" w:color="auto" w:fill="EFEFF0"/>
        </w:rPr>
        <w:t>, </w:t>
      </w:r>
      <w:r w:rsidRPr="00A01843">
        <w:rPr>
          <w:i/>
          <w:iCs/>
        </w:rPr>
        <w:t>72</w:t>
      </w:r>
      <w:r w:rsidRPr="00A01843">
        <w:rPr>
          <w:shd w:val="clear" w:color="auto" w:fill="EFEFF0"/>
        </w:rPr>
        <w:t>(</w:t>
      </w:r>
      <w:r w:rsidRPr="00A01843">
        <w:t>4</w:t>
      </w:r>
      <w:r w:rsidRPr="00A01843">
        <w:rPr>
          <w:shd w:val="clear" w:color="auto" w:fill="EFEFF0"/>
        </w:rPr>
        <w:t>), </w:t>
      </w:r>
      <w:r w:rsidRPr="00A01843">
        <w:t>818</w:t>
      </w:r>
      <w:r w:rsidRPr="00A01843">
        <w:rPr>
          <w:shd w:val="clear" w:color="auto" w:fill="EFEFF0"/>
        </w:rPr>
        <w:t>–</w:t>
      </w:r>
      <w:r w:rsidRPr="00A01843">
        <w:t>857</w:t>
      </w:r>
      <w:r w:rsidRPr="00A01843">
        <w:rPr>
          <w:shd w:val="clear" w:color="auto" w:fill="EFEFF0"/>
        </w:rPr>
        <w:t>.</w:t>
      </w:r>
      <w:r w:rsidR="00BC7F82" w:rsidRPr="00A01843">
        <w:rPr>
          <w:shd w:val="clear" w:color="auto" w:fill="EFEFF0"/>
        </w:rPr>
        <w:t xml:space="preserve"> https://doi.org/10.1177%2F0019793918824597</w:t>
      </w:r>
    </w:p>
    <w:p w14:paraId="443B1F14" w14:textId="2BF1023A" w:rsidR="00AB14C7" w:rsidRPr="00A01843" w:rsidRDefault="00AB14C7" w:rsidP="00AB14C7">
      <w:pPr>
        <w:pStyle w:val="References"/>
        <w:divId w:val="2072804619"/>
        <w:rPr>
          <w:shd w:val="clear" w:color="auto" w:fill="FFFFFF"/>
        </w:rPr>
      </w:pPr>
      <w:proofErr w:type="spellStart"/>
      <w:r w:rsidRPr="00A01843">
        <w:rPr>
          <w:shd w:val="clear" w:color="auto" w:fill="FFFFFF"/>
        </w:rPr>
        <w:lastRenderedPageBreak/>
        <w:t>Dedrick</w:t>
      </w:r>
      <w:proofErr w:type="spellEnd"/>
      <w:r w:rsidRPr="00A01843">
        <w:rPr>
          <w:shd w:val="clear" w:color="auto" w:fill="FFFFFF"/>
        </w:rPr>
        <w:t xml:space="preserve">, R. F., Ferron, J. M., Hess, M. R., </w:t>
      </w:r>
      <w:proofErr w:type="spellStart"/>
      <w:r w:rsidRPr="00A01843">
        <w:rPr>
          <w:shd w:val="clear" w:color="auto" w:fill="FFFFFF"/>
        </w:rPr>
        <w:t>Hogarty</w:t>
      </w:r>
      <w:proofErr w:type="spellEnd"/>
      <w:r w:rsidRPr="00A01843">
        <w:rPr>
          <w:shd w:val="clear" w:color="auto" w:fill="FFFFFF"/>
        </w:rPr>
        <w:t xml:space="preserve">, K. Y., </w:t>
      </w:r>
      <w:proofErr w:type="spellStart"/>
      <w:r w:rsidRPr="00A01843">
        <w:rPr>
          <w:shd w:val="clear" w:color="auto" w:fill="FFFFFF"/>
        </w:rPr>
        <w:t>Kromrey</w:t>
      </w:r>
      <w:proofErr w:type="spellEnd"/>
      <w:r w:rsidRPr="00A01843">
        <w:rPr>
          <w:shd w:val="clear" w:color="auto" w:fill="FFFFFF"/>
        </w:rPr>
        <w:t xml:space="preserve">, J. D., Lang, T. R., ... &amp; Lee, R. S. (2009). Multilevel </w:t>
      </w:r>
      <w:proofErr w:type="spellStart"/>
      <w:r w:rsidRPr="00A01843">
        <w:rPr>
          <w:shd w:val="clear" w:color="auto" w:fill="FFFFFF"/>
        </w:rPr>
        <w:t>modeling</w:t>
      </w:r>
      <w:proofErr w:type="spellEnd"/>
      <w:r w:rsidRPr="00A01843">
        <w:rPr>
          <w:shd w:val="clear" w:color="auto" w:fill="FFFFFF"/>
        </w:rPr>
        <w:t>: A review of methodological issues and applications. </w:t>
      </w:r>
      <w:r w:rsidRPr="00A01843">
        <w:rPr>
          <w:i/>
          <w:iCs/>
        </w:rPr>
        <w:t>Review of Educational Research</w:t>
      </w:r>
      <w:r w:rsidRPr="00A01843">
        <w:rPr>
          <w:shd w:val="clear" w:color="auto" w:fill="FFFFFF"/>
        </w:rPr>
        <w:t>, </w:t>
      </w:r>
      <w:r w:rsidRPr="00A01843">
        <w:rPr>
          <w:i/>
          <w:iCs/>
        </w:rPr>
        <w:t>79</w:t>
      </w:r>
      <w:r w:rsidRPr="00A01843">
        <w:rPr>
          <w:shd w:val="clear" w:color="auto" w:fill="FFFFFF"/>
        </w:rPr>
        <w:t>(1), 69</w:t>
      </w:r>
      <w:r w:rsidR="009568D5" w:rsidRPr="00A01843">
        <w:rPr>
          <w:shd w:val="clear" w:color="auto" w:fill="EFEFF0"/>
        </w:rPr>
        <w:t>–</w:t>
      </w:r>
      <w:r w:rsidRPr="00A01843">
        <w:rPr>
          <w:shd w:val="clear" w:color="auto" w:fill="FFFFFF"/>
        </w:rPr>
        <w:t>102.</w:t>
      </w:r>
      <w:r w:rsidR="00BC7F82" w:rsidRPr="00A01843">
        <w:rPr>
          <w:shd w:val="clear" w:color="auto" w:fill="FFFFFF"/>
        </w:rPr>
        <w:t xml:space="preserve"> https://doi.org/10.3102%2F0034654308325581</w:t>
      </w:r>
    </w:p>
    <w:p w14:paraId="2B24215A" w14:textId="14DCA271" w:rsidR="00AB14C7" w:rsidRPr="00A01843" w:rsidRDefault="00AB14C7" w:rsidP="00AB14C7">
      <w:pPr>
        <w:pStyle w:val="References"/>
        <w:divId w:val="2072804619"/>
      </w:pPr>
      <w:r w:rsidRPr="00A01843">
        <w:t xml:space="preserve">Del Giudice, M., &amp; </w:t>
      </w:r>
      <w:proofErr w:type="spellStart"/>
      <w:r w:rsidRPr="00A01843">
        <w:t>Gangestad</w:t>
      </w:r>
      <w:proofErr w:type="spellEnd"/>
      <w:r w:rsidRPr="00A01843">
        <w:t xml:space="preserve">, S. W. (2021). A </w:t>
      </w:r>
      <w:proofErr w:type="spellStart"/>
      <w:r w:rsidRPr="00A01843">
        <w:t>traveler’s</w:t>
      </w:r>
      <w:proofErr w:type="spellEnd"/>
      <w:r w:rsidRPr="00A01843">
        <w:t xml:space="preserve"> guide to the multiverse: Promises, pitfalls, and a framework for the evaluation of analytic decisions. </w:t>
      </w:r>
      <w:r w:rsidRPr="00A01843">
        <w:rPr>
          <w:i/>
          <w:iCs/>
        </w:rPr>
        <w:t>Advances in Methods and Practices in Psychological Science</w:t>
      </w:r>
      <w:r w:rsidRPr="00A01843">
        <w:t xml:space="preserve">, </w:t>
      </w:r>
      <w:r w:rsidRPr="00A01843">
        <w:rPr>
          <w:i/>
          <w:iCs/>
        </w:rPr>
        <w:t>4</w:t>
      </w:r>
      <w:r w:rsidRPr="00A01843">
        <w:t xml:space="preserve">(1), </w:t>
      </w:r>
      <w:r w:rsidR="009568D5" w:rsidRPr="00A01843">
        <w:t>1</w:t>
      </w:r>
      <w:r w:rsidR="009568D5" w:rsidRPr="00A01843">
        <w:rPr>
          <w:shd w:val="clear" w:color="auto" w:fill="EFEFF0"/>
        </w:rPr>
        <w:t>–</w:t>
      </w:r>
      <w:r w:rsidR="009568D5" w:rsidRPr="00A01843">
        <w:t xml:space="preserve">15. </w:t>
      </w:r>
      <w:r w:rsidR="009568D5" w:rsidRPr="00A01843">
        <w:rPr>
          <w:shd w:val="clear" w:color="auto" w:fill="FFFFFF"/>
        </w:rPr>
        <w:t>https://doi.org/10.1177/2515245920954925</w:t>
      </w:r>
    </w:p>
    <w:p w14:paraId="2420406E" w14:textId="065DD2DA" w:rsidR="00AB14C7" w:rsidRPr="00A01843" w:rsidRDefault="00AB14C7" w:rsidP="00AB14C7">
      <w:pPr>
        <w:pStyle w:val="References"/>
        <w:divId w:val="2072804619"/>
        <w:rPr>
          <w:shd w:val="clear" w:color="auto" w:fill="FFFFFF"/>
        </w:rPr>
      </w:pPr>
      <w:r w:rsidRPr="00A01843">
        <w:rPr>
          <w:shd w:val="clear" w:color="auto" w:fill="FFFFFF"/>
          <w:lang w:val="nl-NL"/>
        </w:rPr>
        <w:t xml:space="preserve">Drent, M., </w:t>
      </w:r>
      <w:proofErr w:type="spellStart"/>
      <w:r w:rsidRPr="00A01843">
        <w:rPr>
          <w:shd w:val="clear" w:color="auto" w:fill="FFFFFF"/>
          <w:lang w:val="nl-NL"/>
        </w:rPr>
        <w:t>Meelissen</w:t>
      </w:r>
      <w:proofErr w:type="spellEnd"/>
      <w:r w:rsidRPr="00A01843">
        <w:rPr>
          <w:shd w:val="clear" w:color="auto" w:fill="FFFFFF"/>
          <w:lang w:val="nl-NL"/>
        </w:rPr>
        <w:t xml:space="preserve">, M. R., &amp; van der Kleij, F. M. (2013). </w:t>
      </w:r>
      <w:r w:rsidRPr="00A01843">
        <w:rPr>
          <w:shd w:val="clear" w:color="auto" w:fill="FFFFFF"/>
        </w:rPr>
        <w:t>The contribution of TIMSS to the link between school and classroom factors and student achievement. </w:t>
      </w:r>
      <w:r w:rsidRPr="00A01843">
        <w:rPr>
          <w:i/>
          <w:iCs/>
          <w:shd w:val="clear" w:color="auto" w:fill="FFFFFF"/>
        </w:rPr>
        <w:t xml:space="preserve">Journal of </w:t>
      </w:r>
      <w:r w:rsidR="009568D5" w:rsidRPr="00A01843">
        <w:rPr>
          <w:i/>
          <w:iCs/>
          <w:shd w:val="clear" w:color="auto" w:fill="FFFFFF"/>
        </w:rPr>
        <w:t>C</w:t>
      </w:r>
      <w:r w:rsidRPr="00A01843">
        <w:rPr>
          <w:i/>
          <w:iCs/>
          <w:shd w:val="clear" w:color="auto" w:fill="FFFFFF"/>
        </w:rPr>
        <w:t xml:space="preserve">urriculum </w:t>
      </w:r>
      <w:r w:rsidR="009568D5" w:rsidRPr="00A01843">
        <w:rPr>
          <w:i/>
          <w:iCs/>
          <w:shd w:val="clear" w:color="auto" w:fill="FFFFFF"/>
        </w:rPr>
        <w:t>S</w:t>
      </w:r>
      <w:r w:rsidRPr="00A01843">
        <w:rPr>
          <w:i/>
          <w:iCs/>
          <w:shd w:val="clear" w:color="auto" w:fill="FFFFFF"/>
        </w:rPr>
        <w:t>tudies</w:t>
      </w:r>
      <w:r w:rsidRPr="00A01843">
        <w:rPr>
          <w:shd w:val="clear" w:color="auto" w:fill="FFFFFF"/>
        </w:rPr>
        <w:t>, </w:t>
      </w:r>
      <w:r w:rsidRPr="00A01843">
        <w:rPr>
          <w:i/>
          <w:iCs/>
          <w:shd w:val="clear" w:color="auto" w:fill="FFFFFF"/>
        </w:rPr>
        <w:t>45</w:t>
      </w:r>
      <w:r w:rsidRPr="00A01843">
        <w:rPr>
          <w:shd w:val="clear" w:color="auto" w:fill="FFFFFF"/>
        </w:rPr>
        <w:t>(2), 198</w:t>
      </w:r>
      <w:r w:rsidR="009568D5" w:rsidRPr="00A01843">
        <w:rPr>
          <w:shd w:val="clear" w:color="auto" w:fill="EFEFF0"/>
        </w:rPr>
        <w:t>–</w:t>
      </w:r>
      <w:r w:rsidRPr="00A01843">
        <w:rPr>
          <w:shd w:val="clear" w:color="auto" w:fill="FFFFFF"/>
        </w:rPr>
        <w:t>224.</w:t>
      </w:r>
      <w:r w:rsidR="00BC7F82" w:rsidRPr="00A01843">
        <w:rPr>
          <w:shd w:val="clear" w:color="auto" w:fill="FFFFFF"/>
        </w:rPr>
        <w:t xml:space="preserve"> https://doi.org/10.1080/00220272.2012.727872</w:t>
      </w:r>
    </w:p>
    <w:p w14:paraId="148170DD" w14:textId="5BC5B445" w:rsidR="00A4093F" w:rsidRPr="00A01843" w:rsidRDefault="00A4093F" w:rsidP="00AB14C7">
      <w:pPr>
        <w:pStyle w:val="References"/>
        <w:divId w:val="2072804619"/>
      </w:pPr>
      <w:r w:rsidRPr="00A01843">
        <w:t xml:space="preserve">Fiske, S. T. (2016). How to publish rigorous experiments in the 21st century. </w:t>
      </w:r>
      <w:r w:rsidRPr="00A01843">
        <w:rPr>
          <w:i/>
          <w:iCs/>
        </w:rPr>
        <w:t>Journal of Experimental Social Psychology</w:t>
      </w:r>
      <w:r w:rsidRPr="00A01843">
        <w:t xml:space="preserve">, </w:t>
      </w:r>
      <w:r w:rsidRPr="00A01843">
        <w:rPr>
          <w:i/>
          <w:iCs/>
        </w:rPr>
        <w:t>66</w:t>
      </w:r>
      <w:r w:rsidRPr="00A01843">
        <w:t>, 145</w:t>
      </w:r>
      <w:r w:rsidRPr="00A01843">
        <w:rPr>
          <w:shd w:val="clear" w:color="auto" w:fill="EFEFF0"/>
        </w:rPr>
        <w:t>–</w:t>
      </w:r>
      <w:r w:rsidRPr="00A01843">
        <w:t>147.</w:t>
      </w:r>
      <w:r w:rsidR="00BC7F82" w:rsidRPr="00A01843">
        <w:t xml:space="preserve"> https://doi.org/10.1016/j.jesp.2016.01.006</w:t>
      </w:r>
    </w:p>
    <w:p w14:paraId="0454816C" w14:textId="77777777" w:rsidR="00AB14C7" w:rsidRPr="00A01843" w:rsidRDefault="00AB14C7" w:rsidP="00AB14C7">
      <w:pPr>
        <w:pStyle w:val="References"/>
        <w:divId w:val="2072804619"/>
        <w:rPr>
          <w:shd w:val="clear" w:color="auto" w:fill="EFEFF0"/>
        </w:rPr>
      </w:pPr>
      <w:proofErr w:type="spellStart"/>
      <w:r w:rsidRPr="00A01843">
        <w:t>Fraillon</w:t>
      </w:r>
      <w:proofErr w:type="spellEnd"/>
      <w:r w:rsidRPr="00A01843">
        <w:t xml:space="preserve">, J., </w:t>
      </w:r>
      <w:proofErr w:type="spellStart"/>
      <w:r w:rsidRPr="00A01843">
        <w:t>Ainley</w:t>
      </w:r>
      <w:proofErr w:type="spellEnd"/>
      <w:r w:rsidRPr="00A01843">
        <w:t xml:space="preserve">, J., Schulz, W., Friedman, T., &amp; Duckworth, D. (2020a). </w:t>
      </w:r>
      <w:r w:rsidRPr="00A01843">
        <w:rPr>
          <w:i/>
          <w:iCs/>
        </w:rPr>
        <w:t>Preparing for life in a digital world: IEA International computer and information literacy study 2018 international report</w:t>
      </w:r>
      <w:r w:rsidRPr="00A01843">
        <w:t>. Springer Nature.</w:t>
      </w:r>
    </w:p>
    <w:p w14:paraId="48F90192" w14:textId="5FB42FEA" w:rsidR="00AB14C7" w:rsidRPr="00A01843" w:rsidRDefault="00AB14C7" w:rsidP="00AB14C7">
      <w:pPr>
        <w:pStyle w:val="References"/>
        <w:divId w:val="2072804619"/>
        <w:rPr>
          <w:shd w:val="clear" w:color="auto" w:fill="FFFFFF"/>
        </w:rPr>
      </w:pPr>
      <w:proofErr w:type="spellStart"/>
      <w:r w:rsidRPr="00A01843">
        <w:t>Fraillon</w:t>
      </w:r>
      <w:proofErr w:type="spellEnd"/>
      <w:r w:rsidRPr="00A01843">
        <w:t xml:space="preserve">, J., </w:t>
      </w:r>
      <w:proofErr w:type="spellStart"/>
      <w:r w:rsidRPr="00A01843">
        <w:t>Ainley</w:t>
      </w:r>
      <w:proofErr w:type="spellEnd"/>
      <w:r w:rsidRPr="00A01843">
        <w:t>, J., Schulz, W., Friedman, T., &amp; Duckworth, D. (2020</w:t>
      </w:r>
      <w:r w:rsidR="00FC6073" w:rsidRPr="00A01843">
        <w:t>b</w:t>
      </w:r>
      <w:r w:rsidRPr="00A01843">
        <w:t xml:space="preserve">). </w:t>
      </w:r>
      <w:r w:rsidRPr="00A01843">
        <w:rPr>
          <w:i/>
        </w:rPr>
        <w:t>IEA International Computer and Information Literacy Study 2018. Technical Report</w:t>
      </w:r>
      <w:r w:rsidRPr="00A01843">
        <w:t xml:space="preserve">. </w:t>
      </w:r>
      <w:r w:rsidRPr="00A01843">
        <w:rPr>
          <w:iCs/>
        </w:rPr>
        <w:t>International Association for the Evaluation of Educational Achievement</w:t>
      </w:r>
      <w:r w:rsidRPr="00A01843">
        <w:t>.</w:t>
      </w:r>
    </w:p>
    <w:p w14:paraId="13BE1974" w14:textId="1D62E9FE" w:rsidR="00AB14C7" w:rsidRPr="00A01843" w:rsidRDefault="00AB14C7" w:rsidP="00AB14C7">
      <w:pPr>
        <w:pStyle w:val="References"/>
        <w:divId w:val="2072804619"/>
        <w:rPr>
          <w:b/>
          <w:shd w:val="clear" w:color="auto" w:fill="FFFFFF"/>
        </w:rPr>
      </w:pPr>
      <w:r w:rsidRPr="00A01843">
        <w:t xml:space="preserve">Gebhardt, E., Thomson, S., </w:t>
      </w:r>
      <w:proofErr w:type="spellStart"/>
      <w:r w:rsidRPr="00A01843">
        <w:t>Ainley</w:t>
      </w:r>
      <w:proofErr w:type="spellEnd"/>
      <w:r w:rsidRPr="00A01843">
        <w:t xml:space="preserve">, J., &amp; Hillman, K. (2019). </w:t>
      </w:r>
      <w:r w:rsidRPr="00A01843">
        <w:rPr>
          <w:i/>
          <w:iCs/>
        </w:rPr>
        <w:t xml:space="preserve">Gender </w:t>
      </w:r>
      <w:r w:rsidR="00375A36" w:rsidRPr="00A01843">
        <w:rPr>
          <w:i/>
          <w:iCs/>
        </w:rPr>
        <w:t>d</w:t>
      </w:r>
      <w:r w:rsidRPr="00A01843">
        <w:rPr>
          <w:i/>
          <w:iCs/>
        </w:rPr>
        <w:t xml:space="preserve">ifferences in </w:t>
      </w:r>
      <w:r w:rsidR="00375A36" w:rsidRPr="00A01843">
        <w:rPr>
          <w:i/>
          <w:iCs/>
        </w:rPr>
        <w:t>c</w:t>
      </w:r>
      <w:r w:rsidRPr="00A01843">
        <w:rPr>
          <w:i/>
          <w:iCs/>
        </w:rPr>
        <w:t xml:space="preserve">omputer and </w:t>
      </w:r>
      <w:r w:rsidR="00375A36" w:rsidRPr="00A01843">
        <w:rPr>
          <w:i/>
          <w:iCs/>
        </w:rPr>
        <w:t>i</w:t>
      </w:r>
      <w:r w:rsidRPr="00A01843">
        <w:rPr>
          <w:i/>
          <w:iCs/>
        </w:rPr>
        <w:t xml:space="preserve">nformation </w:t>
      </w:r>
      <w:r w:rsidR="00375A36" w:rsidRPr="00A01843">
        <w:rPr>
          <w:i/>
          <w:iCs/>
        </w:rPr>
        <w:t>l</w:t>
      </w:r>
      <w:r w:rsidRPr="00A01843">
        <w:rPr>
          <w:i/>
          <w:iCs/>
        </w:rPr>
        <w:t xml:space="preserve">iteracy: An </w:t>
      </w:r>
      <w:r w:rsidR="00375A36" w:rsidRPr="00A01843">
        <w:rPr>
          <w:i/>
          <w:iCs/>
        </w:rPr>
        <w:t>i</w:t>
      </w:r>
      <w:r w:rsidRPr="00A01843">
        <w:rPr>
          <w:i/>
          <w:iCs/>
        </w:rPr>
        <w:t xml:space="preserve">n-depth </w:t>
      </w:r>
      <w:r w:rsidR="00375A36" w:rsidRPr="00A01843">
        <w:rPr>
          <w:i/>
          <w:iCs/>
        </w:rPr>
        <w:t>a</w:t>
      </w:r>
      <w:r w:rsidRPr="00A01843">
        <w:rPr>
          <w:i/>
          <w:iCs/>
        </w:rPr>
        <w:t xml:space="preserve">nalysis of </w:t>
      </w:r>
      <w:r w:rsidR="00375A36" w:rsidRPr="00A01843">
        <w:rPr>
          <w:i/>
          <w:iCs/>
        </w:rPr>
        <w:t>d</w:t>
      </w:r>
      <w:r w:rsidRPr="00A01843">
        <w:rPr>
          <w:i/>
          <w:iCs/>
        </w:rPr>
        <w:t>ata from ICILS</w:t>
      </w:r>
      <w:r w:rsidRPr="00A01843">
        <w:t>. Springer Nature.</w:t>
      </w:r>
    </w:p>
    <w:p w14:paraId="7EE341B1" w14:textId="5A2CD3D5" w:rsidR="00AB14C7" w:rsidRPr="00A01843" w:rsidRDefault="00AB14C7" w:rsidP="00AB14C7">
      <w:pPr>
        <w:pStyle w:val="References"/>
        <w:divId w:val="2072804619"/>
        <w:rPr>
          <w:shd w:val="clear" w:color="auto" w:fill="EFEFF0"/>
        </w:rPr>
      </w:pPr>
      <w:r w:rsidRPr="00A01843">
        <w:t>Gelman, A.</w:t>
      </w:r>
      <w:r w:rsidR="009568D5" w:rsidRPr="00A01843">
        <w:t>,</w:t>
      </w:r>
      <w:r w:rsidRPr="00A01843">
        <w:rPr>
          <w:shd w:val="clear" w:color="auto" w:fill="EFEFF0"/>
        </w:rPr>
        <w:t> &amp; </w:t>
      </w:r>
      <w:proofErr w:type="spellStart"/>
      <w:r w:rsidRPr="00A01843">
        <w:t>Loken</w:t>
      </w:r>
      <w:proofErr w:type="spellEnd"/>
      <w:r w:rsidRPr="00A01843">
        <w:t>, E.</w:t>
      </w:r>
      <w:r w:rsidRPr="00A01843">
        <w:rPr>
          <w:shd w:val="clear" w:color="auto" w:fill="EFEFF0"/>
        </w:rPr>
        <w:t> (</w:t>
      </w:r>
      <w:r w:rsidRPr="00A01843">
        <w:t>2014</w:t>
      </w:r>
      <w:r w:rsidRPr="00A01843">
        <w:rPr>
          <w:shd w:val="clear" w:color="auto" w:fill="EFEFF0"/>
        </w:rPr>
        <w:t>) </w:t>
      </w:r>
      <w:r w:rsidRPr="00A01843">
        <w:t xml:space="preserve">The statistical crisis in science: </w:t>
      </w:r>
      <w:r w:rsidR="00BC7F82" w:rsidRPr="00A01843">
        <w:t>D</w:t>
      </w:r>
      <w:r w:rsidRPr="00A01843">
        <w:t>ata</w:t>
      </w:r>
      <w:r w:rsidRPr="00A01843">
        <w:rPr>
          <w:rFonts w:ascii="Cambria Math" w:hAnsi="Cambria Math" w:cs="Cambria Math"/>
        </w:rPr>
        <w:t>‐</w:t>
      </w:r>
      <w:r w:rsidRPr="00A01843">
        <w:t>dependent analysis</w:t>
      </w:r>
      <w:proofErr w:type="gramStart"/>
      <w:r w:rsidRPr="00A01843">
        <w:t>—“</w:t>
      </w:r>
      <w:proofErr w:type="gramEnd"/>
      <w:r w:rsidRPr="00A01843">
        <w:t>a garden of forking paths”–</w:t>
      </w:r>
      <w:r w:rsidR="00B93613" w:rsidRPr="00A01843">
        <w:t xml:space="preserve"> </w:t>
      </w:r>
      <w:r w:rsidRPr="00A01843">
        <w:t>explains why many statistically significant comparisons don't hold up</w:t>
      </w:r>
      <w:r w:rsidRPr="00A01843">
        <w:rPr>
          <w:shd w:val="clear" w:color="auto" w:fill="EFEFF0"/>
        </w:rPr>
        <w:t>. </w:t>
      </w:r>
      <w:r w:rsidRPr="00A01843">
        <w:rPr>
          <w:i/>
          <w:iCs/>
        </w:rPr>
        <w:t>American Scientist</w:t>
      </w:r>
      <w:r w:rsidRPr="00A01843">
        <w:rPr>
          <w:shd w:val="clear" w:color="auto" w:fill="EFEFF0"/>
        </w:rPr>
        <w:t>, </w:t>
      </w:r>
      <w:r w:rsidRPr="00A01843">
        <w:rPr>
          <w:i/>
          <w:iCs/>
        </w:rPr>
        <w:t>102</w:t>
      </w:r>
      <w:r w:rsidRPr="00A01843">
        <w:rPr>
          <w:shd w:val="clear" w:color="auto" w:fill="EFEFF0"/>
        </w:rPr>
        <w:t>(</w:t>
      </w:r>
      <w:r w:rsidRPr="00A01843">
        <w:t>6</w:t>
      </w:r>
      <w:r w:rsidRPr="00A01843">
        <w:rPr>
          <w:shd w:val="clear" w:color="auto" w:fill="EFEFF0"/>
        </w:rPr>
        <w:t>), </w:t>
      </w:r>
      <w:r w:rsidRPr="00A01843">
        <w:t>460</w:t>
      </w:r>
      <w:r w:rsidRPr="00A01843">
        <w:rPr>
          <w:shd w:val="clear" w:color="auto" w:fill="EFEFF0"/>
        </w:rPr>
        <w:t>–</w:t>
      </w:r>
      <w:r w:rsidRPr="00A01843">
        <w:t>466</w:t>
      </w:r>
      <w:r w:rsidRPr="00A01843">
        <w:rPr>
          <w:shd w:val="clear" w:color="auto" w:fill="EFEFF0"/>
        </w:rPr>
        <w:t>.</w:t>
      </w:r>
      <w:r w:rsidR="00BC7F82" w:rsidRPr="00A01843">
        <w:rPr>
          <w:shd w:val="clear" w:color="auto" w:fill="EFEFF0"/>
        </w:rPr>
        <w:t xml:space="preserve"> https://www.americanscientist.org/article/the-statistical-crisis-in-science</w:t>
      </w:r>
    </w:p>
    <w:p w14:paraId="6F5C193C" w14:textId="78967F54" w:rsidR="00AB14C7" w:rsidRPr="00A01843" w:rsidRDefault="00AB14C7" w:rsidP="00AB14C7">
      <w:pPr>
        <w:pStyle w:val="References"/>
        <w:divId w:val="2072804619"/>
      </w:pPr>
      <w:r w:rsidRPr="00A01843">
        <w:rPr>
          <w:shd w:val="clear" w:color="auto" w:fill="FFFFFF"/>
        </w:rPr>
        <w:t xml:space="preserve">Harder, J. A. (2020). The Multiverse of </w:t>
      </w:r>
      <w:r w:rsidR="0071482D" w:rsidRPr="00A01843">
        <w:rPr>
          <w:shd w:val="clear" w:color="auto" w:fill="FFFFFF"/>
        </w:rPr>
        <w:t>m</w:t>
      </w:r>
      <w:r w:rsidRPr="00A01843">
        <w:rPr>
          <w:shd w:val="clear" w:color="auto" w:fill="FFFFFF"/>
        </w:rPr>
        <w:t>ethods: Extending the multiverse analysis to address data-collection decisions. </w:t>
      </w:r>
      <w:r w:rsidRPr="00A01843">
        <w:rPr>
          <w:i/>
          <w:iCs/>
        </w:rPr>
        <w:t>Perspectives on Psychological Science</w:t>
      </w:r>
      <w:r w:rsidRPr="00A01843">
        <w:rPr>
          <w:shd w:val="clear" w:color="auto" w:fill="FFFFFF"/>
        </w:rPr>
        <w:t>, </w:t>
      </w:r>
      <w:r w:rsidRPr="00A01843">
        <w:rPr>
          <w:i/>
          <w:iCs/>
        </w:rPr>
        <w:t>15</w:t>
      </w:r>
      <w:r w:rsidRPr="00A01843">
        <w:rPr>
          <w:shd w:val="clear" w:color="auto" w:fill="FFFFFF"/>
        </w:rPr>
        <w:t>(5), 1158</w:t>
      </w:r>
      <w:r w:rsidR="009023AA" w:rsidRPr="00A01843">
        <w:rPr>
          <w:shd w:val="clear" w:color="auto" w:fill="EFEFF0"/>
        </w:rPr>
        <w:t>–</w:t>
      </w:r>
      <w:r w:rsidRPr="00A01843">
        <w:rPr>
          <w:shd w:val="clear" w:color="auto" w:fill="FFFFFF"/>
        </w:rPr>
        <w:t>1177.</w:t>
      </w:r>
      <w:r w:rsidR="00BC7F82" w:rsidRPr="00A01843">
        <w:rPr>
          <w:shd w:val="clear" w:color="auto" w:fill="FFFFFF"/>
        </w:rPr>
        <w:t xml:space="preserve"> https://doi.org/10.1177%2F1745691620917678</w:t>
      </w:r>
    </w:p>
    <w:p w14:paraId="3B410F67" w14:textId="263BF8DF" w:rsidR="00AB14C7" w:rsidRPr="00A01843" w:rsidRDefault="00AB14C7" w:rsidP="00AB14C7">
      <w:pPr>
        <w:pStyle w:val="References"/>
        <w:divId w:val="2072804619"/>
      </w:pPr>
      <w:proofErr w:type="spellStart"/>
      <w:r w:rsidRPr="00A01843">
        <w:t>Hüffmeier</w:t>
      </w:r>
      <w:proofErr w:type="spellEnd"/>
      <w:r w:rsidRPr="00A01843">
        <w:t xml:space="preserve">, J., </w:t>
      </w:r>
      <w:proofErr w:type="spellStart"/>
      <w:r w:rsidRPr="00A01843">
        <w:t>Mazei</w:t>
      </w:r>
      <w:proofErr w:type="spellEnd"/>
      <w:r w:rsidRPr="00A01843">
        <w:t xml:space="preserve">, J., &amp; Schultze, T. (2016). Reconceptualizing replication as a sequence of different studies: A replication typology. </w:t>
      </w:r>
      <w:r w:rsidRPr="00A01843">
        <w:rPr>
          <w:i/>
          <w:iCs/>
        </w:rPr>
        <w:t>Journal of Experimental Social Psychology, 66</w:t>
      </w:r>
      <w:r w:rsidRPr="00A01843">
        <w:t>, 81</w:t>
      </w:r>
      <w:r w:rsidR="009023AA" w:rsidRPr="00A01843">
        <w:rPr>
          <w:shd w:val="clear" w:color="auto" w:fill="EFEFF0"/>
        </w:rPr>
        <w:t>–</w:t>
      </w:r>
      <w:r w:rsidRPr="00A01843">
        <w:t>92. https://doi.org/10.1016/j.jesp.2015.09.009</w:t>
      </w:r>
    </w:p>
    <w:p w14:paraId="49F8BEF4" w14:textId="24763B4A" w:rsidR="00AB14C7" w:rsidRPr="00A01843" w:rsidRDefault="00AB14C7" w:rsidP="00AB14C7">
      <w:pPr>
        <w:pStyle w:val="References"/>
        <w:divId w:val="2072804619"/>
      </w:pPr>
      <w:r w:rsidRPr="00A01843">
        <w:lastRenderedPageBreak/>
        <w:t xml:space="preserve">Huntington-Klein, N., Arenas, A., Beam, E., </w:t>
      </w:r>
      <w:proofErr w:type="spellStart"/>
      <w:r w:rsidRPr="00A01843">
        <w:t>Bertoni</w:t>
      </w:r>
      <w:proofErr w:type="spellEnd"/>
      <w:r w:rsidRPr="00A01843">
        <w:t xml:space="preserve">, M., </w:t>
      </w:r>
      <w:proofErr w:type="spellStart"/>
      <w:r w:rsidRPr="00A01843">
        <w:t>Bloem</w:t>
      </w:r>
      <w:proofErr w:type="spellEnd"/>
      <w:r w:rsidRPr="00A01843">
        <w:t xml:space="preserve">, J., </w:t>
      </w:r>
      <w:proofErr w:type="spellStart"/>
      <w:r w:rsidRPr="00A01843">
        <w:t>Burli</w:t>
      </w:r>
      <w:proofErr w:type="spellEnd"/>
      <w:r w:rsidRPr="00A01843">
        <w:t xml:space="preserve">, P. H., ... &amp; </w:t>
      </w:r>
      <w:proofErr w:type="spellStart"/>
      <w:r w:rsidRPr="00A01843">
        <w:t>Stopnitzky</w:t>
      </w:r>
      <w:proofErr w:type="spellEnd"/>
      <w:r w:rsidRPr="00A01843">
        <w:t>, Y. (202</w:t>
      </w:r>
      <w:r w:rsidR="00051032" w:rsidRPr="00A01843">
        <w:t>1</w:t>
      </w:r>
      <w:r w:rsidRPr="00A01843">
        <w:t xml:space="preserve">). The </w:t>
      </w:r>
      <w:r w:rsidR="00451EFB" w:rsidRPr="00A01843">
        <w:t>i</w:t>
      </w:r>
      <w:r w:rsidRPr="00A01843">
        <w:t xml:space="preserve">nfluence of </w:t>
      </w:r>
      <w:r w:rsidR="00451EFB" w:rsidRPr="00A01843">
        <w:t>h</w:t>
      </w:r>
      <w:r w:rsidRPr="00A01843">
        <w:t xml:space="preserve">idden </w:t>
      </w:r>
      <w:r w:rsidR="00451EFB" w:rsidRPr="00A01843">
        <w:t>r</w:t>
      </w:r>
      <w:r w:rsidRPr="00A01843">
        <w:t xml:space="preserve">esearcher </w:t>
      </w:r>
      <w:r w:rsidR="00451EFB" w:rsidRPr="00A01843">
        <w:t>d</w:t>
      </w:r>
      <w:r w:rsidRPr="00A01843">
        <w:t xml:space="preserve">ecisions in </w:t>
      </w:r>
      <w:r w:rsidR="00451EFB" w:rsidRPr="00A01843">
        <w:t>a</w:t>
      </w:r>
      <w:r w:rsidRPr="00A01843">
        <w:t xml:space="preserve">pplied </w:t>
      </w:r>
      <w:r w:rsidR="00451EFB" w:rsidRPr="00A01843">
        <w:t>m</w:t>
      </w:r>
      <w:r w:rsidRPr="00A01843">
        <w:t xml:space="preserve">icroeconomics. </w:t>
      </w:r>
      <w:r w:rsidRPr="00A01843">
        <w:rPr>
          <w:i/>
          <w:iCs/>
        </w:rPr>
        <w:t>Economic Inquiry</w:t>
      </w:r>
      <w:r w:rsidR="00451EFB" w:rsidRPr="00A01843">
        <w:t xml:space="preserve">, </w:t>
      </w:r>
      <w:r w:rsidR="00451EFB" w:rsidRPr="00A01843">
        <w:rPr>
          <w:i/>
          <w:iCs/>
        </w:rPr>
        <w:t>59</w:t>
      </w:r>
      <w:r w:rsidR="00451EFB" w:rsidRPr="00A01843">
        <w:t>(3), 944</w:t>
      </w:r>
      <w:r w:rsidR="00451EFB" w:rsidRPr="00A01843">
        <w:rPr>
          <w:shd w:val="clear" w:color="auto" w:fill="EFEFF0"/>
        </w:rPr>
        <w:t>–</w:t>
      </w:r>
      <w:r w:rsidR="00451EFB" w:rsidRPr="00A01843">
        <w:t>960</w:t>
      </w:r>
      <w:r w:rsidR="009568D5" w:rsidRPr="00A01843">
        <w:t xml:space="preserve">. </w:t>
      </w:r>
      <w:r w:rsidRPr="00A01843">
        <w:t>https://doi.org/10.1111/ecin.12992</w:t>
      </w:r>
    </w:p>
    <w:p w14:paraId="66C27CFE" w14:textId="7A495122" w:rsidR="00AB14C7" w:rsidRPr="00A01843" w:rsidRDefault="00AB14C7" w:rsidP="00AB14C7">
      <w:pPr>
        <w:pStyle w:val="References"/>
        <w:divId w:val="2072804619"/>
      </w:pPr>
      <w:r w:rsidRPr="00A01843">
        <w:rPr>
          <w:shd w:val="clear" w:color="auto" w:fill="FFFFFF"/>
        </w:rPr>
        <w:t xml:space="preserve">Jeon, S., Son, Y., &amp; Park, S. (2020). Analysis of the ICILS 2018 </w:t>
      </w:r>
      <w:r w:rsidR="0071482D" w:rsidRPr="00A01843">
        <w:rPr>
          <w:shd w:val="clear" w:color="auto" w:fill="FFFFFF"/>
        </w:rPr>
        <w:t>r</w:t>
      </w:r>
      <w:r w:rsidRPr="00A01843">
        <w:rPr>
          <w:shd w:val="clear" w:color="auto" w:fill="FFFFFF"/>
        </w:rPr>
        <w:t xml:space="preserve">esults by Korean </w:t>
      </w:r>
      <w:r w:rsidR="00BC7F82" w:rsidRPr="00A01843">
        <w:rPr>
          <w:shd w:val="clear" w:color="auto" w:fill="FFFFFF"/>
        </w:rPr>
        <w:t>s</w:t>
      </w:r>
      <w:r w:rsidRPr="00A01843">
        <w:rPr>
          <w:shd w:val="clear" w:color="auto" w:fill="FFFFFF"/>
        </w:rPr>
        <w:t xml:space="preserve">tudents' </w:t>
      </w:r>
      <w:r w:rsidR="00BC7F82" w:rsidRPr="00A01843">
        <w:rPr>
          <w:shd w:val="clear" w:color="auto" w:fill="FFFFFF"/>
        </w:rPr>
        <w:t>e</w:t>
      </w:r>
      <w:r w:rsidRPr="00A01843">
        <w:rPr>
          <w:shd w:val="clear" w:color="auto" w:fill="FFFFFF"/>
        </w:rPr>
        <w:t xml:space="preserve">ducational </w:t>
      </w:r>
      <w:r w:rsidR="00BC7F82" w:rsidRPr="00A01843">
        <w:rPr>
          <w:shd w:val="clear" w:color="auto" w:fill="FFFFFF"/>
        </w:rPr>
        <w:t>e</w:t>
      </w:r>
      <w:r w:rsidRPr="00A01843">
        <w:rPr>
          <w:shd w:val="clear" w:color="auto" w:fill="FFFFFF"/>
        </w:rPr>
        <w:t xml:space="preserve">xperience in </w:t>
      </w:r>
      <w:r w:rsidR="00BC7F82" w:rsidRPr="00A01843">
        <w:rPr>
          <w:shd w:val="clear" w:color="auto" w:fill="FFFFFF"/>
        </w:rPr>
        <w:t>c</w:t>
      </w:r>
      <w:r w:rsidRPr="00A01843">
        <w:rPr>
          <w:shd w:val="clear" w:color="auto" w:fill="FFFFFF"/>
        </w:rPr>
        <w:t xml:space="preserve">omputer and </w:t>
      </w:r>
      <w:r w:rsidR="00BC7F82" w:rsidRPr="00A01843">
        <w:rPr>
          <w:shd w:val="clear" w:color="auto" w:fill="FFFFFF"/>
        </w:rPr>
        <w:t>i</w:t>
      </w:r>
      <w:r w:rsidRPr="00A01843">
        <w:rPr>
          <w:shd w:val="clear" w:color="auto" w:fill="FFFFFF"/>
        </w:rPr>
        <w:t xml:space="preserve">nformation </w:t>
      </w:r>
      <w:r w:rsidR="00BC7F82" w:rsidRPr="00A01843">
        <w:rPr>
          <w:shd w:val="clear" w:color="auto" w:fill="FFFFFF"/>
        </w:rPr>
        <w:t>l</w:t>
      </w:r>
      <w:r w:rsidRPr="00A01843">
        <w:rPr>
          <w:shd w:val="clear" w:color="auto" w:fill="FFFFFF"/>
        </w:rPr>
        <w:t xml:space="preserve">iteracy and </w:t>
      </w:r>
      <w:r w:rsidR="00BC7F82" w:rsidRPr="00A01843">
        <w:rPr>
          <w:shd w:val="clear" w:color="auto" w:fill="FFFFFF"/>
        </w:rPr>
        <w:t>c</w:t>
      </w:r>
      <w:r w:rsidRPr="00A01843">
        <w:rPr>
          <w:shd w:val="clear" w:color="auto" w:fill="FFFFFF"/>
        </w:rPr>
        <w:t xml:space="preserve">omputational </w:t>
      </w:r>
      <w:r w:rsidR="00BC7F82" w:rsidRPr="00A01843">
        <w:rPr>
          <w:shd w:val="clear" w:color="auto" w:fill="FFFFFF"/>
        </w:rPr>
        <w:t>t</w:t>
      </w:r>
      <w:r w:rsidRPr="00A01843">
        <w:rPr>
          <w:shd w:val="clear" w:color="auto" w:fill="FFFFFF"/>
        </w:rPr>
        <w:t>hinking. </w:t>
      </w:r>
      <w:r w:rsidRPr="00A01843">
        <w:rPr>
          <w:i/>
          <w:iCs/>
          <w:shd w:val="clear" w:color="auto" w:fill="FFFFFF"/>
        </w:rPr>
        <w:t>The Journal of Korean Association of Computer Education</w:t>
      </w:r>
      <w:r w:rsidRPr="00A01843">
        <w:rPr>
          <w:shd w:val="clear" w:color="auto" w:fill="FFFFFF"/>
        </w:rPr>
        <w:t>, </w:t>
      </w:r>
      <w:r w:rsidRPr="00A01843">
        <w:rPr>
          <w:i/>
          <w:iCs/>
          <w:shd w:val="clear" w:color="auto" w:fill="FFFFFF"/>
        </w:rPr>
        <w:t>23</w:t>
      </w:r>
      <w:r w:rsidRPr="00A01843">
        <w:rPr>
          <w:shd w:val="clear" w:color="auto" w:fill="FFFFFF"/>
        </w:rPr>
        <w:t>(3), 1</w:t>
      </w:r>
      <w:r w:rsidR="009023AA" w:rsidRPr="00A01843">
        <w:rPr>
          <w:shd w:val="clear" w:color="auto" w:fill="EFEFF0"/>
        </w:rPr>
        <w:t>–</w:t>
      </w:r>
      <w:r w:rsidRPr="00A01843">
        <w:rPr>
          <w:shd w:val="clear" w:color="auto" w:fill="FFFFFF"/>
        </w:rPr>
        <w:t>8.</w:t>
      </w:r>
      <w:r w:rsidR="00BC7F82" w:rsidRPr="00A01843">
        <w:rPr>
          <w:shd w:val="clear" w:color="auto" w:fill="FFFFFF"/>
        </w:rPr>
        <w:t xml:space="preserve"> https://doi.org/10.32431/kace.2020.23.3.001</w:t>
      </w:r>
    </w:p>
    <w:p w14:paraId="4E41FAC2" w14:textId="635E407D" w:rsidR="00AB14C7" w:rsidRPr="00A01843" w:rsidRDefault="00AB14C7" w:rsidP="00AB14C7">
      <w:pPr>
        <w:pStyle w:val="References"/>
        <w:divId w:val="2072804619"/>
        <w:rPr>
          <w:shd w:val="clear" w:color="auto" w:fill="FFFFFF"/>
        </w:rPr>
      </w:pPr>
      <w:r w:rsidRPr="00A01843">
        <w:t xml:space="preserve">Kim, H. S., </w:t>
      </w:r>
      <w:proofErr w:type="spellStart"/>
      <w:r w:rsidRPr="00A01843">
        <w:t>Kil</w:t>
      </w:r>
      <w:proofErr w:type="spellEnd"/>
      <w:r w:rsidRPr="00A01843">
        <w:t xml:space="preserve">, H. J., &amp; Shin, A. (2014). An analysis of variables affecting the ICT literacy level of Korean elementary school students. </w:t>
      </w:r>
      <w:r w:rsidRPr="00A01843">
        <w:rPr>
          <w:i/>
          <w:iCs/>
        </w:rPr>
        <w:t>Computers &amp; Education</w:t>
      </w:r>
      <w:r w:rsidRPr="00A01843">
        <w:t xml:space="preserve">, </w:t>
      </w:r>
      <w:r w:rsidRPr="00A01843">
        <w:rPr>
          <w:i/>
          <w:iCs/>
        </w:rPr>
        <w:t>77</w:t>
      </w:r>
      <w:r w:rsidRPr="00A01843">
        <w:t>, 29</w:t>
      </w:r>
      <w:r w:rsidR="009023AA" w:rsidRPr="00A01843">
        <w:rPr>
          <w:shd w:val="clear" w:color="auto" w:fill="EFEFF0"/>
        </w:rPr>
        <w:t>–</w:t>
      </w:r>
      <w:r w:rsidRPr="00A01843">
        <w:t>38.</w:t>
      </w:r>
      <w:r w:rsidR="00BC7F82" w:rsidRPr="00A01843">
        <w:t xml:space="preserve"> https://doi.org/10.1016/j.compedu.2014.04.009</w:t>
      </w:r>
    </w:p>
    <w:p w14:paraId="689953FA" w14:textId="1F9009B5" w:rsidR="00451EFB" w:rsidRPr="00A01843" w:rsidRDefault="00451EFB" w:rsidP="00451EFB">
      <w:pPr>
        <w:pStyle w:val="References"/>
        <w:divId w:val="2072804619"/>
      </w:pPr>
      <w:r w:rsidRPr="00A01843">
        <w:t xml:space="preserve">Landy, J. F., Jia, M. L., Ding, I. L., </w:t>
      </w:r>
      <w:proofErr w:type="spellStart"/>
      <w:r w:rsidRPr="00A01843">
        <w:t>Viganola</w:t>
      </w:r>
      <w:proofErr w:type="spellEnd"/>
      <w:r w:rsidRPr="00A01843">
        <w:t xml:space="preserve">, D., Tierney, W., </w:t>
      </w:r>
      <w:proofErr w:type="spellStart"/>
      <w:r w:rsidRPr="00A01843">
        <w:t>Dreber</w:t>
      </w:r>
      <w:proofErr w:type="spellEnd"/>
      <w:r w:rsidRPr="00A01843">
        <w:t>, A., ... &amp; Crowdsourcing Hypothesis Tests Collaboration. (2020). Crowdsourcing hypothesis tests: Making transparent how design choices shape research results. </w:t>
      </w:r>
      <w:r w:rsidRPr="00A01843">
        <w:rPr>
          <w:i/>
          <w:iCs/>
        </w:rPr>
        <w:t>Psychological Bulletin</w:t>
      </w:r>
      <w:r w:rsidRPr="00A01843">
        <w:t>, </w:t>
      </w:r>
      <w:r w:rsidRPr="00A01843">
        <w:rPr>
          <w:i/>
          <w:iCs/>
        </w:rPr>
        <w:t>146</w:t>
      </w:r>
      <w:r w:rsidRPr="00A01843">
        <w:t>(5), 451</w:t>
      </w:r>
      <w:r w:rsidR="00BC7F82" w:rsidRPr="00A01843">
        <w:rPr>
          <w:shd w:val="clear" w:color="auto" w:fill="EFEFF0"/>
        </w:rPr>
        <w:t>–</w:t>
      </w:r>
      <w:r w:rsidR="00BC7F82" w:rsidRPr="00A01843">
        <w:t>479. https://doi.org/10.1037/bul0000220</w:t>
      </w:r>
    </w:p>
    <w:p w14:paraId="6002D7DD" w14:textId="017F720D" w:rsidR="00AB14C7" w:rsidRPr="00A01843" w:rsidRDefault="00AB14C7" w:rsidP="00451EFB">
      <w:pPr>
        <w:pStyle w:val="References"/>
        <w:divId w:val="2072804619"/>
      </w:pPr>
      <w:r w:rsidRPr="00A01843">
        <w:t>Lenz, G.S.</w:t>
      </w:r>
      <w:r w:rsidR="00451EFB" w:rsidRPr="00A01843">
        <w:t>,</w:t>
      </w:r>
      <w:r w:rsidRPr="00A01843">
        <w:t> &amp; </w:t>
      </w:r>
      <w:proofErr w:type="spellStart"/>
      <w:r w:rsidRPr="00A01843">
        <w:t>Sahn</w:t>
      </w:r>
      <w:proofErr w:type="spellEnd"/>
      <w:r w:rsidRPr="00A01843">
        <w:t>, A. (2017)</w:t>
      </w:r>
      <w:r w:rsidR="00451EFB" w:rsidRPr="00A01843">
        <w:t>.</w:t>
      </w:r>
      <w:r w:rsidRPr="00A01843">
        <w:t> </w:t>
      </w:r>
      <w:r w:rsidRPr="00A01843">
        <w:rPr>
          <w:i/>
          <w:iCs/>
        </w:rPr>
        <w:t>Achieving statistical significance with covariates and without transparency</w:t>
      </w:r>
      <w:r w:rsidRPr="00A01843">
        <w:t>. Technical Report</w:t>
      </w:r>
      <w:r w:rsidR="0071482D" w:rsidRPr="00A01843">
        <w:t xml:space="preserve">. </w:t>
      </w:r>
      <w:r w:rsidRPr="00A01843">
        <w:t>University of California Berkeley.</w:t>
      </w:r>
    </w:p>
    <w:p w14:paraId="03F8D4BC" w14:textId="1681917D" w:rsidR="00451EFB" w:rsidRPr="00A01843" w:rsidRDefault="00451EFB" w:rsidP="00451EFB">
      <w:pPr>
        <w:pStyle w:val="References"/>
        <w:divId w:val="2072804619"/>
        <w:rPr>
          <w:shd w:val="clear" w:color="auto" w:fill="FFFFFF"/>
        </w:rPr>
      </w:pPr>
      <w:r w:rsidRPr="00A01843">
        <w:t>Martel</w:t>
      </w:r>
      <w:r w:rsidRPr="00A01843">
        <w:rPr>
          <w:shd w:val="clear" w:color="auto" w:fill="FFFFFF"/>
        </w:rPr>
        <w:t xml:space="preserve"> García, F. (2014). Democracy is good for the poor: A procedural replication of Ross (2006). </w:t>
      </w:r>
      <w:r w:rsidRPr="00A01843">
        <w:rPr>
          <w:i/>
          <w:iCs/>
          <w:shd w:val="clear" w:color="auto" w:fill="FFFFFF"/>
        </w:rPr>
        <w:t>Research &amp; Politics</w:t>
      </w:r>
      <w:r w:rsidR="00375A36" w:rsidRPr="00A01843">
        <w:rPr>
          <w:shd w:val="clear" w:color="auto" w:fill="FFFFFF"/>
        </w:rPr>
        <w:t xml:space="preserve">, </w:t>
      </w:r>
      <w:r w:rsidR="00375A36" w:rsidRPr="00A01843">
        <w:rPr>
          <w:i/>
          <w:iCs/>
          <w:shd w:val="clear" w:color="auto" w:fill="FFFFFF"/>
        </w:rPr>
        <w:t>1</w:t>
      </w:r>
      <w:r w:rsidR="00375A36" w:rsidRPr="00A01843">
        <w:rPr>
          <w:shd w:val="clear" w:color="auto" w:fill="FFFFFF"/>
        </w:rPr>
        <w:t>(3),</w:t>
      </w:r>
      <w:r w:rsidR="00FC6073" w:rsidRPr="00A01843">
        <w:rPr>
          <w:shd w:val="clear" w:color="auto" w:fill="FFFFFF"/>
        </w:rPr>
        <w:t xml:space="preserve"> 1</w:t>
      </w:r>
      <w:r w:rsidR="00FC6073" w:rsidRPr="00A01843">
        <w:rPr>
          <w:shd w:val="clear" w:color="auto" w:fill="EFEFF0"/>
        </w:rPr>
        <w:t>–</w:t>
      </w:r>
      <w:r w:rsidR="00FC6073" w:rsidRPr="00A01843">
        <w:rPr>
          <w:shd w:val="clear" w:color="auto" w:fill="FFFFFF"/>
        </w:rPr>
        <w:t>10.</w:t>
      </w:r>
      <w:r w:rsidRPr="00A01843">
        <w:rPr>
          <w:shd w:val="clear" w:color="auto" w:fill="FFFFFF"/>
        </w:rPr>
        <w:t xml:space="preserve"> https://doi.org/10.1177/2053168014559094 </w:t>
      </w:r>
    </w:p>
    <w:p w14:paraId="33481041" w14:textId="03050FDB" w:rsidR="00AB14C7" w:rsidRPr="00A01843" w:rsidRDefault="00AB14C7" w:rsidP="00AB14C7">
      <w:pPr>
        <w:pStyle w:val="References"/>
        <w:divId w:val="2072804619"/>
        <w:rPr>
          <w:shd w:val="clear" w:color="auto" w:fill="FFFFFF"/>
        </w:rPr>
      </w:pPr>
      <w:proofErr w:type="spellStart"/>
      <w:r w:rsidRPr="00A01843">
        <w:rPr>
          <w:shd w:val="clear" w:color="auto" w:fill="FFFFFF"/>
        </w:rPr>
        <w:t>McCoach</w:t>
      </w:r>
      <w:proofErr w:type="spellEnd"/>
      <w:r w:rsidRPr="00A01843">
        <w:rPr>
          <w:shd w:val="clear" w:color="auto" w:fill="FFFFFF"/>
        </w:rPr>
        <w:t xml:space="preserve">, D. B., </w:t>
      </w:r>
      <w:proofErr w:type="spellStart"/>
      <w:r w:rsidRPr="00A01843">
        <w:rPr>
          <w:shd w:val="clear" w:color="auto" w:fill="FFFFFF"/>
        </w:rPr>
        <w:t>Rifenbark</w:t>
      </w:r>
      <w:proofErr w:type="spellEnd"/>
      <w:r w:rsidRPr="00A01843">
        <w:rPr>
          <w:shd w:val="clear" w:color="auto" w:fill="FFFFFF"/>
        </w:rPr>
        <w:t xml:space="preserve">, G. G., Newton, S. D., Li, X., </w:t>
      </w:r>
      <w:proofErr w:type="spellStart"/>
      <w:r w:rsidRPr="00A01843">
        <w:rPr>
          <w:shd w:val="clear" w:color="auto" w:fill="FFFFFF"/>
        </w:rPr>
        <w:t>Kooken</w:t>
      </w:r>
      <w:proofErr w:type="spellEnd"/>
      <w:r w:rsidRPr="00A01843">
        <w:rPr>
          <w:shd w:val="clear" w:color="auto" w:fill="FFFFFF"/>
        </w:rPr>
        <w:t xml:space="preserve">, J., </w:t>
      </w:r>
      <w:proofErr w:type="spellStart"/>
      <w:r w:rsidRPr="00A01843">
        <w:rPr>
          <w:shd w:val="clear" w:color="auto" w:fill="FFFFFF"/>
        </w:rPr>
        <w:t>Yomtov</w:t>
      </w:r>
      <w:proofErr w:type="spellEnd"/>
      <w:r w:rsidRPr="00A01843">
        <w:rPr>
          <w:shd w:val="clear" w:color="auto" w:fill="FFFFFF"/>
        </w:rPr>
        <w:t xml:space="preserve">, D., ... &amp; Bellara, A. (2018). Does the package matter? A comparison of five common multilevel </w:t>
      </w:r>
      <w:proofErr w:type="spellStart"/>
      <w:r w:rsidRPr="00A01843">
        <w:rPr>
          <w:shd w:val="clear" w:color="auto" w:fill="FFFFFF"/>
        </w:rPr>
        <w:t>modeling</w:t>
      </w:r>
      <w:proofErr w:type="spellEnd"/>
      <w:r w:rsidRPr="00A01843">
        <w:rPr>
          <w:shd w:val="clear" w:color="auto" w:fill="FFFFFF"/>
        </w:rPr>
        <w:t xml:space="preserve"> software packages. </w:t>
      </w:r>
      <w:r w:rsidRPr="00A01843">
        <w:rPr>
          <w:i/>
          <w:iCs/>
        </w:rPr>
        <w:t xml:space="preserve">Journal of Educational and </w:t>
      </w:r>
      <w:proofErr w:type="spellStart"/>
      <w:r w:rsidRPr="00A01843">
        <w:rPr>
          <w:i/>
          <w:iCs/>
        </w:rPr>
        <w:t>Behavioral</w:t>
      </w:r>
      <w:proofErr w:type="spellEnd"/>
      <w:r w:rsidRPr="00A01843">
        <w:rPr>
          <w:i/>
          <w:iCs/>
        </w:rPr>
        <w:t xml:space="preserve"> Statistics</w:t>
      </w:r>
      <w:r w:rsidRPr="00A01843">
        <w:rPr>
          <w:shd w:val="clear" w:color="auto" w:fill="FFFFFF"/>
        </w:rPr>
        <w:t>, </w:t>
      </w:r>
      <w:r w:rsidRPr="00A01843">
        <w:rPr>
          <w:i/>
          <w:iCs/>
        </w:rPr>
        <w:t>43</w:t>
      </w:r>
      <w:r w:rsidRPr="00A01843">
        <w:rPr>
          <w:shd w:val="clear" w:color="auto" w:fill="FFFFFF"/>
        </w:rPr>
        <w:t>(5), 594</w:t>
      </w:r>
      <w:r w:rsidR="009023AA" w:rsidRPr="00A01843">
        <w:rPr>
          <w:shd w:val="clear" w:color="auto" w:fill="EFEFF0"/>
        </w:rPr>
        <w:t>–</w:t>
      </w:r>
      <w:r w:rsidRPr="00A01843">
        <w:rPr>
          <w:shd w:val="clear" w:color="auto" w:fill="FFFFFF"/>
        </w:rPr>
        <w:t>627.</w:t>
      </w:r>
      <w:r w:rsidR="00A45890" w:rsidRPr="00A01843">
        <w:rPr>
          <w:shd w:val="clear" w:color="auto" w:fill="FFFFFF"/>
        </w:rPr>
        <w:t xml:space="preserve"> https://doi.org/10.3102%2F1076998618776348</w:t>
      </w:r>
    </w:p>
    <w:p w14:paraId="6EA44E0D" w14:textId="5CC5FBE8" w:rsidR="00AB14C7" w:rsidRPr="00A01843" w:rsidRDefault="00AB14C7" w:rsidP="00AB14C7">
      <w:pPr>
        <w:pStyle w:val="References"/>
        <w:divId w:val="2072804619"/>
        <w:rPr>
          <w:shd w:val="clear" w:color="auto" w:fill="EFEFF0"/>
        </w:rPr>
      </w:pPr>
      <w:r w:rsidRPr="00A01843">
        <w:t>McCullough, B.D.</w:t>
      </w:r>
      <w:r w:rsidR="00451EFB" w:rsidRPr="00A01843">
        <w:t>,</w:t>
      </w:r>
      <w:r w:rsidRPr="00A01843">
        <w:rPr>
          <w:shd w:val="clear" w:color="auto" w:fill="EFEFF0"/>
        </w:rPr>
        <w:t> &amp; </w:t>
      </w:r>
      <w:r w:rsidRPr="00A01843">
        <w:t>Vinod, H.D.</w:t>
      </w:r>
      <w:r w:rsidRPr="00A01843">
        <w:rPr>
          <w:shd w:val="clear" w:color="auto" w:fill="EFEFF0"/>
        </w:rPr>
        <w:t> (</w:t>
      </w:r>
      <w:r w:rsidRPr="00A01843">
        <w:t>2003</w:t>
      </w:r>
      <w:r w:rsidRPr="00A01843">
        <w:rPr>
          <w:shd w:val="clear" w:color="auto" w:fill="EFEFF0"/>
        </w:rPr>
        <w:t>)</w:t>
      </w:r>
      <w:r w:rsidR="00451EFB" w:rsidRPr="00A01843">
        <w:rPr>
          <w:shd w:val="clear" w:color="auto" w:fill="EFEFF0"/>
        </w:rPr>
        <w:t>.</w:t>
      </w:r>
      <w:r w:rsidRPr="00A01843">
        <w:rPr>
          <w:shd w:val="clear" w:color="auto" w:fill="EFEFF0"/>
        </w:rPr>
        <w:t> </w:t>
      </w:r>
      <w:r w:rsidRPr="00A01843">
        <w:t xml:space="preserve">Verifying the solution from a nonlinear solver: </w:t>
      </w:r>
      <w:r w:rsidR="00A45890" w:rsidRPr="00A01843">
        <w:t>A</w:t>
      </w:r>
      <w:r w:rsidRPr="00A01843">
        <w:t xml:space="preserve"> case study</w:t>
      </w:r>
      <w:r w:rsidRPr="00A01843">
        <w:rPr>
          <w:shd w:val="clear" w:color="auto" w:fill="EFEFF0"/>
        </w:rPr>
        <w:t>. </w:t>
      </w:r>
      <w:r w:rsidRPr="00A01843">
        <w:rPr>
          <w:i/>
          <w:iCs/>
        </w:rPr>
        <w:t>American Economic Review</w:t>
      </w:r>
      <w:r w:rsidRPr="00A01843">
        <w:rPr>
          <w:shd w:val="clear" w:color="auto" w:fill="EFEFF0"/>
        </w:rPr>
        <w:t>, </w:t>
      </w:r>
      <w:r w:rsidRPr="00A01843">
        <w:rPr>
          <w:i/>
          <w:iCs/>
        </w:rPr>
        <w:t>93</w:t>
      </w:r>
      <w:r w:rsidRPr="00A01843">
        <w:rPr>
          <w:shd w:val="clear" w:color="auto" w:fill="EFEFF0"/>
        </w:rPr>
        <w:t>(</w:t>
      </w:r>
      <w:r w:rsidRPr="00A01843">
        <w:t>3</w:t>
      </w:r>
      <w:r w:rsidRPr="00A01843">
        <w:rPr>
          <w:shd w:val="clear" w:color="auto" w:fill="EFEFF0"/>
        </w:rPr>
        <w:t>), </w:t>
      </w:r>
      <w:r w:rsidRPr="00A01843">
        <w:t>873</w:t>
      </w:r>
      <w:r w:rsidRPr="00A01843">
        <w:rPr>
          <w:shd w:val="clear" w:color="auto" w:fill="EFEFF0"/>
        </w:rPr>
        <w:t>–</w:t>
      </w:r>
      <w:r w:rsidRPr="00A01843">
        <w:t>892</w:t>
      </w:r>
      <w:r w:rsidRPr="00A01843">
        <w:rPr>
          <w:shd w:val="clear" w:color="auto" w:fill="EFEFF0"/>
        </w:rPr>
        <w:t>.</w:t>
      </w:r>
      <w:r w:rsidR="00A45890" w:rsidRPr="00A01843">
        <w:rPr>
          <w:shd w:val="clear" w:color="auto" w:fill="EFEFF0"/>
        </w:rPr>
        <w:t xml:space="preserve"> https://doi.org/10.1257/000282803322157133</w:t>
      </w:r>
    </w:p>
    <w:p w14:paraId="30532AA8" w14:textId="178876DE" w:rsidR="00AB14C7" w:rsidRPr="00A01843" w:rsidRDefault="00AB14C7" w:rsidP="00AB14C7">
      <w:pPr>
        <w:pStyle w:val="References"/>
        <w:divId w:val="2072804619"/>
        <w:rPr>
          <w:lang w:val="nl-NL"/>
        </w:rPr>
      </w:pPr>
      <w:r w:rsidRPr="00A01843">
        <w:t xml:space="preserve">Mirman, J. H., Murray, A. L., Mirman, D., &amp; Adams, S. A. (2021). Advancing our understanding of cognitive development and motor vehicle crash risk: a multiverse representation analysis. </w:t>
      </w:r>
      <w:r w:rsidRPr="00A01843">
        <w:rPr>
          <w:i/>
          <w:iCs/>
          <w:lang w:val="nl-NL"/>
        </w:rPr>
        <w:t>Cortex</w:t>
      </w:r>
      <w:r w:rsidRPr="00A01843">
        <w:rPr>
          <w:lang w:val="nl-NL"/>
        </w:rPr>
        <w:t xml:space="preserve">, </w:t>
      </w:r>
      <w:r w:rsidRPr="00A01843">
        <w:rPr>
          <w:i/>
          <w:iCs/>
          <w:lang w:val="nl-NL"/>
        </w:rPr>
        <w:t>138</w:t>
      </w:r>
      <w:r w:rsidRPr="00A01843">
        <w:rPr>
          <w:lang w:val="nl-NL"/>
        </w:rPr>
        <w:t>,</w:t>
      </w:r>
      <w:r w:rsidR="00FC6073" w:rsidRPr="00A01843">
        <w:rPr>
          <w:lang w:val="nl-NL"/>
        </w:rPr>
        <w:t xml:space="preserve"> </w:t>
      </w:r>
      <w:r w:rsidRPr="00A01843">
        <w:rPr>
          <w:lang w:val="nl-NL"/>
        </w:rPr>
        <w:t>90</w:t>
      </w:r>
      <w:r w:rsidR="009023AA" w:rsidRPr="00A01843">
        <w:rPr>
          <w:shd w:val="clear" w:color="auto" w:fill="EFEFF0"/>
          <w:lang w:val="nl-NL"/>
        </w:rPr>
        <w:t>–</w:t>
      </w:r>
      <w:r w:rsidRPr="00A01843">
        <w:rPr>
          <w:lang w:val="nl-NL"/>
        </w:rPr>
        <w:t>100.</w:t>
      </w:r>
      <w:r w:rsidR="00A45890" w:rsidRPr="00A01843">
        <w:rPr>
          <w:lang w:val="nl-NL"/>
        </w:rPr>
        <w:t xml:space="preserve"> </w:t>
      </w:r>
      <w:proofErr w:type="gramStart"/>
      <w:r w:rsidR="00A45890" w:rsidRPr="00A01843">
        <w:rPr>
          <w:lang w:val="nl-NL"/>
        </w:rPr>
        <w:t>https://doi.org/10.1016/j.cortex.2021.01.017</w:t>
      </w:r>
      <w:proofErr w:type="gramEnd"/>
    </w:p>
    <w:p w14:paraId="01983219" w14:textId="11E4C5FC" w:rsidR="00AB14C7" w:rsidRPr="00A01843" w:rsidRDefault="00AB14C7" w:rsidP="00AB14C7">
      <w:pPr>
        <w:pStyle w:val="References"/>
        <w:divId w:val="2072804619"/>
        <w:rPr>
          <w:lang w:val="nl-NL"/>
        </w:rPr>
      </w:pPr>
      <w:r w:rsidRPr="00A01843">
        <w:rPr>
          <w:lang w:val="nl-NL"/>
        </w:rPr>
        <w:lastRenderedPageBreak/>
        <w:t xml:space="preserve">Plucker, J. A., &amp; Makel, M. C. (2021). </w:t>
      </w:r>
      <w:r w:rsidRPr="00A01843">
        <w:t xml:space="preserve">Replication is important for educational psychology: Recent developments and key issues. </w:t>
      </w:r>
      <w:proofErr w:type="spellStart"/>
      <w:r w:rsidRPr="00A01843">
        <w:rPr>
          <w:i/>
          <w:iCs/>
          <w:lang w:val="nl-NL"/>
        </w:rPr>
        <w:t>Educational</w:t>
      </w:r>
      <w:proofErr w:type="spellEnd"/>
      <w:r w:rsidRPr="00A01843">
        <w:rPr>
          <w:i/>
          <w:iCs/>
          <w:lang w:val="nl-NL"/>
        </w:rPr>
        <w:t xml:space="preserve"> </w:t>
      </w:r>
      <w:proofErr w:type="spellStart"/>
      <w:r w:rsidRPr="00A01843">
        <w:rPr>
          <w:i/>
          <w:iCs/>
          <w:lang w:val="nl-NL"/>
        </w:rPr>
        <w:t>Psychologist</w:t>
      </w:r>
      <w:proofErr w:type="spellEnd"/>
      <w:r w:rsidRPr="00A01843">
        <w:rPr>
          <w:lang w:val="nl-NL"/>
        </w:rPr>
        <w:t xml:space="preserve">, </w:t>
      </w:r>
      <w:r w:rsidRPr="00A01843">
        <w:rPr>
          <w:i/>
          <w:iCs/>
          <w:lang w:val="nl-NL"/>
        </w:rPr>
        <w:t>56</w:t>
      </w:r>
      <w:r w:rsidRPr="00A01843">
        <w:rPr>
          <w:lang w:val="nl-NL"/>
        </w:rPr>
        <w:t>(2)</w:t>
      </w:r>
      <w:r w:rsidR="00375A36" w:rsidRPr="00A01843">
        <w:rPr>
          <w:lang w:val="nl-NL"/>
        </w:rPr>
        <w:t>, 90</w:t>
      </w:r>
      <w:r w:rsidR="00375A36" w:rsidRPr="00A01843">
        <w:rPr>
          <w:shd w:val="clear" w:color="auto" w:fill="EFEFF0"/>
          <w:lang w:val="nl-NL"/>
        </w:rPr>
        <w:t>–</w:t>
      </w:r>
      <w:r w:rsidR="00375A36" w:rsidRPr="00A01843">
        <w:rPr>
          <w:lang w:val="nl-NL"/>
        </w:rPr>
        <w:t>100</w:t>
      </w:r>
      <w:r w:rsidRPr="00A01843">
        <w:rPr>
          <w:lang w:val="nl-NL"/>
        </w:rPr>
        <w:t>.</w:t>
      </w:r>
      <w:r w:rsidR="00375A36" w:rsidRPr="00A01843">
        <w:rPr>
          <w:lang w:val="nl-NL"/>
        </w:rPr>
        <w:t xml:space="preserve"> </w:t>
      </w:r>
      <w:proofErr w:type="gramStart"/>
      <w:r w:rsidR="00375A36" w:rsidRPr="00A01843">
        <w:rPr>
          <w:lang w:val="nl-NL"/>
        </w:rPr>
        <w:t>https://doi.org/10.1080/00461520.2021.1895796</w:t>
      </w:r>
      <w:proofErr w:type="gramEnd"/>
    </w:p>
    <w:p w14:paraId="46C68C00" w14:textId="7D06ACFB" w:rsidR="00AB14C7" w:rsidRPr="00A01843" w:rsidRDefault="00AB14C7" w:rsidP="00AB14C7">
      <w:pPr>
        <w:pStyle w:val="References"/>
        <w:divId w:val="2072804619"/>
      </w:pPr>
      <w:r w:rsidRPr="00A01843">
        <w:rPr>
          <w:lang w:val="nl-NL"/>
        </w:rPr>
        <w:t xml:space="preserve">Punter, R. A., </w:t>
      </w:r>
      <w:proofErr w:type="spellStart"/>
      <w:r w:rsidRPr="00A01843">
        <w:rPr>
          <w:lang w:val="nl-NL"/>
        </w:rPr>
        <w:t>Meelissen</w:t>
      </w:r>
      <w:proofErr w:type="spellEnd"/>
      <w:r w:rsidRPr="00A01843">
        <w:rPr>
          <w:lang w:val="nl-NL"/>
        </w:rPr>
        <w:t xml:space="preserve">, M. R., &amp; Glas, C. A. (2017). </w:t>
      </w:r>
      <w:r w:rsidRPr="00A01843">
        <w:t xml:space="preserve">Gender differences in computer and information literacy: An exploration of the performances of girls and boys in ICILS 2013. </w:t>
      </w:r>
      <w:r w:rsidRPr="00A01843">
        <w:rPr>
          <w:i/>
          <w:iCs/>
        </w:rPr>
        <w:t>European Educational Research Journal</w:t>
      </w:r>
      <w:r w:rsidRPr="00A01843">
        <w:t xml:space="preserve">, </w:t>
      </w:r>
      <w:r w:rsidRPr="00A01843">
        <w:rPr>
          <w:i/>
          <w:iCs/>
        </w:rPr>
        <w:t>16</w:t>
      </w:r>
      <w:r w:rsidRPr="00A01843">
        <w:t>(6), 762</w:t>
      </w:r>
      <w:r w:rsidR="009023AA" w:rsidRPr="00A01843">
        <w:rPr>
          <w:shd w:val="clear" w:color="auto" w:fill="EFEFF0"/>
        </w:rPr>
        <w:t>–</w:t>
      </w:r>
      <w:r w:rsidRPr="00A01843">
        <w:t>780.</w:t>
      </w:r>
      <w:r w:rsidR="00A45890" w:rsidRPr="00A01843">
        <w:t xml:space="preserve"> https://doi.org/10.1177%2F1474904116672468</w:t>
      </w:r>
    </w:p>
    <w:p w14:paraId="49F5A834" w14:textId="56DD3FB7" w:rsidR="00AB14C7" w:rsidRPr="00A01843" w:rsidRDefault="00AB14C7" w:rsidP="00AB14C7">
      <w:pPr>
        <w:pStyle w:val="References"/>
        <w:divId w:val="2072804619"/>
      </w:pPr>
      <w:r w:rsidRPr="00A01843">
        <w:t xml:space="preserve">Rubin, D. (1987). </w:t>
      </w:r>
      <w:r w:rsidRPr="00A01843">
        <w:rPr>
          <w:i/>
          <w:iCs/>
        </w:rPr>
        <w:t>Multiple imputation for nonresponse in sample surveys</w:t>
      </w:r>
      <w:r w:rsidRPr="00A01843">
        <w:t>. John Wiley.</w:t>
      </w:r>
    </w:p>
    <w:p w14:paraId="7042ADC7" w14:textId="6D831B5F" w:rsidR="00AB14C7" w:rsidRPr="00A01843" w:rsidRDefault="00AB14C7" w:rsidP="00AB14C7">
      <w:pPr>
        <w:pStyle w:val="References"/>
        <w:divId w:val="2072804619"/>
      </w:pPr>
      <w:r w:rsidRPr="00A01843">
        <w:t xml:space="preserve">Rutkowski, L., Gonzalez, E., </w:t>
      </w:r>
      <w:proofErr w:type="spellStart"/>
      <w:r w:rsidRPr="00A01843">
        <w:t>Joncas</w:t>
      </w:r>
      <w:proofErr w:type="spellEnd"/>
      <w:r w:rsidRPr="00A01843">
        <w:t xml:space="preserve">, M., &amp; von </w:t>
      </w:r>
      <w:proofErr w:type="spellStart"/>
      <w:r w:rsidRPr="00A01843">
        <w:t>Davier</w:t>
      </w:r>
      <w:proofErr w:type="spellEnd"/>
      <w:r w:rsidRPr="00A01843">
        <w:t xml:space="preserve">, M. (2010). International large-scale assessment data: Issues in secondary analysis and reporting. </w:t>
      </w:r>
      <w:r w:rsidRPr="00A01843">
        <w:rPr>
          <w:i/>
          <w:iCs/>
        </w:rPr>
        <w:t>Educational Researcher</w:t>
      </w:r>
      <w:r w:rsidRPr="00A01843">
        <w:t xml:space="preserve">, </w:t>
      </w:r>
      <w:r w:rsidRPr="00A01843">
        <w:rPr>
          <w:i/>
          <w:iCs/>
        </w:rPr>
        <w:t>39</w:t>
      </w:r>
      <w:r w:rsidRPr="00A01843">
        <w:t>(2), 142–151.</w:t>
      </w:r>
      <w:r w:rsidR="00A45890" w:rsidRPr="00A01843">
        <w:t xml:space="preserve"> https://doi.org/10.3102%2F0013189X10363170</w:t>
      </w:r>
    </w:p>
    <w:p w14:paraId="491191CB" w14:textId="100DB626" w:rsidR="00AB14C7" w:rsidRPr="00A01843" w:rsidRDefault="00AB14C7" w:rsidP="00AB14C7">
      <w:pPr>
        <w:pStyle w:val="References"/>
        <w:divId w:val="2072804619"/>
        <w:rPr>
          <w:lang w:val="nl-NL"/>
        </w:rPr>
      </w:pPr>
      <w:r w:rsidRPr="00A01843">
        <w:t xml:space="preserve">Schmidt, S. (2017). Replication. In M. C. </w:t>
      </w:r>
      <w:proofErr w:type="spellStart"/>
      <w:r w:rsidRPr="00A01843">
        <w:t>Makel</w:t>
      </w:r>
      <w:proofErr w:type="spellEnd"/>
      <w:r w:rsidRPr="00A01843">
        <w:t xml:space="preserve"> &amp; J. A. </w:t>
      </w:r>
      <w:proofErr w:type="spellStart"/>
      <w:r w:rsidRPr="00A01843">
        <w:t>Plucker</w:t>
      </w:r>
      <w:proofErr w:type="spellEnd"/>
      <w:r w:rsidRPr="00A01843">
        <w:t xml:space="preserve"> (Eds.), </w:t>
      </w:r>
      <w:r w:rsidRPr="00A01843">
        <w:rPr>
          <w:i/>
          <w:iCs/>
        </w:rPr>
        <w:t xml:space="preserve">Toward a more perfect psychology: Improving trust, accuracy, and transparency in research </w:t>
      </w:r>
      <w:r w:rsidRPr="00A01843">
        <w:t>(pp. 215</w:t>
      </w:r>
      <w:r w:rsidR="009023AA" w:rsidRPr="00A01843">
        <w:rPr>
          <w:shd w:val="clear" w:color="auto" w:fill="EFEFF0"/>
        </w:rPr>
        <w:t>–</w:t>
      </w:r>
      <w:r w:rsidRPr="00A01843">
        <w:t xml:space="preserve">232). </w:t>
      </w:r>
      <w:r w:rsidRPr="00A01843">
        <w:rPr>
          <w:lang w:val="nl-NL"/>
        </w:rPr>
        <w:t xml:space="preserve">American </w:t>
      </w:r>
      <w:proofErr w:type="spellStart"/>
      <w:r w:rsidRPr="00A01843">
        <w:rPr>
          <w:lang w:val="nl-NL"/>
        </w:rPr>
        <w:t>Psychological</w:t>
      </w:r>
      <w:proofErr w:type="spellEnd"/>
      <w:r w:rsidRPr="00A01843">
        <w:rPr>
          <w:lang w:val="nl-NL"/>
        </w:rPr>
        <w:t xml:space="preserve"> Association.</w:t>
      </w:r>
    </w:p>
    <w:p w14:paraId="4213052B" w14:textId="13FD5828" w:rsidR="00AB14C7" w:rsidRPr="00A01843" w:rsidRDefault="00AB14C7" w:rsidP="00AB14C7">
      <w:pPr>
        <w:pStyle w:val="References"/>
        <w:divId w:val="2072804619"/>
      </w:pPr>
      <w:proofErr w:type="spellStart"/>
      <w:r w:rsidRPr="00A01843">
        <w:rPr>
          <w:lang w:val="nl-NL"/>
        </w:rPr>
        <w:t>Schweinsberg</w:t>
      </w:r>
      <w:proofErr w:type="spellEnd"/>
      <w:r w:rsidRPr="00A01843">
        <w:rPr>
          <w:lang w:val="nl-NL"/>
        </w:rPr>
        <w:t xml:space="preserve">, M., Feldman, M., </w:t>
      </w:r>
      <w:proofErr w:type="spellStart"/>
      <w:r w:rsidRPr="00A01843">
        <w:rPr>
          <w:lang w:val="nl-NL"/>
        </w:rPr>
        <w:t>Staub</w:t>
      </w:r>
      <w:proofErr w:type="spellEnd"/>
      <w:r w:rsidRPr="00A01843">
        <w:rPr>
          <w:lang w:val="nl-NL"/>
        </w:rPr>
        <w:t xml:space="preserve">, N., van den Akker, O. R., van </w:t>
      </w:r>
      <w:proofErr w:type="spellStart"/>
      <w:r w:rsidRPr="00A01843">
        <w:rPr>
          <w:lang w:val="nl-NL"/>
        </w:rPr>
        <w:t>Aert</w:t>
      </w:r>
      <w:proofErr w:type="spellEnd"/>
      <w:r w:rsidRPr="00A01843">
        <w:rPr>
          <w:lang w:val="nl-NL"/>
        </w:rPr>
        <w:t xml:space="preserve">, R., Van Assen, M. A., ... </w:t>
      </w:r>
      <w:r w:rsidRPr="00A01843">
        <w:t>&amp; Schulte-</w:t>
      </w:r>
      <w:proofErr w:type="spellStart"/>
      <w:r w:rsidRPr="00A01843">
        <w:t>Mecklenbeck</w:t>
      </w:r>
      <w:proofErr w:type="spellEnd"/>
      <w:r w:rsidRPr="00A01843">
        <w:t xml:space="preserve">, M. (2021). Same data, different conclusions: Radical dispersion in empirical results when independent analysts operationalize and test the same hypothesis. </w:t>
      </w:r>
      <w:r w:rsidRPr="00A01843">
        <w:rPr>
          <w:i/>
          <w:iCs/>
        </w:rPr>
        <w:t xml:space="preserve">Organizational </w:t>
      </w:r>
      <w:proofErr w:type="spellStart"/>
      <w:r w:rsidRPr="00A01843">
        <w:rPr>
          <w:i/>
          <w:iCs/>
        </w:rPr>
        <w:t>Behavior</w:t>
      </w:r>
      <w:proofErr w:type="spellEnd"/>
      <w:r w:rsidRPr="00A01843">
        <w:rPr>
          <w:i/>
          <w:iCs/>
        </w:rPr>
        <w:t xml:space="preserve"> and Human Decision Processes</w:t>
      </w:r>
      <w:r w:rsidR="005839DB" w:rsidRPr="00A01843">
        <w:t xml:space="preserve">, </w:t>
      </w:r>
      <w:r w:rsidR="005839DB" w:rsidRPr="00A01843">
        <w:rPr>
          <w:i/>
          <w:iCs/>
        </w:rPr>
        <w:t>165</w:t>
      </w:r>
      <w:r w:rsidR="005839DB" w:rsidRPr="00A01843">
        <w:t>, 228</w:t>
      </w:r>
      <w:r w:rsidR="005839DB" w:rsidRPr="00A01843">
        <w:rPr>
          <w:shd w:val="clear" w:color="auto" w:fill="EFEFF0"/>
        </w:rPr>
        <w:t>–</w:t>
      </w:r>
      <w:r w:rsidR="005839DB" w:rsidRPr="00A01843">
        <w:t>249. https://doi.org/10.1016/j.obhdp.2021.02.003</w:t>
      </w:r>
    </w:p>
    <w:p w14:paraId="6EBA1617" w14:textId="19513134" w:rsidR="00AB14C7" w:rsidRPr="00A01843" w:rsidRDefault="00AB14C7" w:rsidP="00AB14C7">
      <w:pPr>
        <w:pStyle w:val="References"/>
        <w:divId w:val="2072804619"/>
        <w:rPr>
          <w:shd w:val="clear" w:color="auto" w:fill="FFFFFF"/>
        </w:rPr>
      </w:pPr>
      <w:r w:rsidRPr="00A01843">
        <w:rPr>
          <w:shd w:val="clear" w:color="auto" w:fill="FFFFFF"/>
        </w:rPr>
        <w:t>Siddiq, F., &amp; Scherer, R. (2019). Is there a gender gap? A meta-analysis of the gender differences in students' ICT literacy. </w:t>
      </w:r>
      <w:r w:rsidRPr="00A01843">
        <w:rPr>
          <w:i/>
          <w:iCs/>
        </w:rPr>
        <w:t xml:space="preserve">Educational </w:t>
      </w:r>
      <w:r w:rsidR="00451EFB" w:rsidRPr="00A01843">
        <w:rPr>
          <w:i/>
          <w:iCs/>
        </w:rPr>
        <w:t>R</w:t>
      </w:r>
      <w:r w:rsidRPr="00A01843">
        <w:rPr>
          <w:i/>
          <w:iCs/>
        </w:rPr>
        <w:t xml:space="preserve">esearch </w:t>
      </w:r>
      <w:r w:rsidR="00451EFB" w:rsidRPr="00A01843">
        <w:rPr>
          <w:i/>
          <w:iCs/>
        </w:rPr>
        <w:t>R</w:t>
      </w:r>
      <w:r w:rsidRPr="00A01843">
        <w:rPr>
          <w:i/>
          <w:iCs/>
        </w:rPr>
        <w:t>eview</w:t>
      </w:r>
      <w:r w:rsidRPr="00A01843">
        <w:rPr>
          <w:shd w:val="clear" w:color="auto" w:fill="FFFFFF"/>
        </w:rPr>
        <w:t>, </w:t>
      </w:r>
      <w:r w:rsidRPr="00A01843">
        <w:rPr>
          <w:i/>
          <w:iCs/>
        </w:rPr>
        <w:t>27</w:t>
      </w:r>
      <w:r w:rsidRPr="00A01843">
        <w:rPr>
          <w:shd w:val="clear" w:color="auto" w:fill="FFFFFF"/>
        </w:rPr>
        <w:t>, 205</w:t>
      </w:r>
      <w:r w:rsidR="009023AA" w:rsidRPr="00A01843">
        <w:rPr>
          <w:shd w:val="clear" w:color="auto" w:fill="EFEFF0"/>
        </w:rPr>
        <w:t>–</w:t>
      </w:r>
      <w:r w:rsidRPr="00A01843">
        <w:rPr>
          <w:shd w:val="clear" w:color="auto" w:fill="FFFFFF"/>
        </w:rPr>
        <w:t>217.</w:t>
      </w:r>
      <w:r w:rsidR="005839DB" w:rsidRPr="00A01843">
        <w:rPr>
          <w:shd w:val="clear" w:color="auto" w:fill="FFFFFF"/>
        </w:rPr>
        <w:t xml:space="preserve"> https://doi.org/10.1016/j.edurev.2019.03.007</w:t>
      </w:r>
    </w:p>
    <w:p w14:paraId="0E04E2FD" w14:textId="318B6154" w:rsidR="00451EFB" w:rsidRPr="00A01843" w:rsidRDefault="00451EFB" w:rsidP="00AB14C7">
      <w:pPr>
        <w:pStyle w:val="References"/>
        <w:divId w:val="2072804619"/>
      </w:pPr>
      <w:proofErr w:type="spellStart"/>
      <w:r w:rsidRPr="00A01843">
        <w:t>Silberzahn</w:t>
      </w:r>
      <w:proofErr w:type="spellEnd"/>
      <w:r w:rsidRPr="00A01843">
        <w:t xml:space="preserve">, R., Uhlmann, E. L., Martin, D. P., </w:t>
      </w:r>
      <w:proofErr w:type="spellStart"/>
      <w:r w:rsidRPr="00A01843">
        <w:t>Anselmi</w:t>
      </w:r>
      <w:proofErr w:type="spellEnd"/>
      <w:r w:rsidRPr="00A01843">
        <w:t xml:space="preserve">, P., </w:t>
      </w:r>
      <w:proofErr w:type="spellStart"/>
      <w:r w:rsidRPr="00A01843">
        <w:t>Aust</w:t>
      </w:r>
      <w:proofErr w:type="spellEnd"/>
      <w:r w:rsidRPr="00A01843">
        <w:t xml:space="preserve">, F., Awtrey, E., </w:t>
      </w:r>
      <w:proofErr w:type="spellStart"/>
      <w:r w:rsidRPr="00A01843">
        <w:t>Bahník</w:t>
      </w:r>
      <w:proofErr w:type="spellEnd"/>
      <w:r w:rsidRPr="00A01843">
        <w:t xml:space="preserve">, Š., Bai, F., </w:t>
      </w:r>
      <w:proofErr w:type="spellStart"/>
      <w:r w:rsidRPr="00A01843">
        <w:t>Bannard</w:t>
      </w:r>
      <w:proofErr w:type="spellEnd"/>
      <w:r w:rsidRPr="00A01843">
        <w:t xml:space="preserve">, C., Bonnier, E., Carlsson, R., Cheung, F., Christensen, G., Clay, R., Craig, M. A., Dalla Rosa, A., Dam, L., Evans, M. H., Flores Cervantes, I., … &amp; </w:t>
      </w:r>
      <w:proofErr w:type="spellStart"/>
      <w:r w:rsidRPr="00A01843">
        <w:t>Nosek</w:t>
      </w:r>
      <w:proofErr w:type="spellEnd"/>
      <w:r w:rsidRPr="00A01843">
        <w:t xml:space="preserve">, B. A. (2018). Many Analysts, One Data Set: Making </w:t>
      </w:r>
      <w:r w:rsidR="005839DB" w:rsidRPr="00A01843">
        <w:t>t</w:t>
      </w:r>
      <w:r w:rsidRPr="00A01843">
        <w:t xml:space="preserve">ransparent </w:t>
      </w:r>
      <w:r w:rsidR="005839DB" w:rsidRPr="00A01843">
        <w:t>h</w:t>
      </w:r>
      <w:r w:rsidRPr="00A01843">
        <w:t xml:space="preserve">ow </w:t>
      </w:r>
      <w:r w:rsidR="005839DB" w:rsidRPr="00A01843">
        <w:t>v</w:t>
      </w:r>
      <w:r w:rsidRPr="00A01843">
        <w:t xml:space="preserve">ariations in </w:t>
      </w:r>
      <w:r w:rsidR="005839DB" w:rsidRPr="00A01843">
        <w:t>a</w:t>
      </w:r>
      <w:r w:rsidRPr="00A01843">
        <w:t xml:space="preserve">nalytic </w:t>
      </w:r>
      <w:r w:rsidR="005839DB" w:rsidRPr="00A01843">
        <w:t>c</w:t>
      </w:r>
      <w:r w:rsidRPr="00A01843">
        <w:t xml:space="preserve">hoices </w:t>
      </w:r>
      <w:r w:rsidR="005839DB" w:rsidRPr="00A01843">
        <w:t>a</w:t>
      </w:r>
      <w:r w:rsidRPr="00A01843">
        <w:t xml:space="preserve">ffect </w:t>
      </w:r>
      <w:r w:rsidR="005839DB" w:rsidRPr="00A01843">
        <w:t>r</w:t>
      </w:r>
      <w:r w:rsidRPr="00A01843">
        <w:t xml:space="preserve">esults. </w:t>
      </w:r>
      <w:r w:rsidRPr="00A01843">
        <w:rPr>
          <w:i/>
          <w:iCs/>
        </w:rPr>
        <w:t>Advances in Methods and Practices in Psychological Science</w:t>
      </w:r>
      <w:r w:rsidRPr="00A01843">
        <w:t>,</w:t>
      </w:r>
      <w:r w:rsidR="005839DB" w:rsidRPr="00A01843">
        <w:t xml:space="preserve"> </w:t>
      </w:r>
      <w:r w:rsidR="005839DB" w:rsidRPr="00A01843">
        <w:rPr>
          <w:i/>
          <w:iCs/>
        </w:rPr>
        <w:t>1</w:t>
      </w:r>
      <w:r w:rsidR="005839DB" w:rsidRPr="00A01843">
        <w:t>(3),</w:t>
      </w:r>
      <w:r w:rsidRPr="00A01843">
        <w:t xml:space="preserve"> 337–356. https://doi.org/10.1177/2515245917747646 </w:t>
      </w:r>
    </w:p>
    <w:p w14:paraId="19A0DAE5" w14:textId="369C2AA0" w:rsidR="00AB14C7" w:rsidRPr="00A01843" w:rsidRDefault="00AB14C7" w:rsidP="00AB14C7">
      <w:pPr>
        <w:pStyle w:val="References"/>
        <w:divId w:val="2072804619"/>
        <w:rPr>
          <w:shd w:val="clear" w:color="auto" w:fill="EFEFF0"/>
        </w:rPr>
      </w:pPr>
      <w:r w:rsidRPr="00A01843">
        <w:t>Simmons, J.P.</w:t>
      </w:r>
      <w:r w:rsidRPr="00A01843">
        <w:rPr>
          <w:shd w:val="clear" w:color="auto" w:fill="EFEFF0"/>
        </w:rPr>
        <w:t>, </w:t>
      </w:r>
      <w:r w:rsidRPr="00A01843">
        <w:t>Nelson, L.D.</w:t>
      </w:r>
      <w:r w:rsidR="00451EFB" w:rsidRPr="00A01843">
        <w:t>,</w:t>
      </w:r>
      <w:r w:rsidRPr="00A01843">
        <w:rPr>
          <w:shd w:val="clear" w:color="auto" w:fill="EFEFF0"/>
        </w:rPr>
        <w:t> &amp; </w:t>
      </w:r>
      <w:proofErr w:type="spellStart"/>
      <w:r w:rsidRPr="00A01843">
        <w:t>Simonsohn</w:t>
      </w:r>
      <w:proofErr w:type="spellEnd"/>
      <w:r w:rsidRPr="00A01843">
        <w:t>, U.</w:t>
      </w:r>
      <w:r w:rsidR="00451EFB" w:rsidRPr="00A01843">
        <w:t xml:space="preserve"> </w:t>
      </w:r>
      <w:r w:rsidRPr="00A01843">
        <w:rPr>
          <w:shd w:val="clear" w:color="auto" w:fill="EFEFF0"/>
        </w:rPr>
        <w:t>(</w:t>
      </w:r>
      <w:r w:rsidRPr="00A01843">
        <w:t>2011</w:t>
      </w:r>
      <w:r w:rsidRPr="00A01843">
        <w:rPr>
          <w:shd w:val="clear" w:color="auto" w:fill="EFEFF0"/>
        </w:rPr>
        <w:t>)</w:t>
      </w:r>
      <w:r w:rsidR="00451EFB" w:rsidRPr="00A01843">
        <w:rPr>
          <w:shd w:val="clear" w:color="auto" w:fill="EFEFF0"/>
        </w:rPr>
        <w:t>.</w:t>
      </w:r>
      <w:r w:rsidRPr="00A01843">
        <w:rPr>
          <w:shd w:val="clear" w:color="auto" w:fill="EFEFF0"/>
        </w:rPr>
        <w:t> </w:t>
      </w:r>
      <w:r w:rsidRPr="00A01843">
        <w:t>False</w:t>
      </w:r>
      <w:r w:rsidRPr="00A01843">
        <w:rPr>
          <w:rFonts w:ascii="Cambria Math" w:hAnsi="Cambria Math" w:cs="Cambria Math"/>
        </w:rPr>
        <w:t>‐</w:t>
      </w:r>
      <w:r w:rsidRPr="00A01843">
        <w:t>positive psychology: undisclosed flexibility in data collection and analysis allows presenting anything as significant</w:t>
      </w:r>
      <w:r w:rsidRPr="00A01843">
        <w:rPr>
          <w:shd w:val="clear" w:color="auto" w:fill="EFEFF0"/>
        </w:rPr>
        <w:t>. </w:t>
      </w:r>
      <w:r w:rsidRPr="00A01843">
        <w:rPr>
          <w:i/>
          <w:iCs/>
        </w:rPr>
        <w:t>Psychological Science</w:t>
      </w:r>
      <w:r w:rsidRPr="00A01843">
        <w:rPr>
          <w:shd w:val="clear" w:color="auto" w:fill="EFEFF0"/>
        </w:rPr>
        <w:t>, </w:t>
      </w:r>
      <w:r w:rsidRPr="00A01843">
        <w:rPr>
          <w:i/>
          <w:iCs/>
        </w:rPr>
        <w:t>22</w:t>
      </w:r>
      <w:r w:rsidRPr="00A01843">
        <w:rPr>
          <w:shd w:val="clear" w:color="auto" w:fill="EFEFF0"/>
        </w:rPr>
        <w:t>(</w:t>
      </w:r>
      <w:r w:rsidRPr="00A01843">
        <w:t>11</w:t>
      </w:r>
      <w:r w:rsidRPr="00A01843">
        <w:rPr>
          <w:shd w:val="clear" w:color="auto" w:fill="EFEFF0"/>
        </w:rPr>
        <w:t>), </w:t>
      </w:r>
      <w:r w:rsidRPr="00A01843">
        <w:t>1359</w:t>
      </w:r>
      <w:r w:rsidRPr="00A01843">
        <w:rPr>
          <w:shd w:val="clear" w:color="auto" w:fill="EFEFF0"/>
        </w:rPr>
        <w:t>–</w:t>
      </w:r>
      <w:r w:rsidRPr="00A01843">
        <w:t>1366</w:t>
      </w:r>
      <w:r w:rsidRPr="00A01843">
        <w:rPr>
          <w:shd w:val="clear" w:color="auto" w:fill="EFEFF0"/>
        </w:rPr>
        <w:t>.</w:t>
      </w:r>
      <w:r w:rsidR="00A45890" w:rsidRPr="00A01843">
        <w:rPr>
          <w:shd w:val="clear" w:color="auto" w:fill="EFEFF0"/>
        </w:rPr>
        <w:t xml:space="preserve"> https://doi.org/10.1177%2F0956797611417632</w:t>
      </w:r>
    </w:p>
    <w:p w14:paraId="4AFA389D" w14:textId="78AF6A14" w:rsidR="00AB14C7" w:rsidRPr="00A01843" w:rsidRDefault="00AB14C7" w:rsidP="00AB14C7">
      <w:pPr>
        <w:pStyle w:val="References"/>
        <w:divId w:val="2072804619"/>
      </w:pPr>
      <w:proofErr w:type="spellStart"/>
      <w:r w:rsidRPr="00A01843">
        <w:rPr>
          <w:shd w:val="clear" w:color="auto" w:fill="FFFFFF"/>
        </w:rPr>
        <w:lastRenderedPageBreak/>
        <w:t>Simonsohn</w:t>
      </w:r>
      <w:proofErr w:type="spellEnd"/>
      <w:r w:rsidRPr="00A01843">
        <w:rPr>
          <w:shd w:val="clear" w:color="auto" w:fill="FFFFFF"/>
        </w:rPr>
        <w:t>, U., Simmons, J. P., &amp; Nelson, L. D. (2020). Specification curve analysis. </w:t>
      </w:r>
      <w:r w:rsidRPr="00A01843">
        <w:rPr>
          <w:i/>
          <w:iCs/>
        </w:rPr>
        <w:t>Nature Human Behaviour</w:t>
      </w:r>
      <w:r w:rsidRPr="00A01843">
        <w:rPr>
          <w:shd w:val="clear" w:color="auto" w:fill="FFFFFF"/>
        </w:rPr>
        <w:t>, </w:t>
      </w:r>
      <w:r w:rsidRPr="00A01843">
        <w:rPr>
          <w:i/>
          <w:iCs/>
        </w:rPr>
        <w:t>4</w:t>
      </w:r>
      <w:r w:rsidRPr="00A01843">
        <w:rPr>
          <w:shd w:val="clear" w:color="auto" w:fill="FFFFFF"/>
        </w:rPr>
        <w:t>(11), 1208</w:t>
      </w:r>
      <w:r w:rsidR="009023AA" w:rsidRPr="00A01843">
        <w:rPr>
          <w:shd w:val="clear" w:color="auto" w:fill="EFEFF0"/>
        </w:rPr>
        <w:t>–</w:t>
      </w:r>
      <w:r w:rsidRPr="00A01843">
        <w:rPr>
          <w:shd w:val="clear" w:color="auto" w:fill="FFFFFF"/>
        </w:rPr>
        <w:t>1214.</w:t>
      </w:r>
      <w:r w:rsidR="00A45890" w:rsidRPr="00A01843">
        <w:rPr>
          <w:shd w:val="clear" w:color="auto" w:fill="FFFFFF"/>
        </w:rPr>
        <w:t xml:space="preserve"> https://doi.org/10.1038/s41562-020-0912-z</w:t>
      </w:r>
    </w:p>
    <w:p w14:paraId="7C5ACC6D" w14:textId="48CD5ABF" w:rsidR="00AB14C7" w:rsidRPr="00A01843" w:rsidRDefault="00AB14C7" w:rsidP="00AB14C7">
      <w:pPr>
        <w:pStyle w:val="References"/>
        <w:divId w:val="2072804619"/>
        <w:rPr>
          <w:shd w:val="clear" w:color="auto" w:fill="FFFFFF"/>
        </w:rPr>
      </w:pPr>
      <w:proofErr w:type="spellStart"/>
      <w:r w:rsidRPr="00A01843">
        <w:rPr>
          <w:shd w:val="clear" w:color="auto" w:fill="FFFFFF"/>
        </w:rPr>
        <w:t>Smaldino</w:t>
      </w:r>
      <w:proofErr w:type="spellEnd"/>
      <w:r w:rsidRPr="00A01843">
        <w:rPr>
          <w:shd w:val="clear" w:color="auto" w:fill="FFFFFF"/>
        </w:rPr>
        <w:t xml:space="preserve">, P. E., &amp; </w:t>
      </w:r>
      <w:proofErr w:type="spellStart"/>
      <w:r w:rsidRPr="00A01843">
        <w:rPr>
          <w:shd w:val="clear" w:color="auto" w:fill="FFFFFF"/>
        </w:rPr>
        <w:t>McElreath</w:t>
      </w:r>
      <w:proofErr w:type="spellEnd"/>
      <w:r w:rsidRPr="00A01843">
        <w:rPr>
          <w:shd w:val="clear" w:color="auto" w:fill="FFFFFF"/>
        </w:rPr>
        <w:t>, R. (2016). The natural selection of bad science. </w:t>
      </w:r>
      <w:r w:rsidRPr="00A01843">
        <w:rPr>
          <w:i/>
          <w:iCs/>
        </w:rPr>
        <w:t xml:space="preserve">Royal Society </w:t>
      </w:r>
      <w:r w:rsidR="0071482D" w:rsidRPr="00A01843">
        <w:rPr>
          <w:i/>
          <w:iCs/>
        </w:rPr>
        <w:t>O</w:t>
      </w:r>
      <w:r w:rsidRPr="00A01843">
        <w:rPr>
          <w:i/>
          <w:iCs/>
        </w:rPr>
        <w:t xml:space="preserve">pen </w:t>
      </w:r>
      <w:r w:rsidR="0071482D" w:rsidRPr="00A01843">
        <w:rPr>
          <w:i/>
          <w:iCs/>
        </w:rPr>
        <w:t>S</w:t>
      </w:r>
      <w:r w:rsidRPr="00A01843">
        <w:rPr>
          <w:i/>
          <w:iCs/>
        </w:rPr>
        <w:t>cience</w:t>
      </w:r>
      <w:r w:rsidRPr="00A01843">
        <w:rPr>
          <w:shd w:val="clear" w:color="auto" w:fill="FFFFFF"/>
        </w:rPr>
        <w:t>, </w:t>
      </w:r>
      <w:r w:rsidRPr="00A01843">
        <w:rPr>
          <w:i/>
          <w:iCs/>
        </w:rPr>
        <w:t>3</w:t>
      </w:r>
      <w:r w:rsidRPr="00A01843">
        <w:rPr>
          <w:shd w:val="clear" w:color="auto" w:fill="FFFFFF"/>
        </w:rPr>
        <w:t>(9),</w:t>
      </w:r>
      <w:r w:rsidR="00FC6073" w:rsidRPr="00A01843">
        <w:rPr>
          <w:b/>
          <w:shd w:val="clear" w:color="auto" w:fill="FFFFFF"/>
        </w:rPr>
        <w:t xml:space="preserve"> </w:t>
      </w:r>
      <w:r w:rsidRPr="00A01843">
        <w:rPr>
          <w:shd w:val="clear" w:color="auto" w:fill="FFFFFF"/>
        </w:rPr>
        <w:t>160384.</w:t>
      </w:r>
      <w:r w:rsidR="009023AA" w:rsidRPr="00A01843">
        <w:rPr>
          <w:shd w:val="clear" w:color="auto" w:fill="FFFFFF"/>
        </w:rPr>
        <w:t xml:space="preserve"> https://doi.org/10.1098/rsos.160384</w:t>
      </w:r>
    </w:p>
    <w:p w14:paraId="4261794B" w14:textId="63C8CC32" w:rsidR="00AB14C7" w:rsidRPr="00A01843" w:rsidRDefault="00AB14C7" w:rsidP="00AB14C7">
      <w:pPr>
        <w:pStyle w:val="References"/>
        <w:divId w:val="2072804619"/>
      </w:pPr>
      <w:proofErr w:type="spellStart"/>
      <w:r w:rsidRPr="00A01843">
        <w:rPr>
          <w:shd w:val="clear" w:color="auto" w:fill="FFFFFF"/>
        </w:rPr>
        <w:t>Steegen</w:t>
      </w:r>
      <w:proofErr w:type="spellEnd"/>
      <w:r w:rsidRPr="00A01843">
        <w:rPr>
          <w:shd w:val="clear" w:color="auto" w:fill="FFFFFF"/>
        </w:rPr>
        <w:t xml:space="preserve">, S., </w:t>
      </w:r>
      <w:proofErr w:type="spellStart"/>
      <w:r w:rsidRPr="00A01843">
        <w:rPr>
          <w:shd w:val="clear" w:color="auto" w:fill="FFFFFF"/>
        </w:rPr>
        <w:t>Tuerlinckx</w:t>
      </w:r>
      <w:proofErr w:type="spellEnd"/>
      <w:r w:rsidRPr="00A01843">
        <w:rPr>
          <w:shd w:val="clear" w:color="auto" w:fill="FFFFFF"/>
        </w:rPr>
        <w:t xml:space="preserve">, F., Gelman, A., &amp; </w:t>
      </w:r>
      <w:proofErr w:type="spellStart"/>
      <w:r w:rsidRPr="00A01843">
        <w:rPr>
          <w:shd w:val="clear" w:color="auto" w:fill="FFFFFF"/>
        </w:rPr>
        <w:t>Vanpaemel</w:t>
      </w:r>
      <w:proofErr w:type="spellEnd"/>
      <w:r w:rsidRPr="00A01843">
        <w:rPr>
          <w:shd w:val="clear" w:color="auto" w:fill="FFFFFF"/>
        </w:rPr>
        <w:t>, W. (2016). Increasing transparency through a multiverse analysis. </w:t>
      </w:r>
      <w:r w:rsidRPr="00A01843">
        <w:rPr>
          <w:i/>
          <w:iCs/>
        </w:rPr>
        <w:t>Perspectives on Psychological Science</w:t>
      </w:r>
      <w:r w:rsidRPr="00A01843">
        <w:rPr>
          <w:shd w:val="clear" w:color="auto" w:fill="FFFFFF"/>
        </w:rPr>
        <w:t>, </w:t>
      </w:r>
      <w:r w:rsidRPr="00A01843">
        <w:rPr>
          <w:i/>
          <w:iCs/>
        </w:rPr>
        <w:t>11</w:t>
      </w:r>
      <w:r w:rsidRPr="00A01843">
        <w:rPr>
          <w:shd w:val="clear" w:color="auto" w:fill="FFFFFF"/>
        </w:rPr>
        <w:t>(5), 702</w:t>
      </w:r>
      <w:r w:rsidR="009023AA" w:rsidRPr="00A01843">
        <w:rPr>
          <w:shd w:val="clear" w:color="auto" w:fill="EFEFF0"/>
        </w:rPr>
        <w:t>–</w:t>
      </w:r>
      <w:r w:rsidRPr="00A01843">
        <w:rPr>
          <w:shd w:val="clear" w:color="auto" w:fill="FFFFFF"/>
        </w:rPr>
        <w:t>712.</w:t>
      </w:r>
      <w:r w:rsidR="00A45890" w:rsidRPr="00A01843">
        <w:rPr>
          <w:shd w:val="clear" w:color="auto" w:fill="FFFFFF"/>
        </w:rPr>
        <w:t xml:space="preserve"> https://doi.org/10.1177%2F1745691616658637</w:t>
      </w:r>
    </w:p>
    <w:p w14:paraId="30770A4A" w14:textId="1B44623C" w:rsidR="00AB14C7" w:rsidRPr="00A01843" w:rsidRDefault="00AB14C7" w:rsidP="00AB14C7">
      <w:pPr>
        <w:pStyle w:val="References"/>
        <w:divId w:val="2072804619"/>
        <w:rPr>
          <w:shd w:val="clear" w:color="auto" w:fill="EFEFF0"/>
        </w:rPr>
      </w:pPr>
      <w:r w:rsidRPr="00A01843">
        <w:t>White, T.K.</w:t>
      </w:r>
      <w:r w:rsidRPr="00A01843">
        <w:rPr>
          <w:shd w:val="clear" w:color="auto" w:fill="EFEFF0"/>
        </w:rPr>
        <w:t>, </w:t>
      </w:r>
      <w:r w:rsidRPr="00A01843">
        <w:t>Reiter, J.P.</w:t>
      </w:r>
      <w:r w:rsidR="009023AA" w:rsidRPr="00A01843">
        <w:t>,</w:t>
      </w:r>
      <w:r w:rsidRPr="00A01843">
        <w:rPr>
          <w:shd w:val="clear" w:color="auto" w:fill="EFEFF0"/>
        </w:rPr>
        <w:t> &amp; </w:t>
      </w:r>
      <w:proofErr w:type="spellStart"/>
      <w:r w:rsidRPr="00A01843">
        <w:t>Petrin</w:t>
      </w:r>
      <w:proofErr w:type="spellEnd"/>
      <w:r w:rsidRPr="00A01843">
        <w:t>, A.</w:t>
      </w:r>
      <w:r w:rsidRPr="00A01843">
        <w:rPr>
          <w:shd w:val="clear" w:color="auto" w:fill="EFEFF0"/>
        </w:rPr>
        <w:t> (</w:t>
      </w:r>
      <w:r w:rsidRPr="00A01843">
        <w:t>2018</w:t>
      </w:r>
      <w:r w:rsidRPr="00A01843">
        <w:rPr>
          <w:shd w:val="clear" w:color="auto" w:fill="EFEFF0"/>
        </w:rPr>
        <w:t>)</w:t>
      </w:r>
      <w:r w:rsidR="009023AA" w:rsidRPr="00A01843">
        <w:rPr>
          <w:shd w:val="clear" w:color="auto" w:fill="EFEFF0"/>
        </w:rPr>
        <w:t>.</w:t>
      </w:r>
      <w:r w:rsidRPr="00A01843">
        <w:rPr>
          <w:shd w:val="clear" w:color="auto" w:fill="EFEFF0"/>
        </w:rPr>
        <w:t> </w:t>
      </w:r>
      <w:r w:rsidRPr="00A01843">
        <w:t>Imputation in US manufacturing data and its implications for productivity dispersion</w:t>
      </w:r>
      <w:r w:rsidRPr="00A01843">
        <w:rPr>
          <w:shd w:val="clear" w:color="auto" w:fill="EFEFF0"/>
        </w:rPr>
        <w:t>. </w:t>
      </w:r>
      <w:r w:rsidRPr="00A01843">
        <w:rPr>
          <w:i/>
          <w:iCs/>
        </w:rPr>
        <w:t>Review of Economics and Statistics</w:t>
      </w:r>
      <w:r w:rsidRPr="00A01843">
        <w:rPr>
          <w:shd w:val="clear" w:color="auto" w:fill="EFEFF0"/>
        </w:rPr>
        <w:t>, </w:t>
      </w:r>
      <w:r w:rsidRPr="00A01843">
        <w:rPr>
          <w:i/>
          <w:iCs/>
        </w:rPr>
        <w:t>100</w:t>
      </w:r>
      <w:r w:rsidRPr="00A01843">
        <w:rPr>
          <w:shd w:val="clear" w:color="auto" w:fill="EFEFF0"/>
        </w:rPr>
        <w:t>(</w:t>
      </w:r>
      <w:r w:rsidRPr="00A01843">
        <w:t>3</w:t>
      </w:r>
      <w:r w:rsidRPr="00A01843">
        <w:rPr>
          <w:shd w:val="clear" w:color="auto" w:fill="EFEFF0"/>
        </w:rPr>
        <w:t>), </w:t>
      </w:r>
      <w:r w:rsidRPr="00A01843">
        <w:t>502</w:t>
      </w:r>
      <w:r w:rsidRPr="00A01843">
        <w:rPr>
          <w:shd w:val="clear" w:color="auto" w:fill="EFEFF0"/>
        </w:rPr>
        <w:t>–</w:t>
      </w:r>
      <w:r w:rsidRPr="00A01843">
        <w:t>509</w:t>
      </w:r>
      <w:r w:rsidRPr="00A01843">
        <w:rPr>
          <w:shd w:val="clear" w:color="auto" w:fill="EFEFF0"/>
        </w:rPr>
        <w:t>.</w:t>
      </w:r>
      <w:r w:rsidR="00A45890" w:rsidRPr="00A01843">
        <w:rPr>
          <w:shd w:val="clear" w:color="auto" w:fill="EFEFF0"/>
        </w:rPr>
        <w:t xml:space="preserve"> https://doi.org/10.1162/rest_a_00678</w:t>
      </w:r>
    </w:p>
    <w:p w14:paraId="61D27CC4" w14:textId="77777777" w:rsidR="00AB14C7" w:rsidRPr="00A01843" w:rsidRDefault="00AB14C7" w:rsidP="00AB14C7">
      <w:pPr>
        <w:pStyle w:val="References"/>
        <w:divId w:val="2072804619"/>
      </w:pPr>
      <w:r w:rsidRPr="00A01843">
        <w:t xml:space="preserve">Wu, Y. W., &amp; Wooldridge, P. J. (2005). The impact of </w:t>
      </w:r>
      <w:proofErr w:type="spellStart"/>
      <w:r w:rsidRPr="00A01843">
        <w:t>centering</w:t>
      </w:r>
      <w:proofErr w:type="spellEnd"/>
      <w:r w:rsidRPr="00A01843">
        <w:t xml:space="preserve"> first-level predictors on individual and contextual effects in multilevel data analysis. </w:t>
      </w:r>
      <w:r w:rsidRPr="00A01843">
        <w:rPr>
          <w:i/>
          <w:iCs/>
        </w:rPr>
        <w:t>Nursing research</w:t>
      </w:r>
      <w:r w:rsidRPr="00A01843">
        <w:t xml:space="preserve">, </w:t>
      </w:r>
      <w:r w:rsidRPr="00A01843">
        <w:rPr>
          <w:i/>
          <w:iCs/>
        </w:rPr>
        <w:t>54</w:t>
      </w:r>
      <w:r w:rsidRPr="00A01843">
        <w:t>(3), 212–216. https://doi.org/10.1097/00006199-200505000-00009</w:t>
      </w:r>
    </w:p>
    <w:p w14:paraId="656F53EB" w14:textId="77777777" w:rsidR="00C70C36" w:rsidRPr="00A01843" w:rsidRDefault="00C70C36" w:rsidP="00AB14C7">
      <w:pPr>
        <w:pStyle w:val="References"/>
        <w:divId w:val="2072804619"/>
      </w:pPr>
    </w:p>
    <w:sectPr w:rsidR="00C70C36" w:rsidRPr="00A01843" w:rsidSect="00A01843">
      <w:endnotePr>
        <w:numFmt w:val="decimal"/>
      </w:endnotePr>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5432F" w14:textId="77777777" w:rsidR="004C11C0" w:rsidRDefault="004C11C0" w:rsidP="00AF2C92">
      <w:r>
        <w:separator/>
      </w:r>
    </w:p>
  </w:endnote>
  <w:endnote w:type="continuationSeparator" w:id="0">
    <w:p w14:paraId="0FA6DFCA" w14:textId="77777777" w:rsidR="004C11C0" w:rsidRDefault="004C11C0" w:rsidP="00AF2C92">
      <w:r>
        <w:continuationSeparator/>
      </w:r>
    </w:p>
  </w:endnote>
  <w:endnote w:id="1">
    <w:p w14:paraId="0C1ADBEF" w14:textId="7824F285" w:rsidR="00EB6B2E" w:rsidRPr="00A01843" w:rsidRDefault="00EB6B2E" w:rsidP="00E8451D">
      <w:pPr>
        <w:pStyle w:val="EndnoteText"/>
      </w:pPr>
      <w:r w:rsidRPr="00A01843">
        <w:rPr>
          <w:rStyle w:val="EndnoteReference"/>
        </w:rPr>
        <w:endnoteRef/>
      </w:r>
      <w:r w:rsidRPr="00A01843">
        <w:t xml:space="preserve"> </w:t>
      </w:r>
      <w:r w:rsidR="0071482D" w:rsidRPr="00A01843">
        <w:t>T</w:t>
      </w:r>
      <w:r w:rsidRPr="00A01843">
        <w:t>he abstract and the findings in the text contradict one another. The abstract mentions that being a male student is a positive predictor of ICT literacy score, but the text mentions that “the ICT literacy test score of female students was 2.543 points higher than that of male students” (Kim et al., 2014, p. 34)</w:t>
      </w:r>
      <w:r w:rsidR="0071482D" w:rsidRPr="00A01843">
        <w:t>,</w:t>
      </w:r>
      <w:r w:rsidRPr="00A01843">
        <w:t xml:space="preserve"> with the coefficient in Table 6 </w:t>
      </w:r>
      <w:r w:rsidR="0071482D" w:rsidRPr="00A01843">
        <w:t xml:space="preserve">being </w:t>
      </w:r>
      <w:r w:rsidRPr="00A01843">
        <w:t>negative for male students, as gender was coded as female=0, male=1.</w:t>
      </w:r>
    </w:p>
  </w:endnote>
  <w:endnote w:id="2">
    <w:p w14:paraId="43941451" w14:textId="0F9A0DF9" w:rsidR="00EB6B2E" w:rsidRPr="00A01843" w:rsidRDefault="00EB6B2E" w:rsidP="00E8451D">
      <w:pPr>
        <w:pStyle w:val="EndnoteText"/>
      </w:pPr>
      <w:r w:rsidRPr="00A01843">
        <w:rPr>
          <w:rStyle w:val="EndnoteReference"/>
        </w:rPr>
        <w:endnoteRef/>
      </w:r>
      <w:r w:rsidRPr="00A01843">
        <w:t xml:space="preserve"> Non-simulated research refers to research that has original data collection. Data that are created by simulations and algorithms are not included.</w:t>
      </w:r>
    </w:p>
  </w:endnote>
  <w:endnote w:id="3">
    <w:p w14:paraId="07B22CC8" w14:textId="503F8E47" w:rsidR="00EB6B2E" w:rsidRPr="00A01843" w:rsidRDefault="00EB6B2E" w:rsidP="00E8451D">
      <w:pPr>
        <w:pStyle w:val="EndnoteText"/>
      </w:pPr>
      <w:r w:rsidRPr="00A01843">
        <w:rPr>
          <w:rStyle w:val="EndnoteReference"/>
        </w:rPr>
        <w:endnoteRef/>
      </w:r>
      <w:r w:rsidRPr="00A01843">
        <w:t xml:space="preserve"> </w:t>
      </w:r>
      <w:r w:rsidR="0071482D" w:rsidRPr="00A01843">
        <w:t>D</w:t>
      </w:r>
      <w:r w:rsidRPr="00A01843">
        <w:t xml:space="preserve">espite the </w:t>
      </w:r>
      <w:proofErr w:type="gramStart"/>
      <w:r w:rsidRPr="00A01843">
        <w:t>aforementioned discrepancy</w:t>
      </w:r>
      <w:proofErr w:type="gramEnd"/>
      <w:r w:rsidRPr="00A01843">
        <w:t xml:space="preserve"> in the text of the abstract, the meta-analysis included Kim et al. (2014) </w:t>
      </w:r>
      <w:r w:rsidR="0071482D" w:rsidRPr="00A01843">
        <w:t>included</w:t>
      </w:r>
      <w:r w:rsidRPr="00A01843">
        <w:t xml:space="preserve"> studies showing higher achievement for females.</w:t>
      </w:r>
    </w:p>
  </w:endnote>
  <w:endnote w:id="4">
    <w:p w14:paraId="0702F663" w14:textId="1DC7E509" w:rsidR="00EB6B2E" w:rsidRPr="00A01843" w:rsidRDefault="00EB6B2E" w:rsidP="00E8451D">
      <w:pPr>
        <w:pStyle w:val="EndnoteText"/>
      </w:pPr>
      <w:r w:rsidRPr="00A01843">
        <w:rPr>
          <w:rStyle w:val="EndnoteReference"/>
        </w:rPr>
        <w:endnoteRef/>
      </w:r>
      <w:r w:rsidRPr="00A01843">
        <w:t xml:space="preserve"> The researchers used a three-dimensional structure for CIL with dimensions</w:t>
      </w:r>
      <w:r w:rsidR="0071482D" w:rsidRPr="00A01843">
        <w:t>:</w:t>
      </w:r>
      <w:r w:rsidRPr="00A01843">
        <w:t xml:space="preserve"> 1. ‘Applying technical functionality’, 2. ‘Evaluating and reflecting on information’ and 3. ‘Sharing or communicating information’. Girls outperformed boys in most countries on the second dimension, and no </w:t>
      </w:r>
      <w:r w:rsidR="0071482D" w:rsidRPr="00A01843">
        <w:t xml:space="preserve">statistically </w:t>
      </w:r>
      <w:r w:rsidRPr="00A01843">
        <w:t>significant gender differences were found for Dimension 1. The largest differences in favour of girls were on Dimension 3.</w:t>
      </w:r>
    </w:p>
  </w:endnote>
  <w:endnote w:id="5">
    <w:p w14:paraId="2F3E5056" w14:textId="0399D8F3" w:rsidR="00EB6B2E" w:rsidRPr="00A01843" w:rsidRDefault="00EB6B2E" w:rsidP="00E8451D">
      <w:pPr>
        <w:pStyle w:val="EndnoteText"/>
        <w:rPr>
          <w:b/>
        </w:rPr>
      </w:pPr>
      <w:r w:rsidRPr="00A01843">
        <w:rPr>
          <w:rStyle w:val="EndnoteReference"/>
        </w:rPr>
        <w:endnoteRef/>
      </w:r>
      <w:r w:rsidRPr="00A01843">
        <w:t xml:space="preserve"> The R scripts and associated analysis files that are made available take the original ICILS files from the IEA in the raw SPSS format and apply all the necessary data processing and analyses. They are available on </w:t>
      </w:r>
      <w:r w:rsidR="00EB1892" w:rsidRPr="00A01843">
        <w:t>the Open Science Framework (OSF).</w:t>
      </w:r>
    </w:p>
  </w:endnote>
  <w:endnote w:id="6">
    <w:p w14:paraId="2A588160" w14:textId="555883A0" w:rsidR="00EB6B2E" w:rsidRPr="00A01843" w:rsidRDefault="00EB6B2E" w:rsidP="00E8451D">
      <w:pPr>
        <w:pStyle w:val="EndnoteText"/>
      </w:pPr>
      <w:r w:rsidRPr="00A01843">
        <w:rPr>
          <w:rStyle w:val="EndnoteReference"/>
        </w:rPr>
        <w:endnoteRef/>
      </w:r>
      <w:r w:rsidRPr="00A01843">
        <w:t xml:space="preserve"> According to </w:t>
      </w:r>
      <w:r w:rsidR="0071482D" w:rsidRPr="00A01843">
        <w:t xml:space="preserve">the </w:t>
      </w:r>
      <w:r w:rsidRPr="00A01843">
        <w:t>authors</w:t>
      </w:r>
      <w:r w:rsidR="0071482D" w:rsidRPr="00A01843">
        <w:t>,</w:t>
      </w:r>
      <w:r w:rsidRPr="00A01843">
        <w:t xml:space="preserve"> strata were based on regional scale (Kim et al., 2014, p. 32).</w:t>
      </w:r>
    </w:p>
  </w:endnote>
  <w:endnote w:id="7">
    <w:p w14:paraId="0F01A504" w14:textId="1F2E6285" w:rsidR="00EB6B2E" w:rsidRPr="00A01843" w:rsidRDefault="00EB6B2E" w:rsidP="00E8451D">
      <w:pPr>
        <w:pStyle w:val="EndnoteText"/>
      </w:pPr>
      <w:r w:rsidRPr="00A01843">
        <w:rPr>
          <w:rStyle w:val="EndnoteReference"/>
        </w:rPr>
        <w:endnoteRef/>
      </w:r>
      <w:r w:rsidRPr="00A01843">
        <w:t xml:space="preserve"> Details of this procedure are reported in the technical report (</w:t>
      </w:r>
      <w:proofErr w:type="spellStart"/>
      <w:r w:rsidRPr="00A01843">
        <w:t>Fraillon</w:t>
      </w:r>
      <w:proofErr w:type="spellEnd"/>
      <w:r w:rsidRPr="00A01843">
        <w:t xml:space="preserve"> et al., 2020, chapter 6). Exclusions, for example, could take place in cases of physical or intellectual disability, or in cases of non-native language speakers without the language proficiency to complete the assessment. </w:t>
      </w:r>
    </w:p>
  </w:endnote>
  <w:endnote w:id="8">
    <w:p w14:paraId="0B9517AF" w14:textId="2A1BA1F0" w:rsidR="00EB6B2E" w:rsidRPr="00A01843" w:rsidRDefault="00EB6B2E" w:rsidP="00E8451D">
      <w:pPr>
        <w:pStyle w:val="EndnoteText"/>
      </w:pPr>
      <w:r w:rsidRPr="00A01843">
        <w:rPr>
          <w:rStyle w:val="EndnoteReference"/>
        </w:rPr>
        <w:endnoteRef/>
      </w:r>
      <w:r w:rsidRPr="00A01843">
        <w:t xml:space="preserve"> Students do not complete all assessment items</w:t>
      </w:r>
      <w:r w:rsidR="0071482D" w:rsidRPr="00A01843">
        <w:t>,</w:t>
      </w:r>
      <w:r w:rsidRPr="00A01843">
        <w:t xml:space="preserve"> but only a selection of items from a booklet. However, reducing test length and administering subsets of items, introduces uncertainty </w:t>
      </w:r>
      <w:r w:rsidR="00EB1892" w:rsidRPr="00A01843">
        <w:t xml:space="preserve">in the estimates </w:t>
      </w:r>
      <w:r w:rsidRPr="00A01843">
        <w:t>at the individual level. The problem is addressed by treating a student’s ability estimate as a missing data problem and adopting a ‘plausible values’ methodology that uses all available information from student tests and questionnaires to impute an ability estimate. For more details see the ICILS 2018 technical report (</w:t>
      </w:r>
      <w:proofErr w:type="spellStart"/>
      <w:r w:rsidRPr="00A01843">
        <w:t>Fraillon</w:t>
      </w:r>
      <w:proofErr w:type="spellEnd"/>
      <w:r w:rsidRPr="00A01843">
        <w:t xml:space="preserve"> et al., 2020</w:t>
      </w:r>
      <w:r w:rsidR="00FC6073" w:rsidRPr="00A01843">
        <w:t>b</w:t>
      </w:r>
      <w:r w:rsidRPr="00A01843">
        <w:t>, chapter 11).</w:t>
      </w:r>
    </w:p>
  </w:endnote>
  <w:endnote w:id="9">
    <w:p w14:paraId="39DD7D68" w14:textId="77777777" w:rsidR="00A01843" w:rsidRPr="00A01843" w:rsidRDefault="00A01843" w:rsidP="00A01843">
      <w:pPr>
        <w:pStyle w:val="EndnoteText"/>
      </w:pPr>
      <w:bookmarkStart w:id="0" w:name="_Hlk78639736"/>
      <w:bookmarkStart w:id="1" w:name="_Hlk78639737"/>
      <w:r w:rsidRPr="00A01843">
        <w:rPr>
          <w:rStyle w:val="EndnoteReference"/>
        </w:rPr>
        <w:endnoteRef/>
      </w:r>
      <w:r w:rsidRPr="00A01843">
        <w:t xml:space="preserve"> It is important to note that we did not transform the original ICILS 2018 data and that therefore, for the interpretation of the gender effect, we are looking for a ‘reverse’ effect, as the reference categories are different.</w:t>
      </w:r>
    </w:p>
  </w:endnote>
  <w:endnote w:id="10">
    <w:p w14:paraId="0120CEBC" w14:textId="77777777" w:rsidR="00A01843" w:rsidRPr="00A01843" w:rsidRDefault="00A01843" w:rsidP="00A01843">
      <w:pPr>
        <w:pStyle w:val="EndnoteText"/>
      </w:pPr>
      <w:r w:rsidRPr="00A01843">
        <w:rPr>
          <w:rStyle w:val="EndnoteReference"/>
        </w:rPr>
        <w:endnoteRef/>
      </w:r>
      <w:r w:rsidRPr="00A01843">
        <w:t xml:space="preserve"> Wordings throughout the table have been kept as </w:t>
      </w:r>
      <w:proofErr w:type="gramStart"/>
      <w:r w:rsidRPr="00A01843">
        <w:t>similar to</w:t>
      </w:r>
      <w:proofErr w:type="gramEnd"/>
      <w:r w:rsidRPr="00A01843">
        <w:t xml:space="preserve"> the original source as possible.</w:t>
      </w:r>
    </w:p>
  </w:endnote>
  <w:endnote w:id="11">
    <w:p w14:paraId="62A7AE81" w14:textId="77777777" w:rsidR="00A01843" w:rsidRPr="00A01843" w:rsidRDefault="00A01843" w:rsidP="00A01843">
      <w:pPr>
        <w:pStyle w:val="EndnoteText"/>
      </w:pPr>
      <w:r w:rsidRPr="00A01843">
        <w:rPr>
          <w:rStyle w:val="EndnoteReference"/>
        </w:rPr>
        <w:endnoteRef/>
      </w:r>
      <w:r w:rsidRPr="00A01843">
        <w:t xml:space="preserve"> The </w:t>
      </w:r>
      <w:proofErr w:type="spellStart"/>
      <w:r w:rsidRPr="00A01843">
        <w:t>schoolID</w:t>
      </w:r>
      <w:proofErr w:type="spellEnd"/>
      <w:r w:rsidRPr="00A01843">
        <w:t xml:space="preserve"> variable had to be created because in ICILS 2018 data the school ID is not unique across countries. This is a combination of country and </w:t>
      </w:r>
      <w:proofErr w:type="spellStart"/>
      <w:r w:rsidRPr="00A01843">
        <w:t>schoolid</w:t>
      </w:r>
      <w:proofErr w:type="spellEnd"/>
      <w:r w:rsidRPr="00A01843">
        <w:t xml:space="preserve">, making a unique </w:t>
      </w:r>
      <w:proofErr w:type="spellStart"/>
      <w:r w:rsidRPr="00A01843">
        <w:t>schoolid</w:t>
      </w:r>
      <w:proofErr w:type="spellEnd"/>
      <w:r w:rsidRPr="00A01843">
        <w:t>. For the focal analysis with Korea alone, this was not important, but it was necessary for the supplemental analyses with multiple countries.</w:t>
      </w:r>
    </w:p>
  </w:endnote>
  <w:endnote w:id="12">
    <w:p w14:paraId="70719304" w14:textId="12108603" w:rsidR="00EB6B2E" w:rsidRPr="00A01843" w:rsidRDefault="00EB6B2E" w:rsidP="00E8451D">
      <w:pPr>
        <w:pStyle w:val="EndnoteText"/>
      </w:pPr>
      <w:r w:rsidRPr="00A01843">
        <w:rPr>
          <w:rStyle w:val="EndnoteReference"/>
        </w:rPr>
        <w:endnoteRef/>
      </w:r>
      <w:r w:rsidRPr="00A01843">
        <w:t xml:space="preserve"> The R code is available at ANONYMISED LINK. The code includes (slightly modified) code from the data finder. Most lines have ample documentation. The code includes ‘checks’ (with lines that don’t necessarily analyse anything), for example regarding missing data.</w:t>
      </w:r>
    </w:p>
  </w:endnote>
  <w:endnote w:id="13">
    <w:p w14:paraId="1ECD023A" w14:textId="4850FCC3" w:rsidR="00EB6B2E" w:rsidRPr="00A01843" w:rsidRDefault="00EB6B2E" w:rsidP="00E8451D">
      <w:pPr>
        <w:pStyle w:val="EndnoteText"/>
      </w:pPr>
      <w:r w:rsidRPr="00A01843">
        <w:rPr>
          <w:rStyle w:val="EndnoteReference"/>
          <w:szCs w:val="22"/>
        </w:rPr>
        <w:endnoteRef/>
      </w:r>
      <w:r w:rsidRPr="00A01843">
        <w:t xml:space="preserve"> The use of R packages </w:t>
      </w:r>
      <w:proofErr w:type="gramStart"/>
      <w:r w:rsidRPr="00A01843">
        <w:t>in itself already</w:t>
      </w:r>
      <w:proofErr w:type="gramEnd"/>
      <w:r w:rsidRPr="00A01843">
        <w:t xml:space="preserve"> is a deviation from the original study which used HLM 6.0 software.</w:t>
      </w:r>
    </w:p>
  </w:endnote>
  <w:endnote w:id="14">
    <w:p w14:paraId="79B6FB8E" w14:textId="077ACB98" w:rsidR="00EB6B2E" w:rsidRPr="00A01843" w:rsidRDefault="00EB6B2E" w:rsidP="00E8451D">
      <w:pPr>
        <w:pStyle w:val="EndnoteText"/>
      </w:pPr>
      <w:r w:rsidRPr="00A01843">
        <w:rPr>
          <w:rStyle w:val="EndnoteReference"/>
          <w:szCs w:val="22"/>
        </w:rPr>
        <w:endnoteRef/>
      </w:r>
      <w:r w:rsidRPr="00A01843">
        <w:t xml:space="preserve"> An R package with imputation methods</w:t>
      </w:r>
      <w:r w:rsidR="0071482D" w:rsidRPr="00A01843">
        <w:t xml:space="preserve"> is available </w:t>
      </w:r>
      <w:r w:rsidR="009A39AA" w:rsidRPr="00A01843">
        <w:t>at</w:t>
      </w:r>
      <w:r w:rsidR="0071482D" w:rsidRPr="00A01843">
        <w:t>:</w:t>
      </w:r>
      <w:r w:rsidRPr="00A01843">
        <w:t xml:space="preserve"> </w:t>
      </w:r>
      <w:hyperlink r:id="rId1" w:history="1">
        <w:r w:rsidRPr="00A01843">
          <w:rPr>
            <w:rStyle w:val="Hyperlink"/>
            <w:color w:val="auto"/>
            <w:szCs w:val="22"/>
          </w:rPr>
          <w:t>https://cran.r-project.org/web/packages/simputation/index.html</w:t>
        </w:r>
      </w:hyperlink>
      <w:r w:rsidRPr="00A01843">
        <w:t xml:space="preserve"> </w:t>
      </w:r>
    </w:p>
  </w:endnote>
  <w:endnote w:id="15">
    <w:p w14:paraId="5A171E0E" w14:textId="6925141D" w:rsidR="00EB6B2E" w:rsidRPr="00A01843" w:rsidRDefault="00EB6B2E" w:rsidP="00CE38D8">
      <w:pPr>
        <w:pStyle w:val="Default"/>
        <w:spacing w:line="360" w:lineRule="auto"/>
        <w:rPr>
          <w:rFonts w:ascii="Times New Roman" w:hAnsi="Times New Roman" w:cs="Times New Roman"/>
          <w:color w:val="auto"/>
          <w:sz w:val="22"/>
          <w:szCs w:val="22"/>
        </w:rPr>
      </w:pPr>
      <w:r w:rsidRPr="00A01843">
        <w:rPr>
          <w:rStyle w:val="EndnoteReference"/>
          <w:rFonts w:ascii="Times New Roman" w:hAnsi="Times New Roman" w:cs="Times New Roman"/>
          <w:color w:val="auto"/>
          <w:sz w:val="22"/>
          <w:szCs w:val="22"/>
        </w:rPr>
        <w:endnoteRef/>
      </w:r>
      <w:r w:rsidRPr="00A01843">
        <w:rPr>
          <w:rFonts w:ascii="Times New Roman" w:hAnsi="Times New Roman" w:cs="Times New Roman"/>
          <w:color w:val="auto"/>
          <w:sz w:val="22"/>
          <w:szCs w:val="22"/>
        </w:rPr>
        <w:t xml:space="preserve"> Results of these analyses can be replicated </w:t>
      </w:r>
      <w:proofErr w:type="gramStart"/>
      <w:r w:rsidRPr="00A01843">
        <w:rPr>
          <w:rFonts w:ascii="Times New Roman" w:hAnsi="Times New Roman" w:cs="Times New Roman"/>
          <w:color w:val="auto"/>
          <w:sz w:val="22"/>
          <w:szCs w:val="22"/>
        </w:rPr>
        <w:t>by:</w:t>
      </w:r>
      <w:proofErr w:type="gramEnd"/>
      <w:r w:rsidRPr="00A01843">
        <w:rPr>
          <w:rFonts w:ascii="Times New Roman" w:hAnsi="Times New Roman" w:cs="Times New Roman"/>
          <w:color w:val="auto"/>
          <w:sz w:val="22"/>
          <w:szCs w:val="22"/>
        </w:rPr>
        <w:t xml:space="preserve"> 1. Obtaining raw ICILS data from the IEA. 2. Putting these, the R </w:t>
      </w:r>
      <w:proofErr w:type="gramStart"/>
      <w:r w:rsidRPr="00A01843">
        <w:rPr>
          <w:rFonts w:ascii="Times New Roman" w:hAnsi="Times New Roman" w:cs="Times New Roman"/>
          <w:color w:val="auto"/>
          <w:sz w:val="22"/>
          <w:szCs w:val="22"/>
        </w:rPr>
        <w:t>script</w:t>
      </w:r>
      <w:proofErr w:type="gramEnd"/>
      <w:r w:rsidRPr="00A01843">
        <w:rPr>
          <w:rFonts w:ascii="Times New Roman" w:hAnsi="Times New Roman" w:cs="Times New Roman"/>
          <w:color w:val="auto"/>
          <w:sz w:val="22"/>
          <w:szCs w:val="22"/>
        </w:rPr>
        <w:t xml:space="preserve"> and the helper files (with variable names) into one project. </w:t>
      </w:r>
    </w:p>
    <w:p w14:paraId="3D7002BF" w14:textId="34B7A467" w:rsidR="00EB6B2E" w:rsidRPr="00A01843" w:rsidRDefault="00EB6B2E" w:rsidP="00CE38D8">
      <w:pPr>
        <w:pStyle w:val="Default"/>
        <w:spacing w:line="360" w:lineRule="auto"/>
        <w:rPr>
          <w:rFonts w:ascii="Times New Roman" w:hAnsi="Times New Roman" w:cs="Times New Roman"/>
          <w:color w:val="auto"/>
          <w:sz w:val="22"/>
          <w:szCs w:val="22"/>
        </w:rPr>
      </w:pPr>
      <w:r w:rsidRPr="00A01843">
        <w:rPr>
          <w:rFonts w:ascii="Times New Roman" w:hAnsi="Times New Roman" w:cs="Times New Roman"/>
          <w:color w:val="auto"/>
          <w:sz w:val="22"/>
          <w:szCs w:val="22"/>
        </w:rPr>
        <w:t>3. Running the script ANONYMISED LINK. The script will produce a table of estimates for all eight analyses, including the focal analysis.</w:t>
      </w:r>
    </w:p>
  </w:endnote>
  <w:endnote w:id="16">
    <w:p w14:paraId="3CF88990" w14:textId="735AF652" w:rsidR="00EB6B2E" w:rsidRPr="00A01843" w:rsidRDefault="00EB6B2E" w:rsidP="00E8451D">
      <w:pPr>
        <w:pStyle w:val="EndnoteText"/>
      </w:pPr>
      <w:r w:rsidRPr="00A01843">
        <w:rPr>
          <w:rStyle w:val="EndnoteReference"/>
          <w:szCs w:val="22"/>
        </w:rPr>
        <w:endnoteRef/>
      </w:r>
      <w:r w:rsidRPr="00A01843">
        <w:t xml:space="preserve"> A podcast on this topic is available at </w:t>
      </w:r>
      <w:hyperlink r:id="rId2" w:history="1">
        <w:r w:rsidRPr="00A01843">
          <w:rPr>
            <w:rStyle w:val="Hyperlink"/>
            <w:color w:val="auto"/>
            <w:szCs w:val="22"/>
          </w:rPr>
          <w:t>https://www.podbean.com/ew/dir-rbj6c-db707d0</w:t>
        </w:r>
      </w:hyperlink>
      <w:r w:rsidRPr="00A01843">
        <w:t xml:space="preserve"> </w:t>
      </w:r>
    </w:p>
  </w:endnote>
  <w:endnote w:id="17">
    <w:p w14:paraId="551498AE" w14:textId="72C2F8DC" w:rsidR="00EB6B2E" w:rsidRPr="00A01843" w:rsidRDefault="00EB6B2E" w:rsidP="00FA3E76">
      <w:pPr>
        <w:rPr>
          <w:b/>
          <w:sz w:val="22"/>
          <w:szCs w:val="22"/>
        </w:rPr>
      </w:pPr>
      <w:r w:rsidRPr="00A01843">
        <w:rPr>
          <w:rStyle w:val="EndnoteReference"/>
          <w:sz w:val="22"/>
          <w:szCs w:val="22"/>
        </w:rPr>
        <w:endnoteRef/>
      </w:r>
      <w:r w:rsidRPr="00A01843">
        <w:rPr>
          <w:sz w:val="22"/>
          <w:szCs w:val="22"/>
        </w:rPr>
        <w:t xml:space="preserve"> See the tab ANALYSIS1_FOCAL of the output file estimates.xlsx at ANONYMISED LINK</w:t>
      </w:r>
    </w:p>
  </w:endnote>
  <w:endnote w:id="18">
    <w:p w14:paraId="02E90F11" w14:textId="42F291BE" w:rsidR="00EB6B2E" w:rsidRPr="00A01843" w:rsidRDefault="00EB6B2E" w:rsidP="00E8451D">
      <w:pPr>
        <w:pStyle w:val="EndnoteText"/>
      </w:pPr>
      <w:r w:rsidRPr="00A01843">
        <w:rPr>
          <w:rStyle w:val="EndnoteReference"/>
        </w:rPr>
        <w:endnoteRef/>
      </w:r>
      <w:r w:rsidRPr="00A01843">
        <w:t xml:space="preserve"> For example, see Fiske’s (2016) commentary for a special issue on the replication crisis, and the blog by Ulrich </w:t>
      </w:r>
      <w:proofErr w:type="spellStart"/>
      <w:r w:rsidRPr="00A01843">
        <w:t>Schimmack</w:t>
      </w:r>
      <w:proofErr w:type="spellEnd"/>
      <w:r w:rsidRPr="00A01843">
        <w:t xml:space="preserve">: </w:t>
      </w:r>
      <w:hyperlink r:id="rId3" w:history="1">
        <w:r w:rsidRPr="00A01843">
          <w:rPr>
            <w:rStyle w:val="Hyperlink"/>
            <w:color w:val="auto"/>
          </w:rPr>
          <w:t>https://replicationindex.com/2020/02/12/fiske-and-the-permanent-crisis-in-social-psychology/</w:t>
        </w:r>
      </w:hyperlink>
      <w:r w:rsidRPr="00A01843">
        <w:t xml:space="preserve"> </w:t>
      </w:r>
    </w:p>
  </w:endnote>
  <w:endnote w:id="19">
    <w:p w14:paraId="329AF716" w14:textId="5D282909" w:rsidR="00EB6B2E" w:rsidRPr="00A01843" w:rsidRDefault="00EB6B2E" w:rsidP="00E8451D">
      <w:pPr>
        <w:pStyle w:val="EndnoteText"/>
      </w:pPr>
      <w:r w:rsidRPr="00A01843">
        <w:rPr>
          <w:rStyle w:val="EndnoteReference"/>
          <w:szCs w:val="22"/>
        </w:rPr>
        <w:endnoteRef/>
      </w:r>
      <w:r w:rsidRPr="00A01843">
        <w:rPr>
          <w:szCs w:val="22"/>
        </w:rPr>
        <w:t xml:space="preserve"> For</w:t>
      </w:r>
      <w:r w:rsidRPr="00A01843">
        <w:t xml:space="preserve"> example, the R packages </w:t>
      </w:r>
      <w:proofErr w:type="spellStart"/>
      <w:r w:rsidRPr="00A01843">
        <w:t>Workflowr</w:t>
      </w:r>
      <w:proofErr w:type="spellEnd"/>
      <w:r w:rsidRPr="00A01843">
        <w:t xml:space="preserve"> and </w:t>
      </w:r>
      <w:proofErr w:type="spellStart"/>
      <w:r w:rsidRPr="00A01843">
        <w:t>steveproj</w:t>
      </w:r>
      <w:proofErr w:type="spellEnd"/>
      <w:r w:rsidRPr="00A01843">
        <w:t xml:space="preserve">. However, the goal </w:t>
      </w:r>
      <w:r w:rsidR="009A39AA" w:rsidRPr="00A01843">
        <w:t>of having</w:t>
      </w:r>
      <w:r w:rsidRPr="00A01843">
        <w:t xml:space="preserve"> a standardised approach can also lead to a divergence of practices (‘yet another package’).</w:t>
      </w:r>
    </w:p>
  </w:endnote>
  <w:endnote w:id="20">
    <w:p w14:paraId="5003D7BB" w14:textId="1B7F9314" w:rsidR="00EB6B2E" w:rsidRPr="00A01843" w:rsidRDefault="00EB6B2E" w:rsidP="00E8451D">
      <w:pPr>
        <w:pStyle w:val="EndnoteText"/>
      </w:pPr>
      <w:r w:rsidRPr="00A01843">
        <w:rPr>
          <w:rStyle w:val="EndnoteReference"/>
        </w:rPr>
        <w:endnoteRef/>
      </w:r>
      <w:r w:rsidRPr="00A01843">
        <w:t xml:space="preserve"> Perhaps practices can only improve over generations, across academia, starting at the basis, </w:t>
      </w:r>
      <w:r w:rsidR="009A39AA" w:rsidRPr="00A01843">
        <w:t>e.g.,</w:t>
      </w:r>
      <w:r w:rsidRPr="00A01843">
        <w:t xml:space="preserve"> </w:t>
      </w:r>
      <w:proofErr w:type="spellStart"/>
      <w:r w:rsidRPr="00A01843">
        <w:t>Smaldino</w:t>
      </w:r>
      <w:proofErr w:type="spellEnd"/>
      <w:r w:rsidRPr="00A01843">
        <w:t xml:space="preserve"> and </w:t>
      </w:r>
      <w:proofErr w:type="spellStart"/>
      <w:r w:rsidRPr="00A01843">
        <w:t>McElreath</w:t>
      </w:r>
      <w:proofErr w:type="spellEnd"/>
      <w:r w:rsidRPr="00A01843">
        <w:t xml:space="preserve"> (2016).</w:t>
      </w:r>
    </w:p>
  </w:endnote>
  <w:endnote w:id="21">
    <w:p w14:paraId="47205FBC" w14:textId="55109473" w:rsidR="00E8451D" w:rsidRPr="00A01843" w:rsidRDefault="00E8451D">
      <w:pPr>
        <w:pStyle w:val="EndnoteText"/>
      </w:pPr>
      <w:r w:rsidRPr="00A01843">
        <w:rPr>
          <w:rStyle w:val="EndnoteReference"/>
        </w:rPr>
        <w:endnoteRef/>
      </w:r>
      <w:r w:rsidRPr="00A01843">
        <w:t xml:space="preserve"> More information on the SCORE project can be found at </w:t>
      </w:r>
      <w:hyperlink r:id="rId4" w:history="1">
        <w:r w:rsidRPr="00A01843">
          <w:rPr>
            <w:rStyle w:val="Hyperlink"/>
            <w:color w:val="auto"/>
          </w:rPr>
          <w:t>https://www.cos.io/score</w:t>
        </w:r>
      </w:hyperlink>
      <w:r w:rsidRPr="00A01843">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8C6C2" w14:textId="77777777" w:rsidR="006133E6" w:rsidRDefault="00613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9931C" w14:textId="77777777" w:rsidR="006133E6" w:rsidRDefault="00613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396C1" w14:textId="77777777" w:rsidR="006133E6" w:rsidRDefault="00613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EB311" w14:textId="77777777" w:rsidR="004C11C0" w:rsidRDefault="004C11C0" w:rsidP="00AF2C92">
      <w:r>
        <w:separator/>
      </w:r>
    </w:p>
  </w:footnote>
  <w:footnote w:type="continuationSeparator" w:id="0">
    <w:p w14:paraId="7AEA15C4" w14:textId="77777777" w:rsidR="004C11C0" w:rsidRDefault="004C11C0"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B2120" w14:textId="77777777" w:rsidR="006133E6" w:rsidRDefault="00613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7FB29" w14:textId="77777777" w:rsidR="006133E6" w:rsidRDefault="00613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1B4BD" w14:textId="77777777" w:rsidR="006133E6" w:rsidRDefault="00613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D19EF"/>
    <w:multiLevelType w:val="hybridMultilevel"/>
    <w:tmpl w:val="52CE4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CE978C1"/>
    <w:multiLevelType w:val="hybridMultilevel"/>
    <w:tmpl w:val="AA1C77FA"/>
    <w:lvl w:ilvl="0" w:tplc="10DE930A">
      <w:start w:val="1"/>
      <w:numFmt w:val="bullet"/>
      <w:lvlText w:val="●"/>
      <w:lvlJc w:val="left"/>
      <w:pPr>
        <w:ind w:left="43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02623C2">
      <w:start w:val="1"/>
      <w:numFmt w:val="bullet"/>
      <w:lvlText w:val="o"/>
      <w:lvlJc w:val="left"/>
      <w:pPr>
        <w:ind w:left="8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0EEE716">
      <w:start w:val="1"/>
      <w:numFmt w:val="bullet"/>
      <w:lvlText w:val="▪"/>
      <w:lvlJc w:val="left"/>
      <w:pPr>
        <w:ind w:left="15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F9C5C5E">
      <w:start w:val="1"/>
      <w:numFmt w:val="bullet"/>
      <w:lvlText w:val="•"/>
      <w:lvlJc w:val="left"/>
      <w:pPr>
        <w:ind w:left="22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C8C73A4">
      <w:start w:val="1"/>
      <w:numFmt w:val="bullet"/>
      <w:lvlText w:val="o"/>
      <w:lvlJc w:val="left"/>
      <w:pPr>
        <w:ind w:left="30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C0E4548">
      <w:start w:val="1"/>
      <w:numFmt w:val="bullet"/>
      <w:lvlText w:val="▪"/>
      <w:lvlJc w:val="left"/>
      <w:pPr>
        <w:ind w:left="3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944779C">
      <w:start w:val="1"/>
      <w:numFmt w:val="bullet"/>
      <w:lvlText w:val="•"/>
      <w:lvlJc w:val="left"/>
      <w:pPr>
        <w:ind w:left="4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9708248">
      <w:start w:val="1"/>
      <w:numFmt w:val="bullet"/>
      <w:lvlText w:val="o"/>
      <w:lvlJc w:val="left"/>
      <w:pPr>
        <w:ind w:left="5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96ADC74">
      <w:start w:val="1"/>
      <w:numFmt w:val="bullet"/>
      <w:lvlText w:val="▪"/>
      <w:lvlJc w:val="left"/>
      <w:pPr>
        <w:ind w:left="5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F579CD"/>
    <w:multiLevelType w:val="hybridMultilevel"/>
    <w:tmpl w:val="2454175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A03654"/>
    <w:multiLevelType w:val="hybridMultilevel"/>
    <w:tmpl w:val="C29A0618"/>
    <w:lvl w:ilvl="0" w:tplc="052244C4">
      <w:start w:val="1"/>
      <w:numFmt w:val="bullet"/>
      <w:lvlText w:val="●"/>
      <w:lvlJc w:val="left"/>
      <w:pPr>
        <w:ind w:left="43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AF64986">
      <w:start w:val="1"/>
      <w:numFmt w:val="bullet"/>
      <w:lvlText w:val="o"/>
      <w:lvlJc w:val="left"/>
      <w:pPr>
        <w:ind w:left="8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6AC3D8C">
      <w:start w:val="1"/>
      <w:numFmt w:val="bullet"/>
      <w:lvlText w:val="▪"/>
      <w:lvlJc w:val="left"/>
      <w:pPr>
        <w:ind w:left="15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82C37E">
      <w:start w:val="1"/>
      <w:numFmt w:val="bullet"/>
      <w:lvlText w:val="•"/>
      <w:lvlJc w:val="left"/>
      <w:pPr>
        <w:ind w:left="22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8D8EE82">
      <w:start w:val="1"/>
      <w:numFmt w:val="bullet"/>
      <w:lvlText w:val="o"/>
      <w:lvlJc w:val="left"/>
      <w:pPr>
        <w:ind w:left="30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8105916">
      <w:start w:val="1"/>
      <w:numFmt w:val="bullet"/>
      <w:lvlText w:val="▪"/>
      <w:lvlJc w:val="left"/>
      <w:pPr>
        <w:ind w:left="3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462DB3A">
      <w:start w:val="1"/>
      <w:numFmt w:val="bullet"/>
      <w:lvlText w:val="•"/>
      <w:lvlJc w:val="left"/>
      <w:pPr>
        <w:ind w:left="4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B26AD90">
      <w:start w:val="1"/>
      <w:numFmt w:val="bullet"/>
      <w:lvlText w:val="o"/>
      <w:lvlJc w:val="left"/>
      <w:pPr>
        <w:ind w:left="5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14E3D6E">
      <w:start w:val="1"/>
      <w:numFmt w:val="bullet"/>
      <w:lvlText w:val="▪"/>
      <w:lvlJc w:val="left"/>
      <w:pPr>
        <w:ind w:left="5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DCF2BA0"/>
    <w:multiLevelType w:val="hybridMultilevel"/>
    <w:tmpl w:val="B6F450D6"/>
    <w:lvl w:ilvl="0" w:tplc="FFFFFFFF">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163909"/>
    <w:multiLevelType w:val="hybridMultilevel"/>
    <w:tmpl w:val="950E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DDF5771"/>
    <w:multiLevelType w:val="hybridMultilevel"/>
    <w:tmpl w:val="7EE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0004C4"/>
    <w:multiLevelType w:val="hybridMultilevel"/>
    <w:tmpl w:val="D3A4F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CA353F"/>
    <w:multiLevelType w:val="hybridMultilevel"/>
    <w:tmpl w:val="E6ECA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DA08FE"/>
    <w:multiLevelType w:val="hybridMultilevel"/>
    <w:tmpl w:val="58866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303B93"/>
    <w:multiLevelType w:val="hybridMultilevel"/>
    <w:tmpl w:val="7A8C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F651C9"/>
    <w:multiLevelType w:val="hybridMultilevel"/>
    <w:tmpl w:val="86FAC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A93270"/>
    <w:multiLevelType w:val="hybridMultilevel"/>
    <w:tmpl w:val="52702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CA7F2C"/>
    <w:multiLevelType w:val="hybridMultilevel"/>
    <w:tmpl w:val="323EF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6369F3"/>
    <w:multiLevelType w:val="hybridMultilevel"/>
    <w:tmpl w:val="DB12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2D69B9"/>
    <w:multiLevelType w:val="hybridMultilevel"/>
    <w:tmpl w:val="66E24A8A"/>
    <w:lvl w:ilvl="0" w:tplc="135AA850">
      <w:start w:val="1"/>
      <w:numFmt w:val="bullet"/>
      <w:lvlText w:val="●"/>
      <w:lvlJc w:val="left"/>
      <w:pPr>
        <w:ind w:left="11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3AAB592">
      <w:start w:val="1"/>
      <w:numFmt w:val="bullet"/>
      <w:lvlText w:val="o"/>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C2CE0E6">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8A601BB0">
      <w:start w:val="1"/>
      <w:numFmt w:val="bullet"/>
      <w:lvlText w:val="•"/>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6C6A4EA">
      <w:start w:val="1"/>
      <w:numFmt w:val="bullet"/>
      <w:lvlText w:val="o"/>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E56C91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B22C3D6">
      <w:start w:val="1"/>
      <w:numFmt w:val="bullet"/>
      <w:lvlText w:val="•"/>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0EE61D2">
      <w:start w:val="1"/>
      <w:numFmt w:val="bullet"/>
      <w:lvlText w:val="o"/>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B6E4098">
      <w:start w:val="1"/>
      <w:numFmt w:val="bullet"/>
      <w:lvlText w:val="▪"/>
      <w:lvlJc w:val="left"/>
      <w:pPr>
        <w:ind w:left="68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7DBC7108"/>
    <w:multiLevelType w:val="hybridMultilevel"/>
    <w:tmpl w:val="81286E28"/>
    <w:lvl w:ilvl="0" w:tplc="622A73A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BA5B75"/>
    <w:multiLevelType w:val="hybridMultilevel"/>
    <w:tmpl w:val="B9EC3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3"/>
  </w:num>
  <w:num w:numId="14">
    <w:abstractNumId w:val="32"/>
  </w:num>
  <w:num w:numId="15">
    <w:abstractNumId w:val="18"/>
  </w:num>
  <w:num w:numId="16">
    <w:abstractNumId w:val="21"/>
  </w:num>
  <w:num w:numId="17">
    <w:abstractNumId w:val="12"/>
  </w:num>
  <w:num w:numId="18">
    <w:abstractNumId w:val="0"/>
  </w:num>
  <w:num w:numId="19">
    <w:abstractNumId w:val="14"/>
  </w:num>
  <w:num w:numId="20">
    <w:abstractNumId w:val="32"/>
  </w:num>
  <w:num w:numId="21">
    <w:abstractNumId w:val="32"/>
  </w:num>
  <w:num w:numId="22">
    <w:abstractNumId w:val="32"/>
  </w:num>
  <w:num w:numId="23">
    <w:abstractNumId w:val="32"/>
  </w:num>
  <w:num w:numId="24">
    <w:abstractNumId w:val="23"/>
  </w:num>
  <w:num w:numId="25">
    <w:abstractNumId w:val="24"/>
  </w:num>
  <w:num w:numId="26">
    <w:abstractNumId w:val="33"/>
  </w:num>
  <w:num w:numId="27">
    <w:abstractNumId w:val="35"/>
  </w:num>
  <w:num w:numId="28">
    <w:abstractNumId w:val="32"/>
  </w:num>
  <w:num w:numId="29">
    <w:abstractNumId w:val="17"/>
  </w:num>
  <w:num w:numId="30">
    <w:abstractNumId w:val="36"/>
  </w:num>
  <w:num w:numId="31">
    <w:abstractNumId w:val="20"/>
  </w:num>
  <w:num w:numId="32">
    <w:abstractNumId w:val="41"/>
  </w:num>
  <w:num w:numId="33">
    <w:abstractNumId w:val="20"/>
  </w:num>
  <w:num w:numId="34">
    <w:abstractNumId w:val="22"/>
  </w:num>
  <w:num w:numId="35">
    <w:abstractNumId w:val="40"/>
  </w:num>
  <w:num w:numId="36">
    <w:abstractNumId w:val="15"/>
  </w:num>
  <w:num w:numId="37">
    <w:abstractNumId w:val="25"/>
  </w:num>
  <w:num w:numId="38">
    <w:abstractNumId w:val="37"/>
  </w:num>
  <w:num w:numId="39">
    <w:abstractNumId w:val="27"/>
  </w:num>
  <w:num w:numId="40">
    <w:abstractNumId w:val="13"/>
  </w:num>
  <w:num w:numId="41">
    <w:abstractNumId w:val="16"/>
  </w:num>
  <w:num w:numId="42">
    <w:abstractNumId w:val="11"/>
  </w:num>
  <w:num w:numId="43">
    <w:abstractNumId w:val="34"/>
  </w:num>
  <w:num w:numId="44">
    <w:abstractNumId w:val="39"/>
  </w:num>
  <w:num w:numId="45">
    <w:abstractNumId w:val="31"/>
  </w:num>
  <w:num w:numId="46">
    <w:abstractNumId w:val="26"/>
  </w:num>
  <w:num w:numId="47">
    <w:abstractNumId w:val="28"/>
  </w:num>
  <w:num w:numId="48">
    <w:abstractNumId w:val="38"/>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36"/>
    <w:rsid w:val="000000F5"/>
    <w:rsid w:val="00001899"/>
    <w:rsid w:val="000020CA"/>
    <w:rsid w:val="000044B3"/>
    <w:rsid w:val="000049AD"/>
    <w:rsid w:val="0000681B"/>
    <w:rsid w:val="000133C0"/>
    <w:rsid w:val="00014C4E"/>
    <w:rsid w:val="00017107"/>
    <w:rsid w:val="000202E2"/>
    <w:rsid w:val="00022441"/>
    <w:rsid w:val="0002261E"/>
    <w:rsid w:val="00024839"/>
    <w:rsid w:val="00025724"/>
    <w:rsid w:val="00026871"/>
    <w:rsid w:val="00037A98"/>
    <w:rsid w:val="000427FB"/>
    <w:rsid w:val="0004455E"/>
    <w:rsid w:val="00044E7A"/>
    <w:rsid w:val="00046B6D"/>
    <w:rsid w:val="00046C39"/>
    <w:rsid w:val="00047CB5"/>
    <w:rsid w:val="00050FD1"/>
    <w:rsid w:val="00051032"/>
    <w:rsid w:val="00051FAA"/>
    <w:rsid w:val="00054193"/>
    <w:rsid w:val="000572A9"/>
    <w:rsid w:val="00061325"/>
    <w:rsid w:val="000733AC"/>
    <w:rsid w:val="00074B81"/>
    <w:rsid w:val="00074D22"/>
    <w:rsid w:val="00075081"/>
    <w:rsid w:val="0007528A"/>
    <w:rsid w:val="00075556"/>
    <w:rsid w:val="00076C5D"/>
    <w:rsid w:val="000811AB"/>
    <w:rsid w:val="00082CD7"/>
    <w:rsid w:val="00083C5F"/>
    <w:rsid w:val="0009172C"/>
    <w:rsid w:val="00092569"/>
    <w:rsid w:val="000930EC"/>
    <w:rsid w:val="00095E61"/>
    <w:rsid w:val="000966C1"/>
    <w:rsid w:val="000970AC"/>
    <w:rsid w:val="000A1167"/>
    <w:rsid w:val="000A20EA"/>
    <w:rsid w:val="000A4428"/>
    <w:rsid w:val="000A6D40"/>
    <w:rsid w:val="000A7BC3"/>
    <w:rsid w:val="000B1661"/>
    <w:rsid w:val="000B1F0B"/>
    <w:rsid w:val="000B2E88"/>
    <w:rsid w:val="000B4603"/>
    <w:rsid w:val="000B5154"/>
    <w:rsid w:val="000C08B1"/>
    <w:rsid w:val="000C09BE"/>
    <w:rsid w:val="000C1380"/>
    <w:rsid w:val="000C554F"/>
    <w:rsid w:val="000D0DC5"/>
    <w:rsid w:val="000D15FF"/>
    <w:rsid w:val="000D2404"/>
    <w:rsid w:val="000D28DF"/>
    <w:rsid w:val="000D3685"/>
    <w:rsid w:val="000D488B"/>
    <w:rsid w:val="000D68DF"/>
    <w:rsid w:val="000D7E2C"/>
    <w:rsid w:val="000E138D"/>
    <w:rsid w:val="000E187A"/>
    <w:rsid w:val="000E2A12"/>
    <w:rsid w:val="000E2D61"/>
    <w:rsid w:val="000E450E"/>
    <w:rsid w:val="000E6259"/>
    <w:rsid w:val="000F4677"/>
    <w:rsid w:val="000F5BE0"/>
    <w:rsid w:val="00100587"/>
    <w:rsid w:val="0010284E"/>
    <w:rsid w:val="00103122"/>
    <w:rsid w:val="0010336A"/>
    <w:rsid w:val="001050F1"/>
    <w:rsid w:val="00105AEA"/>
    <w:rsid w:val="00106202"/>
    <w:rsid w:val="00106DAF"/>
    <w:rsid w:val="001145BE"/>
    <w:rsid w:val="00114ABE"/>
    <w:rsid w:val="00116023"/>
    <w:rsid w:val="0012063A"/>
    <w:rsid w:val="00127DD5"/>
    <w:rsid w:val="00134A51"/>
    <w:rsid w:val="00135EA8"/>
    <w:rsid w:val="00140727"/>
    <w:rsid w:val="00150A1D"/>
    <w:rsid w:val="00150EF0"/>
    <w:rsid w:val="00160628"/>
    <w:rsid w:val="00161344"/>
    <w:rsid w:val="00162195"/>
    <w:rsid w:val="0016322A"/>
    <w:rsid w:val="00164343"/>
    <w:rsid w:val="00165A21"/>
    <w:rsid w:val="001705CE"/>
    <w:rsid w:val="00172214"/>
    <w:rsid w:val="0017714B"/>
    <w:rsid w:val="001804DF"/>
    <w:rsid w:val="00181BDC"/>
    <w:rsid w:val="00181DB0"/>
    <w:rsid w:val="001829E3"/>
    <w:rsid w:val="001924C0"/>
    <w:rsid w:val="0019731E"/>
    <w:rsid w:val="001A09FE"/>
    <w:rsid w:val="001A67C9"/>
    <w:rsid w:val="001A69DE"/>
    <w:rsid w:val="001A713C"/>
    <w:rsid w:val="001B18DB"/>
    <w:rsid w:val="001B1C7C"/>
    <w:rsid w:val="001B291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0C0B"/>
    <w:rsid w:val="001E1028"/>
    <w:rsid w:val="001E14E2"/>
    <w:rsid w:val="001E6302"/>
    <w:rsid w:val="001E7DCB"/>
    <w:rsid w:val="001F3411"/>
    <w:rsid w:val="001F4287"/>
    <w:rsid w:val="001F4DBA"/>
    <w:rsid w:val="001F745A"/>
    <w:rsid w:val="002032D8"/>
    <w:rsid w:val="0020415E"/>
    <w:rsid w:val="00204FF4"/>
    <w:rsid w:val="00205557"/>
    <w:rsid w:val="00207FF5"/>
    <w:rsid w:val="0021056E"/>
    <w:rsid w:val="0021075D"/>
    <w:rsid w:val="0021165A"/>
    <w:rsid w:val="00211BC9"/>
    <w:rsid w:val="002140A6"/>
    <w:rsid w:val="0021620C"/>
    <w:rsid w:val="00216E78"/>
    <w:rsid w:val="00217275"/>
    <w:rsid w:val="002211DD"/>
    <w:rsid w:val="00233D65"/>
    <w:rsid w:val="00236F4B"/>
    <w:rsid w:val="00242B0D"/>
    <w:rsid w:val="00245B9B"/>
    <w:rsid w:val="002467C6"/>
    <w:rsid w:val="0024692A"/>
    <w:rsid w:val="00252BBA"/>
    <w:rsid w:val="00253123"/>
    <w:rsid w:val="00264001"/>
    <w:rsid w:val="00265BD5"/>
    <w:rsid w:val="00266354"/>
    <w:rsid w:val="00267A18"/>
    <w:rsid w:val="00271C8B"/>
    <w:rsid w:val="00273462"/>
    <w:rsid w:val="0027395B"/>
    <w:rsid w:val="00275532"/>
    <w:rsid w:val="00275854"/>
    <w:rsid w:val="00276E6F"/>
    <w:rsid w:val="00283B41"/>
    <w:rsid w:val="0028468C"/>
    <w:rsid w:val="002856B8"/>
    <w:rsid w:val="00285F28"/>
    <w:rsid w:val="00286398"/>
    <w:rsid w:val="002A3C42"/>
    <w:rsid w:val="002A5D75"/>
    <w:rsid w:val="002A6B73"/>
    <w:rsid w:val="002B1B1A"/>
    <w:rsid w:val="002B208E"/>
    <w:rsid w:val="002B7228"/>
    <w:rsid w:val="002C53EE"/>
    <w:rsid w:val="002D24F7"/>
    <w:rsid w:val="002D2799"/>
    <w:rsid w:val="002D2CD7"/>
    <w:rsid w:val="002D4DDC"/>
    <w:rsid w:val="002D4F75"/>
    <w:rsid w:val="002D6493"/>
    <w:rsid w:val="002D7AB6"/>
    <w:rsid w:val="002E06D0"/>
    <w:rsid w:val="002E34B2"/>
    <w:rsid w:val="002E3C27"/>
    <w:rsid w:val="002E403A"/>
    <w:rsid w:val="002E648F"/>
    <w:rsid w:val="002E7F3A"/>
    <w:rsid w:val="002F4EDB"/>
    <w:rsid w:val="002F6054"/>
    <w:rsid w:val="00310E13"/>
    <w:rsid w:val="00313793"/>
    <w:rsid w:val="00315713"/>
    <w:rsid w:val="0031686C"/>
    <w:rsid w:val="00316FE0"/>
    <w:rsid w:val="003204D2"/>
    <w:rsid w:val="0032605E"/>
    <w:rsid w:val="003275D1"/>
    <w:rsid w:val="00330552"/>
    <w:rsid w:val="00330B2A"/>
    <w:rsid w:val="00331E17"/>
    <w:rsid w:val="00332161"/>
    <w:rsid w:val="00333063"/>
    <w:rsid w:val="00337F49"/>
    <w:rsid w:val="00340896"/>
    <w:rsid w:val="003408E3"/>
    <w:rsid w:val="00343480"/>
    <w:rsid w:val="003448E0"/>
    <w:rsid w:val="00345E89"/>
    <w:rsid w:val="003522A1"/>
    <w:rsid w:val="0035254B"/>
    <w:rsid w:val="00353555"/>
    <w:rsid w:val="00355D1B"/>
    <w:rsid w:val="003565D4"/>
    <w:rsid w:val="003607FB"/>
    <w:rsid w:val="00360F88"/>
    <w:rsid w:val="00360FD5"/>
    <w:rsid w:val="0036340D"/>
    <w:rsid w:val="003634A5"/>
    <w:rsid w:val="00366868"/>
    <w:rsid w:val="00367506"/>
    <w:rsid w:val="00370085"/>
    <w:rsid w:val="003744A7"/>
    <w:rsid w:val="00375A36"/>
    <w:rsid w:val="00376235"/>
    <w:rsid w:val="00380029"/>
    <w:rsid w:val="00381FB6"/>
    <w:rsid w:val="0038350A"/>
    <w:rsid w:val="003836D3"/>
    <w:rsid w:val="00383A52"/>
    <w:rsid w:val="00391652"/>
    <w:rsid w:val="0039507F"/>
    <w:rsid w:val="003958AA"/>
    <w:rsid w:val="003A1260"/>
    <w:rsid w:val="003A268F"/>
    <w:rsid w:val="003A295F"/>
    <w:rsid w:val="003A41DD"/>
    <w:rsid w:val="003A7033"/>
    <w:rsid w:val="003B47FE"/>
    <w:rsid w:val="003B5673"/>
    <w:rsid w:val="003B6287"/>
    <w:rsid w:val="003B62C9"/>
    <w:rsid w:val="003B776E"/>
    <w:rsid w:val="003C462E"/>
    <w:rsid w:val="003C47C1"/>
    <w:rsid w:val="003C7176"/>
    <w:rsid w:val="003D0929"/>
    <w:rsid w:val="003D1443"/>
    <w:rsid w:val="003D4729"/>
    <w:rsid w:val="003D7DD6"/>
    <w:rsid w:val="003E5AAF"/>
    <w:rsid w:val="003E600D"/>
    <w:rsid w:val="003E64DF"/>
    <w:rsid w:val="003E6A5D"/>
    <w:rsid w:val="003F0235"/>
    <w:rsid w:val="003F193A"/>
    <w:rsid w:val="003F4207"/>
    <w:rsid w:val="003F4AD7"/>
    <w:rsid w:val="003F5C46"/>
    <w:rsid w:val="003F7CBB"/>
    <w:rsid w:val="003F7D34"/>
    <w:rsid w:val="0040045C"/>
    <w:rsid w:val="00412168"/>
    <w:rsid w:val="00412C8E"/>
    <w:rsid w:val="0041518D"/>
    <w:rsid w:val="0042221D"/>
    <w:rsid w:val="00423425"/>
    <w:rsid w:val="00424DD3"/>
    <w:rsid w:val="004269C5"/>
    <w:rsid w:val="00431F7A"/>
    <w:rsid w:val="00435939"/>
    <w:rsid w:val="00436B08"/>
    <w:rsid w:val="00437CC7"/>
    <w:rsid w:val="00441686"/>
    <w:rsid w:val="00442B9C"/>
    <w:rsid w:val="00445EFA"/>
    <w:rsid w:val="0044738A"/>
    <w:rsid w:val="004473D3"/>
    <w:rsid w:val="00451EFB"/>
    <w:rsid w:val="00452231"/>
    <w:rsid w:val="00460C13"/>
    <w:rsid w:val="00463228"/>
    <w:rsid w:val="00463782"/>
    <w:rsid w:val="004667E0"/>
    <w:rsid w:val="0046760E"/>
    <w:rsid w:val="00470E10"/>
    <w:rsid w:val="00472BF4"/>
    <w:rsid w:val="00477A97"/>
    <w:rsid w:val="00481343"/>
    <w:rsid w:val="00482220"/>
    <w:rsid w:val="0048549E"/>
    <w:rsid w:val="00486FDC"/>
    <w:rsid w:val="00487AC0"/>
    <w:rsid w:val="00492461"/>
    <w:rsid w:val="004930C6"/>
    <w:rsid w:val="00493347"/>
    <w:rsid w:val="00496092"/>
    <w:rsid w:val="004A08DB"/>
    <w:rsid w:val="004A098F"/>
    <w:rsid w:val="004A25D0"/>
    <w:rsid w:val="004A37E8"/>
    <w:rsid w:val="004A44BA"/>
    <w:rsid w:val="004A6397"/>
    <w:rsid w:val="004A66C1"/>
    <w:rsid w:val="004A7549"/>
    <w:rsid w:val="004B09D4"/>
    <w:rsid w:val="004B309D"/>
    <w:rsid w:val="004B330A"/>
    <w:rsid w:val="004B7C8E"/>
    <w:rsid w:val="004C11C0"/>
    <w:rsid w:val="004C2CA2"/>
    <w:rsid w:val="004C32BB"/>
    <w:rsid w:val="004C3D3C"/>
    <w:rsid w:val="004C6341"/>
    <w:rsid w:val="004D0EDC"/>
    <w:rsid w:val="004D1220"/>
    <w:rsid w:val="004D14B3"/>
    <w:rsid w:val="004D1529"/>
    <w:rsid w:val="004D2253"/>
    <w:rsid w:val="004D5514"/>
    <w:rsid w:val="004D56C3"/>
    <w:rsid w:val="004E0338"/>
    <w:rsid w:val="004E183B"/>
    <w:rsid w:val="004E4E5F"/>
    <w:rsid w:val="004E4FF3"/>
    <w:rsid w:val="004E56A8"/>
    <w:rsid w:val="004E69F6"/>
    <w:rsid w:val="004F3B55"/>
    <w:rsid w:val="004F428E"/>
    <w:rsid w:val="004F4E46"/>
    <w:rsid w:val="004F6B7D"/>
    <w:rsid w:val="00500968"/>
    <w:rsid w:val="005015F6"/>
    <w:rsid w:val="00501F3F"/>
    <w:rsid w:val="005030C4"/>
    <w:rsid w:val="005031C5"/>
    <w:rsid w:val="00504FDC"/>
    <w:rsid w:val="005120CC"/>
    <w:rsid w:val="00512B7B"/>
    <w:rsid w:val="00514EA1"/>
    <w:rsid w:val="00514FC7"/>
    <w:rsid w:val="0051798B"/>
    <w:rsid w:val="00521F5A"/>
    <w:rsid w:val="00525E06"/>
    <w:rsid w:val="00526454"/>
    <w:rsid w:val="005272A2"/>
    <w:rsid w:val="00531823"/>
    <w:rsid w:val="00534ECC"/>
    <w:rsid w:val="00536488"/>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39DB"/>
    <w:rsid w:val="00584270"/>
    <w:rsid w:val="00584738"/>
    <w:rsid w:val="005908F0"/>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8ED"/>
    <w:rsid w:val="005C1FCF"/>
    <w:rsid w:val="005C3F41"/>
    <w:rsid w:val="005D1885"/>
    <w:rsid w:val="005D1A72"/>
    <w:rsid w:val="005D4A38"/>
    <w:rsid w:val="005E2EEA"/>
    <w:rsid w:val="005E3433"/>
    <w:rsid w:val="005E3708"/>
    <w:rsid w:val="005E3CCD"/>
    <w:rsid w:val="005E3D6B"/>
    <w:rsid w:val="005E4F1B"/>
    <w:rsid w:val="005E5B55"/>
    <w:rsid w:val="005E5B7C"/>
    <w:rsid w:val="005E5E4A"/>
    <w:rsid w:val="005E693D"/>
    <w:rsid w:val="005E75BF"/>
    <w:rsid w:val="005F3BFA"/>
    <w:rsid w:val="005F57BA"/>
    <w:rsid w:val="005F5D82"/>
    <w:rsid w:val="005F61E6"/>
    <w:rsid w:val="005F6C45"/>
    <w:rsid w:val="00605A69"/>
    <w:rsid w:val="00606C54"/>
    <w:rsid w:val="00610A94"/>
    <w:rsid w:val="006133E6"/>
    <w:rsid w:val="00614375"/>
    <w:rsid w:val="00615B0A"/>
    <w:rsid w:val="006168CF"/>
    <w:rsid w:val="0062011B"/>
    <w:rsid w:val="006231F7"/>
    <w:rsid w:val="00626D2F"/>
    <w:rsid w:val="00626DE0"/>
    <w:rsid w:val="00630901"/>
    <w:rsid w:val="00631F8E"/>
    <w:rsid w:val="00636EE9"/>
    <w:rsid w:val="00640950"/>
    <w:rsid w:val="006416B8"/>
    <w:rsid w:val="00641AE7"/>
    <w:rsid w:val="00641FF2"/>
    <w:rsid w:val="00642629"/>
    <w:rsid w:val="0064782B"/>
    <w:rsid w:val="006512DE"/>
    <w:rsid w:val="0065293D"/>
    <w:rsid w:val="00653EFC"/>
    <w:rsid w:val="00654021"/>
    <w:rsid w:val="0066066E"/>
    <w:rsid w:val="00661045"/>
    <w:rsid w:val="00666DA8"/>
    <w:rsid w:val="00671057"/>
    <w:rsid w:val="00675AAF"/>
    <w:rsid w:val="0068031A"/>
    <w:rsid w:val="00681B2F"/>
    <w:rsid w:val="0068335F"/>
    <w:rsid w:val="00685826"/>
    <w:rsid w:val="00685C8A"/>
    <w:rsid w:val="00687217"/>
    <w:rsid w:val="00693302"/>
    <w:rsid w:val="0069640B"/>
    <w:rsid w:val="006A1B83"/>
    <w:rsid w:val="006A21CD"/>
    <w:rsid w:val="006A5918"/>
    <w:rsid w:val="006A5A8E"/>
    <w:rsid w:val="006B21B2"/>
    <w:rsid w:val="006B4A4A"/>
    <w:rsid w:val="006C19B2"/>
    <w:rsid w:val="006C4409"/>
    <w:rsid w:val="006C5BB8"/>
    <w:rsid w:val="006C6936"/>
    <w:rsid w:val="006C7B01"/>
    <w:rsid w:val="006C7F14"/>
    <w:rsid w:val="006D0FE8"/>
    <w:rsid w:val="006D466F"/>
    <w:rsid w:val="006D4B2B"/>
    <w:rsid w:val="006D4F3C"/>
    <w:rsid w:val="006D5C66"/>
    <w:rsid w:val="006D7002"/>
    <w:rsid w:val="006E1B3C"/>
    <w:rsid w:val="006E23FB"/>
    <w:rsid w:val="006E325A"/>
    <w:rsid w:val="006E33EC"/>
    <w:rsid w:val="006E3802"/>
    <w:rsid w:val="006E6C02"/>
    <w:rsid w:val="006F231A"/>
    <w:rsid w:val="006F25EE"/>
    <w:rsid w:val="006F636F"/>
    <w:rsid w:val="006F6B55"/>
    <w:rsid w:val="006F73D2"/>
    <w:rsid w:val="006F788D"/>
    <w:rsid w:val="006F78E1"/>
    <w:rsid w:val="00701072"/>
    <w:rsid w:val="00702054"/>
    <w:rsid w:val="00702B6A"/>
    <w:rsid w:val="007035A4"/>
    <w:rsid w:val="00711799"/>
    <w:rsid w:val="00712B78"/>
    <w:rsid w:val="0071393B"/>
    <w:rsid w:val="00713EE2"/>
    <w:rsid w:val="0071482D"/>
    <w:rsid w:val="007177FC"/>
    <w:rsid w:val="00720C5E"/>
    <w:rsid w:val="007211D2"/>
    <w:rsid w:val="00721701"/>
    <w:rsid w:val="00724352"/>
    <w:rsid w:val="00731835"/>
    <w:rsid w:val="007341F8"/>
    <w:rsid w:val="00734372"/>
    <w:rsid w:val="00734EB8"/>
    <w:rsid w:val="00735294"/>
    <w:rsid w:val="007354E9"/>
    <w:rsid w:val="00735F8B"/>
    <w:rsid w:val="0074090B"/>
    <w:rsid w:val="00742D1F"/>
    <w:rsid w:val="00743EBA"/>
    <w:rsid w:val="00744B64"/>
    <w:rsid w:val="00744C8E"/>
    <w:rsid w:val="0074707E"/>
    <w:rsid w:val="007516DC"/>
    <w:rsid w:val="00752E58"/>
    <w:rsid w:val="00753FE5"/>
    <w:rsid w:val="00754B80"/>
    <w:rsid w:val="00761918"/>
    <w:rsid w:val="00762C29"/>
    <w:rsid w:val="00762F03"/>
    <w:rsid w:val="0076413B"/>
    <w:rsid w:val="007648AE"/>
    <w:rsid w:val="00764BF8"/>
    <w:rsid w:val="0076514D"/>
    <w:rsid w:val="0076581E"/>
    <w:rsid w:val="007669BF"/>
    <w:rsid w:val="00767B1E"/>
    <w:rsid w:val="00773D59"/>
    <w:rsid w:val="00777766"/>
    <w:rsid w:val="00781003"/>
    <w:rsid w:val="00790C69"/>
    <w:rsid w:val="007911FD"/>
    <w:rsid w:val="00793423"/>
    <w:rsid w:val="00793930"/>
    <w:rsid w:val="00793DD1"/>
    <w:rsid w:val="00794FEC"/>
    <w:rsid w:val="0079700C"/>
    <w:rsid w:val="007975A3"/>
    <w:rsid w:val="00797FF3"/>
    <w:rsid w:val="007A003E"/>
    <w:rsid w:val="007A1965"/>
    <w:rsid w:val="007A2ED1"/>
    <w:rsid w:val="007A4BE6"/>
    <w:rsid w:val="007A589F"/>
    <w:rsid w:val="007A6C14"/>
    <w:rsid w:val="007B0DC6"/>
    <w:rsid w:val="007B1094"/>
    <w:rsid w:val="007B1762"/>
    <w:rsid w:val="007B3320"/>
    <w:rsid w:val="007B6767"/>
    <w:rsid w:val="007C0B18"/>
    <w:rsid w:val="007C301F"/>
    <w:rsid w:val="007C4540"/>
    <w:rsid w:val="007C65AF"/>
    <w:rsid w:val="007D135D"/>
    <w:rsid w:val="007D5164"/>
    <w:rsid w:val="007D730F"/>
    <w:rsid w:val="007D7CD8"/>
    <w:rsid w:val="007E3AA7"/>
    <w:rsid w:val="007F2E98"/>
    <w:rsid w:val="007F737D"/>
    <w:rsid w:val="0080308E"/>
    <w:rsid w:val="00805303"/>
    <w:rsid w:val="00806705"/>
    <w:rsid w:val="00806738"/>
    <w:rsid w:val="008106F0"/>
    <w:rsid w:val="0081299A"/>
    <w:rsid w:val="008216D5"/>
    <w:rsid w:val="008249CE"/>
    <w:rsid w:val="00825DE1"/>
    <w:rsid w:val="00826F07"/>
    <w:rsid w:val="00831A50"/>
    <w:rsid w:val="00831B3C"/>
    <w:rsid w:val="00831C89"/>
    <w:rsid w:val="00832114"/>
    <w:rsid w:val="00832C0D"/>
    <w:rsid w:val="00833A3F"/>
    <w:rsid w:val="00834C46"/>
    <w:rsid w:val="0083540D"/>
    <w:rsid w:val="0083540F"/>
    <w:rsid w:val="0084093E"/>
    <w:rsid w:val="00841CE1"/>
    <w:rsid w:val="008473D8"/>
    <w:rsid w:val="00851A1E"/>
    <w:rsid w:val="00851E61"/>
    <w:rsid w:val="008528DC"/>
    <w:rsid w:val="00852B8C"/>
    <w:rsid w:val="0085399E"/>
    <w:rsid w:val="00854981"/>
    <w:rsid w:val="00864B2E"/>
    <w:rsid w:val="00865963"/>
    <w:rsid w:val="00866B9E"/>
    <w:rsid w:val="00871C1D"/>
    <w:rsid w:val="0087450E"/>
    <w:rsid w:val="00875A82"/>
    <w:rsid w:val="00876CA3"/>
    <w:rsid w:val="008772FE"/>
    <w:rsid w:val="008775F1"/>
    <w:rsid w:val="008821AE"/>
    <w:rsid w:val="00883D3A"/>
    <w:rsid w:val="008851F8"/>
    <w:rsid w:val="008854F7"/>
    <w:rsid w:val="00885A9D"/>
    <w:rsid w:val="008929D2"/>
    <w:rsid w:val="00893636"/>
    <w:rsid w:val="00893B94"/>
    <w:rsid w:val="00896E9D"/>
    <w:rsid w:val="00896F11"/>
    <w:rsid w:val="008A1049"/>
    <w:rsid w:val="008A1C98"/>
    <w:rsid w:val="008A2D6E"/>
    <w:rsid w:val="008A322D"/>
    <w:rsid w:val="008A4D72"/>
    <w:rsid w:val="008A6285"/>
    <w:rsid w:val="008A63B2"/>
    <w:rsid w:val="008B0297"/>
    <w:rsid w:val="008B1EDE"/>
    <w:rsid w:val="008B345D"/>
    <w:rsid w:val="008B7CE0"/>
    <w:rsid w:val="008C1FC2"/>
    <w:rsid w:val="008C2980"/>
    <w:rsid w:val="008C3934"/>
    <w:rsid w:val="008C4DD6"/>
    <w:rsid w:val="008C5AFB"/>
    <w:rsid w:val="008C689B"/>
    <w:rsid w:val="008D07FB"/>
    <w:rsid w:val="008D0C02"/>
    <w:rsid w:val="008D357D"/>
    <w:rsid w:val="008D435A"/>
    <w:rsid w:val="008D6940"/>
    <w:rsid w:val="008E31AF"/>
    <w:rsid w:val="008E32A9"/>
    <w:rsid w:val="008E387B"/>
    <w:rsid w:val="008E6087"/>
    <w:rsid w:val="008E758D"/>
    <w:rsid w:val="008F10A7"/>
    <w:rsid w:val="008F1F02"/>
    <w:rsid w:val="008F755D"/>
    <w:rsid w:val="008F7A39"/>
    <w:rsid w:val="00900C7D"/>
    <w:rsid w:val="009021E8"/>
    <w:rsid w:val="009023AA"/>
    <w:rsid w:val="00904677"/>
    <w:rsid w:val="00905EE2"/>
    <w:rsid w:val="00911440"/>
    <w:rsid w:val="00911712"/>
    <w:rsid w:val="00911B27"/>
    <w:rsid w:val="0091433F"/>
    <w:rsid w:val="00915646"/>
    <w:rsid w:val="009170BE"/>
    <w:rsid w:val="00920B55"/>
    <w:rsid w:val="009262C9"/>
    <w:rsid w:val="00930EB9"/>
    <w:rsid w:val="00933DC7"/>
    <w:rsid w:val="00935032"/>
    <w:rsid w:val="0093593C"/>
    <w:rsid w:val="009418F4"/>
    <w:rsid w:val="00941DC3"/>
    <w:rsid w:val="00942423"/>
    <w:rsid w:val="00942BBC"/>
    <w:rsid w:val="00944180"/>
    <w:rsid w:val="00944AA0"/>
    <w:rsid w:val="009475D2"/>
    <w:rsid w:val="00947DA2"/>
    <w:rsid w:val="00951177"/>
    <w:rsid w:val="00951278"/>
    <w:rsid w:val="009568D5"/>
    <w:rsid w:val="009673E8"/>
    <w:rsid w:val="00967D1F"/>
    <w:rsid w:val="0097081E"/>
    <w:rsid w:val="00974DB8"/>
    <w:rsid w:val="00976465"/>
    <w:rsid w:val="00980661"/>
    <w:rsid w:val="0098093B"/>
    <w:rsid w:val="00980CD6"/>
    <w:rsid w:val="00982879"/>
    <w:rsid w:val="009876D4"/>
    <w:rsid w:val="009914A5"/>
    <w:rsid w:val="009936B7"/>
    <w:rsid w:val="0099548E"/>
    <w:rsid w:val="00996456"/>
    <w:rsid w:val="00996A12"/>
    <w:rsid w:val="00996EFA"/>
    <w:rsid w:val="00997B0F"/>
    <w:rsid w:val="009A0CC3"/>
    <w:rsid w:val="009A1CAD"/>
    <w:rsid w:val="009A3440"/>
    <w:rsid w:val="009A39AA"/>
    <w:rsid w:val="009A5832"/>
    <w:rsid w:val="009A6838"/>
    <w:rsid w:val="009A6A60"/>
    <w:rsid w:val="009B24B5"/>
    <w:rsid w:val="009B4EBC"/>
    <w:rsid w:val="009B5ABB"/>
    <w:rsid w:val="009B63C5"/>
    <w:rsid w:val="009B73CE"/>
    <w:rsid w:val="009C2461"/>
    <w:rsid w:val="009C5A15"/>
    <w:rsid w:val="009C6FE2"/>
    <w:rsid w:val="009C73A4"/>
    <w:rsid w:val="009C7674"/>
    <w:rsid w:val="009C7825"/>
    <w:rsid w:val="009D004A"/>
    <w:rsid w:val="009D5880"/>
    <w:rsid w:val="009D749E"/>
    <w:rsid w:val="009E1FD4"/>
    <w:rsid w:val="009E3B07"/>
    <w:rsid w:val="009E51D1"/>
    <w:rsid w:val="009E5531"/>
    <w:rsid w:val="009F171E"/>
    <w:rsid w:val="009F1F61"/>
    <w:rsid w:val="009F2C86"/>
    <w:rsid w:val="009F3D2F"/>
    <w:rsid w:val="009F7052"/>
    <w:rsid w:val="00A01843"/>
    <w:rsid w:val="00A023A2"/>
    <w:rsid w:val="00A02668"/>
    <w:rsid w:val="00A02801"/>
    <w:rsid w:val="00A03B12"/>
    <w:rsid w:val="00A06A39"/>
    <w:rsid w:val="00A07F58"/>
    <w:rsid w:val="00A131CB"/>
    <w:rsid w:val="00A13DC6"/>
    <w:rsid w:val="00A14847"/>
    <w:rsid w:val="00A16D6D"/>
    <w:rsid w:val="00A17AB6"/>
    <w:rsid w:val="00A21383"/>
    <w:rsid w:val="00A2199F"/>
    <w:rsid w:val="00A21B31"/>
    <w:rsid w:val="00A22E4B"/>
    <w:rsid w:val="00A2360E"/>
    <w:rsid w:val="00A244E2"/>
    <w:rsid w:val="00A26E0C"/>
    <w:rsid w:val="00A32FCB"/>
    <w:rsid w:val="00A34C25"/>
    <w:rsid w:val="00A3507D"/>
    <w:rsid w:val="00A36A38"/>
    <w:rsid w:val="00A3717A"/>
    <w:rsid w:val="00A4088C"/>
    <w:rsid w:val="00A4093F"/>
    <w:rsid w:val="00A443C2"/>
    <w:rsid w:val="00A4456B"/>
    <w:rsid w:val="00A447F0"/>
    <w:rsid w:val="00A448D4"/>
    <w:rsid w:val="00A452E0"/>
    <w:rsid w:val="00A45890"/>
    <w:rsid w:val="00A5069E"/>
    <w:rsid w:val="00A506DF"/>
    <w:rsid w:val="00A51EA5"/>
    <w:rsid w:val="00A53742"/>
    <w:rsid w:val="00A557A1"/>
    <w:rsid w:val="00A61DAE"/>
    <w:rsid w:val="00A63059"/>
    <w:rsid w:val="00A63AE3"/>
    <w:rsid w:val="00A651A4"/>
    <w:rsid w:val="00A71361"/>
    <w:rsid w:val="00A746E2"/>
    <w:rsid w:val="00A8177F"/>
    <w:rsid w:val="00A81FF2"/>
    <w:rsid w:val="00A83904"/>
    <w:rsid w:val="00A83CB0"/>
    <w:rsid w:val="00A90A79"/>
    <w:rsid w:val="00A91A78"/>
    <w:rsid w:val="00A91CD8"/>
    <w:rsid w:val="00A96B30"/>
    <w:rsid w:val="00AA3B3E"/>
    <w:rsid w:val="00AA442D"/>
    <w:rsid w:val="00AA59B5"/>
    <w:rsid w:val="00AA7777"/>
    <w:rsid w:val="00AA7B84"/>
    <w:rsid w:val="00AB14C7"/>
    <w:rsid w:val="00AB17E4"/>
    <w:rsid w:val="00AC0B4C"/>
    <w:rsid w:val="00AC1164"/>
    <w:rsid w:val="00AC2296"/>
    <w:rsid w:val="00AC2754"/>
    <w:rsid w:val="00AC4336"/>
    <w:rsid w:val="00AC48B0"/>
    <w:rsid w:val="00AC4ACD"/>
    <w:rsid w:val="00AC5DFB"/>
    <w:rsid w:val="00AC64A1"/>
    <w:rsid w:val="00AD13DC"/>
    <w:rsid w:val="00AD3EEC"/>
    <w:rsid w:val="00AD6DE2"/>
    <w:rsid w:val="00AD7B93"/>
    <w:rsid w:val="00AE0A40"/>
    <w:rsid w:val="00AE1ED4"/>
    <w:rsid w:val="00AE21E1"/>
    <w:rsid w:val="00AE2F8D"/>
    <w:rsid w:val="00AE34A0"/>
    <w:rsid w:val="00AE3BAE"/>
    <w:rsid w:val="00AE6A21"/>
    <w:rsid w:val="00AF1C8F"/>
    <w:rsid w:val="00AF2B68"/>
    <w:rsid w:val="00AF2C92"/>
    <w:rsid w:val="00AF3EC1"/>
    <w:rsid w:val="00AF5025"/>
    <w:rsid w:val="00AF519F"/>
    <w:rsid w:val="00AF5387"/>
    <w:rsid w:val="00AF55F5"/>
    <w:rsid w:val="00AF7E86"/>
    <w:rsid w:val="00B024B9"/>
    <w:rsid w:val="00B077FA"/>
    <w:rsid w:val="00B1137D"/>
    <w:rsid w:val="00B11517"/>
    <w:rsid w:val="00B127D7"/>
    <w:rsid w:val="00B13B0C"/>
    <w:rsid w:val="00B14408"/>
    <w:rsid w:val="00B1453A"/>
    <w:rsid w:val="00B163EC"/>
    <w:rsid w:val="00B17915"/>
    <w:rsid w:val="00B20F82"/>
    <w:rsid w:val="00B25BD5"/>
    <w:rsid w:val="00B271DE"/>
    <w:rsid w:val="00B34079"/>
    <w:rsid w:val="00B3793A"/>
    <w:rsid w:val="00B401BA"/>
    <w:rsid w:val="00B40672"/>
    <w:rsid w:val="00B407E4"/>
    <w:rsid w:val="00B41A58"/>
    <w:rsid w:val="00B425B6"/>
    <w:rsid w:val="00B42A72"/>
    <w:rsid w:val="00B441AE"/>
    <w:rsid w:val="00B45A65"/>
    <w:rsid w:val="00B45F33"/>
    <w:rsid w:val="00B46D50"/>
    <w:rsid w:val="00B53170"/>
    <w:rsid w:val="00B548B9"/>
    <w:rsid w:val="00B54B9E"/>
    <w:rsid w:val="00B56DBE"/>
    <w:rsid w:val="00B62999"/>
    <w:rsid w:val="00B63BE3"/>
    <w:rsid w:val="00B64885"/>
    <w:rsid w:val="00B64FA3"/>
    <w:rsid w:val="00B66810"/>
    <w:rsid w:val="00B72BE3"/>
    <w:rsid w:val="00B73B80"/>
    <w:rsid w:val="00B770C7"/>
    <w:rsid w:val="00B80F26"/>
    <w:rsid w:val="00B822BD"/>
    <w:rsid w:val="00B842F4"/>
    <w:rsid w:val="00B86995"/>
    <w:rsid w:val="00B91A7B"/>
    <w:rsid w:val="00B929DD"/>
    <w:rsid w:val="00B93613"/>
    <w:rsid w:val="00B93AF6"/>
    <w:rsid w:val="00B95405"/>
    <w:rsid w:val="00B963F1"/>
    <w:rsid w:val="00BA020A"/>
    <w:rsid w:val="00BA37FE"/>
    <w:rsid w:val="00BB025A"/>
    <w:rsid w:val="00BB02A4"/>
    <w:rsid w:val="00BB0317"/>
    <w:rsid w:val="00BB1270"/>
    <w:rsid w:val="00BB1E44"/>
    <w:rsid w:val="00BB5267"/>
    <w:rsid w:val="00BB52B8"/>
    <w:rsid w:val="00BB59D8"/>
    <w:rsid w:val="00BB5A54"/>
    <w:rsid w:val="00BB7E69"/>
    <w:rsid w:val="00BC0E51"/>
    <w:rsid w:val="00BC0FEE"/>
    <w:rsid w:val="00BC3C1F"/>
    <w:rsid w:val="00BC6E98"/>
    <w:rsid w:val="00BC7CE7"/>
    <w:rsid w:val="00BC7F82"/>
    <w:rsid w:val="00BD295E"/>
    <w:rsid w:val="00BD3111"/>
    <w:rsid w:val="00BD4664"/>
    <w:rsid w:val="00BE1193"/>
    <w:rsid w:val="00BF4849"/>
    <w:rsid w:val="00BF4EA7"/>
    <w:rsid w:val="00BF6525"/>
    <w:rsid w:val="00C00EDB"/>
    <w:rsid w:val="00C02763"/>
    <w:rsid w:val="00C02863"/>
    <w:rsid w:val="00C0383A"/>
    <w:rsid w:val="00C067FF"/>
    <w:rsid w:val="00C12862"/>
    <w:rsid w:val="00C13D28"/>
    <w:rsid w:val="00C14585"/>
    <w:rsid w:val="00C165A0"/>
    <w:rsid w:val="00C216CE"/>
    <w:rsid w:val="00C2184F"/>
    <w:rsid w:val="00C22A78"/>
    <w:rsid w:val="00C23C7E"/>
    <w:rsid w:val="00C246C5"/>
    <w:rsid w:val="00C25A82"/>
    <w:rsid w:val="00C279A8"/>
    <w:rsid w:val="00C30A2A"/>
    <w:rsid w:val="00C33993"/>
    <w:rsid w:val="00C33D60"/>
    <w:rsid w:val="00C35DC7"/>
    <w:rsid w:val="00C36A6B"/>
    <w:rsid w:val="00C4069E"/>
    <w:rsid w:val="00C41ADC"/>
    <w:rsid w:val="00C44104"/>
    <w:rsid w:val="00C44149"/>
    <w:rsid w:val="00C44410"/>
    <w:rsid w:val="00C44A15"/>
    <w:rsid w:val="00C45093"/>
    <w:rsid w:val="00C4581B"/>
    <w:rsid w:val="00C4630A"/>
    <w:rsid w:val="00C523F0"/>
    <w:rsid w:val="00C526D2"/>
    <w:rsid w:val="00C53A91"/>
    <w:rsid w:val="00C5794E"/>
    <w:rsid w:val="00C60968"/>
    <w:rsid w:val="00C63D39"/>
    <w:rsid w:val="00C63EDD"/>
    <w:rsid w:val="00C65B36"/>
    <w:rsid w:val="00C70C36"/>
    <w:rsid w:val="00C7292E"/>
    <w:rsid w:val="00C72D75"/>
    <w:rsid w:val="00C74E88"/>
    <w:rsid w:val="00C80924"/>
    <w:rsid w:val="00C8286B"/>
    <w:rsid w:val="00C947F8"/>
    <w:rsid w:val="00C9515F"/>
    <w:rsid w:val="00C963C5"/>
    <w:rsid w:val="00C96BF2"/>
    <w:rsid w:val="00CA030C"/>
    <w:rsid w:val="00CA1F41"/>
    <w:rsid w:val="00CA32EE"/>
    <w:rsid w:val="00CA3605"/>
    <w:rsid w:val="00CA5771"/>
    <w:rsid w:val="00CA6A1A"/>
    <w:rsid w:val="00CC07F0"/>
    <w:rsid w:val="00CC1E75"/>
    <w:rsid w:val="00CC2E0E"/>
    <w:rsid w:val="00CC361C"/>
    <w:rsid w:val="00CC474B"/>
    <w:rsid w:val="00CC658C"/>
    <w:rsid w:val="00CC66DC"/>
    <w:rsid w:val="00CC67BF"/>
    <w:rsid w:val="00CD0843"/>
    <w:rsid w:val="00CD4E31"/>
    <w:rsid w:val="00CD5A78"/>
    <w:rsid w:val="00CD7345"/>
    <w:rsid w:val="00CE372E"/>
    <w:rsid w:val="00CE38D8"/>
    <w:rsid w:val="00CE7C68"/>
    <w:rsid w:val="00CF0A1B"/>
    <w:rsid w:val="00CF19F6"/>
    <w:rsid w:val="00CF2F4F"/>
    <w:rsid w:val="00CF536D"/>
    <w:rsid w:val="00CF5F91"/>
    <w:rsid w:val="00CF732F"/>
    <w:rsid w:val="00D02E9D"/>
    <w:rsid w:val="00D10CB8"/>
    <w:rsid w:val="00D11B10"/>
    <w:rsid w:val="00D12806"/>
    <w:rsid w:val="00D12D44"/>
    <w:rsid w:val="00D15018"/>
    <w:rsid w:val="00D158AC"/>
    <w:rsid w:val="00D1694C"/>
    <w:rsid w:val="00D20F5E"/>
    <w:rsid w:val="00D22C5A"/>
    <w:rsid w:val="00D239D6"/>
    <w:rsid w:val="00D23B76"/>
    <w:rsid w:val="00D24B4A"/>
    <w:rsid w:val="00D31843"/>
    <w:rsid w:val="00D32B2B"/>
    <w:rsid w:val="00D35078"/>
    <w:rsid w:val="00D355B4"/>
    <w:rsid w:val="00D366B0"/>
    <w:rsid w:val="00D379A3"/>
    <w:rsid w:val="00D4348D"/>
    <w:rsid w:val="00D456AA"/>
    <w:rsid w:val="00D45FF3"/>
    <w:rsid w:val="00D463C3"/>
    <w:rsid w:val="00D512CF"/>
    <w:rsid w:val="00D528B9"/>
    <w:rsid w:val="00D53186"/>
    <w:rsid w:val="00D546F7"/>
    <w:rsid w:val="00D5487D"/>
    <w:rsid w:val="00D54C05"/>
    <w:rsid w:val="00D57112"/>
    <w:rsid w:val="00D60140"/>
    <w:rsid w:val="00D6024A"/>
    <w:rsid w:val="00D608B5"/>
    <w:rsid w:val="00D64739"/>
    <w:rsid w:val="00D71F99"/>
    <w:rsid w:val="00D73CA4"/>
    <w:rsid w:val="00D73D71"/>
    <w:rsid w:val="00D74396"/>
    <w:rsid w:val="00D80284"/>
    <w:rsid w:val="00D81F71"/>
    <w:rsid w:val="00D8642D"/>
    <w:rsid w:val="00D87A3D"/>
    <w:rsid w:val="00D90A5E"/>
    <w:rsid w:val="00D91A68"/>
    <w:rsid w:val="00D95A68"/>
    <w:rsid w:val="00DA17C7"/>
    <w:rsid w:val="00DA6A9A"/>
    <w:rsid w:val="00DB1873"/>
    <w:rsid w:val="00DB1EFD"/>
    <w:rsid w:val="00DB34DD"/>
    <w:rsid w:val="00DB3EAF"/>
    <w:rsid w:val="00DB46C6"/>
    <w:rsid w:val="00DB567C"/>
    <w:rsid w:val="00DB5F78"/>
    <w:rsid w:val="00DC3203"/>
    <w:rsid w:val="00DC3C99"/>
    <w:rsid w:val="00DC52F5"/>
    <w:rsid w:val="00DC5FD0"/>
    <w:rsid w:val="00DC67A7"/>
    <w:rsid w:val="00DC697D"/>
    <w:rsid w:val="00DD0354"/>
    <w:rsid w:val="00DD226B"/>
    <w:rsid w:val="00DD27D7"/>
    <w:rsid w:val="00DD458C"/>
    <w:rsid w:val="00DD72E9"/>
    <w:rsid w:val="00DD7605"/>
    <w:rsid w:val="00DE1223"/>
    <w:rsid w:val="00DE2020"/>
    <w:rsid w:val="00DE3476"/>
    <w:rsid w:val="00DE7BEA"/>
    <w:rsid w:val="00DF5B84"/>
    <w:rsid w:val="00DF6D5B"/>
    <w:rsid w:val="00DF771B"/>
    <w:rsid w:val="00DF7EE2"/>
    <w:rsid w:val="00E01BAA"/>
    <w:rsid w:val="00E02357"/>
    <w:rsid w:val="00E0282A"/>
    <w:rsid w:val="00E02F9B"/>
    <w:rsid w:val="00E05CD7"/>
    <w:rsid w:val="00E07E14"/>
    <w:rsid w:val="00E14F94"/>
    <w:rsid w:val="00E16573"/>
    <w:rsid w:val="00E17336"/>
    <w:rsid w:val="00E17D15"/>
    <w:rsid w:val="00E2138A"/>
    <w:rsid w:val="00E22B95"/>
    <w:rsid w:val="00E30331"/>
    <w:rsid w:val="00E30BB8"/>
    <w:rsid w:val="00E31F9C"/>
    <w:rsid w:val="00E330D9"/>
    <w:rsid w:val="00E34DF6"/>
    <w:rsid w:val="00E40488"/>
    <w:rsid w:val="00E46A4E"/>
    <w:rsid w:val="00E50367"/>
    <w:rsid w:val="00E51ABA"/>
    <w:rsid w:val="00E524CB"/>
    <w:rsid w:val="00E52A24"/>
    <w:rsid w:val="00E54594"/>
    <w:rsid w:val="00E60948"/>
    <w:rsid w:val="00E63386"/>
    <w:rsid w:val="00E64BC5"/>
    <w:rsid w:val="00E65193"/>
    <w:rsid w:val="00E65456"/>
    <w:rsid w:val="00E65A91"/>
    <w:rsid w:val="00E66188"/>
    <w:rsid w:val="00E664FB"/>
    <w:rsid w:val="00E672F0"/>
    <w:rsid w:val="00E70373"/>
    <w:rsid w:val="00E72D5D"/>
    <w:rsid w:val="00E72E40"/>
    <w:rsid w:val="00E73665"/>
    <w:rsid w:val="00E73999"/>
    <w:rsid w:val="00E73BDC"/>
    <w:rsid w:val="00E73E9E"/>
    <w:rsid w:val="00E777EE"/>
    <w:rsid w:val="00E805D0"/>
    <w:rsid w:val="00E814AB"/>
    <w:rsid w:val="00E81660"/>
    <w:rsid w:val="00E8451D"/>
    <w:rsid w:val="00E84BE4"/>
    <w:rsid w:val="00E854FE"/>
    <w:rsid w:val="00E906CC"/>
    <w:rsid w:val="00E939A0"/>
    <w:rsid w:val="00E93ACC"/>
    <w:rsid w:val="00E97E4E"/>
    <w:rsid w:val="00EA1CC2"/>
    <w:rsid w:val="00EA2D76"/>
    <w:rsid w:val="00EA4644"/>
    <w:rsid w:val="00EA758A"/>
    <w:rsid w:val="00EB096F"/>
    <w:rsid w:val="00EB1892"/>
    <w:rsid w:val="00EB199F"/>
    <w:rsid w:val="00EB21A4"/>
    <w:rsid w:val="00EB27C4"/>
    <w:rsid w:val="00EB5387"/>
    <w:rsid w:val="00EB5C10"/>
    <w:rsid w:val="00EB6B2E"/>
    <w:rsid w:val="00EB7322"/>
    <w:rsid w:val="00EC0FE9"/>
    <w:rsid w:val="00EC198B"/>
    <w:rsid w:val="00EC426D"/>
    <w:rsid w:val="00EC571B"/>
    <w:rsid w:val="00EC57D7"/>
    <w:rsid w:val="00EC6385"/>
    <w:rsid w:val="00EC787E"/>
    <w:rsid w:val="00ED1DE9"/>
    <w:rsid w:val="00ED23D4"/>
    <w:rsid w:val="00ED3068"/>
    <w:rsid w:val="00ED3A0E"/>
    <w:rsid w:val="00ED5E0B"/>
    <w:rsid w:val="00ED76BB"/>
    <w:rsid w:val="00EE37B6"/>
    <w:rsid w:val="00EF0F45"/>
    <w:rsid w:val="00EF7463"/>
    <w:rsid w:val="00EF7971"/>
    <w:rsid w:val="00F002EF"/>
    <w:rsid w:val="00F01EE9"/>
    <w:rsid w:val="00F04900"/>
    <w:rsid w:val="00F0647A"/>
    <w:rsid w:val="00F065A4"/>
    <w:rsid w:val="00F07178"/>
    <w:rsid w:val="00F126B9"/>
    <w:rsid w:val="00F12715"/>
    <w:rsid w:val="00F1316A"/>
    <w:rsid w:val="00F144D5"/>
    <w:rsid w:val="00F146F0"/>
    <w:rsid w:val="00F15039"/>
    <w:rsid w:val="00F16821"/>
    <w:rsid w:val="00F20FF3"/>
    <w:rsid w:val="00F2190B"/>
    <w:rsid w:val="00F228B5"/>
    <w:rsid w:val="00F2389C"/>
    <w:rsid w:val="00F25C67"/>
    <w:rsid w:val="00F271C1"/>
    <w:rsid w:val="00F30DFF"/>
    <w:rsid w:val="00F32B80"/>
    <w:rsid w:val="00F33EA8"/>
    <w:rsid w:val="00F33FF6"/>
    <w:rsid w:val="00F340EB"/>
    <w:rsid w:val="00F35285"/>
    <w:rsid w:val="00F43B9D"/>
    <w:rsid w:val="00F44D5E"/>
    <w:rsid w:val="00F459C5"/>
    <w:rsid w:val="00F53A35"/>
    <w:rsid w:val="00F55A3D"/>
    <w:rsid w:val="00F5744B"/>
    <w:rsid w:val="00F61209"/>
    <w:rsid w:val="00F6259E"/>
    <w:rsid w:val="00F63704"/>
    <w:rsid w:val="00F639CC"/>
    <w:rsid w:val="00F65DD4"/>
    <w:rsid w:val="00F672B2"/>
    <w:rsid w:val="00F73A88"/>
    <w:rsid w:val="00F83973"/>
    <w:rsid w:val="00F86793"/>
    <w:rsid w:val="00F87FA3"/>
    <w:rsid w:val="00F93D8C"/>
    <w:rsid w:val="00F959B0"/>
    <w:rsid w:val="00F97F39"/>
    <w:rsid w:val="00FA0AF5"/>
    <w:rsid w:val="00FA3102"/>
    <w:rsid w:val="00FA3E76"/>
    <w:rsid w:val="00FA48D4"/>
    <w:rsid w:val="00FA54FA"/>
    <w:rsid w:val="00FA6D39"/>
    <w:rsid w:val="00FB227E"/>
    <w:rsid w:val="00FB3D61"/>
    <w:rsid w:val="00FB44CE"/>
    <w:rsid w:val="00FB5009"/>
    <w:rsid w:val="00FB6FD5"/>
    <w:rsid w:val="00FB755F"/>
    <w:rsid w:val="00FB76AB"/>
    <w:rsid w:val="00FC04B7"/>
    <w:rsid w:val="00FC6073"/>
    <w:rsid w:val="00FD03EB"/>
    <w:rsid w:val="00FD03FE"/>
    <w:rsid w:val="00FD126E"/>
    <w:rsid w:val="00FD3C36"/>
    <w:rsid w:val="00FD4D81"/>
    <w:rsid w:val="00FD7498"/>
    <w:rsid w:val="00FD7FB3"/>
    <w:rsid w:val="00FE4385"/>
    <w:rsid w:val="00FE4713"/>
    <w:rsid w:val="00FE7BA2"/>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4DDE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6B8"/>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E8451D"/>
    <w:pPr>
      <w:ind w:left="284" w:hanging="284"/>
    </w:pPr>
    <w:rPr>
      <w:sz w:val="22"/>
      <w:szCs w:val="20"/>
    </w:rPr>
  </w:style>
  <w:style w:type="character" w:customStyle="1" w:styleId="EndnoteTextChar">
    <w:name w:val="Endnote Text Char"/>
    <w:basedOn w:val="DefaultParagraphFont"/>
    <w:link w:val="EndnoteText"/>
    <w:rsid w:val="00E8451D"/>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hscoswrapper">
    <w:name w:val="hs_cos_wrapper"/>
    <w:basedOn w:val="DefaultParagraphFont"/>
    <w:rsid w:val="00C70C36"/>
  </w:style>
  <w:style w:type="character" w:styleId="Hyperlink">
    <w:name w:val="Hyperlink"/>
    <w:basedOn w:val="DefaultParagraphFont"/>
    <w:uiPriority w:val="99"/>
    <w:unhideWhenUsed/>
    <w:rsid w:val="00C70C36"/>
    <w:rPr>
      <w:color w:val="0000FF" w:themeColor="hyperlink"/>
      <w:u w:val="single"/>
    </w:rPr>
  </w:style>
  <w:style w:type="paragraph" w:styleId="ListParagraph">
    <w:name w:val="List Paragraph"/>
    <w:basedOn w:val="Normal"/>
    <w:uiPriority w:val="34"/>
    <w:qFormat/>
    <w:rsid w:val="00C70C36"/>
    <w:pPr>
      <w:spacing w:line="240" w:lineRule="auto"/>
      <w:ind w:left="720"/>
      <w:contextualSpacing/>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D54C05"/>
    <w:rPr>
      <w:color w:val="605E5C"/>
      <w:shd w:val="clear" w:color="auto" w:fill="E1DFDD"/>
    </w:rPr>
  </w:style>
  <w:style w:type="character" w:styleId="FollowedHyperlink">
    <w:name w:val="FollowedHyperlink"/>
    <w:basedOn w:val="DefaultParagraphFont"/>
    <w:semiHidden/>
    <w:unhideWhenUsed/>
    <w:rsid w:val="003958AA"/>
    <w:rPr>
      <w:color w:val="800080" w:themeColor="followedHyperlink"/>
      <w:u w:val="single"/>
    </w:rPr>
  </w:style>
  <w:style w:type="character" w:customStyle="1" w:styleId="author">
    <w:name w:val="author"/>
    <w:basedOn w:val="DefaultParagraphFont"/>
    <w:rsid w:val="00900C7D"/>
  </w:style>
  <w:style w:type="character" w:customStyle="1" w:styleId="apple-converted-space">
    <w:name w:val="apple-converted-space"/>
    <w:basedOn w:val="DefaultParagraphFont"/>
    <w:rsid w:val="00900C7D"/>
  </w:style>
  <w:style w:type="character" w:customStyle="1" w:styleId="pubyear">
    <w:name w:val="pubyear"/>
    <w:basedOn w:val="DefaultParagraphFont"/>
    <w:rsid w:val="00900C7D"/>
  </w:style>
  <w:style w:type="character" w:customStyle="1" w:styleId="articletitle0">
    <w:name w:val="articletitle"/>
    <w:basedOn w:val="DefaultParagraphFont"/>
    <w:rsid w:val="00900C7D"/>
  </w:style>
  <w:style w:type="character" w:customStyle="1" w:styleId="journaltitle">
    <w:name w:val="journaltitle"/>
    <w:basedOn w:val="DefaultParagraphFont"/>
    <w:rsid w:val="00900C7D"/>
  </w:style>
  <w:style w:type="character" w:customStyle="1" w:styleId="vol">
    <w:name w:val="vol"/>
    <w:basedOn w:val="DefaultParagraphFont"/>
    <w:rsid w:val="00900C7D"/>
  </w:style>
  <w:style w:type="character" w:customStyle="1" w:styleId="citedissue">
    <w:name w:val="citedissue"/>
    <w:basedOn w:val="DefaultParagraphFont"/>
    <w:rsid w:val="00900C7D"/>
  </w:style>
  <w:style w:type="character" w:customStyle="1" w:styleId="pagefirst">
    <w:name w:val="pagefirst"/>
    <w:basedOn w:val="DefaultParagraphFont"/>
    <w:rsid w:val="00900C7D"/>
  </w:style>
  <w:style w:type="character" w:customStyle="1" w:styleId="pagelast">
    <w:name w:val="pagelast"/>
    <w:basedOn w:val="DefaultParagraphFont"/>
    <w:rsid w:val="00900C7D"/>
  </w:style>
  <w:style w:type="paragraph" w:styleId="NormalWeb">
    <w:name w:val="Normal (Web)"/>
    <w:basedOn w:val="Normal"/>
    <w:uiPriority w:val="99"/>
    <w:semiHidden/>
    <w:unhideWhenUsed/>
    <w:rsid w:val="00025724"/>
    <w:pPr>
      <w:spacing w:before="100" w:beforeAutospacing="1" w:after="100" w:afterAutospacing="1" w:line="240" w:lineRule="auto"/>
    </w:pPr>
    <w:rPr>
      <w:rFonts w:eastAsiaTheme="minorEastAsia"/>
    </w:rPr>
  </w:style>
  <w:style w:type="character" w:customStyle="1" w:styleId="othertitle">
    <w:name w:val="othertitle"/>
    <w:basedOn w:val="DefaultParagraphFont"/>
    <w:rsid w:val="004E4E5F"/>
  </w:style>
  <w:style w:type="table" w:styleId="TableGrid">
    <w:name w:val="Table Grid"/>
    <w:basedOn w:val="TableNormal"/>
    <w:rsid w:val="00492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C0B18"/>
    <w:rPr>
      <w:sz w:val="16"/>
      <w:szCs w:val="16"/>
    </w:rPr>
  </w:style>
  <w:style w:type="paragraph" w:styleId="CommentText">
    <w:name w:val="annotation text"/>
    <w:basedOn w:val="Normal"/>
    <w:link w:val="CommentTextChar"/>
    <w:semiHidden/>
    <w:unhideWhenUsed/>
    <w:rsid w:val="007C0B18"/>
    <w:pPr>
      <w:spacing w:line="240" w:lineRule="auto"/>
    </w:pPr>
    <w:rPr>
      <w:sz w:val="20"/>
      <w:szCs w:val="20"/>
    </w:rPr>
  </w:style>
  <w:style w:type="character" w:customStyle="1" w:styleId="CommentTextChar">
    <w:name w:val="Comment Text Char"/>
    <w:basedOn w:val="DefaultParagraphFont"/>
    <w:link w:val="CommentText"/>
    <w:semiHidden/>
    <w:rsid w:val="007C0B18"/>
  </w:style>
  <w:style w:type="paragraph" w:styleId="CommentSubject">
    <w:name w:val="annotation subject"/>
    <w:basedOn w:val="CommentText"/>
    <w:next w:val="CommentText"/>
    <w:link w:val="CommentSubjectChar"/>
    <w:semiHidden/>
    <w:unhideWhenUsed/>
    <w:rsid w:val="007C0B18"/>
    <w:rPr>
      <w:b/>
      <w:bCs/>
    </w:rPr>
  </w:style>
  <w:style w:type="character" w:customStyle="1" w:styleId="CommentSubjectChar">
    <w:name w:val="Comment Subject Char"/>
    <w:basedOn w:val="CommentTextChar"/>
    <w:link w:val="CommentSubject"/>
    <w:semiHidden/>
    <w:rsid w:val="007C0B18"/>
    <w:rPr>
      <w:b/>
      <w:bCs/>
    </w:rPr>
  </w:style>
  <w:style w:type="paragraph" w:styleId="BalloonText">
    <w:name w:val="Balloon Text"/>
    <w:basedOn w:val="Normal"/>
    <w:link w:val="BalloonTextChar"/>
    <w:semiHidden/>
    <w:unhideWhenUsed/>
    <w:rsid w:val="007C0B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C0B18"/>
    <w:rPr>
      <w:rFonts w:ascii="Segoe UI" w:hAnsi="Segoe UI" w:cs="Segoe UI"/>
      <w:sz w:val="18"/>
      <w:szCs w:val="18"/>
    </w:rPr>
  </w:style>
  <w:style w:type="paragraph" w:customStyle="1" w:styleId="Default">
    <w:name w:val="Default"/>
    <w:rsid w:val="007C0B18"/>
    <w:pPr>
      <w:autoSpaceDE w:val="0"/>
      <w:autoSpaceDN w:val="0"/>
      <w:adjustRightInd w:val="0"/>
    </w:pPr>
    <w:rPr>
      <w:rFonts w:ascii="Arial" w:hAnsi="Arial" w:cs="Arial"/>
      <w:color w:val="000000"/>
      <w:sz w:val="24"/>
      <w:szCs w:val="24"/>
    </w:rPr>
  </w:style>
  <w:style w:type="paragraph" w:customStyle="1" w:styleId="ICMEReferences">
    <w:name w:val="ICME References"/>
    <w:basedOn w:val="Normal"/>
    <w:qFormat/>
    <w:rsid w:val="0079700C"/>
    <w:pPr>
      <w:spacing w:after="120" w:line="260" w:lineRule="atLeast"/>
      <w:ind w:left="289" w:hanging="289"/>
      <w:jc w:val="both"/>
    </w:pPr>
    <w:rPr>
      <w:rFonts w:eastAsiaTheme="minorEastAsia" w:cstheme="minorBidi"/>
      <w:sz w:val="22"/>
      <w:szCs w:val="26"/>
      <w:lang w:val="en-US" w:eastAsia="de-DE"/>
    </w:rPr>
  </w:style>
  <w:style w:type="paragraph" w:styleId="Caption">
    <w:name w:val="caption"/>
    <w:basedOn w:val="Normal"/>
    <w:next w:val="Normal"/>
    <w:unhideWhenUsed/>
    <w:rsid w:val="008106F0"/>
    <w:pPr>
      <w:spacing w:after="200" w:line="240" w:lineRule="auto"/>
    </w:pPr>
    <w:rPr>
      <w:i/>
      <w:iCs/>
      <w:color w:val="1F497D" w:themeColor="text2"/>
      <w:sz w:val="18"/>
      <w:szCs w:val="18"/>
    </w:rPr>
  </w:style>
  <w:style w:type="paragraph" w:styleId="Revision">
    <w:name w:val="Revision"/>
    <w:hidden/>
    <w:semiHidden/>
    <w:rsid w:val="00702B6A"/>
    <w:rPr>
      <w:sz w:val="24"/>
      <w:szCs w:val="24"/>
    </w:rPr>
  </w:style>
  <w:style w:type="character" w:styleId="UnresolvedMention">
    <w:name w:val="Unresolved Mention"/>
    <w:basedOn w:val="DefaultParagraphFont"/>
    <w:uiPriority w:val="99"/>
    <w:semiHidden/>
    <w:unhideWhenUsed/>
    <w:rsid w:val="00E8451D"/>
    <w:rPr>
      <w:color w:val="605E5C"/>
      <w:shd w:val="clear" w:color="auto" w:fill="E1DFDD"/>
    </w:rPr>
  </w:style>
  <w:style w:type="character" w:customStyle="1" w:styleId="orcid-id-https">
    <w:name w:val="orcid-id-https"/>
    <w:basedOn w:val="DefaultParagraphFont"/>
    <w:rsid w:val="00D54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0394">
      <w:bodyDiv w:val="1"/>
      <w:marLeft w:val="0"/>
      <w:marRight w:val="0"/>
      <w:marTop w:val="0"/>
      <w:marBottom w:val="0"/>
      <w:divBdr>
        <w:top w:val="none" w:sz="0" w:space="0" w:color="auto"/>
        <w:left w:val="none" w:sz="0" w:space="0" w:color="auto"/>
        <w:bottom w:val="none" w:sz="0" w:space="0" w:color="auto"/>
        <w:right w:val="none" w:sz="0" w:space="0" w:color="auto"/>
      </w:divBdr>
      <w:divsChild>
        <w:div w:id="1401171140">
          <w:marLeft w:val="0"/>
          <w:marRight w:val="0"/>
          <w:marTop w:val="0"/>
          <w:marBottom w:val="0"/>
          <w:divBdr>
            <w:top w:val="none" w:sz="0" w:space="0" w:color="auto"/>
            <w:left w:val="none" w:sz="0" w:space="0" w:color="auto"/>
            <w:bottom w:val="none" w:sz="0" w:space="0" w:color="auto"/>
            <w:right w:val="none" w:sz="0" w:space="0" w:color="auto"/>
          </w:divBdr>
        </w:div>
      </w:divsChild>
    </w:div>
    <w:div w:id="160506219">
      <w:bodyDiv w:val="1"/>
      <w:marLeft w:val="0"/>
      <w:marRight w:val="0"/>
      <w:marTop w:val="0"/>
      <w:marBottom w:val="0"/>
      <w:divBdr>
        <w:top w:val="none" w:sz="0" w:space="0" w:color="auto"/>
        <w:left w:val="none" w:sz="0" w:space="0" w:color="auto"/>
        <w:bottom w:val="none" w:sz="0" w:space="0" w:color="auto"/>
        <w:right w:val="none" w:sz="0" w:space="0" w:color="auto"/>
      </w:divBdr>
      <w:divsChild>
        <w:div w:id="143661880">
          <w:marLeft w:val="0"/>
          <w:marRight w:val="0"/>
          <w:marTop w:val="0"/>
          <w:marBottom w:val="0"/>
          <w:divBdr>
            <w:top w:val="none" w:sz="0" w:space="0" w:color="auto"/>
            <w:left w:val="none" w:sz="0" w:space="0" w:color="auto"/>
            <w:bottom w:val="none" w:sz="0" w:space="0" w:color="auto"/>
            <w:right w:val="none" w:sz="0" w:space="0" w:color="auto"/>
          </w:divBdr>
        </w:div>
        <w:div w:id="1115297185">
          <w:marLeft w:val="0"/>
          <w:marRight w:val="0"/>
          <w:marTop w:val="0"/>
          <w:marBottom w:val="0"/>
          <w:divBdr>
            <w:top w:val="none" w:sz="0" w:space="0" w:color="auto"/>
            <w:left w:val="none" w:sz="0" w:space="0" w:color="auto"/>
            <w:bottom w:val="none" w:sz="0" w:space="0" w:color="auto"/>
            <w:right w:val="none" w:sz="0" w:space="0" w:color="auto"/>
          </w:divBdr>
        </w:div>
        <w:div w:id="680935217">
          <w:marLeft w:val="0"/>
          <w:marRight w:val="0"/>
          <w:marTop w:val="0"/>
          <w:marBottom w:val="0"/>
          <w:divBdr>
            <w:top w:val="none" w:sz="0" w:space="0" w:color="auto"/>
            <w:left w:val="none" w:sz="0" w:space="0" w:color="auto"/>
            <w:bottom w:val="none" w:sz="0" w:space="0" w:color="auto"/>
            <w:right w:val="none" w:sz="0" w:space="0" w:color="auto"/>
          </w:divBdr>
          <w:divsChild>
            <w:div w:id="1612665312">
              <w:marLeft w:val="0"/>
              <w:marRight w:val="0"/>
              <w:marTop w:val="0"/>
              <w:marBottom w:val="0"/>
              <w:divBdr>
                <w:top w:val="none" w:sz="0" w:space="0" w:color="auto"/>
                <w:left w:val="none" w:sz="0" w:space="0" w:color="auto"/>
                <w:bottom w:val="none" w:sz="0" w:space="0" w:color="auto"/>
                <w:right w:val="none" w:sz="0" w:space="0" w:color="auto"/>
              </w:divBdr>
            </w:div>
          </w:divsChild>
        </w:div>
        <w:div w:id="1447502595">
          <w:marLeft w:val="0"/>
          <w:marRight w:val="0"/>
          <w:marTop w:val="0"/>
          <w:marBottom w:val="0"/>
          <w:divBdr>
            <w:top w:val="none" w:sz="0" w:space="0" w:color="auto"/>
            <w:left w:val="none" w:sz="0" w:space="0" w:color="auto"/>
            <w:bottom w:val="none" w:sz="0" w:space="0" w:color="auto"/>
            <w:right w:val="none" w:sz="0" w:space="0" w:color="auto"/>
          </w:divBdr>
        </w:div>
        <w:div w:id="1167786949">
          <w:marLeft w:val="0"/>
          <w:marRight w:val="0"/>
          <w:marTop w:val="0"/>
          <w:marBottom w:val="0"/>
          <w:divBdr>
            <w:top w:val="none" w:sz="0" w:space="0" w:color="auto"/>
            <w:left w:val="none" w:sz="0" w:space="0" w:color="auto"/>
            <w:bottom w:val="none" w:sz="0" w:space="0" w:color="auto"/>
            <w:right w:val="none" w:sz="0" w:space="0" w:color="auto"/>
          </w:divBdr>
        </w:div>
        <w:div w:id="866262667">
          <w:marLeft w:val="0"/>
          <w:marRight w:val="0"/>
          <w:marTop w:val="0"/>
          <w:marBottom w:val="0"/>
          <w:divBdr>
            <w:top w:val="none" w:sz="0" w:space="0" w:color="auto"/>
            <w:left w:val="none" w:sz="0" w:space="0" w:color="auto"/>
            <w:bottom w:val="none" w:sz="0" w:space="0" w:color="auto"/>
            <w:right w:val="none" w:sz="0" w:space="0" w:color="auto"/>
          </w:divBdr>
        </w:div>
        <w:div w:id="1972444075">
          <w:marLeft w:val="0"/>
          <w:marRight w:val="0"/>
          <w:marTop w:val="0"/>
          <w:marBottom w:val="0"/>
          <w:divBdr>
            <w:top w:val="none" w:sz="0" w:space="0" w:color="auto"/>
            <w:left w:val="none" w:sz="0" w:space="0" w:color="auto"/>
            <w:bottom w:val="none" w:sz="0" w:space="0" w:color="auto"/>
            <w:right w:val="none" w:sz="0" w:space="0" w:color="auto"/>
          </w:divBdr>
          <w:divsChild>
            <w:div w:id="1090807390">
              <w:marLeft w:val="0"/>
              <w:marRight w:val="0"/>
              <w:marTop w:val="0"/>
              <w:marBottom w:val="0"/>
              <w:divBdr>
                <w:top w:val="none" w:sz="0" w:space="0" w:color="auto"/>
                <w:left w:val="none" w:sz="0" w:space="0" w:color="auto"/>
                <w:bottom w:val="none" w:sz="0" w:space="0" w:color="auto"/>
                <w:right w:val="none" w:sz="0" w:space="0" w:color="auto"/>
              </w:divBdr>
            </w:div>
            <w:div w:id="1063872445">
              <w:marLeft w:val="0"/>
              <w:marRight w:val="0"/>
              <w:marTop w:val="0"/>
              <w:marBottom w:val="0"/>
              <w:divBdr>
                <w:top w:val="none" w:sz="0" w:space="0" w:color="auto"/>
                <w:left w:val="none" w:sz="0" w:space="0" w:color="auto"/>
                <w:bottom w:val="none" w:sz="0" w:space="0" w:color="auto"/>
                <w:right w:val="none" w:sz="0" w:space="0" w:color="auto"/>
              </w:divBdr>
            </w:div>
            <w:div w:id="569118970">
              <w:marLeft w:val="0"/>
              <w:marRight w:val="0"/>
              <w:marTop w:val="0"/>
              <w:marBottom w:val="0"/>
              <w:divBdr>
                <w:top w:val="none" w:sz="0" w:space="0" w:color="auto"/>
                <w:left w:val="none" w:sz="0" w:space="0" w:color="auto"/>
                <w:bottom w:val="none" w:sz="0" w:space="0" w:color="auto"/>
                <w:right w:val="none" w:sz="0" w:space="0" w:color="auto"/>
              </w:divBdr>
              <w:divsChild>
                <w:div w:id="1880892856">
                  <w:marLeft w:val="0"/>
                  <w:marRight w:val="0"/>
                  <w:marTop w:val="0"/>
                  <w:marBottom w:val="0"/>
                  <w:divBdr>
                    <w:top w:val="none" w:sz="0" w:space="0" w:color="auto"/>
                    <w:left w:val="none" w:sz="0" w:space="0" w:color="auto"/>
                    <w:bottom w:val="none" w:sz="0" w:space="0" w:color="auto"/>
                    <w:right w:val="none" w:sz="0" w:space="0" w:color="auto"/>
                  </w:divBdr>
                </w:div>
              </w:divsChild>
            </w:div>
            <w:div w:id="968438794">
              <w:marLeft w:val="0"/>
              <w:marRight w:val="0"/>
              <w:marTop w:val="0"/>
              <w:marBottom w:val="0"/>
              <w:divBdr>
                <w:top w:val="none" w:sz="0" w:space="0" w:color="auto"/>
                <w:left w:val="none" w:sz="0" w:space="0" w:color="auto"/>
                <w:bottom w:val="none" w:sz="0" w:space="0" w:color="auto"/>
                <w:right w:val="none" w:sz="0" w:space="0" w:color="auto"/>
              </w:divBdr>
              <w:divsChild>
                <w:div w:id="1154881060">
                  <w:marLeft w:val="0"/>
                  <w:marRight w:val="0"/>
                  <w:marTop w:val="0"/>
                  <w:marBottom w:val="0"/>
                  <w:divBdr>
                    <w:top w:val="none" w:sz="0" w:space="0" w:color="auto"/>
                    <w:left w:val="none" w:sz="0" w:space="0" w:color="auto"/>
                    <w:bottom w:val="none" w:sz="0" w:space="0" w:color="auto"/>
                    <w:right w:val="none" w:sz="0" w:space="0" w:color="auto"/>
                  </w:divBdr>
                </w:div>
                <w:div w:id="1978290456">
                  <w:marLeft w:val="0"/>
                  <w:marRight w:val="0"/>
                  <w:marTop w:val="0"/>
                  <w:marBottom w:val="0"/>
                  <w:divBdr>
                    <w:top w:val="none" w:sz="0" w:space="0" w:color="auto"/>
                    <w:left w:val="none" w:sz="0" w:space="0" w:color="auto"/>
                    <w:bottom w:val="none" w:sz="0" w:space="0" w:color="auto"/>
                    <w:right w:val="none" w:sz="0" w:space="0" w:color="auto"/>
                  </w:divBdr>
                </w:div>
                <w:div w:id="3952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359">
      <w:bodyDiv w:val="1"/>
      <w:marLeft w:val="0"/>
      <w:marRight w:val="0"/>
      <w:marTop w:val="0"/>
      <w:marBottom w:val="0"/>
      <w:divBdr>
        <w:top w:val="none" w:sz="0" w:space="0" w:color="auto"/>
        <w:left w:val="none" w:sz="0" w:space="0" w:color="auto"/>
        <w:bottom w:val="none" w:sz="0" w:space="0" w:color="auto"/>
        <w:right w:val="none" w:sz="0" w:space="0" w:color="auto"/>
      </w:divBdr>
      <w:divsChild>
        <w:div w:id="707147599">
          <w:marLeft w:val="0"/>
          <w:marRight w:val="0"/>
          <w:marTop w:val="0"/>
          <w:marBottom w:val="0"/>
          <w:divBdr>
            <w:top w:val="none" w:sz="0" w:space="0" w:color="auto"/>
            <w:left w:val="none" w:sz="0" w:space="0" w:color="auto"/>
            <w:bottom w:val="none" w:sz="0" w:space="0" w:color="auto"/>
            <w:right w:val="none" w:sz="0" w:space="0" w:color="auto"/>
          </w:divBdr>
          <w:divsChild>
            <w:div w:id="334580689">
              <w:marLeft w:val="0"/>
              <w:marRight w:val="0"/>
              <w:marTop w:val="0"/>
              <w:marBottom w:val="0"/>
              <w:divBdr>
                <w:top w:val="none" w:sz="0" w:space="0" w:color="auto"/>
                <w:left w:val="none" w:sz="0" w:space="0" w:color="auto"/>
                <w:bottom w:val="none" w:sz="0" w:space="0" w:color="auto"/>
                <w:right w:val="none" w:sz="0" w:space="0" w:color="auto"/>
              </w:divBdr>
              <w:divsChild>
                <w:div w:id="1540631601">
                  <w:marLeft w:val="0"/>
                  <w:marRight w:val="0"/>
                  <w:marTop w:val="0"/>
                  <w:marBottom w:val="0"/>
                  <w:divBdr>
                    <w:top w:val="none" w:sz="0" w:space="0" w:color="auto"/>
                    <w:left w:val="none" w:sz="0" w:space="0" w:color="auto"/>
                    <w:bottom w:val="none" w:sz="0" w:space="0" w:color="auto"/>
                    <w:right w:val="none" w:sz="0" w:space="0" w:color="auto"/>
                  </w:divBdr>
                  <w:divsChild>
                    <w:div w:id="1620337372">
                      <w:marLeft w:val="0"/>
                      <w:marRight w:val="0"/>
                      <w:marTop w:val="0"/>
                      <w:marBottom w:val="0"/>
                      <w:divBdr>
                        <w:top w:val="none" w:sz="0" w:space="0" w:color="auto"/>
                        <w:left w:val="none" w:sz="0" w:space="0" w:color="auto"/>
                        <w:bottom w:val="none" w:sz="0" w:space="0" w:color="auto"/>
                        <w:right w:val="none" w:sz="0" w:space="0" w:color="auto"/>
                      </w:divBdr>
                    </w:div>
                  </w:divsChild>
                </w:div>
                <w:div w:id="326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7793">
      <w:bodyDiv w:val="1"/>
      <w:marLeft w:val="0"/>
      <w:marRight w:val="0"/>
      <w:marTop w:val="0"/>
      <w:marBottom w:val="0"/>
      <w:divBdr>
        <w:top w:val="none" w:sz="0" w:space="0" w:color="auto"/>
        <w:left w:val="none" w:sz="0" w:space="0" w:color="auto"/>
        <w:bottom w:val="none" w:sz="0" w:space="0" w:color="auto"/>
        <w:right w:val="none" w:sz="0" w:space="0" w:color="auto"/>
      </w:divBdr>
    </w:div>
    <w:div w:id="523594647">
      <w:bodyDiv w:val="1"/>
      <w:marLeft w:val="0"/>
      <w:marRight w:val="0"/>
      <w:marTop w:val="0"/>
      <w:marBottom w:val="0"/>
      <w:divBdr>
        <w:top w:val="none" w:sz="0" w:space="0" w:color="auto"/>
        <w:left w:val="none" w:sz="0" w:space="0" w:color="auto"/>
        <w:bottom w:val="none" w:sz="0" w:space="0" w:color="auto"/>
        <w:right w:val="none" w:sz="0" w:space="0" w:color="auto"/>
      </w:divBdr>
      <w:divsChild>
        <w:div w:id="2072804619">
          <w:marLeft w:val="0"/>
          <w:marRight w:val="0"/>
          <w:marTop w:val="0"/>
          <w:marBottom w:val="0"/>
          <w:divBdr>
            <w:top w:val="none" w:sz="0" w:space="0" w:color="auto"/>
            <w:left w:val="none" w:sz="0" w:space="0" w:color="auto"/>
            <w:bottom w:val="none" w:sz="0" w:space="0" w:color="auto"/>
            <w:right w:val="none" w:sz="0" w:space="0" w:color="auto"/>
          </w:divBdr>
        </w:div>
      </w:divsChild>
    </w:div>
    <w:div w:id="593365653">
      <w:bodyDiv w:val="1"/>
      <w:marLeft w:val="0"/>
      <w:marRight w:val="0"/>
      <w:marTop w:val="0"/>
      <w:marBottom w:val="0"/>
      <w:divBdr>
        <w:top w:val="none" w:sz="0" w:space="0" w:color="auto"/>
        <w:left w:val="none" w:sz="0" w:space="0" w:color="auto"/>
        <w:bottom w:val="none" w:sz="0" w:space="0" w:color="auto"/>
        <w:right w:val="none" w:sz="0" w:space="0" w:color="auto"/>
      </w:divBdr>
    </w:div>
    <w:div w:id="718433561">
      <w:bodyDiv w:val="1"/>
      <w:marLeft w:val="0"/>
      <w:marRight w:val="0"/>
      <w:marTop w:val="0"/>
      <w:marBottom w:val="0"/>
      <w:divBdr>
        <w:top w:val="none" w:sz="0" w:space="0" w:color="auto"/>
        <w:left w:val="none" w:sz="0" w:space="0" w:color="auto"/>
        <w:bottom w:val="none" w:sz="0" w:space="0" w:color="auto"/>
        <w:right w:val="none" w:sz="0" w:space="0" w:color="auto"/>
      </w:divBdr>
    </w:div>
    <w:div w:id="775978656">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2198733">
      <w:bodyDiv w:val="1"/>
      <w:marLeft w:val="0"/>
      <w:marRight w:val="0"/>
      <w:marTop w:val="0"/>
      <w:marBottom w:val="0"/>
      <w:divBdr>
        <w:top w:val="none" w:sz="0" w:space="0" w:color="auto"/>
        <w:left w:val="none" w:sz="0" w:space="0" w:color="auto"/>
        <w:bottom w:val="none" w:sz="0" w:space="0" w:color="auto"/>
        <w:right w:val="none" w:sz="0" w:space="0" w:color="auto"/>
      </w:divBdr>
    </w:div>
    <w:div w:id="946279430">
      <w:bodyDiv w:val="1"/>
      <w:marLeft w:val="0"/>
      <w:marRight w:val="0"/>
      <w:marTop w:val="0"/>
      <w:marBottom w:val="0"/>
      <w:divBdr>
        <w:top w:val="none" w:sz="0" w:space="0" w:color="auto"/>
        <w:left w:val="none" w:sz="0" w:space="0" w:color="auto"/>
        <w:bottom w:val="none" w:sz="0" w:space="0" w:color="auto"/>
        <w:right w:val="none" w:sz="0" w:space="0" w:color="auto"/>
      </w:divBdr>
      <w:divsChild>
        <w:div w:id="622228647">
          <w:marLeft w:val="0"/>
          <w:marRight w:val="0"/>
          <w:marTop w:val="0"/>
          <w:marBottom w:val="0"/>
          <w:divBdr>
            <w:top w:val="none" w:sz="0" w:space="0" w:color="auto"/>
            <w:left w:val="none" w:sz="0" w:space="0" w:color="auto"/>
            <w:bottom w:val="none" w:sz="0" w:space="0" w:color="auto"/>
            <w:right w:val="none" w:sz="0" w:space="0" w:color="auto"/>
          </w:divBdr>
        </w:div>
      </w:divsChild>
    </w:div>
    <w:div w:id="971331098">
      <w:bodyDiv w:val="1"/>
      <w:marLeft w:val="0"/>
      <w:marRight w:val="0"/>
      <w:marTop w:val="0"/>
      <w:marBottom w:val="0"/>
      <w:divBdr>
        <w:top w:val="none" w:sz="0" w:space="0" w:color="auto"/>
        <w:left w:val="none" w:sz="0" w:space="0" w:color="auto"/>
        <w:bottom w:val="none" w:sz="0" w:space="0" w:color="auto"/>
        <w:right w:val="none" w:sz="0" w:space="0" w:color="auto"/>
      </w:divBdr>
    </w:div>
    <w:div w:id="1015577195">
      <w:bodyDiv w:val="1"/>
      <w:marLeft w:val="0"/>
      <w:marRight w:val="0"/>
      <w:marTop w:val="0"/>
      <w:marBottom w:val="0"/>
      <w:divBdr>
        <w:top w:val="none" w:sz="0" w:space="0" w:color="auto"/>
        <w:left w:val="none" w:sz="0" w:space="0" w:color="auto"/>
        <w:bottom w:val="none" w:sz="0" w:space="0" w:color="auto"/>
        <w:right w:val="none" w:sz="0" w:space="0" w:color="auto"/>
      </w:divBdr>
      <w:divsChild>
        <w:div w:id="136536544">
          <w:marLeft w:val="0"/>
          <w:marRight w:val="0"/>
          <w:marTop w:val="0"/>
          <w:marBottom w:val="0"/>
          <w:divBdr>
            <w:top w:val="none" w:sz="0" w:space="0" w:color="auto"/>
            <w:left w:val="none" w:sz="0" w:space="0" w:color="auto"/>
            <w:bottom w:val="none" w:sz="0" w:space="0" w:color="auto"/>
            <w:right w:val="none" w:sz="0" w:space="0" w:color="auto"/>
          </w:divBdr>
        </w:div>
      </w:divsChild>
    </w:div>
    <w:div w:id="1019818119">
      <w:bodyDiv w:val="1"/>
      <w:marLeft w:val="0"/>
      <w:marRight w:val="0"/>
      <w:marTop w:val="0"/>
      <w:marBottom w:val="0"/>
      <w:divBdr>
        <w:top w:val="none" w:sz="0" w:space="0" w:color="auto"/>
        <w:left w:val="none" w:sz="0" w:space="0" w:color="auto"/>
        <w:bottom w:val="none" w:sz="0" w:space="0" w:color="auto"/>
        <w:right w:val="none" w:sz="0" w:space="0" w:color="auto"/>
      </w:divBdr>
    </w:div>
    <w:div w:id="1043481120">
      <w:bodyDiv w:val="1"/>
      <w:marLeft w:val="0"/>
      <w:marRight w:val="0"/>
      <w:marTop w:val="0"/>
      <w:marBottom w:val="0"/>
      <w:divBdr>
        <w:top w:val="none" w:sz="0" w:space="0" w:color="auto"/>
        <w:left w:val="none" w:sz="0" w:space="0" w:color="auto"/>
        <w:bottom w:val="none" w:sz="0" w:space="0" w:color="auto"/>
        <w:right w:val="none" w:sz="0" w:space="0" w:color="auto"/>
      </w:divBdr>
      <w:divsChild>
        <w:div w:id="544023135">
          <w:marLeft w:val="0"/>
          <w:marRight w:val="0"/>
          <w:marTop w:val="0"/>
          <w:marBottom w:val="0"/>
          <w:divBdr>
            <w:top w:val="none" w:sz="0" w:space="0" w:color="auto"/>
            <w:left w:val="none" w:sz="0" w:space="0" w:color="auto"/>
            <w:bottom w:val="none" w:sz="0" w:space="0" w:color="auto"/>
            <w:right w:val="none" w:sz="0" w:space="0" w:color="auto"/>
          </w:divBdr>
        </w:div>
        <w:div w:id="404959260">
          <w:marLeft w:val="0"/>
          <w:marRight w:val="0"/>
          <w:marTop w:val="0"/>
          <w:marBottom w:val="0"/>
          <w:divBdr>
            <w:top w:val="none" w:sz="0" w:space="0" w:color="auto"/>
            <w:left w:val="none" w:sz="0" w:space="0" w:color="auto"/>
            <w:bottom w:val="none" w:sz="0" w:space="0" w:color="auto"/>
            <w:right w:val="none" w:sz="0" w:space="0" w:color="auto"/>
          </w:divBdr>
        </w:div>
        <w:div w:id="866990711">
          <w:marLeft w:val="0"/>
          <w:marRight w:val="0"/>
          <w:marTop w:val="0"/>
          <w:marBottom w:val="0"/>
          <w:divBdr>
            <w:top w:val="none" w:sz="0" w:space="0" w:color="auto"/>
            <w:left w:val="none" w:sz="0" w:space="0" w:color="auto"/>
            <w:bottom w:val="none" w:sz="0" w:space="0" w:color="auto"/>
            <w:right w:val="none" w:sz="0" w:space="0" w:color="auto"/>
          </w:divBdr>
        </w:div>
        <w:div w:id="2015376667">
          <w:marLeft w:val="0"/>
          <w:marRight w:val="0"/>
          <w:marTop w:val="0"/>
          <w:marBottom w:val="0"/>
          <w:divBdr>
            <w:top w:val="none" w:sz="0" w:space="0" w:color="auto"/>
            <w:left w:val="none" w:sz="0" w:space="0" w:color="auto"/>
            <w:bottom w:val="none" w:sz="0" w:space="0" w:color="auto"/>
            <w:right w:val="none" w:sz="0" w:space="0" w:color="auto"/>
          </w:divBdr>
        </w:div>
        <w:div w:id="1904484686">
          <w:marLeft w:val="0"/>
          <w:marRight w:val="0"/>
          <w:marTop w:val="0"/>
          <w:marBottom w:val="0"/>
          <w:divBdr>
            <w:top w:val="none" w:sz="0" w:space="0" w:color="auto"/>
            <w:left w:val="none" w:sz="0" w:space="0" w:color="auto"/>
            <w:bottom w:val="none" w:sz="0" w:space="0" w:color="auto"/>
            <w:right w:val="none" w:sz="0" w:space="0" w:color="auto"/>
          </w:divBdr>
        </w:div>
      </w:divsChild>
    </w:div>
    <w:div w:id="1091312746">
      <w:bodyDiv w:val="1"/>
      <w:marLeft w:val="0"/>
      <w:marRight w:val="0"/>
      <w:marTop w:val="0"/>
      <w:marBottom w:val="0"/>
      <w:divBdr>
        <w:top w:val="none" w:sz="0" w:space="0" w:color="auto"/>
        <w:left w:val="none" w:sz="0" w:space="0" w:color="auto"/>
        <w:bottom w:val="none" w:sz="0" w:space="0" w:color="auto"/>
        <w:right w:val="none" w:sz="0" w:space="0" w:color="auto"/>
      </w:divBdr>
    </w:div>
    <w:div w:id="1107890723">
      <w:bodyDiv w:val="1"/>
      <w:marLeft w:val="0"/>
      <w:marRight w:val="0"/>
      <w:marTop w:val="0"/>
      <w:marBottom w:val="0"/>
      <w:divBdr>
        <w:top w:val="none" w:sz="0" w:space="0" w:color="auto"/>
        <w:left w:val="none" w:sz="0" w:space="0" w:color="auto"/>
        <w:bottom w:val="none" w:sz="0" w:space="0" w:color="auto"/>
        <w:right w:val="none" w:sz="0" w:space="0" w:color="auto"/>
      </w:divBdr>
      <w:divsChild>
        <w:div w:id="16883645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8916878">
              <w:marLeft w:val="0"/>
              <w:marRight w:val="0"/>
              <w:marTop w:val="0"/>
              <w:marBottom w:val="0"/>
              <w:divBdr>
                <w:top w:val="none" w:sz="0" w:space="0" w:color="auto"/>
                <w:left w:val="none" w:sz="0" w:space="0" w:color="auto"/>
                <w:bottom w:val="none" w:sz="0" w:space="0" w:color="auto"/>
                <w:right w:val="none" w:sz="0" w:space="0" w:color="auto"/>
              </w:divBdr>
            </w:div>
          </w:divsChild>
        </w:div>
        <w:div w:id="348411172">
          <w:marLeft w:val="0"/>
          <w:marRight w:val="0"/>
          <w:marTop w:val="0"/>
          <w:marBottom w:val="0"/>
          <w:divBdr>
            <w:top w:val="none" w:sz="0" w:space="0" w:color="auto"/>
            <w:left w:val="none" w:sz="0" w:space="0" w:color="auto"/>
            <w:bottom w:val="none" w:sz="0" w:space="0" w:color="auto"/>
            <w:right w:val="none" w:sz="0" w:space="0" w:color="auto"/>
          </w:divBdr>
        </w:div>
        <w:div w:id="1548176238">
          <w:marLeft w:val="0"/>
          <w:marRight w:val="0"/>
          <w:marTop w:val="0"/>
          <w:marBottom w:val="0"/>
          <w:divBdr>
            <w:top w:val="none" w:sz="0" w:space="0" w:color="auto"/>
            <w:left w:val="none" w:sz="0" w:space="0" w:color="auto"/>
            <w:bottom w:val="none" w:sz="0" w:space="0" w:color="auto"/>
            <w:right w:val="none" w:sz="0" w:space="0" w:color="auto"/>
          </w:divBdr>
        </w:div>
        <w:div w:id="13743827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5379544">
              <w:marLeft w:val="0"/>
              <w:marRight w:val="0"/>
              <w:marTop w:val="0"/>
              <w:marBottom w:val="0"/>
              <w:divBdr>
                <w:top w:val="none" w:sz="0" w:space="0" w:color="auto"/>
                <w:left w:val="none" w:sz="0" w:space="0" w:color="auto"/>
                <w:bottom w:val="none" w:sz="0" w:space="0" w:color="auto"/>
                <w:right w:val="none" w:sz="0" w:space="0" w:color="auto"/>
              </w:divBdr>
              <w:divsChild>
                <w:div w:id="18181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98966">
      <w:bodyDiv w:val="1"/>
      <w:marLeft w:val="0"/>
      <w:marRight w:val="0"/>
      <w:marTop w:val="0"/>
      <w:marBottom w:val="0"/>
      <w:divBdr>
        <w:top w:val="none" w:sz="0" w:space="0" w:color="auto"/>
        <w:left w:val="none" w:sz="0" w:space="0" w:color="auto"/>
        <w:bottom w:val="none" w:sz="0" w:space="0" w:color="auto"/>
        <w:right w:val="none" w:sz="0" w:space="0" w:color="auto"/>
      </w:divBdr>
    </w:div>
    <w:div w:id="1297832751">
      <w:bodyDiv w:val="1"/>
      <w:marLeft w:val="0"/>
      <w:marRight w:val="0"/>
      <w:marTop w:val="0"/>
      <w:marBottom w:val="0"/>
      <w:divBdr>
        <w:top w:val="none" w:sz="0" w:space="0" w:color="auto"/>
        <w:left w:val="none" w:sz="0" w:space="0" w:color="auto"/>
        <w:bottom w:val="none" w:sz="0" w:space="0" w:color="auto"/>
        <w:right w:val="none" w:sz="0" w:space="0" w:color="auto"/>
      </w:divBdr>
      <w:divsChild>
        <w:div w:id="1161307911">
          <w:marLeft w:val="0"/>
          <w:marRight w:val="0"/>
          <w:marTop w:val="0"/>
          <w:marBottom w:val="0"/>
          <w:divBdr>
            <w:top w:val="none" w:sz="0" w:space="0" w:color="auto"/>
            <w:left w:val="none" w:sz="0" w:space="0" w:color="auto"/>
            <w:bottom w:val="none" w:sz="0" w:space="0" w:color="auto"/>
            <w:right w:val="none" w:sz="0" w:space="0" w:color="auto"/>
          </w:divBdr>
        </w:div>
        <w:div w:id="1396589292">
          <w:marLeft w:val="0"/>
          <w:marRight w:val="0"/>
          <w:marTop w:val="0"/>
          <w:marBottom w:val="0"/>
          <w:divBdr>
            <w:top w:val="none" w:sz="0" w:space="0" w:color="auto"/>
            <w:left w:val="none" w:sz="0" w:space="0" w:color="auto"/>
            <w:bottom w:val="none" w:sz="0" w:space="0" w:color="auto"/>
            <w:right w:val="none" w:sz="0" w:space="0" w:color="auto"/>
          </w:divBdr>
        </w:div>
        <w:div w:id="1621649302">
          <w:marLeft w:val="0"/>
          <w:marRight w:val="0"/>
          <w:marTop w:val="0"/>
          <w:marBottom w:val="0"/>
          <w:divBdr>
            <w:top w:val="none" w:sz="0" w:space="0" w:color="auto"/>
            <w:left w:val="none" w:sz="0" w:space="0" w:color="auto"/>
            <w:bottom w:val="none" w:sz="0" w:space="0" w:color="auto"/>
            <w:right w:val="none" w:sz="0" w:space="0" w:color="auto"/>
          </w:divBdr>
        </w:div>
        <w:div w:id="475683580">
          <w:marLeft w:val="0"/>
          <w:marRight w:val="0"/>
          <w:marTop w:val="0"/>
          <w:marBottom w:val="0"/>
          <w:divBdr>
            <w:top w:val="none" w:sz="0" w:space="0" w:color="auto"/>
            <w:left w:val="none" w:sz="0" w:space="0" w:color="auto"/>
            <w:bottom w:val="none" w:sz="0" w:space="0" w:color="auto"/>
            <w:right w:val="none" w:sz="0" w:space="0" w:color="auto"/>
          </w:divBdr>
        </w:div>
        <w:div w:id="652761585">
          <w:marLeft w:val="0"/>
          <w:marRight w:val="0"/>
          <w:marTop w:val="0"/>
          <w:marBottom w:val="0"/>
          <w:divBdr>
            <w:top w:val="none" w:sz="0" w:space="0" w:color="auto"/>
            <w:left w:val="none" w:sz="0" w:space="0" w:color="auto"/>
            <w:bottom w:val="none" w:sz="0" w:space="0" w:color="auto"/>
            <w:right w:val="none" w:sz="0" w:space="0" w:color="auto"/>
          </w:divBdr>
        </w:div>
        <w:div w:id="595987834">
          <w:marLeft w:val="0"/>
          <w:marRight w:val="0"/>
          <w:marTop w:val="0"/>
          <w:marBottom w:val="0"/>
          <w:divBdr>
            <w:top w:val="none" w:sz="0" w:space="0" w:color="auto"/>
            <w:left w:val="none" w:sz="0" w:space="0" w:color="auto"/>
            <w:bottom w:val="none" w:sz="0" w:space="0" w:color="auto"/>
            <w:right w:val="none" w:sz="0" w:space="0" w:color="auto"/>
          </w:divBdr>
        </w:div>
        <w:div w:id="127820481">
          <w:marLeft w:val="0"/>
          <w:marRight w:val="0"/>
          <w:marTop w:val="0"/>
          <w:marBottom w:val="0"/>
          <w:divBdr>
            <w:top w:val="none" w:sz="0" w:space="0" w:color="auto"/>
            <w:left w:val="none" w:sz="0" w:space="0" w:color="auto"/>
            <w:bottom w:val="none" w:sz="0" w:space="0" w:color="auto"/>
            <w:right w:val="none" w:sz="0" w:space="0" w:color="auto"/>
          </w:divBdr>
        </w:div>
        <w:div w:id="1047023041">
          <w:marLeft w:val="0"/>
          <w:marRight w:val="0"/>
          <w:marTop w:val="0"/>
          <w:marBottom w:val="0"/>
          <w:divBdr>
            <w:top w:val="none" w:sz="0" w:space="0" w:color="auto"/>
            <w:left w:val="none" w:sz="0" w:space="0" w:color="auto"/>
            <w:bottom w:val="none" w:sz="0" w:space="0" w:color="auto"/>
            <w:right w:val="none" w:sz="0" w:space="0" w:color="auto"/>
          </w:divBdr>
        </w:div>
        <w:div w:id="102923366">
          <w:marLeft w:val="0"/>
          <w:marRight w:val="0"/>
          <w:marTop w:val="0"/>
          <w:marBottom w:val="0"/>
          <w:divBdr>
            <w:top w:val="none" w:sz="0" w:space="0" w:color="auto"/>
            <w:left w:val="none" w:sz="0" w:space="0" w:color="auto"/>
            <w:bottom w:val="none" w:sz="0" w:space="0" w:color="auto"/>
            <w:right w:val="none" w:sz="0" w:space="0" w:color="auto"/>
          </w:divBdr>
        </w:div>
        <w:div w:id="2011055922">
          <w:marLeft w:val="0"/>
          <w:marRight w:val="0"/>
          <w:marTop w:val="0"/>
          <w:marBottom w:val="0"/>
          <w:divBdr>
            <w:top w:val="none" w:sz="0" w:space="0" w:color="auto"/>
            <w:left w:val="none" w:sz="0" w:space="0" w:color="auto"/>
            <w:bottom w:val="none" w:sz="0" w:space="0" w:color="auto"/>
            <w:right w:val="none" w:sz="0" w:space="0" w:color="auto"/>
          </w:divBdr>
        </w:div>
        <w:div w:id="1638334937">
          <w:marLeft w:val="0"/>
          <w:marRight w:val="0"/>
          <w:marTop w:val="0"/>
          <w:marBottom w:val="0"/>
          <w:divBdr>
            <w:top w:val="none" w:sz="0" w:space="0" w:color="auto"/>
            <w:left w:val="none" w:sz="0" w:space="0" w:color="auto"/>
            <w:bottom w:val="none" w:sz="0" w:space="0" w:color="auto"/>
            <w:right w:val="none" w:sz="0" w:space="0" w:color="auto"/>
          </w:divBdr>
        </w:div>
        <w:div w:id="1956980806">
          <w:marLeft w:val="0"/>
          <w:marRight w:val="0"/>
          <w:marTop w:val="0"/>
          <w:marBottom w:val="0"/>
          <w:divBdr>
            <w:top w:val="none" w:sz="0" w:space="0" w:color="auto"/>
            <w:left w:val="none" w:sz="0" w:space="0" w:color="auto"/>
            <w:bottom w:val="none" w:sz="0" w:space="0" w:color="auto"/>
            <w:right w:val="none" w:sz="0" w:space="0" w:color="auto"/>
          </w:divBdr>
        </w:div>
        <w:div w:id="454712779">
          <w:marLeft w:val="0"/>
          <w:marRight w:val="0"/>
          <w:marTop w:val="0"/>
          <w:marBottom w:val="0"/>
          <w:divBdr>
            <w:top w:val="none" w:sz="0" w:space="0" w:color="auto"/>
            <w:left w:val="none" w:sz="0" w:space="0" w:color="auto"/>
            <w:bottom w:val="none" w:sz="0" w:space="0" w:color="auto"/>
            <w:right w:val="none" w:sz="0" w:space="0" w:color="auto"/>
          </w:divBdr>
        </w:div>
        <w:div w:id="1445035338">
          <w:marLeft w:val="0"/>
          <w:marRight w:val="0"/>
          <w:marTop w:val="0"/>
          <w:marBottom w:val="0"/>
          <w:divBdr>
            <w:top w:val="none" w:sz="0" w:space="0" w:color="auto"/>
            <w:left w:val="none" w:sz="0" w:space="0" w:color="auto"/>
            <w:bottom w:val="none" w:sz="0" w:space="0" w:color="auto"/>
            <w:right w:val="none" w:sz="0" w:space="0" w:color="auto"/>
          </w:divBdr>
        </w:div>
        <w:div w:id="943268564">
          <w:marLeft w:val="0"/>
          <w:marRight w:val="0"/>
          <w:marTop w:val="0"/>
          <w:marBottom w:val="0"/>
          <w:divBdr>
            <w:top w:val="none" w:sz="0" w:space="0" w:color="auto"/>
            <w:left w:val="none" w:sz="0" w:space="0" w:color="auto"/>
            <w:bottom w:val="none" w:sz="0" w:space="0" w:color="auto"/>
            <w:right w:val="none" w:sz="0" w:space="0" w:color="auto"/>
          </w:divBdr>
        </w:div>
        <w:div w:id="608969185">
          <w:marLeft w:val="0"/>
          <w:marRight w:val="0"/>
          <w:marTop w:val="0"/>
          <w:marBottom w:val="0"/>
          <w:divBdr>
            <w:top w:val="none" w:sz="0" w:space="0" w:color="auto"/>
            <w:left w:val="none" w:sz="0" w:space="0" w:color="auto"/>
            <w:bottom w:val="none" w:sz="0" w:space="0" w:color="auto"/>
            <w:right w:val="none" w:sz="0" w:space="0" w:color="auto"/>
          </w:divBdr>
        </w:div>
        <w:div w:id="1354726890">
          <w:marLeft w:val="0"/>
          <w:marRight w:val="0"/>
          <w:marTop w:val="0"/>
          <w:marBottom w:val="0"/>
          <w:divBdr>
            <w:top w:val="none" w:sz="0" w:space="0" w:color="auto"/>
            <w:left w:val="none" w:sz="0" w:space="0" w:color="auto"/>
            <w:bottom w:val="none" w:sz="0" w:space="0" w:color="auto"/>
            <w:right w:val="none" w:sz="0" w:space="0" w:color="auto"/>
          </w:divBdr>
        </w:div>
        <w:div w:id="548303281">
          <w:marLeft w:val="0"/>
          <w:marRight w:val="0"/>
          <w:marTop w:val="0"/>
          <w:marBottom w:val="0"/>
          <w:divBdr>
            <w:top w:val="none" w:sz="0" w:space="0" w:color="auto"/>
            <w:left w:val="none" w:sz="0" w:space="0" w:color="auto"/>
            <w:bottom w:val="none" w:sz="0" w:space="0" w:color="auto"/>
            <w:right w:val="none" w:sz="0" w:space="0" w:color="auto"/>
          </w:divBdr>
        </w:div>
      </w:divsChild>
    </w:div>
    <w:div w:id="1365207301">
      <w:bodyDiv w:val="1"/>
      <w:marLeft w:val="0"/>
      <w:marRight w:val="0"/>
      <w:marTop w:val="0"/>
      <w:marBottom w:val="0"/>
      <w:divBdr>
        <w:top w:val="none" w:sz="0" w:space="0" w:color="auto"/>
        <w:left w:val="none" w:sz="0" w:space="0" w:color="auto"/>
        <w:bottom w:val="none" w:sz="0" w:space="0" w:color="auto"/>
        <w:right w:val="none" w:sz="0" w:space="0" w:color="auto"/>
      </w:divBdr>
    </w:div>
    <w:div w:id="1403216612">
      <w:bodyDiv w:val="1"/>
      <w:marLeft w:val="0"/>
      <w:marRight w:val="0"/>
      <w:marTop w:val="0"/>
      <w:marBottom w:val="0"/>
      <w:divBdr>
        <w:top w:val="none" w:sz="0" w:space="0" w:color="auto"/>
        <w:left w:val="none" w:sz="0" w:space="0" w:color="auto"/>
        <w:bottom w:val="none" w:sz="0" w:space="0" w:color="auto"/>
        <w:right w:val="none" w:sz="0" w:space="0" w:color="auto"/>
      </w:divBdr>
      <w:divsChild>
        <w:div w:id="1157114940">
          <w:marLeft w:val="0"/>
          <w:marRight w:val="0"/>
          <w:marTop w:val="0"/>
          <w:marBottom w:val="0"/>
          <w:divBdr>
            <w:top w:val="none" w:sz="0" w:space="0" w:color="auto"/>
            <w:left w:val="none" w:sz="0" w:space="0" w:color="auto"/>
            <w:bottom w:val="none" w:sz="0" w:space="0" w:color="auto"/>
            <w:right w:val="none" w:sz="0" w:space="0" w:color="auto"/>
          </w:divBdr>
        </w:div>
        <w:div w:id="425806882">
          <w:marLeft w:val="0"/>
          <w:marRight w:val="0"/>
          <w:marTop w:val="0"/>
          <w:marBottom w:val="0"/>
          <w:divBdr>
            <w:top w:val="none" w:sz="0" w:space="0" w:color="auto"/>
            <w:left w:val="none" w:sz="0" w:space="0" w:color="auto"/>
            <w:bottom w:val="none" w:sz="0" w:space="0" w:color="auto"/>
            <w:right w:val="none" w:sz="0" w:space="0" w:color="auto"/>
          </w:divBdr>
        </w:div>
      </w:divsChild>
    </w:div>
    <w:div w:id="1448890246">
      <w:bodyDiv w:val="1"/>
      <w:marLeft w:val="0"/>
      <w:marRight w:val="0"/>
      <w:marTop w:val="0"/>
      <w:marBottom w:val="0"/>
      <w:divBdr>
        <w:top w:val="none" w:sz="0" w:space="0" w:color="auto"/>
        <w:left w:val="none" w:sz="0" w:space="0" w:color="auto"/>
        <w:bottom w:val="none" w:sz="0" w:space="0" w:color="auto"/>
        <w:right w:val="none" w:sz="0" w:space="0" w:color="auto"/>
      </w:divBdr>
    </w:div>
    <w:div w:id="1462575064">
      <w:bodyDiv w:val="1"/>
      <w:marLeft w:val="0"/>
      <w:marRight w:val="0"/>
      <w:marTop w:val="0"/>
      <w:marBottom w:val="0"/>
      <w:divBdr>
        <w:top w:val="none" w:sz="0" w:space="0" w:color="auto"/>
        <w:left w:val="none" w:sz="0" w:space="0" w:color="auto"/>
        <w:bottom w:val="none" w:sz="0" w:space="0" w:color="auto"/>
        <w:right w:val="none" w:sz="0" w:space="0" w:color="auto"/>
      </w:divBdr>
    </w:div>
    <w:div w:id="1503661930">
      <w:bodyDiv w:val="1"/>
      <w:marLeft w:val="0"/>
      <w:marRight w:val="0"/>
      <w:marTop w:val="0"/>
      <w:marBottom w:val="0"/>
      <w:divBdr>
        <w:top w:val="none" w:sz="0" w:space="0" w:color="auto"/>
        <w:left w:val="none" w:sz="0" w:space="0" w:color="auto"/>
        <w:bottom w:val="none" w:sz="0" w:space="0" w:color="auto"/>
        <w:right w:val="none" w:sz="0" w:space="0" w:color="auto"/>
      </w:divBdr>
    </w:div>
    <w:div w:id="1574390814">
      <w:bodyDiv w:val="1"/>
      <w:marLeft w:val="0"/>
      <w:marRight w:val="0"/>
      <w:marTop w:val="0"/>
      <w:marBottom w:val="0"/>
      <w:divBdr>
        <w:top w:val="none" w:sz="0" w:space="0" w:color="auto"/>
        <w:left w:val="none" w:sz="0" w:space="0" w:color="auto"/>
        <w:bottom w:val="none" w:sz="0" w:space="0" w:color="auto"/>
        <w:right w:val="none" w:sz="0" w:space="0" w:color="auto"/>
      </w:divBdr>
    </w:div>
    <w:div w:id="1717510930">
      <w:bodyDiv w:val="1"/>
      <w:marLeft w:val="0"/>
      <w:marRight w:val="0"/>
      <w:marTop w:val="0"/>
      <w:marBottom w:val="0"/>
      <w:divBdr>
        <w:top w:val="none" w:sz="0" w:space="0" w:color="auto"/>
        <w:left w:val="none" w:sz="0" w:space="0" w:color="auto"/>
        <w:bottom w:val="none" w:sz="0" w:space="0" w:color="auto"/>
        <w:right w:val="none" w:sz="0" w:space="0" w:color="auto"/>
      </w:divBdr>
      <w:divsChild>
        <w:div w:id="1781874281">
          <w:marLeft w:val="0"/>
          <w:marRight w:val="0"/>
          <w:marTop w:val="0"/>
          <w:marBottom w:val="0"/>
          <w:divBdr>
            <w:top w:val="none" w:sz="0" w:space="0" w:color="auto"/>
            <w:left w:val="none" w:sz="0" w:space="0" w:color="auto"/>
            <w:bottom w:val="none" w:sz="0" w:space="0" w:color="auto"/>
            <w:right w:val="none" w:sz="0" w:space="0" w:color="auto"/>
          </w:divBdr>
        </w:div>
      </w:divsChild>
    </w:div>
    <w:div w:id="1773818062">
      <w:bodyDiv w:val="1"/>
      <w:marLeft w:val="0"/>
      <w:marRight w:val="0"/>
      <w:marTop w:val="0"/>
      <w:marBottom w:val="0"/>
      <w:divBdr>
        <w:top w:val="none" w:sz="0" w:space="0" w:color="auto"/>
        <w:left w:val="none" w:sz="0" w:space="0" w:color="auto"/>
        <w:bottom w:val="none" w:sz="0" w:space="0" w:color="auto"/>
        <w:right w:val="none" w:sz="0" w:space="0" w:color="auto"/>
      </w:divBdr>
      <w:divsChild>
        <w:div w:id="1599092836">
          <w:marLeft w:val="0"/>
          <w:marRight w:val="0"/>
          <w:marTop w:val="0"/>
          <w:marBottom w:val="0"/>
          <w:divBdr>
            <w:top w:val="none" w:sz="0" w:space="0" w:color="auto"/>
            <w:left w:val="none" w:sz="0" w:space="0" w:color="auto"/>
            <w:bottom w:val="none" w:sz="0" w:space="0" w:color="auto"/>
            <w:right w:val="none" w:sz="0" w:space="0" w:color="auto"/>
          </w:divBdr>
          <w:divsChild>
            <w:div w:id="13647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1150">
      <w:bodyDiv w:val="1"/>
      <w:marLeft w:val="0"/>
      <w:marRight w:val="0"/>
      <w:marTop w:val="0"/>
      <w:marBottom w:val="0"/>
      <w:divBdr>
        <w:top w:val="none" w:sz="0" w:space="0" w:color="auto"/>
        <w:left w:val="none" w:sz="0" w:space="0" w:color="auto"/>
        <w:bottom w:val="none" w:sz="0" w:space="0" w:color="auto"/>
        <w:right w:val="none" w:sz="0" w:space="0" w:color="auto"/>
      </w:divBdr>
      <w:divsChild>
        <w:div w:id="1920675605">
          <w:marLeft w:val="0"/>
          <w:marRight w:val="0"/>
          <w:marTop w:val="0"/>
          <w:marBottom w:val="0"/>
          <w:divBdr>
            <w:top w:val="none" w:sz="0" w:space="0" w:color="auto"/>
            <w:left w:val="none" w:sz="0" w:space="0" w:color="auto"/>
            <w:bottom w:val="none" w:sz="0" w:space="0" w:color="auto"/>
            <w:right w:val="none" w:sz="0" w:space="0" w:color="auto"/>
          </w:divBdr>
          <w:divsChild>
            <w:div w:id="8828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23944">
      <w:bodyDiv w:val="1"/>
      <w:marLeft w:val="0"/>
      <w:marRight w:val="0"/>
      <w:marTop w:val="0"/>
      <w:marBottom w:val="0"/>
      <w:divBdr>
        <w:top w:val="none" w:sz="0" w:space="0" w:color="auto"/>
        <w:left w:val="none" w:sz="0" w:space="0" w:color="auto"/>
        <w:bottom w:val="none" w:sz="0" w:space="0" w:color="auto"/>
        <w:right w:val="none" w:sz="0" w:space="0" w:color="auto"/>
      </w:divBdr>
    </w:div>
    <w:div w:id="2030982533">
      <w:bodyDiv w:val="1"/>
      <w:marLeft w:val="0"/>
      <w:marRight w:val="0"/>
      <w:marTop w:val="0"/>
      <w:marBottom w:val="0"/>
      <w:divBdr>
        <w:top w:val="none" w:sz="0" w:space="0" w:color="auto"/>
        <w:left w:val="none" w:sz="0" w:space="0" w:color="auto"/>
        <w:bottom w:val="none" w:sz="0" w:space="0" w:color="auto"/>
        <w:right w:val="none" w:sz="0" w:space="0" w:color="auto"/>
      </w:divBdr>
    </w:div>
    <w:div w:id="2083527324">
      <w:bodyDiv w:val="1"/>
      <w:marLeft w:val="0"/>
      <w:marRight w:val="0"/>
      <w:marTop w:val="0"/>
      <w:marBottom w:val="0"/>
      <w:divBdr>
        <w:top w:val="none" w:sz="0" w:space="0" w:color="auto"/>
        <w:left w:val="none" w:sz="0" w:space="0" w:color="auto"/>
        <w:bottom w:val="none" w:sz="0" w:space="0" w:color="auto"/>
        <w:right w:val="none" w:sz="0" w:space="0" w:color="auto"/>
      </w:divBdr>
      <w:divsChild>
        <w:div w:id="492259880">
          <w:marLeft w:val="0"/>
          <w:marRight w:val="0"/>
          <w:marTop w:val="0"/>
          <w:marBottom w:val="0"/>
          <w:divBdr>
            <w:top w:val="none" w:sz="0" w:space="0" w:color="auto"/>
            <w:left w:val="none" w:sz="0" w:space="0" w:color="auto"/>
            <w:bottom w:val="none" w:sz="0" w:space="0" w:color="auto"/>
            <w:right w:val="none" w:sz="0" w:space="0" w:color="auto"/>
          </w:divBdr>
          <w:divsChild>
            <w:div w:id="995257811">
              <w:marLeft w:val="0"/>
              <w:marRight w:val="0"/>
              <w:marTop w:val="0"/>
              <w:marBottom w:val="0"/>
              <w:divBdr>
                <w:top w:val="none" w:sz="0" w:space="0" w:color="auto"/>
                <w:left w:val="none" w:sz="0" w:space="0" w:color="auto"/>
                <w:bottom w:val="none" w:sz="0" w:space="0" w:color="auto"/>
                <w:right w:val="none" w:sz="0" w:space="0" w:color="auto"/>
              </w:divBdr>
            </w:div>
            <w:div w:id="1541238497">
              <w:marLeft w:val="0"/>
              <w:marRight w:val="0"/>
              <w:marTop w:val="0"/>
              <w:marBottom w:val="0"/>
              <w:divBdr>
                <w:top w:val="none" w:sz="0" w:space="0" w:color="auto"/>
                <w:left w:val="none" w:sz="0" w:space="0" w:color="auto"/>
                <w:bottom w:val="none" w:sz="0" w:space="0" w:color="auto"/>
                <w:right w:val="none" w:sz="0" w:space="0" w:color="auto"/>
              </w:divBdr>
            </w:div>
            <w:div w:id="1652363153">
              <w:marLeft w:val="0"/>
              <w:marRight w:val="0"/>
              <w:marTop w:val="0"/>
              <w:marBottom w:val="0"/>
              <w:divBdr>
                <w:top w:val="none" w:sz="0" w:space="0" w:color="auto"/>
                <w:left w:val="none" w:sz="0" w:space="0" w:color="auto"/>
                <w:bottom w:val="none" w:sz="0" w:space="0" w:color="auto"/>
                <w:right w:val="none" w:sz="0" w:space="0" w:color="auto"/>
              </w:divBdr>
            </w:div>
            <w:div w:id="747271755">
              <w:marLeft w:val="0"/>
              <w:marRight w:val="0"/>
              <w:marTop w:val="0"/>
              <w:marBottom w:val="0"/>
              <w:divBdr>
                <w:top w:val="none" w:sz="0" w:space="0" w:color="auto"/>
                <w:left w:val="none" w:sz="0" w:space="0" w:color="auto"/>
                <w:bottom w:val="none" w:sz="0" w:space="0" w:color="auto"/>
                <w:right w:val="none" w:sz="0" w:space="0" w:color="auto"/>
              </w:divBdr>
            </w:div>
            <w:div w:id="1110782216">
              <w:marLeft w:val="0"/>
              <w:marRight w:val="0"/>
              <w:marTop w:val="0"/>
              <w:marBottom w:val="0"/>
              <w:divBdr>
                <w:top w:val="none" w:sz="0" w:space="0" w:color="auto"/>
                <w:left w:val="none" w:sz="0" w:space="0" w:color="auto"/>
                <w:bottom w:val="none" w:sz="0" w:space="0" w:color="auto"/>
                <w:right w:val="none" w:sz="0" w:space="0" w:color="auto"/>
              </w:divBdr>
            </w:div>
            <w:div w:id="456026191">
              <w:marLeft w:val="0"/>
              <w:marRight w:val="0"/>
              <w:marTop w:val="0"/>
              <w:marBottom w:val="0"/>
              <w:divBdr>
                <w:top w:val="none" w:sz="0" w:space="0" w:color="auto"/>
                <w:left w:val="none" w:sz="0" w:space="0" w:color="auto"/>
                <w:bottom w:val="none" w:sz="0" w:space="0" w:color="auto"/>
                <w:right w:val="none" w:sz="0" w:space="0" w:color="auto"/>
              </w:divBdr>
            </w:div>
            <w:div w:id="1423645724">
              <w:marLeft w:val="0"/>
              <w:marRight w:val="0"/>
              <w:marTop w:val="0"/>
              <w:marBottom w:val="0"/>
              <w:divBdr>
                <w:top w:val="none" w:sz="0" w:space="0" w:color="auto"/>
                <w:left w:val="none" w:sz="0" w:space="0" w:color="auto"/>
                <w:bottom w:val="none" w:sz="0" w:space="0" w:color="auto"/>
                <w:right w:val="none" w:sz="0" w:space="0" w:color="auto"/>
              </w:divBdr>
            </w:div>
            <w:div w:id="1614944913">
              <w:marLeft w:val="0"/>
              <w:marRight w:val="0"/>
              <w:marTop w:val="0"/>
              <w:marBottom w:val="0"/>
              <w:divBdr>
                <w:top w:val="none" w:sz="0" w:space="0" w:color="auto"/>
                <w:left w:val="none" w:sz="0" w:space="0" w:color="auto"/>
                <w:bottom w:val="none" w:sz="0" w:space="0" w:color="auto"/>
                <w:right w:val="none" w:sz="0" w:space="0" w:color="auto"/>
              </w:divBdr>
            </w:div>
            <w:div w:id="1135878665">
              <w:marLeft w:val="0"/>
              <w:marRight w:val="0"/>
              <w:marTop w:val="0"/>
              <w:marBottom w:val="0"/>
              <w:divBdr>
                <w:top w:val="none" w:sz="0" w:space="0" w:color="auto"/>
                <w:left w:val="none" w:sz="0" w:space="0" w:color="auto"/>
                <w:bottom w:val="none" w:sz="0" w:space="0" w:color="auto"/>
                <w:right w:val="none" w:sz="0" w:space="0" w:color="auto"/>
              </w:divBdr>
            </w:div>
            <w:div w:id="1189610601">
              <w:marLeft w:val="0"/>
              <w:marRight w:val="0"/>
              <w:marTop w:val="0"/>
              <w:marBottom w:val="0"/>
              <w:divBdr>
                <w:top w:val="none" w:sz="0" w:space="0" w:color="auto"/>
                <w:left w:val="none" w:sz="0" w:space="0" w:color="auto"/>
                <w:bottom w:val="none" w:sz="0" w:space="0" w:color="auto"/>
                <w:right w:val="none" w:sz="0" w:space="0" w:color="auto"/>
              </w:divBdr>
            </w:div>
            <w:div w:id="10678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9035">
      <w:bodyDiv w:val="1"/>
      <w:marLeft w:val="0"/>
      <w:marRight w:val="0"/>
      <w:marTop w:val="0"/>
      <w:marBottom w:val="0"/>
      <w:divBdr>
        <w:top w:val="none" w:sz="0" w:space="0" w:color="auto"/>
        <w:left w:val="none" w:sz="0" w:space="0" w:color="auto"/>
        <w:bottom w:val="none" w:sz="0" w:space="0" w:color="auto"/>
        <w:right w:val="none" w:sz="0" w:space="0" w:color="auto"/>
      </w:divBdr>
      <w:divsChild>
        <w:div w:id="1966227834">
          <w:marLeft w:val="0"/>
          <w:marRight w:val="0"/>
          <w:marTop w:val="0"/>
          <w:marBottom w:val="0"/>
          <w:divBdr>
            <w:top w:val="none" w:sz="0" w:space="0" w:color="auto"/>
            <w:left w:val="none" w:sz="0" w:space="0" w:color="auto"/>
            <w:bottom w:val="none" w:sz="0" w:space="0" w:color="auto"/>
            <w:right w:val="none" w:sz="0" w:space="0" w:color="auto"/>
          </w:divBdr>
        </w:div>
        <w:div w:id="1911112698">
          <w:marLeft w:val="0"/>
          <w:marRight w:val="0"/>
          <w:marTop w:val="0"/>
          <w:marBottom w:val="0"/>
          <w:divBdr>
            <w:top w:val="none" w:sz="0" w:space="0" w:color="auto"/>
            <w:left w:val="none" w:sz="0" w:space="0" w:color="auto"/>
            <w:bottom w:val="none" w:sz="0" w:space="0" w:color="auto"/>
            <w:right w:val="none" w:sz="0" w:space="0" w:color="auto"/>
          </w:divBdr>
        </w:div>
      </w:divsChild>
    </w:div>
    <w:div w:id="2130008746">
      <w:bodyDiv w:val="1"/>
      <w:marLeft w:val="0"/>
      <w:marRight w:val="0"/>
      <w:marTop w:val="0"/>
      <w:marBottom w:val="0"/>
      <w:divBdr>
        <w:top w:val="none" w:sz="0" w:space="0" w:color="auto"/>
        <w:left w:val="none" w:sz="0" w:space="0" w:color="auto"/>
        <w:bottom w:val="none" w:sz="0" w:space="0" w:color="auto"/>
        <w:right w:val="none" w:sz="0" w:space="0" w:color="auto"/>
      </w:divBdr>
      <w:divsChild>
        <w:div w:id="1463309031">
          <w:marLeft w:val="0"/>
          <w:marRight w:val="0"/>
          <w:marTop w:val="0"/>
          <w:marBottom w:val="0"/>
          <w:divBdr>
            <w:top w:val="none" w:sz="0" w:space="0" w:color="auto"/>
            <w:left w:val="none" w:sz="0" w:space="0" w:color="auto"/>
            <w:bottom w:val="none" w:sz="0" w:space="0" w:color="auto"/>
            <w:right w:val="none" w:sz="0" w:space="0" w:color="auto"/>
          </w:divBdr>
        </w:div>
        <w:div w:id="1477990246">
          <w:marLeft w:val="0"/>
          <w:marRight w:val="0"/>
          <w:marTop w:val="0"/>
          <w:marBottom w:val="0"/>
          <w:divBdr>
            <w:top w:val="none" w:sz="0" w:space="0" w:color="auto"/>
            <w:left w:val="none" w:sz="0" w:space="0" w:color="auto"/>
            <w:bottom w:val="none" w:sz="0" w:space="0" w:color="auto"/>
            <w:right w:val="none" w:sz="0" w:space="0" w:color="auto"/>
          </w:divBdr>
          <w:divsChild>
            <w:div w:id="282857037">
              <w:marLeft w:val="0"/>
              <w:marRight w:val="0"/>
              <w:marTop w:val="0"/>
              <w:marBottom w:val="0"/>
              <w:divBdr>
                <w:top w:val="none" w:sz="0" w:space="0" w:color="auto"/>
                <w:left w:val="none" w:sz="0" w:space="0" w:color="auto"/>
                <w:bottom w:val="none" w:sz="0" w:space="0" w:color="auto"/>
                <w:right w:val="none" w:sz="0" w:space="0" w:color="auto"/>
              </w:divBdr>
            </w:div>
            <w:div w:id="21183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replicationindex.com/2020/02/12/fiske-and-the-permanent-crisis-in-social-psychology/" TargetMode="External"/><Relationship Id="rId2" Type="http://schemas.openxmlformats.org/officeDocument/2006/relationships/hyperlink" Target="https://www.podbean.com/ew/dir-rbj6c-db707d0" TargetMode="External"/><Relationship Id="rId1" Type="http://schemas.openxmlformats.org/officeDocument/2006/relationships/hyperlink" Target="https://cran.r-project.org/web/packages/simputation/index.html" TargetMode="External"/><Relationship Id="rId4" Type="http://schemas.openxmlformats.org/officeDocument/2006/relationships/hyperlink" Target="https://www.cos.io/sc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FC14-1C95-3D4F-9E5D-5FAA1104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9836</Words>
  <Characters>56071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2021-07-31T15:05:00Z</dcterms:created>
  <dcterms:modified xsi:type="dcterms:W3CDTF">2021-07-31T15:09:00Z</dcterms:modified>
</cp:coreProperties>
</file>